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CBBDF" w14:textId="6B07AD51" w:rsidR="00CA77FB" w:rsidRPr="00BF69C9" w:rsidRDefault="00BB77CD" w:rsidP="00517BCE">
      <w:pPr>
        <w:pStyle w:val="Encabezado"/>
        <w:tabs>
          <w:tab w:val="clear" w:pos="8504"/>
          <w:tab w:val="left" w:pos="0"/>
          <w:tab w:val="right" w:pos="9356"/>
        </w:tabs>
        <w:spacing w:before="600"/>
        <w:ind w:left="4252" w:hanging="4252"/>
        <w:jc w:val="center"/>
        <w:rPr>
          <w:rFonts w:ascii="Bookman Old Style" w:hAnsi="Bookman Old Style"/>
          <w:b/>
          <w:bCs/>
          <w:noProof/>
          <w:szCs w:val="24"/>
          <w:lang w:val="es-ES"/>
        </w:rPr>
      </w:pPr>
      <w:r>
        <w:rPr>
          <w:rFonts w:ascii="Bookman Old Style" w:hAnsi="Bookman Old Style"/>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2.15pt;width:52.5pt;height:48.75pt;z-index:251657728" fillcolor="#0c9">
            <v:imagedata r:id="rId8" o:title=""/>
          </v:shape>
          <o:OLEObject Type="Embed" ProgID="PBrush" ShapeID="_x0000_s1026" DrawAspect="Content" ObjectID="_1686469185" r:id="rId9"/>
        </w:object>
      </w:r>
      <w:r w:rsidR="00CA77FB" w:rsidRPr="00BF69C9">
        <w:rPr>
          <w:rFonts w:ascii="Bookman Old Style" w:hAnsi="Bookman Old Style"/>
          <w:bCs/>
          <w:szCs w:val="24"/>
        </w:rPr>
        <w:t>Ministerio de Minas y Energía</w:t>
      </w:r>
    </w:p>
    <w:p w14:paraId="39C03CFE" w14:textId="77777777" w:rsidR="00CA77FB" w:rsidRPr="00BF69C9" w:rsidRDefault="00CA77FB" w:rsidP="00505138">
      <w:pPr>
        <w:pStyle w:val="Ttulo3"/>
        <w:tabs>
          <w:tab w:val="left" w:pos="0"/>
          <w:tab w:val="right" w:pos="9356"/>
        </w:tabs>
        <w:spacing w:before="360" w:after="36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1EF0B417" w14:textId="58A30479" w:rsidR="00CA77FB" w:rsidRDefault="00CA77FB" w:rsidP="006D1CB3">
      <w:pPr>
        <w:pStyle w:val="Ttulo5"/>
        <w:tabs>
          <w:tab w:val="left" w:pos="0"/>
          <w:tab w:val="right" w:pos="9356"/>
        </w:tabs>
        <w:spacing w:before="240" w:after="0"/>
        <w:rPr>
          <w:rFonts w:ascii="Bookman Old Style" w:hAnsi="Bookman Old Style"/>
          <w:sz w:val="24"/>
          <w:szCs w:val="24"/>
        </w:rPr>
      </w:pPr>
      <w:r w:rsidRPr="00BF69C9">
        <w:rPr>
          <w:rFonts w:ascii="Bookman Old Style" w:hAnsi="Bookman Old Style"/>
          <w:sz w:val="24"/>
          <w:szCs w:val="24"/>
        </w:rPr>
        <w:t xml:space="preserve">RESOLUCIÓN No. </w:t>
      </w:r>
      <w:r w:rsidR="006D1CB3" w:rsidRPr="006D1CB3">
        <w:rPr>
          <w:rFonts w:ascii="Bookman Old Style" w:hAnsi="Bookman Old Style"/>
          <w:sz w:val="32"/>
          <w:szCs w:val="32"/>
        </w:rPr>
        <w:t>079</w:t>
      </w:r>
      <w:r w:rsidR="00795BFB" w:rsidRPr="006D1CB3">
        <w:rPr>
          <w:rFonts w:ascii="Bookman Old Style" w:hAnsi="Bookman Old Style"/>
          <w:sz w:val="32"/>
          <w:szCs w:val="32"/>
        </w:rPr>
        <w:t xml:space="preserve">  </w:t>
      </w:r>
      <w:r w:rsidR="002571C8" w:rsidRPr="00BF69C9">
        <w:rPr>
          <w:rFonts w:ascii="Bookman Old Style" w:hAnsi="Bookman Old Style"/>
          <w:sz w:val="24"/>
          <w:szCs w:val="24"/>
        </w:rPr>
        <w:t xml:space="preserve"> </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8F3E80">
        <w:rPr>
          <w:rFonts w:ascii="Bookman Old Style" w:hAnsi="Bookman Old Style"/>
          <w:sz w:val="24"/>
          <w:szCs w:val="24"/>
        </w:rPr>
        <w:t>2</w:t>
      </w:r>
      <w:r w:rsidR="00E10E38">
        <w:rPr>
          <w:rFonts w:ascii="Bookman Old Style" w:hAnsi="Bookman Old Style"/>
          <w:sz w:val="24"/>
          <w:szCs w:val="24"/>
        </w:rPr>
        <w:t>1</w:t>
      </w:r>
    </w:p>
    <w:p w14:paraId="00EF7D70" w14:textId="77777777" w:rsidR="006D1CB3" w:rsidRPr="006D1CB3" w:rsidRDefault="006D1CB3" w:rsidP="006D1CB3">
      <w:pPr>
        <w:spacing w:before="0" w:after="0"/>
        <w:rPr>
          <w:lang w:val="es-ES_tradnl"/>
        </w:rPr>
      </w:pPr>
    </w:p>
    <w:p w14:paraId="1339ABB4" w14:textId="18C29CBA" w:rsidR="00CA77FB" w:rsidRDefault="00CA77FB" w:rsidP="006D1CB3">
      <w:pPr>
        <w:pStyle w:val="Ttulo3"/>
        <w:tabs>
          <w:tab w:val="left" w:pos="0"/>
          <w:tab w:val="right" w:pos="9356"/>
        </w:tabs>
        <w:spacing w:before="0" w:after="0"/>
        <w:rPr>
          <w:rFonts w:ascii="Bookman Old Style" w:hAnsi="Bookman Old Style"/>
          <w:b w:val="0"/>
          <w:szCs w:val="24"/>
        </w:rPr>
      </w:pPr>
      <w:r w:rsidRPr="00BF69C9">
        <w:rPr>
          <w:rFonts w:ascii="Bookman Old Style" w:hAnsi="Bookman Old Style"/>
          <w:b w:val="0"/>
          <w:szCs w:val="24"/>
        </w:rPr>
        <w:t xml:space="preserve">(   </w:t>
      </w:r>
      <w:r w:rsidR="006D1CB3" w:rsidRPr="006D1CB3">
        <w:rPr>
          <w:rFonts w:ascii="Bookman Old Style" w:hAnsi="Bookman Old Style"/>
          <w:bCs/>
          <w:sz w:val="32"/>
          <w:szCs w:val="32"/>
        </w:rPr>
        <w:t>24 JUN. 2021</w:t>
      </w:r>
      <w:r w:rsidRPr="00BF69C9">
        <w:rPr>
          <w:rFonts w:ascii="Bookman Old Style" w:hAnsi="Bookman Old Style"/>
          <w:b w:val="0"/>
          <w:szCs w:val="24"/>
        </w:rPr>
        <w:t xml:space="preserve">   )</w:t>
      </w:r>
    </w:p>
    <w:p w14:paraId="0A9386B2" w14:textId="77777777" w:rsidR="006D1CB3" w:rsidRPr="006D1CB3" w:rsidRDefault="006D1CB3" w:rsidP="006D1CB3">
      <w:pPr>
        <w:rPr>
          <w:lang w:val="es-ES_tradnl"/>
        </w:rPr>
      </w:pPr>
    </w:p>
    <w:p w14:paraId="267CC799" w14:textId="496BB466" w:rsidR="00D76752" w:rsidRPr="00BF69C9" w:rsidRDefault="00D76752" w:rsidP="001A7613">
      <w:pPr>
        <w:spacing w:before="0" w:after="360"/>
        <w:jc w:val="center"/>
      </w:pPr>
      <w:r w:rsidRPr="00BF69C9">
        <w:t xml:space="preserve">Por la cual se </w:t>
      </w:r>
      <w:r w:rsidR="006259EB">
        <w:t xml:space="preserve">resuelve el recurso de reposición interpuesto </w:t>
      </w:r>
      <w:r w:rsidR="002F7B19">
        <w:t xml:space="preserve">por </w:t>
      </w:r>
      <w:r w:rsidR="00FE775A">
        <w:t xml:space="preserve">CARIBEMAR DE LA COSTA </w:t>
      </w:r>
      <w:r w:rsidR="00FE775A" w:rsidRPr="000C4F5C">
        <w:t>S.A.S. E.S.P.</w:t>
      </w:r>
      <w:r w:rsidR="006C7F6B">
        <w:t xml:space="preserve"> </w:t>
      </w:r>
      <w:r w:rsidR="006259EB">
        <w:t xml:space="preserve">contra la </w:t>
      </w:r>
      <w:r w:rsidR="009A0748" w:rsidRPr="00BF69C9">
        <w:t xml:space="preserve">Resolución CREG </w:t>
      </w:r>
      <w:r w:rsidR="000C4F5C">
        <w:t>02</w:t>
      </w:r>
      <w:r w:rsidR="00FE775A">
        <w:t>5</w:t>
      </w:r>
      <w:r w:rsidR="008F3E80">
        <w:t xml:space="preserve"> </w:t>
      </w:r>
      <w:r w:rsidR="009A0748" w:rsidRPr="00BF69C9">
        <w:t>de 20</w:t>
      </w:r>
      <w:r w:rsidR="008F3E80">
        <w:t>2</w:t>
      </w:r>
      <w:r w:rsidR="000C4F5C">
        <w:t>1</w:t>
      </w:r>
    </w:p>
    <w:p w14:paraId="1C01FCB2" w14:textId="77777777" w:rsidR="00045D3D" w:rsidRPr="00BF69C9" w:rsidRDefault="00045D3D" w:rsidP="009801C9">
      <w:pPr>
        <w:suppressAutoHyphens/>
        <w:spacing w:before="360" w:after="360"/>
        <w:jc w:val="center"/>
        <w:rPr>
          <w:b/>
        </w:rPr>
      </w:pPr>
      <w:r w:rsidRPr="00BF69C9">
        <w:rPr>
          <w:b/>
        </w:rPr>
        <w:t xml:space="preserve">LA COMISIÓN DE REGULACIÓN </w:t>
      </w:r>
      <w:r w:rsidR="00A06C25" w:rsidRPr="00BF69C9">
        <w:rPr>
          <w:b/>
        </w:rPr>
        <w:t>DE ENERGÍA</w:t>
      </w:r>
      <w:r w:rsidRPr="00BF69C9">
        <w:rPr>
          <w:b/>
        </w:rPr>
        <w:t xml:space="preserve"> Y GAS</w:t>
      </w:r>
    </w:p>
    <w:p w14:paraId="1347F06A" w14:textId="77777777"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49DECB61" w14:textId="77777777" w:rsidR="00045D3D" w:rsidRPr="00BF69C9" w:rsidRDefault="00955F64" w:rsidP="009801C9">
      <w:pPr>
        <w:suppressAutoHyphens/>
        <w:spacing w:before="360" w:after="36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17BBAA5B" w14:textId="1C21B595" w:rsidR="000C4F5C" w:rsidRDefault="002A7D62" w:rsidP="004135D1">
      <w:r w:rsidRPr="00BF69C9">
        <w:t xml:space="preserve">Mediante la Resolución CREG </w:t>
      </w:r>
      <w:r w:rsidR="000C4F5C">
        <w:t>02</w:t>
      </w:r>
      <w:r w:rsidR="00FE775A">
        <w:t>5</w:t>
      </w:r>
      <w:r w:rsidR="008F3E80">
        <w:t xml:space="preserve"> </w:t>
      </w:r>
      <w:r w:rsidRPr="00BF69C9">
        <w:t>de 20</w:t>
      </w:r>
      <w:r w:rsidR="008F3E80">
        <w:t>2</w:t>
      </w:r>
      <w:r w:rsidR="000C4F5C">
        <w:t>1</w:t>
      </w:r>
      <w:r w:rsidR="006259EB">
        <w:t xml:space="preserve"> se aprobaron </w:t>
      </w:r>
      <w:r w:rsidR="00016F42">
        <w:t xml:space="preserve">las variables necesarias para calcular los ingresos y cargos asociados con la actividad de distribución de energía eléctrica para el mercado de comercialización atendido por </w:t>
      </w:r>
      <w:r w:rsidR="00AB3B00">
        <w:t xml:space="preserve">la </w:t>
      </w:r>
      <w:r w:rsidR="000C4F5C">
        <w:t>e</w:t>
      </w:r>
      <w:r w:rsidR="00AB3B00">
        <w:t>mpresa</w:t>
      </w:r>
      <w:r w:rsidR="000C4F5C">
        <w:t xml:space="preserve"> </w:t>
      </w:r>
      <w:r w:rsidR="00FE775A" w:rsidRPr="00FE775A">
        <w:t>CARIBEMAR DE LA COSTA S.A.S. E.S.P.</w:t>
      </w:r>
    </w:p>
    <w:p w14:paraId="6BF8EB35" w14:textId="4A8B1B60" w:rsidR="0023598E" w:rsidRDefault="0023598E" w:rsidP="0023598E">
      <w:pPr>
        <w:rPr>
          <w:spacing w:val="-3"/>
        </w:rPr>
      </w:pPr>
      <w:r>
        <w:rPr>
          <w:spacing w:val="-3"/>
        </w:rPr>
        <w:t>En el documento</w:t>
      </w:r>
      <w:r w:rsidR="00505138">
        <w:rPr>
          <w:spacing w:val="-3"/>
        </w:rPr>
        <w:t xml:space="preserve"> </w:t>
      </w:r>
      <w:r w:rsidR="00DD6933">
        <w:rPr>
          <w:spacing w:val="-3"/>
        </w:rPr>
        <w:t xml:space="preserve">CREG 018 de 2021 </w:t>
      </w:r>
      <w:r w:rsidR="003B3EF0">
        <w:rPr>
          <w:spacing w:val="-3"/>
        </w:rPr>
        <w:t xml:space="preserve">se encuentra el </w:t>
      </w:r>
      <w:r>
        <w:rPr>
          <w:spacing w:val="-3"/>
        </w:rPr>
        <w:t xml:space="preserve">soporte </w:t>
      </w:r>
      <w:r w:rsidR="003B3EF0">
        <w:rPr>
          <w:spacing w:val="-3"/>
        </w:rPr>
        <w:t xml:space="preserve">de </w:t>
      </w:r>
      <w:r w:rsidR="007E27DA" w:rsidRPr="00BF69C9">
        <w:t xml:space="preserve">la Resolución CREG </w:t>
      </w:r>
      <w:r w:rsidR="007E27DA">
        <w:t>02</w:t>
      </w:r>
      <w:r w:rsidR="00FE775A">
        <w:t>5</w:t>
      </w:r>
      <w:r w:rsidR="007E27DA">
        <w:t xml:space="preserve"> </w:t>
      </w:r>
      <w:r w:rsidR="007E27DA" w:rsidRPr="00BF69C9">
        <w:t>de 20</w:t>
      </w:r>
      <w:r w:rsidR="007E27DA">
        <w:t xml:space="preserve">21, </w:t>
      </w:r>
      <w:r w:rsidR="00016F42">
        <w:rPr>
          <w:spacing w:val="-3"/>
        </w:rPr>
        <w:t>incluyen</w:t>
      </w:r>
      <w:r w:rsidR="007E27DA">
        <w:rPr>
          <w:spacing w:val="-3"/>
        </w:rPr>
        <w:t>do</w:t>
      </w:r>
      <w:r w:rsidR="00016F42">
        <w:rPr>
          <w:spacing w:val="-3"/>
        </w:rPr>
        <w:t xml:space="preserve"> los criterios de revisión de la información, las bases de datos y los cálculos empleados por la Comisión para definir las variables aprobadas en </w:t>
      </w:r>
      <w:r w:rsidR="007E27DA">
        <w:rPr>
          <w:spacing w:val="-3"/>
        </w:rPr>
        <w:t>esta r</w:t>
      </w:r>
      <w:r w:rsidR="00016F42" w:rsidRPr="00BF69C9">
        <w:t>esolución</w:t>
      </w:r>
      <w:r w:rsidR="00016F42">
        <w:t>.</w:t>
      </w:r>
    </w:p>
    <w:p w14:paraId="781B0968" w14:textId="53B1B07C" w:rsidR="00367001" w:rsidRDefault="00AB3B00" w:rsidP="000E5CC4">
      <w:r>
        <w:t xml:space="preserve">La </w:t>
      </w:r>
      <w:r w:rsidR="000C4F5C">
        <w:t xml:space="preserve">empresa </w:t>
      </w:r>
      <w:r w:rsidR="00FE775A">
        <w:t xml:space="preserve">CARIBEMAR DE LA COSTA </w:t>
      </w:r>
      <w:r w:rsidR="00FE775A" w:rsidRPr="000C4F5C">
        <w:t>S.A.S. E.S.P.</w:t>
      </w:r>
      <w:r w:rsidR="006259EB">
        <w:t>, mediante comunicación con radicado CREG E</w:t>
      </w:r>
      <w:r w:rsidR="00860944">
        <w:noBreakHyphen/>
      </w:r>
      <w:r w:rsidR="006259EB">
        <w:t>20</w:t>
      </w:r>
      <w:r w:rsidR="008F3E80">
        <w:t>2</w:t>
      </w:r>
      <w:r w:rsidR="00860944">
        <w:t>1</w:t>
      </w:r>
      <w:r w:rsidR="006259EB">
        <w:t>-0</w:t>
      </w:r>
      <w:r w:rsidR="007E27DA">
        <w:t>4</w:t>
      </w:r>
      <w:r w:rsidR="00FE775A">
        <w:t>200</w:t>
      </w:r>
      <w:r w:rsidR="00A26AF4">
        <w:t>,</w:t>
      </w:r>
      <w:r w:rsidR="006259EB">
        <w:t xml:space="preserve"> presentó recurso de reposición contra la resolución </w:t>
      </w:r>
      <w:r w:rsidR="00206B97">
        <w:t xml:space="preserve">CREG </w:t>
      </w:r>
      <w:r w:rsidR="00860944">
        <w:t>02</w:t>
      </w:r>
      <w:r w:rsidR="00FE775A">
        <w:t>5</w:t>
      </w:r>
      <w:r w:rsidR="00206B97">
        <w:t xml:space="preserve"> de 20</w:t>
      </w:r>
      <w:r w:rsidR="008F3E80">
        <w:t>2</w:t>
      </w:r>
      <w:r w:rsidR="00860944">
        <w:t>1</w:t>
      </w:r>
      <w:r w:rsidR="00367001">
        <w:t xml:space="preserve">. </w:t>
      </w:r>
    </w:p>
    <w:p w14:paraId="18EBF746" w14:textId="4CB4F82D" w:rsidR="006B3FBE" w:rsidRDefault="006B3FBE" w:rsidP="000E5CC4">
      <w:r>
        <w:t>A continuación, se tra</w:t>
      </w:r>
      <w:r w:rsidR="0061198C">
        <w:t>n</w:t>
      </w:r>
      <w:r>
        <w:t>scribe</w:t>
      </w:r>
      <w:r w:rsidR="0061198C">
        <w:t>n</w:t>
      </w:r>
      <w:r>
        <w:t xml:space="preserve"> cada una de las peticiones presentadas en el recurso de reposición, los soportes presentados por el OR</w:t>
      </w:r>
      <w:r w:rsidR="0061198C">
        <w:t>,</w:t>
      </w:r>
      <w:r>
        <w:t xml:space="preserve"> y el respectivo análisis de la Comisión.</w:t>
      </w:r>
    </w:p>
    <w:p w14:paraId="03B690D4" w14:textId="38CE90E0" w:rsidR="006B3FBE" w:rsidRDefault="005A4E7B" w:rsidP="000E5CC4">
      <w:r>
        <w:rPr>
          <w:b/>
          <w:bCs/>
        </w:rPr>
        <w:t>Primera solicitud, numerales 1 y 2</w:t>
      </w:r>
    </w:p>
    <w:p w14:paraId="63CD1A70" w14:textId="77777777" w:rsidR="003F4709" w:rsidRDefault="00FE775A" w:rsidP="0061198C">
      <w:pPr>
        <w:spacing w:before="60" w:after="60"/>
        <w:ind w:left="284"/>
        <w:rPr>
          <w:i/>
          <w:iCs/>
          <w:sz w:val="20"/>
          <w:szCs w:val="20"/>
        </w:rPr>
      </w:pPr>
      <w:r w:rsidRPr="00FE775A">
        <w:rPr>
          <w:i/>
          <w:iCs/>
          <w:sz w:val="20"/>
          <w:szCs w:val="20"/>
        </w:rPr>
        <w:t xml:space="preserve">PRIMERO: Modificar el artículo 2 de la Resolución CREG 025 de 2021, en el siguiente sentido: </w:t>
      </w:r>
    </w:p>
    <w:p w14:paraId="265D531D" w14:textId="0B59F7A1" w:rsidR="00FE775A" w:rsidRDefault="00FE775A" w:rsidP="0061198C">
      <w:pPr>
        <w:spacing w:before="60" w:after="60"/>
        <w:ind w:left="284"/>
        <w:rPr>
          <w:i/>
          <w:iCs/>
          <w:sz w:val="20"/>
          <w:szCs w:val="20"/>
        </w:rPr>
      </w:pPr>
      <w:r w:rsidRPr="00FE775A">
        <w:rPr>
          <w:i/>
          <w:iCs/>
          <w:sz w:val="20"/>
          <w:szCs w:val="20"/>
        </w:rPr>
        <w:t xml:space="preserve">1. </w:t>
      </w:r>
      <w:r w:rsidRPr="003F4709">
        <w:rPr>
          <w:i/>
          <w:iCs/>
          <w:sz w:val="20"/>
          <w:szCs w:val="20"/>
          <w:u w:val="single"/>
        </w:rPr>
        <w:t>Ajustar los valores en la Categoría NT para transformadores y redes de distribución</w:t>
      </w:r>
      <w:r w:rsidRPr="00FE775A">
        <w:rPr>
          <w:i/>
          <w:iCs/>
          <w:sz w:val="20"/>
          <w:szCs w:val="20"/>
        </w:rPr>
        <w:t xml:space="preserve"> de nivel de tensión 1 a 39.376 unidades. </w:t>
      </w:r>
    </w:p>
    <w:p w14:paraId="387265B1" w14:textId="6E4C8BC0" w:rsidR="00325B3C" w:rsidRDefault="00FE775A" w:rsidP="0061198C">
      <w:pPr>
        <w:spacing w:before="60" w:after="60"/>
        <w:ind w:left="284"/>
        <w:rPr>
          <w:i/>
          <w:iCs/>
          <w:sz w:val="20"/>
          <w:szCs w:val="20"/>
        </w:rPr>
      </w:pPr>
      <w:r w:rsidRPr="00FE775A">
        <w:rPr>
          <w:i/>
          <w:iCs/>
          <w:sz w:val="20"/>
          <w:szCs w:val="20"/>
        </w:rPr>
        <w:t xml:space="preserve">2. </w:t>
      </w:r>
      <w:r w:rsidRPr="003F4709">
        <w:rPr>
          <w:i/>
          <w:iCs/>
          <w:sz w:val="20"/>
          <w:szCs w:val="20"/>
          <w:u w:val="single"/>
        </w:rPr>
        <w:t>Ajustar el valor de la variable CRIN para redes de distribución de nivel de tensión 1</w:t>
      </w:r>
      <w:r w:rsidRPr="00FE775A">
        <w:rPr>
          <w:i/>
          <w:iCs/>
          <w:sz w:val="20"/>
          <w:szCs w:val="20"/>
        </w:rPr>
        <w:t xml:space="preserve"> considerando el valor de 6.262 transformadores. </w:t>
      </w:r>
      <w:r w:rsidR="00325B3C">
        <w:rPr>
          <w:i/>
          <w:iCs/>
          <w:sz w:val="20"/>
          <w:szCs w:val="20"/>
        </w:rPr>
        <w:t>(…)</w:t>
      </w:r>
    </w:p>
    <w:p w14:paraId="7E314DA6" w14:textId="77777777" w:rsidR="00325B3C" w:rsidRPr="00325B3C" w:rsidRDefault="00325B3C" w:rsidP="0061198C">
      <w:pPr>
        <w:spacing w:before="60" w:after="60"/>
        <w:ind w:left="284"/>
        <w:rPr>
          <w:i/>
          <w:iCs/>
          <w:sz w:val="20"/>
          <w:szCs w:val="20"/>
        </w:rPr>
      </w:pPr>
      <w:r w:rsidRPr="00325B3C">
        <w:rPr>
          <w:i/>
          <w:iCs/>
          <w:sz w:val="20"/>
          <w:szCs w:val="20"/>
        </w:rPr>
        <w:t xml:space="preserve">Todo lo anterior, conforme a las consideraciones que pasamos a exponer a continuación:   </w:t>
      </w:r>
    </w:p>
    <w:p w14:paraId="61A526FB" w14:textId="19999122" w:rsidR="00325B3C" w:rsidRDefault="00325B3C" w:rsidP="0061198C">
      <w:pPr>
        <w:spacing w:before="60" w:after="60"/>
        <w:ind w:left="284"/>
        <w:rPr>
          <w:i/>
          <w:iCs/>
          <w:sz w:val="20"/>
          <w:szCs w:val="20"/>
        </w:rPr>
      </w:pPr>
      <w:r w:rsidRPr="00325B3C">
        <w:rPr>
          <w:i/>
          <w:iCs/>
          <w:sz w:val="20"/>
          <w:szCs w:val="20"/>
        </w:rPr>
        <w:t>A. Cálculo del valor implícito para nivel de tensión 1.</w:t>
      </w:r>
      <w:r>
        <w:rPr>
          <w:i/>
          <w:iCs/>
          <w:sz w:val="20"/>
          <w:szCs w:val="20"/>
        </w:rPr>
        <w:t xml:space="preserve"> (…)</w:t>
      </w:r>
    </w:p>
    <w:p w14:paraId="66D07E1A" w14:textId="52195C83" w:rsidR="00325B3C" w:rsidRDefault="00325B3C" w:rsidP="0061198C">
      <w:pPr>
        <w:spacing w:before="60" w:after="60"/>
        <w:ind w:left="284"/>
        <w:rPr>
          <w:i/>
          <w:iCs/>
          <w:sz w:val="20"/>
          <w:szCs w:val="20"/>
        </w:rPr>
      </w:pPr>
      <w:r w:rsidRPr="003F4709">
        <w:rPr>
          <w:i/>
          <w:iCs/>
          <w:sz w:val="20"/>
          <w:szCs w:val="20"/>
        </w:rPr>
        <w:t xml:space="preserve">2. En el caso de nivel de tensión 1, la Comisión solicitó  a los OR clasificar los transformadores según las categorías: transformadores que estaban en operación a diciembre de 2007 y fueron incluidos en los cargos actuales aprobados al OR Electricaribe (Categoría NT), transformadores en operación a diciembre de 2007 no reportados por el OR (Categoría NTNI), transformadores </w:t>
      </w:r>
      <w:r w:rsidRPr="003F4709">
        <w:rPr>
          <w:i/>
          <w:iCs/>
          <w:sz w:val="20"/>
          <w:szCs w:val="20"/>
        </w:rPr>
        <w:lastRenderedPageBreak/>
        <w:t>que salieron de operación en el p</w:t>
      </w:r>
      <w:r w:rsidR="0061198C">
        <w:rPr>
          <w:i/>
          <w:iCs/>
          <w:sz w:val="20"/>
          <w:szCs w:val="20"/>
        </w:rPr>
        <w:t>eríodo</w:t>
      </w:r>
      <w:r w:rsidRPr="003F4709">
        <w:rPr>
          <w:i/>
          <w:iCs/>
          <w:sz w:val="20"/>
          <w:szCs w:val="20"/>
        </w:rPr>
        <w:t xml:space="preserve"> 2008-2019 (Categoría NTFO) y los transformadores puestos en operación en el p</w:t>
      </w:r>
      <w:r w:rsidR="0061198C">
        <w:rPr>
          <w:i/>
          <w:iCs/>
          <w:sz w:val="20"/>
          <w:szCs w:val="20"/>
        </w:rPr>
        <w:t>eríodo</w:t>
      </w:r>
      <w:r w:rsidRPr="003F4709">
        <w:rPr>
          <w:i/>
          <w:iCs/>
          <w:sz w:val="20"/>
          <w:szCs w:val="20"/>
        </w:rPr>
        <w:t xml:space="preserve"> 2008-2019 (Categoría NTN).</w:t>
      </w:r>
    </w:p>
    <w:p w14:paraId="67829ED5" w14:textId="77777777" w:rsidR="00325B3C" w:rsidRPr="003F4709" w:rsidRDefault="00325B3C" w:rsidP="0061198C">
      <w:pPr>
        <w:spacing w:before="60" w:after="60"/>
        <w:ind w:left="284"/>
        <w:rPr>
          <w:i/>
          <w:iCs/>
          <w:sz w:val="20"/>
          <w:szCs w:val="20"/>
        </w:rPr>
      </w:pPr>
      <w:r w:rsidRPr="003F4709">
        <w:rPr>
          <w:i/>
          <w:iCs/>
          <w:sz w:val="20"/>
          <w:szCs w:val="20"/>
        </w:rPr>
        <w:t xml:space="preserve">3. La información requerida por la Comisión fue reportada por los OR en el archivo “Formato Activos nivel 1(05-02-2021).xlsb” por CaribeMar.   </w:t>
      </w:r>
    </w:p>
    <w:p w14:paraId="19144718" w14:textId="77777777" w:rsidR="00325B3C" w:rsidRPr="003F4709" w:rsidRDefault="00325B3C" w:rsidP="0061198C">
      <w:pPr>
        <w:spacing w:before="60" w:after="60"/>
        <w:ind w:left="284"/>
        <w:rPr>
          <w:i/>
          <w:iCs/>
          <w:sz w:val="20"/>
          <w:szCs w:val="20"/>
        </w:rPr>
      </w:pPr>
      <w:r w:rsidRPr="003F4709">
        <w:rPr>
          <w:i/>
          <w:iCs/>
          <w:sz w:val="20"/>
          <w:szCs w:val="20"/>
        </w:rPr>
        <w:t xml:space="preserve">4. </w:t>
      </w:r>
      <w:r w:rsidRPr="00E11EAD">
        <w:rPr>
          <w:i/>
          <w:iCs/>
          <w:sz w:val="20"/>
          <w:szCs w:val="20"/>
          <w:u w:val="single"/>
        </w:rPr>
        <w:t>En el reporte para la Categoría NT, CaribeMar reportó únicamente los transformadores que continuaban en operación a corte de diciembre de 2019 y no la totalidad de los transformadores existentes a corte de 2007</w:t>
      </w:r>
      <w:r w:rsidRPr="003F4709">
        <w:rPr>
          <w:i/>
          <w:iCs/>
          <w:sz w:val="20"/>
          <w:szCs w:val="20"/>
        </w:rPr>
        <w:t xml:space="preserve">. Razón por la cual, en el archivo citado, para obtener el total de los transformadores en la Categoría NT, </w:t>
      </w:r>
      <w:r w:rsidRPr="00E11EAD">
        <w:rPr>
          <w:i/>
          <w:iCs/>
          <w:sz w:val="20"/>
          <w:szCs w:val="20"/>
          <w:u w:val="single"/>
        </w:rPr>
        <w:t>para el análisis que realiza la Comisión para obtener el Costos de Reposición de Inversión (CRI) para nivel de tensión 1, es necesario acumular la Categoría NT y la Categoría NTFO, y no únicamente la Categoría NT como lo realizó en su cálculo la Comisión</w:t>
      </w:r>
      <w:r w:rsidRPr="003F4709">
        <w:rPr>
          <w:i/>
          <w:iCs/>
          <w:sz w:val="20"/>
          <w:szCs w:val="20"/>
        </w:rPr>
        <w:t xml:space="preserve">.  </w:t>
      </w:r>
    </w:p>
    <w:p w14:paraId="39F824E8" w14:textId="66F0D20E" w:rsidR="00325B3C" w:rsidRDefault="00325B3C" w:rsidP="0061198C">
      <w:pPr>
        <w:spacing w:before="60" w:after="60"/>
        <w:ind w:left="284"/>
        <w:rPr>
          <w:i/>
          <w:iCs/>
          <w:sz w:val="20"/>
          <w:szCs w:val="20"/>
        </w:rPr>
      </w:pPr>
      <w:r w:rsidRPr="003F4709">
        <w:rPr>
          <w:i/>
          <w:iCs/>
          <w:sz w:val="20"/>
          <w:szCs w:val="20"/>
        </w:rPr>
        <w:t xml:space="preserve">5. </w:t>
      </w:r>
      <w:r w:rsidRPr="00E11EAD">
        <w:rPr>
          <w:i/>
          <w:iCs/>
          <w:sz w:val="20"/>
          <w:szCs w:val="20"/>
          <w:u w:val="single"/>
        </w:rPr>
        <w:t>La forma de reporte indujo una interpretación equivocada a la Comisión</w:t>
      </w:r>
      <w:r w:rsidRPr="003F4709">
        <w:rPr>
          <w:i/>
          <w:iCs/>
          <w:sz w:val="20"/>
          <w:szCs w:val="20"/>
        </w:rPr>
        <w:t xml:space="preserve">, al considerar únicamente los transformadores reportados en la Categoría NT sin sumar los reportados en la Categoría NTFO, en ese sentido en las Tabla 1 y Tabla 2 se informan los valores registrados en el documento CREG 018 de 2021 y los valores acumulados según lo indicado, CaribeMar, para los transformadores de nivel de tensión 1 y redes de nivel de tensión 1 respectivamente. </w:t>
      </w:r>
    </w:p>
    <w:p w14:paraId="3FB755A7" w14:textId="46DF11E2" w:rsidR="005A4E7B" w:rsidRDefault="005A4E7B" w:rsidP="0061198C">
      <w:pPr>
        <w:spacing w:before="60" w:after="60"/>
        <w:ind w:left="284"/>
        <w:rPr>
          <w:i/>
          <w:iCs/>
          <w:sz w:val="20"/>
          <w:szCs w:val="20"/>
        </w:rPr>
      </w:pPr>
      <w:r w:rsidRPr="005A4E7B">
        <w:rPr>
          <w:i/>
          <w:iCs/>
          <w:sz w:val="20"/>
          <w:szCs w:val="20"/>
        </w:rPr>
        <w:t>6. En ANEXO 1. “Inventario transformadores de nivel de tensión 1 CARIBEMAR (Corregido).xlsb” se reporta la información corregida a partir de entender la interpretación de la información por parte de la Comisión. En el archivo, en la categoría CRI corresponde a los transformadores que a 2007 se encontraban en el inventario independiente de si se encuentran actualmente o no en operación.</w:t>
      </w:r>
    </w:p>
    <w:p w14:paraId="76BDF14D" w14:textId="1B6E73B9" w:rsidR="005A4E7B" w:rsidRDefault="005A4E7B" w:rsidP="0061198C">
      <w:pPr>
        <w:spacing w:before="60" w:after="60"/>
        <w:ind w:left="284"/>
        <w:rPr>
          <w:i/>
          <w:iCs/>
          <w:sz w:val="20"/>
          <w:szCs w:val="20"/>
        </w:rPr>
      </w:pPr>
      <w:r w:rsidRPr="005A4E7B">
        <w:rPr>
          <w:i/>
          <w:iCs/>
          <w:sz w:val="20"/>
          <w:szCs w:val="20"/>
        </w:rPr>
        <w:t>B. Diferencia en la cantidad de transformadores asignados a la categoría transformadores puestos en operación en el p</w:t>
      </w:r>
      <w:r w:rsidR="0061198C">
        <w:rPr>
          <w:i/>
          <w:iCs/>
          <w:sz w:val="20"/>
          <w:szCs w:val="20"/>
        </w:rPr>
        <w:t>eríodo</w:t>
      </w:r>
      <w:r w:rsidRPr="005A4E7B">
        <w:rPr>
          <w:i/>
          <w:iCs/>
          <w:sz w:val="20"/>
          <w:szCs w:val="20"/>
        </w:rPr>
        <w:t xml:space="preserve"> 2008-2019 (Categoría NTN).  </w:t>
      </w:r>
    </w:p>
    <w:p w14:paraId="24325C0F" w14:textId="77777777" w:rsidR="005A4E7B" w:rsidRPr="003F4709" w:rsidRDefault="005A4E7B" w:rsidP="0061198C">
      <w:pPr>
        <w:spacing w:before="60" w:after="60"/>
        <w:ind w:left="284"/>
        <w:rPr>
          <w:i/>
          <w:iCs/>
          <w:sz w:val="20"/>
          <w:szCs w:val="20"/>
        </w:rPr>
      </w:pPr>
      <w:r w:rsidRPr="003F4709">
        <w:rPr>
          <w:i/>
          <w:iCs/>
          <w:sz w:val="20"/>
          <w:szCs w:val="20"/>
        </w:rPr>
        <w:t xml:space="preserve">1. En el archivo “Calculo ingresos D Caribemar.xlsx” en la hoja “Caribe_integrado” el número de transformadores en la Categoría NRN para Caribemar es de 3.559 unidades.  </w:t>
      </w:r>
    </w:p>
    <w:p w14:paraId="3B027362" w14:textId="77777777" w:rsidR="005A4E7B" w:rsidRPr="003F4709" w:rsidRDefault="005A4E7B" w:rsidP="0061198C">
      <w:pPr>
        <w:spacing w:before="60" w:after="60"/>
        <w:ind w:left="284"/>
        <w:rPr>
          <w:i/>
          <w:iCs/>
          <w:sz w:val="20"/>
          <w:szCs w:val="20"/>
        </w:rPr>
      </w:pPr>
      <w:r w:rsidRPr="003F4709">
        <w:rPr>
          <w:i/>
          <w:iCs/>
          <w:sz w:val="20"/>
          <w:szCs w:val="20"/>
        </w:rPr>
        <w:t xml:space="preserve">2. Sin embargo, en el archivo “Formato Activos nivel 1(05-02-2021).xlsb”, CaribeMar reportó en la hoja “Redes N1” un total de 6.262 unidades, con un RPP igual a cero, es decir de propiedad del OR. En la Tabla 3 los valores reportados.  </w:t>
      </w:r>
    </w:p>
    <w:p w14:paraId="68113876" w14:textId="77777777" w:rsidR="005A4E7B" w:rsidRDefault="005A4E7B" w:rsidP="0061198C">
      <w:pPr>
        <w:spacing w:before="60" w:after="60"/>
        <w:ind w:left="284"/>
        <w:rPr>
          <w:i/>
          <w:iCs/>
          <w:sz w:val="20"/>
          <w:szCs w:val="20"/>
        </w:rPr>
      </w:pPr>
      <w:r w:rsidRPr="003F4709">
        <w:rPr>
          <w:i/>
          <w:iCs/>
          <w:sz w:val="20"/>
          <w:szCs w:val="20"/>
        </w:rPr>
        <w:t xml:space="preserve">Tabla 3. Transformadores reportados para redes de nivel de tensión 1. </w:t>
      </w:r>
      <w:r>
        <w:rPr>
          <w:i/>
          <w:iCs/>
          <w:sz w:val="20"/>
          <w:szCs w:val="20"/>
        </w:rPr>
        <w:t>(…)</w:t>
      </w:r>
    </w:p>
    <w:p w14:paraId="5F1AD4FF" w14:textId="38B73173" w:rsidR="005A4E7B" w:rsidRDefault="005A4E7B" w:rsidP="0061198C">
      <w:pPr>
        <w:spacing w:before="60" w:after="60"/>
        <w:ind w:left="284"/>
        <w:rPr>
          <w:i/>
          <w:iCs/>
          <w:sz w:val="20"/>
          <w:szCs w:val="20"/>
        </w:rPr>
      </w:pPr>
      <w:r w:rsidRPr="003F4709">
        <w:rPr>
          <w:i/>
          <w:iCs/>
          <w:sz w:val="20"/>
          <w:szCs w:val="20"/>
        </w:rPr>
        <w:t>3. Caribemar se permite remitir el archivo ANEXO 2. “Formato Activos nivel 1(0502-2021).xlsb”, donde la Comisión puede constatar los valores indicados.</w:t>
      </w:r>
      <w:r>
        <w:rPr>
          <w:i/>
          <w:iCs/>
          <w:sz w:val="20"/>
          <w:szCs w:val="20"/>
        </w:rPr>
        <w:t xml:space="preserve"> (…)</w:t>
      </w:r>
    </w:p>
    <w:p w14:paraId="4ABF3E50" w14:textId="1871D66C" w:rsidR="000B49BE" w:rsidRDefault="000B49BE" w:rsidP="0061198C">
      <w:pPr>
        <w:spacing w:before="60" w:after="60"/>
        <w:ind w:left="284"/>
        <w:rPr>
          <w:i/>
          <w:iCs/>
          <w:sz w:val="20"/>
          <w:szCs w:val="20"/>
        </w:rPr>
      </w:pPr>
      <w:r>
        <w:rPr>
          <w:i/>
          <w:iCs/>
          <w:sz w:val="20"/>
          <w:szCs w:val="20"/>
        </w:rPr>
        <w:t>Subrayado fuera de texto</w:t>
      </w:r>
    </w:p>
    <w:p w14:paraId="7027FA2B" w14:textId="77777777" w:rsidR="00325B3C" w:rsidRDefault="00325B3C" w:rsidP="00325B3C">
      <w:pPr>
        <w:rPr>
          <w:highlight w:val="yellow"/>
        </w:rPr>
      </w:pPr>
      <w:r w:rsidRPr="00D87FDD">
        <w:rPr>
          <w:b/>
          <w:bCs/>
        </w:rPr>
        <w:t>Análisis de la Comisión</w:t>
      </w:r>
    </w:p>
    <w:p w14:paraId="48B54865" w14:textId="5244AC07" w:rsidR="00325B3C" w:rsidRDefault="00325B3C" w:rsidP="00325B3C">
      <w:r>
        <w:t>Tal como se señaló en el documento de soporte de la Resolución CREG 025 de 2021, en el caso de nivel de tensión 1, los transformadores en operación a diciembre de 2019 corresponden a aquellos que estaban en operación a diciembre de 2007</w:t>
      </w:r>
      <w:r w:rsidR="0061198C">
        <w:t>,</w:t>
      </w:r>
      <w:r>
        <w:t xml:space="preserve"> y fueron incluidos en los cargos actuales (categoría NT), más los transformadores en operación a diciembre de 2007 no reportados por el OR (categoría NTNI), menos los transformadores que salieron de operación en el p</w:t>
      </w:r>
      <w:r w:rsidR="0061198C">
        <w:t>eríodo</w:t>
      </w:r>
      <w:r>
        <w:t xml:space="preserve"> 2008 – 2019 (categoría NTFO), más los transformadores puestos en operación en el p</w:t>
      </w:r>
      <w:r w:rsidR="0061198C">
        <w:t>eríodo</w:t>
      </w:r>
      <w:r>
        <w:t xml:space="preserve"> 2008-2019 (categoría NTN). </w:t>
      </w:r>
    </w:p>
    <w:p w14:paraId="6DA71F6F" w14:textId="52200890" w:rsidR="00325B3C" w:rsidRDefault="00325B3C" w:rsidP="00325B3C">
      <w:r>
        <w:t xml:space="preserve">En la información </w:t>
      </w:r>
      <w:r w:rsidR="008B69FE">
        <w:t>d</w:t>
      </w:r>
      <w:r>
        <w:t xml:space="preserve">el archivo </w:t>
      </w:r>
      <w:r w:rsidRPr="008B69FE">
        <w:rPr>
          <w:i/>
          <w:iCs/>
        </w:rPr>
        <w:t>Formato activos Nivel 1(05-02-2021)</w:t>
      </w:r>
      <w:r w:rsidR="00AF038D">
        <w:t>.</w:t>
      </w:r>
      <w:r w:rsidRPr="0099314D">
        <w:rPr>
          <w:i/>
          <w:iCs/>
        </w:rPr>
        <w:t>xls</w:t>
      </w:r>
      <w:r>
        <w:rPr>
          <w:i/>
          <w:iCs/>
        </w:rPr>
        <w:t>b</w:t>
      </w:r>
      <w:r w:rsidRPr="0099314D">
        <w:t>,</w:t>
      </w:r>
      <w:r w:rsidRPr="007E7529">
        <w:t xml:space="preserve"> entregado </w:t>
      </w:r>
      <w:r>
        <w:t xml:space="preserve">por el OR en la comunicación con </w:t>
      </w:r>
      <w:r w:rsidRPr="007E7529">
        <w:t xml:space="preserve">radicado CREG </w:t>
      </w:r>
      <w:r w:rsidRPr="00E11EAD">
        <w:t>E</w:t>
      </w:r>
      <w:r>
        <w:noBreakHyphen/>
      </w:r>
      <w:r w:rsidRPr="00E11EAD">
        <w:t>202</w:t>
      </w:r>
      <w:r>
        <w:t>1</w:t>
      </w:r>
      <w:r>
        <w:noBreakHyphen/>
      </w:r>
      <w:r w:rsidRPr="00E11EAD">
        <w:t>0</w:t>
      </w:r>
      <w:r>
        <w:t>0</w:t>
      </w:r>
      <w:r w:rsidRPr="00E11EAD">
        <w:t>17</w:t>
      </w:r>
      <w:r>
        <w:t>6</w:t>
      </w:r>
      <w:r w:rsidRPr="00E11EAD">
        <w:t>3</w:t>
      </w:r>
      <w:r>
        <w:t xml:space="preserve">, se </w:t>
      </w:r>
      <w:r w:rsidR="008B69FE">
        <w:t xml:space="preserve">reportó </w:t>
      </w:r>
      <w:r>
        <w:t>la cantidad de transformadores</w:t>
      </w:r>
      <w:r w:rsidR="008B69FE">
        <w:t xml:space="preserve"> para cada categoría</w:t>
      </w:r>
      <w:r w:rsidR="0061198C">
        <w:t>. A</w:t>
      </w:r>
      <w:r>
        <w:t xml:space="preserve"> partir de esta información y aplicando la metodología </w:t>
      </w:r>
      <w:r w:rsidR="008B69FE">
        <w:t>de la resolución CREG 015 de 2018</w:t>
      </w:r>
      <w:r>
        <w:t xml:space="preserve"> se </w:t>
      </w:r>
      <w:r w:rsidR="008B69FE">
        <w:t xml:space="preserve">obtuvieron 38.514 </w:t>
      </w:r>
      <w:r>
        <w:t>transformadores en operación</w:t>
      </w:r>
      <w:r w:rsidR="008B69FE">
        <w:t>, c</w:t>
      </w:r>
      <w:r>
        <w:t>on base en estos valores se aprobó la Resolución CREG 025 de 2021.</w:t>
      </w:r>
    </w:p>
    <w:tbl>
      <w:tblPr>
        <w:tblW w:w="0" w:type="auto"/>
        <w:jc w:val="center"/>
        <w:tblCellMar>
          <w:top w:w="28" w:type="dxa"/>
          <w:left w:w="57" w:type="dxa"/>
          <w:bottom w:w="28" w:type="dxa"/>
          <w:right w:w="57" w:type="dxa"/>
        </w:tblCellMar>
        <w:tblLook w:val="04A0" w:firstRow="1" w:lastRow="0" w:firstColumn="1" w:lastColumn="0" w:noHBand="0" w:noVBand="1"/>
      </w:tblPr>
      <w:tblGrid>
        <w:gridCol w:w="2485"/>
        <w:gridCol w:w="1266"/>
      </w:tblGrid>
      <w:tr w:rsidR="00325B3C" w:rsidRPr="00700B7D" w14:paraId="2AD3A436" w14:textId="77777777" w:rsidTr="00274B76">
        <w:trPr>
          <w:trHeight w:val="20"/>
          <w:tblHeader/>
          <w:jc w:val="center"/>
        </w:trPr>
        <w:tc>
          <w:tcPr>
            <w:tcW w:w="2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DCFDF" w14:textId="77777777" w:rsidR="00325B3C" w:rsidRPr="00E11EAD" w:rsidRDefault="00325B3C" w:rsidP="00274B76">
            <w:pPr>
              <w:spacing w:before="0" w:after="0"/>
              <w:jc w:val="center"/>
              <w:rPr>
                <w:rFonts w:cs="Arial"/>
                <w:b/>
                <w:i/>
                <w:iCs/>
                <w:color w:val="000000"/>
                <w:sz w:val="20"/>
                <w:szCs w:val="20"/>
                <w:lang w:eastAsia="es-CO"/>
              </w:rPr>
            </w:pPr>
            <w:r w:rsidRPr="00E11EAD">
              <w:rPr>
                <w:rFonts w:cs="Arial"/>
                <w:b/>
                <w:i/>
                <w:iCs/>
                <w:color w:val="000000"/>
                <w:sz w:val="20"/>
                <w:szCs w:val="20"/>
                <w:lang w:eastAsia="es-CO"/>
              </w:rPr>
              <w:t>Categoría</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2CC833D" w14:textId="77777777" w:rsidR="00325B3C" w:rsidRPr="00E11EAD" w:rsidRDefault="00325B3C" w:rsidP="00274B76">
            <w:pPr>
              <w:spacing w:before="0" w:after="0"/>
              <w:jc w:val="center"/>
              <w:rPr>
                <w:rFonts w:cs="Arial"/>
                <w:b/>
                <w:i/>
                <w:iCs/>
                <w:color w:val="000000"/>
                <w:sz w:val="20"/>
                <w:szCs w:val="20"/>
                <w:lang w:eastAsia="es-CO"/>
              </w:rPr>
            </w:pPr>
            <w:r w:rsidRPr="00E11EAD">
              <w:rPr>
                <w:rFonts w:cs="Arial"/>
                <w:b/>
                <w:i/>
                <w:iCs/>
                <w:color w:val="000000"/>
                <w:sz w:val="20"/>
                <w:szCs w:val="20"/>
                <w:lang w:eastAsia="es-CO"/>
              </w:rPr>
              <w:t>Caribemar</w:t>
            </w:r>
          </w:p>
        </w:tc>
      </w:tr>
      <w:tr w:rsidR="00325B3C" w:rsidRPr="00242D27" w14:paraId="41C7918B" w14:textId="77777777" w:rsidTr="00274B76">
        <w:trPr>
          <w:trHeight w:val="20"/>
          <w:jc w:val="center"/>
        </w:trPr>
        <w:tc>
          <w:tcPr>
            <w:tcW w:w="2485" w:type="dxa"/>
            <w:tcBorders>
              <w:top w:val="nil"/>
              <w:left w:val="single" w:sz="4" w:space="0" w:color="auto"/>
              <w:bottom w:val="single" w:sz="4" w:space="0" w:color="auto"/>
              <w:right w:val="single" w:sz="4" w:space="0" w:color="auto"/>
            </w:tcBorders>
            <w:shd w:val="clear" w:color="auto" w:fill="auto"/>
            <w:vAlign w:val="center"/>
            <w:hideMark/>
          </w:tcPr>
          <w:p w14:paraId="144F7892" w14:textId="77777777" w:rsidR="00325B3C" w:rsidRPr="00242D27" w:rsidRDefault="00325B3C" w:rsidP="00274B76">
            <w:pPr>
              <w:spacing w:before="0" w:after="0"/>
              <w:jc w:val="left"/>
              <w:rPr>
                <w:rFonts w:cs="Arial"/>
                <w:bCs/>
                <w:i/>
                <w:iCs/>
                <w:color w:val="000000"/>
                <w:sz w:val="20"/>
                <w:szCs w:val="20"/>
                <w:lang w:eastAsia="es-CO"/>
              </w:rPr>
            </w:pPr>
            <w:r w:rsidRPr="00242D27">
              <w:rPr>
                <w:rFonts w:cs="Arial"/>
                <w:bCs/>
                <w:i/>
                <w:iCs/>
                <w:color w:val="000000"/>
                <w:sz w:val="20"/>
                <w:szCs w:val="20"/>
                <w:lang w:eastAsia="es-CO"/>
              </w:rPr>
              <w:t>NT</w:t>
            </w:r>
          </w:p>
        </w:tc>
        <w:tc>
          <w:tcPr>
            <w:tcW w:w="1266" w:type="dxa"/>
            <w:tcBorders>
              <w:top w:val="nil"/>
              <w:left w:val="nil"/>
              <w:bottom w:val="single" w:sz="4" w:space="0" w:color="auto"/>
              <w:right w:val="single" w:sz="4" w:space="0" w:color="auto"/>
            </w:tcBorders>
            <w:shd w:val="clear" w:color="auto" w:fill="auto"/>
            <w:noWrap/>
            <w:vAlign w:val="bottom"/>
            <w:hideMark/>
          </w:tcPr>
          <w:p w14:paraId="47D1416B" w14:textId="77777777" w:rsidR="00325B3C" w:rsidRPr="00242D27" w:rsidRDefault="00325B3C" w:rsidP="00274B76">
            <w:pPr>
              <w:spacing w:before="0" w:after="0"/>
              <w:jc w:val="right"/>
              <w:rPr>
                <w:rFonts w:cs="Arial"/>
                <w:bCs/>
                <w:i/>
                <w:iCs/>
                <w:sz w:val="20"/>
                <w:szCs w:val="20"/>
                <w:lang w:eastAsia="es-CO"/>
              </w:rPr>
            </w:pPr>
            <w:r w:rsidRPr="00242D27">
              <w:rPr>
                <w:rFonts w:cs="Arial"/>
                <w:bCs/>
                <w:i/>
                <w:iCs/>
                <w:sz w:val="20"/>
                <w:szCs w:val="20"/>
                <w:lang w:eastAsia="es-CO"/>
              </w:rPr>
              <w:t>33.710</w:t>
            </w:r>
          </w:p>
        </w:tc>
      </w:tr>
      <w:tr w:rsidR="00325B3C" w:rsidRPr="00242D27" w14:paraId="56CD7A6A" w14:textId="77777777" w:rsidTr="00274B76">
        <w:trPr>
          <w:trHeight w:val="20"/>
          <w:jc w:val="center"/>
        </w:trPr>
        <w:tc>
          <w:tcPr>
            <w:tcW w:w="2485" w:type="dxa"/>
            <w:tcBorders>
              <w:top w:val="nil"/>
              <w:left w:val="single" w:sz="4" w:space="0" w:color="auto"/>
              <w:bottom w:val="single" w:sz="4" w:space="0" w:color="auto"/>
              <w:right w:val="single" w:sz="4" w:space="0" w:color="auto"/>
            </w:tcBorders>
            <w:shd w:val="clear" w:color="auto" w:fill="auto"/>
            <w:vAlign w:val="center"/>
            <w:hideMark/>
          </w:tcPr>
          <w:p w14:paraId="20275C03" w14:textId="77777777" w:rsidR="00325B3C" w:rsidRPr="00242D27" w:rsidRDefault="00325B3C" w:rsidP="00274B76">
            <w:pPr>
              <w:spacing w:before="0" w:after="0"/>
              <w:jc w:val="left"/>
              <w:rPr>
                <w:rFonts w:cs="Arial"/>
                <w:bCs/>
                <w:i/>
                <w:iCs/>
                <w:color w:val="000000"/>
                <w:sz w:val="20"/>
                <w:szCs w:val="20"/>
                <w:lang w:eastAsia="es-CO"/>
              </w:rPr>
            </w:pPr>
            <w:r w:rsidRPr="00242D27">
              <w:rPr>
                <w:rFonts w:cs="Arial"/>
                <w:bCs/>
                <w:i/>
                <w:iCs/>
                <w:color w:val="000000"/>
                <w:sz w:val="20"/>
                <w:szCs w:val="20"/>
                <w:lang w:eastAsia="es-CO"/>
              </w:rPr>
              <w:t>NTFO</w:t>
            </w:r>
          </w:p>
        </w:tc>
        <w:tc>
          <w:tcPr>
            <w:tcW w:w="1266" w:type="dxa"/>
            <w:tcBorders>
              <w:top w:val="nil"/>
              <w:left w:val="nil"/>
              <w:bottom w:val="single" w:sz="4" w:space="0" w:color="auto"/>
              <w:right w:val="single" w:sz="4" w:space="0" w:color="auto"/>
            </w:tcBorders>
            <w:shd w:val="clear" w:color="auto" w:fill="auto"/>
            <w:noWrap/>
            <w:vAlign w:val="bottom"/>
            <w:hideMark/>
          </w:tcPr>
          <w:p w14:paraId="2101A2C1" w14:textId="77777777" w:rsidR="00325B3C" w:rsidRPr="00242D27" w:rsidRDefault="00325B3C" w:rsidP="00274B76">
            <w:pPr>
              <w:spacing w:before="0" w:after="0"/>
              <w:jc w:val="right"/>
              <w:rPr>
                <w:rFonts w:cs="Arial"/>
                <w:bCs/>
                <w:i/>
                <w:iCs/>
                <w:sz w:val="20"/>
                <w:szCs w:val="20"/>
                <w:lang w:eastAsia="es-CO"/>
              </w:rPr>
            </w:pPr>
            <w:r w:rsidRPr="00242D27">
              <w:rPr>
                <w:rFonts w:cs="Arial"/>
                <w:bCs/>
                <w:i/>
                <w:iCs/>
                <w:sz w:val="20"/>
                <w:szCs w:val="20"/>
                <w:lang w:eastAsia="es-CO"/>
              </w:rPr>
              <w:t>5.666</w:t>
            </w:r>
          </w:p>
        </w:tc>
      </w:tr>
      <w:tr w:rsidR="00325B3C" w:rsidRPr="00242D27" w14:paraId="7EEB05C7" w14:textId="77777777" w:rsidTr="00274B76">
        <w:trPr>
          <w:trHeight w:val="20"/>
          <w:jc w:val="center"/>
        </w:trPr>
        <w:tc>
          <w:tcPr>
            <w:tcW w:w="2485" w:type="dxa"/>
            <w:tcBorders>
              <w:top w:val="nil"/>
              <w:left w:val="single" w:sz="4" w:space="0" w:color="auto"/>
              <w:bottom w:val="single" w:sz="4" w:space="0" w:color="auto"/>
              <w:right w:val="single" w:sz="4" w:space="0" w:color="auto"/>
            </w:tcBorders>
            <w:shd w:val="clear" w:color="auto" w:fill="auto"/>
            <w:vAlign w:val="center"/>
            <w:hideMark/>
          </w:tcPr>
          <w:p w14:paraId="23DE061B" w14:textId="77777777" w:rsidR="00325B3C" w:rsidRPr="00242D27" w:rsidRDefault="00325B3C" w:rsidP="00274B76">
            <w:pPr>
              <w:spacing w:before="0" w:after="0"/>
              <w:jc w:val="left"/>
              <w:rPr>
                <w:rFonts w:cs="Arial"/>
                <w:bCs/>
                <w:i/>
                <w:iCs/>
                <w:color w:val="000000"/>
                <w:sz w:val="20"/>
                <w:szCs w:val="20"/>
                <w:lang w:eastAsia="es-CO"/>
              </w:rPr>
            </w:pPr>
            <w:r w:rsidRPr="00242D27">
              <w:rPr>
                <w:rFonts w:cs="Arial"/>
                <w:bCs/>
                <w:i/>
                <w:iCs/>
                <w:color w:val="000000"/>
                <w:sz w:val="20"/>
                <w:szCs w:val="20"/>
                <w:lang w:eastAsia="es-CO"/>
              </w:rPr>
              <w:t>NTNI</w:t>
            </w:r>
          </w:p>
        </w:tc>
        <w:tc>
          <w:tcPr>
            <w:tcW w:w="1266" w:type="dxa"/>
            <w:tcBorders>
              <w:top w:val="nil"/>
              <w:left w:val="nil"/>
              <w:bottom w:val="single" w:sz="4" w:space="0" w:color="auto"/>
              <w:right w:val="single" w:sz="4" w:space="0" w:color="auto"/>
            </w:tcBorders>
            <w:shd w:val="clear" w:color="auto" w:fill="auto"/>
            <w:noWrap/>
            <w:vAlign w:val="bottom"/>
            <w:hideMark/>
          </w:tcPr>
          <w:p w14:paraId="179D0C3C" w14:textId="77777777" w:rsidR="00325B3C" w:rsidRPr="00242D27" w:rsidRDefault="00325B3C" w:rsidP="00274B76">
            <w:pPr>
              <w:spacing w:before="0" w:after="0"/>
              <w:jc w:val="right"/>
              <w:rPr>
                <w:rFonts w:cs="Arial"/>
                <w:bCs/>
                <w:i/>
                <w:iCs/>
                <w:sz w:val="20"/>
                <w:szCs w:val="20"/>
                <w:lang w:eastAsia="es-CO"/>
              </w:rPr>
            </w:pPr>
            <w:r w:rsidRPr="00242D27">
              <w:rPr>
                <w:rFonts w:cs="Arial"/>
                <w:bCs/>
                <w:i/>
                <w:iCs/>
                <w:sz w:val="20"/>
                <w:szCs w:val="20"/>
                <w:lang w:eastAsia="es-CO"/>
              </w:rPr>
              <w:t>42</w:t>
            </w:r>
          </w:p>
        </w:tc>
      </w:tr>
      <w:tr w:rsidR="00325B3C" w:rsidRPr="00242D27" w14:paraId="620B996E" w14:textId="77777777" w:rsidTr="00274B76">
        <w:trPr>
          <w:trHeight w:val="20"/>
          <w:jc w:val="center"/>
        </w:trPr>
        <w:tc>
          <w:tcPr>
            <w:tcW w:w="2485" w:type="dxa"/>
            <w:tcBorders>
              <w:top w:val="nil"/>
              <w:left w:val="single" w:sz="4" w:space="0" w:color="auto"/>
              <w:bottom w:val="single" w:sz="4" w:space="0" w:color="auto"/>
              <w:right w:val="single" w:sz="4" w:space="0" w:color="auto"/>
            </w:tcBorders>
            <w:shd w:val="clear" w:color="auto" w:fill="auto"/>
            <w:vAlign w:val="center"/>
            <w:hideMark/>
          </w:tcPr>
          <w:p w14:paraId="19499509" w14:textId="77777777" w:rsidR="00325B3C" w:rsidRPr="00242D27" w:rsidRDefault="00325B3C" w:rsidP="00274B76">
            <w:pPr>
              <w:spacing w:before="0" w:after="0"/>
              <w:jc w:val="left"/>
              <w:rPr>
                <w:rFonts w:cs="Arial"/>
                <w:bCs/>
                <w:i/>
                <w:iCs/>
                <w:color w:val="000000"/>
                <w:sz w:val="20"/>
                <w:szCs w:val="20"/>
                <w:lang w:eastAsia="es-CO"/>
              </w:rPr>
            </w:pPr>
            <w:r w:rsidRPr="00242D27">
              <w:rPr>
                <w:rFonts w:cs="Arial"/>
                <w:bCs/>
                <w:i/>
                <w:iCs/>
                <w:color w:val="000000"/>
                <w:sz w:val="20"/>
                <w:szCs w:val="20"/>
                <w:lang w:eastAsia="es-CO"/>
              </w:rPr>
              <w:t>NTN</w:t>
            </w:r>
          </w:p>
        </w:tc>
        <w:tc>
          <w:tcPr>
            <w:tcW w:w="1266" w:type="dxa"/>
            <w:tcBorders>
              <w:top w:val="nil"/>
              <w:left w:val="nil"/>
              <w:bottom w:val="single" w:sz="4" w:space="0" w:color="auto"/>
              <w:right w:val="single" w:sz="4" w:space="0" w:color="auto"/>
            </w:tcBorders>
            <w:shd w:val="clear" w:color="auto" w:fill="auto"/>
            <w:noWrap/>
            <w:vAlign w:val="bottom"/>
            <w:hideMark/>
          </w:tcPr>
          <w:p w14:paraId="36E749EB" w14:textId="77777777" w:rsidR="00325B3C" w:rsidRPr="00242D27" w:rsidRDefault="00325B3C" w:rsidP="00274B76">
            <w:pPr>
              <w:spacing w:before="0" w:after="0"/>
              <w:jc w:val="right"/>
              <w:rPr>
                <w:rFonts w:cs="Arial"/>
                <w:bCs/>
                <w:i/>
                <w:iCs/>
                <w:sz w:val="20"/>
                <w:szCs w:val="20"/>
                <w:lang w:eastAsia="es-CO"/>
              </w:rPr>
            </w:pPr>
            <w:r w:rsidRPr="00242D27">
              <w:rPr>
                <w:rFonts w:cs="Arial"/>
                <w:bCs/>
                <w:i/>
                <w:iCs/>
                <w:sz w:val="20"/>
                <w:szCs w:val="20"/>
                <w:lang w:eastAsia="es-CO"/>
              </w:rPr>
              <w:t>10.428</w:t>
            </w:r>
          </w:p>
        </w:tc>
      </w:tr>
      <w:tr w:rsidR="00325B3C" w:rsidRPr="00242D27" w14:paraId="3214D360" w14:textId="77777777" w:rsidTr="00274B76">
        <w:trPr>
          <w:trHeight w:val="20"/>
          <w:jc w:val="center"/>
        </w:trPr>
        <w:tc>
          <w:tcPr>
            <w:tcW w:w="2485" w:type="dxa"/>
            <w:tcBorders>
              <w:top w:val="nil"/>
              <w:left w:val="single" w:sz="4" w:space="0" w:color="auto"/>
              <w:bottom w:val="single" w:sz="4" w:space="0" w:color="auto"/>
              <w:right w:val="single" w:sz="4" w:space="0" w:color="auto"/>
            </w:tcBorders>
            <w:shd w:val="clear" w:color="auto" w:fill="auto"/>
            <w:vAlign w:val="center"/>
            <w:hideMark/>
          </w:tcPr>
          <w:p w14:paraId="720A01BA" w14:textId="77777777" w:rsidR="00325B3C" w:rsidRPr="00242D27" w:rsidRDefault="00325B3C" w:rsidP="00274B76">
            <w:pPr>
              <w:spacing w:before="0" w:after="0"/>
              <w:jc w:val="left"/>
              <w:rPr>
                <w:rFonts w:cs="Arial"/>
                <w:bCs/>
                <w:i/>
                <w:iCs/>
                <w:color w:val="000000"/>
                <w:sz w:val="20"/>
                <w:szCs w:val="20"/>
                <w:lang w:eastAsia="es-CO"/>
              </w:rPr>
            </w:pPr>
            <w:r w:rsidRPr="00242D27">
              <w:rPr>
                <w:rFonts w:cs="Arial"/>
                <w:bCs/>
                <w:i/>
                <w:iCs/>
                <w:color w:val="000000"/>
                <w:sz w:val="20"/>
                <w:szCs w:val="20"/>
                <w:lang w:eastAsia="es-CO"/>
              </w:rPr>
              <w:t>NT-NTFO+NTNI+NTN</w:t>
            </w:r>
          </w:p>
        </w:tc>
        <w:tc>
          <w:tcPr>
            <w:tcW w:w="1266" w:type="dxa"/>
            <w:tcBorders>
              <w:top w:val="nil"/>
              <w:left w:val="nil"/>
              <w:bottom w:val="single" w:sz="4" w:space="0" w:color="auto"/>
              <w:right w:val="single" w:sz="4" w:space="0" w:color="auto"/>
            </w:tcBorders>
            <w:shd w:val="clear" w:color="auto" w:fill="auto"/>
            <w:noWrap/>
            <w:vAlign w:val="bottom"/>
            <w:hideMark/>
          </w:tcPr>
          <w:p w14:paraId="04F12493" w14:textId="77777777" w:rsidR="00325B3C" w:rsidRPr="00242D27" w:rsidRDefault="00325B3C" w:rsidP="00274B76">
            <w:pPr>
              <w:spacing w:before="0" w:after="0"/>
              <w:jc w:val="right"/>
              <w:rPr>
                <w:rFonts w:cs="Arial"/>
                <w:bCs/>
                <w:i/>
                <w:iCs/>
                <w:sz w:val="20"/>
                <w:szCs w:val="20"/>
                <w:lang w:eastAsia="es-CO"/>
              </w:rPr>
            </w:pPr>
            <w:r w:rsidRPr="00242D27">
              <w:rPr>
                <w:rFonts w:cs="Arial"/>
                <w:bCs/>
                <w:i/>
                <w:iCs/>
                <w:sz w:val="20"/>
                <w:szCs w:val="20"/>
                <w:lang w:eastAsia="es-CO"/>
              </w:rPr>
              <w:t>38.514</w:t>
            </w:r>
          </w:p>
        </w:tc>
      </w:tr>
    </w:tbl>
    <w:p w14:paraId="63FDD7A6" w14:textId="31F54A9D" w:rsidR="00325B3C" w:rsidRDefault="00325B3C" w:rsidP="00325B3C">
      <w:r>
        <w:t>De acuerdo con las aclaraciones presentadas en el recurso de reposición se entiende que el valor de transformadores en la categoría NT, que fue reportado por el OR durante la actuación administrativa, es incorrecto</w:t>
      </w:r>
      <w:r w:rsidR="0061198C">
        <w:t>,</w:t>
      </w:r>
      <w:r>
        <w:t xml:space="preserve"> al no incluir la totalidad de transformadores que se encontraban en operación a diciembre de 2007. </w:t>
      </w:r>
    </w:p>
    <w:p w14:paraId="7C64F71F" w14:textId="24D01F97" w:rsidR="00325B3C" w:rsidRDefault="00325B3C" w:rsidP="00325B3C">
      <w:r>
        <w:t xml:space="preserve">Con base en lo anterior, se ajusta la información de los transformadores de la categoría </w:t>
      </w:r>
      <w:r w:rsidRPr="005A4E7B">
        <w:rPr>
          <w:i/>
          <w:iCs/>
        </w:rPr>
        <w:t>NT</w:t>
      </w:r>
      <w:r>
        <w:t xml:space="preserve">, incluyendo los transformadores de la categoría </w:t>
      </w:r>
      <w:r w:rsidRPr="005A4E7B">
        <w:rPr>
          <w:i/>
          <w:iCs/>
        </w:rPr>
        <w:t>NTFO</w:t>
      </w:r>
      <w:r>
        <w:t xml:space="preserve">, </w:t>
      </w:r>
      <w:r w:rsidR="008B69FE">
        <w:t xml:space="preserve">bajo el </w:t>
      </w:r>
      <w:r>
        <w:t>entendi</w:t>
      </w:r>
      <w:r w:rsidR="008B69FE">
        <w:t>do</w:t>
      </w:r>
      <w:r>
        <w:t xml:space="preserve"> que estos estaban en operación en el 2007 y que salieron de operación a partir del 2008, de acuerdo con la aclaración suministrada por el OR.   </w:t>
      </w:r>
    </w:p>
    <w:p w14:paraId="1585E66D" w14:textId="0689D99E" w:rsidR="00325B3C" w:rsidRDefault="00325B3C" w:rsidP="00325B3C">
      <w:r>
        <w:t xml:space="preserve">En el caso de las redes de distribución se verificó que en la categoría </w:t>
      </w:r>
      <w:r w:rsidRPr="005A4E7B">
        <w:rPr>
          <w:i/>
          <w:iCs/>
        </w:rPr>
        <w:t>CRIN</w:t>
      </w:r>
      <w:r>
        <w:t xml:space="preserve"> se encuentran reportadas</w:t>
      </w:r>
      <w:r w:rsidR="000B49BE">
        <w:t xml:space="preserve"> 8.965 redes de las cuales, </w:t>
      </w:r>
      <w:r>
        <w:t>de acuerdo con el valor de campo RPP del formato de activos de nivel de tensión 1, 2</w:t>
      </w:r>
      <w:r w:rsidR="000B49BE">
        <w:t>.</w:t>
      </w:r>
      <w:r>
        <w:t xml:space="preserve">703 corresponden a redes construidas con recursos públicos y 6.262 con </w:t>
      </w:r>
      <w:r w:rsidR="000B49BE">
        <w:t xml:space="preserve">otros recursos. Se verificó que en la Resolución CREG 025 se restó dos veces el valor de transformadores construidos con recursos públicos. </w:t>
      </w:r>
    </w:p>
    <w:p w14:paraId="716E2FE1" w14:textId="2E8F8A45" w:rsidR="000B49BE" w:rsidRDefault="000B49BE" w:rsidP="00325B3C">
      <w:r>
        <w:t>Con base en lo anterior</w:t>
      </w:r>
      <w:r w:rsidR="0061198C">
        <w:t>,</w:t>
      </w:r>
      <w:r>
        <w:t xml:space="preserve"> se ajusta el valor de los transformadores y redes en la categoría CRI a 39.376</w:t>
      </w:r>
      <w:r w:rsidR="0061198C">
        <w:t>. I</w:t>
      </w:r>
      <w:r>
        <w:t>gualmente</w:t>
      </w:r>
      <w:r w:rsidR="0061198C">
        <w:t>,</w:t>
      </w:r>
      <w:r>
        <w:t xml:space="preserve"> se ajusta la cantidad de redes en la categoría CRI a 6.262.</w:t>
      </w:r>
    </w:p>
    <w:p w14:paraId="148B62CA" w14:textId="7FAFE9AB" w:rsidR="005A4E7B" w:rsidRDefault="005A4E7B" w:rsidP="00325B3C">
      <w:r>
        <w:rPr>
          <w:b/>
          <w:bCs/>
        </w:rPr>
        <w:t>Primera solicitud, numeral 3</w:t>
      </w:r>
    </w:p>
    <w:p w14:paraId="27B46484" w14:textId="735B074F" w:rsidR="005A4E7B" w:rsidRDefault="00FE775A" w:rsidP="0061198C">
      <w:pPr>
        <w:spacing w:before="60" w:after="60"/>
        <w:ind w:left="284"/>
        <w:rPr>
          <w:i/>
          <w:iCs/>
          <w:sz w:val="20"/>
          <w:szCs w:val="20"/>
        </w:rPr>
      </w:pPr>
      <w:r w:rsidRPr="00FE775A">
        <w:rPr>
          <w:i/>
          <w:iCs/>
          <w:sz w:val="20"/>
          <w:szCs w:val="20"/>
        </w:rPr>
        <w:t xml:space="preserve">3. </w:t>
      </w:r>
      <w:r w:rsidRPr="003F4709">
        <w:rPr>
          <w:i/>
          <w:iCs/>
          <w:sz w:val="20"/>
          <w:szCs w:val="20"/>
          <w:u w:val="single"/>
        </w:rPr>
        <w:t>Validar y corregir que el valor aportado por los OR en las variables de Costo de Reposición de Inversión (CRI) a corte de 2017, en total y por nivel de tensión corresponda con el aprobado a Electricaribe en la Resolución CREG 110 de 2009</w:t>
      </w:r>
      <w:r w:rsidRPr="00FE775A">
        <w:rPr>
          <w:i/>
          <w:iCs/>
          <w:sz w:val="20"/>
          <w:szCs w:val="20"/>
        </w:rPr>
        <w:t>.</w:t>
      </w:r>
    </w:p>
    <w:p w14:paraId="425FB591" w14:textId="46FF54F9" w:rsidR="005A4E7B" w:rsidRDefault="005A4E7B" w:rsidP="005A4E7B">
      <w:pPr>
        <w:rPr>
          <w:b/>
          <w:bCs/>
        </w:rPr>
      </w:pPr>
      <w:r>
        <w:rPr>
          <w:b/>
          <w:bCs/>
        </w:rPr>
        <w:t>Análisis de la Comisión</w:t>
      </w:r>
    </w:p>
    <w:p w14:paraId="252B365F" w14:textId="51BE43F5" w:rsidR="000D2040" w:rsidRDefault="0000141F" w:rsidP="005A4E7B">
      <w:r>
        <w:t>S</w:t>
      </w:r>
      <w:r w:rsidR="000D2040">
        <w:t xml:space="preserve">e aclara que con </w:t>
      </w:r>
      <w:r>
        <w:t xml:space="preserve">el </w:t>
      </w:r>
      <w:r w:rsidR="000D2040">
        <w:t xml:space="preserve">reporte de la información de nivel de tensión 1 </w:t>
      </w:r>
      <w:r>
        <w:t xml:space="preserve">realizado </w:t>
      </w:r>
      <w:r w:rsidR="000D2040">
        <w:t xml:space="preserve">por los OR de los mercados resultantes durante el proceso de expedición de las resoluciones de aprobación de ingresos, </w:t>
      </w:r>
      <w:r>
        <w:t xml:space="preserve">fue </w:t>
      </w:r>
      <w:r w:rsidR="000D2040">
        <w:t>necesario hacer un ajuste de los valores iniciales del mercado integrado</w:t>
      </w:r>
      <w:r w:rsidR="0061198C">
        <w:t>,</w:t>
      </w:r>
      <w:r w:rsidR="000D2040">
        <w:t xml:space="preserve"> con el objetivo de mantener los criterios de aplicación de la metodología de remuneración. </w:t>
      </w:r>
    </w:p>
    <w:p w14:paraId="4C6BC11A" w14:textId="0B41F542" w:rsidR="005A4E7B" w:rsidRPr="005A4E7B" w:rsidRDefault="000D2040" w:rsidP="005A4E7B">
      <w:r>
        <w:t>No obstante, con las aclaraciones entregadas por los OR en los recursos de reposición</w:t>
      </w:r>
      <w:r w:rsidR="0061198C">
        <w:t>,</w:t>
      </w:r>
      <w:r>
        <w:t xml:space="preserve"> se evidenció que existía un error en el reporte inicial</w:t>
      </w:r>
      <w:r w:rsidR="0000141F">
        <w:t xml:space="preserve"> presentado</w:t>
      </w:r>
      <w:r>
        <w:t>, el cual, una vez corregido</w:t>
      </w:r>
      <w:r w:rsidR="0061198C">
        <w:t>,</w:t>
      </w:r>
      <w:r w:rsidR="0000141F">
        <w:t xml:space="preserve"> hace que no se requiera </w:t>
      </w:r>
      <w:r>
        <w:t xml:space="preserve">ajustar los valores iniciales del mercado integrado de Electricaribe. </w:t>
      </w:r>
    </w:p>
    <w:p w14:paraId="46098327" w14:textId="08C4D348" w:rsidR="000D2040" w:rsidRPr="005A4E7B" w:rsidRDefault="000D2040" w:rsidP="005A4E7B">
      <w:pPr>
        <w:rPr>
          <w:b/>
          <w:bCs/>
          <w:i/>
          <w:iCs/>
          <w:sz w:val="20"/>
          <w:szCs w:val="20"/>
        </w:rPr>
      </w:pPr>
      <w:r>
        <w:rPr>
          <w:b/>
          <w:bCs/>
        </w:rPr>
        <w:t>Primera solicitud, numeral 4</w:t>
      </w:r>
    </w:p>
    <w:p w14:paraId="33513662" w14:textId="47581636" w:rsidR="00FE775A" w:rsidRDefault="00FE775A" w:rsidP="0061198C">
      <w:pPr>
        <w:spacing w:before="60" w:after="60"/>
        <w:ind w:left="284"/>
        <w:rPr>
          <w:i/>
          <w:iCs/>
          <w:sz w:val="20"/>
          <w:szCs w:val="20"/>
        </w:rPr>
      </w:pPr>
      <w:r w:rsidRPr="00FE775A">
        <w:rPr>
          <w:i/>
          <w:iCs/>
          <w:sz w:val="20"/>
          <w:szCs w:val="20"/>
        </w:rPr>
        <w:t xml:space="preserve">4. </w:t>
      </w:r>
      <w:bookmarkStart w:id="0" w:name="OLE_LINK1"/>
      <w:r w:rsidRPr="003F4709">
        <w:rPr>
          <w:i/>
          <w:iCs/>
          <w:sz w:val="20"/>
          <w:szCs w:val="20"/>
          <w:u w:val="single"/>
        </w:rPr>
        <w:t xml:space="preserve">Mantener la distribución del valor implícito de los activos (CRIIj,n,l) de Electricaribe </w:t>
      </w:r>
      <w:bookmarkEnd w:id="0"/>
      <w:r w:rsidRPr="003F4709">
        <w:rPr>
          <w:i/>
          <w:iCs/>
          <w:sz w:val="20"/>
          <w:szCs w:val="20"/>
          <w:u w:val="single"/>
        </w:rPr>
        <w:t>con base a los inventarios aportados por el anterior OR Electricaribe</w:t>
      </w:r>
      <w:r w:rsidRPr="00FE775A">
        <w:rPr>
          <w:i/>
          <w:iCs/>
          <w:sz w:val="20"/>
          <w:szCs w:val="20"/>
        </w:rPr>
        <w:t xml:space="preserve"> para cada uno de los mercados resultantes. </w:t>
      </w:r>
      <w:r w:rsidR="000D2040">
        <w:rPr>
          <w:i/>
          <w:iCs/>
          <w:sz w:val="20"/>
          <w:szCs w:val="20"/>
        </w:rPr>
        <w:t>(…)</w:t>
      </w:r>
    </w:p>
    <w:p w14:paraId="7F57B53F" w14:textId="77777777" w:rsidR="000D2040" w:rsidRPr="000D2040" w:rsidRDefault="000D2040" w:rsidP="0061198C">
      <w:pPr>
        <w:spacing w:before="60" w:after="60"/>
        <w:ind w:left="284"/>
        <w:rPr>
          <w:i/>
          <w:iCs/>
          <w:sz w:val="20"/>
          <w:szCs w:val="20"/>
        </w:rPr>
      </w:pPr>
      <w:r w:rsidRPr="000D2040">
        <w:rPr>
          <w:i/>
          <w:iCs/>
          <w:sz w:val="20"/>
          <w:szCs w:val="20"/>
        </w:rPr>
        <w:t xml:space="preserve">C. Distribución del valor implícito entre los OR.  </w:t>
      </w:r>
    </w:p>
    <w:p w14:paraId="62D135AF" w14:textId="77777777" w:rsidR="000D2040" w:rsidRPr="000D2040" w:rsidRDefault="000D2040" w:rsidP="0061198C">
      <w:pPr>
        <w:spacing w:before="60" w:after="60"/>
        <w:ind w:left="284"/>
        <w:rPr>
          <w:i/>
          <w:iCs/>
          <w:sz w:val="20"/>
          <w:szCs w:val="20"/>
        </w:rPr>
      </w:pPr>
      <w:r w:rsidRPr="000D2040">
        <w:rPr>
          <w:i/>
          <w:iCs/>
          <w:sz w:val="20"/>
          <w:szCs w:val="20"/>
        </w:rPr>
        <w:t xml:space="preserve">1. Efecto en la distribución de la base implícita de Electricaribe con base en las actualizaciones del inventario aportado por Electricaribe a cada uno de los nuevos OR que atienden el mercado en su remplazo, durante las actuaciones administrativas.  </w:t>
      </w:r>
    </w:p>
    <w:p w14:paraId="0F0567E6" w14:textId="77777777" w:rsidR="000D2040" w:rsidRPr="000D2040" w:rsidRDefault="000D2040" w:rsidP="0061198C">
      <w:pPr>
        <w:spacing w:before="60" w:after="60"/>
        <w:ind w:left="284"/>
        <w:rPr>
          <w:i/>
          <w:iCs/>
          <w:sz w:val="20"/>
          <w:szCs w:val="20"/>
        </w:rPr>
      </w:pPr>
      <w:r w:rsidRPr="000D2040">
        <w:rPr>
          <w:i/>
          <w:iCs/>
          <w:sz w:val="20"/>
          <w:szCs w:val="20"/>
        </w:rPr>
        <w:t xml:space="preserve">• Conforme lo establece la Resolución CREG 010 de 2020 en su artículo 7, el valor implícito de los activos (CRIIj,n,l) correspondiente al mercado caribe, será distribuido entre los mercados resultantes con base en los activos en operación que cada uno de los mercados resultantes reporten.  </w:t>
      </w:r>
    </w:p>
    <w:p w14:paraId="02DC75B2" w14:textId="6F97DFEF" w:rsidR="000D2040" w:rsidRPr="000D2040" w:rsidRDefault="000D2040" w:rsidP="0061198C">
      <w:pPr>
        <w:spacing w:before="60" w:after="60"/>
        <w:ind w:left="567"/>
        <w:rPr>
          <w:i/>
          <w:iCs/>
          <w:sz w:val="20"/>
          <w:szCs w:val="20"/>
        </w:rPr>
      </w:pPr>
      <w:r w:rsidRPr="000D2040">
        <w:rPr>
          <w:i/>
          <w:iCs/>
          <w:sz w:val="20"/>
          <w:szCs w:val="20"/>
        </w:rPr>
        <w:t>“Artículo 7. Cálculo de valor implícito. Para la aplicación de la metodología establecida en la Resolución CREG 015 de 2018 en los mercados resultantes y para el régimen transitorio especial definido en</w:t>
      </w:r>
      <w:r>
        <w:rPr>
          <w:i/>
          <w:iCs/>
          <w:sz w:val="20"/>
          <w:szCs w:val="20"/>
        </w:rPr>
        <w:t xml:space="preserve"> </w:t>
      </w:r>
      <w:r w:rsidRPr="000D2040">
        <w:rPr>
          <w:i/>
          <w:iCs/>
          <w:sz w:val="20"/>
          <w:szCs w:val="20"/>
        </w:rPr>
        <w:t xml:space="preserve">la presente resolución, para el cálculo de la variable CRIIj,n,l se utilizará el valor correspondiente al mercado caribe, distribuido según los activos en operación a la fecha de corte de cada uno de los mercados resultantes.”  </w:t>
      </w:r>
    </w:p>
    <w:p w14:paraId="5E9BF00D" w14:textId="77777777" w:rsidR="000D2040" w:rsidRPr="000D2040" w:rsidRDefault="000D2040" w:rsidP="0061198C">
      <w:pPr>
        <w:spacing w:before="60" w:after="60"/>
        <w:ind w:left="284"/>
        <w:rPr>
          <w:i/>
          <w:iCs/>
          <w:sz w:val="20"/>
          <w:szCs w:val="20"/>
        </w:rPr>
      </w:pPr>
      <w:r w:rsidRPr="000D2040">
        <w:rPr>
          <w:i/>
          <w:iCs/>
          <w:sz w:val="20"/>
          <w:szCs w:val="20"/>
        </w:rPr>
        <w:t xml:space="preserve">• </w:t>
      </w:r>
      <w:r w:rsidRPr="006B1054">
        <w:rPr>
          <w:i/>
          <w:iCs/>
          <w:sz w:val="20"/>
          <w:szCs w:val="20"/>
          <w:u w:val="single"/>
        </w:rPr>
        <w:t>Dentro de la actuación administrativa las empresas actualizaron los inventarios de forma diferente, lo que dio origen al crecimiento o permanencia del inventario</w:t>
      </w:r>
      <w:r w:rsidRPr="000D2040">
        <w:rPr>
          <w:i/>
          <w:iCs/>
          <w:sz w:val="20"/>
          <w:szCs w:val="20"/>
        </w:rPr>
        <w:t xml:space="preserve">, y está originando una variación importante en los ingresos debido a ello.  </w:t>
      </w:r>
    </w:p>
    <w:p w14:paraId="1F54FA05" w14:textId="77777777" w:rsidR="000D2040" w:rsidRPr="000D2040" w:rsidRDefault="000D2040" w:rsidP="0061198C">
      <w:pPr>
        <w:spacing w:before="60" w:after="60"/>
        <w:ind w:left="284"/>
        <w:rPr>
          <w:i/>
          <w:iCs/>
          <w:sz w:val="20"/>
          <w:szCs w:val="20"/>
        </w:rPr>
      </w:pPr>
      <w:r w:rsidRPr="000D2040">
        <w:rPr>
          <w:i/>
          <w:iCs/>
          <w:sz w:val="20"/>
          <w:szCs w:val="20"/>
        </w:rPr>
        <w:t xml:space="preserve">• Si bien, el hecho que </w:t>
      </w:r>
      <w:r w:rsidRPr="006B1054">
        <w:rPr>
          <w:i/>
          <w:iCs/>
          <w:sz w:val="20"/>
          <w:szCs w:val="20"/>
          <w:u w:val="single"/>
        </w:rPr>
        <w:t>un OR incremente su inventario producto de recopilar información de instalaciones que el anterior OR no reportó, no debería generar una afectación en la distribución de la base de activos implícita entre los OR que asumieron la operación del mercado del anterior OR</w:t>
      </w:r>
      <w:r w:rsidRPr="000D2040">
        <w:rPr>
          <w:i/>
          <w:iCs/>
          <w:sz w:val="20"/>
          <w:szCs w:val="20"/>
        </w:rPr>
        <w:t xml:space="preserve">.  </w:t>
      </w:r>
    </w:p>
    <w:p w14:paraId="1A084D63" w14:textId="77777777" w:rsidR="000D2040" w:rsidRPr="000D2040" w:rsidRDefault="000D2040" w:rsidP="0061198C">
      <w:pPr>
        <w:spacing w:before="60" w:after="60"/>
        <w:ind w:left="284"/>
        <w:rPr>
          <w:i/>
          <w:iCs/>
          <w:sz w:val="20"/>
          <w:szCs w:val="20"/>
        </w:rPr>
      </w:pPr>
      <w:r w:rsidRPr="000D2040">
        <w:rPr>
          <w:i/>
          <w:iCs/>
          <w:sz w:val="20"/>
          <w:szCs w:val="20"/>
        </w:rPr>
        <w:t xml:space="preserve">• Ello dado a que existe una notoria diferencia entre los dos mercados, la capacidad de reacción para gestionar y recopilar información adicional que permita actualizar el inventario, afectan la retribución de los ingresos proyectados para el mercado, que motivaron la adquisición de este.  </w:t>
      </w:r>
    </w:p>
    <w:p w14:paraId="4B8D91F3" w14:textId="77777777" w:rsidR="000D2040" w:rsidRPr="000D2040" w:rsidRDefault="000D2040" w:rsidP="0061198C">
      <w:pPr>
        <w:spacing w:before="60" w:after="60"/>
        <w:ind w:left="284"/>
        <w:rPr>
          <w:i/>
          <w:iCs/>
          <w:sz w:val="20"/>
          <w:szCs w:val="20"/>
        </w:rPr>
      </w:pPr>
      <w:r w:rsidRPr="000D2040">
        <w:rPr>
          <w:i/>
          <w:iCs/>
          <w:sz w:val="20"/>
          <w:szCs w:val="20"/>
        </w:rPr>
        <w:t xml:space="preserve">• En este sentido, </w:t>
      </w:r>
      <w:r w:rsidRPr="006B1054">
        <w:rPr>
          <w:i/>
          <w:iCs/>
          <w:sz w:val="20"/>
          <w:szCs w:val="20"/>
          <w:u w:val="single"/>
        </w:rPr>
        <w:t>entendemos que el OR que actualizó la información y logró mejorar las condiciones del inventario aspire a que se le retribuya los activos reportados, sin embargos, consideramos que estos no deberían formar parte para distribuir la base implícita del anterior OR</w:t>
      </w:r>
      <w:r w:rsidRPr="000D2040">
        <w:rPr>
          <w:i/>
          <w:iCs/>
          <w:sz w:val="20"/>
          <w:szCs w:val="20"/>
        </w:rPr>
        <w:t xml:space="preserve">.  </w:t>
      </w:r>
    </w:p>
    <w:p w14:paraId="3E458C72" w14:textId="537C03F7" w:rsidR="000D2040" w:rsidRDefault="000D2040" w:rsidP="0061198C">
      <w:pPr>
        <w:spacing w:before="60" w:after="60"/>
        <w:ind w:left="284"/>
        <w:rPr>
          <w:i/>
          <w:iCs/>
          <w:sz w:val="20"/>
          <w:szCs w:val="20"/>
        </w:rPr>
      </w:pPr>
      <w:r w:rsidRPr="000D2040">
        <w:rPr>
          <w:i/>
          <w:iCs/>
          <w:sz w:val="20"/>
          <w:szCs w:val="20"/>
        </w:rPr>
        <w:t xml:space="preserve">• No significa en ningún caso que por el hecho que el otro OR haya incorporado más activos a su inventario, el inventario de CaribeMar haya disminuido. De hecho, esto no es coherente con el espíritu de la Resolución CREG 015 de 2018 de aceptar la actualización del inventario al año 2007 por parte de los OR, en gracia a reconocer un inventario más acorde con la realidad de los sistemas y remunerar efectivamente los activos en cuestión y en tal sentido, todos los OR que así lo hicieron, vieron aumentado su inventario de activos por tal razón.  </w:t>
      </w:r>
      <w:r w:rsidRPr="006B1054">
        <w:rPr>
          <w:i/>
          <w:iCs/>
          <w:sz w:val="20"/>
          <w:szCs w:val="20"/>
          <w:u w:val="single"/>
        </w:rPr>
        <w:t>No es razonable que, en virtud de la escisión de Electricaribe, una de las empresas, en este caso CaribeMar, vea disminuida su base de activos por cuenta de la actualización de la otra compañía resultante de la escisión</w:t>
      </w:r>
      <w:r w:rsidRPr="000D2040">
        <w:rPr>
          <w:i/>
          <w:iCs/>
          <w:sz w:val="20"/>
          <w:szCs w:val="20"/>
        </w:rPr>
        <w:t>.</w:t>
      </w:r>
    </w:p>
    <w:p w14:paraId="193DD3BF" w14:textId="444A4375" w:rsidR="000D2040" w:rsidRPr="000D2040" w:rsidRDefault="000D2040" w:rsidP="0061198C">
      <w:pPr>
        <w:spacing w:before="60" w:after="60"/>
        <w:ind w:left="284"/>
        <w:rPr>
          <w:i/>
          <w:iCs/>
          <w:sz w:val="20"/>
          <w:szCs w:val="20"/>
        </w:rPr>
      </w:pPr>
      <w:r w:rsidRPr="000D2040">
        <w:rPr>
          <w:i/>
          <w:iCs/>
          <w:sz w:val="20"/>
          <w:szCs w:val="20"/>
        </w:rPr>
        <w:t xml:space="preserve">En gracia de discusión si CaribeMar hubiera aumentado también su inventario en la misma proporción que lo hizo CaribeSol, ¿ambas compañías se hubieran tenido que quedar con el inventario presentado para el año 2007 y no hubieran podido beneficiarse de ese mayor reporte, tal como lo hicieron los demás OR del país?, ¿Acaso el hecho de haberse escindido los privaba de esta </w:t>
      </w:r>
      <w:r w:rsidR="00CA55CE" w:rsidRPr="000D2040">
        <w:rPr>
          <w:i/>
          <w:iCs/>
          <w:sz w:val="20"/>
          <w:szCs w:val="20"/>
        </w:rPr>
        <w:t>posibilidad?</w:t>
      </w:r>
      <w:r w:rsidRPr="000D2040">
        <w:rPr>
          <w:i/>
          <w:iCs/>
          <w:sz w:val="20"/>
          <w:szCs w:val="20"/>
        </w:rPr>
        <w:t xml:space="preserve"> Y pero aún ¿CaribeMar debe resultar perjudicada por que el otro OR presentó un inventario mayor, máxime tratándose de las proporciones indicadas?  </w:t>
      </w:r>
    </w:p>
    <w:p w14:paraId="73F117FB" w14:textId="77777777" w:rsidR="000D2040" w:rsidRPr="000D2040" w:rsidRDefault="000D2040" w:rsidP="0061198C">
      <w:pPr>
        <w:spacing w:before="60" w:after="60"/>
        <w:ind w:left="284"/>
        <w:rPr>
          <w:i/>
          <w:iCs/>
          <w:sz w:val="20"/>
          <w:szCs w:val="20"/>
        </w:rPr>
      </w:pPr>
      <w:r w:rsidRPr="000D2040">
        <w:rPr>
          <w:i/>
          <w:iCs/>
          <w:sz w:val="20"/>
          <w:szCs w:val="20"/>
        </w:rPr>
        <w:t xml:space="preserve">• Más aún, cuando en el reporte del OR CaribeSol los activos no reportados en el 2007 (CRINR) se observan incrementos con respecto a los activos reportados en el 2007 (CRI) considerables, por ejemplo, en la categoría de líneas subterráneas (l=8) el incrementó en nivel de tensión 4 es del 55% y en nivel de tensión 2 un incremento del 209%, a su vez en la categoría de líneas aéreas (l=7) para el nivel de tensión 2 el crecimiento es del 24%.  </w:t>
      </w:r>
    </w:p>
    <w:p w14:paraId="0331F0F9" w14:textId="77777777" w:rsidR="000D2040" w:rsidRPr="000D2040" w:rsidRDefault="000D2040" w:rsidP="0061198C">
      <w:pPr>
        <w:spacing w:before="60" w:after="60"/>
        <w:ind w:left="284"/>
        <w:rPr>
          <w:i/>
          <w:iCs/>
          <w:sz w:val="20"/>
          <w:szCs w:val="20"/>
        </w:rPr>
      </w:pPr>
      <w:r w:rsidRPr="000D2040">
        <w:rPr>
          <w:i/>
          <w:iCs/>
          <w:sz w:val="20"/>
          <w:szCs w:val="20"/>
        </w:rPr>
        <w:t xml:space="preserve">Los valores se obtienen a partir de la información suministrada por la Comisión, archivo “Calculo ingresos D Caribemar.xlsx” en la hoja “Caribe_integrado”, y como resultado de evaluar los impactos para los ingresos aprobados a CaribeMar en la Resolución CREG 025 de 2021. En la Tabla 4 se puede evidenciar las diferencias y las variaciones.  </w:t>
      </w:r>
    </w:p>
    <w:p w14:paraId="074A8077" w14:textId="2C5211FC" w:rsidR="000D2040" w:rsidRDefault="000D2040" w:rsidP="0061198C">
      <w:pPr>
        <w:spacing w:before="60" w:after="60"/>
        <w:ind w:left="284"/>
        <w:rPr>
          <w:i/>
          <w:iCs/>
          <w:sz w:val="20"/>
          <w:szCs w:val="20"/>
        </w:rPr>
      </w:pPr>
      <w:r w:rsidRPr="000D2040">
        <w:rPr>
          <w:i/>
          <w:iCs/>
          <w:sz w:val="20"/>
          <w:szCs w:val="20"/>
        </w:rPr>
        <w:t xml:space="preserve">Tabla 4. Variación en el valor de los activos de CaribeSol en la Categoría del CRINR.  </w:t>
      </w:r>
      <w:r>
        <w:rPr>
          <w:i/>
          <w:iCs/>
          <w:sz w:val="20"/>
          <w:szCs w:val="20"/>
        </w:rPr>
        <w:t>(…)</w:t>
      </w:r>
    </w:p>
    <w:p w14:paraId="301A2664" w14:textId="1D8033EB" w:rsidR="000D2040" w:rsidRDefault="000D2040" w:rsidP="0061198C">
      <w:pPr>
        <w:spacing w:before="60" w:after="60"/>
        <w:ind w:left="284"/>
        <w:rPr>
          <w:i/>
          <w:iCs/>
          <w:sz w:val="20"/>
          <w:szCs w:val="20"/>
        </w:rPr>
      </w:pPr>
      <w:r w:rsidRPr="000D2040">
        <w:rPr>
          <w:i/>
          <w:iCs/>
          <w:sz w:val="20"/>
          <w:szCs w:val="20"/>
        </w:rPr>
        <w:t xml:space="preserve">Dado lo mencionado, </w:t>
      </w:r>
      <w:r w:rsidRPr="006B1054">
        <w:rPr>
          <w:i/>
          <w:iCs/>
          <w:sz w:val="20"/>
          <w:szCs w:val="20"/>
          <w:u w:val="single"/>
        </w:rPr>
        <w:t>consideramos que la distribución de la base implícita de Electricaribe debe ser distribuida con el inventario a corte de 2019, aportado por la misma entidad, y de forma independiente a cada OR se le reconozca la actualización del inventario</w:t>
      </w:r>
      <w:r w:rsidRPr="000D2040">
        <w:rPr>
          <w:i/>
          <w:iCs/>
          <w:sz w:val="20"/>
          <w:szCs w:val="20"/>
        </w:rPr>
        <w:t>.</w:t>
      </w:r>
    </w:p>
    <w:p w14:paraId="794C2DB3" w14:textId="28472FA2" w:rsidR="0000141F" w:rsidRPr="0000141F" w:rsidRDefault="0000141F" w:rsidP="00703B48">
      <w:pPr>
        <w:rPr>
          <w:b/>
          <w:bCs/>
        </w:rPr>
      </w:pPr>
      <w:r w:rsidRPr="0000141F">
        <w:rPr>
          <w:b/>
          <w:bCs/>
        </w:rPr>
        <w:t>Análisis de la Comisión</w:t>
      </w:r>
    </w:p>
    <w:p w14:paraId="73332F76" w14:textId="5A549104" w:rsidR="00703B48" w:rsidRDefault="00703B48" w:rsidP="00703B48">
      <w:r>
        <w:t xml:space="preserve">En el artículo 7 de la Resolución CREG 010 de 2020 se establece lo siguiente: </w:t>
      </w:r>
    </w:p>
    <w:p w14:paraId="0DB0AF6A" w14:textId="5DF28AAE" w:rsidR="00703B48" w:rsidRDefault="00703B48" w:rsidP="0061198C">
      <w:pPr>
        <w:ind w:left="284" w:right="474"/>
        <w:rPr>
          <w:i/>
          <w:iCs/>
          <w:sz w:val="20"/>
          <w:szCs w:val="22"/>
        </w:rPr>
      </w:pPr>
      <w:r w:rsidRPr="009A67B7">
        <w:rPr>
          <w:b/>
          <w:i/>
          <w:iCs/>
          <w:sz w:val="20"/>
          <w:szCs w:val="22"/>
        </w:rPr>
        <w:t>Artículo 7. Cálculo de valor implícito.</w:t>
      </w:r>
      <w:r w:rsidRPr="009A67B7">
        <w:rPr>
          <w:i/>
          <w:iCs/>
          <w:sz w:val="20"/>
          <w:szCs w:val="22"/>
        </w:rPr>
        <w:t xml:space="preserve"> Para la aplicación de la metodología establecida en la Resolución CREG 015 de 2018 en los mercados resultantes y para el régimen transitorio especial definido en la presente resolución, </w:t>
      </w:r>
      <w:r w:rsidRPr="009A67B7">
        <w:rPr>
          <w:i/>
          <w:iCs/>
          <w:sz w:val="20"/>
          <w:szCs w:val="22"/>
          <w:u w:val="single"/>
        </w:rPr>
        <w:t>para el cálculo de la variable CRII</w:t>
      </w:r>
      <w:r w:rsidRPr="00A371A8">
        <w:rPr>
          <w:i/>
          <w:iCs/>
          <w:sz w:val="20"/>
          <w:szCs w:val="22"/>
          <w:u w:val="single"/>
          <w:vertAlign w:val="subscript"/>
        </w:rPr>
        <w:t>j,n,l</w:t>
      </w:r>
      <w:r w:rsidRPr="009A67B7">
        <w:rPr>
          <w:i/>
          <w:iCs/>
          <w:sz w:val="20"/>
          <w:szCs w:val="22"/>
          <w:u w:val="single"/>
        </w:rPr>
        <w:t xml:space="preserve"> se utilizará el valor correspondiente al mercado caribe</w:t>
      </w:r>
      <w:r w:rsidRPr="009A67B7">
        <w:rPr>
          <w:i/>
          <w:iCs/>
          <w:sz w:val="20"/>
          <w:szCs w:val="22"/>
        </w:rPr>
        <w:t xml:space="preserve">, </w:t>
      </w:r>
      <w:r w:rsidRPr="00703B48">
        <w:rPr>
          <w:i/>
          <w:iCs/>
          <w:sz w:val="20"/>
          <w:szCs w:val="22"/>
          <w:u w:val="single"/>
        </w:rPr>
        <w:t>distribuido según los activos en operación a la fecha de corte de cada uno de los mercados resultantes</w:t>
      </w:r>
      <w:r w:rsidRPr="009A67B7">
        <w:rPr>
          <w:i/>
          <w:iCs/>
          <w:sz w:val="20"/>
          <w:szCs w:val="22"/>
        </w:rPr>
        <w:t>.</w:t>
      </w:r>
    </w:p>
    <w:p w14:paraId="3CBF2CB9" w14:textId="21993433" w:rsidR="00703B48" w:rsidRPr="00703B48" w:rsidRDefault="00703B48" w:rsidP="0061198C">
      <w:pPr>
        <w:ind w:left="284" w:right="474"/>
        <w:rPr>
          <w:bCs/>
          <w:i/>
          <w:iCs/>
          <w:sz w:val="20"/>
          <w:szCs w:val="22"/>
        </w:rPr>
      </w:pPr>
      <w:r w:rsidRPr="00703B48">
        <w:rPr>
          <w:bCs/>
          <w:i/>
          <w:iCs/>
          <w:sz w:val="20"/>
          <w:szCs w:val="22"/>
        </w:rPr>
        <w:t>Subrayado fuera de texto</w:t>
      </w:r>
    </w:p>
    <w:p w14:paraId="4E463E90" w14:textId="11F8EE48" w:rsidR="00703B48" w:rsidRDefault="00703B48" w:rsidP="00703B48">
      <w:r>
        <w:t xml:space="preserve">La variable </w:t>
      </w:r>
      <w:r w:rsidRPr="00CA55CE">
        <w:rPr>
          <w:i/>
          <w:iCs/>
        </w:rPr>
        <w:t>CRII</w:t>
      </w:r>
      <w:r>
        <w:t xml:space="preserve"> del mercado integrado corresponde al valor implícito de los activos reconocidos en los cargos actuales</w:t>
      </w:r>
      <w:r w:rsidR="00686317">
        <w:t xml:space="preserve"> del mercado integrado</w:t>
      </w:r>
      <w:r>
        <w:t>, más los activos que no fueron reportados</w:t>
      </w:r>
      <w:r w:rsidR="00686317">
        <w:t xml:space="preserve"> por Electricaribe</w:t>
      </w:r>
      <w:r w:rsidR="0000141F">
        <w:t>,</w:t>
      </w:r>
      <w:r w:rsidR="00686317">
        <w:t xml:space="preserve"> v</w:t>
      </w:r>
      <w:r>
        <w:t xml:space="preserve">ariable </w:t>
      </w:r>
      <w:r w:rsidRPr="00703B48">
        <w:rPr>
          <w:i/>
          <w:iCs/>
        </w:rPr>
        <w:t>CRINR</w:t>
      </w:r>
      <w:r w:rsidR="0000141F" w:rsidRPr="0000141F">
        <w:t>,</w:t>
      </w:r>
      <w:r>
        <w:t xml:space="preserve"> menos los activos que salieron en operación durante el p</w:t>
      </w:r>
      <w:r w:rsidR="0061198C">
        <w:t>eríodo</w:t>
      </w:r>
      <w:r>
        <w:t xml:space="preserve"> 2008-2019</w:t>
      </w:r>
      <w:r w:rsidR="0000141F">
        <w:t>,</w:t>
      </w:r>
      <w:r w:rsidR="00686317">
        <w:t xml:space="preserve"> </w:t>
      </w:r>
      <w:r>
        <w:t xml:space="preserve">variable </w:t>
      </w:r>
      <w:r w:rsidRPr="00703B48">
        <w:rPr>
          <w:i/>
          <w:iCs/>
        </w:rPr>
        <w:t>CRIFO</w:t>
      </w:r>
      <w:r w:rsidR="0000141F">
        <w:t xml:space="preserve">, </w:t>
      </w:r>
      <w:r>
        <w:t>tal como se observa en la siguiente ecuación:</w:t>
      </w:r>
    </w:p>
    <w:p w14:paraId="77DAF7F8" w14:textId="77777777" w:rsidR="00703B48" w:rsidRDefault="00703B48" w:rsidP="00703B48">
      <w:pPr>
        <w:jc w:val="center"/>
      </w:pPr>
      <w:r>
        <w:rPr>
          <w:noProof/>
        </w:rPr>
        <w:drawing>
          <wp:inline distT="0" distB="0" distL="0" distR="0" wp14:anchorId="7B1F22FE" wp14:editId="48C71A0B">
            <wp:extent cx="3538783" cy="479973"/>
            <wp:effectExtent l="0" t="0" r="5080" b="0"/>
            <wp:docPr id="23" name="Imagen 4" descr="Diagrama, Texto&#10;&#10;Descripción generada automáticamente con confianza media">
              <a:extLst xmlns:a="http://schemas.openxmlformats.org/drawingml/2006/main">
                <a:ext uri="{FF2B5EF4-FFF2-40B4-BE49-F238E27FC236}">
                  <a16:creationId xmlns:a16="http://schemas.microsoft.com/office/drawing/2014/main" id="{2F14D366-FD9A-4E1F-A1F2-9DDAB4D3AD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4" descr="Diagrama, Texto&#10;&#10;Descripción generada automáticamente con confianza media">
                      <a:extLst>
                        <a:ext uri="{FF2B5EF4-FFF2-40B4-BE49-F238E27FC236}">
                          <a16:creationId xmlns:a16="http://schemas.microsoft.com/office/drawing/2014/main" id="{2F14D366-FD9A-4E1F-A1F2-9DDAB4D3AD11}"/>
                        </a:ext>
                      </a:extLst>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04587" cy="488898"/>
                    </a:xfrm>
                    <a:prstGeom prst="rect">
                      <a:avLst/>
                    </a:prstGeom>
                    <a:noFill/>
                  </pic:spPr>
                </pic:pic>
              </a:graphicData>
            </a:graphic>
          </wp:inline>
        </w:drawing>
      </w:r>
    </w:p>
    <w:p w14:paraId="2667E73F" w14:textId="6F173A59" w:rsidR="00703B48" w:rsidRDefault="00703B48" w:rsidP="00703B48">
      <w:r>
        <w:t xml:space="preserve">La variable </w:t>
      </w:r>
      <w:r w:rsidRPr="00703B48">
        <w:rPr>
          <w:i/>
          <w:iCs/>
        </w:rPr>
        <w:t>CAI</w:t>
      </w:r>
      <w:r>
        <w:t>, que corresponde al costo anual de la inversión aprobado a Electricaribe en aplicación de la metodología definida en la Resolución CREG 097 de 2008, se multiplica por un factor que convierte la anualidad en costo de reposición</w:t>
      </w:r>
      <w:r w:rsidR="00CA0F17">
        <w:t xml:space="preserve">, </w:t>
      </w:r>
      <w:r>
        <w:t xml:space="preserve">con la misma tasa y vida útil aplicada en su momento. </w:t>
      </w:r>
    </w:p>
    <w:p w14:paraId="2175EA9F" w14:textId="2F885BCA" w:rsidR="00686317" w:rsidRDefault="00686317" w:rsidP="006B1054">
      <w:r>
        <w:t>Con base en lo anterior, se señala que, si durante la actuación administrativa de aprobación de ingresos</w:t>
      </w:r>
      <w:r w:rsidR="0061198C">
        <w:t>,</w:t>
      </w:r>
      <w:r>
        <w:t xml:space="preserve"> alguno de los operadores de red reportó activos adicionales en la</w:t>
      </w:r>
      <w:r w:rsidR="00CA0F17">
        <w:t>s</w:t>
      </w:r>
      <w:r>
        <w:t xml:space="preserve"> categoría</w:t>
      </w:r>
      <w:r w:rsidR="00CA0F17">
        <w:t>s</w:t>
      </w:r>
      <w:r>
        <w:t xml:space="preserve"> </w:t>
      </w:r>
      <w:r w:rsidRPr="00686317">
        <w:rPr>
          <w:i/>
          <w:iCs/>
        </w:rPr>
        <w:t>CRINR</w:t>
      </w:r>
      <w:r w:rsidR="00CA0F17">
        <w:rPr>
          <w:i/>
          <w:iCs/>
        </w:rPr>
        <w:t xml:space="preserve"> o CRIFO</w:t>
      </w:r>
      <w:r>
        <w:t xml:space="preserve">, estos se emplean en el cálculo de la variable </w:t>
      </w:r>
      <w:r w:rsidRPr="00686317">
        <w:rPr>
          <w:i/>
          <w:iCs/>
        </w:rPr>
        <w:t>CRII</w:t>
      </w:r>
      <w:r>
        <w:t xml:space="preserve">, </w:t>
      </w:r>
      <w:r w:rsidR="00CA0F17">
        <w:t xml:space="preserve">modificando </w:t>
      </w:r>
      <w:r>
        <w:t>su valor, el cual posteriormente se distribuye entre los nuevos OR con base en los activos en operación de cada sistema</w:t>
      </w:r>
      <w:r w:rsidR="004414C2">
        <w:t xml:space="preserve"> a la fecha de corte</w:t>
      </w:r>
      <w:r>
        <w:t xml:space="preserve">. </w:t>
      </w:r>
    </w:p>
    <w:p w14:paraId="5C3BDEA3" w14:textId="77777777" w:rsidR="004414C2" w:rsidRDefault="00686317" w:rsidP="006B1054">
      <w:r>
        <w:t xml:space="preserve">Respecto a la solicitud de aprobar el valor implícito empleando los valores reportados en su momento por Electricaribe, se señala que durante las actuaciones administrativas conducentes a la aprobación de ingresos la Comisión realizó la verificación de la información de inventarios reportada por cada OR, </w:t>
      </w:r>
      <w:r w:rsidR="004414C2">
        <w:t xml:space="preserve">y en dicho proceso los OR tuvieron </w:t>
      </w:r>
      <w:r>
        <w:t xml:space="preserve">la oportunidad de realizar los ajustes o aclaraciones correspondientes </w:t>
      </w:r>
      <w:r w:rsidR="004414C2">
        <w:t>al inventario inicial solicitado, este proceso condujo a la aprobación de inventarios que difieren de los inicialmente solicitados por los OR, tal como se evidencia en los documentos de soporte de la Resolución CREG 025 de 2021.</w:t>
      </w:r>
    </w:p>
    <w:p w14:paraId="62110435" w14:textId="4BB22379" w:rsidR="004414C2" w:rsidRDefault="004414C2" w:rsidP="006B1054">
      <w:r>
        <w:t xml:space="preserve">De otra parte, se aclara que los criterios de verificación y aprobación de los inventarios de activos empleados por la Comisión, en aplicación de la metodología definida en la Resolución CREG 015 de 2018, son los mismos para los dos OR de los mercados resultantes, por lo cual, es claro que la información del mercado agregado a emplear corresponde </w:t>
      </w:r>
      <w:r w:rsidR="009D4248">
        <w:t xml:space="preserve">a </w:t>
      </w:r>
      <w:r>
        <w:t xml:space="preserve">la información finalmente aprobada a cada OR luego del proceso de verificación realizado. Emplear la información suministrada por Electricaribe implicaría </w:t>
      </w:r>
      <w:r w:rsidR="00A96638">
        <w:t xml:space="preserve">el uso de información no validada. </w:t>
      </w:r>
    </w:p>
    <w:p w14:paraId="446767E6" w14:textId="3386D087" w:rsidR="00703B48" w:rsidRDefault="00A96638" w:rsidP="006B1054">
      <w:r>
        <w:t xml:space="preserve">No obstante, se identificó que para la distribución de valor de la variable </w:t>
      </w:r>
      <w:r w:rsidRPr="00A96638">
        <w:rPr>
          <w:i/>
          <w:iCs/>
        </w:rPr>
        <w:t>CRII</w:t>
      </w:r>
      <w:r>
        <w:t xml:space="preserve"> entre los mercados resultantes, para </w:t>
      </w:r>
      <w:r w:rsidR="009D4248">
        <w:t xml:space="preserve">la empresa </w:t>
      </w:r>
      <w:r>
        <w:t>AIR-E S.A.S. E.S.P. se incluyó el valor de los activos puestos en operación en el año 2020, con lo cual, se gener</w:t>
      </w:r>
      <w:r w:rsidR="00340976">
        <w:t>ó</w:t>
      </w:r>
      <w:r>
        <w:t xml:space="preserve"> un</w:t>
      </w:r>
      <w:r w:rsidR="009D4248">
        <w:t xml:space="preserve"> error de cálculo </w:t>
      </w:r>
      <w:r>
        <w:t xml:space="preserve">en </w:t>
      </w:r>
      <w:r w:rsidR="00340976">
        <w:t>el</w:t>
      </w:r>
      <w:r>
        <w:t xml:space="preserve"> porcentaje de distribución de la variable </w:t>
      </w:r>
      <w:r w:rsidRPr="00A96638">
        <w:rPr>
          <w:i/>
          <w:iCs/>
        </w:rPr>
        <w:t>CRII</w:t>
      </w:r>
      <w:r>
        <w:t xml:space="preserve"> de cada OR. </w:t>
      </w:r>
      <w:r w:rsidR="004D678C">
        <w:t xml:space="preserve">Este error se corrigió </w:t>
      </w:r>
      <w:r>
        <w:t>excluyen</w:t>
      </w:r>
      <w:r w:rsidR="004D678C">
        <w:t>do</w:t>
      </w:r>
      <w:r>
        <w:t xml:space="preserve"> los activos puestos en operación en el año 2020 en el mercado de AIR-E</w:t>
      </w:r>
      <w:r w:rsidR="004D678C">
        <w:t xml:space="preserve"> para efectos de determinar el porcentaje de cada mercado en la variable </w:t>
      </w:r>
      <w:r w:rsidR="004D678C" w:rsidRPr="004D678C">
        <w:rPr>
          <w:i/>
          <w:iCs/>
        </w:rPr>
        <w:t>CRII</w:t>
      </w:r>
      <w:r w:rsidR="004D678C">
        <w:t xml:space="preserve"> del mercado integrado</w:t>
      </w:r>
      <w:r>
        <w:t>.</w:t>
      </w:r>
    </w:p>
    <w:p w14:paraId="4C8EDBED" w14:textId="77777777" w:rsidR="007654F3" w:rsidRDefault="007654F3" w:rsidP="007654F3">
      <w:r>
        <w:rPr>
          <w:b/>
          <w:bCs/>
        </w:rPr>
        <w:t>Primera solicitud, numeral 5</w:t>
      </w:r>
    </w:p>
    <w:p w14:paraId="4EF3C83C" w14:textId="35C0A3B0" w:rsidR="006B3FBE" w:rsidRDefault="00FE775A" w:rsidP="0061198C">
      <w:pPr>
        <w:spacing w:before="60" w:after="60"/>
        <w:ind w:left="284"/>
        <w:rPr>
          <w:i/>
          <w:iCs/>
          <w:sz w:val="20"/>
          <w:szCs w:val="20"/>
        </w:rPr>
      </w:pPr>
      <w:r w:rsidRPr="00FE775A">
        <w:rPr>
          <w:i/>
          <w:iCs/>
          <w:sz w:val="20"/>
          <w:szCs w:val="20"/>
        </w:rPr>
        <w:t xml:space="preserve">5. Actualizar las variables de la Resolución CREG 025 de 2021, que debido a los ajustes solicitados surtan modificaciones. </w:t>
      </w:r>
    </w:p>
    <w:p w14:paraId="73EB0838" w14:textId="327CA1B0" w:rsidR="007654F3" w:rsidRPr="007654F3" w:rsidRDefault="007654F3" w:rsidP="007654F3">
      <w:pPr>
        <w:rPr>
          <w:b/>
          <w:bCs/>
        </w:rPr>
      </w:pPr>
      <w:r w:rsidRPr="007654F3">
        <w:rPr>
          <w:b/>
          <w:bCs/>
        </w:rPr>
        <w:t>Análisis de la Comisión</w:t>
      </w:r>
    </w:p>
    <w:p w14:paraId="3C2D13B3" w14:textId="5ADD3946" w:rsidR="007654F3" w:rsidRDefault="007654F3" w:rsidP="007654F3">
      <w:r>
        <w:t>Con base en los análisis realizados se modificarán las variables correspondientes.</w:t>
      </w:r>
    </w:p>
    <w:p w14:paraId="0772B47D" w14:textId="4BAA53DC" w:rsidR="007654F3" w:rsidRDefault="007654F3" w:rsidP="007654F3">
      <w:r>
        <w:rPr>
          <w:b/>
          <w:bCs/>
        </w:rPr>
        <w:t>Primera solicitud, numeral 6</w:t>
      </w:r>
    </w:p>
    <w:p w14:paraId="5E53B5CD" w14:textId="3EAB7B9B" w:rsidR="006B3FBE" w:rsidRDefault="00FE775A" w:rsidP="0061198C">
      <w:pPr>
        <w:spacing w:before="60" w:after="60"/>
        <w:ind w:left="284"/>
        <w:rPr>
          <w:i/>
          <w:iCs/>
          <w:sz w:val="20"/>
          <w:szCs w:val="20"/>
        </w:rPr>
      </w:pPr>
      <w:r w:rsidRPr="00FE775A">
        <w:rPr>
          <w:i/>
          <w:iCs/>
          <w:sz w:val="20"/>
          <w:szCs w:val="20"/>
        </w:rPr>
        <w:t xml:space="preserve">6. </w:t>
      </w:r>
      <w:bookmarkStart w:id="1" w:name="OLE_LINK2"/>
      <w:r w:rsidRPr="00FE775A">
        <w:rPr>
          <w:i/>
          <w:iCs/>
          <w:sz w:val="20"/>
          <w:szCs w:val="20"/>
        </w:rPr>
        <w:t xml:space="preserve">Reconocimiento del transformador de potencia de reserva con IUA </w:t>
      </w:r>
      <w:bookmarkEnd w:id="1"/>
      <w:r w:rsidRPr="00FE775A">
        <w:rPr>
          <w:i/>
          <w:iCs/>
          <w:sz w:val="20"/>
          <w:szCs w:val="20"/>
        </w:rPr>
        <w:t xml:space="preserve">(10177000G000) ubicado en la subestación Urra con IUS 1017. </w:t>
      </w:r>
      <w:r w:rsidR="007654F3">
        <w:rPr>
          <w:i/>
          <w:iCs/>
          <w:sz w:val="20"/>
          <w:szCs w:val="20"/>
        </w:rPr>
        <w:t>(…)</w:t>
      </w:r>
    </w:p>
    <w:p w14:paraId="181BBD61" w14:textId="77777777" w:rsidR="007654F3" w:rsidRPr="007654F3" w:rsidRDefault="007654F3" w:rsidP="0061198C">
      <w:pPr>
        <w:spacing w:before="60" w:after="60"/>
        <w:ind w:left="284"/>
        <w:rPr>
          <w:i/>
          <w:iCs/>
          <w:sz w:val="20"/>
          <w:szCs w:val="20"/>
        </w:rPr>
      </w:pPr>
      <w:r w:rsidRPr="007654F3">
        <w:rPr>
          <w:i/>
          <w:iCs/>
          <w:sz w:val="20"/>
          <w:szCs w:val="20"/>
        </w:rPr>
        <w:t xml:space="preserve">E. Inventario de activos  </w:t>
      </w:r>
    </w:p>
    <w:p w14:paraId="3F843F16" w14:textId="7B3CF931" w:rsidR="007654F3" w:rsidRDefault="007654F3" w:rsidP="0061198C">
      <w:pPr>
        <w:spacing w:before="60" w:after="60"/>
        <w:ind w:left="284"/>
        <w:rPr>
          <w:i/>
          <w:iCs/>
          <w:sz w:val="20"/>
          <w:szCs w:val="20"/>
        </w:rPr>
      </w:pPr>
      <w:r w:rsidRPr="007654F3">
        <w:rPr>
          <w:i/>
          <w:iCs/>
          <w:sz w:val="20"/>
          <w:szCs w:val="20"/>
        </w:rPr>
        <w:t xml:space="preserve">1. Transformador de potencia con IUA (10177000G000) no reconocido, para estos activos solicitamos su reconocimiento considerando que este no corresponde a un activo provisional, sino a un activo de reserva de la subestación Urra IUS 1017, </w:t>
      </w:r>
      <w:r w:rsidRPr="00933935">
        <w:rPr>
          <w:i/>
          <w:iCs/>
          <w:sz w:val="20"/>
          <w:szCs w:val="20"/>
          <w:u w:val="single"/>
        </w:rPr>
        <w:t>el cual se encontraba operativo a la fecha de corte del reporte, debido a que el transformador que no es de reserva se encontraba en mantenimiento</w:t>
      </w:r>
      <w:r w:rsidRPr="007654F3">
        <w:rPr>
          <w:i/>
          <w:iCs/>
          <w:sz w:val="20"/>
          <w:szCs w:val="20"/>
        </w:rPr>
        <w:t xml:space="preserve">. El transformador se debe incluir en la aprobación de ingresos, teniendo en cuenta que esta subestación se clasifica dentro de las subestaciones que deben cumplir con la Resolución del Ministerio de Minas y Energía 182148 de 2007 y lo establecido en el artículo 17 de la Resolución 097 de 2008.  </w:t>
      </w:r>
    </w:p>
    <w:p w14:paraId="117AD7C0" w14:textId="0922F716" w:rsidR="007654F3" w:rsidRDefault="007654F3" w:rsidP="007654F3">
      <w:r w:rsidRPr="007654F3">
        <w:rPr>
          <w:b/>
          <w:bCs/>
        </w:rPr>
        <w:t>Análisis de la Comisión</w:t>
      </w:r>
    </w:p>
    <w:p w14:paraId="3A06F235" w14:textId="77777777" w:rsidR="00340976" w:rsidRDefault="00933935" w:rsidP="00933935">
      <w:r>
        <w:t xml:space="preserve">Se verificó que en la información del </w:t>
      </w:r>
      <w:r w:rsidRPr="00933935">
        <w:t>transformador de potencia con código 60101053</w:t>
      </w:r>
      <w:r>
        <w:t xml:space="preserve"> reportada por el OR para la aprobación de la Resolución CREG 025 de 2021, se incluye en las observaciones el siguiente comentario </w:t>
      </w:r>
      <w:r w:rsidRPr="00933935">
        <w:rPr>
          <w:i/>
          <w:iCs/>
        </w:rPr>
        <w:t>Transformador de reserva instalado provisionalmente por mantenimiento</w:t>
      </w:r>
      <w:r>
        <w:t>, por lo cual no fue incluido</w:t>
      </w:r>
      <w:r w:rsidR="00340976">
        <w:t>.</w:t>
      </w:r>
    </w:p>
    <w:p w14:paraId="38EAE31F" w14:textId="47149D6C" w:rsidR="007654F3" w:rsidRDefault="00340976" w:rsidP="00933935">
      <w:pPr>
        <w:rPr>
          <w:i/>
          <w:iCs/>
          <w:sz w:val="20"/>
          <w:szCs w:val="20"/>
        </w:rPr>
      </w:pPr>
      <w:r>
        <w:t>C</w:t>
      </w:r>
      <w:r w:rsidR="00933935">
        <w:t>on base en la aclaración presentada en el recurso se incorpora el transformador de reserva en el inventario reconocido.</w:t>
      </w:r>
    </w:p>
    <w:p w14:paraId="002F44AC" w14:textId="00E73C6A" w:rsidR="007654F3" w:rsidRPr="007654F3" w:rsidRDefault="007654F3" w:rsidP="007654F3">
      <w:pPr>
        <w:rPr>
          <w:b/>
          <w:bCs/>
          <w:i/>
          <w:iCs/>
          <w:sz w:val="20"/>
          <w:szCs w:val="20"/>
        </w:rPr>
      </w:pPr>
      <w:r w:rsidRPr="007654F3">
        <w:rPr>
          <w:b/>
          <w:bCs/>
        </w:rPr>
        <w:t xml:space="preserve">Primera solicitud, numeral </w:t>
      </w:r>
      <w:r w:rsidR="00155408">
        <w:rPr>
          <w:b/>
          <w:bCs/>
        </w:rPr>
        <w:t>7</w:t>
      </w:r>
    </w:p>
    <w:p w14:paraId="6B1B4272" w14:textId="5BA38F17" w:rsidR="00FE775A" w:rsidRDefault="00FE775A" w:rsidP="0061198C">
      <w:pPr>
        <w:spacing w:before="60" w:after="60"/>
        <w:ind w:left="284"/>
        <w:rPr>
          <w:i/>
          <w:iCs/>
          <w:sz w:val="20"/>
          <w:szCs w:val="20"/>
        </w:rPr>
      </w:pPr>
      <w:r w:rsidRPr="00FE775A">
        <w:rPr>
          <w:i/>
          <w:iCs/>
          <w:sz w:val="20"/>
          <w:szCs w:val="20"/>
        </w:rPr>
        <w:t>7. Reconocimiento de las RTU relacionadas en la Tabla 11 del presente documento.</w:t>
      </w:r>
      <w:r w:rsidR="00881D1E">
        <w:rPr>
          <w:i/>
          <w:iCs/>
          <w:sz w:val="20"/>
          <w:szCs w:val="20"/>
        </w:rPr>
        <w:t xml:space="preserve"> (…)</w:t>
      </w:r>
    </w:p>
    <w:p w14:paraId="2CB55E19" w14:textId="5951A429" w:rsidR="00881D1E" w:rsidRDefault="00881D1E" w:rsidP="0061198C">
      <w:pPr>
        <w:spacing w:before="60" w:after="60"/>
        <w:ind w:left="284"/>
        <w:rPr>
          <w:i/>
          <w:iCs/>
          <w:sz w:val="20"/>
          <w:szCs w:val="20"/>
        </w:rPr>
      </w:pPr>
      <w:r w:rsidRPr="00881D1E">
        <w:rPr>
          <w:i/>
          <w:iCs/>
          <w:sz w:val="20"/>
          <w:szCs w:val="20"/>
        </w:rPr>
        <w:t xml:space="preserve">Respecto al no reconocimiento de las unidades constructivas, que en la columna “Revisión del regulador” en la hoja “formato9_UC_equipos_SE” del archivo “Inventario reconocido BRA_0 OR – CARIBEMAR.xlsx”, donde la Comisión indica que “No se incluyen estas UC, actualmente sus funciones son realizadas por otros elementos de la SE”. En referencia a este comentario, </w:t>
      </w:r>
      <w:r w:rsidRPr="00881D1E">
        <w:rPr>
          <w:i/>
          <w:iCs/>
          <w:sz w:val="20"/>
          <w:szCs w:val="20"/>
          <w:u w:val="single"/>
        </w:rPr>
        <w:t>algunas de las subestaciones no tienen equipos que cumplan las funciones que realiza un Gateway o sistema de control coordinado, en su remplazo cuenta con RTU</w:t>
      </w:r>
      <w:r w:rsidRPr="00881D1E">
        <w:rPr>
          <w:i/>
          <w:iCs/>
          <w:sz w:val="20"/>
          <w:szCs w:val="20"/>
        </w:rPr>
        <w:t>. en este sentido solicitamos a la Comisión el reconocimiento de las unidades constructivas reportadas que relacionamos a continuación en la Tabla 11.</w:t>
      </w:r>
      <w:r>
        <w:rPr>
          <w:i/>
          <w:iCs/>
          <w:sz w:val="20"/>
          <w:szCs w:val="20"/>
        </w:rPr>
        <w:t xml:space="preserve"> (…)</w:t>
      </w:r>
    </w:p>
    <w:p w14:paraId="1C00A240" w14:textId="4F1EA8A9" w:rsidR="00933935" w:rsidRDefault="00881D1E" w:rsidP="0061198C">
      <w:pPr>
        <w:spacing w:before="60" w:after="60"/>
        <w:ind w:left="284"/>
        <w:rPr>
          <w:i/>
          <w:iCs/>
          <w:sz w:val="20"/>
          <w:szCs w:val="20"/>
        </w:rPr>
      </w:pPr>
      <w:r>
        <w:rPr>
          <w:i/>
          <w:iCs/>
          <w:sz w:val="20"/>
          <w:szCs w:val="20"/>
        </w:rPr>
        <w:t>Subrayado fuera de texto</w:t>
      </w:r>
    </w:p>
    <w:p w14:paraId="4C33451F" w14:textId="1D6DC82F" w:rsidR="007654F3" w:rsidRDefault="007654F3" w:rsidP="007654F3">
      <w:r w:rsidRPr="007654F3">
        <w:rPr>
          <w:b/>
          <w:bCs/>
        </w:rPr>
        <w:t>Análisis de la Comisión</w:t>
      </w:r>
    </w:p>
    <w:p w14:paraId="33389E74" w14:textId="4131EDA4" w:rsidR="007654F3" w:rsidRDefault="00881D1E" w:rsidP="00881D1E">
      <w:r>
        <w:t>En la Resolución CREG 025 de 2021 se excluyeron 11 UC de unidad terminal remota</w:t>
      </w:r>
      <w:r w:rsidR="0061198C">
        <w:t>,</w:t>
      </w:r>
      <w:r>
        <w:t xml:space="preserve"> considerando </w:t>
      </w:r>
      <w:r w:rsidR="00155408">
        <w:t xml:space="preserve">que </w:t>
      </w:r>
      <w:r w:rsidRPr="00881D1E">
        <w:t>actualmente sus funciones son realizadas por otros elementos de la SE</w:t>
      </w:r>
      <w:r w:rsidR="0061198C">
        <w:t>. E</w:t>
      </w:r>
      <w:r w:rsidR="00155408">
        <w:t xml:space="preserve">n el recurso de reposición se aclara que en 10 de las 11 subestaciones no se cuenta con equipos que realizan las funciones de las RTU. </w:t>
      </w:r>
    </w:p>
    <w:p w14:paraId="1126C827" w14:textId="651DE7E5" w:rsidR="00155408" w:rsidRDefault="00155408" w:rsidP="00155408">
      <w:r>
        <w:t>Con base en la aclaración</w:t>
      </w:r>
      <w:r w:rsidR="0061198C">
        <w:t>,</w:t>
      </w:r>
      <w:r>
        <w:t xml:space="preserve"> se incluyen estas UC en el inventario reconocido de las subestaciones Cospique, La Loma, Villa Estrella, Argos, San Estanislao, San Andres </w:t>
      </w:r>
      <w:r w:rsidR="00340976">
        <w:t>d</w:t>
      </w:r>
      <w:r>
        <w:t xml:space="preserve">e Sotavento, Valencia, La Mojana, </w:t>
      </w:r>
      <w:r w:rsidR="00A371A8">
        <w:t>Sampués</w:t>
      </w:r>
      <w:r>
        <w:t xml:space="preserve"> y Momil</w:t>
      </w:r>
      <w:r w:rsidR="0061198C">
        <w:t>,</w:t>
      </w:r>
      <w:r>
        <w:t xml:space="preserve"> y no se incluye la UC solicitada para la subestación Chinú.</w:t>
      </w:r>
    </w:p>
    <w:p w14:paraId="2866F7CF" w14:textId="65681622" w:rsidR="007654F3" w:rsidRDefault="00155408" w:rsidP="00155408">
      <w:pPr>
        <w:rPr>
          <w:b/>
          <w:bCs/>
        </w:rPr>
      </w:pPr>
      <w:r>
        <w:rPr>
          <w:b/>
          <w:bCs/>
        </w:rPr>
        <w:t xml:space="preserve">Segunda </w:t>
      </w:r>
      <w:r w:rsidRPr="007654F3">
        <w:rPr>
          <w:b/>
          <w:bCs/>
        </w:rPr>
        <w:t xml:space="preserve">solicitud, numeral </w:t>
      </w:r>
      <w:r>
        <w:rPr>
          <w:b/>
          <w:bCs/>
        </w:rPr>
        <w:t>1</w:t>
      </w:r>
    </w:p>
    <w:p w14:paraId="1F4F3B2A" w14:textId="783BC7A5" w:rsidR="00FE775A" w:rsidRPr="00FE775A" w:rsidRDefault="00FE775A" w:rsidP="0061198C">
      <w:pPr>
        <w:spacing w:before="60" w:after="60"/>
        <w:ind w:left="284"/>
        <w:rPr>
          <w:i/>
          <w:iCs/>
          <w:sz w:val="20"/>
          <w:szCs w:val="20"/>
        </w:rPr>
      </w:pPr>
      <w:r w:rsidRPr="00FE775A">
        <w:rPr>
          <w:i/>
          <w:iCs/>
          <w:sz w:val="20"/>
          <w:szCs w:val="20"/>
        </w:rPr>
        <w:t xml:space="preserve">SEGUNDO: Modificar el artículo 3. de la Resolución CREG 025 de 2021 en el siguiente sentido: </w:t>
      </w:r>
    </w:p>
    <w:p w14:paraId="74A41A3E" w14:textId="258B8D65" w:rsidR="00FE775A" w:rsidRDefault="00FE775A" w:rsidP="0061198C">
      <w:pPr>
        <w:spacing w:before="60" w:after="60"/>
        <w:ind w:left="284"/>
        <w:rPr>
          <w:i/>
          <w:iCs/>
          <w:sz w:val="20"/>
          <w:szCs w:val="20"/>
        </w:rPr>
      </w:pPr>
      <w:r w:rsidRPr="00FE775A">
        <w:rPr>
          <w:i/>
          <w:iCs/>
          <w:sz w:val="20"/>
          <w:szCs w:val="20"/>
        </w:rPr>
        <w:t xml:space="preserve">1. Reconocer la unidad constructiva N102, Puesta a tierra N1, según código del documento “Manual_reporte_activos_CREG015 - 2018”. </w:t>
      </w:r>
      <w:r w:rsidR="0096041E">
        <w:rPr>
          <w:i/>
          <w:iCs/>
          <w:sz w:val="20"/>
          <w:szCs w:val="20"/>
        </w:rPr>
        <w:t xml:space="preserve"> (…)</w:t>
      </w:r>
    </w:p>
    <w:p w14:paraId="0EA6B614" w14:textId="7EBE7971" w:rsidR="0096041E" w:rsidRDefault="0096041E" w:rsidP="0061198C">
      <w:pPr>
        <w:spacing w:before="60" w:after="60"/>
        <w:ind w:left="284"/>
        <w:rPr>
          <w:i/>
          <w:iCs/>
          <w:sz w:val="20"/>
          <w:szCs w:val="20"/>
        </w:rPr>
      </w:pPr>
      <w:r w:rsidRPr="0096041E">
        <w:rPr>
          <w:i/>
          <w:iCs/>
          <w:sz w:val="20"/>
          <w:szCs w:val="20"/>
        </w:rPr>
        <w:t>Consideramos que la unidad constructiva N102 que representa un menor valor aprobado de la inversión en $1.830.765.400, debe ser remunerada e incluida en la valoración de la inversión, toda vez que esta unidad constructiva corresponde a la Puesta a tierra de N1, valorada en $153.498 en el capítulo 14 de la tabla 30 de la Resolución CREG 015-2018. Si bien es cierto en dicha Resolución no cuenta con un código, entendemos que el código asignado fue presentado con la publicación del documento “Manual_reporte_activos_CREG015 - 2018” en la tabla 53 Formato 5.12. A continuación, en el Gráfico 1, la tabla que figura en dicho documento.</w:t>
      </w:r>
      <w:r>
        <w:rPr>
          <w:i/>
          <w:iCs/>
          <w:sz w:val="20"/>
          <w:szCs w:val="20"/>
        </w:rPr>
        <w:t xml:space="preserve"> (…) </w:t>
      </w:r>
    </w:p>
    <w:p w14:paraId="084855DD" w14:textId="2DD06283" w:rsidR="00E65927" w:rsidRDefault="00E65927" w:rsidP="00723E6C">
      <w:pPr>
        <w:keepNext/>
      </w:pPr>
      <w:r w:rsidRPr="007654F3">
        <w:rPr>
          <w:b/>
          <w:bCs/>
        </w:rPr>
        <w:t>Análisis de la Comisión</w:t>
      </w:r>
    </w:p>
    <w:p w14:paraId="466680CD" w14:textId="5DFDF9B0" w:rsidR="00155408" w:rsidRDefault="001B4E01" w:rsidP="00155408">
      <w:r>
        <w:t>Se verificó que la UC solicitada corresponde al sistema de puesta a tierra de nivel de tensión 1 definido en la tabla 30 del numeral 14.3 del anexo general de la Resolución CREG 015 de 2018</w:t>
      </w:r>
      <w:r w:rsidR="0061198C">
        <w:t>. P</w:t>
      </w:r>
      <w:r>
        <w:t xml:space="preserve">or lo anterior, se incluyen estas UC en el plan de inversiones reconocido. </w:t>
      </w:r>
    </w:p>
    <w:p w14:paraId="1FA99EF0" w14:textId="2AAC256A" w:rsidR="0096041E" w:rsidRDefault="0096041E" w:rsidP="00155408">
      <w:r>
        <w:rPr>
          <w:b/>
          <w:bCs/>
        </w:rPr>
        <w:t xml:space="preserve">Segunda </w:t>
      </w:r>
      <w:r w:rsidRPr="007654F3">
        <w:rPr>
          <w:b/>
          <w:bCs/>
        </w:rPr>
        <w:t xml:space="preserve">solicitud, numeral </w:t>
      </w:r>
      <w:r>
        <w:rPr>
          <w:b/>
          <w:bCs/>
        </w:rPr>
        <w:t>2</w:t>
      </w:r>
    </w:p>
    <w:p w14:paraId="6128B5D5" w14:textId="650C137C" w:rsidR="00FE775A" w:rsidRDefault="00FE775A" w:rsidP="0061198C">
      <w:pPr>
        <w:spacing w:before="60" w:after="60"/>
        <w:ind w:left="284"/>
        <w:rPr>
          <w:i/>
          <w:iCs/>
          <w:sz w:val="20"/>
          <w:szCs w:val="20"/>
        </w:rPr>
      </w:pPr>
      <w:r w:rsidRPr="00FE775A">
        <w:rPr>
          <w:i/>
          <w:iCs/>
          <w:sz w:val="20"/>
          <w:szCs w:val="20"/>
        </w:rPr>
        <w:t xml:space="preserve">2. Reconocer las 39 unidades constructivas de módulo común, nuevas y de reposición, está última tienen un IUA a remplazar, que presentan las observaciones tratadas en este documento. </w:t>
      </w:r>
      <w:r w:rsidR="0096041E">
        <w:rPr>
          <w:i/>
          <w:iCs/>
          <w:sz w:val="20"/>
          <w:szCs w:val="20"/>
        </w:rPr>
        <w:t>(…)</w:t>
      </w:r>
    </w:p>
    <w:p w14:paraId="4D97E592" w14:textId="77777777" w:rsidR="0096041E" w:rsidRPr="0096041E" w:rsidRDefault="0096041E" w:rsidP="0061198C">
      <w:pPr>
        <w:spacing w:before="60" w:after="60"/>
        <w:ind w:left="284"/>
        <w:rPr>
          <w:i/>
          <w:iCs/>
          <w:sz w:val="20"/>
          <w:szCs w:val="20"/>
        </w:rPr>
      </w:pPr>
      <w:r w:rsidRPr="0096041E">
        <w:rPr>
          <w:i/>
          <w:iCs/>
          <w:sz w:val="20"/>
          <w:szCs w:val="20"/>
        </w:rPr>
        <w:t xml:space="preserve">2. Unidades constructivas de módulo común donde indican en el formato 6 del INVA en el campo “Revisión CREG” que:   </w:t>
      </w:r>
    </w:p>
    <w:p w14:paraId="1B54634D" w14:textId="5B8FDEC3" w:rsidR="0096041E" w:rsidRDefault="0096041E" w:rsidP="0061198C">
      <w:pPr>
        <w:spacing w:before="60" w:after="60"/>
        <w:ind w:left="284"/>
        <w:rPr>
          <w:i/>
          <w:iCs/>
          <w:sz w:val="20"/>
          <w:szCs w:val="20"/>
        </w:rPr>
      </w:pPr>
      <w:r w:rsidRPr="0096041E">
        <w:rPr>
          <w:i/>
          <w:iCs/>
          <w:sz w:val="20"/>
          <w:szCs w:val="20"/>
        </w:rPr>
        <w:t>• “En un mismo nivel de tensión y subestación, no se contabilizan celdas si hay bahías convencionales” y que corresponden a 6 registros de las subestaciones con IUS 0083, 0078, 0112, 0107, 0166, 0131.  Para esta observación y registros se identifica que se requieren las unidades constructivas para la modernización de las subestaciones, las cuales tienen proyectado instalar gabinetes de llegada y salida de subestaciones que harán las veces de bahías para la conexión de las líneas y los transformadores de potencia, como se explicó en el documento soporte del plan de inversión para estos proyectos.</w:t>
      </w:r>
    </w:p>
    <w:p w14:paraId="5A6DDF28" w14:textId="6AEA85A3" w:rsidR="0096041E" w:rsidRPr="00976368" w:rsidRDefault="0096041E" w:rsidP="0061198C">
      <w:pPr>
        <w:spacing w:before="60" w:after="60"/>
        <w:ind w:left="284"/>
        <w:rPr>
          <w:i/>
          <w:iCs/>
          <w:sz w:val="20"/>
          <w:szCs w:val="20"/>
        </w:rPr>
      </w:pPr>
      <w:r w:rsidRPr="0096041E">
        <w:rPr>
          <w:i/>
          <w:iCs/>
          <w:sz w:val="20"/>
          <w:szCs w:val="20"/>
        </w:rPr>
        <w:t>“</w:t>
      </w:r>
      <w:r w:rsidRPr="00ED2DCF">
        <w:rPr>
          <w:i/>
          <w:iCs/>
          <w:sz w:val="20"/>
          <w:szCs w:val="20"/>
        </w:rPr>
        <w:t>No se encontraron bahías ni celdas nuevas, asociadas a la UC solicitada” y que corresponden a 39 registros en igual número de subestaciones. Para esta observación se identifican 36 registros asociados a proyectos donde se realizará reposición de los módulos comunes en las subestaciones, considerando que las subestaciones serán objeto de remodelación y modernización.</w:t>
      </w:r>
    </w:p>
    <w:p w14:paraId="4416E0D7" w14:textId="0B07FE22" w:rsidR="0096041E" w:rsidRPr="0096041E" w:rsidRDefault="0096041E" w:rsidP="0061198C">
      <w:pPr>
        <w:spacing w:before="60" w:after="60"/>
        <w:ind w:left="284"/>
        <w:rPr>
          <w:i/>
          <w:iCs/>
          <w:sz w:val="20"/>
          <w:szCs w:val="20"/>
        </w:rPr>
      </w:pPr>
      <w:r w:rsidRPr="0096041E">
        <w:rPr>
          <w:i/>
          <w:iCs/>
          <w:sz w:val="20"/>
          <w:szCs w:val="20"/>
        </w:rPr>
        <w:t xml:space="preserve">- En este sentido, para los 36 registros el número de bahías asociadas son existentes y por lo tanto se encuentran reportadas en el inventario, en el campo “IUA remplazar “se registra el código asociado a los activos a remplazar.  </w:t>
      </w:r>
    </w:p>
    <w:p w14:paraId="3CBC73BE" w14:textId="77777777" w:rsidR="0096041E" w:rsidRPr="0096041E" w:rsidRDefault="0096041E" w:rsidP="0061198C">
      <w:pPr>
        <w:spacing w:before="60" w:after="60"/>
        <w:ind w:left="284"/>
        <w:rPr>
          <w:i/>
          <w:iCs/>
          <w:sz w:val="20"/>
          <w:szCs w:val="20"/>
        </w:rPr>
      </w:pPr>
      <w:r w:rsidRPr="0096041E">
        <w:rPr>
          <w:i/>
          <w:iCs/>
          <w:sz w:val="20"/>
          <w:szCs w:val="20"/>
        </w:rPr>
        <w:t xml:space="preserve">De los 36, se identifica que en 35 registros la unidad constructiva correcta es N3S37 en vez de las unidades constructivas reportada con código N3S34 y N3S35. Las subestaciones que presentaron dicho inconveniente tienen por código IUS, los siguientes: 0171 ,0154 ,0101 ,0157 ,0135 ,0223 ,0042 ,0125 ,0146 ,0137 ,0112 ,0100 ,0214 ,0078 ,0166 ,0221 ,0148 ,0047 ,0064 ,0085 ,0066 ,0142 ,0156 ,0025 ,0092 ,0062 ,0161 ,0032 ,0145 ,0050 ,0184 ,0136 ,0149 ,0126 ,0083. </w:t>
      </w:r>
    </w:p>
    <w:p w14:paraId="24B11F7C" w14:textId="77777777" w:rsidR="0096041E" w:rsidRPr="0096041E" w:rsidRDefault="0096041E" w:rsidP="0061198C">
      <w:pPr>
        <w:spacing w:before="60" w:after="60"/>
        <w:ind w:left="284"/>
        <w:rPr>
          <w:i/>
          <w:iCs/>
          <w:sz w:val="20"/>
          <w:szCs w:val="20"/>
        </w:rPr>
      </w:pPr>
      <w:r w:rsidRPr="0096041E">
        <w:rPr>
          <w:i/>
          <w:iCs/>
          <w:sz w:val="20"/>
          <w:szCs w:val="20"/>
        </w:rPr>
        <w:t xml:space="preserve">El registro faltante, de los 36 antes mencionados, correspondiente al IUA provisional 10014008000 e IUS 0014 subestación Gambote, mantiene la unidad constructiva N3S34, y su bahía asociada es existente y reportada en el inventario. </w:t>
      </w:r>
    </w:p>
    <w:p w14:paraId="6871AF13" w14:textId="73C81720" w:rsidR="0096041E" w:rsidRDefault="0096041E" w:rsidP="0061198C">
      <w:pPr>
        <w:spacing w:before="60" w:after="60"/>
        <w:ind w:left="284"/>
        <w:rPr>
          <w:i/>
          <w:iCs/>
          <w:sz w:val="20"/>
          <w:szCs w:val="20"/>
        </w:rPr>
      </w:pPr>
      <w:r w:rsidRPr="0096041E">
        <w:rPr>
          <w:i/>
          <w:iCs/>
          <w:sz w:val="20"/>
          <w:szCs w:val="20"/>
        </w:rPr>
        <w:t>- Los restantes 3 registros corresponden a subestaciones donde se proyecta realizar una ampliación por nuevas líneas de conexión entre subestaciones (inicio y final), instalando unidades constructivas de bahías de líneas en cada una de estas, sin embargo, en el reporte las bahías quedaron asociada a la subestación inicio.</w:t>
      </w:r>
    </w:p>
    <w:p w14:paraId="2A68A4F0" w14:textId="77777777" w:rsidR="0096041E" w:rsidRDefault="0096041E" w:rsidP="0096041E">
      <w:r w:rsidRPr="007654F3">
        <w:rPr>
          <w:b/>
          <w:bCs/>
        </w:rPr>
        <w:t>Análisis de la Comisión</w:t>
      </w:r>
    </w:p>
    <w:p w14:paraId="48C40BF5" w14:textId="537E91F6" w:rsidR="006D7E34" w:rsidRDefault="00340976" w:rsidP="0096041E">
      <w:r>
        <w:t xml:space="preserve">De </w:t>
      </w:r>
      <w:r w:rsidR="00284DD0">
        <w:t>la información suministrada por el OR se identifica</w:t>
      </w:r>
      <w:r w:rsidR="003971DA">
        <w:t>ro</w:t>
      </w:r>
      <w:r w:rsidR="00DC3683">
        <w:t xml:space="preserve">n 39 UC de </w:t>
      </w:r>
      <w:r w:rsidR="00DC3683" w:rsidRPr="00ED2DCF">
        <w:t>modulo común</w:t>
      </w:r>
      <w:r w:rsidR="00EF6ADA" w:rsidRPr="00ED2DCF">
        <w:t xml:space="preserve"> sin bahías asociadas</w:t>
      </w:r>
      <w:r w:rsidR="00DC3683" w:rsidRPr="00ED2DCF">
        <w:t xml:space="preserve">, </w:t>
      </w:r>
      <w:r w:rsidR="00106B99" w:rsidRPr="00ED2DCF">
        <w:t xml:space="preserve">de las cuales </w:t>
      </w:r>
      <w:r w:rsidR="00EF6ADA" w:rsidRPr="00ED2DCF">
        <w:t xml:space="preserve">36 </w:t>
      </w:r>
      <w:r w:rsidR="00DC3683" w:rsidRPr="00ED2DCF">
        <w:t xml:space="preserve">están </w:t>
      </w:r>
      <w:r w:rsidR="00106B99" w:rsidRPr="00ED2DCF">
        <w:t xml:space="preserve">reportadas como </w:t>
      </w:r>
      <w:r w:rsidR="00DC3683" w:rsidRPr="00ED2DCF">
        <w:t>proyectos tipo IV</w:t>
      </w:r>
      <w:r w:rsidR="00EF6ADA" w:rsidRPr="00ED2DCF">
        <w:t xml:space="preserve"> </w:t>
      </w:r>
      <w:r w:rsidR="00106B99" w:rsidRPr="00ED2DCF">
        <w:t>(proyectos que no incluyen la reposición de activos)</w:t>
      </w:r>
      <w:r w:rsidR="0061198C">
        <w:t>,</w:t>
      </w:r>
      <w:r w:rsidR="00106B99" w:rsidRPr="00ED2DCF">
        <w:t xml:space="preserve"> </w:t>
      </w:r>
      <w:r w:rsidR="00EF6ADA" w:rsidRPr="00ED2DCF">
        <w:t>y solamente</w:t>
      </w:r>
      <w:r w:rsidR="00EF6ADA">
        <w:t xml:space="preserve"> una </w:t>
      </w:r>
      <w:r w:rsidR="008D466D">
        <w:t xml:space="preserve">UC </w:t>
      </w:r>
      <w:r w:rsidR="00EF6ADA">
        <w:t xml:space="preserve">está asociada a proyectos </w:t>
      </w:r>
      <w:r w:rsidR="008D466D">
        <w:t xml:space="preserve">de </w:t>
      </w:r>
      <w:r w:rsidR="00EF6ADA">
        <w:t>reposición</w:t>
      </w:r>
      <w:r w:rsidR="003971DA">
        <w:t>. E</w:t>
      </w:r>
      <w:r w:rsidR="006D7E34">
        <w:t xml:space="preserve">n </w:t>
      </w:r>
      <w:r w:rsidR="00DC3683">
        <w:t xml:space="preserve">el recurso de reposición el OR señala que estas UC de módulo común pertenecen a subestaciones </w:t>
      </w:r>
      <w:r w:rsidR="00106B99">
        <w:t xml:space="preserve">existentes </w:t>
      </w:r>
      <w:r w:rsidR="006D7E34">
        <w:t xml:space="preserve">que </w:t>
      </w:r>
      <w:r w:rsidR="00DC3683" w:rsidRPr="00DC3683">
        <w:t>serán objeto de remodelación y modernización</w:t>
      </w:r>
      <w:r w:rsidR="006D7E34">
        <w:t>, es decir</w:t>
      </w:r>
      <w:r w:rsidR="0061198C">
        <w:t>,</w:t>
      </w:r>
      <w:r w:rsidR="006D7E34">
        <w:t xml:space="preserve"> a proyectos de reposición.  </w:t>
      </w:r>
    </w:p>
    <w:p w14:paraId="617A5389" w14:textId="29923CF0" w:rsidR="00106B99" w:rsidRDefault="006D7E34" w:rsidP="0096041E">
      <w:r>
        <w:t>De otra pa</w:t>
      </w:r>
      <w:r w:rsidR="00106B99">
        <w:t>r</w:t>
      </w:r>
      <w:r>
        <w:t xml:space="preserve">te, el módulo común está compuesto </w:t>
      </w:r>
      <w:r w:rsidR="00106B99">
        <w:t xml:space="preserve">principalmente </w:t>
      </w:r>
      <w:r>
        <w:t xml:space="preserve">por obras civiles como son la excavación </w:t>
      </w:r>
      <w:r w:rsidR="00106B99">
        <w:t xml:space="preserve">y adecuación de terrenos, </w:t>
      </w:r>
      <w:r>
        <w:t>puesta a tierra</w:t>
      </w:r>
      <w:r w:rsidR="00106B99">
        <w:t>, cerramiento</w:t>
      </w:r>
      <w:r w:rsidR="00652979">
        <w:t>,</w:t>
      </w:r>
      <w:r w:rsidR="00106B99">
        <w:t xml:space="preserve"> y por algunos elementos de la subestación relacionados con servicios auxiliares</w:t>
      </w:r>
      <w:r w:rsidR="00652979">
        <w:t>. N</w:t>
      </w:r>
      <w:r w:rsidR="00106B99">
        <w:t xml:space="preserve">o obstante, en el reporte del OR no se incluye la fracción de costo </w:t>
      </w:r>
      <w:r w:rsidR="002578EA">
        <w:t xml:space="preserve">de </w:t>
      </w:r>
      <w:r w:rsidR="00106B99">
        <w:t>los elementos del módulo común a modificar</w:t>
      </w:r>
      <w:r w:rsidR="002578EA">
        <w:t>, por lo cual se entiende que se solicita la modificación de todos los elementos del módulo común.</w:t>
      </w:r>
      <w:r w:rsidR="00106B99">
        <w:t xml:space="preserve"> </w:t>
      </w:r>
    </w:p>
    <w:p w14:paraId="2DCC9390" w14:textId="5C254E42" w:rsidR="002578EA" w:rsidRDefault="00384E11" w:rsidP="0096041E">
      <w:r>
        <w:t xml:space="preserve">De </w:t>
      </w:r>
      <w:r w:rsidR="002578EA">
        <w:t xml:space="preserve">la información aportada no es </w:t>
      </w:r>
      <w:r>
        <w:t xml:space="preserve">claro el alcance de la remodelación y modernización de las subestaciones en relación con las actividades a realizar en las obras civiles y equipos incluidos en la UC de módulo común, tampoco coinciden las características del tipo de proyecto solicitado con la explicación dada en el recurso de reposición. </w:t>
      </w:r>
    </w:p>
    <w:p w14:paraId="56C6EEB6" w14:textId="0B9FF421" w:rsidR="002578EA" w:rsidRDefault="002578EA" w:rsidP="0096041E">
      <w:r>
        <w:t>De las 23 subestaciones con esta situación solamente una hace parte de los proyectos de inversión del 2021.</w:t>
      </w:r>
    </w:p>
    <w:p w14:paraId="0D3563F7" w14:textId="421648A4" w:rsidR="00284DD0" w:rsidRDefault="00384E11" w:rsidP="0096041E">
      <w:r>
        <w:t>Con base en lo anterior, n</w:t>
      </w:r>
      <w:r w:rsidR="00106B99">
        <w:t>o se modifica</w:t>
      </w:r>
      <w:r>
        <w:t xml:space="preserve"> </w:t>
      </w:r>
      <w:r w:rsidR="00106B99">
        <w:t xml:space="preserve">la aprobación </w:t>
      </w:r>
      <w:r>
        <w:t>de las UC de módulo común.</w:t>
      </w:r>
    </w:p>
    <w:p w14:paraId="1A2EC11A" w14:textId="78B911FB" w:rsidR="00284DD0" w:rsidRDefault="00284DD0" w:rsidP="00284DD0">
      <w:r>
        <w:rPr>
          <w:b/>
          <w:bCs/>
        </w:rPr>
        <w:t xml:space="preserve">Segunda </w:t>
      </w:r>
      <w:r w:rsidRPr="007654F3">
        <w:rPr>
          <w:b/>
          <w:bCs/>
        </w:rPr>
        <w:t xml:space="preserve">solicitud, numeral </w:t>
      </w:r>
      <w:r w:rsidR="008D466D">
        <w:rPr>
          <w:b/>
          <w:bCs/>
        </w:rPr>
        <w:t>3</w:t>
      </w:r>
    </w:p>
    <w:p w14:paraId="26371D2F" w14:textId="122B31BF" w:rsidR="000A5B7A" w:rsidRDefault="00FE775A" w:rsidP="00652979">
      <w:pPr>
        <w:spacing w:before="60" w:after="60"/>
        <w:ind w:left="284"/>
        <w:rPr>
          <w:i/>
          <w:iCs/>
          <w:sz w:val="20"/>
          <w:szCs w:val="20"/>
        </w:rPr>
      </w:pPr>
      <w:r w:rsidRPr="00FE775A">
        <w:rPr>
          <w:i/>
          <w:iCs/>
          <w:sz w:val="20"/>
          <w:szCs w:val="20"/>
        </w:rPr>
        <w:t>3. Ajustar los valores aprobados para las unidades constructivas especiales con los argumentos expuestos, equipo de control y comunicación en nivel de tensión 2 (N2EQ46), unidad constructiva de canalización 4X6” ducto embebido en hormigón (N2L142), centro de control tipo 2 Centro de control tipo 2 (SCADA+EMS+DMS Operativo) y sistema de gestión de activos.</w:t>
      </w:r>
      <w:r w:rsidR="000A5B7A">
        <w:rPr>
          <w:i/>
          <w:iCs/>
          <w:sz w:val="20"/>
          <w:szCs w:val="20"/>
        </w:rPr>
        <w:t xml:space="preserve"> (…)</w:t>
      </w:r>
    </w:p>
    <w:p w14:paraId="51822E7D" w14:textId="162E364B" w:rsidR="00EB2B1F" w:rsidRDefault="00EB2B1F" w:rsidP="00EB2B1F">
      <w:r>
        <w:rPr>
          <w:b/>
          <w:bCs/>
        </w:rPr>
        <w:t xml:space="preserve">Segunda </w:t>
      </w:r>
      <w:r w:rsidRPr="007654F3">
        <w:rPr>
          <w:b/>
          <w:bCs/>
        </w:rPr>
        <w:t xml:space="preserve">solicitud, numeral </w:t>
      </w:r>
      <w:r>
        <w:rPr>
          <w:b/>
          <w:bCs/>
        </w:rPr>
        <w:t>3.1</w:t>
      </w:r>
    </w:p>
    <w:p w14:paraId="4C2B79F7" w14:textId="0A3E4E53" w:rsidR="000A5B7A" w:rsidRPr="000A5B7A" w:rsidRDefault="000A5B7A" w:rsidP="00652979">
      <w:pPr>
        <w:spacing w:before="60" w:after="60"/>
        <w:ind w:left="284"/>
        <w:rPr>
          <w:i/>
          <w:iCs/>
          <w:sz w:val="20"/>
          <w:szCs w:val="20"/>
        </w:rPr>
      </w:pPr>
      <w:r w:rsidRPr="000A5B7A">
        <w:rPr>
          <w:i/>
          <w:iCs/>
          <w:sz w:val="20"/>
          <w:szCs w:val="20"/>
        </w:rPr>
        <w:t xml:space="preserve">Unidad constructiva Equipo de control y comunicación N2 (N2EQ46). Esta unidad constructiva especial fue aprobada con un valor de $29.766.112, valor que es menor al promedio de los valores cotizados por los tres proveedores consultados, donde se incluye montaje, interventoría, administración y costos financieros. </w:t>
      </w:r>
    </w:p>
    <w:p w14:paraId="3AF2CED3" w14:textId="77777777" w:rsidR="000A5B7A" w:rsidRPr="000A5B7A" w:rsidRDefault="000A5B7A" w:rsidP="00652979">
      <w:pPr>
        <w:spacing w:before="60" w:after="60"/>
        <w:ind w:left="284"/>
        <w:rPr>
          <w:i/>
          <w:iCs/>
          <w:sz w:val="20"/>
          <w:szCs w:val="20"/>
        </w:rPr>
      </w:pPr>
      <w:r w:rsidRPr="000A5B7A">
        <w:rPr>
          <w:i/>
          <w:iCs/>
          <w:sz w:val="20"/>
          <w:szCs w:val="20"/>
        </w:rPr>
        <w:t xml:space="preserve">La valoración total se muestra en la Tabla 12, aplicando la metodología propuesta por la CREG, donde al costo DDP se suman el montaje, administración, interventoría y costos financieros propuestos por Caribemar. </w:t>
      </w:r>
    </w:p>
    <w:p w14:paraId="500F0CEC" w14:textId="0A038356" w:rsidR="000A5B7A" w:rsidRDefault="000A5B7A" w:rsidP="00652979">
      <w:pPr>
        <w:spacing w:before="60" w:after="60"/>
        <w:ind w:left="284"/>
        <w:jc w:val="center"/>
        <w:rPr>
          <w:i/>
          <w:iCs/>
          <w:sz w:val="20"/>
          <w:szCs w:val="20"/>
        </w:rPr>
      </w:pPr>
      <w:r w:rsidRPr="000A5B7A">
        <w:rPr>
          <w:i/>
          <w:iCs/>
          <w:sz w:val="20"/>
          <w:szCs w:val="20"/>
        </w:rPr>
        <w:t xml:space="preserve">Tabla 12. Cotizaciones de los proveedores de equipos de control y comunicación. </w:t>
      </w:r>
      <w:r>
        <w:rPr>
          <w:i/>
          <w:iCs/>
          <w:sz w:val="20"/>
          <w:szCs w:val="20"/>
        </w:rPr>
        <w:t>(…)</w:t>
      </w:r>
    </w:p>
    <w:tbl>
      <w:tblPr>
        <w:tblStyle w:val="Tablaconcuadrcula"/>
        <w:tblW w:w="0" w:type="auto"/>
        <w:jc w:val="center"/>
        <w:tblLook w:val="04A0" w:firstRow="1" w:lastRow="0" w:firstColumn="1" w:lastColumn="0" w:noHBand="0" w:noVBand="1"/>
      </w:tblPr>
      <w:tblGrid>
        <w:gridCol w:w="1814"/>
        <w:gridCol w:w="2105"/>
      </w:tblGrid>
      <w:tr w:rsidR="000A5B7A" w14:paraId="2C8EBDCB" w14:textId="77777777" w:rsidTr="00242D27">
        <w:trPr>
          <w:trHeight w:val="283"/>
          <w:jc w:val="center"/>
        </w:trPr>
        <w:tc>
          <w:tcPr>
            <w:tcW w:w="1814" w:type="dxa"/>
          </w:tcPr>
          <w:p w14:paraId="1785DD8D" w14:textId="349F5A74" w:rsidR="000A5B7A" w:rsidRDefault="000A5B7A" w:rsidP="00652979">
            <w:pPr>
              <w:spacing w:before="0" w:after="0"/>
              <w:ind w:left="284"/>
              <w:jc w:val="center"/>
              <w:rPr>
                <w:i/>
                <w:iCs/>
                <w:sz w:val="20"/>
                <w:szCs w:val="20"/>
              </w:rPr>
            </w:pPr>
            <w:r>
              <w:rPr>
                <w:i/>
                <w:iCs/>
                <w:sz w:val="20"/>
                <w:szCs w:val="20"/>
              </w:rPr>
              <w:t>Oferta 1*</w:t>
            </w:r>
          </w:p>
        </w:tc>
        <w:tc>
          <w:tcPr>
            <w:tcW w:w="0" w:type="auto"/>
          </w:tcPr>
          <w:p w14:paraId="059126EB" w14:textId="05EC87D8" w:rsidR="000A5B7A" w:rsidRDefault="000A5B7A" w:rsidP="00652979">
            <w:pPr>
              <w:spacing w:before="0" w:after="0"/>
              <w:ind w:left="284"/>
              <w:jc w:val="right"/>
              <w:rPr>
                <w:i/>
                <w:iCs/>
                <w:sz w:val="20"/>
                <w:szCs w:val="20"/>
              </w:rPr>
            </w:pPr>
            <w:r w:rsidRPr="000A5B7A">
              <w:rPr>
                <w:i/>
                <w:iCs/>
                <w:sz w:val="20"/>
                <w:szCs w:val="20"/>
              </w:rPr>
              <w:t xml:space="preserve">$ 26.276.054,78 </w:t>
            </w:r>
          </w:p>
        </w:tc>
      </w:tr>
      <w:tr w:rsidR="000A5B7A" w14:paraId="15E80D4C" w14:textId="77777777" w:rsidTr="00242D27">
        <w:trPr>
          <w:trHeight w:val="283"/>
          <w:jc w:val="center"/>
        </w:trPr>
        <w:tc>
          <w:tcPr>
            <w:tcW w:w="1814" w:type="dxa"/>
          </w:tcPr>
          <w:p w14:paraId="7B13E5F7" w14:textId="605DD6E6" w:rsidR="000A5B7A" w:rsidRDefault="000A5B7A" w:rsidP="00652979">
            <w:pPr>
              <w:spacing w:before="0" w:after="0"/>
              <w:ind w:left="284"/>
              <w:jc w:val="center"/>
              <w:rPr>
                <w:i/>
                <w:iCs/>
                <w:sz w:val="20"/>
                <w:szCs w:val="20"/>
              </w:rPr>
            </w:pPr>
            <w:r>
              <w:rPr>
                <w:i/>
                <w:iCs/>
                <w:sz w:val="20"/>
                <w:szCs w:val="20"/>
              </w:rPr>
              <w:t>Oferta 2*</w:t>
            </w:r>
          </w:p>
        </w:tc>
        <w:tc>
          <w:tcPr>
            <w:tcW w:w="0" w:type="auto"/>
          </w:tcPr>
          <w:p w14:paraId="456A3109" w14:textId="5E241586" w:rsidR="000A5B7A" w:rsidRDefault="000A5B7A" w:rsidP="00652979">
            <w:pPr>
              <w:spacing w:before="0" w:after="0"/>
              <w:ind w:left="284"/>
              <w:jc w:val="right"/>
              <w:rPr>
                <w:i/>
                <w:iCs/>
                <w:sz w:val="20"/>
                <w:szCs w:val="20"/>
              </w:rPr>
            </w:pPr>
            <w:r w:rsidRPr="000A5B7A">
              <w:rPr>
                <w:i/>
                <w:iCs/>
                <w:sz w:val="20"/>
                <w:szCs w:val="20"/>
              </w:rPr>
              <w:t>$41.663.631,45</w:t>
            </w:r>
          </w:p>
        </w:tc>
      </w:tr>
      <w:tr w:rsidR="000A5B7A" w14:paraId="2F563FD6" w14:textId="77777777" w:rsidTr="00242D27">
        <w:trPr>
          <w:trHeight w:val="283"/>
          <w:jc w:val="center"/>
        </w:trPr>
        <w:tc>
          <w:tcPr>
            <w:tcW w:w="1814" w:type="dxa"/>
          </w:tcPr>
          <w:p w14:paraId="0252ED16" w14:textId="0B0A2FB1" w:rsidR="000A5B7A" w:rsidRDefault="000A5B7A" w:rsidP="00652979">
            <w:pPr>
              <w:spacing w:before="0" w:after="0"/>
              <w:ind w:left="284"/>
              <w:jc w:val="center"/>
              <w:rPr>
                <w:i/>
                <w:iCs/>
                <w:sz w:val="20"/>
                <w:szCs w:val="20"/>
              </w:rPr>
            </w:pPr>
            <w:r>
              <w:rPr>
                <w:i/>
                <w:iCs/>
                <w:sz w:val="20"/>
                <w:szCs w:val="20"/>
              </w:rPr>
              <w:t>Oferta 3*</w:t>
            </w:r>
          </w:p>
        </w:tc>
        <w:tc>
          <w:tcPr>
            <w:tcW w:w="0" w:type="auto"/>
          </w:tcPr>
          <w:p w14:paraId="425E1B9D" w14:textId="295AAE64" w:rsidR="000A5B7A" w:rsidRDefault="000A5B7A" w:rsidP="00652979">
            <w:pPr>
              <w:spacing w:before="0" w:after="0"/>
              <w:ind w:left="284"/>
              <w:jc w:val="right"/>
              <w:rPr>
                <w:i/>
                <w:iCs/>
                <w:sz w:val="20"/>
                <w:szCs w:val="20"/>
              </w:rPr>
            </w:pPr>
            <w:r w:rsidRPr="000A5B7A">
              <w:rPr>
                <w:i/>
                <w:iCs/>
                <w:sz w:val="20"/>
                <w:szCs w:val="20"/>
              </w:rPr>
              <w:t xml:space="preserve">$36.487.854,77 </w:t>
            </w:r>
          </w:p>
        </w:tc>
      </w:tr>
      <w:tr w:rsidR="000A5B7A" w14:paraId="0AD2E29A" w14:textId="77777777" w:rsidTr="00242D27">
        <w:trPr>
          <w:trHeight w:val="283"/>
          <w:jc w:val="center"/>
        </w:trPr>
        <w:tc>
          <w:tcPr>
            <w:tcW w:w="1814" w:type="dxa"/>
          </w:tcPr>
          <w:p w14:paraId="1ADBD182" w14:textId="2EEAEF56" w:rsidR="000A5B7A" w:rsidRDefault="000A5B7A" w:rsidP="00652979">
            <w:pPr>
              <w:spacing w:before="0" w:after="0"/>
              <w:ind w:left="284"/>
              <w:jc w:val="center"/>
              <w:rPr>
                <w:i/>
                <w:iCs/>
                <w:sz w:val="20"/>
                <w:szCs w:val="20"/>
              </w:rPr>
            </w:pPr>
            <w:r>
              <w:rPr>
                <w:i/>
                <w:iCs/>
                <w:sz w:val="20"/>
                <w:szCs w:val="20"/>
              </w:rPr>
              <w:t>Promedio</w:t>
            </w:r>
          </w:p>
        </w:tc>
        <w:tc>
          <w:tcPr>
            <w:tcW w:w="0" w:type="auto"/>
          </w:tcPr>
          <w:p w14:paraId="7E0116C1" w14:textId="5DA690C9" w:rsidR="000A5B7A" w:rsidRDefault="000A5B7A" w:rsidP="00652979">
            <w:pPr>
              <w:spacing w:before="0" w:after="0"/>
              <w:ind w:left="284"/>
              <w:jc w:val="right"/>
              <w:rPr>
                <w:i/>
                <w:iCs/>
                <w:sz w:val="20"/>
                <w:szCs w:val="20"/>
              </w:rPr>
            </w:pPr>
            <w:r w:rsidRPr="000A5B7A">
              <w:rPr>
                <w:i/>
                <w:iCs/>
                <w:sz w:val="20"/>
                <w:szCs w:val="20"/>
              </w:rPr>
              <w:t>$34.809.180,33</w:t>
            </w:r>
          </w:p>
        </w:tc>
      </w:tr>
    </w:tbl>
    <w:p w14:paraId="4F1EFCF9" w14:textId="16E0FDB5" w:rsidR="000A5B7A" w:rsidRPr="000A5B7A" w:rsidRDefault="000A5B7A" w:rsidP="00652979">
      <w:pPr>
        <w:spacing w:before="60" w:after="60"/>
        <w:ind w:left="284"/>
        <w:rPr>
          <w:i/>
          <w:iCs/>
          <w:sz w:val="20"/>
          <w:szCs w:val="20"/>
        </w:rPr>
      </w:pPr>
      <w:r w:rsidRPr="000A5B7A">
        <w:rPr>
          <w:i/>
          <w:iCs/>
          <w:sz w:val="20"/>
          <w:szCs w:val="20"/>
        </w:rPr>
        <w:t xml:space="preserve">Solicitamos a la Comisión, </w:t>
      </w:r>
      <w:r w:rsidRPr="0033593E">
        <w:rPr>
          <w:i/>
          <w:iCs/>
          <w:sz w:val="20"/>
          <w:szCs w:val="20"/>
          <w:u w:val="single"/>
        </w:rPr>
        <w:t>verificar sí en la valoración aprobada se incluyeron los costos de interventoría, administración y costos financieros, en el entendido que el documento de la resolución solo especifica que los costos de montaje representan el 6,1% del valor de los equipos, observando que este valor es similar al aprobado</w:t>
      </w:r>
      <w:r w:rsidRPr="000A5B7A">
        <w:rPr>
          <w:i/>
          <w:iCs/>
          <w:sz w:val="20"/>
          <w:szCs w:val="20"/>
        </w:rPr>
        <w:t xml:space="preserve">, aplicando el promedio de las cotizaciones, conforme se observa en la Tabla 13. </w:t>
      </w:r>
    </w:p>
    <w:p w14:paraId="1E203033" w14:textId="6D82613D" w:rsidR="000A5B7A" w:rsidRDefault="000A5B7A" w:rsidP="00652979">
      <w:pPr>
        <w:spacing w:before="60" w:after="60"/>
        <w:ind w:left="284"/>
        <w:jc w:val="center"/>
        <w:rPr>
          <w:i/>
          <w:iCs/>
          <w:sz w:val="20"/>
          <w:szCs w:val="20"/>
        </w:rPr>
      </w:pPr>
      <w:r w:rsidRPr="000A5B7A">
        <w:rPr>
          <w:i/>
          <w:iCs/>
          <w:sz w:val="20"/>
          <w:szCs w:val="20"/>
        </w:rPr>
        <w:t>Tabla 13. Cotizaciones ajustando el valor de montaje.</w:t>
      </w:r>
      <w:r>
        <w:rPr>
          <w:i/>
          <w:iCs/>
          <w:sz w:val="20"/>
          <w:szCs w:val="20"/>
        </w:rPr>
        <w:t xml:space="preserve"> (…)</w:t>
      </w:r>
    </w:p>
    <w:tbl>
      <w:tblPr>
        <w:tblStyle w:val="Tablaconcuadrcula"/>
        <w:tblW w:w="0" w:type="auto"/>
        <w:jc w:val="center"/>
        <w:tblLook w:val="04A0" w:firstRow="1" w:lastRow="0" w:firstColumn="1" w:lastColumn="0" w:noHBand="0" w:noVBand="1"/>
      </w:tblPr>
      <w:tblGrid>
        <w:gridCol w:w="3156"/>
        <w:gridCol w:w="1921"/>
      </w:tblGrid>
      <w:tr w:rsidR="000A5B7A" w14:paraId="2A4B4136" w14:textId="77777777" w:rsidTr="00242D27">
        <w:trPr>
          <w:trHeight w:val="283"/>
          <w:jc w:val="center"/>
        </w:trPr>
        <w:tc>
          <w:tcPr>
            <w:tcW w:w="0" w:type="auto"/>
          </w:tcPr>
          <w:p w14:paraId="54A49F1F" w14:textId="77777777" w:rsidR="000A5B7A" w:rsidRDefault="000A5B7A" w:rsidP="00652979">
            <w:pPr>
              <w:spacing w:before="0" w:after="0"/>
              <w:ind w:left="284"/>
              <w:jc w:val="center"/>
              <w:rPr>
                <w:i/>
                <w:iCs/>
                <w:sz w:val="20"/>
                <w:szCs w:val="20"/>
              </w:rPr>
            </w:pPr>
            <w:r>
              <w:rPr>
                <w:i/>
                <w:iCs/>
                <w:sz w:val="20"/>
                <w:szCs w:val="20"/>
              </w:rPr>
              <w:t>Oferta 1*</w:t>
            </w:r>
          </w:p>
        </w:tc>
        <w:tc>
          <w:tcPr>
            <w:tcW w:w="0" w:type="auto"/>
          </w:tcPr>
          <w:p w14:paraId="4A794B51" w14:textId="7E882510" w:rsidR="000A5B7A" w:rsidRDefault="000A5B7A" w:rsidP="00652979">
            <w:pPr>
              <w:spacing w:before="0" w:after="0"/>
              <w:ind w:left="284"/>
              <w:jc w:val="right"/>
              <w:rPr>
                <w:i/>
                <w:iCs/>
                <w:sz w:val="20"/>
                <w:szCs w:val="20"/>
              </w:rPr>
            </w:pPr>
            <w:r w:rsidRPr="000A5B7A">
              <w:rPr>
                <w:i/>
                <w:iCs/>
                <w:sz w:val="20"/>
                <w:szCs w:val="20"/>
              </w:rPr>
              <w:t xml:space="preserve">22.985.656,64 </w:t>
            </w:r>
          </w:p>
        </w:tc>
      </w:tr>
      <w:tr w:rsidR="000A5B7A" w14:paraId="26733650" w14:textId="77777777" w:rsidTr="00242D27">
        <w:trPr>
          <w:trHeight w:val="283"/>
          <w:jc w:val="center"/>
        </w:trPr>
        <w:tc>
          <w:tcPr>
            <w:tcW w:w="0" w:type="auto"/>
          </w:tcPr>
          <w:p w14:paraId="241185D7" w14:textId="77777777" w:rsidR="000A5B7A" w:rsidRDefault="000A5B7A" w:rsidP="00652979">
            <w:pPr>
              <w:spacing w:before="0" w:after="0"/>
              <w:ind w:left="284"/>
              <w:jc w:val="center"/>
              <w:rPr>
                <w:i/>
                <w:iCs/>
                <w:sz w:val="20"/>
                <w:szCs w:val="20"/>
              </w:rPr>
            </w:pPr>
            <w:r>
              <w:rPr>
                <w:i/>
                <w:iCs/>
                <w:sz w:val="20"/>
                <w:szCs w:val="20"/>
              </w:rPr>
              <w:t>Oferta 2*</w:t>
            </w:r>
          </w:p>
        </w:tc>
        <w:tc>
          <w:tcPr>
            <w:tcW w:w="0" w:type="auto"/>
          </w:tcPr>
          <w:p w14:paraId="4F485F0C" w14:textId="4F456D7B" w:rsidR="000A5B7A" w:rsidRDefault="000A5B7A" w:rsidP="00652979">
            <w:pPr>
              <w:spacing w:before="0" w:after="0"/>
              <w:ind w:left="284"/>
              <w:jc w:val="right"/>
              <w:rPr>
                <w:i/>
                <w:iCs/>
                <w:sz w:val="20"/>
                <w:szCs w:val="20"/>
              </w:rPr>
            </w:pPr>
            <w:r w:rsidRPr="000A5B7A">
              <w:rPr>
                <w:i/>
                <w:iCs/>
                <w:sz w:val="20"/>
                <w:szCs w:val="20"/>
              </w:rPr>
              <w:t>36.579.510,80</w:t>
            </w:r>
          </w:p>
        </w:tc>
      </w:tr>
      <w:tr w:rsidR="000A5B7A" w14:paraId="28D0B515" w14:textId="77777777" w:rsidTr="00242D27">
        <w:trPr>
          <w:trHeight w:val="283"/>
          <w:jc w:val="center"/>
        </w:trPr>
        <w:tc>
          <w:tcPr>
            <w:tcW w:w="0" w:type="auto"/>
          </w:tcPr>
          <w:p w14:paraId="2CF76492" w14:textId="77777777" w:rsidR="000A5B7A" w:rsidRDefault="000A5B7A" w:rsidP="00652979">
            <w:pPr>
              <w:spacing w:before="0" w:after="0"/>
              <w:ind w:left="284"/>
              <w:jc w:val="center"/>
              <w:rPr>
                <w:i/>
                <w:iCs/>
                <w:sz w:val="20"/>
                <w:szCs w:val="20"/>
              </w:rPr>
            </w:pPr>
            <w:r>
              <w:rPr>
                <w:i/>
                <w:iCs/>
                <w:sz w:val="20"/>
                <w:szCs w:val="20"/>
              </w:rPr>
              <w:t>Oferta 3*</w:t>
            </w:r>
          </w:p>
        </w:tc>
        <w:tc>
          <w:tcPr>
            <w:tcW w:w="0" w:type="auto"/>
          </w:tcPr>
          <w:p w14:paraId="29D9EFC9" w14:textId="334AAC66" w:rsidR="000A5B7A" w:rsidRDefault="000A5B7A" w:rsidP="00652979">
            <w:pPr>
              <w:spacing w:before="0" w:after="0"/>
              <w:ind w:left="284"/>
              <w:jc w:val="right"/>
              <w:rPr>
                <w:i/>
                <w:iCs/>
                <w:sz w:val="20"/>
                <w:szCs w:val="20"/>
              </w:rPr>
            </w:pPr>
            <w:r w:rsidRPr="000A5B7A">
              <w:rPr>
                <w:i/>
                <w:iCs/>
                <w:sz w:val="20"/>
                <w:szCs w:val="20"/>
              </w:rPr>
              <w:t>32.007.071,95</w:t>
            </w:r>
          </w:p>
        </w:tc>
      </w:tr>
      <w:tr w:rsidR="000A5B7A" w14:paraId="2D39D942" w14:textId="77777777" w:rsidTr="00242D27">
        <w:trPr>
          <w:trHeight w:val="283"/>
          <w:jc w:val="center"/>
        </w:trPr>
        <w:tc>
          <w:tcPr>
            <w:tcW w:w="0" w:type="auto"/>
          </w:tcPr>
          <w:p w14:paraId="69BFAFE8" w14:textId="595C3795" w:rsidR="000A5B7A" w:rsidRDefault="000A5B7A" w:rsidP="00652979">
            <w:pPr>
              <w:spacing w:before="0" w:after="0"/>
              <w:ind w:left="284"/>
              <w:jc w:val="center"/>
              <w:rPr>
                <w:i/>
                <w:iCs/>
                <w:sz w:val="20"/>
                <w:szCs w:val="20"/>
              </w:rPr>
            </w:pPr>
            <w:r w:rsidRPr="000A5B7A">
              <w:rPr>
                <w:i/>
                <w:iCs/>
                <w:sz w:val="20"/>
                <w:szCs w:val="20"/>
              </w:rPr>
              <w:t>Promedio (DDP + 6.1% DDP)</w:t>
            </w:r>
          </w:p>
        </w:tc>
        <w:tc>
          <w:tcPr>
            <w:tcW w:w="0" w:type="auto"/>
          </w:tcPr>
          <w:p w14:paraId="79CC49D8" w14:textId="0EA443BB" w:rsidR="000A5B7A" w:rsidRDefault="000A5B7A" w:rsidP="00652979">
            <w:pPr>
              <w:spacing w:before="0" w:after="0"/>
              <w:ind w:left="284"/>
              <w:jc w:val="right"/>
              <w:rPr>
                <w:i/>
                <w:iCs/>
                <w:sz w:val="20"/>
                <w:szCs w:val="20"/>
              </w:rPr>
            </w:pPr>
            <w:r w:rsidRPr="000A5B7A">
              <w:rPr>
                <w:i/>
                <w:iCs/>
                <w:sz w:val="20"/>
                <w:szCs w:val="20"/>
              </w:rPr>
              <w:t>30.524.079,79</w:t>
            </w:r>
          </w:p>
        </w:tc>
      </w:tr>
    </w:tbl>
    <w:p w14:paraId="2B078833" w14:textId="07F394DF" w:rsidR="00EB2B1F" w:rsidRDefault="00EB2B1F" w:rsidP="00652979">
      <w:pPr>
        <w:spacing w:before="60" w:after="60"/>
        <w:ind w:left="2127"/>
        <w:rPr>
          <w:i/>
          <w:iCs/>
          <w:sz w:val="20"/>
          <w:szCs w:val="20"/>
        </w:rPr>
      </w:pPr>
      <w:r>
        <w:rPr>
          <w:i/>
          <w:iCs/>
          <w:sz w:val="20"/>
          <w:szCs w:val="20"/>
        </w:rPr>
        <w:t xml:space="preserve">(* no se </w:t>
      </w:r>
      <w:r w:rsidR="00A37CC4">
        <w:rPr>
          <w:i/>
          <w:iCs/>
          <w:sz w:val="20"/>
          <w:szCs w:val="20"/>
        </w:rPr>
        <w:t xml:space="preserve">incluyen </w:t>
      </w:r>
      <w:r>
        <w:rPr>
          <w:i/>
          <w:iCs/>
          <w:sz w:val="20"/>
          <w:szCs w:val="20"/>
        </w:rPr>
        <w:t>los nombres de los proponentes)</w:t>
      </w:r>
    </w:p>
    <w:p w14:paraId="36EC8719" w14:textId="6C272864" w:rsidR="00EB2B1F" w:rsidRDefault="00EB2B1F" w:rsidP="00652979">
      <w:pPr>
        <w:spacing w:before="60" w:after="60"/>
        <w:ind w:left="284"/>
        <w:rPr>
          <w:b/>
          <w:bCs/>
        </w:rPr>
      </w:pPr>
      <w:r>
        <w:rPr>
          <w:i/>
          <w:iCs/>
          <w:sz w:val="20"/>
          <w:szCs w:val="20"/>
        </w:rPr>
        <w:t>Subrayado fuera de texto</w:t>
      </w:r>
    </w:p>
    <w:p w14:paraId="2CB40F83" w14:textId="4EC710C9" w:rsidR="008D466D" w:rsidRDefault="008D466D" w:rsidP="008D466D">
      <w:r w:rsidRPr="007654F3">
        <w:rPr>
          <w:b/>
          <w:bCs/>
        </w:rPr>
        <w:t>Análisis de la Comisión</w:t>
      </w:r>
    </w:p>
    <w:p w14:paraId="02B1ADFA" w14:textId="77777777" w:rsidR="000A5B7A" w:rsidRDefault="000A5B7A" w:rsidP="000A5B7A">
      <w:r>
        <w:t xml:space="preserve">En el documento de soporte de la Resolución CREG 025 de 2021 se señala lo siguiente: </w:t>
      </w:r>
    </w:p>
    <w:p w14:paraId="52DB7EF2" w14:textId="65D6F63F" w:rsidR="000A5B7A" w:rsidRPr="000A5B7A" w:rsidRDefault="000A5B7A" w:rsidP="00652979">
      <w:pPr>
        <w:ind w:left="284"/>
        <w:rPr>
          <w:i/>
          <w:iCs/>
          <w:sz w:val="20"/>
          <w:szCs w:val="20"/>
        </w:rPr>
      </w:pPr>
      <w:r w:rsidRPr="000A5B7A">
        <w:rPr>
          <w:i/>
          <w:iCs/>
          <w:sz w:val="20"/>
          <w:szCs w:val="20"/>
        </w:rPr>
        <w:t xml:space="preserve">Para la UC Equipo de control y telecomunicaciones N2, se utiliza como referencia el costo DDP de las cotizaciones suministradas por el OR, se ajusta con la TRM de julio de 2020 y posteriormente se lleva a pesos de diciembre de 2017. El costo de instalación es del 6.1% que corresponde al porcentaje de instalación de equipos de línea de nivel de tensión 2 como seccionalizador con control inteligente, 400A - N2, reconectador - N2, interruptor de transferencia en SF6 - N2, entre otros.  </w:t>
      </w:r>
    </w:p>
    <w:p w14:paraId="3187DD42" w14:textId="5DF99906" w:rsidR="0033593E" w:rsidRDefault="0033593E" w:rsidP="003971DA">
      <w:r>
        <w:t xml:space="preserve">En relación con el porcentaje </w:t>
      </w:r>
      <w:r w:rsidR="00F63FF5">
        <w:t xml:space="preserve">promedio </w:t>
      </w:r>
      <w:r>
        <w:t>del 6.1%</w:t>
      </w:r>
      <w:r w:rsidR="00652979">
        <w:t>,</w:t>
      </w:r>
      <w:r>
        <w:t xml:space="preserve"> se verificó que este </w:t>
      </w:r>
      <w:r w:rsidR="003971DA">
        <w:t xml:space="preserve">el costo asociado con el </w:t>
      </w:r>
      <w:r>
        <w:t xml:space="preserve">valor DDP, </w:t>
      </w:r>
      <w:r w:rsidR="003971DA">
        <w:t xml:space="preserve">así como, los costos de </w:t>
      </w:r>
      <w:r w:rsidRPr="0033593E">
        <w:t>montaje</w:t>
      </w:r>
      <w:r>
        <w:t xml:space="preserve">, ingeniería, </w:t>
      </w:r>
      <w:r w:rsidRPr="0033593E">
        <w:t>interventoría</w:t>
      </w:r>
      <w:r>
        <w:t xml:space="preserve">, </w:t>
      </w:r>
      <w:r w:rsidRPr="0033593E">
        <w:t xml:space="preserve">administración </w:t>
      </w:r>
      <w:r>
        <w:t xml:space="preserve">de la </w:t>
      </w:r>
      <w:r w:rsidRPr="0033593E">
        <w:t>ejecución</w:t>
      </w:r>
      <w:r>
        <w:t xml:space="preserve">, </w:t>
      </w:r>
      <w:r w:rsidRPr="0033593E">
        <w:t xml:space="preserve">inspección </w:t>
      </w:r>
      <w:r>
        <w:t xml:space="preserve">y </w:t>
      </w:r>
      <w:r w:rsidRPr="0033593E">
        <w:t>costos financieros</w:t>
      </w:r>
      <w:r>
        <w:t>.</w:t>
      </w:r>
    </w:p>
    <w:p w14:paraId="360B6C04" w14:textId="4B7074A3" w:rsidR="008D466D" w:rsidRDefault="0033593E" w:rsidP="00CA55CE">
      <w:r>
        <w:t>De acuerdo con la metodología aplicada</w:t>
      </w:r>
      <w:r w:rsidR="00652979">
        <w:t>,</w:t>
      </w:r>
      <w:r>
        <w:t xml:space="preserve"> se obtiene un valor de </w:t>
      </w:r>
      <w:r w:rsidRPr="0033593E">
        <w:t>32.819.184</w:t>
      </w:r>
      <w:r w:rsidR="00F63FF5">
        <w:t xml:space="preserve">, los cuales son indexados a pesos de diciembre de 2017, fecha de referencia de las UC del capítulo 14 de la Resolución CREG 015 de 2018, con lo que se obtiene un valor </w:t>
      </w:r>
      <w:r w:rsidR="00EB2B1F">
        <w:t xml:space="preserve">final </w:t>
      </w:r>
      <w:r w:rsidR="00F63FF5">
        <w:t xml:space="preserve">de </w:t>
      </w:r>
      <w:r w:rsidR="00F63FF5" w:rsidRPr="00F63FF5">
        <w:t>29.766.112</w:t>
      </w:r>
      <w:r w:rsidR="00EB2B1F">
        <w:t xml:space="preserve"> pesos de diciembre de 2017</w:t>
      </w:r>
      <w:r w:rsidR="00F63FF5">
        <w:t>.</w:t>
      </w:r>
    </w:p>
    <w:p w14:paraId="61EBE97E" w14:textId="64C2FE81" w:rsidR="00EB2B1F" w:rsidRDefault="00EB2B1F" w:rsidP="00EB2B1F">
      <w:pPr>
        <w:rPr>
          <w:b/>
          <w:bCs/>
        </w:rPr>
      </w:pPr>
      <w:r>
        <w:rPr>
          <w:b/>
          <w:bCs/>
        </w:rPr>
        <w:t xml:space="preserve">Segunda </w:t>
      </w:r>
      <w:r w:rsidRPr="007654F3">
        <w:rPr>
          <w:b/>
          <w:bCs/>
        </w:rPr>
        <w:t xml:space="preserve">solicitud, numeral </w:t>
      </w:r>
      <w:r>
        <w:rPr>
          <w:b/>
          <w:bCs/>
        </w:rPr>
        <w:t>3.2</w:t>
      </w:r>
    </w:p>
    <w:p w14:paraId="62963AD4" w14:textId="77777777" w:rsidR="00EB2B1F" w:rsidRPr="00EB2B1F" w:rsidRDefault="00EB2B1F" w:rsidP="00652979">
      <w:pPr>
        <w:ind w:left="284"/>
        <w:rPr>
          <w:i/>
          <w:iCs/>
          <w:sz w:val="20"/>
          <w:szCs w:val="20"/>
        </w:rPr>
      </w:pPr>
      <w:r w:rsidRPr="00EB2B1F">
        <w:rPr>
          <w:i/>
          <w:iCs/>
          <w:sz w:val="20"/>
          <w:szCs w:val="20"/>
        </w:rPr>
        <w:t xml:space="preserve">Unidad constructiva Canalización 4 x 6” ducto embebido en hormigón (N2L142). Para esta UC, se aprobó un valor de $675.373.646, que difiere del valor solicitado inicialmente de $763.783.843, el cual fue soportado en el APU de la obra civil en el numeral 8.3.6. del documento soporte del plan de inversión entregado a la CREG. </w:t>
      </w:r>
    </w:p>
    <w:p w14:paraId="6759CB13" w14:textId="77777777" w:rsidR="00EB2B1F" w:rsidRPr="00EB2B1F" w:rsidRDefault="00EB2B1F" w:rsidP="00652979">
      <w:pPr>
        <w:ind w:left="284"/>
        <w:rPr>
          <w:i/>
          <w:iCs/>
          <w:sz w:val="20"/>
          <w:szCs w:val="20"/>
        </w:rPr>
      </w:pPr>
      <w:r w:rsidRPr="00EB2B1F">
        <w:rPr>
          <w:i/>
          <w:iCs/>
          <w:sz w:val="20"/>
          <w:szCs w:val="20"/>
        </w:rPr>
        <w:t>Para este caso, es importante resaltar que existe una UC reconocida en la Resolución CREG 015 de 2018, cuyo código y descripción es, respectivamente,</w:t>
      </w:r>
      <w:r>
        <w:rPr>
          <w:i/>
          <w:iCs/>
          <w:sz w:val="20"/>
          <w:szCs w:val="20"/>
        </w:rPr>
        <w:t xml:space="preserve"> </w:t>
      </w:r>
      <w:r w:rsidRPr="00EB2B1F">
        <w:rPr>
          <w:i/>
          <w:iCs/>
          <w:sz w:val="20"/>
          <w:szCs w:val="20"/>
        </w:rPr>
        <w:t xml:space="preserve">N2L79 - Canalización urbana 6x4” y 3x6” valorada en $828.685.000; un 23% mayor que la aprobada en la UC y la cual contempla solo 3 tubos de 6”. La UC especial referenciada tiene un tubo adicional de 6” (4 tubos en contraste con los tres tubos de la UC N2L79) y por tanto su valoración debe ser mayor. </w:t>
      </w:r>
    </w:p>
    <w:p w14:paraId="27AA86B0" w14:textId="7AD095EE" w:rsidR="00EB2B1F" w:rsidRPr="00EB2B1F" w:rsidRDefault="00EB2B1F" w:rsidP="00652979">
      <w:pPr>
        <w:ind w:left="284"/>
        <w:rPr>
          <w:i/>
          <w:iCs/>
          <w:sz w:val="20"/>
          <w:szCs w:val="20"/>
        </w:rPr>
      </w:pPr>
      <w:r w:rsidRPr="00EB2B1F">
        <w:rPr>
          <w:i/>
          <w:iCs/>
          <w:sz w:val="20"/>
          <w:szCs w:val="20"/>
        </w:rPr>
        <w:t>El valor propuesto por Caribemar representa el costo de la ejecución de la unidad constructiva de acuerdo con los costos reales del mercado justificados y soportados. En este sentido, solicitamos a la Comisión una nueva revisión a la valoración propuesta.</w:t>
      </w:r>
    </w:p>
    <w:p w14:paraId="63AE05DB" w14:textId="262385B1" w:rsidR="00D109CE" w:rsidRDefault="00D109CE" w:rsidP="00620DCF">
      <w:r w:rsidRPr="007654F3">
        <w:rPr>
          <w:b/>
          <w:bCs/>
        </w:rPr>
        <w:t>Análisis de la Comisión</w:t>
      </w:r>
    </w:p>
    <w:p w14:paraId="30EE2AA4" w14:textId="3FBABF5E" w:rsidR="00620DCF" w:rsidRDefault="00620DCF" w:rsidP="00620DCF">
      <w:r>
        <w:t xml:space="preserve">En relación con la solicitud </w:t>
      </w:r>
      <w:r w:rsidR="003971DA">
        <w:t>de</w:t>
      </w:r>
      <w:r>
        <w:t xml:space="preserve"> aprobación de UC especiales, en el numeral 14 del anexo general de la Resolución CREG 015 de 2018</w:t>
      </w:r>
      <w:r w:rsidR="00652979">
        <w:t>,</w:t>
      </w:r>
      <w:r>
        <w:t xml:space="preserve"> se señala lo siguiente: </w:t>
      </w:r>
    </w:p>
    <w:p w14:paraId="3BE6933F" w14:textId="77777777" w:rsidR="00620DCF" w:rsidRDefault="00620DCF" w:rsidP="00652979">
      <w:pPr>
        <w:spacing w:before="60" w:after="60"/>
        <w:ind w:left="284"/>
        <w:rPr>
          <w:i/>
          <w:iCs/>
          <w:sz w:val="20"/>
          <w:szCs w:val="20"/>
        </w:rPr>
      </w:pPr>
      <w:r w:rsidRPr="00602457">
        <w:rPr>
          <w:i/>
          <w:iCs/>
          <w:sz w:val="20"/>
          <w:szCs w:val="20"/>
        </w:rPr>
        <w:t xml:space="preserve">Cuando existan </w:t>
      </w:r>
      <w:r w:rsidRPr="00602457">
        <w:rPr>
          <w:i/>
          <w:iCs/>
          <w:sz w:val="20"/>
          <w:szCs w:val="20"/>
          <w:u w:val="single"/>
        </w:rPr>
        <w:t>activos con características técnicas distintas a las de las UC establecidas, los OR podrán solicitar a la Comisión la creación de UC especiales</w:t>
      </w:r>
      <w:r w:rsidRPr="00602457">
        <w:rPr>
          <w:i/>
          <w:iCs/>
          <w:sz w:val="20"/>
          <w:szCs w:val="20"/>
        </w:rPr>
        <w:t xml:space="preserve">. La solicitud debe estar acompañada de las consideraciones técnicas que justifican la creación de la UC especial, el </w:t>
      </w:r>
      <w:r w:rsidRPr="00602457">
        <w:rPr>
          <w:i/>
          <w:iCs/>
          <w:sz w:val="20"/>
          <w:szCs w:val="20"/>
          <w:u w:val="single"/>
        </w:rPr>
        <w:t>costo detallado de cada equipo que la compone y los costos de instalación asociados</w:t>
      </w:r>
      <w:r w:rsidRPr="00602457">
        <w:rPr>
          <w:i/>
          <w:iCs/>
          <w:sz w:val="20"/>
          <w:szCs w:val="20"/>
        </w:rPr>
        <w:t>. Para adquisiciones directas se debe adjuntar tres cotizaciones de suministro e instalación de los equipos que la conforman y para adquisiciones a través de concursos abiertos o licitaciones se deben enviar los documentos que acreditan su realización incluyendo los pliegos de solicitudes, términos de referencia, etc.</w:t>
      </w:r>
    </w:p>
    <w:p w14:paraId="17AB9E2C" w14:textId="77777777" w:rsidR="00620DCF" w:rsidRDefault="00620DCF" w:rsidP="00652979">
      <w:pPr>
        <w:spacing w:before="60" w:after="60"/>
        <w:ind w:left="284"/>
      </w:pPr>
      <w:r>
        <w:rPr>
          <w:i/>
          <w:iCs/>
          <w:sz w:val="20"/>
          <w:szCs w:val="20"/>
        </w:rPr>
        <w:t>Subrayado fuera de texto</w:t>
      </w:r>
    </w:p>
    <w:p w14:paraId="2DDFBFFF" w14:textId="63201284" w:rsidR="00620DCF" w:rsidRDefault="00620DCF" w:rsidP="00620DCF">
      <w:r>
        <w:t>De lo anterior es claro que las UC especiales se crean cuando existen activos con características técnicas diferentes a las de UC ya establecidas</w:t>
      </w:r>
      <w:r w:rsidR="00652979">
        <w:t>,</w:t>
      </w:r>
      <w:r>
        <w:t xml:space="preserve"> y no a diferencias en los costos de </w:t>
      </w:r>
      <w:r w:rsidR="003971DA">
        <w:t xml:space="preserve">la UC o de sus </w:t>
      </w:r>
      <w:r>
        <w:t xml:space="preserve">componentes. </w:t>
      </w:r>
    </w:p>
    <w:p w14:paraId="3D0E98AC" w14:textId="6073354E" w:rsidR="00620DCF" w:rsidRDefault="00620DCF" w:rsidP="00620DCF">
      <w:r>
        <w:t xml:space="preserve">La aprobación de las UC especiales está sujeta a la revisión de las actividades y costos por parte de la Comisión, y en este sentido, se entiende que para actividades, elementos o materiales que sean iguales </w:t>
      </w:r>
      <w:r w:rsidR="003971DA">
        <w:t xml:space="preserve">para </w:t>
      </w:r>
      <w:r>
        <w:t>las UC ya establecidas y las UC especiales se deben reconocer los valores ya definidos en la regulación. Lo anterior teniendo en cuenta que estos fueron parte de los análisis realizados por la Comisión para la expedición de la metodología, fueron construidos con base en la información aportada por las empresas de distribución</w:t>
      </w:r>
      <w:r w:rsidR="00652979">
        <w:t>,</w:t>
      </w:r>
      <w:r>
        <w:t xml:space="preserve"> y ya fueron objeto de discusión durante el proceso de aprobación de la metodología.</w:t>
      </w:r>
    </w:p>
    <w:p w14:paraId="279F1F96" w14:textId="65A4945D" w:rsidR="00620DCF" w:rsidRDefault="00620DCF" w:rsidP="00620DCF">
      <w:r>
        <w:t xml:space="preserve">Para la valoración de la UC especial de canalización de 4 tubos de 6” se </w:t>
      </w:r>
      <w:r w:rsidRPr="00BD524F">
        <w:t xml:space="preserve">mantienen las </w:t>
      </w:r>
      <w:r>
        <w:t xml:space="preserve">actividades y </w:t>
      </w:r>
      <w:r w:rsidRPr="00BD524F">
        <w:t>cantidades solicitadas por el OR</w:t>
      </w:r>
      <w:r w:rsidR="00652979">
        <w:t>. S</w:t>
      </w:r>
      <w:r>
        <w:t xml:space="preserve">in embargo, en los casos en los que fue posible identificar materiales comunes con las UC ya definidas, como el </w:t>
      </w:r>
      <w:r w:rsidRPr="00BD524F">
        <w:t xml:space="preserve">hormigón </w:t>
      </w:r>
      <w:r>
        <w:t>de 3000 psi (210 kg/cm</w:t>
      </w:r>
      <w:r w:rsidRPr="00865C16">
        <w:rPr>
          <w:vertAlign w:val="superscript"/>
        </w:rPr>
        <w:t>2</w:t>
      </w:r>
      <w:r>
        <w:t xml:space="preserve">) y el acero de refuerzo, se emplearon los valores </w:t>
      </w:r>
      <w:r w:rsidRPr="00BD524F">
        <w:t>utilizado</w:t>
      </w:r>
      <w:r>
        <w:t>s</w:t>
      </w:r>
      <w:r w:rsidRPr="00BD524F">
        <w:t xml:space="preserve"> para las UC aprobadas en la Resolución CREG 015 de 2018.</w:t>
      </w:r>
    </w:p>
    <w:p w14:paraId="6FFCC91B" w14:textId="66C709F9" w:rsidR="00620DCF" w:rsidRDefault="009979D6" w:rsidP="00EB2B1F">
      <w:r>
        <w:t xml:space="preserve">Se aclara que </w:t>
      </w:r>
      <w:r w:rsidR="00620DCF">
        <w:t>la UC N2L79</w:t>
      </w:r>
      <w:r>
        <w:t xml:space="preserve"> </w:t>
      </w:r>
      <w:r w:rsidR="00620DCF">
        <w:t xml:space="preserve">corresponde a una canalización </w:t>
      </w:r>
      <w:r>
        <w:t xml:space="preserve">que contiene </w:t>
      </w:r>
      <w:r w:rsidR="00620DCF">
        <w:t xml:space="preserve">6 tubos de 4 pulgadas y </w:t>
      </w:r>
      <w:r>
        <w:t>3 tubos de 6 pulgadas, por lo cual</w:t>
      </w:r>
      <w:r w:rsidR="00652979">
        <w:t>,</w:t>
      </w:r>
      <w:r>
        <w:t xml:space="preserve"> se considera que la comparación empleada en el recurso no es válida. Para efectos de comparación se puede tomar como referencia la UC N2L77, correspondiente a una canalización de 4 tubos de 4 pulgadas</w:t>
      </w:r>
      <w:r w:rsidR="00652979">
        <w:t>. E</w:t>
      </w:r>
      <w:r w:rsidR="006270D6">
        <w:t>n este caso</w:t>
      </w:r>
      <w:r w:rsidR="00652979">
        <w:t>,</w:t>
      </w:r>
      <w:r w:rsidR="006270D6">
        <w:t xml:space="preserve"> </w:t>
      </w:r>
      <w:r>
        <w:t>el valor de la UC especial aprobado es 28% mayor que el de la UC N2L77</w:t>
      </w:r>
      <w:r w:rsidR="00652979">
        <w:t>. E</w:t>
      </w:r>
      <w:r w:rsidR="00225F70">
        <w:t xml:space="preserve">l mayor valor se asocia con </w:t>
      </w:r>
      <w:r>
        <w:t xml:space="preserve">un diámetro mayor de los tubos y </w:t>
      </w:r>
      <w:r w:rsidR="00225F70">
        <w:t xml:space="preserve">una </w:t>
      </w:r>
      <w:r>
        <w:t xml:space="preserve">mayor cantidad de hormigón </w:t>
      </w:r>
      <w:r w:rsidR="006270D6">
        <w:t>en su instalación.</w:t>
      </w:r>
      <w:r>
        <w:t xml:space="preserve"> </w:t>
      </w:r>
    </w:p>
    <w:p w14:paraId="4C9B458C" w14:textId="2CC7D8EB" w:rsidR="00620DCF" w:rsidRDefault="006270D6" w:rsidP="00EB2B1F">
      <w:r>
        <w:t>Con base en lo anterior, no se modifica el valor aprobado para esta UC especial.</w:t>
      </w:r>
    </w:p>
    <w:p w14:paraId="7DD995B5" w14:textId="6CA7ED28" w:rsidR="00AA0D94" w:rsidRDefault="00AA0D94" w:rsidP="008D466D">
      <w:pPr>
        <w:rPr>
          <w:b/>
          <w:bCs/>
        </w:rPr>
      </w:pPr>
      <w:r>
        <w:rPr>
          <w:b/>
          <w:bCs/>
        </w:rPr>
        <w:t xml:space="preserve">Segunda </w:t>
      </w:r>
      <w:r w:rsidRPr="007654F3">
        <w:rPr>
          <w:b/>
          <w:bCs/>
        </w:rPr>
        <w:t xml:space="preserve">solicitud, numeral </w:t>
      </w:r>
      <w:r>
        <w:rPr>
          <w:b/>
          <w:bCs/>
        </w:rPr>
        <w:t>3.3</w:t>
      </w:r>
    </w:p>
    <w:p w14:paraId="7550FAC6" w14:textId="014201EF" w:rsidR="00AA0D94" w:rsidRDefault="00AA0D94" w:rsidP="00652979">
      <w:pPr>
        <w:ind w:left="284"/>
        <w:rPr>
          <w:b/>
          <w:bCs/>
        </w:rPr>
      </w:pPr>
      <w:r w:rsidRPr="006270D6">
        <w:rPr>
          <w:i/>
          <w:iCs/>
          <w:sz w:val="20"/>
          <w:szCs w:val="20"/>
        </w:rPr>
        <w:t xml:space="preserve">Unidad constructiva: Centro de control tipo 2 (SCADA+EMS+DMS Operativo), UC N0P9. Solicitamos respetuosamente a la Comisión indicar el valor aprobado para esta unidad constructiva con una connotación especial, y que no fue relacionada por la Comisión en el archivo “Inventario reconocido INVA OR - CARIBEMAR ". El costo de la citada unidad constructiva asciende a $13.910.740.513 conforme consta en el documento soporte del plan de inversión en el numeral 7.1. Sistema SCADA + EMS + DMS Operativo.  </w:t>
      </w:r>
    </w:p>
    <w:p w14:paraId="32BDD167" w14:textId="371732BC" w:rsidR="00D109CE" w:rsidRDefault="00D109CE" w:rsidP="008D466D">
      <w:r w:rsidRPr="007654F3">
        <w:rPr>
          <w:b/>
          <w:bCs/>
        </w:rPr>
        <w:t>Análisis de la Comisión</w:t>
      </w:r>
    </w:p>
    <w:p w14:paraId="0ADB6583" w14:textId="2746FEC6" w:rsidR="003F72BA" w:rsidRDefault="00AA0D94" w:rsidP="008D466D">
      <w:r w:rsidRPr="00AA0D94">
        <w:t>Se verific</w:t>
      </w:r>
      <w:r>
        <w:t xml:space="preserve">ó que </w:t>
      </w:r>
      <w:r w:rsidR="00225F70">
        <w:t xml:space="preserve">en los formatos de reporte de las UC del plan de inversiones </w:t>
      </w:r>
      <w:r>
        <w:t>el OR solicitó la UC N0P9</w:t>
      </w:r>
      <w:r w:rsidR="00225F70">
        <w:t xml:space="preserve">, </w:t>
      </w:r>
      <w:r w:rsidR="003F72BA">
        <w:t xml:space="preserve">la cual fue aprobada con base en </w:t>
      </w:r>
      <w:r>
        <w:t xml:space="preserve">el valor </w:t>
      </w:r>
      <w:r w:rsidR="003F72BA">
        <w:t xml:space="preserve">de </w:t>
      </w:r>
      <w:r>
        <w:t>dicha UC</w:t>
      </w:r>
      <w:r w:rsidR="00225F70">
        <w:t xml:space="preserve"> en la Resolución CREG 025 de 2021</w:t>
      </w:r>
    </w:p>
    <w:p w14:paraId="3F6D711B" w14:textId="76049253" w:rsidR="00D109CE" w:rsidRDefault="003F72BA" w:rsidP="008D466D">
      <w:r>
        <w:t>C</w:t>
      </w:r>
      <w:r w:rsidR="00952953">
        <w:t>on la aclaración realizada en el recurso de reposición</w:t>
      </w:r>
      <w:r w:rsidR="00652979">
        <w:t>,</w:t>
      </w:r>
      <w:r w:rsidR="00952953">
        <w:t xml:space="preserve"> y una vez revisados los soportes presentados en el documento </w:t>
      </w:r>
      <w:r w:rsidR="00952953" w:rsidRPr="00952953">
        <w:rPr>
          <w:i/>
          <w:iCs/>
        </w:rPr>
        <w:t>Plan de Inversiones Regulatorio de Distribución de Energía Eléctrica -Caribe Mar2021 -2025</w:t>
      </w:r>
      <w:r w:rsidR="00952953">
        <w:t xml:space="preserve"> s</w:t>
      </w:r>
      <w:r w:rsidR="00D109CE">
        <w:t>obre esta UC especial, se modifica el valor aprobado considerando la información presentada por el OR.</w:t>
      </w:r>
    </w:p>
    <w:p w14:paraId="0E21FF16" w14:textId="284B4CF5" w:rsidR="004D1DC2" w:rsidRDefault="00D109CE" w:rsidP="004D1DC2">
      <w:r>
        <w:t xml:space="preserve">El OR </w:t>
      </w:r>
      <w:r w:rsidRPr="00D109CE">
        <w:t>solicit</w:t>
      </w:r>
      <w:r>
        <w:t>ó</w:t>
      </w:r>
      <w:r w:rsidRPr="00D109CE">
        <w:t xml:space="preserve"> un SCADA </w:t>
      </w:r>
      <w:r>
        <w:t>t</w:t>
      </w:r>
      <w:r w:rsidRPr="00D109CE">
        <w:t>ipo 2 (SCADA +</w:t>
      </w:r>
      <w:r>
        <w:t xml:space="preserve"> </w:t>
      </w:r>
      <w:r w:rsidRPr="00D109CE">
        <w:t>EMS</w:t>
      </w:r>
      <w:r>
        <w:t xml:space="preserve"> </w:t>
      </w:r>
      <w:r w:rsidRPr="00D109CE">
        <w:t>+ DMS operativo)</w:t>
      </w:r>
      <w:r>
        <w:t xml:space="preserve"> </w:t>
      </w:r>
      <w:r w:rsidR="004D1DC2">
        <w:t xml:space="preserve">con un valor </w:t>
      </w:r>
      <w:r>
        <w:t>correspond</w:t>
      </w:r>
      <w:r w:rsidR="004D1DC2">
        <w:t xml:space="preserve">iente </w:t>
      </w:r>
      <w:r>
        <w:t>a pesos de agosto de 2020</w:t>
      </w:r>
      <w:r w:rsidR="00652979">
        <w:t>. E</w:t>
      </w:r>
      <w:r w:rsidR="004D1DC2">
        <w:t xml:space="preserve">ste valor fue ajustado aplicando un factor de indexación a diciembre de 2017, </w:t>
      </w:r>
      <w:r>
        <w:t>teniendo en cuenta que las UC del capítulo 14 de la Resolución CREG 015 de 2018 se encuentran en pesos de diciembre de 2017.</w:t>
      </w:r>
      <w:r w:rsidR="004D1DC2">
        <w:t xml:space="preserve"> </w:t>
      </w:r>
    </w:p>
    <w:p w14:paraId="0F71E390" w14:textId="1DC6AD18" w:rsidR="00D109CE" w:rsidRDefault="00D109CE" w:rsidP="00D109CE">
      <w:pPr>
        <w:rPr>
          <w:b/>
          <w:bCs/>
        </w:rPr>
      </w:pPr>
      <w:r>
        <w:rPr>
          <w:b/>
          <w:bCs/>
        </w:rPr>
        <w:t xml:space="preserve">Segunda </w:t>
      </w:r>
      <w:r w:rsidRPr="007654F3">
        <w:rPr>
          <w:b/>
          <w:bCs/>
        </w:rPr>
        <w:t xml:space="preserve">solicitud, numeral </w:t>
      </w:r>
      <w:r>
        <w:rPr>
          <w:b/>
          <w:bCs/>
        </w:rPr>
        <w:t>3.4</w:t>
      </w:r>
    </w:p>
    <w:p w14:paraId="1AEEDC8F" w14:textId="77777777" w:rsidR="00AE2F80" w:rsidRDefault="00D109CE" w:rsidP="00652979">
      <w:pPr>
        <w:spacing w:before="60" w:after="60"/>
        <w:ind w:left="284"/>
        <w:rPr>
          <w:i/>
          <w:iCs/>
          <w:sz w:val="20"/>
          <w:szCs w:val="20"/>
        </w:rPr>
      </w:pPr>
      <w:r w:rsidRPr="00D109CE">
        <w:rPr>
          <w:i/>
          <w:iCs/>
          <w:sz w:val="20"/>
          <w:szCs w:val="20"/>
        </w:rPr>
        <w:t xml:space="preserve">De igual forma, solicitamos a la Comisión evaluar el valor asignado al sistema de gestión de activos relacionado con las unidades constructivas N0P76, N0P77, N0P78 y N0P79, toda vez que el valor asignado $4.806.957.571 es menor al valor propuesto por Caribemar de $5.360.001.000, justificado en el documento soporte del plan de inversión en el numeral 7.5. Gestión de Activos.  </w:t>
      </w:r>
    </w:p>
    <w:p w14:paraId="15F5FF49" w14:textId="58902134" w:rsidR="00D109CE" w:rsidRPr="00D109CE" w:rsidRDefault="00D109CE" w:rsidP="00652979">
      <w:pPr>
        <w:spacing w:before="60" w:after="60"/>
        <w:ind w:left="284"/>
        <w:rPr>
          <w:i/>
          <w:iCs/>
          <w:sz w:val="20"/>
          <w:szCs w:val="20"/>
        </w:rPr>
      </w:pPr>
      <w:r w:rsidRPr="00D109CE">
        <w:rPr>
          <w:i/>
          <w:iCs/>
          <w:sz w:val="20"/>
          <w:szCs w:val="20"/>
        </w:rPr>
        <w:t xml:space="preserve">Así mismo, solicitamos respetuosamente incluirla dentro del valor aprobado en el plan de inversión, considerando que en el archivo Excel “Inventario reconocido INVA OR - CARIBEMAR " en el formato 10 no fue relacionada. En la Tabla 14 el comparativo entre los valores aprobados y los solicitados.  </w:t>
      </w:r>
    </w:p>
    <w:p w14:paraId="0D2AEDD1" w14:textId="2B041E48" w:rsidR="00D109CE" w:rsidRPr="00D109CE" w:rsidRDefault="00D109CE" w:rsidP="00652979">
      <w:pPr>
        <w:spacing w:before="60" w:after="60"/>
        <w:ind w:left="284"/>
        <w:jc w:val="center"/>
        <w:rPr>
          <w:i/>
          <w:iCs/>
          <w:sz w:val="20"/>
          <w:szCs w:val="20"/>
        </w:rPr>
      </w:pPr>
      <w:r w:rsidRPr="00D109CE">
        <w:rPr>
          <w:i/>
          <w:iCs/>
          <w:sz w:val="20"/>
          <w:szCs w:val="20"/>
        </w:rPr>
        <w:t>Tabla 14. Comparativo de unidades constructivas del sistema de gestión de activos.</w:t>
      </w:r>
      <w:r w:rsidR="00AE2F80">
        <w:rPr>
          <w:i/>
          <w:iCs/>
          <w:sz w:val="20"/>
          <w:szCs w:val="20"/>
        </w:rPr>
        <w:t xml:space="preserve"> (…)</w:t>
      </w:r>
    </w:p>
    <w:p w14:paraId="406D6FD5" w14:textId="4168215C" w:rsidR="00D109CE" w:rsidRDefault="00D109CE" w:rsidP="008D466D">
      <w:pPr>
        <w:rPr>
          <w:b/>
          <w:bCs/>
        </w:rPr>
      </w:pPr>
      <w:r w:rsidRPr="007654F3">
        <w:rPr>
          <w:b/>
          <w:bCs/>
        </w:rPr>
        <w:t>Análisis de la Comisión</w:t>
      </w:r>
    </w:p>
    <w:p w14:paraId="5E49B3C6" w14:textId="49A4AA1C" w:rsidR="000813B3" w:rsidRDefault="00AE2F80" w:rsidP="00AE2F80">
      <w:r w:rsidRPr="00AA0D94">
        <w:t>Se verific</w:t>
      </w:r>
      <w:r>
        <w:t xml:space="preserve">ó que en la valoración de las UC asociadas con la implementación del sistema de gestión de activos se </w:t>
      </w:r>
      <w:r w:rsidR="000813B3">
        <w:t xml:space="preserve">empleó julio de 2020 como </w:t>
      </w:r>
      <w:r w:rsidR="00B80A8F">
        <w:t xml:space="preserve">fecha de </w:t>
      </w:r>
      <w:r w:rsidR="000813B3">
        <w:t>referencia</w:t>
      </w:r>
      <w:r w:rsidR="00652979">
        <w:t>,</w:t>
      </w:r>
      <w:r w:rsidR="000813B3">
        <w:t xml:space="preserve"> y posteriormente se indexó a pesos de diciembre de 2017. </w:t>
      </w:r>
    </w:p>
    <w:p w14:paraId="264536AF" w14:textId="319E5D17" w:rsidR="00FE6089" w:rsidRDefault="000813B3" w:rsidP="00FE6089">
      <w:r>
        <w:t xml:space="preserve">Teniendo en cuenta que para esta UC no se especificó la fecha de referencia de los </w:t>
      </w:r>
      <w:r w:rsidR="00FE6089">
        <w:t>pesos</w:t>
      </w:r>
      <w:r w:rsidR="00652979">
        <w:t>,</w:t>
      </w:r>
      <w:r w:rsidR="00FE6089">
        <w:t xml:space="preserve"> </w:t>
      </w:r>
      <w:r>
        <w:t xml:space="preserve">y que para otras UC especiales solicitadas </w:t>
      </w:r>
      <w:r w:rsidR="00FE6089">
        <w:t xml:space="preserve">por </w:t>
      </w:r>
      <w:r>
        <w:t xml:space="preserve">el OR </w:t>
      </w:r>
      <w:r w:rsidR="00FE6089">
        <w:t xml:space="preserve">se referencian </w:t>
      </w:r>
      <w:r>
        <w:t xml:space="preserve">a precios de diciembre de 2019 o </w:t>
      </w:r>
      <w:r w:rsidR="00FE6089">
        <w:t xml:space="preserve">se </w:t>
      </w:r>
      <w:r>
        <w:t>presenta</w:t>
      </w:r>
      <w:r w:rsidR="00FE6089">
        <w:t>n</w:t>
      </w:r>
      <w:r>
        <w:t xml:space="preserve"> cotizaciones de los primeros meses de 2020, se ajusta la fecha de referencia a diciembre de 2019</w:t>
      </w:r>
      <w:r w:rsidR="00652979">
        <w:t>,</w:t>
      </w:r>
      <w:r>
        <w:t xml:space="preserve"> y posteriormente se indexa a pesos de 2017</w:t>
      </w:r>
      <w:r w:rsidR="00FE6089">
        <w:t>.</w:t>
      </w:r>
    </w:p>
    <w:p w14:paraId="186467FE" w14:textId="37993FA2" w:rsidR="008D466D" w:rsidRDefault="008D466D" w:rsidP="008D466D">
      <w:r>
        <w:rPr>
          <w:b/>
          <w:bCs/>
        </w:rPr>
        <w:t xml:space="preserve">Segunda </w:t>
      </w:r>
      <w:r w:rsidRPr="007654F3">
        <w:rPr>
          <w:b/>
          <w:bCs/>
        </w:rPr>
        <w:t xml:space="preserve">solicitud, numeral </w:t>
      </w:r>
      <w:r>
        <w:rPr>
          <w:b/>
          <w:bCs/>
        </w:rPr>
        <w:t>4</w:t>
      </w:r>
    </w:p>
    <w:p w14:paraId="29376E7E" w14:textId="07E4C6E7" w:rsidR="00FE775A" w:rsidRPr="004B01D3" w:rsidRDefault="00FE775A" w:rsidP="00652979">
      <w:pPr>
        <w:spacing w:before="60" w:after="60"/>
        <w:ind w:left="284"/>
        <w:rPr>
          <w:i/>
          <w:iCs/>
          <w:sz w:val="20"/>
          <w:szCs w:val="20"/>
        </w:rPr>
      </w:pPr>
      <w:r w:rsidRPr="00FE775A">
        <w:rPr>
          <w:i/>
          <w:iCs/>
          <w:sz w:val="20"/>
          <w:szCs w:val="20"/>
        </w:rPr>
        <w:t xml:space="preserve">4. Incluir en el monto aprobado de la inversión la valoración de las unidades constructivas de control de subestaciones (N0P1 a N0P5) multiplicando el valor de la unidad constructiva </w:t>
      </w:r>
      <w:r w:rsidRPr="004B01D3">
        <w:rPr>
          <w:i/>
          <w:iCs/>
          <w:sz w:val="20"/>
          <w:szCs w:val="20"/>
        </w:rPr>
        <w:t xml:space="preserve">por el número de bahías asociadas. </w:t>
      </w:r>
      <w:r w:rsidR="00FE6089" w:rsidRPr="004B01D3">
        <w:rPr>
          <w:i/>
          <w:iCs/>
          <w:sz w:val="20"/>
          <w:szCs w:val="20"/>
        </w:rPr>
        <w:t>(…)</w:t>
      </w:r>
    </w:p>
    <w:p w14:paraId="4D2BE5CD" w14:textId="77777777" w:rsidR="00FE6089" w:rsidRPr="004B01D3" w:rsidRDefault="00FE6089" w:rsidP="00652979">
      <w:pPr>
        <w:spacing w:before="60" w:after="60"/>
        <w:ind w:left="284"/>
        <w:rPr>
          <w:i/>
          <w:iCs/>
          <w:sz w:val="20"/>
          <w:szCs w:val="20"/>
        </w:rPr>
      </w:pPr>
      <w:r w:rsidRPr="004B01D3">
        <w:rPr>
          <w:i/>
          <w:iCs/>
          <w:sz w:val="20"/>
          <w:szCs w:val="20"/>
        </w:rPr>
        <w:t xml:space="preserve">Unidades constructivas de Control subestaciones (N0P1 a la N0P5). </w:t>
      </w:r>
      <w:r w:rsidRPr="004B01D3">
        <w:rPr>
          <w:i/>
          <w:iCs/>
          <w:sz w:val="20"/>
          <w:szCs w:val="20"/>
          <w:u w:val="single"/>
        </w:rPr>
        <w:t>Identificamos que, en la valoración de las unidades constructivas, estas no se encuentran multiplicadas por la cantidad de bahías</w:t>
      </w:r>
      <w:r w:rsidRPr="004B01D3">
        <w:rPr>
          <w:i/>
          <w:iCs/>
          <w:sz w:val="20"/>
          <w:szCs w:val="20"/>
        </w:rPr>
        <w:t xml:space="preserve">.  </w:t>
      </w:r>
    </w:p>
    <w:p w14:paraId="281BBDB2" w14:textId="77777777" w:rsidR="00FE6089" w:rsidRPr="004B01D3" w:rsidRDefault="00FE6089" w:rsidP="00652979">
      <w:pPr>
        <w:spacing w:before="60" w:after="60"/>
        <w:ind w:left="284"/>
        <w:rPr>
          <w:i/>
          <w:iCs/>
          <w:sz w:val="20"/>
          <w:szCs w:val="20"/>
        </w:rPr>
      </w:pPr>
      <w:r w:rsidRPr="004B01D3">
        <w:rPr>
          <w:i/>
          <w:iCs/>
          <w:sz w:val="20"/>
          <w:szCs w:val="20"/>
        </w:rPr>
        <w:t xml:space="preserve">De igual forma el campo “Fracción costo”, no identificamos los ajustes que se enviaron para estas unidades constructivas durante el proceso del auto de pruebas I-2021-000043 y como se especificó en el anexo 2 “Anexo B. Informe Plan de inversión__2021130000010011.docx” numeral 1, donde se dio respuesta a las observaciones del auto I-2021-000043 (cambio en los % de reposición parcial por una reposición total de la unidad constructiva), </w:t>
      </w:r>
      <w:r w:rsidRPr="004B01D3">
        <w:rPr>
          <w:i/>
          <w:iCs/>
          <w:sz w:val="20"/>
          <w:szCs w:val="20"/>
          <w:u w:val="single"/>
        </w:rPr>
        <w:t>en este sentido se requiere que los valores queden incorporados dentro del valor aprobado</w:t>
      </w:r>
      <w:r w:rsidRPr="004B01D3">
        <w:rPr>
          <w:i/>
          <w:iCs/>
          <w:sz w:val="20"/>
          <w:szCs w:val="20"/>
        </w:rPr>
        <w:t xml:space="preserve">.  </w:t>
      </w:r>
    </w:p>
    <w:p w14:paraId="5B88E329" w14:textId="6EAF4B14" w:rsidR="00FE6089" w:rsidRPr="004B01D3" w:rsidRDefault="00FE6089" w:rsidP="00652979">
      <w:pPr>
        <w:spacing w:before="60" w:after="60"/>
        <w:ind w:left="284"/>
        <w:rPr>
          <w:i/>
          <w:iCs/>
          <w:sz w:val="20"/>
          <w:szCs w:val="20"/>
        </w:rPr>
      </w:pPr>
      <w:r w:rsidRPr="004B01D3">
        <w:rPr>
          <w:i/>
          <w:iCs/>
          <w:sz w:val="20"/>
          <w:szCs w:val="20"/>
        </w:rPr>
        <w:t>En la Tabla 15, se detalla las diferencias en valoración que representan lo enunciado, y que asciende a un menor valor de reconocimiento en el plan de inversión de $79.113.011.771.</w:t>
      </w:r>
    </w:p>
    <w:p w14:paraId="55E04330" w14:textId="07D6E2E8" w:rsidR="00FE6089" w:rsidRDefault="00FE6089" w:rsidP="00652979">
      <w:pPr>
        <w:spacing w:before="60" w:after="60"/>
        <w:ind w:left="284"/>
        <w:jc w:val="center"/>
        <w:rPr>
          <w:i/>
          <w:iCs/>
          <w:sz w:val="20"/>
          <w:szCs w:val="20"/>
        </w:rPr>
      </w:pPr>
      <w:r w:rsidRPr="004B01D3">
        <w:rPr>
          <w:i/>
          <w:iCs/>
          <w:sz w:val="20"/>
          <w:szCs w:val="20"/>
        </w:rPr>
        <w:t>Tabla 15. Comparativo de la inversión aprobado respecto al número de bahías. (…)</w:t>
      </w:r>
    </w:p>
    <w:p w14:paraId="59CB92A8" w14:textId="371D28AA" w:rsidR="000F4D0F" w:rsidRDefault="000F4D0F" w:rsidP="00652979">
      <w:pPr>
        <w:ind w:left="284"/>
      </w:pPr>
      <w:r>
        <w:rPr>
          <w:i/>
          <w:iCs/>
          <w:sz w:val="20"/>
          <w:szCs w:val="20"/>
        </w:rPr>
        <w:t>Subrayado fuera de texto</w:t>
      </w:r>
    </w:p>
    <w:p w14:paraId="37240613" w14:textId="20C9B2F2" w:rsidR="008D466D" w:rsidRDefault="008D466D" w:rsidP="008D466D">
      <w:pPr>
        <w:rPr>
          <w:b/>
          <w:bCs/>
        </w:rPr>
      </w:pPr>
      <w:r w:rsidRPr="007654F3">
        <w:rPr>
          <w:b/>
          <w:bCs/>
        </w:rPr>
        <w:t>Análisis de la Comisión</w:t>
      </w:r>
    </w:p>
    <w:p w14:paraId="25C367ED" w14:textId="3C16535E" w:rsidR="004B01D3" w:rsidRDefault="004B01D3" w:rsidP="004B01D3">
      <w:r>
        <w:t>En relación con las UC de control de subestación se aclara que la metodología no establece su reconocimiento c</w:t>
      </w:r>
      <w:r w:rsidR="008C066D">
        <w:t>o</w:t>
      </w:r>
      <w:r>
        <w:t xml:space="preserve">mo el resultado de multiplicar el número de bahías por un único reporte de UC de casa de control por subestación por año, razón por la cual no procede la solicitud en este sentido. </w:t>
      </w:r>
    </w:p>
    <w:p w14:paraId="57AB0912" w14:textId="072A31C5" w:rsidR="004B01D3" w:rsidRDefault="004B01D3" w:rsidP="004B01D3">
      <w:r>
        <w:t>Adicionalmente</w:t>
      </w:r>
      <w:r w:rsidR="008C066D">
        <w:t>,</w:t>
      </w:r>
      <w:r>
        <w:t xml:space="preserve"> se verificaron los formatos de reporte de las UC del plan de inversiones</w:t>
      </w:r>
      <w:r w:rsidR="008C066D">
        <w:t>,</w:t>
      </w:r>
      <w:r>
        <w:t xml:space="preserve"> y se encontró que el OR reportó más de una UC de casa de control por subestación y por año. </w:t>
      </w:r>
    </w:p>
    <w:p w14:paraId="2CA7BB22" w14:textId="1DFEFE54" w:rsidR="00DE4095" w:rsidRDefault="004B01D3" w:rsidP="000F4D0F">
      <w:r>
        <w:t xml:space="preserve">Sobre los valores del campo “Fracción costo” se encuentra procedente realizar el ajuste de los valores con la última información suministrada por el OR.    </w:t>
      </w:r>
    </w:p>
    <w:p w14:paraId="5005849B" w14:textId="0C66D62F" w:rsidR="008D466D" w:rsidRDefault="008D466D" w:rsidP="008D466D">
      <w:pPr>
        <w:keepNext/>
      </w:pPr>
      <w:r>
        <w:rPr>
          <w:b/>
          <w:bCs/>
        </w:rPr>
        <w:t xml:space="preserve">Segunda </w:t>
      </w:r>
      <w:r w:rsidRPr="007654F3">
        <w:rPr>
          <w:b/>
          <w:bCs/>
        </w:rPr>
        <w:t xml:space="preserve">solicitud, numeral </w:t>
      </w:r>
      <w:r>
        <w:rPr>
          <w:b/>
          <w:bCs/>
        </w:rPr>
        <w:t>5</w:t>
      </w:r>
    </w:p>
    <w:p w14:paraId="04DB34B6" w14:textId="7A227C86" w:rsidR="00FE775A" w:rsidRDefault="00FE775A" w:rsidP="008C066D">
      <w:pPr>
        <w:spacing w:before="60" w:after="60"/>
        <w:ind w:left="284"/>
        <w:rPr>
          <w:i/>
          <w:iCs/>
          <w:sz w:val="20"/>
          <w:szCs w:val="20"/>
        </w:rPr>
      </w:pPr>
      <w:r w:rsidRPr="00FE775A">
        <w:rPr>
          <w:i/>
          <w:iCs/>
          <w:sz w:val="20"/>
          <w:szCs w:val="20"/>
        </w:rPr>
        <w:t xml:space="preserve">5. Incluir en el monto aprobado de la inversión la valoración de las unidades constructivas de módulo común para todos los niveles multiplicando el valor de la unidad constructiva por el número de bahías asociadas. </w:t>
      </w:r>
      <w:r w:rsidR="000F4D0F">
        <w:rPr>
          <w:i/>
          <w:iCs/>
          <w:sz w:val="20"/>
          <w:szCs w:val="20"/>
        </w:rPr>
        <w:t>(…)</w:t>
      </w:r>
    </w:p>
    <w:p w14:paraId="18100F5A" w14:textId="74349616" w:rsidR="000F4D0F" w:rsidRDefault="000F4D0F" w:rsidP="008C066D">
      <w:pPr>
        <w:spacing w:before="60" w:after="60"/>
        <w:ind w:left="284"/>
        <w:rPr>
          <w:i/>
          <w:iCs/>
          <w:sz w:val="20"/>
          <w:szCs w:val="20"/>
        </w:rPr>
      </w:pPr>
      <w:r w:rsidRPr="000F4D0F">
        <w:rPr>
          <w:i/>
          <w:iCs/>
          <w:sz w:val="20"/>
          <w:szCs w:val="20"/>
        </w:rPr>
        <w:t>Unidades constructivas de módulo común. Identificamos que, en la valoración de las unidades constructivas, estas no se encuentran multiplicadas por la cantidad de bahías asociadas, lo que representa un menor valor en el plan de inversión de $21.631.112.000. En la Tabla 16 se detalla las diferencias en valoración que representan lo enunciado.</w:t>
      </w:r>
    </w:p>
    <w:p w14:paraId="206EC16E" w14:textId="72B53D59" w:rsidR="000F4D0F" w:rsidRDefault="000F4D0F" w:rsidP="008C066D">
      <w:pPr>
        <w:spacing w:before="60" w:after="60"/>
        <w:ind w:left="284"/>
        <w:jc w:val="center"/>
        <w:rPr>
          <w:i/>
          <w:iCs/>
          <w:sz w:val="20"/>
          <w:szCs w:val="20"/>
        </w:rPr>
      </w:pPr>
      <w:r w:rsidRPr="000F4D0F">
        <w:rPr>
          <w:i/>
          <w:iCs/>
          <w:sz w:val="20"/>
          <w:szCs w:val="20"/>
        </w:rPr>
        <w:t>Tabla 16. Comparativo en valoración módulo común.</w:t>
      </w:r>
      <w:r>
        <w:rPr>
          <w:i/>
          <w:iCs/>
          <w:sz w:val="20"/>
          <w:szCs w:val="20"/>
        </w:rPr>
        <w:t xml:space="preserve"> (…)</w:t>
      </w:r>
    </w:p>
    <w:p w14:paraId="6BF1AD52" w14:textId="399915AC" w:rsidR="002836A1" w:rsidRDefault="002836A1" w:rsidP="002836A1">
      <w:pPr>
        <w:rPr>
          <w:b/>
          <w:bCs/>
        </w:rPr>
      </w:pPr>
      <w:r w:rsidRPr="007654F3">
        <w:rPr>
          <w:b/>
          <w:bCs/>
        </w:rPr>
        <w:t>Análisis de la Comisión</w:t>
      </w:r>
    </w:p>
    <w:p w14:paraId="6A2371D9" w14:textId="7B7DAB62" w:rsidR="004B01D3" w:rsidRPr="004B01D3" w:rsidRDefault="004B01D3" w:rsidP="004B01D3">
      <w:r w:rsidRPr="004B01D3">
        <w:t>Es importante resaltar que el número de bahías utilizado corresponde únicamente a las bahías adicionales que se instalan en la subestación</w:t>
      </w:r>
      <w:r w:rsidR="008C066D">
        <w:t>,</w:t>
      </w:r>
      <w:r w:rsidRPr="004B01D3">
        <w:t xml:space="preserve"> y este número no contabiliza los reportes asociados a reposiciones de bahías existentes, evitando así que la UC de módulo común se remunere por encima del 100%.</w:t>
      </w:r>
    </w:p>
    <w:p w14:paraId="40E1393B" w14:textId="32E66770" w:rsidR="004B01D3" w:rsidRDefault="004B01D3" w:rsidP="004B01D3">
      <w:r w:rsidRPr="004B01D3">
        <w:t xml:space="preserve">Cabe señalar que el reporte del OR incluye, entre otras particularidades, UC de módulo común sin bahías asociadas para la misma subestación en el mismo año y </w:t>
      </w:r>
      <w:r w:rsidR="00A371A8">
        <w:t xml:space="preserve">en el </w:t>
      </w:r>
      <w:r w:rsidRPr="004B01D3">
        <w:t>mismo nivel de tensión, razón por la cual no son reconocidas.</w:t>
      </w:r>
    </w:p>
    <w:p w14:paraId="2AA3A916" w14:textId="7BEEB797" w:rsidR="008D466D" w:rsidRDefault="008D466D" w:rsidP="008D466D">
      <w:pPr>
        <w:rPr>
          <w:i/>
          <w:iCs/>
          <w:sz w:val="20"/>
          <w:szCs w:val="20"/>
        </w:rPr>
      </w:pPr>
      <w:r>
        <w:rPr>
          <w:b/>
          <w:bCs/>
        </w:rPr>
        <w:t xml:space="preserve">Segunda </w:t>
      </w:r>
      <w:r w:rsidRPr="007654F3">
        <w:rPr>
          <w:b/>
          <w:bCs/>
        </w:rPr>
        <w:t xml:space="preserve">solicitud, numeral </w:t>
      </w:r>
      <w:r>
        <w:rPr>
          <w:b/>
          <w:bCs/>
        </w:rPr>
        <w:t>6</w:t>
      </w:r>
    </w:p>
    <w:p w14:paraId="5BB40425" w14:textId="55F171B2" w:rsidR="00FE775A" w:rsidRDefault="00FE775A" w:rsidP="008C066D">
      <w:pPr>
        <w:spacing w:before="60" w:after="60"/>
        <w:ind w:left="284"/>
        <w:rPr>
          <w:i/>
          <w:iCs/>
          <w:sz w:val="20"/>
          <w:szCs w:val="20"/>
        </w:rPr>
      </w:pPr>
      <w:r w:rsidRPr="00FE775A">
        <w:rPr>
          <w:i/>
          <w:iCs/>
          <w:sz w:val="20"/>
          <w:szCs w:val="20"/>
        </w:rPr>
        <w:t xml:space="preserve">6. Actualizar la “Fracción costo”, conforme a la actualización del “Anexo B. Informe Plan de inversión__2021130000010011.docx” numeral 1, donde se dio respuesta a las observaciones del auto I-2021-000043, (cambio en los % de reposición parcial por una reposición total de la unidad constructiva), en este sentido se requiere que los valores queden incorporados dentro del valor aprobado. </w:t>
      </w:r>
    </w:p>
    <w:p w14:paraId="359FBAAC" w14:textId="489C163A" w:rsidR="008D466D" w:rsidRDefault="008D466D" w:rsidP="008D466D">
      <w:pPr>
        <w:rPr>
          <w:b/>
          <w:bCs/>
        </w:rPr>
      </w:pPr>
      <w:r w:rsidRPr="007654F3">
        <w:rPr>
          <w:b/>
          <w:bCs/>
        </w:rPr>
        <w:t>Análisis de la Comisión</w:t>
      </w:r>
    </w:p>
    <w:p w14:paraId="714810DE" w14:textId="0C6AD53C" w:rsidR="008D466D" w:rsidRDefault="00ED2DCF" w:rsidP="008D466D">
      <w:r w:rsidRPr="004B01D3">
        <w:t>Se verificó la información reportada por el OR y se realizaron los ajustes correspondientes.</w:t>
      </w:r>
    </w:p>
    <w:p w14:paraId="0ABD288E" w14:textId="0EBEEEA7" w:rsidR="008D466D" w:rsidRDefault="008D466D" w:rsidP="008D466D">
      <w:r>
        <w:rPr>
          <w:b/>
          <w:bCs/>
        </w:rPr>
        <w:t xml:space="preserve">Segunda </w:t>
      </w:r>
      <w:r w:rsidRPr="007654F3">
        <w:rPr>
          <w:b/>
          <w:bCs/>
        </w:rPr>
        <w:t xml:space="preserve">solicitud, numeral </w:t>
      </w:r>
      <w:r>
        <w:rPr>
          <w:b/>
          <w:bCs/>
        </w:rPr>
        <w:t>7</w:t>
      </w:r>
    </w:p>
    <w:p w14:paraId="719041F3" w14:textId="4BC91F84" w:rsidR="00FE775A" w:rsidRDefault="00FE775A" w:rsidP="008C066D">
      <w:pPr>
        <w:spacing w:before="60" w:after="60"/>
        <w:ind w:left="284"/>
        <w:rPr>
          <w:i/>
          <w:iCs/>
          <w:sz w:val="20"/>
          <w:szCs w:val="20"/>
        </w:rPr>
      </w:pPr>
      <w:r w:rsidRPr="00FE775A">
        <w:rPr>
          <w:i/>
          <w:iCs/>
          <w:sz w:val="20"/>
          <w:szCs w:val="20"/>
        </w:rPr>
        <w:t>7. Actualizar la información del módulo común, conforme a la actualización del “Anexo B. Informe Plan de inversión__2021130000010011.docx” numeral 3,</w:t>
      </w:r>
      <w:r>
        <w:rPr>
          <w:i/>
          <w:iCs/>
          <w:sz w:val="20"/>
          <w:szCs w:val="20"/>
        </w:rPr>
        <w:t xml:space="preserve"> </w:t>
      </w:r>
      <w:r w:rsidRPr="00FE775A">
        <w:rPr>
          <w:i/>
          <w:iCs/>
          <w:sz w:val="20"/>
          <w:szCs w:val="20"/>
        </w:rPr>
        <w:t xml:space="preserve">donde se dio respuesta a las observaciones del auto I-2021-000043, (debe existir un módulo común por subestación/año/nivel de tensión), en este sentido se requiere que los valores queden incorporados dentro del valor aprobado. </w:t>
      </w:r>
    </w:p>
    <w:p w14:paraId="23026C7B" w14:textId="7253B7C9" w:rsidR="008D466D" w:rsidRDefault="008D466D" w:rsidP="008D466D">
      <w:pPr>
        <w:rPr>
          <w:b/>
          <w:bCs/>
        </w:rPr>
      </w:pPr>
      <w:r w:rsidRPr="007654F3">
        <w:rPr>
          <w:b/>
          <w:bCs/>
        </w:rPr>
        <w:t>Análisis de la Comisión</w:t>
      </w:r>
    </w:p>
    <w:p w14:paraId="1211062E" w14:textId="294E37F0" w:rsidR="00A66D81" w:rsidRPr="009144FF" w:rsidRDefault="00A66D81" w:rsidP="009144FF">
      <w:r w:rsidRPr="009144FF">
        <w:t xml:space="preserve">Se dio respuesta en el análisis de la Comisión para la Segunda solicitud, numeral </w:t>
      </w:r>
      <w:r w:rsidR="009144FF" w:rsidRPr="009144FF">
        <w:t>5.</w:t>
      </w:r>
    </w:p>
    <w:p w14:paraId="10BE979A" w14:textId="3DD910DE" w:rsidR="00A66D81" w:rsidRDefault="00A66D81" w:rsidP="008D466D">
      <w:r>
        <w:rPr>
          <w:b/>
          <w:bCs/>
        </w:rPr>
        <w:t xml:space="preserve">Segunda </w:t>
      </w:r>
      <w:r w:rsidRPr="007654F3">
        <w:rPr>
          <w:b/>
          <w:bCs/>
        </w:rPr>
        <w:t xml:space="preserve">solicitud, numeral </w:t>
      </w:r>
      <w:r w:rsidR="009144FF">
        <w:rPr>
          <w:b/>
          <w:bCs/>
        </w:rPr>
        <w:t>8</w:t>
      </w:r>
    </w:p>
    <w:p w14:paraId="70A1FDC3" w14:textId="51CA43F0" w:rsidR="00A66D81" w:rsidRDefault="00FE775A" w:rsidP="008C066D">
      <w:pPr>
        <w:spacing w:before="60" w:after="60"/>
        <w:ind w:left="284"/>
        <w:rPr>
          <w:i/>
          <w:iCs/>
          <w:sz w:val="20"/>
          <w:szCs w:val="20"/>
        </w:rPr>
      </w:pPr>
      <w:r w:rsidRPr="00FE775A">
        <w:rPr>
          <w:i/>
          <w:iCs/>
          <w:sz w:val="20"/>
          <w:szCs w:val="20"/>
        </w:rPr>
        <w:t xml:space="preserve">8. Incluir en el monto aprobar de la inversión los valores resultantes de las UC del sistema de gestión de activos. </w:t>
      </w:r>
    </w:p>
    <w:p w14:paraId="14A85E89" w14:textId="39A42968" w:rsidR="008D466D" w:rsidRDefault="008D466D" w:rsidP="008D466D">
      <w:r w:rsidRPr="007654F3">
        <w:rPr>
          <w:b/>
          <w:bCs/>
        </w:rPr>
        <w:t>Análisis de la Comisión</w:t>
      </w:r>
    </w:p>
    <w:p w14:paraId="7A617363" w14:textId="03C61843" w:rsidR="00A66D81" w:rsidRPr="00044203" w:rsidRDefault="00A66D81" w:rsidP="00A66D81">
      <w:r>
        <w:t xml:space="preserve">Se </w:t>
      </w:r>
      <w:r w:rsidR="00044203">
        <w:t xml:space="preserve">realizan los ajustes señalados en la </w:t>
      </w:r>
      <w:r>
        <w:t xml:space="preserve">respuesta </w:t>
      </w:r>
      <w:r w:rsidR="00044203">
        <w:t xml:space="preserve">al numeral 3.4 de la segunda </w:t>
      </w:r>
      <w:r w:rsidRPr="00044203">
        <w:t>solicitud.</w:t>
      </w:r>
    </w:p>
    <w:p w14:paraId="13A89D1D" w14:textId="54FA35D6" w:rsidR="008D466D" w:rsidRDefault="008D466D" w:rsidP="008D466D">
      <w:r>
        <w:rPr>
          <w:b/>
          <w:bCs/>
        </w:rPr>
        <w:t xml:space="preserve">Segunda </w:t>
      </w:r>
      <w:r w:rsidRPr="007654F3">
        <w:rPr>
          <w:b/>
          <w:bCs/>
        </w:rPr>
        <w:t xml:space="preserve">solicitud, numeral </w:t>
      </w:r>
      <w:r>
        <w:rPr>
          <w:b/>
          <w:bCs/>
        </w:rPr>
        <w:t>9</w:t>
      </w:r>
    </w:p>
    <w:p w14:paraId="150480FE" w14:textId="246943F4" w:rsidR="00FE775A" w:rsidRDefault="00FE775A" w:rsidP="008C066D">
      <w:pPr>
        <w:spacing w:before="60" w:after="60"/>
        <w:ind w:left="284"/>
        <w:rPr>
          <w:i/>
          <w:iCs/>
          <w:sz w:val="20"/>
          <w:szCs w:val="20"/>
        </w:rPr>
      </w:pPr>
      <w:r w:rsidRPr="00FE775A">
        <w:rPr>
          <w:i/>
          <w:iCs/>
          <w:sz w:val="20"/>
          <w:szCs w:val="20"/>
        </w:rPr>
        <w:t>9. Considerar para la valoración de las unidades constructivas de transformadores de potencia el procedimiento definido en los “literal s del capítulo 14 de la Resolución CREG 015 - 2018, modificado por el artículo 19 de la Resolución CREG 08 5 - 2018”, para corregir diferencias en el valor aprobado de la inversión.</w:t>
      </w:r>
    </w:p>
    <w:p w14:paraId="7560ADFF" w14:textId="6BAA83F9" w:rsidR="004329CC" w:rsidRDefault="004329CC" w:rsidP="008C066D">
      <w:pPr>
        <w:spacing w:before="60" w:after="60"/>
        <w:ind w:left="284"/>
        <w:rPr>
          <w:i/>
          <w:iCs/>
          <w:sz w:val="20"/>
          <w:szCs w:val="20"/>
        </w:rPr>
      </w:pPr>
      <w:r w:rsidRPr="004329CC">
        <w:rPr>
          <w:i/>
          <w:iCs/>
          <w:sz w:val="20"/>
          <w:szCs w:val="20"/>
        </w:rPr>
        <w:t>Las diferencias identificadas se encuentran en el orden de $16.059.306.000 entre años y niveles de tensión las cuales se muestran en la Tabla 17 y Tabla 18.</w:t>
      </w:r>
    </w:p>
    <w:p w14:paraId="5408E799" w14:textId="69D54209" w:rsidR="008D466D" w:rsidRDefault="008D466D" w:rsidP="008D466D">
      <w:r w:rsidRPr="007654F3">
        <w:rPr>
          <w:b/>
          <w:bCs/>
        </w:rPr>
        <w:t>Análisis de la Comisión</w:t>
      </w:r>
    </w:p>
    <w:p w14:paraId="042D6003" w14:textId="77777777" w:rsidR="004B01D3" w:rsidRPr="004B01D3" w:rsidRDefault="004B01D3" w:rsidP="004B01D3">
      <w:r w:rsidRPr="004B01D3">
        <w:t>Se verificó la asignación entre niveles de tensión y se realizaron los ajustes correspondientes.</w:t>
      </w:r>
    </w:p>
    <w:p w14:paraId="5BC914A7" w14:textId="77777777" w:rsidR="004B01D3" w:rsidRPr="004B01D3" w:rsidRDefault="004B01D3" w:rsidP="004B01D3">
      <w:r w:rsidRPr="004B01D3">
        <w:t xml:space="preserve">Por otra parte, una vez revisada la información suministrada por el OR, tanto en el recurso de reposición como durante la actuación administrativa para la expedición de la Resolución CREG 025 de 2021, se identificó que el OR no reportó, en todos los casos, la información del transformador asociado a las bahías y celdas de transformadores para la aplicación de lo definido en el numeral 14.1 de la Resolución CREG 015 de 2018.  </w:t>
      </w:r>
    </w:p>
    <w:p w14:paraId="4C2A2209" w14:textId="08355950" w:rsidR="004B01D3" w:rsidRDefault="004B01D3" w:rsidP="004B01D3">
      <w:r w:rsidRPr="004B01D3">
        <w:t>Se procede a identificar el tra</w:t>
      </w:r>
      <w:r w:rsidR="008C066D">
        <w:t>n</w:t>
      </w:r>
      <w:r w:rsidRPr="004B01D3">
        <w:t>sformador y</w:t>
      </w:r>
      <w:r w:rsidR="008C066D">
        <w:t>,</w:t>
      </w:r>
      <w:r w:rsidRPr="004B01D3">
        <w:t xml:space="preserve"> para los casos donde no sea posible su identificación</w:t>
      </w:r>
      <w:r w:rsidR="008C066D">
        <w:t>,</w:t>
      </w:r>
      <w:r w:rsidRPr="004B01D3">
        <w:t xml:space="preserve"> se utiliza el nivel de tensión de la UC de bahía o celda reportada. </w:t>
      </w:r>
    </w:p>
    <w:p w14:paraId="414214E5" w14:textId="1D6ED1A7" w:rsidR="00227F71" w:rsidRDefault="00227F71" w:rsidP="00227F71">
      <w:r>
        <w:rPr>
          <w:b/>
          <w:bCs/>
        </w:rPr>
        <w:t xml:space="preserve">Tercera </w:t>
      </w:r>
      <w:r w:rsidRPr="007654F3">
        <w:rPr>
          <w:b/>
          <w:bCs/>
        </w:rPr>
        <w:t>solicitud</w:t>
      </w:r>
    </w:p>
    <w:p w14:paraId="4E15CDB0" w14:textId="2ADD75C7" w:rsidR="00FE775A" w:rsidRPr="00FE775A" w:rsidRDefault="00FE775A" w:rsidP="008C066D">
      <w:pPr>
        <w:spacing w:before="60" w:after="60"/>
        <w:ind w:left="284"/>
        <w:rPr>
          <w:i/>
          <w:iCs/>
          <w:sz w:val="20"/>
          <w:szCs w:val="20"/>
        </w:rPr>
      </w:pPr>
      <w:r w:rsidRPr="00FE775A">
        <w:rPr>
          <w:i/>
          <w:iCs/>
          <w:sz w:val="20"/>
          <w:szCs w:val="20"/>
        </w:rPr>
        <w:t xml:space="preserve">TERCERO: Modificar el artículo 7. de la Resolución CREG 025 de 2021 en siguiente sentido: </w:t>
      </w:r>
    </w:p>
    <w:p w14:paraId="3580BED7" w14:textId="3824D183" w:rsidR="00FE775A" w:rsidRDefault="00FE775A" w:rsidP="008C066D">
      <w:pPr>
        <w:spacing w:before="60" w:after="60"/>
        <w:ind w:left="284"/>
        <w:rPr>
          <w:i/>
          <w:iCs/>
          <w:sz w:val="20"/>
          <w:szCs w:val="20"/>
        </w:rPr>
      </w:pPr>
      <w:r w:rsidRPr="00FE775A">
        <w:rPr>
          <w:i/>
          <w:iCs/>
          <w:sz w:val="20"/>
          <w:szCs w:val="20"/>
        </w:rPr>
        <w:t xml:space="preserve">1. Ajustar los valores del AOM de pérdidas para los años 2012 y 2013, que afectan el AOM de distribución del año 5 de la Tabla 9 de la Resolución CREG 025 de 2021.  </w:t>
      </w:r>
      <w:r w:rsidR="002836A1">
        <w:rPr>
          <w:i/>
          <w:iCs/>
          <w:sz w:val="20"/>
          <w:szCs w:val="20"/>
        </w:rPr>
        <w:t>(…)</w:t>
      </w:r>
    </w:p>
    <w:p w14:paraId="39D6AEBE" w14:textId="77777777" w:rsidR="002836A1" w:rsidRPr="002836A1" w:rsidRDefault="002836A1" w:rsidP="008C066D">
      <w:pPr>
        <w:spacing w:before="60" w:after="60"/>
        <w:ind w:left="284"/>
        <w:rPr>
          <w:i/>
          <w:iCs/>
          <w:sz w:val="20"/>
          <w:szCs w:val="20"/>
        </w:rPr>
      </w:pPr>
      <w:r w:rsidRPr="002836A1">
        <w:rPr>
          <w:i/>
          <w:iCs/>
          <w:sz w:val="20"/>
          <w:szCs w:val="20"/>
        </w:rPr>
        <w:t xml:space="preserve">A. Corrección del AOM de pérdidas para los años 2012 y 2013.  </w:t>
      </w:r>
    </w:p>
    <w:p w14:paraId="7BFA8244" w14:textId="77777777" w:rsidR="002836A1" w:rsidRPr="002836A1" w:rsidRDefault="002836A1" w:rsidP="008C066D">
      <w:pPr>
        <w:spacing w:before="60" w:after="60"/>
        <w:ind w:left="284"/>
        <w:rPr>
          <w:i/>
          <w:iCs/>
          <w:sz w:val="20"/>
          <w:szCs w:val="20"/>
        </w:rPr>
      </w:pPr>
      <w:r w:rsidRPr="002836A1">
        <w:rPr>
          <w:i/>
          <w:iCs/>
          <w:sz w:val="20"/>
          <w:szCs w:val="20"/>
        </w:rPr>
        <w:t xml:space="preserve">1. En el archivo “Calculo ingresos D Caribemar.xlsx” en la hoja “Información_OR_Caribe” en el concepto, AOM destinado a programas de reducción de pérdidas (AOMPj,t), se observan los valores reportados por el OR Caribe, en las indicadas en la Tabla 19.  </w:t>
      </w:r>
    </w:p>
    <w:p w14:paraId="2F76D1FF" w14:textId="734187A0" w:rsidR="002836A1" w:rsidRDefault="002836A1" w:rsidP="008C066D">
      <w:pPr>
        <w:spacing w:before="60" w:after="60"/>
        <w:ind w:left="284"/>
        <w:jc w:val="center"/>
        <w:rPr>
          <w:i/>
          <w:iCs/>
          <w:sz w:val="20"/>
          <w:szCs w:val="20"/>
        </w:rPr>
      </w:pPr>
      <w:r w:rsidRPr="002836A1">
        <w:rPr>
          <w:i/>
          <w:iCs/>
          <w:sz w:val="20"/>
          <w:szCs w:val="20"/>
        </w:rPr>
        <w:t>Tabla 19. Gastos AOM de pérdidas – Información OR Caribe</w:t>
      </w:r>
      <w:r w:rsidR="00044203">
        <w:rPr>
          <w:i/>
          <w:iCs/>
          <w:sz w:val="20"/>
          <w:szCs w:val="20"/>
        </w:rPr>
        <w:t xml:space="preserve"> </w:t>
      </w:r>
      <w:r>
        <w:rPr>
          <w:i/>
          <w:iCs/>
          <w:sz w:val="20"/>
          <w:szCs w:val="20"/>
        </w:rPr>
        <w:t>(…)</w:t>
      </w:r>
    </w:p>
    <w:p w14:paraId="492E8BF2" w14:textId="77777777" w:rsidR="002836A1" w:rsidRPr="002836A1" w:rsidRDefault="002836A1" w:rsidP="008C066D">
      <w:pPr>
        <w:spacing w:before="60" w:after="60"/>
        <w:ind w:left="284"/>
        <w:rPr>
          <w:i/>
          <w:iCs/>
          <w:sz w:val="20"/>
          <w:szCs w:val="20"/>
        </w:rPr>
      </w:pPr>
      <w:r w:rsidRPr="002836A1">
        <w:rPr>
          <w:i/>
          <w:iCs/>
          <w:sz w:val="20"/>
          <w:szCs w:val="20"/>
        </w:rPr>
        <w:t xml:space="preserve">2. Sin embargo, en la hoja “Información Resolución” para la misma variable los valores difieren para los años 2012 y 2013, pasando respectivamente, de 11.189.048.558 a 71.546.206.228 para el 2012, y de 17.430.615.463 a 87.181.060.012 para el año 2013. Como se observa en la Tabla 20.  </w:t>
      </w:r>
    </w:p>
    <w:p w14:paraId="7B9D4767" w14:textId="19BBA812" w:rsidR="002836A1" w:rsidRDefault="002836A1" w:rsidP="008C066D">
      <w:pPr>
        <w:spacing w:before="60" w:after="60"/>
        <w:ind w:left="284"/>
        <w:jc w:val="center"/>
        <w:rPr>
          <w:i/>
          <w:iCs/>
          <w:sz w:val="20"/>
          <w:szCs w:val="20"/>
        </w:rPr>
      </w:pPr>
      <w:r w:rsidRPr="002836A1">
        <w:rPr>
          <w:i/>
          <w:iCs/>
          <w:sz w:val="20"/>
          <w:szCs w:val="20"/>
        </w:rPr>
        <w:t>Tabla 20. Gastos AOM de pérdidas – Información Resolución</w:t>
      </w:r>
    </w:p>
    <w:p w14:paraId="32335914" w14:textId="77777777" w:rsidR="002836A1" w:rsidRPr="002836A1" w:rsidRDefault="002836A1" w:rsidP="008C066D">
      <w:pPr>
        <w:spacing w:before="60" w:after="60"/>
        <w:ind w:left="284"/>
        <w:jc w:val="left"/>
        <w:rPr>
          <w:i/>
          <w:iCs/>
          <w:sz w:val="20"/>
          <w:szCs w:val="20"/>
        </w:rPr>
      </w:pPr>
      <w:r w:rsidRPr="002836A1">
        <w:rPr>
          <w:i/>
          <w:iCs/>
          <w:sz w:val="20"/>
          <w:szCs w:val="20"/>
        </w:rPr>
        <w:t xml:space="preserve">Los valores correctos son los contenidos en la hoja “Información_OR_Caribe” que coinciden con la solicitud de anterior OR Electricaribe, y que fueron reportados por Caribemar en el archivo “Circular CREG 029 de 2018 – Información OR CaribeMar Res 010 2020.xlsx” dentro de la actuación administrativa.  </w:t>
      </w:r>
    </w:p>
    <w:p w14:paraId="76ED2F00" w14:textId="77777777" w:rsidR="002836A1" w:rsidRPr="002836A1" w:rsidRDefault="002836A1" w:rsidP="008C066D">
      <w:pPr>
        <w:spacing w:before="60" w:after="60"/>
        <w:ind w:left="284"/>
        <w:jc w:val="left"/>
        <w:rPr>
          <w:i/>
          <w:iCs/>
          <w:sz w:val="20"/>
          <w:szCs w:val="20"/>
        </w:rPr>
      </w:pPr>
      <w:r w:rsidRPr="002836A1">
        <w:rPr>
          <w:i/>
          <w:iCs/>
          <w:sz w:val="20"/>
          <w:szCs w:val="20"/>
        </w:rPr>
        <w:t xml:space="preserve">4. La corrección tiene un efecto en el total de AOM base por nivel de tensión para el año 5, con un incremento del 13,17%, como se observa en la Tabla 21.  </w:t>
      </w:r>
    </w:p>
    <w:p w14:paraId="516492E6" w14:textId="27179E60" w:rsidR="002836A1" w:rsidRDefault="002836A1" w:rsidP="008C066D">
      <w:pPr>
        <w:spacing w:before="60" w:after="60"/>
        <w:ind w:left="284"/>
        <w:jc w:val="center"/>
        <w:rPr>
          <w:i/>
          <w:iCs/>
          <w:sz w:val="20"/>
          <w:szCs w:val="20"/>
        </w:rPr>
      </w:pPr>
      <w:r w:rsidRPr="002836A1">
        <w:rPr>
          <w:i/>
          <w:iCs/>
          <w:sz w:val="20"/>
          <w:szCs w:val="20"/>
        </w:rPr>
        <w:t>Tabla 21. Impacto del mayor gasto en pérdidas en el reconocimiento del AOM de distribución en el año 5.</w:t>
      </w:r>
      <w:r w:rsidR="00044203">
        <w:rPr>
          <w:i/>
          <w:iCs/>
          <w:sz w:val="20"/>
          <w:szCs w:val="20"/>
        </w:rPr>
        <w:t xml:space="preserve"> (…)</w:t>
      </w:r>
    </w:p>
    <w:p w14:paraId="2A4D79D8" w14:textId="7948182D" w:rsidR="00227F71" w:rsidRDefault="00227F71" w:rsidP="00227F71">
      <w:r w:rsidRPr="007654F3">
        <w:rPr>
          <w:b/>
          <w:bCs/>
        </w:rPr>
        <w:t>Análisis de la Comisión</w:t>
      </w:r>
    </w:p>
    <w:p w14:paraId="319D8BE7" w14:textId="0E73791A" w:rsidR="00B11EE2" w:rsidRPr="00B11EE2" w:rsidRDefault="00044203" w:rsidP="00227F71">
      <w:r>
        <w:t xml:space="preserve">En primer lugar, se aclara que </w:t>
      </w:r>
      <w:r w:rsidR="00B11EE2" w:rsidRPr="00B11EE2">
        <w:t>la hoja</w:t>
      </w:r>
      <w:r>
        <w:t xml:space="preserve"> de cálculo </w:t>
      </w:r>
      <w:r w:rsidR="00B11EE2" w:rsidRPr="00B11EE2">
        <w:rPr>
          <w:i/>
          <w:iCs/>
        </w:rPr>
        <w:t>Información_OR_Caribe</w:t>
      </w:r>
      <w:r w:rsidR="00B11EE2">
        <w:t xml:space="preserve"> d</w:t>
      </w:r>
      <w:r w:rsidR="00B11EE2" w:rsidRPr="00B11EE2">
        <w:t xml:space="preserve">el archivo </w:t>
      </w:r>
      <w:r w:rsidR="00B11EE2" w:rsidRPr="00B11EE2">
        <w:rPr>
          <w:i/>
          <w:iCs/>
        </w:rPr>
        <w:t>Calculo ingresos D Caribemar.xlsx</w:t>
      </w:r>
      <w:r w:rsidR="00B11EE2">
        <w:t xml:space="preserve"> contiene la información entregada por la empresa, mientras que la hoja de cálculo </w:t>
      </w:r>
      <w:r w:rsidR="00B11EE2" w:rsidRPr="00B11EE2">
        <w:rPr>
          <w:i/>
          <w:iCs/>
        </w:rPr>
        <w:t>Caribe</w:t>
      </w:r>
      <w:r w:rsidR="00B11EE2">
        <w:t xml:space="preserve"> contiene la información revisada por la Comisión.</w:t>
      </w:r>
    </w:p>
    <w:p w14:paraId="7A503984" w14:textId="461CD009" w:rsidR="009D28F7" w:rsidRDefault="00B11EE2" w:rsidP="00227F71">
      <w:r>
        <w:t>En relación con la información de AOM destinado a programas de reducción de pérdidas</w:t>
      </w:r>
      <w:r w:rsidR="00044203">
        <w:t>,</w:t>
      </w:r>
      <w:r>
        <w:t xml:space="preserve"> e</w:t>
      </w:r>
      <w:r w:rsidR="009D28F7">
        <w:t>n el numeral 7.3.7.2. del anexo general de la Resolución CREG 0</w:t>
      </w:r>
      <w:r w:rsidR="00044203">
        <w:t>1</w:t>
      </w:r>
      <w:r w:rsidR="009D28F7">
        <w:t>5 de 2018 se establece lo siguiente:</w:t>
      </w:r>
    </w:p>
    <w:p w14:paraId="395686D2" w14:textId="77777777" w:rsidR="009D28F7" w:rsidRPr="009D28F7" w:rsidRDefault="009D28F7" w:rsidP="00A37CC4">
      <w:pPr>
        <w:keepNext/>
        <w:spacing w:before="60" w:after="60"/>
        <w:ind w:left="709"/>
        <w:rPr>
          <w:b/>
          <w:i/>
          <w:iCs/>
          <w:sz w:val="20"/>
          <w:szCs w:val="20"/>
          <w:highlight w:val="cyan"/>
          <w:lang w:val="es-CO"/>
        </w:rPr>
      </w:pPr>
      <w:r w:rsidRPr="009D28F7">
        <w:rPr>
          <w:b/>
          <w:i/>
          <w:iCs/>
          <w:sz w:val="20"/>
          <w:szCs w:val="20"/>
          <w:lang w:val="es-CO"/>
        </w:rPr>
        <w:t>7.3.2.3. Cálculo de la variable CPORj</w:t>
      </w:r>
    </w:p>
    <w:p w14:paraId="477EF6C3" w14:textId="77777777" w:rsidR="009D28F7" w:rsidRPr="009D28F7" w:rsidRDefault="009D28F7" w:rsidP="009D28F7">
      <w:pPr>
        <w:spacing w:before="60" w:after="60"/>
        <w:ind w:left="708"/>
        <w:rPr>
          <w:i/>
          <w:iCs/>
          <w:sz w:val="20"/>
          <w:szCs w:val="20"/>
        </w:rPr>
      </w:pPr>
      <w:r w:rsidRPr="009D28F7">
        <w:rPr>
          <w:i/>
          <w:iCs/>
          <w:sz w:val="20"/>
          <w:szCs w:val="20"/>
          <w:lang w:val="es-ES_tradnl"/>
        </w:rPr>
        <w:t>La variable CPOR</w:t>
      </w:r>
      <w:r w:rsidRPr="009D28F7">
        <w:rPr>
          <w:i/>
          <w:iCs/>
          <w:sz w:val="20"/>
          <w:szCs w:val="20"/>
          <w:vertAlign w:val="subscript"/>
          <w:lang w:val="es-ES_tradnl"/>
        </w:rPr>
        <w:t>j</w:t>
      </w:r>
      <w:r w:rsidRPr="009D28F7">
        <w:rPr>
          <w:i/>
          <w:iCs/>
          <w:sz w:val="20"/>
          <w:szCs w:val="20"/>
          <w:lang w:val="es-ES_tradnl"/>
        </w:rPr>
        <w:t xml:space="preserve"> está conformada por los gastos de AOM relacionados con pérdidas de energía y por la remuneración de las inversiones mencionadas en el numeral 7.3.2.1, según la siguiente expresión:</w:t>
      </w:r>
    </w:p>
    <w:p w14:paraId="6CCD73D3" w14:textId="40B7E446" w:rsidR="009D28F7" w:rsidRPr="009D28F7" w:rsidRDefault="00BB77CD" w:rsidP="009D28F7">
      <w:pPr>
        <w:spacing w:before="60" w:after="60"/>
        <w:ind w:left="708"/>
        <w:rPr>
          <w:i/>
          <w:iCs/>
          <w:sz w:val="20"/>
          <w:szCs w:val="20"/>
        </w:rPr>
      </w:pPr>
      <m:oMathPara>
        <m:oMath>
          <m:sSub>
            <m:sSubPr>
              <m:ctrlPr>
                <w:rPr>
                  <w:rFonts w:ascii="Cambria Math" w:hAnsi="Cambria Math"/>
                  <w:i/>
                  <w:iCs/>
                  <w:sz w:val="20"/>
                  <w:szCs w:val="20"/>
                </w:rPr>
              </m:ctrlPr>
            </m:sSubPr>
            <m:e>
              <m:r>
                <w:rPr>
                  <w:rFonts w:ascii="Cambria Math" w:hAnsi="Cambria Math"/>
                  <w:sz w:val="20"/>
                  <w:szCs w:val="20"/>
                </w:rPr>
                <m:t>CPOR</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INVNUC</m:t>
              </m:r>
            </m:e>
            <m:sub>
              <m:r>
                <w:rPr>
                  <w:rFonts w:ascii="Cambria Math" w:hAnsi="Cambria Math"/>
                  <w:sz w:val="20"/>
                  <w:szCs w:val="20"/>
                </w:rPr>
                <m:t>j</m:t>
              </m:r>
            </m:sub>
          </m:sSub>
          <m:r>
            <w:rPr>
              <w:rFonts w:ascii="Cambria Math" w:hAnsi="Cambria Math"/>
              <w:sz w:val="20"/>
              <w:szCs w:val="20"/>
            </w:rPr>
            <m:t>+</m:t>
          </m:r>
          <m:f>
            <m:fPr>
              <m:ctrlPr>
                <w:rPr>
                  <w:rFonts w:ascii="Cambria Math" w:hAnsi="Cambria Math"/>
                  <w:i/>
                  <w:iCs/>
                  <w:sz w:val="20"/>
                  <w:szCs w:val="20"/>
                </w:rPr>
              </m:ctrlPr>
            </m:fPr>
            <m:num>
              <m:r>
                <w:rPr>
                  <w:rFonts w:ascii="Cambria Math" w:hAnsi="Cambria Math"/>
                  <w:sz w:val="20"/>
                  <w:szCs w:val="20"/>
                </w:rPr>
                <m:t>DP</m:t>
              </m:r>
            </m:num>
            <m:den>
              <m:r>
                <w:rPr>
                  <w:rFonts w:ascii="Cambria Math" w:hAnsi="Cambria Math"/>
                  <w:sz w:val="20"/>
                  <w:szCs w:val="20"/>
                </w:rPr>
                <m:t>5</m:t>
              </m:r>
            </m:den>
          </m:f>
          <m:r>
            <w:rPr>
              <w:rFonts w:ascii="Cambria Math" w:hAnsi="Cambria Math"/>
              <w:sz w:val="20"/>
              <w:szCs w:val="20"/>
            </w:rPr>
            <m:t>*</m:t>
          </m:r>
          <m:nary>
            <m:naryPr>
              <m:chr m:val="∑"/>
              <m:limLoc m:val="undOvr"/>
              <m:ctrlPr>
                <w:rPr>
                  <w:rFonts w:ascii="Cambria Math" w:hAnsi="Cambria Math"/>
                  <w:i/>
                  <w:iCs/>
                  <w:sz w:val="20"/>
                  <w:szCs w:val="20"/>
                </w:rPr>
              </m:ctrlPr>
            </m:naryPr>
            <m:sub>
              <m:r>
                <w:rPr>
                  <w:rFonts w:ascii="Cambria Math" w:hAnsi="Cambria Math"/>
                  <w:sz w:val="20"/>
                  <w:szCs w:val="20"/>
                </w:rPr>
                <m:t>k=1</m:t>
              </m:r>
            </m:sub>
            <m:sup>
              <m:sSub>
                <m:sSubPr>
                  <m:ctrlPr>
                    <w:rPr>
                      <w:rFonts w:ascii="Cambria Math" w:hAnsi="Cambria Math"/>
                      <w:i/>
                      <w:iCs/>
                      <w:sz w:val="20"/>
                      <w:szCs w:val="20"/>
                    </w:rPr>
                  </m:ctrlPr>
                </m:sSubPr>
                <m:e>
                  <m:r>
                    <w:rPr>
                      <w:rFonts w:ascii="Cambria Math" w:hAnsi="Cambria Math"/>
                      <w:sz w:val="20"/>
                      <w:szCs w:val="20"/>
                    </w:rPr>
                    <m:t>K</m:t>
                  </m:r>
                </m:e>
                <m:sub>
                  <m:r>
                    <w:rPr>
                      <w:rFonts w:ascii="Cambria Math" w:hAnsi="Cambria Math"/>
                      <w:sz w:val="20"/>
                      <w:szCs w:val="20"/>
                    </w:rPr>
                    <m:t>j</m:t>
                  </m:r>
                </m:sub>
              </m:sSub>
            </m:sup>
            <m:e>
              <m:sSub>
                <m:sSubPr>
                  <m:ctrlPr>
                    <w:rPr>
                      <w:rFonts w:ascii="Cambria Math" w:hAnsi="Cambria Math"/>
                      <w:i/>
                      <w:iCs/>
                      <w:sz w:val="20"/>
                      <w:szCs w:val="20"/>
                    </w:rPr>
                  </m:ctrlPr>
                </m:sSubPr>
                <m:e>
                  <m:r>
                    <w:rPr>
                      <w:rFonts w:ascii="Cambria Math" w:hAnsi="Cambria Math"/>
                      <w:sz w:val="20"/>
                      <w:szCs w:val="20"/>
                    </w:rPr>
                    <m:t>AOMP</m:t>
                  </m:r>
                </m:e>
                <m:sub>
                  <m:r>
                    <w:rPr>
                      <w:rFonts w:ascii="Cambria Math" w:hAnsi="Cambria Math"/>
                      <w:sz w:val="20"/>
                      <w:szCs w:val="20"/>
                    </w:rPr>
                    <m:t>j,k</m:t>
                  </m:r>
                </m:sub>
              </m:sSub>
            </m:e>
          </m:nary>
        </m:oMath>
      </m:oMathPara>
    </w:p>
    <w:p w14:paraId="4FA953D8" w14:textId="53BA0239" w:rsidR="009D28F7" w:rsidRPr="009D28F7" w:rsidRDefault="009D28F7" w:rsidP="009D28F7">
      <w:pPr>
        <w:spacing w:before="60" w:after="60"/>
        <w:ind w:left="708"/>
        <w:rPr>
          <w:i/>
          <w:iCs/>
          <w:sz w:val="20"/>
          <w:szCs w:val="20"/>
        </w:rPr>
      </w:pPr>
      <w:r w:rsidRPr="009D28F7">
        <w:rPr>
          <w:i/>
          <w:iCs/>
          <w:sz w:val="20"/>
          <w:szCs w:val="20"/>
          <w:lang w:val="es-ES_tradnl"/>
        </w:rPr>
        <w:t>Donde:</w:t>
      </w:r>
      <w:r>
        <w:rPr>
          <w:i/>
          <w:iCs/>
          <w:sz w:val="20"/>
          <w:szCs w:val="20"/>
          <w:lang w:val="es-ES_tradnl"/>
        </w:rPr>
        <w:t xml:space="preserve"> (…)</w:t>
      </w:r>
    </w:p>
    <w:p w14:paraId="6F86A466" w14:textId="77777777" w:rsidR="009D28F7" w:rsidRPr="009D28F7" w:rsidRDefault="009D28F7" w:rsidP="009D28F7">
      <w:pPr>
        <w:spacing w:before="60" w:after="60"/>
        <w:ind w:left="2126" w:hanging="1418"/>
        <w:rPr>
          <w:i/>
          <w:iCs/>
          <w:sz w:val="20"/>
          <w:szCs w:val="20"/>
        </w:rPr>
      </w:pPr>
      <w:r w:rsidRPr="009D28F7">
        <w:rPr>
          <w:i/>
          <w:iCs/>
          <w:sz w:val="20"/>
          <w:szCs w:val="20"/>
        </w:rPr>
        <w:t>AOMP</w:t>
      </w:r>
      <w:r w:rsidRPr="009D28F7">
        <w:rPr>
          <w:i/>
          <w:iCs/>
          <w:sz w:val="20"/>
          <w:szCs w:val="20"/>
          <w:vertAlign w:val="subscript"/>
        </w:rPr>
        <w:t>j,k</w:t>
      </w:r>
      <w:r w:rsidRPr="009D28F7">
        <w:rPr>
          <w:i/>
          <w:iCs/>
          <w:sz w:val="20"/>
          <w:szCs w:val="20"/>
        </w:rPr>
        <w:t>:</w:t>
      </w:r>
      <w:r w:rsidRPr="009D28F7">
        <w:rPr>
          <w:i/>
          <w:iCs/>
          <w:sz w:val="20"/>
          <w:szCs w:val="20"/>
        </w:rPr>
        <w:tab/>
        <w:t xml:space="preserve">Gastos del OR j en pérdidas de energía, durante los años k (de 2012 al 2016). </w:t>
      </w:r>
      <w:r w:rsidRPr="009D28F7">
        <w:rPr>
          <w:i/>
          <w:iCs/>
          <w:sz w:val="20"/>
          <w:szCs w:val="20"/>
          <w:u w:val="single"/>
        </w:rPr>
        <w:t>Esta información corresponde a la entregada por los OR en respuesta a las circulares CREG 027 de 2014 y CREG 015 de 2017</w:t>
      </w:r>
      <w:r w:rsidRPr="009D28F7">
        <w:rPr>
          <w:i/>
          <w:iCs/>
          <w:sz w:val="20"/>
          <w:szCs w:val="20"/>
        </w:rPr>
        <w:t>, en pesos de la fecha de corte.</w:t>
      </w:r>
    </w:p>
    <w:p w14:paraId="1B5DC7E8" w14:textId="21F427D7" w:rsidR="009D28F7" w:rsidRDefault="009D28F7" w:rsidP="009D28F7">
      <w:pPr>
        <w:spacing w:before="60" w:after="60"/>
        <w:ind w:left="2126" w:hanging="2"/>
        <w:rPr>
          <w:i/>
          <w:iCs/>
          <w:sz w:val="20"/>
          <w:szCs w:val="20"/>
        </w:rPr>
      </w:pPr>
      <w:r w:rsidRPr="009D28F7">
        <w:rPr>
          <w:i/>
          <w:iCs/>
          <w:sz w:val="20"/>
          <w:szCs w:val="20"/>
        </w:rPr>
        <w:t xml:space="preserve">En el caso de que un OR no haya reportado información en respuesta a estas circulares, esta variable tomará el valor igual a cero (0). </w:t>
      </w:r>
      <w:r>
        <w:rPr>
          <w:i/>
          <w:iCs/>
          <w:sz w:val="20"/>
          <w:szCs w:val="20"/>
        </w:rPr>
        <w:t>(…)</w:t>
      </w:r>
    </w:p>
    <w:p w14:paraId="2EA9227F" w14:textId="7467A626" w:rsidR="009D28F7" w:rsidRPr="009D28F7" w:rsidRDefault="009D28F7" w:rsidP="009D28F7">
      <w:pPr>
        <w:spacing w:before="60" w:after="60"/>
        <w:ind w:left="709" w:hanging="2"/>
        <w:rPr>
          <w:i/>
          <w:iCs/>
          <w:sz w:val="20"/>
          <w:szCs w:val="20"/>
        </w:rPr>
      </w:pPr>
      <w:r>
        <w:rPr>
          <w:i/>
          <w:iCs/>
          <w:sz w:val="20"/>
          <w:szCs w:val="20"/>
        </w:rPr>
        <w:t>Subrayado fuera de texto</w:t>
      </w:r>
    </w:p>
    <w:p w14:paraId="69FFCC4D" w14:textId="72B14AD4" w:rsidR="009D28F7" w:rsidRDefault="00044203" w:rsidP="009D28F7">
      <w:r>
        <w:t>M</w:t>
      </w:r>
      <w:r w:rsidR="009D28F7">
        <w:t>ediante las comunicaciones con radicado CREG E-2014-005120 y E</w:t>
      </w:r>
      <w:r w:rsidR="009D28F7">
        <w:noBreakHyphen/>
        <w:t>2014</w:t>
      </w:r>
      <w:r w:rsidR="009D28F7">
        <w:noBreakHyphen/>
        <w:t>005198</w:t>
      </w:r>
      <w:r w:rsidR="008C066D">
        <w:t>,</w:t>
      </w:r>
      <w:r w:rsidR="009D28F7">
        <w:t xml:space="preserve"> Electricaribe remitió a la Comisión</w:t>
      </w:r>
      <w:r>
        <w:t>, en respuesta a la Circular CREG 027 de 2014,</w:t>
      </w:r>
      <w:r w:rsidR="009D28F7">
        <w:t xml:space="preserve"> la siguiente información:</w:t>
      </w:r>
    </w:p>
    <w:p w14:paraId="18FFFC46" w14:textId="4FC4FF48" w:rsidR="009D28F7" w:rsidRPr="009D28F7" w:rsidRDefault="009D28F7" w:rsidP="008C066D">
      <w:pPr>
        <w:ind w:left="284"/>
        <w:rPr>
          <w:sz w:val="20"/>
          <w:szCs w:val="20"/>
        </w:rPr>
      </w:pPr>
      <w:r w:rsidRPr="009D28F7">
        <w:rPr>
          <w:i/>
          <w:iCs/>
          <w:sz w:val="20"/>
          <w:szCs w:val="20"/>
        </w:rPr>
        <w:t>Adjunto remitimos la información solicitada sobre pérdidas gastos e inversiones en reducción de pérdidas para el período 2009-2013</w:t>
      </w:r>
      <w:r w:rsidRPr="009D28F7">
        <w:rPr>
          <w:sz w:val="20"/>
          <w:szCs w:val="20"/>
        </w:rPr>
        <w:t xml:space="preserve">. </w:t>
      </w:r>
    </w:p>
    <w:p w14:paraId="36C250B9" w14:textId="52F6A9EA" w:rsidR="009D28F7" w:rsidRPr="009D28F7" w:rsidRDefault="009D28F7" w:rsidP="008C066D">
      <w:pPr>
        <w:spacing w:before="60" w:after="60"/>
        <w:ind w:left="284"/>
        <w:jc w:val="left"/>
        <w:rPr>
          <w:i/>
          <w:iCs/>
          <w:sz w:val="20"/>
          <w:szCs w:val="20"/>
        </w:rPr>
      </w:pPr>
      <w:r w:rsidRPr="009D28F7">
        <w:rPr>
          <w:i/>
          <w:iCs/>
          <w:sz w:val="20"/>
          <w:szCs w:val="20"/>
        </w:rPr>
        <w:t>2. Inversión y gastos de la empresa en planes de reducción de pérdidas (Millones de pesos corrientes/año)</w:t>
      </w:r>
    </w:p>
    <w:tbl>
      <w:tblPr>
        <w:tblW w:w="0" w:type="auto"/>
        <w:jc w:val="center"/>
        <w:tblLayout w:type="fixed"/>
        <w:tblCellMar>
          <w:left w:w="70" w:type="dxa"/>
          <w:right w:w="70" w:type="dxa"/>
        </w:tblCellMar>
        <w:tblLook w:val="04A0" w:firstRow="1" w:lastRow="0" w:firstColumn="1" w:lastColumn="0" w:noHBand="0" w:noVBand="1"/>
      </w:tblPr>
      <w:tblGrid>
        <w:gridCol w:w="1134"/>
        <w:gridCol w:w="1559"/>
        <w:gridCol w:w="1560"/>
        <w:gridCol w:w="1267"/>
        <w:gridCol w:w="160"/>
        <w:gridCol w:w="160"/>
      </w:tblGrid>
      <w:tr w:rsidR="009D28F7" w:rsidRPr="009D28F7" w14:paraId="15B20FB8" w14:textId="77777777" w:rsidTr="00A37CC4">
        <w:trPr>
          <w:trHeight w:val="283"/>
          <w:tblHeader/>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49F55" w14:textId="77777777" w:rsidR="009D28F7" w:rsidRPr="00A371A8" w:rsidRDefault="009D28F7" w:rsidP="008C066D">
            <w:pPr>
              <w:spacing w:before="0" w:after="0"/>
              <w:ind w:left="284"/>
              <w:jc w:val="center"/>
              <w:rPr>
                <w:i/>
                <w:iCs/>
                <w:color w:val="000000"/>
                <w:sz w:val="18"/>
                <w:szCs w:val="18"/>
                <w:lang w:val="es-CO" w:eastAsia="es-CO"/>
              </w:rPr>
            </w:pPr>
            <w:r w:rsidRPr="00A371A8">
              <w:rPr>
                <w:i/>
                <w:iCs/>
                <w:color w:val="000000"/>
                <w:sz w:val="18"/>
                <w:szCs w:val="18"/>
                <w:lang w:val="es-CO" w:eastAsia="es-CO"/>
              </w:rPr>
              <w:t>AÑO</w:t>
            </w:r>
          </w:p>
        </w:tc>
        <w:tc>
          <w:tcPr>
            <w:tcW w:w="438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B614350" w14:textId="77777777" w:rsidR="009D28F7" w:rsidRPr="00A371A8" w:rsidRDefault="009D28F7" w:rsidP="008C066D">
            <w:pPr>
              <w:spacing w:before="0" w:after="0"/>
              <w:ind w:left="284"/>
              <w:jc w:val="center"/>
              <w:rPr>
                <w:i/>
                <w:iCs/>
                <w:color w:val="000000"/>
                <w:sz w:val="18"/>
                <w:szCs w:val="18"/>
                <w:lang w:val="es-CO" w:eastAsia="es-CO"/>
              </w:rPr>
            </w:pPr>
            <w:r w:rsidRPr="00A371A8">
              <w:rPr>
                <w:i/>
                <w:iCs/>
                <w:color w:val="000000"/>
                <w:sz w:val="18"/>
                <w:szCs w:val="18"/>
                <w:lang w:val="es-CO" w:eastAsia="es-CO"/>
              </w:rPr>
              <w:t>INVERSIÓN Y GASTOS (Mill $ corrientes)</w:t>
            </w:r>
          </w:p>
        </w:tc>
        <w:tc>
          <w:tcPr>
            <w:tcW w:w="160" w:type="dxa"/>
            <w:tcBorders>
              <w:top w:val="nil"/>
              <w:left w:val="nil"/>
              <w:bottom w:val="nil"/>
              <w:right w:val="nil"/>
            </w:tcBorders>
            <w:shd w:val="clear" w:color="auto" w:fill="auto"/>
            <w:noWrap/>
            <w:vAlign w:val="center"/>
            <w:hideMark/>
          </w:tcPr>
          <w:p w14:paraId="6D60402E" w14:textId="77777777" w:rsidR="009D28F7" w:rsidRPr="009D28F7" w:rsidRDefault="009D28F7" w:rsidP="008C066D">
            <w:pPr>
              <w:spacing w:before="0" w:after="0"/>
              <w:ind w:left="284"/>
              <w:jc w:val="center"/>
              <w:rPr>
                <w:rFonts w:ascii="Calibri" w:hAnsi="Calibri"/>
                <w:b/>
                <w:bCs/>
                <w:color w:val="000000"/>
                <w:sz w:val="22"/>
                <w:szCs w:val="22"/>
                <w:lang w:val="es-CO" w:eastAsia="es-CO"/>
              </w:rPr>
            </w:pPr>
          </w:p>
        </w:tc>
        <w:tc>
          <w:tcPr>
            <w:tcW w:w="160" w:type="dxa"/>
            <w:tcBorders>
              <w:top w:val="nil"/>
              <w:left w:val="nil"/>
              <w:bottom w:val="nil"/>
              <w:right w:val="nil"/>
            </w:tcBorders>
            <w:shd w:val="clear" w:color="auto" w:fill="auto"/>
            <w:noWrap/>
            <w:vAlign w:val="center"/>
            <w:hideMark/>
          </w:tcPr>
          <w:p w14:paraId="208B2909" w14:textId="77777777" w:rsidR="009D28F7" w:rsidRPr="009D28F7" w:rsidRDefault="009D28F7" w:rsidP="008C066D">
            <w:pPr>
              <w:spacing w:before="0" w:after="0"/>
              <w:ind w:left="284"/>
              <w:jc w:val="center"/>
              <w:rPr>
                <w:rFonts w:ascii="Times New Roman" w:hAnsi="Times New Roman"/>
                <w:sz w:val="20"/>
                <w:szCs w:val="20"/>
                <w:lang w:val="es-CO" w:eastAsia="es-CO"/>
              </w:rPr>
            </w:pPr>
          </w:p>
        </w:tc>
      </w:tr>
      <w:tr w:rsidR="009D28F7" w:rsidRPr="009D28F7" w14:paraId="50C1FBD5" w14:textId="77777777" w:rsidTr="00A37CC4">
        <w:trPr>
          <w:trHeight w:val="283"/>
          <w:tblHeader/>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11CA53" w14:textId="77777777" w:rsidR="009D28F7" w:rsidRPr="00A371A8" w:rsidRDefault="009D28F7" w:rsidP="008C066D">
            <w:pPr>
              <w:spacing w:before="0" w:after="0"/>
              <w:ind w:left="284"/>
              <w:jc w:val="center"/>
              <w:rPr>
                <w:i/>
                <w:iCs/>
                <w:color w:val="000000"/>
                <w:sz w:val="18"/>
                <w:szCs w:val="18"/>
                <w:lang w:val="es-CO" w:eastAsia="es-CO"/>
              </w:rPr>
            </w:pPr>
          </w:p>
        </w:tc>
        <w:tc>
          <w:tcPr>
            <w:tcW w:w="1559" w:type="dxa"/>
            <w:tcBorders>
              <w:top w:val="nil"/>
              <w:left w:val="nil"/>
              <w:bottom w:val="single" w:sz="4" w:space="0" w:color="auto"/>
              <w:right w:val="single" w:sz="4" w:space="0" w:color="auto"/>
            </w:tcBorders>
            <w:shd w:val="clear" w:color="auto" w:fill="auto"/>
            <w:noWrap/>
            <w:vAlign w:val="center"/>
            <w:hideMark/>
          </w:tcPr>
          <w:p w14:paraId="248BD31B" w14:textId="77777777" w:rsidR="009D28F7" w:rsidRPr="00A371A8" w:rsidRDefault="009D28F7" w:rsidP="008C066D">
            <w:pPr>
              <w:spacing w:before="0" w:after="0"/>
              <w:ind w:left="284"/>
              <w:jc w:val="center"/>
              <w:rPr>
                <w:i/>
                <w:iCs/>
                <w:color w:val="000000"/>
                <w:sz w:val="18"/>
                <w:szCs w:val="18"/>
                <w:lang w:val="es-CO" w:eastAsia="es-CO"/>
              </w:rPr>
            </w:pPr>
            <w:r w:rsidRPr="00A371A8">
              <w:rPr>
                <w:i/>
                <w:iCs/>
                <w:color w:val="000000"/>
                <w:sz w:val="18"/>
                <w:szCs w:val="18"/>
                <w:lang w:val="es-CO" w:eastAsia="es-CO"/>
              </w:rPr>
              <w:t>Gastos</w:t>
            </w:r>
          </w:p>
        </w:tc>
        <w:tc>
          <w:tcPr>
            <w:tcW w:w="1560" w:type="dxa"/>
            <w:tcBorders>
              <w:top w:val="nil"/>
              <w:left w:val="nil"/>
              <w:bottom w:val="single" w:sz="4" w:space="0" w:color="auto"/>
              <w:right w:val="single" w:sz="4" w:space="0" w:color="auto"/>
            </w:tcBorders>
            <w:shd w:val="clear" w:color="auto" w:fill="auto"/>
            <w:vAlign w:val="center"/>
            <w:hideMark/>
          </w:tcPr>
          <w:p w14:paraId="232E7D84" w14:textId="77777777" w:rsidR="009D28F7" w:rsidRPr="00A371A8" w:rsidRDefault="009D28F7" w:rsidP="008C066D">
            <w:pPr>
              <w:spacing w:before="0" w:after="0"/>
              <w:ind w:left="284"/>
              <w:jc w:val="center"/>
              <w:rPr>
                <w:i/>
                <w:iCs/>
                <w:color w:val="000000"/>
                <w:sz w:val="18"/>
                <w:szCs w:val="18"/>
                <w:lang w:val="es-CO" w:eastAsia="es-CO"/>
              </w:rPr>
            </w:pPr>
            <w:r w:rsidRPr="00A371A8">
              <w:rPr>
                <w:i/>
                <w:iCs/>
                <w:color w:val="000000"/>
                <w:sz w:val="18"/>
                <w:szCs w:val="18"/>
                <w:lang w:val="es-CO" w:eastAsia="es-CO"/>
              </w:rPr>
              <w:t>Inversión</w:t>
            </w:r>
          </w:p>
        </w:tc>
        <w:tc>
          <w:tcPr>
            <w:tcW w:w="1267" w:type="dxa"/>
            <w:tcBorders>
              <w:top w:val="nil"/>
              <w:left w:val="nil"/>
              <w:bottom w:val="single" w:sz="4" w:space="0" w:color="auto"/>
              <w:right w:val="single" w:sz="4" w:space="0" w:color="auto"/>
            </w:tcBorders>
            <w:shd w:val="clear" w:color="auto" w:fill="auto"/>
            <w:noWrap/>
            <w:vAlign w:val="center"/>
            <w:hideMark/>
          </w:tcPr>
          <w:p w14:paraId="4991E81A" w14:textId="77777777" w:rsidR="009D28F7" w:rsidRPr="00A371A8" w:rsidRDefault="009D28F7" w:rsidP="008C066D">
            <w:pPr>
              <w:spacing w:before="0" w:after="0"/>
              <w:ind w:left="284"/>
              <w:jc w:val="center"/>
              <w:rPr>
                <w:i/>
                <w:iCs/>
                <w:color w:val="000000"/>
                <w:sz w:val="18"/>
                <w:szCs w:val="18"/>
                <w:lang w:val="es-CO" w:eastAsia="es-CO"/>
              </w:rPr>
            </w:pPr>
            <w:r w:rsidRPr="00A371A8">
              <w:rPr>
                <w:i/>
                <w:iCs/>
                <w:color w:val="000000"/>
                <w:sz w:val="18"/>
                <w:szCs w:val="18"/>
                <w:lang w:val="es-CO" w:eastAsia="es-CO"/>
              </w:rPr>
              <w:t>TOTAL</w:t>
            </w:r>
          </w:p>
        </w:tc>
        <w:tc>
          <w:tcPr>
            <w:tcW w:w="160" w:type="dxa"/>
            <w:tcBorders>
              <w:top w:val="nil"/>
              <w:left w:val="nil"/>
              <w:bottom w:val="nil"/>
              <w:right w:val="nil"/>
            </w:tcBorders>
            <w:shd w:val="clear" w:color="auto" w:fill="auto"/>
            <w:noWrap/>
            <w:vAlign w:val="center"/>
            <w:hideMark/>
          </w:tcPr>
          <w:p w14:paraId="7D81FB4B" w14:textId="77777777" w:rsidR="009D28F7" w:rsidRPr="009D28F7" w:rsidRDefault="009D28F7" w:rsidP="008C066D">
            <w:pPr>
              <w:spacing w:before="0" w:after="0"/>
              <w:ind w:left="284"/>
              <w:jc w:val="center"/>
              <w:rPr>
                <w:rFonts w:ascii="Calibri" w:hAnsi="Calibri"/>
                <w:b/>
                <w:bCs/>
                <w:color w:val="000000"/>
                <w:sz w:val="22"/>
                <w:szCs w:val="22"/>
                <w:lang w:val="es-CO" w:eastAsia="es-CO"/>
              </w:rPr>
            </w:pPr>
          </w:p>
        </w:tc>
        <w:tc>
          <w:tcPr>
            <w:tcW w:w="160" w:type="dxa"/>
            <w:tcBorders>
              <w:top w:val="nil"/>
              <w:left w:val="nil"/>
              <w:bottom w:val="nil"/>
              <w:right w:val="nil"/>
            </w:tcBorders>
            <w:shd w:val="clear" w:color="auto" w:fill="auto"/>
            <w:noWrap/>
            <w:vAlign w:val="center"/>
            <w:hideMark/>
          </w:tcPr>
          <w:p w14:paraId="7E9261E1" w14:textId="77777777" w:rsidR="009D28F7" w:rsidRPr="009D28F7" w:rsidRDefault="009D28F7" w:rsidP="008C066D">
            <w:pPr>
              <w:spacing w:before="0" w:after="0"/>
              <w:ind w:left="284"/>
              <w:jc w:val="center"/>
              <w:rPr>
                <w:rFonts w:ascii="Times New Roman" w:hAnsi="Times New Roman"/>
                <w:sz w:val="20"/>
                <w:szCs w:val="20"/>
                <w:lang w:val="es-CO" w:eastAsia="es-CO"/>
              </w:rPr>
            </w:pPr>
          </w:p>
        </w:tc>
      </w:tr>
      <w:tr w:rsidR="009D28F7" w:rsidRPr="009D28F7" w14:paraId="5AA68941" w14:textId="77777777" w:rsidTr="00A37CC4">
        <w:trPr>
          <w:trHeight w:val="283"/>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CE70766" w14:textId="77777777" w:rsidR="009D28F7" w:rsidRPr="00A371A8" w:rsidRDefault="009D28F7" w:rsidP="008C066D">
            <w:pPr>
              <w:spacing w:before="0" w:after="0"/>
              <w:ind w:left="284"/>
              <w:jc w:val="center"/>
              <w:rPr>
                <w:i/>
                <w:iCs/>
                <w:color w:val="000000"/>
                <w:sz w:val="18"/>
                <w:szCs w:val="18"/>
                <w:lang w:val="es-CO" w:eastAsia="es-CO"/>
              </w:rPr>
            </w:pPr>
            <w:r w:rsidRPr="00A371A8">
              <w:rPr>
                <w:i/>
                <w:iCs/>
                <w:color w:val="000000"/>
                <w:sz w:val="18"/>
                <w:szCs w:val="18"/>
                <w:lang w:val="es-CO" w:eastAsia="es-CO"/>
              </w:rPr>
              <w:t>2009</w:t>
            </w:r>
          </w:p>
        </w:tc>
        <w:tc>
          <w:tcPr>
            <w:tcW w:w="1559" w:type="dxa"/>
            <w:tcBorders>
              <w:top w:val="nil"/>
              <w:left w:val="nil"/>
              <w:bottom w:val="single" w:sz="4" w:space="0" w:color="auto"/>
              <w:right w:val="single" w:sz="4" w:space="0" w:color="auto"/>
            </w:tcBorders>
            <w:shd w:val="clear" w:color="auto" w:fill="auto"/>
            <w:noWrap/>
            <w:vAlign w:val="center"/>
            <w:hideMark/>
          </w:tcPr>
          <w:p w14:paraId="0613B8E9" w14:textId="0C72F567" w:rsidR="009D28F7" w:rsidRPr="00A371A8" w:rsidRDefault="009D28F7" w:rsidP="008C066D">
            <w:pPr>
              <w:spacing w:before="0" w:after="0"/>
              <w:ind w:left="284"/>
              <w:jc w:val="center"/>
              <w:rPr>
                <w:i/>
                <w:iCs/>
                <w:color w:val="000000"/>
                <w:sz w:val="18"/>
                <w:szCs w:val="18"/>
                <w:lang w:val="es-CO" w:eastAsia="es-CO"/>
              </w:rPr>
            </w:pPr>
            <w:r w:rsidRPr="00A371A8">
              <w:rPr>
                <w:i/>
                <w:iCs/>
                <w:color w:val="000000"/>
                <w:sz w:val="18"/>
                <w:szCs w:val="18"/>
                <w:lang w:val="es-CO" w:eastAsia="es-CO"/>
              </w:rPr>
              <w:t>28.345</w:t>
            </w:r>
          </w:p>
        </w:tc>
        <w:tc>
          <w:tcPr>
            <w:tcW w:w="1560" w:type="dxa"/>
            <w:tcBorders>
              <w:top w:val="nil"/>
              <w:left w:val="nil"/>
              <w:bottom w:val="single" w:sz="4" w:space="0" w:color="auto"/>
              <w:right w:val="single" w:sz="4" w:space="0" w:color="auto"/>
            </w:tcBorders>
            <w:shd w:val="clear" w:color="auto" w:fill="auto"/>
            <w:noWrap/>
            <w:vAlign w:val="center"/>
            <w:hideMark/>
          </w:tcPr>
          <w:p w14:paraId="3DA988DA" w14:textId="147F585F" w:rsidR="009D28F7" w:rsidRPr="00A371A8" w:rsidRDefault="009D28F7" w:rsidP="008C066D">
            <w:pPr>
              <w:spacing w:before="0" w:after="0"/>
              <w:ind w:left="284"/>
              <w:jc w:val="center"/>
              <w:rPr>
                <w:i/>
                <w:iCs/>
                <w:color w:val="000000"/>
                <w:sz w:val="18"/>
                <w:szCs w:val="18"/>
                <w:lang w:val="es-CO" w:eastAsia="es-CO"/>
              </w:rPr>
            </w:pPr>
            <w:r w:rsidRPr="00A371A8">
              <w:rPr>
                <w:i/>
                <w:iCs/>
                <w:color w:val="000000"/>
                <w:sz w:val="18"/>
                <w:szCs w:val="18"/>
                <w:lang w:val="es-CO" w:eastAsia="es-CO"/>
              </w:rPr>
              <w:t>42.578</w:t>
            </w:r>
          </w:p>
        </w:tc>
        <w:tc>
          <w:tcPr>
            <w:tcW w:w="1267" w:type="dxa"/>
            <w:tcBorders>
              <w:top w:val="nil"/>
              <w:left w:val="nil"/>
              <w:bottom w:val="single" w:sz="4" w:space="0" w:color="auto"/>
              <w:right w:val="single" w:sz="4" w:space="0" w:color="auto"/>
            </w:tcBorders>
            <w:shd w:val="clear" w:color="auto" w:fill="auto"/>
            <w:noWrap/>
            <w:vAlign w:val="center"/>
            <w:hideMark/>
          </w:tcPr>
          <w:p w14:paraId="2BF3F49B" w14:textId="385DFB97" w:rsidR="009D28F7" w:rsidRPr="00A371A8" w:rsidRDefault="009D28F7" w:rsidP="008C066D">
            <w:pPr>
              <w:spacing w:before="0" w:after="0"/>
              <w:ind w:left="284"/>
              <w:jc w:val="center"/>
              <w:rPr>
                <w:i/>
                <w:iCs/>
                <w:color w:val="000000"/>
                <w:sz w:val="18"/>
                <w:szCs w:val="18"/>
                <w:lang w:val="es-CO" w:eastAsia="es-CO"/>
              </w:rPr>
            </w:pPr>
            <w:r w:rsidRPr="00A371A8">
              <w:rPr>
                <w:i/>
                <w:iCs/>
                <w:color w:val="000000"/>
                <w:sz w:val="18"/>
                <w:szCs w:val="18"/>
                <w:lang w:val="es-CO" w:eastAsia="es-CO"/>
              </w:rPr>
              <w:t>70.923</w:t>
            </w:r>
          </w:p>
        </w:tc>
        <w:tc>
          <w:tcPr>
            <w:tcW w:w="160" w:type="dxa"/>
            <w:tcBorders>
              <w:top w:val="nil"/>
              <w:left w:val="nil"/>
              <w:bottom w:val="nil"/>
              <w:right w:val="nil"/>
            </w:tcBorders>
            <w:shd w:val="clear" w:color="auto" w:fill="auto"/>
            <w:noWrap/>
            <w:vAlign w:val="center"/>
            <w:hideMark/>
          </w:tcPr>
          <w:p w14:paraId="48FB96E1" w14:textId="77777777" w:rsidR="009D28F7" w:rsidRPr="009D28F7" w:rsidRDefault="009D28F7" w:rsidP="008C066D">
            <w:pPr>
              <w:spacing w:before="0" w:after="0"/>
              <w:ind w:left="284"/>
              <w:jc w:val="center"/>
              <w:rPr>
                <w:rFonts w:ascii="Calibri" w:hAnsi="Calibri"/>
                <w:color w:val="000000"/>
                <w:sz w:val="22"/>
                <w:szCs w:val="22"/>
                <w:lang w:val="es-CO" w:eastAsia="es-CO"/>
              </w:rPr>
            </w:pPr>
          </w:p>
        </w:tc>
        <w:tc>
          <w:tcPr>
            <w:tcW w:w="160" w:type="dxa"/>
            <w:tcBorders>
              <w:top w:val="nil"/>
              <w:left w:val="nil"/>
              <w:bottom w:val="nil"/>
              <w:right w:val="nil"/>
            </w:tcBorders>
            <w:shd w:val="clear" w:color="auto" w:fill="auto"/>
            <w:noWrap/>
            <w:vAlign w:val="center"/>
            <w:hideMark/>
          </w:tcPr>
          <w:p w14:paraId="76D814E5" w14:textId="77777777" w:rsidR="009D28F7" w:rsidRPr="009D28F7" w:rsidRDefault="009D28F7" w:rsidP="008C066D">
            <w:pPr>
              <w:spacing w:before="0" w:after="0"/>
              <w:ind w:left="284"/>
              <w:jc w:val="center"/>
              <w:rPr>
                <w:rFonts w:ascii="Times New Roman" w:hAnsi="Times New Roman"/>
                <w:sz w:val="20"/>
                <w:szCs w:val="20"/>
                <w:lang w:val="es-CO" w:eastAsia="es-CO"/>
              </w:rPr>
            </w:pPr>
          </w:p>
        </w:tc>
      </w:tr>
      <w:tr w:rsidR="009D28F7" w:rsidRPr="009D28F7" w14:paraId="68EAC015" w14:textId="77777777" w:rsidTr="00A37CC4">
        <w:trPr>
          <w:trHeight w:val="283"/>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1EC6A64" w14:textId="77777777" w:rsidR="009D28F7" w:rsidRPr="00A371A8" w:rsidRDefault="009D28F7" w:rsidP="008C066D">
            <w:pPr>
              <w:spacing w:before="0" w:after="0"/>
              <w:ind w:left="284"/>
              <w:jc w:val="center"/>
              <w:rPr>
                <w:i/>
                <w:iCs/>
                <w:color w:val="000000"/>
                <w:sz w:val="18"/>
                <w:szCs w:val="18"/>
                <w:lang w:val="es-CO" w:eastAsia="es-CO"/>
              </w:rPr>
            </w:pPr>
            <w:r w:rsidRPr="00A371A8">
              <w:rPr>
                <w:i/>
                <w:iCs/>
                <w:color w:val="000000"/>
                <w:sz w:val="18"/>
                <w:szCs w:val="18"/>
                <w:lang w:val="es-CO" w:eastAsia="es-CO"/>
              </w:rPr>
              <w:t>2010</w:t>
            </w:r>
          </w:p>
        </w:tc>
        <w:tc>
          <w:tcPr>
            <w:tcW w:w="1559" w:type="dxa"/>
            <w:tcBorders>
              <w:top w:val="nil"/>
              <w:left w:val="nil"/>
              <w:bottom w:val="single" w:sz="4" w:space="0" w:color="auto"/>
              <w:right w:val="single" w:sz="4" w:space="0" w:color="auto"/>
            </w:tcBorders>
            <w:shd w:val="clear" w:color="auto" w:fill="auto"/>
            <w:noWrap/>
            <w:vAlign w:val="center"/>
            <w:hideMark/>
          </w:tcPr>
          <w:p w14:paraId="25BA47C3" w14:textId="2370ECA6" w:rsidR="009D28F7" w:rsidRPr="00A371A8" w:rsidRDefault="009D28F7" w:rsidP="008C066D">
            <w:pPr>
              <w:spacing w:before="0" w:after="0"/>
              <w:ind w:left="284"/>
              <w:jc w:val="center"/>
              <w:rPr>
                <w:i/>
                <w:iCs/>
                <w:color w:val="000000"/>
                <w:sz w:val="18"/>
                <w:szCs w:val="18"/>
                <w:lang w:val="es-CO" w:eastAsia="es-CO"/>
              </w:rPr>
            </w:pPr>
            <w:r w:rsidRPr="00A371A8">
              <w:rPr>
                <w:i/>
                <w:iCs/>
                <w:color w:val="000000"/>
                <w:sz w:val="18"/>
                <w:szCs w:val="18"/>
                <w:lang w:val="es-CO" w:eastAsia="es-CO"/>
              </w:rPr>
              <w:t>32.879</w:t>
            </w:r>
          </w:p>
        </w:tc>
        <w:tc>
          <w:tcPr>
            <w:tcW w:w="1560" w:type="dxa"/>
            <w:tcBorders>
              <w:top w:val="nil"/>
              <w:left w:val="nil"/>
              <w:bottom w:val="single" w:sz="4" w:space="0" w:color="auto"/>
              <w:right w:val="single" w:sz="4" w:space="0" w:color="auto"/>
            </w:tcBorders>
            <w:shd w:val="clear" w:color="auto" w:fill="auto"/>
            <w:noWrap/>
            <w:vAlign w:val="center"/>
            <w:hideMark/>
          </w:tcPr>
          <w:p w14:paraId="765FB79D" w14:textId="55B00D7A" w:rsidR="009D28F7" w:rsidRPr="00A371A8" w:rsidRDefault="009D28F7" w:rsidP="008C066D">
            <w:pPr>
              <w:spacing w:before="0" w:after="0"/>
              <w:ind w:left="284"/>
              <w:jc w:val="center"/>
              <w:rPr>
                <w:i/>
                <w:iCs/>
                <w:color w:val="000000"/>
                <w:sz w:val="18"/>
                <w:szCs w:val="18"/>
                <w:lang w:val="es-CO" w:eastAsia="es-CO"/>
              </w:rPr>
            </w:pPr>
            <w:r w:rsidRPr="00A371A8">
              <w:rPr>
                <w:i/>
                <w:iCs/>
                <w:color w:val="000000"/>
                <w:sz w:val="18"/>
                <w:szCs w:val="18"/>
                <w:lang w:val="es-CO" w:eastAsia="es-CO"/>
              </w:rPr>
              <w:t>39.501</w:t>
            </w:r>
          </w:p>
        </w:tc>
        <w:tc>
          <w:tcPr>
            <w:tcW w:w="1267" w:type="dxa"/>
            <w:tcBorders>
              <w:top w:val="nil"/>
              <w:left w:val="nil"/>
              <w:bottom w:val="single" w:sz="4" w:space="0" w:color="auto"/>
              <w:right w:val="single" w:sz="4" w:space="0" w:color="auto"/>
            </w:tcBorders>
            <w:shd w:val="clear" w:color="auto" w:fill="auto"/>
            <w:noWrap/>
            <w:vAlign w:val="center"/>
            <w:hideMark/>
          </w:tcPr>
          <w:p w14:paraId="5113EF94" w14:textId="09A5F589" w:rsidR="009D28F7" w:rsidRPr="00A371A8" w:rsidRDefault="009D28F7" w:rsidP="008C066D">
            <w:pPr>
              <w:spacing w:before="0" w:after="0"/>
              <w:ind w:left="284"/>
              <w:jc w:val="center"/>
              <w:rPr>
                <w:i/>
                <w:iCs/>
                <w:color w:val="000000"/>
                <w:sz w:val="18"/>
                <w:szCs w:val="18"/>
                <w:lang w:val="es-CO" w:eastAsia="es-CO"/>
              </w:rPr>
            </w:pPr>
            <w:r w:rsidRPr="00A371A8">
              <w:rPr>
                <w:i/>
                <w:iCs/>
                <w:color w:val="000000"/>
                <w:sz w:val="18"/>
                <w:szCs w:val="18"/>
                <w:lang w:val="es-CO" w:eastAsia="es-CO"/>
              </w:rPr>
              <w:t>72.380</w:t>
            </w:r>
          </w:p>
        </w:tc>
        <w:tc>
          <w:tcPr>
            <w:tcW w:w="160" w:type="dxa"/>
            <w:tcBorders>
              <w:top w:val="nil"/>
              <w:left w:val="nil"/>
              <w:bottom w:val="nil"/>
              <w:right w:val="nil"/>
            </w:tcBorders>
            <w:shd w:val="clear" w:color="auto" w:fill="auto"/>
            <w:noWrap/>
            <w:vAlign w:val="center"/>
            <w:hideMark/>
          </w:tcPr>
          <w:p w14:paraId="04DAF030" w14:textId="77777777" w:rsidR="009D28F7" w:rsidRPr="009D28F7" w:rsidRDefault="009D28F7" w:rsidP="008C066D">
            <w:pPr>
              <w:spacing w:before="0" w:after="0"/>
              <w:ind w:left="284"/>
              <w:jc w:val="center"/>
              <w:rPr>
                <w:rFonts w:ascii="Calibri" w:hAnsi="Calibri"/>
                <w:color w:val="000000"/>
                <w:sz w:val="22"/>
                <w:szCs w:val="22"/>
                <w:lang w:val="es-CO" w:eastAsia="es-CO"/>
              </w:rPr>
            </w:pPr>
          </w:p>
        </w:tc>
        <w:tc>
          <w:tcPr>
            <w:tcW w:w="160" w:type="dxa"/>
            <w:tcBorders>
              <w:top w:val="nil"/>
              <w:left w:val="nil"/>
              <w:bottom w:val="nil"/>
              <w:right w:val="nil"/>
            </w:tcBorders>
            <w:shd w:val="clear" w:color="auto" w:fill="auto"/>
            <w:noWrap/>
            <w:vAlign w:val="center"/>
            <w:hideMark/>
          </w:tcPr>
          <w:p w14:paraId="5E3D18BC" w14:textId="77777777" w:rsidR="009D28F7" w:rsidRPr="009D28F7" w:rsidRDefault="009D28F7" w:rsidP="008C066D">
            <w:pPr>
              <w:spacing w:before="0" w:after="0"/>
              <w:ind w:left="284"/>
              <w:jc w:val="center"/>
              <w:rPr>
                <w:rFonts w:ascii="Times New Roman" w:hAnsi="Times New Roman"/>
                <w:sz w:val="20"/>
                <w:szCs w:val="20"/>
                <w:lang w:val="es-CO" w:eastAsia="es-CO"/>
              </w:rPr>
            </w:pPr>
          </w:p>
        </w:tc>
      </w:tr>
      <w:tr w:rsidR="009D28F7" w:rsidRPr="009D28F7" w14:paraId="203C8D2C" w14:textId="77777777" w:rsidTr="00A37CC4">
        <w:trPr>
          <w:trHeight w:val="283"/>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0D7D307" w14:textId="77777777" w:rsidR="009D28F7" w:rsidRPr="00A371A8" w:rsidRDefault="009D28F7" w:rsidP="008C066D">
            <w:pPr>
              <w:spacing w:before="0" w:after="0"/>
              <w:ind w:left="284"/>
              <w:jc w:val="center"/>
              <w:rPr>
                <w:i/>
                <w:iCs/>
                <w:color w:val="000000"/>
                <w:sz w:val="18"/>
                <w:szCs w:val="18"/>
                <w:lang w:val="es-CO" w:eastAsia="es-CO"/>
              </w:rPr>
            </w:pPr>
            <w:r w:rsidRPr="00A371A8">
              <w:rPr>
                <w:i/>
                <w:iCs/>
                <w:color w:val="000000"/>
                <w:sz w:val="18"/>
                <w:szCs w:val="18"/>
                <w:lang w:val="es-CO" w:eastAsia="es-CO"/>
              </w:rPr>
              <w:t>2011</w:t>
            </w:r>
          </w:p>
        </w:tc>
        <w:tc>
          <w:tcPr>
            <w:tcW w:w="1559" w:type="dxa"/>
            <w:tcBorders>
              <w:top w:val="nil"/>
              <w:left w:val="nil"/>
              <w:bottom w:val="single" w:sz="4" w:space="0" w:color="auto"/>
              <w:right w:val="single" w:sz="4" w:space="0" w:color="auto"/>
            </w:tcBorders>
            <w:shd w:val="clear" w:color="auto" w:fill="auto"/>
            <w:noWrap/>
            <w:vAlign w:val="center"/>
            <w:hideMark/>
          </w:tcPr>
          <w:p w14:paraId="42C76E83" w14:textId="4730648B" w:rsidR="009D28F7" w:rsidRPr="00A371A8" w:rsidRDefault="009D28F7" w:rsidP="008C066D">
            <w:pPr>
              <w:spacing w:before="0" w:after="0"/>
              <w:ind w:left="284"/>
              <w:jc w:val="center"/>
              <w:rPr>
                <w:i/>
                <w:iCs/>
                <w:color w:val="000000"/>
                <w:sz w:val="18"/>
                <w:szCs w:val="18"/>
                <w:lang w:val="es-CO" w:eastAsia="es-CO"/>
              </w:rPr>
            </w:pPr>
            <w:r w:rsidRPr="00A371A8">
              <w:rPr>
                <w:i/>
                <w:iCs/>
                <w:color w:val="000000"/>
                <w:sz w:val="18"/>
                <w:szCs w:val="18"/>
                <w:lang w:val="es-CO" w:eastAsia="es-CO"/>
              </w:rPr>
              <w:t>64.792</w:t>
            </w:r>
          </w:p>
        </w:tc>
        <w:tc>
          <w:tcPr>
            <w:tcW w:w="1560" w:type="dxa"/>
            <w:tcBorders>
              <w:top w:val="nil"/>
              <w:left w:val="nil"/>
              <w:bottom w:val="single" w:sz="4" w:space="0" w:color="auto"/>
              <w:right w:val="single" w:sz="4" w:space="0" w:color="auto"/>
            </w:tcBorders>
            <w:shd w:val="clear" w:color="auto" w:fill="auto"/>
            <w:noWrap/>
            <w:vAlign w:val="center"/>
            <w:hideMark/>
          </w:tcPr>
          <w:p w14:paraId="77E76F8D" w14:textId="326C5E5D" w:rsidR="009D28F7" w:rsidRPr="00A371A8" w:rsidRDefault="009D28F7" w:rsidP="008C066D">
            <w:pPr>
              <w:spacing w:before="0" w:after="0"/>
              <w:ind w:left="284"/>
              <w:jc w:val="center"/>
              <w:rPr>
                <w:i/>
                <w:iCs/>
                <w:color w:val="000000"/>
                <w:sz w:val="18"/>
                <w:szCs w:val="18"/>
                <w:lang w:val="es-CO" w:eastAsia="es-CO"/>
              </w:rPr>
            </w:pPr>
            <w:r w:rsidRPr="00A371A8">
              <w:rPr>
                <w:i/>
                <w:iCs/>
                <w:color w:val="000000"/>
                <w:sz w:val="18"/>
                <w:szCs w:val="18"/>
                <w:lang w:val="es-CO" w:eastAsia="es-CO"/>
              </w:rPr>
              <w:t>45.296</w:t>
            </w:r>
          </w:p>
        </w:tc>
        <w:tc>
          <w:tcPr>
            <w:tcW w:w="1267" w:type="dxa"/>
            <w:tcBorders>
              <w:top w:val="nil"/>
              <w:left w:val="nil"/>
              <w:bottom w:val="single" w:sz="4" w:space="0" w:color="auto"/>
              <w:right w:val="single" w:sz="4" w:space="0" w:color="auto"/>
            </w:tcBorders>
            <w:shd w:val="clear" w:color="auto" w:fill="auto"/>
            <w:noWrap/>
            <w:vAlign w:val="center"/>
            <w:hideMark/>
          </w:tcPr>
          <w:p w14:paraId="04AF7DDF" w14:textId="23D0913C" w:rsidR="009D28F7" w:rsidRPr="00A371A8" w:rsidRDefault="009D28F7" w:rsidP="008C066D">
            <w:pPr>
              <w:spacing w:before="0" w:after="0"/>
              <w:ind w:left="284"/>
              <w:jc w:val="center"/>
              <w:rPr>
                <w:i/>
                <w:iCs/>
                <w:color w:val="000000"/>
                <w:sz w:val="18"/>
                <w:szCs w:val="18"/>
                <w:lang w:val="es-CO" w:eastAsia="es-CO"/>
              </w:rPr>
            </w:pPr>
            <w:r w:rsidRPr="00A371A8">
              <w:rPr>
                <w:i/>
                <w:iCs/>
                <w:color w:val="000000"/>
                <w:sz w:val="18"/>
                <w:szCs w:val="18"/>
                <w:lang w:val="es-CO" w:eastAsia="es-CO"/>
              </w:rPr>
              <w:t>110.088</w:t>
            </w:r>
          </w:p>
        </w:tc>
        <w:tc>
          <w:tcPr>
            <w:tcW w:w="160" w:type="dxa"/>
            <w:tcBorders>
              <w:top w:val="nil"/>
              <w:left w:val="nil"/>
              <w:bottom w:val="nil"/>
              <w:right w:val="nil"/>
            </w:tcBorders>
            <w:shd w:val="clear" w:color="auto" w:fill="auto"/>
            <w:noWrap/>
            <w:vAlign w:val="center"/>
            <w:hideMark/>
          </w:tcPr>
          <w:p w14:paraId="5B7C7B0C" w14:textId="77777777" w:rsidR="009D28F7" w:rsidRPr="009D28F7" w:rsidRDefault="009D28F7" w:rsidP="008C066D">
            <w:pPr>
              <w:spacing w:before="0" w:after="0"/>
              <w:ind w:left="284"/>
              <w:jc w:val="center"/>
              <w:rPr>
                <w:rFonts w:ascii="Calibri" w:hAnsi="Calibri"/>
                <w:color w:val="000000"/>
                <w:sz w:val="22"/>
                <w:szCs w:val="22"/>
                <w:lang w:val="es-CO" w:eastAsia="es-CO"/>
              </w:rPr>
            </w:pPr>
          </w:p>
        </w:tc>
        <w:tc>
          <w:tcPr>
            <w:tcW w:w="160" w:type="dxa"/>
            <w:tcBorders>
              <w:top w:val="nil"/>
              <w:left w:val="nil"/>
              <w:bottom w:val="nil"/>
              <w:right w:val="nil"/>
            </w:tcBorders>
            <w:shd w:val="clear" w:color="auto" w:fill="auto"/>
            <w:noWrap/>
            <w:vAlign w:val="center"/>
            <w:hideMark/>
          </w:tcPr>
          <w:p w14:paraId="51896D8D" w14:textId="77777777" w:rsidR="009D28F7" w:rsidRPr="009D28F7" w:rsidRDefault="009D28F7" w:rsidP="008C066D">
            <w:pPr>
              <w:spacing w:before="0" w:after="0"/>
              <w:ind w:left="284"/>
              <w:jc w:val="center"/>
              <w:rPr>
                <w:rFonts w:ascii="Times New Roman" w:hAnsi="Times New Roman"/>
                <w:sz w:val="20"/>
                <w:szCs w:val="20"/>
                <w:lang w:val="es-CO" w:eastAsia="es-CO"/>
              </w:rPr>
            </w:pPr>
          </w:p>
        </w:tc>
      </w:tr>
      <w:tr w:rsidR="009D28F7" w:rsidRPr="009D28F7" w14:paraId="4EFCDD89" w14:textId="77777777" w:rsidTr="00A37CC4">
        <w:trPr>
          <w:trHeight w:val="283"/>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E008762" w14:textId="77777777" w:rsidR="009D28F7" w:rsidRPr="00A371A8" w:rsidRDefault="009D28F7" w:rsidP="008C066D">
            <w:pPr>
              <w:spacing w:before="0" w:after="0"/>
              <w:ind w:left="284"/>
              <w:jc w:val="center"/>
              <w:rPr>
                <w:i/>
                <w:iCs/>
                <w:color w:val="000000"/>
                <w:sz w:val="18"/>
                <w:szCs w:val="18"/>
                <w:lang w:val="es-CO" w:eastAsia="es-CO"/>
              </w:rPr>
            </w:pPr>
            <w:r w:rsidRPr="00A371A8">
              <w:rPr>
                <w:i/>
                <w:iCs/>
                <w:color w:val="000000"/>
                <w:sz w:val="18"/>
                <w:szCs w:val="18"/>
                <w:lang w:val="es-CO" w:eastAsia="es-CO"/>
              </w:rPr>
              <w:t>2012</w:t>
            </w:r>
          </w:p>
        </w:tc>
        <w:tc>
          <w:tcPr>
            <w:tcW w:w="1559" w:type="dxa"/>
            <w:tcBorders>
              <w:top w:val="nil"/>
              <w:left w:val="nil"/>
              <w:bottom w:val="single" w:sz="4" w:space="0" w:color="auto"/>
              <w:right w:val="single" w:sz="4" w:space="0" w:color="auto"/>
            </w:tcBorders>
            <w:shd w:val="clear" w:color="auto" w:fill="auto"/>
            <w:noWrap/>
            <w:vAlign w:val="center"/>
            <w:hideMark/>
          </w:tcPr>
          <w:p w14:paraId="05568F80" w14:textId="7820D1A5" w:rsidR="009D28F7" w:rsidRPr="00A371A8" w:rsidRDefault="009D28F7" w:rsidP="008C066D">
            <w:pPr>
              <w:spacing w:before="0" w:after="0"/>
              <w:ind w:left="284"/>
              <w:jc w:val="center"/>
              <w:rPr>
                <w:i/>
                <w:iCs/>
                <w:color w:val="000000"/>
                <w:sz w:val="18"/>
                <w:szCs w:val="18"/>
                <w:lang w:val="es-CO" w:eastAsia="es-CO"/>
              </w:rPr>
            </w:pPr>
            <w:r w:rsidRPr="00A371A8">
              <w:rPr>
                <w:i/>
                <w:iCs/>
                <w:color w:val="000000"/>
                <w:sz w:val="18"/>
                <w:szCs w:val="18"/>
                <w:lang w:val="es-CO" w:eastAsia="es-CO"/>
              </w:rPr>
              <w:t>71.546</w:t>
            </w:r>
          </w:p>
        </w:tc>
        <w:tc>
          <w:tcPr>
            <w:tcW w:w="1560" w:type="dxa"/>
            <w:tcBorders>
              <w:top w:val="nil"/>
              <w:left w:val="nil"/>
              <w:bottom w:val="single" w:sz="4" w:space="0" w:color="auto"/>
              <w:right w:val="single" w:sz="4" w:space="0" w:color="auto"/>
            </w:tcBorders>
            <w:shd w:val="clear" w:color="auto" w:fill="auto"/>
            <w:noWrap/>
            <w:vAlign w:val="center"/>
            <w:hideMark/>
          </w:tcPr>
          <w:p w14:paraId="64CBCD42" w14:textId="0D965B0E" w:rsidR="009D28F7" w:rsidRPr="00A371A8" w:rsidRDefault="009D28F7" w:rsidP="008C066D">
            <w:pPr>
              <w:spacing w:before="0" w:after="0"/>
              <w:ind w:left="284"/>
              <w:jc w:val="center"/>
              <w:rPr>
                <w:i/>
                <w:iCs/>
                <w:color w:val="000000"/>
                <w:sz w:val="18"/>
                <w:szCs w:val="18"/>
                <w:lang w:val="es-CO" w:eastAsia="es-CO"/>
              </w:rPr>
            </w:pPr>
            <w:r w:rsidRPr="00A371A8">
              <w:rPr>
                <w:i/>
                <w:iCs/>
                <w:color w:val="000000"/>
                <w:sz w:val="18"/>
                <w:szCs w:val="18"/>
                <w:lang w:val="es-CO" w:eastAsia="es-CO"/>
              </w:rPr>
              <w:t>47.204</w:t>
            </w:r>
          </w:p>
        </w:tc>
        <w:tc>
          <w:tcPr>
            <w:tcW w:w="1267" w:type="dxa"/>
            <w:tcBorders>
              <w:top w:val="nil"/>
              <w:left w:val="nil"/>
              <w:bottom w:val="single" w:sz="4" w:space="0" w:color="auto"/>
              <w:right w:val="single" w:sz="4" w:space="0" w:color="auto"/>
            </w:tcBorders>
            <w:shd w:val="clear" w:color="auto" w:fill="auto"/>
            <w:noWrap/>
            <w:vAlign w:val="center"/>
            <w:hideMark/>
          </w:tcPr>
          <w:p w14:paraId="798E39CF" w14:textId="33D30BCE" w:rsidR="009D28F7" w:rsidRPr="00A371A8" w:rsidRDefault="009D28F7" w:rsidP="008C066D">
            <w:pPr>
              <w:spacing w:before="0" w:after="0"/>
              <w:ind w:left="284"/>
              <w:jc w:val="center"/>
              <w:rPr>
                <w:i/>
                <w:iCs/>
                <w:color w:val="000000"/>
                <w:sz w:val="18"/>
                <w:szCs w:val="18"/>
                <w:lang w:val="es-CO" w:eastAsia="es-CO"/>
              </w:rPr>
            </w:pPr>
            <w:r w:rsidRPr="00A371A8">
              <w:rPr>
                <w:i/>
                <w:iCs/>
                <w:color w:val="000000"/>
                <w:sz w:val="18"/>
                <w:szCs w:val="18"/>
                <w:lang w:val="es-CO" w:eastAsia="es-CO"/>
              </w:rPr>
              <w:t>118.750</w:t>
            </w:r>
          </w:p>
        </w:tc>
        <w:tc>
          <w:tcPr>
            <w:tcW w:w="160" w:type="dxa"/>
            <w:tcBorders>
              <w:top w:val="nil"/>
              <w:left w:val="nil"/>
              <w:bottom w:val="nil"/>
              <w:right w:val="nil"/>
            </w:tcBorders>
            <w:shd w:val="clear" w:color="auto" w:fill="auto"/>
            <w:noWrap/>
            <w:vAlign w:val="center"/>
            <w:hideMark/>
          </w:tcPr>
          <w:p w14:paraId="604CBC6C" w14:textId="77777777" w:rsidR="009D28F7" w:rsidRPr="009D28F7" w:rsidRDefault="009D28F7" w:rsidP="008C066D">
            <w:pPr>
              <w:spacing w:before="0" w:after="0"/>
              <w:ind w:left="284"/>
              <w:jc w:val="center"/>
              <w:rPr>
                <w:rFonts w:ascii="Calibri" w:hAnsi="Calibri"/>
                <w:color w:val="000000"/>
                <w:sz w:val="22"/>
                <w:szCs w:val="22"/>
                <w:lang w:val="es-CO" w:eastAsia="es-CO"/>
              </w:rPr>
            </w:pPr>
          </w:p>
        </w:tc>
        <w:tc>
          <w:tcPr>
            <w:tcW w:w="160" w:type="dxa"/>
            <w:tcBorders>
              <w:top w:val="nil"/>
              <w:left w:val="nil"/>
              <w:bottom w:val="nil"/>
              <w:right w:val="nil"/>
            </w:tcBorders>
            <w:shd w:val="clear" w:color="auto" w:fill="auto"/>
            <w:noWrap/>
            <w:vAlign w:val="center"/>
            <w:hideMark/>
          </w:tcPr>
          <w:p w14:paraId="7AE56FBF" w14:textId="77777777" w:rsidR="009D28F7" w:rsidRPr="009D28F7" w:rsidRDefault="009D28F7" w:rsidP="008C066D">
            <w:pPr>
              <w:spacing w:before="0" w:after="0"/>
              <w:ind w:left="284"/>
              <w:jc w:val="center"/>
              <w:rPr>
                <w:rFonts w:ascii="Times New Roman" w:hAnsi="Times New Roman"/>
                <w:sz w:val="20"/>
                <w:szCs w:val="20"/>
                <w:lang w:val="es-CO" w:eastAsia="es-CO"/>
              </w:rPr>
            </w:pPr>
          </w:p>
        </w:tc>
      </w:tr>
      <w:tr w:rsidR="009D28F7" w:rsidRPr="009D28F7" w14:paraId="734DADE9" w14:textId="77777777" w:rsidTr="00A37CC4">
        <w:trPr>
          <w:trHeight w:val="283"/>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5CBA104" w14:textId="77777777" w:rsidR="009D28F7" w:rsidRPr="00A371A8" w:rsidRDefault="009D28F7" w:rsidP="008C066D">
            <w:pPr>
              <w:spacing w:before="0" w:after="0"/>
              <w:ind w:left="284"/>
              <w:jc w:val="center"/>
              <w:rPr>
                <w:i/>
                <w:iCs/>
                <w:color w:val="000000"/>
                <w:sz w:val="18"/>
                <w:szCs w:val="18"/>
                <w:lang w:val="es-CO" w:eastAsia="es-CO"/>
              </w:rPr>
            </w:pPr>
            <w:r w:rsidRPr="00A371A8">
              <w:rPr>
                <w:i/>
                <w:iCs/>
                <w:color w:val="000000"/>
                <w:sz w:val="18"/>
                <w:szCs w:val="18"/>
                <w:lang w:val="es-CO" w:eastAsia="es-CO"/>
              </w:rPr>
              <w:t>2013</w:t>
            </w:r>
          </w:p>
        </w:tc>
        <w:tc>
          <w:tcPr>
            <w:tcW w:w="1559" w:type="dxa"/>
            <w:tcBorders>
              <w:top w:val="nil"/>
              <w:left w:val="nil"/>
              <w:bottom w:val="single" w:sz="4" w:space="0" w:color="auto"/>
              <w:right w:val="single" w:sz="4" w:space="0" w:color="auto"/>
            </w:tcBorders>
            <w:shd w:val="clear" w:color="auto" w:fill="auto"/>
            <w:noWrap/>
            <w:vAlign w:val="center"/>
            <w:hideMark/>
          </w:tcPr>
          <w:p w14:paraId="7FED04E5" w14:textId="287F43D0" w:rsidR="009D28F7" w:rsidRPr="00A371A8" w:rsidRDefault="009D28F7" w:rsidP="008C066D">
            <w:pPr>
              <w:spacing w:before="0" w:after="0"/>
              <w:ind w:left="284"/>
              <w:jc w:val="center"/>
              <w:rPr>
                <w:i/>
                <w:iCs/>
                <w:color w:val="000000"/>
                <w:sz w:val="18"/>
                <w:szCs w:val="18"/>
                <w:lang w:val="es-CO" w:eastAsia="es-CO"/>
              </w:rPr>
            </w:pPr>
            <w:r w:rsidRPr="00A371A8">
              <w:rPr>
                <w:i/>
                <w:iCs/>
                <w:color w:val="000000"/>
                <w:sz w:val="18"/>
                <w:szCs w:val="18"/>
                <w:lang w:val="es-CO" w:eastAsia="es-CO"/>
              </w:rPr>
              <w:t>87.181</w:t>
            </w:r>
          </w:p>
        </w:tc>
        <w:tc>
          <w:tcPr>
            <w:tcW w:w="1560" w:type="dxa"/>
            <w:tcBorders>
              <w:top w:val="nil"/>
              <w:left w:val="nil"/>
              <w:bottom w:val="single" w:sz="4" w:space="0" w:color="auto"/>
              <w:right w:val="single" w:sz="4" w:space="0" w:color="auto"/>
            </w:tcBorders>
            <w:shd w:val="clear" w:color="auto" w:fill="auto"/>
            <w:noWrap/>
            <w:vAlign w:val="center"/>
            <w:hideMark/>
          </w:tcPr>
          <w:p w14:paraId="42E1BB5A" w14:textId="3B2487AD" w:rsidR="009D28F7" w:rsidRPr="00A371A8" w:rsidRDefault="009D28F7" w:rsidP="008C066D">
            <w:pPr>
              <w:spacing w:before="0" w:after="0"/>
              <w:ind w:left="284"/>
              <w:jc w:val="center"/>
              <w:rPr>
                <w:i/>
                <w:iCs/>
                <w:color w:val="000000"/>
                <w:sz w:val="18"/>
                <w:szCs w:val="18"/>
                <w:lang w:val="es-CO" w:eastAsia="es-CO"/>
              </w:rPr>
            </w:pPr>
            <w:r w:rsidRPr="00A371A8">
              <w:rPr>
                <w:i/>
                <w:iCs/>
                <w:color w:val="000000"/>
                <w:sz w:val="18"/>
                <w:szCs w:val="18"/>
                <w:lang w:val="es-CO" w:eastAsia="es-CO"/>
              </w:rPr>
              <w:t>41.120</w:t>
            </w:r>
          </w:p>
        </w:tc>
        <w:tc>
          <w:tcPr>
            <w:tcW w:w="1267" w:type="dxa"/>
            <w:tcBorders>
              <w:top w:val="nil"/>
              <w:left w:val="nil"/>
              <w:bottom w:val="single" w:sz="4" w:space="0" w:color="auto"/>
              <w:right w:val="single" w:sz="4" w:space="0" w:color="auto"/>
            </w:tcBorders>
            <w:shd w:val="clear" w:color="auto" w:fill="auto"/>
            <w:noWrap/>
            <w:vAlign w:val="center"/>
            <w:hideMark/>
          </w:tcPr>
          <w:p w14:paraId="68DD56C4" w14:textId="57F795C2" w:rsidR="009D28F7" w:rsidRPr="00A371A8" w:rsidRDefault="009D28F7" w:rsidP="008C066D">
            <w:pPr>
              <w:spacing w:before="0" w:after="0"/>
              <w:ind w:left="284"/>
              <w:jc w:val="center"/>
              <w:rPr>
                <w:i/>
                <w:iCs/>
                <w:color w:val="000000"/>
                <w:sz w:val="18"/>
                <w:szCs w:val="18"/>
                <w:lang w:val="es-CO" w:eastAsia="es-CO"/>
              </w:rPr>
            </w:pPr>
            <w:r w:rsidRPr="00A371A8">
              <w:rPr>
                <w:i/>
                <w:iCs/>
                <w:color w:val="000000"/>
                <w:sz w:val="18"/>
                <w:szCs w:val="18"/>
                <w:lang w:val="es-CO" w:eastAsia="es-CO"/>
              </w:rPr>
              <w:t>128.301</w:t>
            </w:r>
          </w:p>
        </w:tc>
        <w:tc>
          <w:tcPr>
            <w:tcW w:w="160" w:type="dxa"/>
            <w:tcBorders>
              <w:top w:val="nil"/>
              <w:left w:val="nil"/>
              <w:bottom w:val="nil"/>
              <w:right w:val="nil"/>
            </w:tcBorders>
            <w:shd w:val="clear" w:color="auto" w:fill="auto"/>
            <w:noWrap/>
            <w:vAlign w:val="center"/>
            <w:hideMark/>
          </w:tcPr>
          <w:p w14:paraId="0E568CB3" w14:textId="77777777" w:rsidR="009D28F7" w:rsidRPr="009D28F7" w:rsidRDefault="009D28F7" w:rsidP="008C066D">
            <w:pPr>
              <w:spacing w:before="0" w:after="0"/>
              <w:ind w:left="284"/>
              <w:jc w:val="center"/>
              <w:rPr>
                <w:rFonts w:ascii="Calibri" w:hAnsi="Calibri"/>
                <w:color w:val="000000"/>
                <w:sz w:val="22"/>
                <w:szCs w:val="22"/>
                <w:lang w:val="es-CO" w:eastAsia="es-CO"/>
              </w:rPr>
            </w:pPr>
          </w:p>
        </w:tc>
        <w:tc>
          <w:tcPr>
            <w:tcW w:w="160" w:type="dxa"/>
            <w:tcBorders>
              <w:top w:val="nil"/>
              <w:left w:val="nil"/>
              <w:bottom w:val="nil"/>
              <w:right w:val="nil"/>
            </w:tcBorders>
            <w:shd w:val="clear" w:color="auto" w:fill="auto"/>
            <w:noWrap/>
            <w:vAlign w:val="center"/>
            <w:hideMark/>
          </w:tcPr>
          <w:p w14:paraId="29606D4B" w14:textId="77777777" w:rsidR="009D28F7" w:rsidRPr="009D28F7" w:rsidRDefault="009D28F7" w:rsidP="008C066D">
            <w:pPr>
              <w:spacing w:before="0" w:after="0"/>
              <w:ind w:left="284"/>
              <w:jc w:val="center"/>
              <w:rPr>
                <w:rFonts w:ascii="Times New Roman" w:hAnsi="Times New Roman"/>
                <w:sz w:val="20"/>
                <w:szCs w:val="20"/>
                <w:lang w:val="es-CO" w:eastAsia="es-CO"/>
              </w:rPr>
            </w:pPr>
          </w:p>
        </w:tc>
      </w:tr>
    </w:tbl>
    <w:p w14:paraId="246D6DDC" w14:textId="0042D3BB" w:rsidR="009D28F7" w:rsidRDefault="00044203" w:rsidP="00227F71">
      <w:r>
        <w:t>Se confirmó que l</w:t>
      </w:r>
      <w:r w:rsidR="00B11EE2">
        <w:t xml:space="preserve">a información </w:t>
      </w:r>
      <w:r>
        <w:t xml:space="preserve">de AOM </w:t>
      </w:r>
      <w:r w:rsidR="00B11EE2">
        <w:t>utilizada por la Comisión para los años 2012 y 2013 coincide con la reportada por Electricaribe en respuesta a la Circular CREG 027 de 2014, tal como lo señala la metodología</w:t>
      </w:r>
      <w:r w:rsidR="00EE4E97">
        <w:t xml:space="preserve"> de la Resolución CREG 015 de 2018</w:t>
      </w:r>
      <w:r w:rsidR="00B11EE2">
        <w:t>. Con base en lo anterior, no se modifica el valor de AOM del quinto año.</w:t>
      </w:r>
    </w:p>
    <w:p w14:paraId="7D03B230" w14:textId="6D951DE5" w:rsidR="00227F71" w:rsidRDefault="00227F71" w:rsidP="00227F71">
      <w:r>
        <w:rPr>
          <w:b/>
          <w:bCs/>
        </w:rPr>
        <w:t xml:space="preserve">Cuarta </w:t>
      </w:r>
      <w:r w:rsidRPr="007654F3">
        <w:rPr>
          <w:b/>
          <w:bCs/>
        </w:rPr>
        <w:t>solicitud</w:t>
      </w:r>
    </w:p>
    <w:p w14:paraId="27261925" w14:textId="0E52DD51" w:rsidR="00FE775A" w:rsidRPr="00FE775A" w:rsidRDefault="00FE775A" w:rsidP="008C066D">
      <w:pPr>
        <w:spacing w:before="60" w:after="60"/>
        <w:ind w:left="284"/>
        <w:rPr>
          <w:i/>
          <w:iCs/>
          <w:sz w:val="20"/>
          <w:szCs w:val="20"/>
        </w:rPr>
      </w:pPr>
      <w:r w:rsidRPr="00FE775A">
        <w:rPr>
          <w:i/>
          <w:iCs/>
          <w:sz w:val="20"/>
          <w:szCs w:val="20"/>
        </w:rPr>
        <w:t xml:space="preserve">CUARTO: Modificar los artículos 12 y 13 de la Resolución CREG 025 de 2021 en siguiente sentido: </w:t>
      </w:r>
    </w:p>
    <w:p w14:paraId="7B9F6E83" w14:textId="61163C6A" w:rsidR="00FE775A" w:rsidRDefault="00FE775A" w:rsidP="008C066D">
      <w:pPr>
        <w:spacing w:before="60" w:after="60"/>
        <w:ind w:left="284"/>
        <w:rPr>
          <w:i/>
          <w:iCs/>
          <w:sz w:val="20"/>
          <w:szCs w:val="20"/>
        </w:rPr>
      </w:pPr>
      <w:r w:rsidRPr="00FE775A">
        <w:rPr>
          <w:i/>
          <w:iCs/>
          <w:sz w:val="20"/>
          <w:szCs w:val="20"/>
        </w:rPr>
        <w:t xml:space="preserve">1. Definir un valor de referencia de calidad individual garantizada para los usuarios que se encuentren clasificados en el grupo 21 del nivel de tensión 2_3, dado que, actualmente CARIBEMAR DE LA COSTA tiene clasificado un (1) usuario en este grupo de calidad, y en la Resolución CREG 025 de 2021 no tiene valores límite para los grupos mencionados.  </w:t>
      </w:r>
      <w:r w:rsidR="00B11EE2">
        <w:rPr>
          <w:i/>
          <w:iCs/>
          <w:sz w:val="20"/>
          <w:szCs w:val="20"/>
        </w:rPr>
        <w:t>(…)</w:t>
      </w:r>
    </w:p>
    <w:p w14:paraId="46DD0BE1" w14:textId="77777777" w:rsidR="00B11EE2" w:rsidRPr="00B11EE2" w:rsidRDefault="00B11EE2" w:rsidP="008C066D">
      <w:pPr>
        <w:spacing w:before="60" w:after="60"/>
        <w:ind w:left="284"/>
        <w:rPr>
          <w:i/>
          <w:iCs/>
          <w:sz w:val="20"/>
          <w:szCs w:val="20"/>
        </w:rPr>
      </w:pPr>
      <w:r w:rsidRPr="00B11EE2">
        <w:rPr>
          <w:i/>
          <w:iCs/>
          <w:sz w:val="20"/>
          <w:szCs w:val="20"/>
        </w:rPr>
        <w:t xml:space="preserve">A. Valor de referencia de calidad individual garantizada para los grupos de calidad que no tienen.  </w:t>
      </w:r>
    </w:p>
    <w:p w14:paraId="533E27A2" w14:textId="7B37D257" w:rsidR="00B11EE2" w:rsidRDefault="00B11EE2" w:rsidP="008C066D">
      <w:pPr>
        <w:spacing w:before="60" w:after="60"/>
        <w:ind w:left="284"/>
        <w:rPr>
          <w:i/>
          <w:iCs/>
          <w:sz w:val="20"/>
          <w:szCs w:val="20"/>
        </w:rPr>
      </w:pPr>
      <w:r w:rsidRPr="00B11EE2">
        <w:rPr>
          <w:i/>
          <w:iCs/>
          <w:sz w:val="20"/>
          <w:szCs w:val="20"/>
        </w:rPr>
        <w:t>1. En el documento CREG 018-21, la Comisión mencionado en los puntos f y g del numeral 2.4.4.4 Cálculo de indicadores, el procedimiento desarrollado para obtener los resultados.</w:t>
      </w:r>
      <w:r w:rsidR="00044203">
        <w:rPr>
          <w:i/>
          <w:iCs/>
          <w:sz w:val="20"/>
          <w:szCs w:val="20"/>
        </w:rPr>
        <w:t xml:space="preserve"> </w:t>
      </w:r>
      <w:r>
        <w:rPr>
          <w:i/>
          <w:iCs/>
          <w:sz w:val="20"/>
          <w:szCs w:val="20"/>
        </w:rPr>
        <w:t>(…)</w:t>
      </w:r>
    </w:p>
    <w:p w14:paraId="7E64CC5C" w14:textId="77777777" w:rsidR="00B11EE2" w:rsidRPr="00B11EE2" w:rsidRDefault="00B11EE2" w:rsidP="008C066D">
      <w:pPr>
        <w:spacing w:before="60" w:after="60"/>
        <w:ind w:left="284"/>
        <w:rPr>
          <w:i/>
          <w:iCs/>
          <w:sz w:val="20"/>
          <w:szCs w:val="20"/>
        </w:rPr>
      </w:pPr>
      <w:r w:rsidRPr="00B11EE2">
        <w:rPr>
          <w:i/>
          <w:iCs/>
          <w:sz w:val="20"/>
          <w:szCs w:val="20"/>
        </w:rPr>
        <w:t xml:space="preserve">Con la información reportada al SUI por CaribeMar para el 2019 en los formatos 1, 4 y 5, en el grupo de calidad 21 en el nivel de tensión 2_3 se reportó información de interrupciones para dos (2) usuarios. Al efectuar el procedimiento establecido para calcular el valor de referencia de calidad individual garantizada, usando la información de las interrupciones de estos dos usuarios, obtenemos un valor para DIUG: 184,70 y para FIUG: 176.   </w:t>
      </w:r>
    </w:p>
    <w:p w14:paraId="7C00F342" w14:textId="77777777" w:rsidR="00B11EE2" w:rsidRPr="00B11EE2" w:rsidRDefault="00B11EE2" w:rsidP="008C066D">
      <w:pPr>
        <w:spacing w:before="60" w:after="60"/>
        <w:ind w:left="284"/>
        <w:rPr>
          <w:i/>
          <w:iCs/>
          <w:sz w:val="20"/>
          <w:szCs w:val="20"/>
        </w:rPr>
      </w:pPr>
      <w:r w:rsidRPr="00B11EE2">
        <w:rPr>
          <w:i/>
          <w:iCs/>
          <w:sz w:val="20"/>
          <w:szCs w:val="20"/>
        </w:rPr>
        <w:t xml:space="preserve">3. En Anexo 4: “Interrupciones 2019 grupo de calidad 21 Nivel 2 y 3.xlsb”, se remite información de interrupciones asociada al grupo de calidad 21 en el nivel de tensión 2_3, del año 2019 para que la Comisión pueda realizar las verificaciones que considere.  </w:t>
      </w:r>
    </w:p>
    <w:p w14:paraId="4B812556" w14:textId="77777777" w:rsidR="00B11EE2" w:rsidRPr="00B11EE2" w:rsidRDefault="00B11EE2" w:rsidP="008C066D">
      <w:pPr>
        <w:spacing w:before="60" w:after="60"/>
        <w:ind w:left="284"/>
        <w:rPr>
          <w:i/>
          <w:iCs/>
          <w:sz w:val="20"/>
          <w:szCs w:val="20"/>
        </w:rPr>
      </w:pPr>
      <w:r w:rsidRPr="00B11EE2">
        <w:rPr>
          <w:i/>
          <w:iCs/>
          <w:sz w:val="20"/>
          <w:szCs w:val="20"/>
        </w:rPr>
        <w:t xml:space="preserve">4. En este sentido, solicitamos a la Comisión definir un valor de referencia de calidad individual garantizada para los usuarios que se encuentren clasificados en el grupo 21 del nivel de tensión 2_3, dado que, actualmente CARIBEMAR DE LA COSTA tiene clasificado un (1) usuario en este grupo de calidad, y en la Resolución CREG 025 de 2021 no tiene valores límite para los grupos mencionados.  </w:t>
      </w:r>
    </w:p>
    <w:p w14:paraId="472AA978" w14:textId="66F9AD49" w:rsidR="00B11EE2" w:rsidRPr="00FE775A" w:rsidRDefault="00B11EE2" w:rsidP="008C066D">
      <w:pPr>
        <w:spacing w:before="60" w:after="60"/>
        <w:ind w:left="284"/>
        <w:rPr>
          <w:i/>
          <w:iCs/>
          <w:sz w:val="20"/>
          <w:szCs w:val="20"/>
        </w:rPr>
      </w:pPr>
      <w:r w:rsidRPr="00B11EE2">
        <w:rPr>
          <w:i/>
          <w:iCs/>
          <w:sz w:val="20"/>
          <w:szCs w:val="20"/>
        </w:rPr>
        <w:t>Es probable que a lo largo del p</w:t>
      </w:r>
      <w:r w:rsidR="0061198C">
        <w:rPr>
          <w:i/>
          <w:iCs/>
          <w:sz w:val="20"/>
          <w:szCs w:val="20"/>
        </w:rPr>
        <w:t>eríodo</w:t>
      </w:r>
      <w:r w:rsidRPr="00B11EE2">
        <w:rPr>
          <w:i/>
          <w:iCs/>
          <w:sz w:val="20"/>
          <w:szCs w:val="20"/>
        </w:rPr>
        <w:t xml:space="preserve"> regulatorio se aumente el número de usuarios de este grupo de calidad y resulte necesario el valor límite para la aplicación del esquema de calidad de la resolución CREG 015 de 2018.</w:t>
      </w:r>
    </w:p>
    <w:p w14:paraId="2C9B1208" w14:textId="0BDDE4DC" w:rsidR="00227F71" w:rsidRDefault="00227F71" w:rsidP="00227F71">
      <w:r w:rsidRPr="007654F3">
        <w:rPr>
          <w:b/>
          <w:bCs/>
        </w:rPr>
        <w:t>Análisis de la Comisión</w:t>
      </w:r>
    </w:p>
    <w:p w14:paraId="3C608DBA" w14:textId="5CA3366A" w:rsidR="00EA7235" w:rsidRDefault="00EA7235" w:rsidP="00EA7235">
      <w:r>
        <w:t>Con base en lo solicitado por el OR acerca de establecer indicadores de referencia de calidad individual DIUG y FIUG para el grupo 2_1 de los niveles de tensión 2 y 3, la CREG revisó las bases de datos con el fin de verificar si se presentaba la situación expuesta en el recurso de reposición. De la revisión se concluyó que en la información de vinculación cliente-red del SUI existen elementos que pertenecen al grupo de calidad 2_1 y que</w:t>
      </w:r>
      <w:r w:rsidR="008C066D">
        <w:t>,</w:t>
      </w:r>
      <w:r>
        <w:t xml:space="preserve"> por error</w:t>
      </w:r>
      <w:r w:rsidR="008C066D">
        <w:t>,</w:t>
      </w:r>
      <w:r>
        <w:t xml:space="preserve"> no fueron utilizados</w:t>
      </w:r>
      <w:r w:rsidR="008C066D">
        <w:t>. P</w:t>
      </w:r>
      <w:r>
        <w:t>or tanto</w:t>
      </w:r>
      <w:r w:rsidR="00BF3373">
        <w:t>,</w:t>
      </w:r>
      <w:r>
        <w:t xml:space="preserve"> la información de calidad de los usuarios asociados no fue empleada para el cálculo de los indicadores de referencia del grupo de calidad 2_3.</w:t>
      </w:r>
    </w:p>
    <w:p w14:paraId="5F29EC43" w14:textId="77777777" w:rsidR="00EA7235" w:rsidRDefault="00EA7235" w:rsidP="00EA7235">
      <w:r>
        <w:t>Por lo anterior, la CREG encuentra justificación para aceptar la solicitud de definir indicadores de referencia de calidad individual DIUG y FIUG para el grupo 2_1 de los niveles de tensión 2 y 3, y modifica los artículos relacionados con este ajuste.</w:t>
      </w:r>
    </w:p>
    <w:p w14:paraId="170215A0" w14:textId="33C423C8" w:rsidR="00227F71" w:rsidRDefault="00227F71" w:rsidP="00227F71">
      <w:r>
        <w:rPr>
          <w:b/>
          <w:bCs/>
        </w:rPr>
        <w:t xml:space="preserve">Quinta </w:t>
      </w:r>
      <w:r w:rsidRPr="007654F3">
        <w:rPr>
          <w:b/>
          <w:bCs/>
        </w:rPr>
        <w:t>solicitud</w:t>
      </w:r>
      <w:r w:rsidR="00000198">
        <w:rPr>
          <w:b/>
          <w:bCs/>
        </w:rPr>
        <w:t>, numeral 1</w:t>
      </w:r>
    </w:p>
    <w:p w14:paraId="2E5FA222" w14:textId="473BCEC9" w:rsidR="00FE775A" w:rsidRPr="00FE775A" w:rsidRDefault="00FE775A" w:rsidP="008C066D">
      <w:pPr>
        <w:spacing w:before="60" w:after="60"/>
        <w:ind w:left="284"/>
        <w:rPr>
          <w:i/>
          <w:iCs/>
          <w:sz w:val="20"/>
          <w:szCs w:val="20"/>
        </w:rPr>
      </w:pPr>
      <w:r w:rsidRPr="00FE775A">
        <w:rPr>
          <w:i/>
          <w:iCs/>
          <w:sz w:val="20"/>
          <w:szCs w:val="20"/>
        </w:rPr>
        <w:t xml:space="preserve">QUINTO: Modificar el artículo 16 de la Resolución CREG 025 de 2021 en el siguiente sentido: </w:t>
      </w:r>
    </w:p>
    <w:p w14:paraId="425C7070" w14:textId="77777777" w:rsidR="00FE775A" w:rsidRDefault="00FE775A" w:rsidP="008C066D">
      <w:pPr>
        <w:spacing w:before="60" w:after="60"/>
        <w:ind w:left="284"/>
        <w:rPr>
          <w:i/>
          <w:iCs/>
          <w:sz w:val="20"/>
          <w:szCs w:val="20"/>
        </w:rPr>
      </w:pPr>
      <w:r w:rsidRPr="00FE775A">
        <w:rPr>
          <w:i/>
          <w:iCs/>
          <w:sz w:val="20"/>
          <w:szCs w:val="20"/>
        </w:rPr>
        <w:t xml:space="preserve">1. Ajustar el índice PTj,10 con las diferencias identificadas en las fuentes de información, considerando: </w:t>
      </w:r>
    </w:p>
    <w:p w14:paraId="23A64C3A" w14:textId="3A084860" w:rsidR="00FE775A" w:rsidRDefault="00FE775A" w:rsidP="008C066D">
      <w:pPr>
        <w:spacing w:before="60" w:after="60"/>
        <w:ind w:left="284"/>
        <w:rPr>
          <w:i/>
          <w:iCs/>
          <w:sz w:val="20"/>
          <w:szCs w:val="20"/>
        </w:rPr>
      </w:pPr>
      <w:r w:rsidRPr="00FE775A">
        <w:rPr>
          <w:i/>
          <w:iCs/>
          <w:sz w:val="20"/>
          <w:szCs w:val="20"/>
        </w:rPr>
        <w:t>• En la energía de entrada los registros de la Frontera El Paso (FRT 31425)</w:t>
      </w:r>
      <w:r w:rsidR="00B3100B">
        <w:rPr>
          <w:i/>
          <w:iCs/>
          <w:sz w:val="20"/>
          <w:szCs w:val="20"/>
        </w:rPr>
        <w:t xml:space="preserve"> (…) </w:t>
      </w:r>
      <w:r w:rsidRPr="00FE775A">
        <w:rPr>
          <w:i/>
          <w:iCs/>
          <w:sz w:val="20"/>
          <w:szCs w:val="20"/>
        </w:rPr>
        <w:t xml:space="preserve"> </w:t>
      </w:r>
    </w:p>
    <w:p w14:paraId="28E636D8" w14:textId="77777777" w:rsidR="00EE4E97" w:rsidRPr="00313FBD" w:rsidRDefault="00EE4E97" w:rsidP="008C066D">
      <w:pPr>
        <w:spacing w:before="60" w:after="60"/>
        <w:ind w:left="284"/>
        <w:rPr>
          <w:i/>
          <w:iCs/>
          <w:sz w:val="20"/>
          <w:szCs w:val="20"/>
        </w:rPr>
      </w:pPr>
      <w:r w:rsidRPr="00313FBD">
        <w:rPr>
          <w:i/>
          <w:iCs/>
          <w:sz w:val="20"/>
          <w:szCs w:val="20"/>
        </w:rPr>
        <w:t xml:space="preserve">3. En la energía de entrada para cada nivel de tensión, en la variable EeGj,4,m a partir de abril de 2019, se observa una reducción en promedio mes de aproximadamente 10 GWh/mes, </w:t>
      </w:r>
      <w:r w:rsidRPr="00313FBD">
        <w:rPr>
          <w:i/>
          <w:iCs/>
          <w:sz w:val="20"/>
          <w:szCs w:val="20"/>
          <w:u w:val="single"/>
        </w:rPr>
        <w:t>que por su característica de consumo permite deducir que obedece al consumo de la frontera comercial “El Paso” con código FRT31425. En el entendido que el registro de energía de la frontera comercial FRT31425 es considerado en el balance de energía de acuerdo con el concepto CREG S-2020-001742</w:t>
      </w:r>
      <w:r w:rsidRPr="00313FBD">
        <w:rPr>
          <w:i/>
          <w:iCs/>
          <w:sz w:val="20"/>
          <w:szCs w:val="20"/>
        </w:rPr>
        <w:t xml:space="preserve">, el cual se anexa.  </w:t>
      </w:r>
    </w:p>
    <w:p w14:paraId="15EFEDBF" w14:textId="3853CDBC" w:rsidR="00227F71" w:rsidRDefault="00227F71" w:rsidP="00227F71">
      <w:r w:rsidRPr="007654F3">
        <w:rPr>
          <w:b/>
          <w:bCs/>
        </w:rPr>
        <w:t>Análisis de la Comisión</w:t>
      </w:r>
    </w:p>
    <w:p w14:paraId="4915D633" w14:textId="4ABA2177" w:rsidR="00227F71" w:rsidRDefault="00044203" w:rsidP="00227F71">
      <w:r>
        <w:t xml:space="preserve">En relación con la </w:t>
      </w:r>
      <w:r w:rsidR="00F24CB4">
        <w:t xml:space="preserve">frontera </w:t>
      </w:r>
      <w:r>
        <w:t xml:space="preserve">comercial con </w:t>
      </w:r>
      <w:r w:rsidR="00F24CB4">
        <w:t xml:space="preserve">código </w:t>
      </w:r>
      <w:r w:rsidR="00F24CB4" w:rsidRPr="00F24CB4">
        <w:t>F</w:t>
      </w:r>
      <w:r w:rsidR="00F24CB4">
        <w:t>rt</w:t>
      </w:r>
      <w:r w:rsidR="00F24CB4" w:rsidRPr="00F24CB4">
        <w:t xml:space="preserve"> 31425</w:t>
      </w:r>
      <w:r w:rsidR="008C066D">
        <w:t>,</w:t>
      </w:r>
      <w:r w:rsidR="00F24CB4">
        <w:t xml:space="preserve"> se verificó la información utilizada para la expedición de la Resolución CREG 0</w:t>
      </w:r>
      <w:r w:rsidR="00413448">
        <w:t>2</w:t>
      </w:r>
      <w:r w:rsidR="00F24CB4">
        <w:t>5 de 20</w:t>
      </w:r>
      <w:r w:rsidR="00413448">
        <w:t>21</w:t>
      </w:r>
      <w:r w:rsidR="00F24CB4">
        <w:t xml:space="preserve"> y se enc</w:t>
      </w:r>
      <w:r w:rsidR="00413448">
        <w:t>ontró</w:t>
      </w:r>
      <w:r w:rsidR="00F24CB4">
        <w:t xml:space="preserve"> que</w:t>
      </w:r>
      <w:r w:rsidR="008C066D">
        <w:t>,</w:t>
      </w:r>
      <w:r w:rsidR="00F24CB4">
        <w:t xml:space="preserve"> </w:t>
      </w:r>
      <w:r w:rsidR="00313FBD">
        <w:t xml:space="preserve">para los meses de enero, febrero, marzo y parte de abril </w:t>
      </w:r>
      <w:r w:rsidR="00413448">
        <w:t>de 2019</w:t>
      </w:r>
      <w:r w:rsidR="008C066D">
        <w:t>,</w:t>
      </w:r>
      <w:r w:rsidR="00413448">
        <w:t xml:space="preserve"> la energía se asigna como entrada al sistema del OR, mientras que para parte de abril y los meses posteriores, incluso para el año 2020, la energía se </w:t>
      </w:r>
      <w:r>
        <w:t xml:space="preserve">encuentra </w:t>
      </w:r>
      <w:r w:rsidR="00413448">
        <w:t>reporta</w:t>
      </w:r>
      <w:r>
        <w:t>da</w:t>
      </w:r>
      <w:r w:rsidR="00413448">
        <w:t xml:space="preserve"> como </w:t>
      </w:r>
      <w:r>
        <w:t xml:space="preserve">una </w:t>
      </w:r>
      <w:r w:rsidR="00413448">
        <w:t xml:space="preserve">entrada al STN. Con base en </w:t>
      </w:r>
      <w:r w:rsidR="00B83517">
        <w:t xml:space="preserve">dicho </w:t>
      </w:r>
      <w:r w:rsidR="00413448">
        <w:t>reporte</w:t>
      </w:r>
      <w:r w:rsidR="00B83517">
        <w:t>,</w:t>
      </w:r>
      <w:r w:rsidR="00413448">
        <w:t xml:space="preserve"> la energía de este generador no es considerada durante la mayor parte del año 2019 como una entrada al sistema del OR sino una entrada al STN.</w:t>
      </w:r>
    </w:p>
    <w:p w14:paraId="5739B95F" w14:textId="6EE64073" w:rsidR="00B83517" w:rsidRDefault="00B83517" w:rsidP="00227F71">
      <w:r>
        <w:t>Con base en lo anterior, se confirmó que la información de esta frontera fue utilizada según el tipo de frontera reportada en el ASIC.</w:t>
      </w:r>
    </w:p>
    <w:p w14:paraId="2A200F1D" w14:textId="322D7FAA" w:rsidR="00000198" w:rsidRDefault="00000198" w:rsidP="00227F71">
      <w:pPr>
        <w:rPr>
          <w:b/>
          <w:bCs/>
        </w:rPr>
      </w:pPr>
      <w:r>
        <w:rPr>
          <w:b/>
          <w:bCs/>
        </w:rPr>
        <w:t xml:space="preserve">Quinta </w:t>
      </w:r>
      <w:r w:rsidRPr="007654F3">
        <w:rPr>
          <w:b/>
          <w:bCs/>
        </w:rPr>
        <w:t>solicitud</w:t>
      </w:r>
      <w:r>
        <w:rPr>
          <w:b/>
          <w:bCs/>
        </w:rPr>
        <w:t>, numeral 2</w:t>
      </w:r>
    </w:p>
    <w:p w14:paraId="6577D69D" w14:textId="77777777" w:rsidR="00B3100B" w:rsidRPr="00FE775A" w:rsidRDefault="00B3100B" w:rsidP="008C066D">
      <w:pPr>
        <w:spacing w:before="60" w:after="60"/>
        <w:ind w:left="284"/>
        <w:rPr>
          <w:i/>
          <w:iCs/>
          <w:sz w:val="20"/>
          <w:szCs w:val="20"/>
        </w:rPr>
      </w:pPr>
      <w:r w:rsidRPr="00FE775A">
        <w:rPr>
          <w:i/>
          <w:iCs/>
          <w:sz w:val="20"/>
          <w:szCs w:val="20"/>
        </w:rPr>
        <w:t xml:space="preserve">QUINTO: Modificar el artículo 16 de la Resolución CREG 025 de 2021 en el siguiente sentido: </w:t>
      </w:r>
    </w:p>
    <w:p w14:paraId="41712099" w14:textId="77777777" w:rsidR="00B3100B" w:rsidRDefault="00B3100B" w:rsidP="008C066D">
      <w:pPr>
        <w:spacing w:before="60" w:after="60"/>
        <w:ind w:left="284"/>
        <w:rPr>
          <w:i/>
          <w:iCs/>
          <w:sz w:val="20"/>
          <w:szCs w:val="20"/>
        </w:rPr>
      </w:pPr>
      <w:r w:rsidRPr="00FE775A">
        <w:rPr>
          <w:i/>
          <w:iCs/>
          <w:sz w:val="20"/>
          <w:szCs w:val="20"/>
        </w:rPr>
        <w:t xml:space="preserve">1. Ajustar el índice PTj,10 con las diferencias identificadas en las fuentes de información, considerando: </w:t>
      </w:r>
    </w:p>
    <w:p w14:paraId="0CE4AE3D" w14:textId="3370358D" w:rsidR="00B3100B" w:rsidRDefault="00B3100B" w:rsidP="008C066D">
      <w:pPr>
        <w:spacing w:before="60" w:after="60"/>
        <w:ind w:left="284"/>
        <w:rPr>
          <w:i/>
          <w:iCs/>
          <w:sz w:val="20"/>
          <w:szCs w:val="20"/>
        </w:rPr>
      </w:pPr>
      <w:r>
        <w:rPr>
          <w:i/>
          <w:iCs/>
          <w:sz w:val="20"/>
          <w:szCs w:val="20"/>
        </w:rPr>
        <w:t xml:space="preserve">(…) </w:t>
      </w:r>
      <w:r w:rsidRPr="00FE775A">
        <w:rPr>
          <w:i/>
          <w:iCs/>
          <w:sz w:val="20"/>
          <w:szCs w:val="20"/>
        </w:rPr>
        <w:t xml:space="preserve">• En la energía de salida para nivel de tensión 2, considerar el consumo propio Celsia Solar Bolívar correspondiente a la frontera comercial con código Frt31152.  </w:t>
      </w:r>
    </w:p>
    <w:p w14:paraId="15956B3A" w14:textId="77777777" w:rsidR="00B3100B" w:rsidRPr="00EE4E97" w:rsidRDefault="00B3100B" w:rsidP="008C066D">
      <w:pPr>
        <w:spacing w:before="60" w:after="60"/>
        <w:ind w:left="284"/>
        <w:rPr>
          <w:i/>
          <w:iCs/>
          <w:sz w:val="20"/>
          <w:szCs w:val="20"/>
        </w:rPr>
      </w:pPr>
      <w:r w:rsidRPr="00313FBD">
        <w:rPr>
          <w:i/>
          <w:iCs/>
          <w:sz w:val="20"/>
          <w:szCs w:val="20"/>
        </w:rPr>
        <w:t xml:space="preserve">4. En la energía de salida para el nivel de tensión 2, en la variable FsSTNj,2,m, de </w:t>
      </w:r>
      <w:r w:rsidRPr="00313FBD">
        <w:rPr>
          <w:i/>
          <w:iCs/>
          <w:sz w:val="20"/>
          <w:szCs w:val="20"/>
          <w:u w:val="single"/>
        </w:rPr>
        <w:t>Enero a Diciembre de 2019, no se tuvo en cuenta la salida del consumo propio Celsia Solar Bolívar correspondiente a la frontera comercial con código Frt31152</w:t>
      </w:r>
      <w:r w:rsidRPr="00313FBD">
        <w:rPr>
          <w:i/>
          <w:iCs/>
          <w:sz w:val="20"/>
          <w:szCs w:val="20"/>
        </w:rPr>
        <w:t>. El cual presenta un promedio de consumo de 4,8MWh/m.</w:t>
      </w:r>
      <w:r w:rsidRPr="00EE4E97">
        <w:rPr>
          <w:i/>
          <w:iCs/>
          <w:sz w:val="20"/>
          <w:szCs w:val="20"/>
        </w:rPr>
        <w:t xml:space="preserve">   </w:t>
      </w:r>
    </w:p>
    <w:p w14:paraId="78333126" w14:textId="5AA0636E" w:rsidR="00320F7F" w:rsidRPr="003C7E68" w:rsidRDefault="00B3100B" w:rsidP="00227F71">
      <w:pPr>
        <w:rPr>
          <w:b/>
          <w:bCs/>
        </w:rPr>
      </w:pPr>
      <w:r>
        <w:rPr>
          <w:b/>
          <w:bCs/>
        </w:rPr>
        <w:t xml:space="preserve">Análisis de la Comisión </w:t>
      </w:r>
    </w:p>
    <w:p w14:paraId="34DDBFAC" w14:textId="601D804C" w:rsidR="006A31E8" w:rsidRDefault="006A31E8" w:rsidP="006A31E8">
      <w:r>
        <w:t>El numeral 7.3.7.2 del anexo general de la Resolución CREG 015 de 2018 establece lo siguiente:</w:t>
      </w:r>
    </w:p>
    <w:p w14:paraId="1588D504" w14:textId="031CE642" w:rsidR="006A31E8" w:rsidRPr="006A31E8" w:rsidRDefault="006A31E8" w:rsidP="006A31E8">
      <w:pPr>
        <w:spacing w:beforeLines="60" w:before="144" w:after="60"/>
        <w:ind w:left="567"/>
        <w:rPr>
          <w:b/>
          <w:bCs/>
          <w:i/>
          <w:iCs/>
          <w:sz w:val="20"/>
          <w:szCs w:val="20"/>
        </w:rPr>
      </w:pPr>
      <w:bookmarkStart w:id="2" w:name="_Toc310577388"/>
      <w:bookmarkStart w:id="3" w:name="_Ref277706484"/>
      <w:bookmarkStart w:id="4" w:name="_Ref406164379"/>
      <w:bookmarkStart w:id="5" w:name="_Ref406164554"/>
      <w:bookmarkStart w:id="6" w:name="_Ref406165091"/>
      <w:bookmarkStart w:id="7" w:name="_Ref406166116"/>
      <w:bookmarkStart w:id="8" w:name="_Ref406421117"/>
      <w:bookmarkStart w:id="9" w:name="_Ref445112856"/>
      <w:r w:rsidRPr="006A31E8">
        <w:rPr>
          <w:b/>
          <w:bCs/>
          <w:i/>
          <w:iCs/>
          <w:sz w:val="20"/>
          <w:szCs w:val="20"/>
        </w:rPr>
        <w:t xml:space="preserve">7.3.7.2 Energía de salida para cada nivel de </w:t>
      </w:r>
      <w:bookmarkEnd w:id="2"/>
      <w:bookmarkEnd w:id="3"/>
      <w:bookmarkEnd w:id="4"/>
      <w:bookmarkEnd w:id="5"/>
      <w:bookmarkEnd w:id="6"/>
      <w:bookmarkEnd w:id="7"/>
      <w:bookmarkEnd w:id="8"/>
      <w:r w:rsidRPr="006A31E8">
        <w:rPr>
          <w:b/>
          <w:bCs/>
          <w:i/>
          <w:iCs/>
          <w:sz w:val="20"/>
          <w:szCs w:val="20"/>
        </w:rPr>
        <w:t>tensión</w:t>
      </w:r>
      <w:bookmarkEnd w:id="9"/>
      <w:r w:rsidRPr="006A31E8">
        <w:rPr>
          <w:b/>
          <w:bCs/>
          <w:i/>
          <w:iCs/>
          <w:sz w:val="20"/>
          <w:szCs w:val="20"/>
        </w:rPr>
        <w:t xml:space="preserve"> </w:t>
      </w:r>
    </w:p>
    <w:p w14:paraId="682FE292" w14:textId="119864D7" w:rsidR="006A31E8" w:rsidRPr="006A31E8" w:rsidRDefault="006A31E8" w:rsidP="006A31E8">
      <w:pPr>
        <w:spacing w:beforeLines="60" w:before="144" w:after="60"/>
        <w:ind w:left="567"/>
        <w:rPr>
          <w:i/>
          <w:iCs/>
          <w:sz w:val="20"/>
          <w:szCs w:val="20"/>
        </w:rPr>
      </w:pPr>
      <w:r w:rsidRPr="006A31E8">
        <w:rPr>
          <w:i/>
          <w:iCs/>
          <w:sz w:val="20"/>
          <w:szCs w:val="20"/>
        </w:rPr>
        <w:t>La energía de salida en cada uno de los niveles de tensión del sistema del OR j, se calcula como:</w:t>
      </w:r>
    </w:p>
    <w:p w14:paraId="1013E990" w14:textId="7F8A82CE" w:rsidR="006A31E8" w:rsidRPr="006A31E8" w:rsidRDefault="00BB77CD" w:rsidP="006A31E8">
      <w:pPr>
        <w:pStyle w:val="Continuarlista"/>
        <w:spacing w:beforeLines="60" w:before="144" w:after="60"/>
        <w:ind w:left="567"/>
        <w:jc w:val="center"/>
        <w:rPr>
          <w:i/>
          <w:iCs/>
          <w:sz w:val="20"/>
          <w:szCs w:val="20"/>
        </w:rPr>
      </w:pPr>
      <m:oMathPara>
        <m:oMath>
          <m:sSub>
            <m:sSubPr>
              <m:ctrlPr>
                <w:rPr>
                  <w:rFonts w:ascii="Cambria Math" w:hAnsi="Cambria Math"/>
                  <w:i/>
                  <w:iCs/>
                  <w:sz w:val="18"/>
                  <w:szCs w:val="18"/>
                </w:rPr>
              </m:ctrlPr>
            </m:sSubPr>
            <m:e>
              <m:r>
                <w:rPr>
                  <w:rFonts w:ascii="Cambria Math" w:hAnsi="Cambria Math"/>
                  <w:sz w:val="18"/>
                  <w:szCs w:val="18"/>
                </w:rPr>
                <m:t>Es</m:t>
              </m:r>
            </m:e>
            <m:sub>
              <m:r>
                <w:rPr>
                  <w:rFonts w:ascii="Cambria Math" w:hAnsi="Cambria Math"/>
                  <w:sz w:val="18"/>
                  <w:szCs w:val="18"/>
                </w:rPr>
                <m:t>j,n,m</m:t>
              </m:r>
            </m:sub>
          </m:sSub>
          <m:r>
            <w:rPr>
              <w:rFonts w:ascii="Cambria Math" w:hAnsi="Cambria Math"/>
              <w:sz w:val="18"/>
              <w:szCs w:val="18"/>
            </w:rPr>
            <m:t>=</m:t>
          </m:r>
          <m:sSub>
            <m:sSubPr>
              <m:ctrlPr>
                <w:rPr>
                  <w:rFonts w:ascii="Cambria Math" w:hAnsi="Cambria Math"/>
                  <w:i/>
                  <w:iCs/>
                  <w:sz w:val="18"/>
                  <w:szCs w:val="18"/>
                </w:rPr>
              </m:ctrlPr>
            </m:sSubPr>
            <m:e>
              <m:r>
                <w:rPr>
                  <w:rFonts w:ascii="Cambria Math" w:hAnsi="Cambria Math"/>
                  <w:sz w:val="18"/>
                  <w:szCs w:val="18"/>
                </w:rPr>
                <m:t>EsVFC</m:t>
              </m:r>
            </m:e>
            <m:sub>
              <m:r>
                <w:rPr>
                  <w:rFonts w:ascii="Cambria Math" w:hAnsi="Cambria Math"/>
                  <w:sz w:val="18"/>
                  <w:szCs w:val="18"/>
                </w:rPr>
                <m:t>j,n,m</m:t>
              </m:r>
            </m:sub>
          </m:sSub>
          <m:r>
            <w:rPr>
              <w:rFonts w:ascii="Cambria Math" w:hAnsi="Cambria Math"/>
              <w:sz w:val="18"/>
              <w:szCs w:val="18"/>
            </w:rPr>
            <m:t>+</m:t>
          </m:r>
          <m:sSub>
            <m:sSubPr>
              <m:ctrlPr>
                <w:rPr>
                  <w:rFonts w:ascii="Cambria Math" w:hAnsi="Cambria Math"/>
                  <w:i/>
                  <w:iCs/>
                  <w:sz w:val="18"/>
                  <w:szCs w:val="18"/>
                </w:rPr>
              </m:ctrlPr>
            </m:sSubPr>
            <m:e>
              <m:r>
                <w:rPr>
                  <w:rFonts w:ascii="Cambria Math" w:hAnsi="Cambria Math"/>
                  <w:sz w:val="18"/>
                  <w:szCs w:val="18"/>
                </w:rPr>
                <m:t>EsVSFC</m:t>
              </m:r>
            </m:e>
            <m:sub>
              <m:r>
                <w:rPr>
                  <w:rFonts w:ascii="Cambria Math" w:hAnsi="Cambria Math"/>
                  <w:sz w:val="18"/>
                  <w:szCs w:val="18"/>
                </w:rPr>
                <m:t>j,n,m</m:t>
              </m:r>
            </m:sub>
          </m:sSub>
          <m:r>
            <w:rPr>
              <w:rFonts w:ascii="Cambria Math" w:hAnsi="Cambria Math"/>
              <w:sz w:val="18"/>
              <w:szCs w:val="18"/>
            </w:rPr>
            <m:t>+</m:t>
          </m:r>
          <m:sSub>
            <m:sSubPr>
              <m:ctrlPr>
                <w:rPr>
                  <w:rFonts w:ascii="Cambria Math" w:hAnsi="Cambria Math"/>
                  <w:i/>
                  <w:iCs/>
                  <w:sz w:val="18"/>
                  <w:szCs w:val="18"/>
                </w:rPr>
              </m:ctrlPr>
            </m:sSubPr>
            <m:e>
              <m:r>
                <w:rPr>
                  <w:rFonts w:ascii="Cambria Math" w:hAnsi="Cambria Math"/>
                  <w:sz w:val="18"/>
                  <w:szCs w:val="18"/>
                </w:rPr>
                <m:t>FsSTN</m:t>
              </m:r>
            </m:e>
            <m:sub>
              <m:r>
                <w:rPr>
                  <w:rFonts w:ascii="Cambria Math" w:hAnsi="Cambria Math"/>
                  <w:sz w:val="18"/>
                  <w:szCs w:val="18"/>
                </w:rPr>
                <m:t>j,n,m</m:t>
              </m:r>
            </m:sub>
          </m:sSub>
          <m:r>
            <w:rPr>
              <w:rFonts w:ascii="Cambria Math" w:hAnsi="Cambria Math"/>
              <w:sz w:val="18"/>
              <w:szCs w:val="18"/>
            </w:rPr>
            <m:t>+</m:t>
          </m:r>
          <m:sSub>
            <m:sSubPr>
              <m:ctrlPr>
                <w:rPr>
                  <w:rFonts w:ascii="Cambria Math" w:hAnsi="Cambria Math"/>
                  <w:i/>
                  <w:iCs/>
                  <w:sz w:val="18"/>
                  <w:szCs w:val="18"/>
                </w:rPr>
              </m:ctrlPr>
            </m:sSubPr>
            <m:e>
              <m:r>
                <w:rPr>
                  <w:rFonts w:ascii="Cambria Math" w:hAnsi="Cambria Math"/>
                  <w:sz w:val="18"/>
                  <w:szCs w:val="18"/>
                </w:rPr>
                <m:t>FsOR</m:t>
              </m:r>
            </m:e>
            <m:sub>
              <m:r>
                <w:rPr>
                  <w:rFonts w:ascii="Cambria Math" w:hAnsi="Cambria Math"/>
                  <w:sz w:val="18"/>
                  <w:szCs w:val="18"/>
                </w:rPr>
                <m:t>j,n,m</m:t>
              </m:r>
            </m:sub>
          </m:sSub>
        </m:oMath>
      </m:oMathPara>
    </w:p>
    <w:p w14:paraId="52964E54" w14:textId="70FDD211" w:rsidR="006A31E8" w:rsidRDefault="006A31E8" w:rsidP="006A31E8">
      <w:pPr>
        <w:pStyle w:val="Continuarlista"/>
        <w:spacing w:beforeLines="60" w:before="144" w:after="60"/>
        <w:ind w:left="567"/>
        <w:rPr>
          <w:i/>
          <w:iCs/>
          <w:sz w:val="20"/>
          <w:szCs w:val="20"/>
        </w:rPr>
      </w:pPr>
      <w:r w:rsidRPr="006A31E8">
        <w:rPr>
          <w:i/>
          <w:iCs/>
          <w:sz w:val="20"/>
          <w:szCs w:val="20"/>
        </w:rPr>
        <w:t>Donde:</w:t>
      </w:r>
      <w:r>
        <w:rPr>
          <w:i/>
          <w:iCs/>
          <w:sz w:val="20"/>
          <w:szCs w:val="20"/>
        </w:rPr>
        <w:t xml:space="preserve"> (…) </w:t>
      </w:r>
    </w:p>
    <w:p w14:paraId="3659F85C" w14:textId="264A6A93" w:rsidR="006A31E8" w:rsidRDefault="006A31E8" w:rsidP="006A31E8">
      <w:pPr>
        <w:spacing w:beforeLines="60" w:before="144" w:after="60"/>
        <w:ind w:left="2124" w:hanging="1275"/>
        <w:rPr>
          <w:i/>
          <w:iCs/>
          <w:sz w:val="20"/>
          <w:szCs w:val="20"/>
        </w:rPr>
      </w:pPr>
      <w:r w:rsidRPr="006A31E8">
        <w:rPr>
          <w:i/>
          <w:iCs/>
          <w:sz w:val="20"/>
          <w:szCs w:val="20"/>
        </w:rPr>
        <w:t>Es</w:t>
      </w:r>
      <w:r w:rsidRPr="006A31E8">
        <w:rPr>
          <w:i/>
          <w:iCs/>
          <w:sz w:val="20"/>
          <w:szCs w:val="20"/>
          <w:vertAlign w:val="subscript"/>
        </w:rPr>
        <w:t>j,n,m</w:t>
      </w:r>
      <w:r w:rsidRPr="006A31E8">
        <w:rPr>
          <w:i/>
          <w:iCs/>
          <w:sz w:val="20"/>
          <w:szCs w:val="20"/>
        </w:rPr>
        <w:t xml:space="preserve"> </w:t>
      </w:r>
      <w:r w:rsidRPr="006A31E8">
        <w:rPr>
          <w:i/>
          <w:iCs/>
          <w:sz w:val="20"/>
          <w:szCs w:val="20"/>
        </w:rPr>
        <w:tab/>
        <w:t>Energía de salida del sistema del OR j en el nivel de tensión n, durante el mes m, expresada en kWh.</w:t>
      </w:r>
    </w:p>
    <w:p w14:paraId="0FE75C47" w14:textId="36EB0E0F" w:rsidR="006A31E8" w:rsidRDefault="006A31E8" w:rsidP="006A31E8">
      <w:pPr>
        <w:spacing w:beforeLines="60" w:before="144" w:after="60"/>
        <w:ind w:left="2124" w:hanging="1275"/>
        <w:rPr>
          <w:i/>
          <w:iCs/>
          <w:sz w:val="20"/>
          <w:szCs w:val="20"/>
          <w:u w:val="single"/>
        </w:rPr>
      </w:pPr>
      <w:r w:rsidRPr="006A31E8">
        <w:rPr>
          <w:i/>
          <w:iCs/>
          <w:sz w:val="20"/>
          <w:szCs w:val="20"/>
        </w:rPr>
        <w:t xml:space="preserve">EsVFCj,n,m </w:t>
      </w:r>
      <w:r w:rsidR="001F455D">
        <w:rPr>
          <w:i/>
          <w:iCs/>
          <w:sz w:val="20"/>
          <w:szCs w:val="20"/>
        </w:rPr>
        <w:t xml:space="preserve"> </w:t>
      </w:r>
      <w:r w:rsidRPr="001F455D">
        <w:rPr>
          <w:i/>
          <w:iCs/>
          <w:sz w:val="20"/>
          <w:szCs w:val="20"/>
          <w:u w:val="single"/>
        </w:rPr>
        <w:t>Ventas de energía en las fronteras comerciales del nivel de tensión n</w:t>
      </w:r>
      <w:r w:rsidRPr="006A31E8">
        <w:rPr>
          <w:i/>
          <w:iCs/>
          <w:sz w:val="20"/>
          <w:szCs w:val="20"/>
        </w:rPr>
        <w:t xml:space="preserve">, </w:t>
      </w:r>
      <w:r w:rsidRPr="001F455D">
        <w:rPr>
          <w:i/>
          <w:iCs/>
          <w:sz w:val="20"/>
          <w:szCs w:val="20"/>
          <w:u w:val="single"/>
        </w:rPr>
        <w:t>del mercado de comercialización servido por el OR</w:t>
      </w:r>
      <w:r w:rsidRPr="006A31E8">
        <w:rPr>
          <w:i/>
          <w:iCs/>
          <w:sz w:val="20"/>
          <w:szCs w:val="20"/>
        </w:rPr>
        <w:t xml:space="preserve"> j, para el mes m. Corresponde a la suma de las medidas en las fronteras comerciales registradas en el SIC para el mercado de comercialización servido por el OR j, sin referir al STN, para la </w:t>
      </w:r>
      <w:r w:rsidRPr="00000198">
        <w:rPr>
          <w:i/>
          <w:iCs/>
          <w:sz w:val="20"/>
          <w:szCs w:val="20"/>
          <w:u w:val="single"/>
        </w:rPr>
        <w:t>venta de energía a usuarios no regulados de todos los comercializadores del mercado y de las de usuarios regulados de los comercializadores distintos al incumbente</w:t>
      </w:r>
      <w:r w:rsidRPr="006A31E8">
        <w:rPr>
          <w:i/>
          <w:iCs/>
          <w:sz w:val="20"/>
          <w:szCs w:val="20"/>
        </w:rPr>
        <w:t xml:space="preserve">. </w:t>
      </w:r>
      <w:r w:rsidRPr="006A31E8">
        <w:rPr>
          <w:i/>
          <w:iCs/>
          <w:sz w:val="20"/>
          <w:szCs w:val="20"/>
          <w:u w:val="single"/>
        </w:rPr>
        <w:t>Incluye la energía entregada a los auxiliares de las subestaciones.</w:t>
      </w:r>
    </w:p>
    <w:p w14:paraId="1C2588CC" w14:textId="34DFE12A" w:rsidR="006A31E8" w:rsidRPr="006A31E8" w:rsidRDefault="006A31E8" w:rsidP="006A31E8">
      <w:pPr>
        <w:spacing w:beforeLines="60" w:before="144" w:after="60"/>
        <w:ind w:left="2124" w:hanging="1275"/>
        <w:rPr>
          <w:i/>
          <w:iCs/>
          <w:sz w:val="20"/>
          <w:szCs w:val="20"/>
        </w:rPr>
      </w:pPr>
      <w:r>
        <w:rPr>
          <w:i/>
          <w:iCs/>
          <w:sz w:val="20"/>
          <w:szCs w:val="20"/>
        </w:rPr>
        <w:t>Subrayado fuera de texto</w:t>
      </w:r>
    </w:p>
    <w:p w14:paraId="03F59BB8" w14:textId="72AD5B7B" w:rsidR="006A31E8" w:rsidRDefault="006A31E8" w:rsidP="006A31E8">
      <w:r>
        <w:t>Se verificó que l</w:t>
      </w:r>
      <w:r w:rsidR="003C7E68">
        <w:t xml:space="preserve">a </w:t>
      </w:r>
      <w:r w:rsidR="001F455D">
        <w:t xml:space="preserve">frontera comercial </w:t>
      </w:r>
      <w:r w:rsidR="003C7E68">
        <w:t xml:space="preserve">con código </w:t>
      </w:r>
      <w:r w:rsidR="003C7E68" w:rsidRPr="00F24CB4">
        <w:t>F</w:t>
      </w:r>
      <w:r w:rsidR="003C7E68">
        <w:t>rt</w:t>
      </w:r>
      <w:r w:rsidR="003C7E68" w:rsidRPr="00F24CB4">
        <w:t xml:space="preserve"> 31</w:t>
      </w:r>
      <w:r w:rsidR="003C7E68">
        <w:t xml:space="preserve">152, </w:t>
      </w:r>
      <w:r>
        <w:t xml:space="preserve">frontera </w:t>
      </w:r>
      <w:r w:rsidRPr="003C7E68">
        <w:t>Celsia Solar Bolívar</w:t>
      </w:r>
      <w:r>
        <w:t>,</w:t>
      </w:r>
      <w:r w:rsidRPr="00F24CB4">
        <w:t xml:space="preserve"> </w:t>
      </w:r>
      <w:r w:rsidR="003C7E68">
        <w:t xml:space="preserve">está reportada como una frontera de </w:t>
      </w:r>
      <w:r w:rsidR="00000198" w:rsidRPr="00000198">
        <w:rPr>
          <w:i/>
          <w:iCs/>
        </w:rPr>
        <w:t xml:space="preserve">consumo propio o </w:t>
      </w:r>
      <w:r w:rsidR="00000198">
        <w:rPr>
          <w:i/>
          <w:iCs/>
        </w:rPr>
        <w:t xml:space="preserve">servicios </w:t>
      </w:r>
      <w:r w:rsidR="003C7E68" w:rsidRPr="00000198">
        <w:rPr>
          <w:i/>
          <w:iCs/>
        </w:rPr>
        <w:t>auxiliares</w:t>
      </w:r>
      <w:r w:rsidR="003C7E68">
        <w:t xml:space="preserve"> en </w:t>
      </w:r>
      <w:r>
        <w:t xml:space="preserve">el </w:t>
      </w:r>
      <w:r w:rsidR="003C7E68">
        <w:t xml:space="preserve">nivel de tensión 2 </w:t>
      </w:r>
      <w:r>
        <w:t>y</w:t>
      </w:r>
      <w:r w:rsidR="00130A47">
        <w:t xml:space="preserve"> que</w:t>
      </w:r>
      <w:r w:rsidR="008C066D">
        <w:t>,</w:t>
      </w:r>
      <w:r w:rsidR="00130A47">
        <w:t xml:space="preserve"> </w:t>
      </w:r>
      <w:r>
        <w:t xml:space="preserve">en aplicación de lo definido en el numeral anteriormente citado, la energía reportada </w:t>
      </w:r>
      <w:r w:rsidR="00130A47">
        <w:t xml:space="preserve">de </w:t>
      </w:r>
      <w:r>
        <w:t>esta frontera fue incluid</w:t>
      </w:r>
      <w:r w:rsidR="001F455D">
        <w:t>a</w:t>
      </w:r>
      <w:r>
        <w:t xml:space="preserve"> como parte de las v</w:t>
      </w:r>
      <w:r w:rsidRPr="006A31E8">
        <w:t>entas de energía en las fronteras comerciales del nivel de tensión</w:t>
      </w:r>
      <w:r>
        <w:t xml:space="preserve"> 2</w:t>
      </w:r>
      <w:r w:rsidR="001F455D">
        <w:t xml:space="preserve"> </w:t>
      </w:r>
      <w:r w:rsidR="001F455D" w:rsidRPr="001F455D">
        <w:t xml:space="preserve">del mercado de comercialización servido por </w:t>
      </w:r>
      <w:r w:rsidR="001F455D">
        <w:t>Caribemar.</w:t>
      </w:r>
      <w:r>
        <w:t xml:space="preserve"> </w:t>
      </w:r>
    </w:p>
    <w:p w14:paraId="13F05E28" w14:textId="0FBC3A68" w:rsidR="003C7E68" w:rsidRDefault="006A31E8" w:rsidP="006A31E8">
      <w:r>
        <w:t xml:space="preserve">En la siguiente tabla se presentan los flujos utilizados por la Comisión para calcular </w:t>
      </w:r>
      <w:r w:rsidR="001F455D">
        <w:t xml:space="preserve">la </w:t>
      </w:r>
      <w:r>
        <w:t>variable</w:t>
      </w:r>
      <w:r w:rsidR="001F455D">
        <w:t xml:space="preserve"> </w:t>
      </w:r>
      <w:r w:rsidR="001F455D" w:rsidRPr="001F455D">
        <w:rPr>
          <w:i/>
          <w:iCs/>
        </w:rPr>
        <w:t>ESVFC</w:t>
      </w:r>
      <w:r>
        <w:t>, separando la información de ventas</w:t>
      </w:r>
      <w:r w:rsidR="001F455D">
        <w:t xml:space="preserve"> </w:t>
      </w:r>
      <w:r>
        <w:t xml:space="preserve">y </w:t>
      </w:r>
      <w:r w:rsidR="001F455D">
        <w:t xml:space="preserve">la </w:t>
      </w:r>
      <w:r>
        <w:t xml:space="preserve">de servicios auxiliares, </w:t>
      </w:r>
      <w:r w:rsidR="001F455D">
        <w:t xml:space="preserve">así como los flujos </w:t>
      </w:r>
      <w:r>
        <w:t>presentad</w:t>
      </w:r>
      <w:r w:rsidR="001F455D">
        <w:t>os</w:t>
      </w:r>
      <w:r>
        <w:t xml:space="preserve"> por el OR.</w:t>
      </w:r>
    </w:p>
    <w:tbl>
      <w:tblPr>
        <w:tblW w:w="0" w:type="auto"/>
        <w:jc w:val="center"/>
        <w:tblCellMar>
          <w:left w:w="70" w:type="dxa"/>
          <w:right w:w="70" w:type="dxa"/>
        </w:tblCellMar>
        <w:tblLook w:val="04A0" w:firstRow="1" w:lastRow="0" w:firstColumn="1" w:lastColumn="0" w:noHBand="0" w:noVBand="1"/>
      </w:tblPr>
      <w:tblGrid>
        <w:gridCol w:w="1134"/>
        <w:gridCol w:w="1559"/>
        <w:gridCol w:w="1281"/>
        <w:gridCol w:w="1365"/>
        <w:gridCol w:w="1365"/>
      </w:tblGrid>
      <w:tr w:rsidR="00242D27" w:rsidRPr="006A31E8" w14:paraId="080A7B25" w14:textId="77777777" w:rsidTr="00FC7CAB">
        <w:trPr>
          <w:trHeight w:val="300"/>
          <w:tblHeader/>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F6BF04" w14:textId="4153BA5B" w:rsidR="006A31E8" w:rsidRPr="008516F1" w:rsidRDefault="006A31E8" w:rsidP="006A31E8">
            <w:pPr>
              <w:spacing w:before="0" w:after="0"/>
              <w:jc w:val="center"/>
              <w:rPr>
                <w:b/>
                <w:bCs/>
                <w:i/>
                <w:iCs/>
                <w:color w:val="000000"/>
                <w:sz w:val="18"/>
                <w:szCs w:val="18"/>
                <w:lang w:val="es-CO" w:eastAsia="es-CO"/>
              </w:rPr>
            </w:pPr>
            <w:r w:rsidRPr="008516F1">
              <w:rPr>
                <w:b/>
                <w:bCs/>
                <w:i/>
                <w:iCs/>
                <w:color w:val="000000"/>
                <w:sz w:val="18"/>
                <w:szCs w:val="18"/>
                <w:lang w:val="es-CO" w:eastAsia="es-CO"/>
              </w:rPr>
              <w:t>P</w:t>
            </w:r>
            <w:r w:rsidR="0061198C">
              <w:rPr>
                <w:b/>
                <w:bCs/>
                <w:i/>
                <w:iCs/>
                <w:color w:val="000000"/>
                <w:sz w:val="18"/>
                <w:szCs w:val="18"/>
                <w:lang w:val="es-CO" w:eastAsia="es-CO"/>
              </w:rPr>
              <w:t>eríodo</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240AD6BE" w14:textId="356EBA91" w:rsidR="006A31E8" w:rsidRPr="008516F1" w:rsidRDefault="006A31E8" w:rsidP="006A31E8">
            <w:pPr>
              <w:spacing w:before="0" w:after="0"/>
              <w:jc w:val="center"/>
              <w:rPr>
                <w:b/>
                <w:bCs/>
                <w:i/>
                <w:iCs/>
                <w:color w:val="000000"/>
                <w:sz w:val="18"/>
                <w:szCs w:val="18"/>
                <w:lang w:val="es-CO" w:eastAsia="es-CO"/>
              </w:rPr>
            </w:pPr>
            <w:r w:rsidRPr="008516F1">
              <w:rPr>
                <w:b/>
                <w:bCs/>
                <w:i/>
                <w:iCs/>
                <w:color w:val="000000"/>
                <w:sz w:val="18"/>
                <w:szCs w:val="18"/>
                <w:lang w:val="es-CO" w:eastAsia="es-CO"/>
              </w:rPr>
              <w:t xml:space="preserve">ESVFC ventas </w:t>
            </w:r>
            <w:r w:rsidR="00130A47" w:rsidRPr="008516F1">
              <w:rPr>
                <w:b/>
                <w:bCs/>
                <w:i/>
                <w:iCs/>
                <w:color w:val="000000"/>
                <w:sz w:val="18"/>
                <w:szCs w:val="18"/>
                <w:lang w:val="es-CO" w:eastAsia="es-CO"/>
              </w:rPr>
              <w:t>–</w:t>
            </w:r>
            <w:r w:rsidRPr="008516F1">
              <w:rPr>
                <w:b/>
                <w:bCs/>
                <w:i/>
                <w:iCs/>
                <w:color w:val="000000"/>
                <w:sz w:val="18"/>
                <w:szCs w:val="18"/>
                <w:lang w:val="es-CO" w:eastAsia="es-CO"/>
              </w:rPr>
              <w:t xml:space="preserve"> CREG</w:t>
            </w:r>
          </w:p>
        </w:tc>
        <w:tc>
          <w:tcPr>
            <w:tcW w:w="1281" w:type="dxa"/>
            <w:tcBorders>
              <w:top w:val="single" w:sz="4" w:space="0" w:color="auto"/>
              <w:left w:val="nil"/>
              <w:bottom w:val="single" w:sz="4" w:space="0" w:color="auto"/>
              <w:right w:val="single" w:sz="4" w:space="0" w:color="auto"/>
            </w:tcBorders>
            <w:shd w:val="clear" w:color="000000" w:fill="FFFFFF"/>
            <w:noWrap/>
            <w:vAlign w:val="center"/>
            <w:hideMark/>
          </w:tcPr>
          <w:p w14:paraId="4EDD0C24" w14:textId="277F5B2A" w:rsidR="006A31E8" w:rsidRPr="008516F1" w:rsidRDefault="006A31E8" w:rsidP="006A31E8">
            <w:pPr>
              <w:spacing w:before="0" w:after="0"/>
              <w:jc w:val="center"/>
              <w:rPr>
                <w:b/>
                <w:bCs/>
                <w:i/>
                <w:iCs/>
                <w:color w:val="000000"/>
                <w:sz w:val="18"/>
                <w:szCs w:val="18"/>
                <w:lang w:val="es-CO" w:eastAsia="es-CO"/>
              </w:rPr>
            </w:pPr>
            <w:r w:rsidRPr="008516F1">
              <w:rPr>
                <w:b/>
                <w:bCs/>
                <w:i/>
                <w:iCs/>
                <w:color w:val="000000"/>
                <w:sz w:val="18"/>
                <w:szCs w:val="18"/>
                <w:lang w:val="es-CO" w:eastAsia="es-CO"/>
              </w:rPr>
              <w:t xml:space="preserve">ESVFC auxiliares </w:t>
            </w:r>
            <w:r w:rsidR="00597A57" w:rsidRPr="008516F1">
              <w:rPr>
                <w:b/>
                <w:bCs/>
                <w:i/>
                <w:iCs/>
                <w:color w:val="000000"/>
                <w:sz w:val="18"/>
                <w:szCs w:val="18"/>
                <w:lang w:val="es-CO" w:eastAsia="es-CO"/>
              </w:rPr>
              <w:t>–</w:t>
            </w:r>
            <w:r w:rsidRPr="008516F1">
              <w:rPr>
                <w:b/>
                <w:bCs/>
                <w:i/>
                <w:iCs/>
                <w:color w:val="000000"/>
                <w:sz w:val="18"/>
                <w:szCs w:val="18"/>
                <w:lang w:val="es-CO" w:eastAsia="es-CO"/>
              </w:rPr>
              <w:t xml:space="preserve"> CREG</w:t>
            </w:r>
          </w:p>
        </w:tc>
        <w:tc>
          <w:tcPr>
            <w:tcW w:w="1332" w:type="dxa"/>
            <w:tcBorders>
              <w:top w:val="single" w:sz="4" w:space="0" w:color="auto"/>
              <w:left w:val="nil"/>
              <w:bottom w:val="single" w:sz="4" w:space="0" w:color="auto"/>
              <w:right w:val="single" w:sz="4" w:space="0" w:color="auto"/>
            </w:tcBorders>
            <w:shd w:val="clear" w:color="000000" w:fill="FFFFFF"/>
            <w:noWrap/>
            <w:vAlign w:val="center"/>
            <w:hideMark/>
          </w:tcPr>
          <w:p w14:paraId="1127A81C" w14:textId="77777777" w:rsidR="006A31E8" w:rsidRPr="008516F1" w:rsidRDefault="006A31E8" w:rsidP="006A31E8">
            <w:pPr>
              <w:spacing w:before="0" w:after="0"/>
              <w:jc w:val="center"/>
              <w:rPr>
                <w:b/>
                <w:bCs/>
                <w:i/>
                <w:iCs/>
                <w:color w:val="000000"/>
                <w:sz w:val="18"/>
                <w:szCs w:val="18"/>
                <w:lang w:val="es-CO" w:eastAsia="es-CO"/>
              </w:rPr>
            </w:pPr>
            <w:r w:rsidRPr="008516F1">
              <w:rPr>
                <w:b/>
                <w:bCs/>
                <w:i/>
                <w:iCs/>
                <w:color w:val="000000"/>
                <w:sz w:val="18"/>
                <w:szCs w:val="18"/>
                <w:lang w:val="es-CO" w:eastAsia="es-CO"/>
              </w:rPr>
              <w:t>ESVFC total - CREG</w:t>
            </w:r>
          </w:p>
        </w:tc>
        <w:tc>
          <w:tcPr>
            <w:tcW w:w="1332" w:type="dxa"/>
            <w:tcBorders>
              <w:top w:val="single" w:sz="4" w:space="0" w:color="auto"/>
              <w:left w:val="nil"/>
              <w:bottom w:val="single" w:sz="4" w:space="0" w:color="auto"/>
              <w:right w:val="single" w:sz="4" w:space="0" w:color="auto"/>
            </w:tcBorders>
            <w:shd w:val="clear" w:color="000000" w:fill="FFFFFF"/>
            <w:noWrap/>
            <w:vAlign w:val="center"/>
            <w:hideMark/>
          </w:tcPr>
          <w:p w14:paraId="3968E448" w14:textId="77777777" w:rsidR="006A31E8" w:rsidRPr="008516F1" w:rsidRDefault="006A31E8" w:rsidP="006A31E8">
            <w:pPr>
              <w:spacing w:before="0" w:after="0"/>
              <w:jc w:val="center"/>
              <w:rPr>
                <w:b/>
                <w:bCs/>
                <w:i/>
                <w:iCs/>
                <w:color w:val="000000"/>
                <w:sz w:val="18"/>
                <w:szCs w:val="18"/>
                <w:lang w:val="es-CO" w:eastAsia="es-CO"/>
              </w:rPr>
            </w:pPr>
            <w:r w:rsidRPr="008516F1">
              <w:rPr>
                <w:b/>
                <w:bCs/>
                <w:i/>
                <w:iCs/>
                <w:color w:val="000000"/>
                <w:sz w:val="18"/>
                <w:szCs w:val="18"/>
                <w:lang w:val="es-CO" w:eastAsia="es-CO"/>
              </w:rPr>
              <w:t>ESVFC- OR</w:t>
            </w:r>
          </w:p>
        </w:tc>
      </w:tr>
      <w:tr w:rsidR="00242D27" w:rsidRPr="006A31E8" w14:paraId="0FC74A6B" w14:textId="77777777" w:rsidTr="00242D27">
        <w:trPr>
          <w:trHeight w:val="30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1522FDE1" w14:textId="77777777" w:rsidR="006A31E8" w:rsidRPr="008516F1" w:rsidRDefault="006A31E8" w:rsidP="006A31E8">
            <w:pPr>
              <w:spacing w:before="0" w:after="0"/>
              <w:jc w:val="left"/>
              <w:rPr>
                <w:i/>
                <w:iCs/>
                <w:color w:val="000000"/>
                <w:sz w:val="18"/>
                <w:szCs w:val="18"/>
                <w:lang w:val="es-CO" w:eastAsia="es-CO"/>
              </w:rPr>
            </w:pPr>
            <w:r w:rsidRPr="008516F1">
              <w:rPr>
                <w:i/>
                <w:iCs/>
                <w:color w:val="000000"/>
                <w:sz w:val="18"/>
                <w:szCs w:val="18"/>
                <w:lang w:val="es-CO" w:eastAsia="es-CO"/>
              </w:rPr>
              <w:t>1-2019</w:t>
            </w:r>
          </w:p>
        </w:tc>
        <w:tc>
          <w:tcPr>
            <w:tcW w:w="1559" w:type="dxa"/>
            <w:tcBorders>
              <w:top w:val="nil"/>
              <w:left w:val="nil"/>
              <w:bottom w:val="single" w:sz="4" w:space="0" w:color="auto"/>
              <w:right w:val="single" w:sz="4" w:space="0" w:color="auto"/>
            </w:tcBorders>
            <w:shd w:val="clear" w:color="000000" w:fill="FFFFFF"/>
            <w:noWrap/>
            <w:vAlign w:val="center"/>
            <w:hideMark/>
          </w:tcPr>
          <w:p w14:paraId="7A72667E"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79.906.277</w:t>
            </w:r>
          </w:p>
        </w:tc>
        <w:tc>
          <w:tcPr>
            <w:tcW w:w="1281" w:type="dxa"/>
            <w:tcBorders>
              <w:top w:val="nil"/>
              <w:left w:val="nil"/>
              <w:bottom w:val="single" w:sz="4" w:space="0" w:color="auto"/>
              <w:right w:val="single" w:sz="4" w:space="0" w:color="auto"/>
            </w:tcBorders>
            <w:shd w:val="clear" w:color="000000" w:fill="FFFFFF"/>
            <w:noWrap/>
            <w:vAlign w:val="center"/>
            <w:hideMark/>
          </w:tcPr>
          <w:p w14:paraId="11D2F41A"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5.648</w:t>
            </w:r>
          </w:p>
        </w:tc>
        <w:tc>
          <w:tcPr>
            <w:tcW w:w="1332" w:type="dxa"/>
            <w:tcBorders>
              <w:top w:val="nil"/>
              <w:left w:val="nil"/>
              <w:bottom w:val="single" w:sz="4" w:space="0" w:color="auto"/>
              <w:right w:val="single" w:sz="4" w:space="0" w:color="auto"/>
            </w:tcBorders>
            <w:shd w:val="clear" w:color="000000" w:fill="FFFFFF"/>
            <w:noWrap/>
            <w:vAlign w:val="center"/>
            <w:hideMark/>
          </w:tcPr>
          <w:p w14:paraId="64EB3487"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79.911.925</w:t>
            </w:r>
          </w:p>
        </w:tc>
        <w:tc>
          <w:tcPr>
            <w:tcW w:w="1332" w:type="dxa"/>
            <w:tcBorders>
              <w:top w:val="nil"/>
              <w:left w:val="nil"/>
              <w:bottom w:val="single" w:sz="4" w:space="0" w:color="auto"/>
              <w:right w:val="single" w:sz="4" w:space="0" w:color="auto"/>
            </w:tcBorders>
            <w:shd w:val="clear" w:color="000000" w:fill="FFFFFF"/>
            <w:vAlign w:val="center"/>
            <w:hideMark/>
          </w:tcPr>
          <w:p w14:paraId="2E4B09E4"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78.764.084</w:t>
            </w:r>
          </w:p>
        </w:tc>
      </w:tr>
      <w:tr w:rsidR="00242D27" w:rsidRPr="006A31E8" w14:paraId="6C5D6595" w14:textId="77777777" w:rsidTr="00242D27">
        <w:trPr>
          <w:trHeight w:val="30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6B7EB57F" w14:textId="77777777" w:rsidR="006A31E8" w:rsidRPr="008516F1" w:rsidRDefault="006A31E8" w:rsidP="006A31E8">
            <w:pPr>
              <w:spacing w:before="0" w:after="0"/>
              <w:jc w:val="left"/>
              <w:rPr>
                <w:i/>
                <w:iCs/>
                <w:color w:val="000000"/>
                <w:sz w:val="18"/>
                <w:szCs w:val="18"/>
                <w:lang w:val="es-CO" w:eastAsia="es-CO"/>
              </w:rPr>
            </w:pPr>
            <w:r w:rsidRPr="008516F1">
              <w:rPr>
                <w:i/>
                <w:iCs/>
                <w:color w:val="000000"/>
                <w:sz w:val="18"/>
                <w:szCs w:val="18"/>
                <w:lang w:val="es-CO" w:eastAsia="es-CO"/>
              </w:rPr>
              <w:t>2-2019</w:t>
            </w:r>
          </w:p>
        </w:tc>
        <w:tc>
          <w:tcPr>
            <w:tcW w:w="1559" w:type="dxa"/>
            <w:tcBorders>
              <w:top w:val="nil"/>
              <w:left w:val="nil"/>
              <w:bottom w:val="single" w:sz="4" w:space="0" w:color="auto"/>
              <w:right w:val="single" w:sz="4" w:space="0" w:color="auto"/>
            </w:tcBorders>
            <w:shd w:val="clear" w:color="000000" w:fill="FFFFFF"/>
            <w:noWrap/>
            <w:vAlign w:val="center"/>
            <w:hideMark/>
          </w:tcPr>
          <w:p w14:paraId="7705C60A"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73.156.455</w:t>
            </w:r>
          </w:p>
        </w:tc>
        <w:tc>
          <w:tcPr>
            <w:tcW w:w="1281" w:type="dxa"/>
            <w:tcBorders>
              <w:top w:val="nil"/>
              <w:left w:val="nil"/>
              <w:bottom w:val="single" w:sz="4" w:space="0" w:color="auto"/>
              <w:right w:val="single" w:sz="4" w:space="0" w:color="auto"/>
            </w:tcBorders>
            <w:shd w:val="clear" w:color="000000" w:fill="FFFFFF"/>
            <w:noWrap/>
            <w:vAlign w:val="center"/>
            <w:hideMark/>
          </w:tcPr>
          <w:p w14:paraId="338B660B"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4.452</w:t>
            </w:r>
          </w:p>
        </w:tc>
        <w:tc>
          <w:tcPr>
            <w:tcW w:w="1332" w:type="dxa"/>
            <w:tcBorders>
              <w:top w:val="nil"/>
              <w:left w:val="nil"/>
              <w:bottom w:val="single" w:sz="4" w:space="0" w:color="auto"/>
              <w:right w:val="single" w:sz="4" w:space="0" w:color="auto"/>
            </w:tcBorders>
            <w:shd w:val="clear" w:color="000000" w:fill="FFFFFF"/>
            <w:noWrap/>
            <w:vAlign w:val="center"/>
            <w:hideMark/>
          </w:tcPr>
          <w:p w14:paraId="05D689F1"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73.160.907</w:t>
            </w:r>
          </w:p>
        </w:tc>
        <w:tc>
          <w:tcPr>
            <w:tcW w:w="1332" w:type="dxa"/>
            <w:tcBorders>
              <w:top w:val="nil"/>
              <w:left w:val="nil"/>
              <w:bottom w:val="single" w:sz="4" w:space="0" w:color="auto"/>
              <w:right w:val="single" w:sz="4" w:space="0" w:color="auto"/>
            </w:tcBorders>
            <w:shd w:val="clear" w:color="000000" w:fill="FFFFFF"/>
            <w:vAlign w:val="center"/>
            <w:hideMark/>
          </w:tcPr>
          <w:p w14:paraId="1276A324"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72.039.335</w:t>
            </w:r>
          </w:p>
        </w:tc>
      </w:tr>
      <w:tr w:rsidR="00242D27" w:rsidRPr="006A31E8" w14:paraId="682DDA85" w14:textId="77777777" w:rsidTr="00242D27">
        <w:trPr>
          <w:trHeight w:val="30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560EE63C" w14:textId="77777777" w:rsidR="006A31E8" w:rsidRPr="008516F1" w:rsidRDefault="006A31E8" w:rsidP="006A31E8">
            <w:pPr>
              <w:spacing w:before="0" w:after="0"/>
              <w:jc w:val="left"/>
              <w:rPr>
                <w:i/>
                <w:iCs/>
                <w:color w:val="000000"/>
                <w:sz w:val="18"/>
                <w:szCs w:val="18"/>
                <w:lang w:val="es-CO" w:eastAsia="es-CO"/>
              </w:rPr>
            </w:pPr>
            <w:r w:rsidRPr="008516F1">
              <w:rPr>
                <w:i/>
                <w:iCs/>
                <w:color w:val="000000"/>
                <w:sz w:val="18"/>
                <w:szCs w:val="18"/>
                <w:lang w:val="es-CO" w:eastAsia="es-CO"/>
              </w:rPr>
              <w:t>3-2019</w:t>
            </w:r>
          </w:p>
        </w:tc>
        <w:tc>
          <w:tcPr>
            <w:tcW w:w="1559" w:type="dxa"/>
            <w:tcBorders>
              <w:top w:val="nil"/>
              <w:left w:val="nil"/>
              <w:bottom w:val="single" w:sz="4" w:space="0" w:color="auto"/>
              <w:right w:val="single" w:sz="4" w:space="0" w:color="auto"/>
            </w:tcBorders>
            <w:shd w:val="clear" w:color="000000" w:fill="FFFFFF"/>
            <w:noWrap/>
            <w:vAlign w:val="center"/>
            <w:hideMark/>
          </w:tcPr>
          <w:p w14:paraId="14A37539"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81.717.915</w:t>
            </w:r>
          </w:p>
        </w:tc>
        <w:tc>
          <w:tcPr>
            <w:tcW w:w="1281" w:type="dxa"/>
            <w:tcBorders>
              <w:top w:val="nil"/>
              <w:left w:val="nil"/>
              <w:bottom w:val="single" w:sz="4" w:space="0" w:color="auto"/>
              <w:right w:val="single" w:sz="4" w:space="0" w:color="auto"/>
            </w:tcBorders>
            <w:shd w:val="clear" w:color="000000" w:fill="FFFFFF"/>
            <w:noWrap/>
            <w:vAlign w:val="center"/>
            <w:hideMark/>
          </w:tcPr>
          <w:p w14:paraId="5DD4D4FC"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4.797</w:t>
            </w:r>
          </w:p>
        </w:tc>
        <w:tc>
          <w:tcPr>
            <w:tcW w:w="1332" w:type="dxa"/>
            <w:tcBorders>
              <w:top w:val="nil"/>
              <w:left w:val="nil"/>
              <w:bottom w:val="single" w:sz="4" w:space="0" w:color="auto"/>
              <w:right w:val="single" w:sz="4" w:space="0" w:color="auto"/>
            </w:tcBorders>
            <w:shd w:val="clear" w:color="000000" w:fill="FFFFFF"/>
            <w:noWrap/>
            <w:vAlign w:val="center"/>
            <w:hideMark/>
          </w:tcPr>
          <w:p w14:paraId="48FBBA1D"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81.722.711</w:t>
            </w:r>
          </w:p>
        </w:tc>
        <w:tc>
          <w:tcPr>
            <w:tcW w:w="1332" w:type="dxa"/>
            <w:tcBorders>
              <w:top w:val="nil"/>
              <w:left w:val="nil"/>
              <w:bottom w:val="single" w:sz="4" w:space="0" w:color="auto"/>
              <w:right w:val="single" w:sz="4" w:space="0" w:color="auto"/>
            </w:tcBorders>
            <w:shd w:val="clear" w:color="000000" w:fill="FFFFFF"/>
            <w:vAlign w:val="center"/>
            <w:hideMark/>
          </w:tcPr>
          <w:p w14:paraId="7C1FB9F5"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80.591.712</w:t>
            </w:r>
          </w:p>
        </w:tc>
      </w:tr>
      <w:tr w:rsidR="00242D27" w:rsidRPr="006A31E8" w14:paraId="6D0847E0" w14:textId="77777777" w:rsidTr="00242D27">
        <w:trPr>
          <w:trHeight w:val="30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42251D86" w14:textId="77777777" w:rsidR="006A31E8" w:rsidRPr="008516F1" w:rsidRDefault="006A31E8" w:rsidP="006A31E8">
            <w:pPr>
              <w:spacing w:before="0" w:after="0"/>
              <w:jc w:val="left"/>
              <w:rPr>
                <w:i/>
                <w:iCs/>
                <w:color w:val="000000"/>
                <w:sz w:val="18"/>
                <w:szCs w:val="18"/>
                <w:lang w:val="es-CO" w:eastAsia="es-CO"/>
              </w:rPr>
            </w:pPr>
            <w:r w:rsidRPr="008516F1">
              <w:rPr>
                <w:i/>
                <w:iCs/>
                <w:color w:val="000000"/>
                <w:sz w:val="18"/>
                <w:szCs w:val="18"/>
                <w:lang w:val="es-CO" w:eastAsia="es-CO"/>
              </w:rPr>
              <w:t>4-2019</w:t>
            </w:r>
          </w:p>
        </w:tc>
        <w:tc>
          <w:tcPr>
            <w:tcW w:w="1559" w:type="dxa"/>
            <w:tcBorders>
              <w:top w:val="nil"/>
              <w:left w:val="nil"/>
              <w:bottom w:val="single" w:sz="4" w:space="0" w:color="auto"/>
              <w:right w:val="single" w:sz="4" w:space="0" w:color="auto"/>
            </w:tcBorders>
            <w:shd w:val="clear" w:color="000000" w:fill="FFFFFF"/>
            <w:noWrap/>
            <w:vAlign w:val="center"/>
            <w:hideMark/>
          </w:tcPr>
          <w:p w14:paraId="24EA652A"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78.642.669</w:t>
            </w:r>
          </w:p>
        </w:tc>
        <w:tc>
          <w:tcPr>
            <w:tcW w:w="1281" w:type="dxa"/>
            <w:tcBorders>
              <w:top w:val="nil"/>
              <w:left w:val="nil"/>
              <w:bottom w:val="single" w:sz="4" w:space="0" w:color="auto"/>
              <w:right w:val="single" w:sz="4" w:space="0" w:color="auto"/>
            </w:tcBorders>
            <w:shd w:val="clear" w:color="000000" w:fill="FFFFFF"/>
            <w:noWrap/>
            <w:vAlign w:val="center"/>
            <w:hideMark/>
          </w:tcPr>
          <w:p w14:paraId="4F37BAAC"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5.665</w:t>
            </w:r>
          </w:p>
        </w:tc>
        <w:tc>
          <w:tcPr>
            <w:tcW w:w="1332" w:type="dxa"/>
            <w:tcBorders>
              <w:top w:val="nil"/>
              <w:left w:val="nil"/>
              <w:bottom w:val="single" w:sz="4" w:space="0" w:color="auto"/>
              <w:right w:val="single" w:sz="4" w:space="0" w:color="auto"/>
            </w:tcBorders>
            <w:shd w:val="clear" w:color="000000" w:fill="FFFFFF"/>
            <w:noWrap/>
            <w:vAlign w:val="center"/>
            <w:hideMark/>
          </w:tcPr>
          <w:p w14:paraId="28013E17"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78.648.334</w:t>
            </w:r>
          </w:p>
        </w:tc>
        <w:tc>
          <w:tcPr>
            <w:tcW w:w="1332" w:type="dxa"/>
            <w:tcBorders>
              <w:top w:val="nil"/>
              <w:left w:val="nil"/>
              <w:bottom w:val="single" w:sz="4" w:space="0" w:color="auto"/>
              <w:right w:val="single" w:sz="4" w:space="0" w:color="auto"/>
            </w:tcBorders>
            <w:shd w:val="clear" w:color="000000" w:fill="FFFFFF"/>
            <w:vAlign w:val="center"/>
            <w:hideMark/>
          </w:tcPr>
          <w:p w14:paraId="52B7B785"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77.523.927</w:t>
            </w:r>
          </w:p>
        </w:tc>
      </w:tr>
      <w:tr w:rsidR="00242D27" w:rsidRPr="006A31E8" w14:paraId="20028875" w14:textId="77777777" w:rsidTr="00242D27">
        <w:trPr>
          <w:trHeight w:val="30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71BA3F0E" w14:textId="77777777" w:rsidR="006A31E8" w:rsidRPr="008516F1" w:rsidRDefault="006A31E8" w:rsidP="006A31E8">
            <w:pPr>
              <w:spacing w:before="0" w:after="0"/>
              <w:jc w:val="left"/>
              <w:rPr>
                <w:i/>
                <w:iCs/>
                <w:color w:val="000000"/>
                <w:sz w:val="18"/>
                <w:szCs w:val="18"/>
                <w:lang w:val="es-CO" w:eastAsia="es-CO"/>
              </w:rPr>
            </w:pPr>
            <w:r w:rsidRPr="008516F1">
              <w:rPr>
                <w:i/>
                <w:iCs/>
                <w:color w:val="000000"/>
                <w:sz w:val="18"/>
                <w:szCs w:val="18"/>
                <w:lang w:val="es-CO" w:eastAsia="es-CO"/>
              </w:rPr>
              <w:t>5-2019</w:t>
            </w:r>
          </w:p>
        </w:tc>
        <w:tc>
          <w:tcPr>
            <w:tcW w:w="1559" w:type="dxa"/>
            <w:tcBorders>
              <w:top w:val="nil"/>
              <w:left w:val="nil"/>
              <w:bottom w:val="single" w:sz="4" w:space="0" w:color="auto"/>
              <w:right w:val="single" w:sz="4" w:space="0" w:color="auto"/>
            </w:tcBorders>
            <w:shd w:val="clear" w:color="000000" w:fill="FFFFFF"/>
            <w:noWrap/>
            <w:vAlign w:val="center"/>
            <w:hideMark/>
          </w:tcPr>
          <w:p w14:paraId="1111DE78"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81.242.289</w:t>
            </w:r>
          </w:p>
        </w:tc>
        <w:tc>
          <w:tcPr>
            <w:tcW w:w="1281" w:type="dxa"/>
            <w:tcBorders>
              <w:top w:val="nil"/>
              <w:left w:val="nil"/>
              <w:bottom w:val="single" w:sz="4" w:space="0" w:color="auto"/>
              <w:right w:val="single" w:sz="4" w:space="0" w:color="auto"/>
            </w:tcBorders>
            <w:shd w:val="clear" w:color="000000" w:fill="FFFFFF"/>
            <w:noWrap/>
            <w:vAlign w:val="center"/>
            <w:hideMark/>
          </w:tcPr>
          <w:p w14:paraId="75906819"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4.882</w:t>
            </w:r>
          </w:p>
        </w:tc>
        <w:tc>
          <w:tcPr>
            <w:tcW w:w="1332" w:type="dxa"/>
            <w:tcBorders>
              <w:top w:val="nil"/>
              <w:left w:val="nil"/>
              <w:bottom w:val="single" w:sz="4" w:space="0" w:color="auto"/>
              <w:right w:val="single" w:sz="4" w:space="0" w:color="auto"/>
            </w:tcBorders>
            <w:shd w:val="clear" w:color="000000" w:fill="FFFFFF"/>
            <w:noWrap/>
            <w:vAlign w:val="center"/>
            <w:hideMark/>
          </w:tcPr>
          <w:p w14:paraId="3FF6845D"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81.247.172</w:t>
            </w:r>
          </w:p>
        </w:tc>
        <w:tc>
          <w:tcPr>
            <w:tcW w:w="1332" w:type="dxa"/>
            <w:tcBorders>
              <w:top w:val="nil"/>
              <w:left w:val="nil"/>
              <w:bottom w:val="single" w:sz="4" w:space="0" w:color="auto"/>
              <w:right w:val="single" w:sz="4" w:space="0" w:color="auto"/>
            </w:tcBorders>
            <w:shd w:val="clear" w:color="000000" w:fill="FFFFFF"/>
            <w:vAlign w:val="center"/>
            <w:hideMark/>
          </w:tcPr>
          <w:p w14:paraId="6F40B23C"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80.209.521</w:t>
            </w:r>
          </w:p>
        </w:tc>
      </w:tr>
      <w:tr w:rsidR="00242D27" w:rsidRPr="006A31E8" w14:paraId="528B3EDE" w14:textId="77777777" w:rsidTr="00242D27">
        <w:trPr>
          <w:trHeight w:val="30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1C39B045" w14:textId="77777777" w:rsidR="006A31E8" w:rsidRPr="008516F1" w:rsidRDefault="006A31E8" w:rsidP="006A31E8">
            <w:pPr>
              <w:spacing w:before="0" w:after="0"/>
              <w:jc w:val="left"/>
              <w:rPr>
                <w:i/>
                <w:iCs/>
                <w:color w:val="000000"/>
                <w:sz w:val="18"/>
                <w:szCs w:val="18"/>
                <w:lang w:val="es-CO" w:eastAsia="es-CO"/>
              </w:rPr>
            </w:pPr>
            <w:r w:rsidRPr="008516F1">
              <w:rPr>
                <w:i/>
                <w:iCs/>
                <w:color w:val="000000"/>
                <w:sz w:val="18"/>
                <w:szCs w:val="18"/>
                <w:lang w:val="es-CO" w:eastAsia="es-CO"/>
              </w:rPr>
              <w:t>6-2019</w:t>
            </w:r>
          </w:p>
        </w:tc>
        <w:tc>
          <w:tcPr>
            <w:tcW w:w="1559" w:type="dxa"/>
            <w:tcBorders>
              <w:top w:val="nil"/>
              <w:left w:val="nil"/>
              <w:bottom w:val="single" w:sz="4" w:space="0" w:color="auto"/>
              <w:right w:val="single" w:sz="4" w:space="0" w:color="auto"/>
            </w:tcBorders>
            <w:shd w:val="clear" w:color="000000" w:fill="FFFFFF"/>
            <w:noWrap/>
            <w:vAlign w:val="center"/>
            <w:hideMark/>
          </w:tcPr>
          <w:p w14:paraId="6C2C10A5"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82.093.442</w:t>
            </w:r>
          </w:p>
        </w:tc>
        <w:tc>
          <w:tcPr>
            <w:tcW w:w="1281" w:type="dxa"/>
            <w:tcBorders>
              <w:top w:val="nil"/>
              <w:left w:val="nil"/>
              <w:bottom w:val="single" w:sz="4" w:space="0" w:color="auto"/>
              <w:right w:val="single" w:sz="4" w:space="0" w:color="auto"/>
            </w:tcBorders>
            <w:shd w:val="clear" w:color="000000" w:fill="FFFFFF"/>
            <w:noWrap/>
            <w:vAlign w:val="center"/>
            <w:hideMark/>
          </w:tcPr>
          <w:p w14:paraId="71877204"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4.710</w:t>
            </w:r>
          </w:p>
        </w:tc>
        <w:tc>
          <w:tcPr>
            <w:tcW w:w="1332" w:type="dxa"/>
            <w:tcBorders>
              <w:top w:val="nil"/>
              <w:left w:val="nil"/>
              <w:bottom w:val="single" w:sz="4" w:space="0" w:color="auto"/>
              <w:right w:val="single" w:sz="4" w:space="0" w:color="auto"/>
            </w:tcBorders>
            <w:shd w:val="clear" w:color="000000" w:fill="FFFFFF"/>
            <w:noWrap/>
            <w:vAlign w:val="center"/>
            <w:hideMark/>
          </w:tcPr>
          <w:p w14:paraId="742DE8D4"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82.098.151</w:t>
            </w:r>
          </w:p>
        </w:tc>
        <w:tc>
          <w:tcPr>
            <w:tcW w:w="1332" w:type="dxa"/>
            <w:tcBorders>
              <w:top w:val="nil"/>
              <w:left w:val="nil"/>
              <w:bottom w:val="single" w:sz="4" w:space="0" w:color="auto"/>
              <w:right w:val="single" w:sz="4" w:space="0" w:color="auto"/>
            </w:tcBorders>
            <w:shd w:val="clear" w:color="000000" w:fill="FFFFFF"/>
            <w:vAlign w:val="center"/>
            <w:hideMark/>
          </w:tcPr>
          <w:p w14:paraId="204A0414"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81.081.437</w:t>
            </w:r>
          </w:p>
        </w:tc>
      </w:tr>
      <w:tr w:rsidR="00242D27" w:rsidRPr="006A31E8" w14:paraId="23B3E28A" w14:textId="77777777" w:rsidTr="00242D27">
        <w:trPr>
          <w:trHeight w:val="30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42F7AF0D" w14:textId="77777777" w:rsidR="006A31E8" w:rsidRPr="008516F1" w:rsidRDefault="006A31E8" w:rsidP="006A31E8">
            <w:pPr>
              <w:spacing w:before="0" w:after="0"/>
              <w:jc w:val="left"/>
              <w:rPr>
                <w:i/>
                <w:iCs/>
                <w:color w:val="000000"/>
                <w:sz w:val="18"/>
                <w:szCs w:val="18"/>
                <w:lang w:val="es-CO" w:eastAsia="es-CO"/>
              </w:rPr>
            </w:pPr>
            <w:r w:rsidRPr="008516F1">
              <w:rPr>
                <w:i/>
                <w:iCs/>
                <w:color w:val="000000"/>
                <w:sz w:val="18"/>
                <w:szCs w:val="18"/>
                <w:lang w:val="es-CO" w:eastAsia="es-CO"/>
              </w:rPr>
              <w:t>7-2019</w:t>
            </w:r>
          </w:p>
        </w:tc>
        <w:tc>
          <w:tcPr>
            <w:tcW w:w="1559" w:type="dxa"/>
            <w:tcBorders>
              <w:top w:val="nil"/>
              <w:left w:val="nil"/>
              <w:bottom w:val="single" w:sz="4" w:space="0" w:color="auto"/>
              <w:right w:val="single" w:sz="4" w:space="0" w:color="auto"/>
            </w:tcBorders>
            <w:shd w:val="clear" w:color="000000" w:fill="FFFFFF"/>
            <w:noWrap/>
            <w:vAlign w:val="center"/>
            <w:hideMark/>
          </w:tcPr>
          <w:p w14:paraId="33036ED9"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89.184.154</w:t>
            </w:r>
          </w:p>
        </w:tc>
        <w:tc>
          <w:tcPr>
            <w:tcW w:w="1281" w:type="dxa"/>
            <w:tcBorders>
              <w:top w:val="nil"/>
              <w:left w:val="nil"/>
              <w:bottom w:val="single" w:sz="4" w:space="0" w:color="auto"/>
              <w:right w:val="single" w:sz="4" w:space="0" w:color="auto"/>
            </w:tcBorders>
            <w:shd w:val="clear" w:color="000000" w:fill="FFFFFF"/>
            <w:noWrap/>
            <w:vAlign w:val="center"/>
            <w:hideMark/>
          </w:tcPr>
          <w:p w14:paraId="25C04E9B"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4.481</w:t>
            </w:r>
          </w:p>
        </w:tc>
        <w:tc>
          <w:tcPr>
            <w:tcW w:w="1332" w:type="dxa"/>
            <w:tcBorders>
              <w:top w:val="nil"/>
              <w:left w:val="nil"/>
              <w:bottom w:val="single" w:sz="4" w:space="0" w:color="auto"/>
              <w:right w:val="single" w:sz="4" w:space="0" w:color="auto"/>
            </w:tcBorders>
            <w:shd w:val="clear" w:color="000000" w:fill="FFFFFF"/>
            <w:noWrap/>
            <w:vAlign w:val="center"/>
            <w:hideMark/>
          </w:tcPr>
          <w:p w14:paraId="5D9446A1"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89.188.635</w:t>
            </w:r>
          </w:p>
        </w:tc>
        <w:tc>
          <w:tcPr>
            <w:tcW w:w="1332" w:type="dxa"/>
            <w:tcBorders>
              <w:top w:val="nil"/>
              <w:left w:val="nil"/>
              <w:bottom w:val="single" w:sz="4" w:space="0" w:color="auto"/>
              <w:right w:val="single" w:sz="4" w:space="0" w:color="auto"/>
            </w:tcBorders>
            <w:shd w:val="clear" w:color="000000" w:fill="FFFFFF"/>
            <w:vAlign w:val="center"/>
            <w:hideMark/>
          </w:tcPr>
          <w:p w14:paraId="1C6682C8"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88.064.277</w:t>
            </w:r>
          </w:p>
        </w:tc>
      </w:tr>
      <w:tr w:rsidR="00242D27" w:rsidRPr="006A31E8" w14:paraId="67261A4D" w14:textId="77777777" w:rsidTr="00242D27">
        <w:trPr>
          <w:trHeight w:val="30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47067E3B" w14:textId="77777777" w:rsidR="006A31E8" w:rsidRPr="008516F1" w:rsidRDefault="006A31E8" w:rsidP="006A31E8">
            <w:pPr>
              <w:spacing w:before="0" w:after="0"/>
              <w:jc w:val="left"/>
              <w:rPr>
                <w:i/>
                <w:iCs/>
                <w:color w:val="000000"/>
                <w:sz w:val="18"/>
                <w:szCs w:val="18"/>
                <w:lang w:val="es-CO" w:eastAsia="es-CO"/>
              </w:rPr>
            </w:pPr>
            <w:r w:rsidRPr="008516F1">
              <w:rPr>
                <w:i/>
                <w:iCs/>
                <w:color w:val="000000"/>
                <w:sz w:val="18"/>
                <w:szCs w:val="18"/>
                <w:lang w:val="es-CO" w:eastAsia="es-CO"/>
              </w:rPr>
              <w:t>8-2019</w:t>
            </w:r>
          </w:p>
        </w:tc>
        <w:tc>
          <w:tcPr>
            <w:tcW w:w="1559" w:type="dxa"/>
            <w:tcBorders>
              <w:top w:val="nil"/>
              <w:left w:val="nil"/>
              <w:bottom w:val="single" w:sz="4" w:space="0" w:color="auto"/>
              <w:right w:val="single" w:sz="4" w:space="0" w:color="auto"/>
            </w:tcBorders>
            <w:shd w:val="clear" w:color="000000" w:fill="FFFFFF"/>
            <w:noWrap/>
            <w:vAlign w:val="center"/>
            <w:hideMark/>
          </w:tcPr>
          <w:p w14:paraId="5F257CD1"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89.242.878</w:t>
            </w:r>
          </w:p>
        </w:tc>
        <w:tc>
          <w:tcPr>
            <w:tcW w:w="1281" w:type="dxa"/>
            <w:tcBorders>
              <w:top w:val="nil"/>
              <w:left w:val="nil"/>
              <w:bottom w:val="single" w:sz="4" w:space="0" w:color="auto"/>
              <w:right w:val="single" w:sz="4" w:space="0" w:color="auto"/>
            </w:tcBorders>
            <w:shd w:val="clear" w:color="000000" w:fill="FFFFFF"/>
            <w:noWrap/>
            <w:vAlign w:val="center"/>
            <w:hideMark/>
          </w:tcPr>
          <w:p w14:paraId="3C324088"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4.732</w:t>
            </w:r>
          </w:p>
        </w:tc>
        <w:tc>
          <w:tcPr>
            <w:tcW w:w="1332" w:type="dxa"/>
            <w:tcBorders>
              <w:top w:val="nil"/>
              <w:left w:val="nil"/>
              <w:bottom w:val="single" w:sz="4" w:space="0" w:color="auto"/>
              <w:right w:val="single" w:sz="4" w:space="0" w:color="auto"/>
            </w:tcBorders>
            <w:shd w:val="clear" w:color="000000" w:fill="FFFFFF"/>
            <w:noWrap/>
            <w:vAlign w:val="center"/>
            <w:hideMark/>
          </w:tcPr>
          <w:p w14:paraId="6EE27CBE"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89.247.610</w:t>
            </w:r>
          </w:p>
        </w:tc>
        <w:tc>
          <w:tcPr>
            <w:tcW w:w="1332" w:type="dxa"/>
            <w:tcBorders>
              <w:top w:val="nil"/>
              <w:left w:val="nil"/>
              <w:bottom w:val="single" w:sz="4" w:space="0" w:color="auto"/>
              <w:right w:val="single" w:sz="4" w:space="0" w:color="auto"/>
            </w:tcBorders>
            <w:shd w:val="clear" w:color="000000" w:fill="FFFFFF"/>
            <w:vAlign w:val="center"/>
            <w:hideMark/>
          </w:tcPr>
          <w:p w14:paraId="01D86EFA"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88.041.296</w:t>
            </w:r>
          </w:p>
        </w:tc>
      </w:tr>
      <w:tr w:rsidR="00242D27" w:rsidRPr="006A31E8" w14:paraId="0CAC2999" w14:textId="77777777" w:rsidTr="00242D27">
        <w:trPr>
          <w:trHeight w:val="30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3BCBDFA1" w14:textId="77777777" w:rsidR="006A31E8" w:rsidRPr="008516F1" w:rsidRDefault="006A31E8" w:rsidP="006A31E8">
            <w:pPr>
              <w:spacing w:before="0" w:after="0"/>
              <w:jc w:val="left"/>
              <w:rPr>
                <w:i/>
                <w:iCs/>
                <w:color w:val="000000"/>
                <w:sz w:val="18"/>
                <w:szCs w:val="18"/>
                <w:lang w:val="es-CO" w:eastAsia="es-CO"/>
              </w:rPr>
            </w:pPr>
            <w:r w:rsidRPr="008516F1">
              <w:rPr>
                <w:i/>
                <w:iCs/>
                <w:color w:val="000000"/>
                <w:sz w:val="18"/>
                <w:szCs w:val="18"/>
                <w:lang w:val="es-CO" w:eastAsia="es-CO"/>
              </w:rPr>
              <w:t>9-2019</w:t>
            </w:r>
          </w:p>
        </w:tc>
        <w:tc>
          <w:tcPr>
            <w:tcW w:w="1559" w:type="dxa"/>
            <w:tcBorders>
              <w:top w:val="nil"/>
              <w:left w:val="nil"/>
              <w:bottom w:val="single" w:sz="4" w:space="0" w:color="auto"/>
              <w:right w:val="single" w:sz="4" w:space="0" w:color="auto"/>
            </w:tcBorders>
            <w:shd w:val="clear" w:color="000000" w:fill="FFFFFF"/>
            <w:noWrap/>
            <w:vAlign w:val="center"/>
            <w:hideMark/>
          </w:tcPr>
          <w:p w14:paraId="174F044C"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85.706.121</w:t>
            </w:r>
          </w:p>
        </w:tc>
        <w:tc>
          <w:tcPr>
            <w:tcW w:w="1281" w:type="dxa"/>
            <w:tcBorders>
              <w:top w:val="nil"/>
              <w:left w:val="nil"/>
              <w:bottom w:val="single" w:sz="4" w:space="0" w:color="auto"/>
              <w:right w:val="single" w:sz="4" w:space="0" w:color="auto"/>
            </w:tcBorders>
            <w:shd w:val="clear" w:color="000000" w:fill="FFFFFF"/>
            <w:noWrap/>
            <w:vAlign w:val="center"/>
            <w:hideMark/>
          </w:tcPr>
          <w:p w14:paraId="4D64A529"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4.612</w:t>
            </w:r>
          </w:p>
        </w:tc>
        <w:tc>
          <w:tcPr>
            <w:tcW w:w="1332" w:type="dxa"/>
            <w:tcBorders>
              <w:top w:val="nil"/>
              <w:left w:val="nil"/>
              <w:bottom w:val="single" w:sz="4" w:space="0" w:color="auto"/>
              <w:right w:val="single" w:sz="4" w:space="0" w:color="auto"/>
            </w:tcBorders>
            <w:shd w:val="clear" w:color="000000" w:fill="FFFFFF"/>
            <w:noWrap/>
            <w:vAlign w:val="center"/>
            <w:hideMark/>
          </w:tcPr>
          <w:p w14:paraId="2920EFA9"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85.710.733</w:t>
            </w:r>
          </w:p>
        </w:tc>
        <w:tc>
          <w:tcPr>
            <w:tcW w:w="1332" w:type="dxa"/>
            <w:tcBorders>
              <w:top w:val="nil"/>
              <w:left w:val="nil"/>
              <w:bottom w:val="single" w:sz="4" w:space="0" w:color="auto"/>
              <w:right w:val="single" w:sz="4" w:space="0" w:color="auto"/>
            </w:tcBorders>
            <w:shd w:val="clear" w:color="000000" w:fill="FFFFFF"/>
            <w:vAlign w:val="center"/>
            <w:hideMark/>
          </w:tcPr>
          <w:p w14:paraId="6F96F118"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84.585.164</w:t>
            </w:r>
          </w:p>
        </w:tc>
      </w:tr>
      <w:tr w:rsidR="00242D27" w:rsidRPr="006A31E8" w14:paraId="1A0743DD" w14:textId="77777777" w:rsidTr="00242D27">
        <w:trPr>
          <w:trHeight w:val="30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43C47A12" w14:textId="77777777" w:rsidR="006A31E8" w:rsidRPr="008516F1" w:rsidRDefault="006A31E8" w:rsidP="006A31E8">
            <w:pPr>
              <w:spacing w:before="0" w:after="0"/>
              <w:jc w:val="left"/>
              <w:rPr>
                <w:i/>
                <w:iCs/>
                <w:color w:val="000000"/>
                <w:sz w:val="18"/>
                <w:szCs w:val="18"/>
                <w:lang w:val="es-CO" w:eastAsia="es-CO"/>
              </w:rPr>
            </w:pPr>
            <w:r w:rsidRPr="008516F1">
              <w:rPr>
                <w:i/>
                <w:iCs/>
                <w:color w:val="000000"/>
                <w:sz w:val="18"/>
                <w:szCs w:val="18"/>
                <w:lang w:val="es-CO" w:eastAsia="es-CO"/>
              </w:rPr>
              <w:t>10-2019</w:t>
            </w:r>
          </w:p>
        </w:tc>
        <w:tc>
          <w:tcPr>
            <w:tcW w:w="1559" w:type="dxa"/>
            <w:tcBorders>
              <w:top w:val="nil"/>
              <w:left w:val="nil"/>
              <w:bottom w:val="single" w:sz="4" w:space="0" w:color="auto"/>
              <w:right w:val="single" w:sz="4" w:space="0" w:color="auto"/>
            </w:tcBorders>
            <w:shd w:val="clear" w:color="000000" w:fill="FFFFFF"/>
            <w:noWrap/>
            <w:vAlign w:val="center"/>
            <w:hideMark/>
          </w:tcPr>
          <w:p w14:paraId="638BD3D0"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85.523.426</w:t>
            </w:r>
          </w:p>
        </w:tc>
        <w:tc>
          <w:tcPr>
            <w:tcW w:w="1281" w:type="dxa"/>
            <w:tcBorders>
              <w:top w:val="nil"/>
              <w:left w:val="nil"/>
              <w:bottom w:val="single" w:sz="4" w:space="0" w:color="auto"/>
              <w:right w:val="single" w:sz="4" w:space="0" w:color="auto"/>
            </w:tcBorders>
            <w:shd w:val="clear" w:color="000000" w:fill="FFFFFF"/>
            <w:noWrap/>
            <w:vAlign w:val="center"/>
            <w:hideMark/>
          </w:tcPr>
          <w:p w14:paraId="0649B326"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4.598</w:t>
            </w:r>
          </w:p>
        </w:tc>
        <w:tc>
          <w:tcPr>
            <w:tcW w:w="1332" w:type="dxa"/>
            <w:tcBorders>
              <w:top w:val="nil"/>
              <w:left w:val="nil"/>
              <w:bottom w:val="single" w:sz="4" w:space="0" w:color="auto"/>
              <w:right w:val="single" w:sz="4" w:space="0" w:color="auto"/>
            </w:tcBorders>
            <w:shd w:val="clear" w:color="000000" w:fill="FFFFFF"/>
            <w:noWrap/>
            <w:vAlign w:val="center"/>
            <w:hideMark/>
          </w:tcPr>
          <w:p w14:paraId="546A7173"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85.528.024</w:t>
            </w:r>
          </w:p>
        </w:tc>
        <w:tc>
          <w:tcPr>
            <w:tcW w:w="1332" w:type="dxa"/>
            <w:tcBorders>
              <w:top w:val="nil"/>
              <w:left w:val="nil"/>
              <w:bottom w:val="single" w:sz="4" w:space="0" w:color="auto"/>
              <w:right w:val="single" w:sz="4" w:space="0" w:color="auto"/>
            </w:tcBorders>
            <w:shd w:val="clear" w:color="000000" w:fill="FFFFFF"/>
            <w:vAlign w:val="center"/>
            <w:hideMark/>
          </w:tcPr>
          <w:p w14:paraId="128F2EE8"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84.411.826</w:t>
            </w:r>
          </w:p>
        </w:tc>
      </w:tr>
      <w:tr w:rsidR="00242D27" w:rsidRPr="006A31E8" w14:paraId="3E678DC2" w14:textId="77777777" w:rsidTr="00242D27">
        <w:trPr>
          <w:trHeight w:val="30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23C33700" w14:textId="77777777" w:rsidR="006A31E8" w:rsidRPr="008516F1" w:rsidRDefault="006A31E8" w:rsidP="006A31E8">
            <w:pPr>
              <w:spacing w:before="0" w:after="0"/>
              <w:jc w:val="left"/>
              <w:rPr>
                <w:i/>
                <w:iCs/>
                <w:color w:val="000000"/>
                <w:sz w:val="18"/>
                <w:szCs w:val="18"/>
                <w:lang w:val="es-CO" w:eastAsia="es-CO"/>
              </w:rPr>
            </w:pPr>
            <w:r w:rsidRPr="008516F1">
              <w:rPr>
                <w:i/>
                <w:iCs/>
                <w:color w:val="000000"/>
                <w:sz w:val="18"/>
                <w:szCs w:val="18"/>
                <w:lang w:val="es-CO" w:eastAsia="es-CO"/>
              </w:rPr>
              <w:t>11-2019</w:t>
            </w:r>
          </w:p>
        </w:tc>
        <w:tc>
          <w:tcPr>
            <w:tcW w:w="1559" w:type="dxa"/>
            <w:tcBorders>
              <w:top w:val="nil"/>
              <w:left w:val="nil"/>
              <w:bottom w:val="single" w:sz="4" w:space="0" w:color="auto"/>
              <w:right w:val="single" w:sz="4" w:space="0" w:color="auto"/>
            </w:tcBorders>
            <w:shd w:val="clear" w:color="000000" w:fill="FFFFFF"/>
            <w:noWrap/>
            <w:vAlign w:val="center"/>
            <w:hideMark/>
          </w:tcPr>
          <w:p w14:paraId="1321B9F1"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83.890.282</w:t>
            </w:r>
          </w:p>
        </w:tc>
        <w:tc>
          <w:tcPr>
            <w:tcW w:w="1281" w:type="dxa"/>
            <w:tcBorders>
              <w:top w:val="nil"/>
              <w:left w:val="nil"/>
              <w:bottom w:val="single" w:sz="4" w:space="0" w:color="auto"/>
              <w:right w:val="single" w:sz="4" w:space="0" w:color="auto"/>
            </w:tcBorders>
            <w:shd w:val="clear" w:color="000000" w:fill="FFFFFF"/>
            <w:noWrap/>
            <w:vAlign w:val="center"/>
            <w:hideMark/>
          </w:tcPr>
          <w:p w14:paraId="0FE71C35"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4.874</w:t>
            </w:r>
          </w:p>
        </w:tc>
        <w:tc>
          <w:tcPr>
            <w:tcW w:w="1332" w:type="dxa"/>
            <w:tcBorders>
              <w:top w:val="nil"/>
              <w:left w:val="nil"/>
              <w:bottom w:val="single" w:sz="4" w:space="0" w:color="auto"/>
              <w:right w:val="single" w:sz="4" w:space="0" w:color="auto"/>
            </w:tcBorders>
            <w:shd w:val="clear" w:color="000000" w:fill="FFFFFF"/>
            <w:noWrap/>
            <w:vAlign w:val="center"/>
            <w:hideMark/>
          </w:tcPr>
          <w:p w14:paraId="3031E5F0"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83.895.156</w:t>
            </w:r>
          </w:p>
        </w:tc>
        <w:tc>
          <w:tcPr>
            <w:tcW w:w="1332" w:type="dxa"/>
            <w:tcBorders>
              <w:top w:val="nil"/>
              <w:left w:val="nil"/>
              <w:bottom w:val="single" w:sz="4" w:space="0" w:color="auto"/>
              <w:right w:val="single" w:sz="4" w:space="0" w:color="auto"/>
            </w:tcBorders>
            <w:shd w:val="clear" w:color="000000" w:fill="FFFFFF"/>
            <w:vAlign w:val="center"/>
            <w:hideMark/>
          </w:tcPr>
          <w:p w14:paraId="054EE303"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82.821.706</w:t>
            </w:r>
          </w:p>
        </w:tc>
      </w:tr>
      <w:tr w:rsidR="00242D27" w:rsidRPr="006A31E8" w14:paraId="6A31DAD0" w14:textId="77777777" w:rsidTr="00242D27">
        <w:trPr>
          <w:trHeight w:val="30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25B610A3" w14:textId="77777777" w:rsidR="006A31E8" w:rsidRPr="008516F1" w:rsidRDefault="006A31E8" w:rsidP="006A31E8">
            <w:pPr>
              <w:spacing w:before="0" w:after="0"/>
              <w:jc w:val="left"/>
              <w:rPr>
                <w:i/>
                <w:iCs/>
                <w:color w:val="000000"/>
                <w:sz w:val="18"/>
                <w:szCs w:val="18"/>
                <w:lang w:val="es-CO" w:eastAsia="es-CO"/>
              </w:rPr>
            </w:pPr>
            <w:r w:rsidRPr="008516F1">
              <w:rPr>
                <w:i/>
                <w:iCs/>
                <w:color w:val="000000"/>
                <w:sz w:val="18"/>
                <w:szCs w:val="18"/>
                <w:lang w:val="es-CO" w:eastAsia="es-CO"/>
              </w:rPr>
              <w:t>12-2019</w:t>
            </w:r>
          </w:p>
        </w:tc>
        <w:tc>
          <w:tcPr>
            <w:tcW w:w="1559" w:type="dxa"/>
            <w:tcBorders>
              <w:top w:val="nil"/>
              <w:left w:val="nil"/>
              <w:bottom w:val="single" w:sz="4" w:space="0" w:color="auto"/>
              <w:right w:val="single" w:sz="4" w:space="0" w:color="auto"/>
            </w:tcBorders>
            <w:shd w:val="clear" w:color="000000" w:fill="FFFFFF"/>
            <w:noWrap/>
            <w:vAlign w:val="center"/>
            <w:hideMark/>
          </w:tcPr>
          <w:p w14:paraId="54A909CA"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86.878.151</w:t>
            </w:r>
          </w:p>
        </w:tc>
        <w:tc>
          <w:tcPr>
            <w:tcW w:w="1281" w:type="dxa"/>
            <w:tcBorders>
              <w:top w:val="nil"/>
              <w:left w:val="nil"/>
              <w:bottom w:val="single" w:sz="4" w:space="0" w:color="auto"/>
              <w:right w:val="single" w:sz="4" w:space="0" w:color="auto"/>
            </w:tcBorders>
            <w:shd w:val="clear" w:color="000000" w:fill="FFFFFF"/>
            <w:noWrap/>
            <w:vAlign w:val="center"/>
            <w:hideMark/>
          </w:tcPr>
          <w:p w14:paraId="73E97CA5"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4.947</w:t>
            </w:r>
          </w:p>
        </w:tc>
        <w:tc>
          <w:tcPr>
            <w:tcW w:w="1332" w:type="dxa"/>
            <w:tcBorders>
              <w:top w:val="nil"/>
              <w:left w:val="nil"/>
              <w:bottom w:val="single" w:sz="4" w:space="0" w:color="auto"/>
              <w:right w:val="single" w:sz="4" w:space="0" w:color="auto"/>
            </w:tcBorders>
            <w:shd w:val="clear" w:color="000000" w:fill="FFFFFF"/>
            <w:noWrap/>
            <w:vAlign w:val="center"/>
            <w:hideMark/>
          </w:tcPr>
          <w:p w14:paraId="5F5FC638"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86.883.098</w:t>
            </w:r>
          </w:p>
        </w:tc>
        <w:tc>
          <w:tcPr>
            <w:tcW w:w="1332" w:type="dxa"/>
            <w:tcBorders>
              <w:top w:val="nil"/>
              <w:left w:val="nil"/>
              <w:bottom w:val="single" w:sz="4" w:space="0" w:color="auto"/>
              <w:right w:val="single" w:sz="4" w:space="0" w:color="auto"/>
            </w:tcBorders>
            <w:shd w:val="clear" w:color="000000" w:fill="FFFFFF"/>
            <w:vAlign w:val="center"/>
            <w:hideMark/>
          </w:tcPr>
          <w:p w14:paraId="78442AFB" w14:textId="77777777" w:rsidR="006A31E8" w:rsidRPr="008516F1" w:rsidRDefault="006A31E8" w:rsidP="006A31E8">
            <w:pPr>
              <w:spacing w:before="0" w:after="0"/>
              <w:jc w:val="right"/>
              <w:rPr>
                <w:i/>
                <w:iCs/>
                <w:color w:val="000000"/>
                <w:sz w:val="18"/>
                <w:szCs w:val="18"/>
                <w:lang w:val="es-CO" w:eastAsia="es-CO"/>
              </w:rPr>
            </w:pPr>
            <w:r w:rsidRPr="008516F1">
              <w:rPr>
                <w:i/>
                <w:iCs/>
                <w:color w:val="000000"/>
                <w:sz w:val="18"/>
                <w:szCs w:val="18"/>
                <w:lang w:val="es-CO" w:eastAsia="es-CO"/>
              </w:rPr>
              <w:t>85.675.131</w:t>
            </w:r>
          </w:p>
        </w:tc>
      </w:tr>
      <w:tr w:rsidR="00242D27" w:rsidRPr="006A31E8" w14:paraId="3F7C054E" w14:textId="77777777" w:rsidTr="00242D27">
        <w:trPr>
          <w:trHeight w:val="30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15A452AE" w14:textId="6AE17106" w:rsidR="006A31E8" w:rsidRPr="008516F1" w:rsidRDefault="006A31E8" w:rsidP="00597A57">
            <w:pPr>
              <w:spacing w:before="0" w:after="0"/>
              <w:jc w:val="center"/>
              <w:rPr>
                <w:b/>
                <w:bCs/>
                <w:i/>
                <w:iCs/>
                <w:color w:val="000000"/>
                <w:sz w:val="18"/>
                <w:szCs w:val="18"/>
                <w:lang w:val="es-CO" w:eastAsia="es-CO"/>
              </w:rPr>
            </w:pPr>
            <w:r w:rsidRPr="008516F1">
              <w:rPr>
                <w:b/>
                <w:bCs/>
                <w:i/>
                <w:iCs/>
                <w:color w:val="000000"/>
                <w:sz w:val="18"/>
                <w:szCs w:val="18"/>
                <w:lang w:val="es-CO" w:eastAsia="es-CO"/>
              </w:rPr>
              <w:t>T</w:t>
            </w:r>
            <w:r w:rsidR="00597A57" w:rsidRPr="008516F1">
              <w:rPr>
                <w:b/>
                <w:bCs/>
                <w:i/>
                <w:iCs/>
                <w:color w:val="000000"/>
                <w:sz w:val="18"/>
                <w:szCs w:val="18"/>
                <w:lang w:val="es-CO" w:eastAsia="es-CO"/>
              </w:rPr>
              <w:t xml:space="preserve">otal </w:t>
            </w:r>
          </w:p>
        </w:tc>
        <w:tc>
          <w:tcPr>
            <w:tcW w:w="1559" w:type="dxa"/>
            <w:tcBorders>
              <w:top w:val="nil"/>
              <w:left w:val="nil"/>
              <w:bottom w:val="single" w:sz="4" w:space="0" w:color="auto"/>
              <w:right w:val="single" w:sz="4" w:space="0" w:color="auto"/>
            </w:tcBorders>
            <w:shd w:val="clear" w:color="000000" w:fill="FFFFFF"/>
            <w:noWrap/>
            <w:vAlign w:val="center"/>
            <w:hideMark/>
          </w:tcPr>
          <w:p w14:paraId="5C048D04" w14:textId="77777777" w:rsidR="006A31E8" w:rsidRPr="008516F1" w:rsidRDefault="006A31E8" w:rsidP="00597A57">
            <w:pPr>
              <w:spacing w:before="0" w:after="0"/>
              <w:jc w:val="center"/>
              <w:rPr>
                <w:b/>
                <w:bCs/>
                <w:i/>
                <w:iCs/>
                <w:color w:val="000000"/>
                <w:sz w:val="18"/>
                <w:szCs w:val="18"/>
                <w:lang w:val="es-CO" w:eastAsia="es-CO"/>
              </w:rPr>
            </w:pPr>
            <w:r w:rsidRPr="008516F1">
              <w:rPr>
                <w:b/>
                <w:bCs/>
                <w:i/>
                <w:iCs/>
                <w:color w:val="000000"/>
                <w:sz w:val="18"/>
                <w:szCs w:val="18"/>
                <w:lang w:val="es-CO" w:eastAsia="es-CO"/>
              </w:rPr>
              <w:t>997.184.059</w:t>
            </w:r>
          </w:p>
        </w:tc>
        <w:tc>
          <w:tcPr>
            <w:tcW w:w="1281" w:type="dxa"/>
            <w:tcBorders>
              <w:top w:val="nil"/>
              <w:left w:val="nil"/>
              <w:bottom w:val="single" w:sz="4" w:space="0" w:color="auto"/>
              <w:right w:val="single" w:sz="4" w:space="0" w:color="auto"/>
            </w:tcBorders>
            <w:shd w:val="clear" w:color="000000" w:fill="FFFFFF"/>
            <w:noWrap/>
            <w:vAlign w:val="center"/>
            <w:hideMark/>
          </w:tcPr>
          <w:p w14:paraId="35A2A7F2" w14:textId="77777777" w:rsidR="006A31E8" w:rsidRPr="008516F1" w:rsidRDefault="006A31E8" w:rsidP="00242D27">
            <w:pPr>
              <w:spacing w:before="0" w:after="0"/>
              <w:jc w:val="right"/>
              <w:rPr>
                <w:b/>
                <w:bCs/>
                <w:i/>
                <w:iCs/>
                <w:color w:val="000000"/>
                <w:sz w:val="18"/>
                <w:szCs w:val="18"/>
                <w:lang w:val="es-CO" w:eastAsia="es-CO"/>
              </w:rPr>
            </w:pPr>
            <w:r w:rsidRPr="008516F1">
              <w:rPr>
                <w:b/>
                <w:bCs/>
                <w:i/>
                <w:iCs/>
                <w:color w:val="000000"/>
                <w:sz w:val="18"/>
                <w:szCs w:val="18"/>
                <w:lang w:val="es-CO" w:eastAsia="es-CO"/>
              </w:rPr>
              <w:t>58.399</w:t>
            </w:r>
          </w:p>
        </w:tc>
        <w:tc>
          <w:tcPr>
            <w:tcW w:w="1332" w:type="dxa"/>
            <w:tcBorders>
              <w:top w:val="nil"/>
              <w:left w:val="nil"/>
              <w:bottom w:val="single" w:sz="4" w:space="0" w:color="auto"/>
              <w:right w:val="single" w:sz="4" w:space="0" w:color="auto"/>
            </w:tcBorders>
            <w:shd w:val="clear" w:color="000000" w:fill="FFFFFF"/>
            <w:noWrap/>
            <w:vAlign w:val="center"/>
            <w:hideMark/>
          </w:tcPr>
          <w:p w14:paraId="3C11D26B" w14:textId="77777777" w:rsidR="006A31E8" w:rsidRPr="008516F1" w:rsidRDefault="006A31E8" w:rsidP="00597A57">
            <w:pPr>
              <w:spacing w:before="0" w:after="0"/>
              <w:jc w:val="center"/>
              <w:rPr>
                <w:b/>
                <w:bCs/>
                <w:i/>
                <w:iCs/>
                <w:color w:val="000000"/>
                <w:sz w:val="18"/>
                <w:szCs w:val="18"/>
                <w:lang w:val="es-CO" w:eastAsia="es-CO"/>
              </w:rPr>
            </w:pPr>
            <w:r w:rsidRPr="008516F1">
              <w:rPr>
                <w:b/>
                <w:bCs/>
                <w:i/>
                <w:iCs/>
                <w:color w:val="000000"/>
                <w:sz w:val="18"/>
                <w:szCs w:val="18"/>
                <w:lang w:val="es-CO" w:eastAsia="es-CO"/>
              </w:rPr>
              <w:t>997.242.458</w:t>
            </w:r>
          </w:p>
        </w:tc>
        <w:tc>
          <w:tcPr>
            <w:tcW w:w="1332" w:type="dxa"/>
            <w:tcBorders>
              <w:top w:val="nil"/>
              <w:left w:val="nil"/>
              <w:bottom w:val="single" w:sz="4" w:space="0" w:color="auto"/>
              <w:right w:val="single" w:sz="4" w:space="0" w:color="auto"/>
            </w:tcBorders>
            <w:shd w:val="clear" w:color="000000" w:fill="FFFFFF"/>
            <w:noWrap/>
            <w:vAlign w:val="center"/>
            <w:hideMark/>
          </w:tcPr>
          <w:p w14:paraId="12C2351B" w14:textId="77777777" w:rsidR="006A31E8" w:rsidRPr="008516F1" w:rsidRDefault="006A31E8" w:rsidP="00597A57">
            <w:pPr>
              <w:spacing w:before="0" w:after="0"/>
              <w:jc w:val="center"/>
              <w:rPr>
                <w:b/>
                <w:bCs/>
                <w:i/>
                <w:iCs/>
                <w:color w:val="000000"/>
                <w:sz w:val="18"/>
                <w:szCs w:val="18"/>
                <w:lang w:val="es-CO" w:eastAsia="es-CO"/>
              </w:rPr>
            </w:pPr>
            <w:r w:rsidRPr="008516F1">
              <w:rPr>
                <w:b/>
                <w:bCs/>
                <w:i/>
                <w:iCs/>
                <w:color w:val="000000"/>
                <w:sz w:val="18"/>
                <w:szCs w:val="18"/>
                <w:lang w:val="es-CO" w:eastAsia="es-CO"/>
              </w:rPr>
              <w:t>983.809.416</w:t>
            </w:r>
          </w:p>
        </w:tc>
      </w:tr>
    </w:tbl>
    <w:p w14:paraId="4308517E" w14:textId="0AD7839D" w:rsidR="006A31E8" w:rsidRDefault="00597A57" w:rsidP="006A31E8">
      <w:r>
        <w:t>Se observa que</w:t>
      </w:r>
      <w:r w:rsidR="001F455D">
        <w:t>,</w:t>
      </w:r>
      <w:r>
        <w:t xml:space="preserve"> en el valor total utilizado por la Comisión, 997.242.458 kWh año, se incluyen las ventas de energía y la energía de las fronteras de </w:t>
      </w:r>
      <w:r w:rsidR="00000198">
        <w:t xml:space="preserve">consumo propio o </w:t>
      </w:r>
      <w:r>
        <w:t>servicios auxiliares, que</w:t>
      </w:r>
      <w:r w:rsidR="008C066D">
        <w:t>,</w:t>
      </w:r>
      <w:r>
        <w:t xml:space="preserve"> en este caso</w:t>
      </w:r>
      <w:r w:rsidR="008C066D">
        <w:t>,</w:t>
      </w:r>
      <w:r>
        <w:t xml:space="preserve"> corresponde únicamente a la de la frontera </w:t>
      </w:r>
      <w:r w:rsidRPr="00F24CB4">
        <w:t>F</w:t>
      </w:r>
      <w:r>
        <w:t>rt</w:t>
      </w:r>
      <w:r w:rsidRPr="00F24CB4">
        <w:t xml:space="preserve"> 31</w:t>
      </w:r>
      <w:r>
        <w:t>152</w:t>
      </w:r>
      <w:r w:rsidR="001F455D">
        <w:t xml:space="preserve">, </w:t>
      </w:r>
      <w:r>
        <w:t xml:space="preserve">Celsia Solar Bolívar. </w:t>
      </w:r>
    </w:p>
    <w:p w14:paraId="1B21FB5E" w14:textId="08E0CAC5" w:rsidR="00000198" w:rsidRDefault="00597A57" w:rsidP="005F2160">
      <w:r>
        <w:t>Con base en lo anterior</w:t>
      </w:r>
      <w:r w:rsidR="008C066D">
        <w:t>,</w:t>
      </w:r>
      <w:r>
        <w:t xml:space="preserve"> se </w:t>
      </w:r>
      <w:r w:rsidR="00130A47">
        <w:t xml:space="preserve">verificó </w:t>
      </w:r>
      <w:r>
        <w:t>que la Comisión empleó la información de esta frontera de acuerdo con lo establecido en la metodología, por lo cual</w:t>
      </w:r>
      <w:r w:rsidR="001F455D">
        <w:t>,</w:t>
      </w:r>
      <w:r>
        <w:t xml:space="preserve"> </w:t>
      </w:r>
      <w:r w:rsidR="00000198">
        <w:t>no se encuentran diferencias en la aplicación de la metodología que requieran un ajuste en el valor aprobado.</w:t>
      </w:r>
    </w:p>
    <w:p w14:paraId="53B66890" w14:textId="46766A52" w:rsidR="00B3100B" w:rsidRDefault="00B3100B" w:rsidP="00B3100B">
      <w:pPr>
        <w:rPr>
          <w:b/>
          <w:bCs/>
        </w:rPr>
      </w:pPr>
      <w:r>
        <w:rPr>
          <w:b/>
          <w:bCs/>
        </w:rPr>
        <w:t xml:space="preserve">Quinta </w:t>
      </w:r>
      <w:r w:rsidRPr="007654F3">
        <w:rPr>
          <w:b/>
          <w:bCs/>
        </w:rPr>
        <w:t>solicitud</w:t>
      </w:r>
      <w:r>
        <w:rPr>
          <w:b/>
          <w:bCs/>
        </w:rPr>
        <w:t>, numeral 3</w:t>
      </w:r>
    </w:p>
    <w:p w14:paraId="17D65014" w14:textId="77777777" w:rsidR="00B3100B" w:rsidRPr="00FE775A" w:rsidRDefault="00B3100B" w:rsidP="008C066D">
      <w:pPr>
        <w:spacing w:before="60" w:after="60"/>
        <w:ind w:left="284"/>
        <w:rPr>
          <w:i/>
          <w:iCs/>
          <w:sz w:val="20"/>
          <w:szCs w:val="20"/>
        </w:rPr>
      </w:pPr>
      <w:r w:rsidRPr="00FE775A">
        <w:rPr>
          <w:i/>
          <w:iCs/>
          <w:sz w:val="20"/>
          <w:szCs w:val="20"/>
        </w:rPr>
        <w:t xml:space="preserve">QUINTO: Modificar el artículo 16 de la Resolución CREG 025 de 2021 en el siguiente sentido: </w:t>
      </w:r>
    </w:p>
    <w:p w14:paraId="13CADB19" w14:textId="77777777" w:rsidR="00B3100B" w:rsidRDefault="00B3100B" w:rsidP="008C066D">
      <w:pPr>
        <w:spacing w:before="60" w:after="60"/>
        <w:ind w:left="284"/>
        <w:rPr>
          <w:i/>
          <w:iCs/>
          <w:sz w:val="20"/>
          <w:szCs w:val="20"/>
        </w:rPr>
      </w:pPr>
      <w:r w:rsidRPr="00FE775A">
        <w:rPr>
          <w:i/>
          <w:iCs/>
          <w:sz w:val="20"/>
          <w:szCs w:val="20"/>
        </w:rPr>
        <w:t xml:space="preserve">1. Ajustar el índice PTj,10 con las diferencias identificadas en las fuentes de información, considerando: </w:t>
      </w:r>
    </w:p>
    <w:p w14:paraId="12F42886" w14:textId="607493A3" w:rsidR="00B3100B" w:rsidRDefault="00B3100B" w:rsidP="008C066D">
      <w:pPr>
        <w:spacing w:before="60" w:after="60"/>
        <w:ind w:left="284"/>
        <w:rPr>
          <w:i/>
          <w:iCs/>
          <w:sz w:val="20"/>
          <w:szCs w:val="20"/>
        </w:rPr>
      </w:pPr>
      <w:r>
        <w:rPr>
          <w:i/>
          <w:iCs/>
          <w:sz w:val="20"/>
          <w:szCs w:val="20"/>
        </w:rPr>
        <w:t xml:space="preserve">(…) </w:t>
      </w:r>
      <w:r w:rsidRPr="00FE775A">
        <w:rPr>
          <w:i/>
          <w:iCs/>
          <w:sz w:val="20"/>
          <w:szCs w:val="20"/>
        </w:rPr>
        <w:t>• Verificar y corregir las ventas con fronteras comerciales de usuarios no regulados y regulados atendidos por otros comercializadores, en el nivel de tensión 3.</w:t>
      </w:r>
    </w:p>
    <w:p w14:paraId="28A783C4" w14:textId="77777777" w:rsidR="00B3100B" w:rsidRPr="00EE4E97" w:rsidRDefault="00B3100B" w:rsidP="008C066D">
      <w:pPr>
        <w:spacing w:before="60" w:after="60"/>
        <w:ind w:left="284"/>
        <w:rPr>
          <w:i/>
          <w:iCs/>
          <w:sz w:val="20"/>
          <w:szCs w:val="20"/>
        </w:rPr>
      </w:pPr>
      <w:r w:rsidRPr="00EE4E97">
        <w:rPr>
          <w:i/>
          <w:iCs/>
          <w:sz w:val="20"/>
          <w:szCs w:val="20"/>
        </w:rPr>
        <w:t xml:space="preserve">5. En las ventas con fronteras comerciales de usuarios no regulados y regulados atendidos por otros comercializadores, en el nivel de tensión 3, </w:t>
      </w:r>
      <w:r w:rsidRPr="008A74B4">
        <w:rPr>
          <w:i/>
          <w:iCs/>
          <w:sz w:val="20"/>
          <w:szCs w:val="20"/>
          <w:u w:val="single"/>
        </w:rPr>
        <w:t>durante los meses de enero a mayo de 2019 se observa un aumento de 2,5 GWh/mes</w:t>
      </w:r>
      <w:r w:rsidRPr="00EE4E97">
        <w:rPr>
          <w:i/>
          <w:iCs/>
          <w:sz w:val="20"/>
          <w:szCs w:val="20"/>
        </w:rPr>
        <w:t xml:space="preserve">, que no se presenta durante los siguientes meses del año 2019.  </w:t>
      </w:r>
    </w:p>
    <w:p w14:paraId="21E79709" w14:textId="691B4DFB" w:rsidR="005F2160" w:rsidRPr="003C7E68" w:rsidRDefault="00B3100B" w:rsidP="005F2160">
      <w:pPr>
        <w:rPr>
          <w:b/>
          <w:bCs/>
        </w:rPr>
      </w:pPr>
      <w:r>
        <w:rPr>
          <w:b/>
          <w:bCs/>
        </w:rPr>
        <w:t xml:space="preserve">Análisis de la Comisión </w:t>
      </w:r>
    </w:p>
    <w:p w14:paraId="7BDE53B3" w14:textId="4E05FF12" w:rsidR="00130A47" w:rsidRDefault="00130A47" w:rsidP="00130A47">
      <w:r>
        <w:t>De acuerdo con e</w:t>
      </w:r>
      <w:r w:rsidRPr="00000198">
        <w:t>l numeral 7.3.7.2 del anexo general de la Resolución CREG 015 de 2018</w:t>
      </w:r>
      <w:r>
        <w:t xml:space="preserve">, para determinar la variable </w:t>
      </w:r>
      <w:r w:rsidRPr="00000198">
        <w:rPr>
          <w:i/>
          <w:iCs/>
        </w:rPr>
        <w:t>ESVFC</w:t>
      </w:r>
      <w:r>
        <w:t xml:space="preserve"> se deben considerar </w:t>
      </w:r>
      <w:r w:rsidRPr="00000198">
        <w:t>la</w:t>
      </w:r>
      <w:r>
        <w:t>s</w:t>
      </w:r>
      <w:r w:rsidRPr="00000198">
        <w:t xml:space="preserve"> venta</w:t>
      </w:r>
      <w:r>
        <w:t>s</w:t>
      </w:r>
      <w:r w:rsidRPr="00000198">
        <w:t xml:space="preserve"> de energía a usuarios no regulados de todos los comercializadores del mercado</w:t>
      </w:r>
      <w:r w:rsidR="008C066D">
        <w:t>,</w:t>
      </w:r>
      <w:r w:rsidRPr="00000198">
        <w:t xml:space="preserve"> y de las de usuarios regulados de los comercializadores distintos al incumbente</w:t>
      </w:r>
      <w:r>
        <w:t>.</w:t>
      </w:r>
    </w:p>
    <w:p w14:paraId="0841E484" w14:textId="32E586DB" w:rsidR="005F2160" w:rsidRDefault="00130A47" w:rsidP="005F2160">
      <w:r>
        <w:t>S</w:t>
      </w:r>
      <w:r w:rsidR="005F2160">
        <w:t xml:space="preserve">e </w:t>
      </w:r>
      <w:r>
        <w:t xml:space="preserve">verificó </w:t>
      </w:r>
      <w:r w:rsidR="005F2160">
        <w:t>que</w:t>
      </w:r>
      <w:r>
        <w:t xml:space="preserve"> en la información suministrada por el LAC y utilizada por la Comisión para la expedición de la Resolución CREG 025 de 2021</w:t>
      </w:r>
      <w:r w:rsidR="008C066D">
        <w:t>,</w:t>
      </w:r>
      <w:r>
        <w:t xml:space="preserve"> la frontera con código </w:t>
      </w:r>
      <w:r w:rsidRPr="005F2160">
        <w:t>Frt</w:t>
      </w:r>
      <w:r>
        <w:t xml:space="preserve"> </w:t>
      </w:r>
      <w:r w:rsidRPr="005F2160">
        <w:t>31021</w:t>
      </w:r>
      <w:r>
        <w:t xml:space="preserve"> corresponde a un usuario no regulado</w:t>
      </w:r>
      <w:r w:rsidR="008C066D">
        <w:t>,</w:t>
      </w:r>
      <w:r>
        <w:t xml:space="preserve"> y </w:t>
      </w:r>
      <w:r w:rsidR="005F2160">
        <w:t>tiene reportadas ventas únicamente para el p</w:t>
      </w:r>
      <w:r w:rsidR="0061198C">
        <w:t>eríodo</w:t>
      </w:r>
      <w:r w:rsidR="005F2160">
        <w:t xml:space="preserve"> enero a mayo de 2019</w:t>
      </w:r>
      <w:r w:rsidR="00000198">
        <w:t xml:space="preserve">. </w:t>
      </w:r>
    </w:p>
    <w:p w14:paraId="5838958D" w14:textId="2A734804" w:rsidR="00130A47" w:rsidRDefault="00130A47" w:rsidP="003C7E68">
      <w:r>
        <w:t>Adicionalmente</w:t>
      </w:r>
      <w:r w:rsidR="008C066D">
        <w:t>,</w:t>
      </w:r>
      <w:r>
        <w:t xml:space="preserve"> se verificó que los flujos de esta frontera fueron considerados de acuerdo con la metodología.</w:t>
      </w:r>
    </w:p>
    <w:p w14:paraId="5FAE8DA2" w14:textId="239E8DBB" w:rsidR="00000198" w:rsidRDefault="00130A47" w:rsidP="003C7E68">
      <w:r>
        <w:t>C</w:t>
      </w:r>
      <w:r w:rsidR="00000198">
        <w:t>on base en lo anterior</w:t>
      </w:r>
      <w:r w:rsidR="008C066D">
        <w:t>,</w:t>
      </w:r>
      <w:r w:rsidR="00000198">
        <w:t xml:space="preserve"> no se encuentran diferencias en la aplicación de la metodología que requieran un ajuste en el valor aprobado.</w:t>
      </w:r>
    </w:p>
    <w:p w14:paraId="11D631EE" w14:textId="6947596B" w:rsidR="00B3100B" w:rsidRDefault="00B3100B" w:rsidP="00B3100B">
      <w:pPr>
        <w:rPr>
          <w:b/>
          <w:bCs/>
        </w:rPr>
      </w:pPr>
      <w:r>
        <w:rPr>
          <w:b/>
          <w:bCs/>
        </w:rPr>
        <w:t xml:space="preserve">Quinta </w:t>
      </w:r>
      <w:r w:rsidRPr="007654F3">
        <w:rPr>
          <w:b/>
          <w:bCs/>
        </w:rPr>
        <w:t>solicitud</w:t>
      </w:r>
      <w:r>
        <w:rPr>
          <w:b/>
          <w:bCs/>
        </w:rPr>
        <w:t>, numeral 4</w:t>
      </w:r>
    </w:p>
    <w:p w14:paraId="614639EC" w14:textId="77777777" w:rsidR="00B3100B" w:rsidRPr="00FE775A" w:rsidRDefault="00B3100B" w:rsidP="008C066D">
      <w:pPr>
        <w:spacing w:before="60" w:after="60"/>
        <w:ind w:left="284"/>
        <w:rPr>
          <w:i/>
          <w:iCs/>
          <w:sz w:val="20"/>
          <w:szCs w:val="20"/>
        </w:rPr>
      </w:pPr>
      <w:r w:rsidRPr="00FE775A">
        <w:rPr>
          <w:i/>
          <w:iCs/>
          <w:sz w:val="20"/>
          <w:szCs w:val="20"/>
        </w:rPr>
        <w:t xml:space="preserve">QUINTO: Modificar el artículo 16 de la Resolución CREG 025 de 2021 en el siguiente sentido: </w:t>
      </w:r>
    </w:p>
    <w:p w14:paraId="5E28F0FE" w14:textId="77777777" w:rsidR="00B3100B" w:rsidRDefault="00B3100B" w:rsidP="008C066D">
      <w:pPr>
        <w:spacing w:before="60" w:after="60"/>
        <w:ind w:left="284"/>
        <w:rPr>
          <w:i/>
          <w:iCs/>
          <w:sz w:val="20"/>
          <w:szCs w:val="20"/>
        </w:rPr>
      </w:pPr>
      <w:r w:rsidRPr="00FE775A">
        <w:rPr>
          <w:i/>
          <w:iCs/>
          <w:sz w:val="20"/>
          <w:szCs w:val="20"/>
        </w:rPr>
        <w:t xml:space="preserve">1. Ajustar el índice PTj,10 con las diferencias identificadas en las fuentes de información, considerando: </w:t>
      </w:r>
    </w:p>
    <w:p w14:paraId="498C2E6F" w14:textId="3F7DBB0B" w:rsidR="00B3100B" w:rsidRDefault="00B3100B" w:rsidP="008C066D">
      <w:pPr>
        <w:spacing w:before="60" w:after="60"/>
        <w:ind w:left="284"/>
        <w:rPr>
          <w:i/>
          <w:iCs/>
          <w:sz w:val="20"/>
          <w:szCs w:val="20"/>
        </w:rPr>
      </w:pPr>
      <w:r>
        <w:rPr>
          <w:i/>
          <w:iCs/>
          <w:sz w:val="20"/>
          <w:szCs w:val="20"/>
        </w:rPr>
        <w:t xml:space="preserve">(…) </w:t>
      </w:r>
      <w:r w:rsidRPr="00FE775A">
        <w:rPr>
          <w:i/>
          <w:iCs/>
          <w:sz w:val="20"/>
          <w:szCs w:val="20"/>
        </w:rPr>
        <w:t xml:space="preserve">• Validar y corregir las ventas a usuarios del comercializador incumbente, donde se observa una variación importante. 2. </w:t>
      </w:r>
    </w:p>
    <w:p w14:paraId="0D713B52" w14:textId="77777777" w:rsidR="00B3100B" w:rsidRDefault="00B3100B" w:rsidP="008C066D">
      <w:pPr>
        <w:spacing w:before="60" w:after="60"/>
        <w:ind w:left="284"/>
        <w:rPr>
          <w:i/>
          <w:iCs/>
          <w:sz w:val="20"/>
          <w:szCs w:val="20"/>
        </w:rPr>
      </w:pPr>
      <w:r w:rsidRPr="00EE4E97">
        <w:rPr>
          <w:i/>
          <w:iCs/>
          <w:sz w:val="20"/>
          <w:szCs w:val="20"/>
        </w:rPr>
        <w:t>6. En las ventas a usuarios regulados del comercializador incumbente, sobre las cuales la Comisión en el documento CREG 018 de 2021 informa que empleó el consumo facturado y reportado al SUI, considerando los ajustes de facturación solicitados por el OR, relacionados con consumo anulado y reliquidado, se observa diferencias con los valores que dispone CaribeMar en los niveles de tensión 3 y 2. Los valores utilizados por la Comisión en los niveles citados son inferiores a los de CaribeMar. En la Tabla 22 se observan las diferencias entre las dos fuentes de información.</w:t>
      </w:r>
    </w:p>
    <w:p w14:paraId="644EB58F" w14:textId="0D15548D" w:rsidR="009124D7" w:rsidRDefault="00B3100B" w:rsidP="008C066D">
      <w:pPr>
        <w:spacing w:before="60"/>
        <w:ind w:left="284"/>
        <w:jc w:val="center"/>
        <w:rPr>
          <w:i/>
          <w:iCs/>
          <w:sz w:val="20"/>
          <w:szCs w:val="20"/>
        </w:rPr>
      </w:pPr>
      <w:r w:rsidRPr="00EE4E97">
        <w:rPr>
          <w:i/>
          <w:iCs/>
          <w:sz w:val="20"/>
          <w:szCs w:val="20"/>
        </w:rPr>
        <w:t>Tabla 22. Comparativo de ventas a usuarios regulados del comercializador incumbente</w:t>
      </w:r>
    </w:p>
    <w:tbl>
      <w:tblPr>
        <w:tblStyle w:val="Tablaconcuadrcula"/>
        <w:tblW w:w="0" w:type="auto"/>
        <w:jc w:val="center"/>
        <w:tblLook w:val="04A0" w:firstRow="1" w:lastRow="0" w:firstColumn="1" w:lastColumn="0" w:noHBand="0" w:noVBand="1"/>
      </w:tblPr>
      <w:tblGrid>
        <w:gridCol w:w="1485"/>
        <w:gridCol w:w="1613"/>
        <w:gridCol w:w="1890"/>
        <w:gridCol w:w="1390"/>
        <w:gridCol w:w="1613"/>
      </w:tblGrid>
      <w:tr w:rsidR="009124D7" w:rsidRPr="00BE3D60" w14:paraId="538DD9BE" w14:textId="77777777" w:rsidTr="00C86E92">
        <w:trPr>
          <w:trHeight w:val="170"/>
          <w:tblHeader/>
          <w:jc w:val="center"/>
        </w:trPr>
        <w:tc>
          <w:tcPr>
            <w:tcW w:w="0" w:type="auto"/>
            <w:vMerge w:val="restart"/>
          </w:tcPr>
          <w:p w14:paraId="1272DE62" w14:textId="0B0843EF" w:rsidR="009124D7" w:rsidRPr="008516F1" w:rsidRDefault="009124D7" w:rsidP="008C066D">
            <w:pPr>
              <w:spacing w:before="100" w:beforeAutospacing="1" w:after="100" w:afterAutospacing="1"/>
              <w:ind w:left="284"/>
              <w:rPr>
                <w:i/>
                <w:iCs/>
                <w:sz w:val="18"/>
                <w:szCs w:val="18"/>
              </w:rPr>
            </w:pPr>
            <w:r w:rsidRPr="008516F1">
              <w:rPr>
                <w:i/>
                <w:iCs/>
                <w:sz w:val="18"/>
                <w:szCs w:val="18"/>
              </w:rPr>
              <w:t>Variable</w:t>
            </w:r>
          </w:p>
        </w:tc>
        <w:tc>
          <w:tcPr>
            <w:tcW w:w="0" w:type="auto"/>
            <w:gridSpan w:val="4"/>
          </w:tcPr>
          <w:p w14:paraId="44BAF676" w14:textId="1BA95C96" w:rsidR="009124D7" w:rsidRPr="008516F1" w:rsidRDefault="009124D7" w:rsidP="008C066D">
            <w:pPr>
              <w:spacing w:before="100" w:beforeAutospacing="1" w:after="100" w:afterAutospacing="1"/>
              <w:ind w:left="284"/>
              <w:jc w:val="center"/>
              <w:rPr>
                <w:i/>
                <w:iCs/>
                <w:sz w:val="18"/>
                <w:szCs w:val="18"/>
              </w:rPr>
            </w:pPr>
            <w:r w:rsidRPr="008516F1">
              <w:rPr>
                <w:i/>
                <w:iCs/>
                <w:sz w:val="18"/>
                <w:szCs w:val="18"/>
              </w:rPr>
              <w:t>Promedio mes (GWh/mes)</w:t>
            </w:r>
          </w:p>
        </w:tc>
      </w:tr>
      <w:tr w:rsidR="009124D7" w:rsidRPr="00BE3D60" w14:paraId="0B24C534" w14:textId="77777777" w:rsidTr="00BE3D60">
        <w:trPr>
          <w:trHeight w:val="170"/>
          <w:jc w:val="center"/>
        </w:trPr>
        <w:tc>
          <w:tcPr>
            <w:tcW w:w="0" w:type="auto"/>
            <w:vMerge/>
          </w:tcPr>
          <w:p w14:paraId="03E735CE" w14:textId="77777777" w:rsidR="009124D7" w:rsidRPr="008516F1" w:rsidRDefault="009124D7" w:rsidP="008C066D">
            <w:pPr>
              <w:spacing w:before="100" w:beforeAutospacing="1" w:after="100" w:afterAutospacing="1"/>
              <w:ind w:left="284"/>
              <w:rPr>
                <w:i/>
                <w:iCs/>
                <w:sz w:val="18"/>
                <w:szCs w:val="18"/>
              </w:rPr>
            </w:pPr>
          </w:p>
        </w:tc>
        <w:tc>
          <w:tcPr>
            <w:tcW w:w="0" w:type="auto"/>
          </w:tcPr>
          <w:p w14:paraId="5807C2E7" w14:textId="7C14EE77" w:rsidR="009124D7" w:rsidRPr="008516F1" w:rsidRDefault="009124D7" w:rsidP="008C066D">
            <w:pPr>
              <w:spacing w:before="100" w:beforeAutospacing="1" w:after="100" w:afterAutospacing="1"/>
              <w:ind w:left="284"/>
              <w:rPr>
                <w:i/>
                <w:iCs/>
                <w:sz w:val="18"/>
                <w:szCs w:val="18"/>
              </w:rPr>
            </w:pPr>
            <w:r w:rsidRPr="008516F1">
              <w:rPr>
                <w:i/>
                <w:iCs/>
                <w:sz w:val="18"/>
                <w:szCs w:val="18"/>
              </w:rPr>
              <w:t>Caribemar</w:t>
            </w:r>
          </w:p>
        </w:tc>
        <w:tc>
          <w:tcPr>
            <w:tcW w:w="0" w:type="auto"/>
          </w:tcPr>
          <w:p w14:paraId="3CCCF20F" w14:textId="34730BD6" w:rsidR="009124D7" w:rsidRPr="008516F1" w:rsidRDefault="009124D7" w:rsidP="008C066D">
            <w:pPr>
              <w:spacing w:before="100" w:beforeAutospacing="1" w:after="100" w:afterAutospacing="1"/>
              <w:ind w:left="284"/>
              <w:rPr>
                <w:i/>
                <w:iCs/>
                <w:sz w:val="18"/>
                <w:szCs w:val="18"/>
              </w:rPr>
            </w:pPr>
            <w:r w:rsidRPr="008516F1">
              <w:rPr>
                <w:i/>
                <w:iCs/>
                <w:sz w:val="18"/>
                <w:szCs w:val="18"/>
              </w:rPr>
              <w:t>CREG 025/21</w:t>
            </w:r>
          </w:p>
        </w:tc>
        <w:tc>
          <w:tcPr>
            <w:tcW w:w="0" w:type="auto"/>
          </w:tcPr>
          <w:p w14:paraId="1D6EF0A2" w14:textId="25817CDF" w:rsidR="009124D7" w:rsidRPr="008516F1" w:rsidRDefault="009124D7" w:rsidP="008C066D">
            <w:pPr>
              <w:spacing w:before="100" w:beforeAutospacing="1" w:after="100" w:afterAutospacing="1"/>
              <w:ind w:left="284"/>
              <w:rPr>
                <w:i/>
                <w:iCs/>
                <w:sz w:val="18"/>
                <w:szCs w:val="18"/>
              </w:rPr>
            </w:pPr>
            <w:r w:rsidRPr="008516F1">
              <w:rPr>
                <w:i/>
                <w:iCs/>
                <w:sz w:val="18"/>
                <w:szCs w:val="18"/>
              </w:rPr>
              <w:t>Diferencia</w:t>
            </w:r>
          </w:p>
        </w:tc>
        <w:tc>
          <w:tcPr>
            <w:tcW w:w="0" w:type="auto"/>
          </w:tcPr>
          <w:p w14:paraId="44123FC2" w14:textId="0C01CE52" w:rsidR="009124D7" w:rsidRPr="008516F1" w:rsidRDefault="009124D7" w:rsidP="008C066D">
            <w:pPr>
              <w:spacing w:before="100" w:beforeAutospacing="1" w:after="100" w:afterAutospacing="1"/>
              <w:ind w:left="284"/>
              <w:rPr>
                <w:i/>
                <w:iCs/>
                <w:sz w:val="18"/>
                <w:szCs w:val="18"/>
              </w:rPr>
            </w:pPr>
            <w:r w:rsidRPr="008516F1">
              <w:rPr>
                <w:i/>
                <w:iCs/>
                <w:sz w:val="18"/>
                <w:szCs w:val="18"/>
              </w:rPr>
              <w:t>Variación (%)</w:t>
            </w:r>
          </w:p>
        </w:tc>
      </w:tr>
      <w:tr w:rsidR="009124D7" w:rsidRPr="00BE3D60" w14:paraId="0400C24F" w14:textId="77777777" w:rsidTr="00BE3D60">
        <w:trPr>
          <w:trHeight w:val="170"/>
          <w:jc w:val="center"/>
        </w:trPr>
        <w:tc>
          <w:tcPr>
            <w:tcW w:w="0" w:type="auto"/>
          </w:tcPr>
          <w:p w14:paraId="1CAE198F" w14:textId="3EF275D0" w:rsidR="009124D7" w:rsidRPr="008516F1" w:rsidRDefault="009124D7" w:rsidP="008C066D">
            <w:pPr>
              <w:spacing w:before="100" w:beforeAutospacing="1" w:after="100" w:afterAutospacing="1"/>
              <w:ind w:left="284"/>
              <w:rPr>
                <w:i/>
                <w:iCs/>
                <w:sz w:val="18"/>
                <w:szCs w:val="18"/>
              </w:rPr>
            </w:pPr>
            <w:r w:rsidRPr="008516F1">
              <w:rPr>
                <w:i/>
                <w:iCs/>
                <w:sz w:val="18"/>
                <w:szCs w:val="18"/>
              </w:rPr>
              <w:t>EsVSFC</w:t>
            </w:r>
            <w:r w:rsidRPr="008516F1">
              <w:rPr>
                <w:i/>
                <w:iCs/>
                <w:sz w:val="18"/>
                <w:szCs w:val="18"/>
                <w:vertAlign w:val="subscript"/>
              </w:rPr>
              <w:t>j,3,m</w:t>
            </w:r>
          </w:p>
        </w:tc>
        <w:tc>
          <w:tcPr>
            <w:tcW w:w="0" w:type="auto"/>
          </w:tcPr>
          <w:p w14:paraId="5E17493B" w14:textId="7E43E86D" w:rsidR="009124D7" w:rsidRPr="008516F1" w:rsidRDefault="009124D7" w:rsidP="008C066D">
            <w:pPr>
              <w:spacing w:before="100" w:beforeAutospacing="1" w:after="100" w:afterAutospacing="1"/>
              <w:ind w:left="284"/>
              <w:jc w:val="right"/>
              <w:rPr>
                <w:i/>
                <w:iCs/>
                <w:sz w:val="18"/>
                <w:szCs w:val="18"/>
              </w:rPr>
            </w:pPr>
            <w:r w:rsidRPr="008516F1">
              <w:rPr>
                <w:i/>
                <w:iCs/>
                <w:sz w:val="18"/>
                <w:szCs w:val="18"/>
              </w:rPr>
              <w:t>3.131.897</w:t>
            </w:r>
          </w:p>
        </w:tc>
        <w:tc>
          <w:tcPr>
            <w:tcW w:w="0" w:type="auto"/>
          </w:tcPr>
          <w:p w14:paraId="3E6144CF" w14:textId="5526526B" w:rsidR="009124D7" w:rsidRPr="008516F1" w:rsidRDefault="00BE3D60" w:rsidP="008C066D">
            <w:pPr>
              <w:spacing w:before="100" w:beforeAutospacing="1" w:after="100" w:afterAutospacing="1"/>
              <w:ind w:left="284"/>
              <w:jc w:val="right"/>
              <w:rPr>
                <w:i/>
                <w:iCs/>
                <w:sz w:val="18"/>
                <w:szCs w:val="18"/>
              </w:rPr>
            </w:pPr>
            <w:r w:rsidRPr="008516F1">
              <w:rPr>
                <w:i/>
                <w:iCs/>
                <w:sz w:val="18"/>
                <w:szCs w:val="18"/>
              </w:rPr>
              <w:t>3.165.246,75</w:t>
            </w:r>
          </w:p>
        </w:tc>
        <w:tc>
          <w:tcPr>
            <w:tcW w:w="0" w:type="auto"/>
          </w:tcPr>
          <w:p w14:paraId="34999403" w14:textId="44BDE15D" w:rsidR="009124D7" w:rsidRPr="008516F1" w:rsidRDefault="00BE3D60" w:rsidP="008C066D">
            <w:pPr>
              <w:spacing w:before="100" w:beforeAutospacing="1" w:after="100" w:afterAutospacing="1"/>
              <w:ind w:left="284"/>
              <w:jc w:val="right"/>
              <w:rPr>
                <w:i/>
                <w:iCs/>
                <w:sz w:val="18"/>
                <w:szCs w:val="18"/>
              </w:rPr>
            </w:pPr>
            <w:r w:rsidRPr="008516F1">
              <w:rPr>
                <w:i/>
                <w:iCs/>
                <w:sz w:val="18"/>
                <w:szCs w:val="18"/>
              </w:rPr>
              <w:t>-33.350</w:t>
            </w:r>
          </w:p>
        </w:tc>
        <w:tc>
          <w:tcPr>
            <w:tcW w:w="0" w:type="auto"/>
          </w:tcPr>
          <w:p w14:paraId="02D016A1" w14:textId="1A4FCBCB" w:rsidR="009124D7" w:rsidRPr="008516F1" w:rsidRDefault="00BE3D60" w:rsidP="008C066D">
            <w:pPr>
              <w:spacing w:before="100" w:beforeAutospacing="1" w:after="100" w:afterAutospacing="1"/>
              <w:ind w:left="284"/>
              <w:jc w:val="right"/>
              <w:rPr>
                <w:i/>
                <w:iCs/>
                <w:sz w:val="18"/>
                <w:szCs w:val="18"/>
              </w:rPr>
            </w:pPr>
            <w:r w:rsidRPr="008516F1">
              <w:rPr>
                <w:i/>
                <w:iCs/>
                <w:sz w:val="18"/>
                <w:szCs w:val="18"/>
              </w:rPr>
              <w:t>-1,06%</w:t>
            </w:r>
          </w:p>
        </w:tc>
      </w:tr>
      <w:tr w:rsidR="009124D7" w:rsidRPr="00BE3D60" w14:paraId="0A5A2571" w14:textId="77777777" w:rsidTr="00BE3D60">
        <w:trPr>
          <w:trHeight w:val="170"/>
          <w:jc w:val="center"/>
        </w:trPr>
        <w:tc>
          <w:tcPr>
            <w:tcW w:w="0" w:type="auto"/>
          </w:tcPr>
          <w:p w14:paraId="2C2AFD6F" w14:textId="6E4ACDBE" w:rsidR="009124D7" w:rsidRPr="008516F1" w:rsidRDefault="009124D7" w:rsidP="008C066D">
            <w:pPr>
              <w:spacing w:before="100" w:beforeAutospacing="1" w:after="100" w:afterAutospacing="1"/>
              <w:ind w:left="284"/>
              <w:rPr>
                <w:i/>
                <w:iCs/>
                <w:sz w:val="18"/>
                <w:szCs w:val="18"/>
              </w:rPr>
            </w:pPr>
            <w:r w:rsidRPr="008516F1">
              <w:rPr>
                <w:i/>
                <w:iCs/>
                <w:sz w:val="18"/>
                <w:szCs w:val="18"/>
              </w:rPr>
              <w:t>EsVSFC</w:t>
            </w:r>
            <w:r w:rsidRPr="008516F1">
              <w:rPr>
                <w:i/>
                <w:iCs/>
                <w:sz w:val="18"/>
                <w:szCs w:val="18"/>
                <w:vertAlign w:val="subscript"/>
              </w:rPr>
              <w:t>j,2,m</w:t>
            </w:r>
          </w:p>
        </w:tc>
        <w:tc>
          <w:tcPr>
            <w:tcW w:w="0" w:type="auto"/>
          </w:tcPr>
          <w:p w14:paraId="084966A8" w14:textId="61868BAB" w:rsidR="009124D7" w:rsidRPr="008516F1" w:rsidRDefault="009124D7" w:rsidP="008C066D">
            <w:pPr>
              <w:spacing w:before="100" w:beforeAutospacing="1" w:after="100" w:afterAutospacing="1"/>
              <w:ind w:left="284"/>
              <w:jc w:val="right"/>
              <w:rPr>
                <w:i/>
                <w:iCs/>
                <w:sz w:val="18"/>
                <w:szCs w:val="18"/>
              </w:rPr>
            </w:pPr>
            <w:r w:rsidRPr="008516F1">
              <w:rPr>
                <w:i/>
                <w:iCs/>
                <w:sz w:val="18"/>
                <w:szCs w:val="18"/>
              </w:rPr>
              <w:t>65.537.274</w:t>
            </w:r>
          </w:p>
        </w:tc>
        <w:tc>
          <w:tcPr>
            <w:tcW w:w="0" w:type="auto"/>
          </w:tcPr>
          <w:p w14:paraId="02F3EF5F" w14:textId="39412B0F" w:rsidR="009124D7" w:rsidRPr="008516F1" w:rsidRDefault="00BE3D60" w:rsidP="008C066D">
            <w:pPr>
              <w:spacing w:before="100" w:beforeAutospacing="1" w:after="100" w:afterAutospacing="1"/>
              <w:ind w:left="284"/>
              <w:jc w:val="right"/>
              <w:rPr>
                <w:i/>
                <w:iCs/>
                <w:sz w:val="18"/>
                <w:szCs w:val="18"/>
              </w:rPr>
            </w:pPr>
            <w:r w:rsidRPr="008516F1">
              <w:rPr>
                <w:i/>
                <w:iCs/>
                <w:sz w:val="18"/>
                <w:szCs w:val="18"/>
              </w:rPr>
              <w:t>62.515.048,33</w:t>
            </w:r>
          </w:p>
        </w:tc>
        <w:tc>
          <w:tcPr>
            <w:tcW w:w="0" w:type="auto"/>
          </w:tcPr>
          <w:p w14:paraId="6332D169" w14:textId="479A8C78" w:rsidR="009124D7" w:rsidRPr="008516F1" w:rsidRDefault="00BE3D60" w:rsidP="008C066D">
            <w:pPr>
              <w:spacing w:before="100" w:beforeAutospacing="1" w:after="100" w:afterAutospacing="1"/>
              <w:ind w:left="284"/>
              <w:jc w:val="right"/>
              <w:rPr>
                <w:i/>
                <w:iCs/>
                <w:sz w:val="18"/>
                <w:szCs w:val="18"/>
              </w:rPr>
            </w:pPr>
            <w:r w:rsidRPr="008516F1">
              <w:rPr>
                <w:i/>
                <w:iCs/>
                <w:sz w:val="18"/>
                <w:szCs w:val="18"/>
              </w:rPr>
              <w:t>3.022.226</w:t>
            </w:r>
          </w:p>
        </w:tc>
        <w:tc>
          <w:tcPr>
            <w:tcW w:w="0" w:type="auto"/>
          </w:tcPr>
          <w:p w14:paraId="2F988CB1" w14:textId="7C60801A" w:rsidR="009124D7" w:rsidRPr="008516F1" w:rsidRDefault="00BE3D60" w:rsidP="008C066D">
            <w:pPr>
              <w:spacing w:before="100" w:beforeAutospacing="1" w:after="100" w:afterAutospacing="1"/>
              <w:ind w:left="284"/>
              <w:jc w:val="right"/>
              <w:rPr>
                <w:i/>
                <w:iCs/>
                <w:sz w:val="18"/>
                <w:szCs w:val="18"/>
              </w:rPr>
            </w:pPr>
            <w:r w:rsidRPr="008516F1">
              <w:rPr>
                <w:i/>
                <w:iCs/>
                <w:sz w:val="18"/>
                <w:szCs w:val="18"/>
              </w:rPr>
              <w:t>4,61%</w:t>
            </w:r>
          </w:p>
        </w:tc>
      </w:tr>
      <w:tr w:rsidR="009124D7" w:rsidRPr="00BE3D60" w14:paraId="40A4B8F6" w14:textId="77777777" w:rsidTr="00BE3D60">
        <w:trPr>
          <w:trHeight w:val="64"/>
          <w:jc w:val="center"/>
        </w:trPr>
        <w:tc>
          <w:tcPr>
            <w:tcW w:w="0" w:type="auto"/>
          </w:tcPr>
          <w:p w14:paraId="3F5B09F0" w14:textId="627617C0" w:rsidR="009124D7" w:rsidRPr="008516F1" w:rsidRDefault="009124D7" w:rsidP="008C066D">
            <w:pPr>
              <w:spacing w:before="100" w:beforeAutospacing="1" w:after="100" w:afterAutospacing="1"/>
              <w:ind w:left="284"/>
              <w:rPr>
                <w:i/>
                <w:iCs/>
                <w:sz w:val="18"/>
                <w:szCs w:val="18"/>
              </w:rPr>
            </w:pPr>
            <w:r w:rsidRPr="008516F1">
              <w:rPr>
                <w:i/>
                <w:iCs/>
                <w:sz w:val="18"/>
                <w:szCs w:val="18"/>
              </w:rPr>
              <w:t>EsVSFC</w:t>
            </w:r>
            <w:r w:rsidRPr="008516F1">
              <w:rPr>
                <w:i/>
                <w:iCs/>
                <w:sz w:val="18"/>
                <w:szCs w:val="18"/>
                <w:vertAlign w:val="subscript"/>
              </w:rPr>
              <w:t>j,1,m</w:t>
            </w:r>
          </w:p>
        </w:tc>
        <w:tc>
          <w:tcPr>
            <w:tcW w:w="0" w:type="auto"/>
          </w:tcPr>
          <w:p w14:paraId="22990445" w14:textId="2B4DDF74" w:rsidR="009124D7" w:rsidRPr="008516F1" w:rsidRDefault="009124D7" w:rsidP="008C066D">
            <w:pPr>
              <w:spacing w:before="100" w:beforeAutospacing="1" w:after="100" w:afterAutospacing="1"/>
              <w:ind w:left="284"/>
              <w:jc w:val="right"/>
              <w:rPr>
                <w:i/>
                <w:iCs/>
                <w:sz w:val="18"/>
                <w:szCs w:val="18"/>
              </w:rPr>
            </w:pPr>
            <w:r w:rsidRPr="008516F1">
              <w:rPr>
                <w:i/>
                <w:iCs/>
                <w:sz w:val="18"/>
                <w:szCs w:val="18"/>
              </w:rPr>
              <w:t>342.091.963</w:t>
            </w:r>
          </w:p>
        </w:tc>
        <w:tc>
          <w:tcPr>
            <w:tcW w:w="0" w:type="auto"/>
          </w:tcPr>
          <w:p w14:paraId="63459ADD" w14:textId="58F8BA22" w:rsidR="009124D7" w:rsidRPr="008516F1" w:rsidRDefault="00BE3D60" w:rsidP="008C066D">
            <w:pPr>
              <w:spacing w:before="100" w:beforeAutospacing="1" w:after="100" w:afterAutospacing="1"/>
              <w:ind w:left="284"/>
              <w:jc w:val="right"/>
              <w:rPr>
                <w:i/>
                <w:iCs/>
                <w:sz w:val="18"/>
                <w:szCs w:val="18"/>
              </w:rPr>
            </w:pPr>
            <w:r w:rsidRPr="008516F1">
              <w:rPr>
                <w:i/>
                <w:iCs/>
                <w:sz w:val="18"/>
                <w:szCs w:val="18"/>
              </w:rPr>
              <w:t>336.325.389,92</w:t>
            </w:r>
          </w:p>
        </w:tc>
        <w:tc>
          <w:tcPr>
            <w:tcW w:w="0" w:type="auto"/>
          </w:tcPr>
          <w:p w14:paraId="0052FB49" w14:textId="46DDD441" w:rsidR="009124D7" w:rsidRPr="008516F1" w:rsidRDefault="00BE3D60" w:rsidP="008C066D">
            <w:pPr>
              <w:spacing w:before="100" w:beforeAutospacing="1" w:after="100" w:afterAutospacing="1"/>
              <w:ind w:left="284"/>
              <w:jc w:val="right"/>
              <w:rPr>
                <w:i/>
                <w:iCs/>
                <w:sz w:val="18"/>
                <w:szCs w:val="18"/>
              </w:rPr>
            </w:pPr>
            <w:r w:rsidRPr="008516F1">
              <w:rPr>
                <w:i/>
                <w:iCs/>
                <w:sz w:val="18"/>
                <w:szCs w:val="18"/>
              </w:rPr>
              <w:t>5.766.573</w:t>
            </w:r>
          </w:p>
        </w:tc>
        <w:tc>
          <w:tcPr>
            <w:tcW w:w="0" w:type="auto"/>
          </w:tcPr>
          <w:p w14:paraId="0A7EE1AF" w14:textId="7A00C809" w:rsidR="009124D7" w:rsidRPr="008516F1" w:rsidRDefault="00BE3D60" w:rsidP="008C066D">
            <w:pPr>
              <w:spacing w:before="100" w:beforeAutospacing="1" w:after="100" w:afterAutospacing="1"/>
              <w:ind w:left="284"/>
              <w:jc w:val="right"/>
              <w:rPr>
                <w:i/>
                <w:iCs/>
                <w:sz w:val="18"/>
                <w:szCs w:val="18"/>
              </w:rPr>
            </w:pPr>
            <w:r w:rsidRPr="008516F1">
              <w:rPr>
                <w:i/>
                <w:iCs/>
                <w:sz w:val="18"/>
                <w:szCs w:val="18"/>
              </w:rPr>
              <w:t>1,69%</w:t>
            </w:r>
          </w:p>
        </w:tc>
      </w:tr>
    </w:tbl>
    <w:p w14:paraId="45D2F347" w14:textId="70CDEC4C" w:rsidR="00B3100B" w:rsidRDefault="00BE3D60" w:rsidP="00227F71">
      <w:r>
        <w:rPr>
          <w:b/>
          <w:bCs/>
        </w:rPr>
        <w:t>Análisis de la Comisión</w:t>
      </w:r>
    </w:p>
    <w:p w14:paraId="77420587" w14:textId="0F01E569" w:rsidR="00CA04DF" w:rsidRDefault="00CA04DF" w:rsidP="00CA04DF">
      <w:r>
        <w:t xml:space="preserve">Sobre las ventas a usuarios regulados utilizadas en la aprobación de la Resolución CREG 025 de 2021 se empleó la información de consumos disponibles en el SUI en la consulta realizada por esta Comisión en marzo de 2021, la cual considera el </w:t>
      </w:r>
      <w:r w:rsidR="00130A47">
        <w:t xml:space="preserve">último </w:t>
      </w:r>
      <w:r>
        <w:t xml:space="preserve">cambio de información realizado por la empresa.  </w:t>
      </w:r>
    </w:p>
    <w:p w14:paraId="3ADAFA0A" w14:textId="617412B8" w:rsidR="00CA04DF" w:rsidRDefault="00CA04DF" w:rsidP="00CA04DF">
      <w:r>
        <w:t xml:space="preserve">En relación con la información correspondiente a los campos 36 y 39 de los formatos 2 y 3 de la </w:t>
      </w:r>
      <w:r w:rsidRPr="00FA45B8">
        <w:t>Resolución SSPD 20102400008055, modificada por Resolución SSPD 20121300017645</w:t>
      </w:r>
      <w:r>
        <w:t xml:space="preserve">, se </w:t>
      </w:r>
      <w:r w:rsidR="00130A47">
        <w:t xml:space="preserve">verificó </w:t>
      </w:r>
      <w:r>
        <w:t xml:space="preserve">que </w:t>
      </w:r>
      <w:r w:rsidRPr="00D25E16">
        <w:t xml:space="preserve">la Comisión empleó el consumo facturado y reportado al SUI, considerando los ajustes de facturación solicitados por el OR, relacionados con </w:t>
      </w:r>
      <w:r>
        <w:t xml:space="preserve">el </w:t>
      </w:r>
      <w:r w:rsidRPr="00D25E16">
        <w:t>consumo anulado y reliquidado</w:t>
      </w:r>
      <w:r>
        <w:t>.</w:t>
      </w:r>
    </w:p>
    <w:p w14:paraId="7DB71DFB" w14:textId="6E7CA713" w:rsidR="00CA04DF" w:rsidRDefault="00CA04DF" w:rsidP="00CA04DF">
      <w:r>
        <w:t xml:space="preserve">Sobre este punto se verificó que los valores empleados para determinar la variable </w:t>
      </w:r>
      <w:r w:rsidRPr="00D25E16">
        <w:rPr>
          <w:i/>
          <w:iCs/>
        </w:rPr>
        <w:t>EsVSFC</w:t>
      </w:r>
      <w:r w:rsidRPr="00D25E16">
        <w:rPr>
          <w:i/>
          <w:iCs/>
          <w:vertAlign w:val="subscript"/>
        </w:rPr>
        <w:t>j,</w:t>
      </w:r>
      <w:r>
        <w:rPr>
          <w:i/>
          <w:iCs/>
          <w:vertAlign w:val="subscript"/>
        </w:rPr>
        <w:t>n</w:t>
      </w:r>
      <w:r w:rsidRPr="00D25E16">
        <w:rPr>
          <w:i/>
          <w:iCs/>
          <w:vertAlign w:val="subscript"/>
        </w:rPr>
        <w:t>,m</w:t>
      </w:r>
      <w:r>
        <w:t xml:space="preserve"> consideraran el ajuste del campo tipo de facturación, encontrando que en los cálculos realizados se suman los consumos reportados en los campos 13 y 14 de los formatos 2 y 3 de la </w:t>
      </w:r>
      <w:r w:rsidRPr="00FA45B8">
        <w:t>Resolución SSPD 20102400008055</w:t>
      </w:r>
      <w:r w:rsidR="008C066D">
        <w:t>,</w:t>
      </w:r>
      <w:r>
        <w:t xml:space="preserve"> cuyo tipo de facturación corresponde a</w:t>
      </w:r>
      <w:r w:rsidR="00130A47">
        <w:t xml:space="preserve"> </w:t>
      </w:r>
      <w:r>
        <w:t>inicial</w:t>
      </w:r>
      <w:r w:rsidR="00130A47">
        <w:t xml:space="preserve"> (</w:t>
      </w:r>
      <w:r>
        <w:t>I</w:t>
      </w:r>
      <w:r w:rsidR="00130A47">
        <w:t>)</w:t>
      </w:r>
      <w:r>
        <w:t xml:space="preserve"> y liquidados/refacturados</w:t>
      </w:r>
      <w:r w:rsidR="00130A47">
        <w:t xml:space="preserve"> (L)</w:t>
      </w:r>
      <w:r>
        <w:t xml:space="preserve"> en los campos 36 y 39 de dicha resolución</w:t>
      </w:r>
      <w:r w:rsidR="008C066D">
        <w:t>,</w:t>
      </w:r>
      <w:r>
        <w:t xml:space="preserve"> y que los consumos reportados en los campos 2 y 3 cuyo tipo de facturación corresponde a anulados (A), en los campos 36 y 39 fueron descontados, como se observa en la siguiente tabla:</w:t>
      </w:r>
    </w:p>
    <w:tbl>
      <w:tblPr>
        <w:tblW w:w="7485" w:type="dxa"/>
        <w:jc w:val="center"/>
        <w:tblCellMar>
          <w:left w:w="70" w:type="dxa"/>
          <w:right w:w="70" w:type="dxa"/>
        </w:tblCellMar>
        <w:tblLook w:val="04A0" w:firstRow="1" w:lastRow="0" w:firstColumn="1" w:lastColumn="0" w:noHBand="0" w:noVBand="1"/>
      </w:tblPr>
      <w:tblGrid>
        <w:gridCol w:w="1277"/>
        <w:gridCol w:w="1559"/>
        <w:gridCol w:w="1276"/>
        <w:gridCol w:w="1825"/>
        <w:gridCol w:w="1548"/>
      </w:tblGrid>
      <w:tr w:rsidR="00CA04DF" w:rsidRPr="00BE3D60" w14:paraId="33198B86" w14:textId="77777777" w:rsidTr="00C86E92">
        <w:trPr>
          <w:trHeight w:val="292"/>
          <w:tblHeader/>
          <w:jc w:val="center"/>
        </w:trPr>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6D43FD" w14:textId="01A265DB" w:rsidR="00BE3D60" w:rsidRPr="00BE3D60" w:rsidRDefault="00BE3D60" w:rsidP="00CA04DF">
            <w:pPr>
              <w:spacing w:before="0" w:after="0"/>
              <w:jc w:val="center"/>
              <w:rPr>
                <w:b/>
                <w:bCs/>
                <w:i/>
                <w:iCs/>
                <w:color w:val="000000"/>
                <w:sz w:val="18"/>
                <w:szCs w:val="18"/>
                <w:lang w:val="es-CO" w:eastAsia="es-CO"/>
              </w:rPr>
            </w:pPr>
            <w:r w:rsidRPr="00BE3D60">
              <w:rPr>
                <w:b/>
                <w:bCs/>
                <w:i/>
                <w:iCs/>
                <w:color w:val="000000"/>
                <w:sz w:val="18"/>
                <w:szCs w:val="18"/>
                <w:lang w:val="es-CO" w:eastAsia="es-CO"/>
              </w:rPr>
              <w:t>P</w:t>
            </w:r>
            <w:r w:rsidR="0061198C">
              <w:rPr>
                <w:b/>
                <w:bCs/>
                <w:i/>
                <w:iCs/>
                <w:color w:val="000000"/>
                <w:sz w:val="18"/>
                <w:szCs w:val="18"/>
                <w:lang w:val="es-CO" w:eastAsia="es-CO"/>
              </w:rPr>
              <w:t>eríodo</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7CD632F3" w14:textId="1559490B" w:rsidR="00BE3D60" w:rsidRPr="00BE3D60" w:rsidRDefault="00BE3D60" w:rsidP="00CA04DF">
            <w:pPr>
              <w:spacing w:before="0" w:after="0"/>
              <w:jc w:val="center"/>
              <w:rPr>
                <w:b/>
                <w:bCs/>
                <w:i/>
                <w:iCs/>
                <w:color w:val="000000"/>
                <w:sz w:val="18"/>
                <w:szCs w:val="18"/>
                <w:lang w:val="es-CO" w:eastAsia="es-CO"/>
              </w:rPr>
            </w:pPr>
            <w:r w:rsidRPr="00BE3D60">
              <w:rPr>
                <w:b/>
                <w:bCs/>
                <w:i/>
                <w:iCs/>
                <w:color w:val="000000"/>
                <w:sz w:val="18"/>
                <w:szCs w:val="18"/>
                <w:lang w:val="es-CO" w:eastAsia="es-CO"/>
              </w:rPr>
              <w:t xml:space="preserve">Consumo </w:t>
            </w:r>
            <w:r w:rsidR="00CA04DF">
              <w:rPr>
                <w:b/>
                <w:bCs/>
                <w:i/>
                <w:iCs/>
                <w:color w:val="000000"/>
                <w:sz w:val="18"/>
                <w:szCs w:val="18"/>
                <w:lang w:val="es-CO" w:eastAsia="es-CO"/>
              </w:rPr>
              <w:t>inicial (</w:t>
            </w:r>
            <w:r w:rsidRPr="00BE3D60">
              <w:rPr>
                <w:b/>
                <w:bCs/>
                <w:i/>
                <w:iCs/>
                <w:color w:val="000000"/>
                <w:sz w:val="18"/>
                <w:szCs w:val="18"/>
                <w:lang w:val="es-CO" w:eastAsia="es-CO"/>
              </w:rPr>
              <w:t>I</w:t>
            </w:r>
            <w:r w:rsidR="00CA04DF">
              <w:rPr>
                <w:b/>
                <w:bCs/>
                <w:i/>
                <w:iCs/>
                <w:color w:val="000000"/>
                <w:sz w:val="18"/>
                <w:szCs w:val="18"/>
                <w:lang w:val="es-CO" w:eastAsia="es-CO"/>
              </w:rPr>
              <w:t>)</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406D7FA6" w14:textId="47420CF3" w:rsidR="00BE3D60" w:rsidRPr="00BE3D60" w:rsidRDefault="00BE3D60" w:rsidP="00CA04DF">
            <w:pPr>
              <w:spacing w:before="0" w:after="0"/>
              <w:jc w:val="center"/>
              <w:rPr>
                <w:b/>
                <w:bCs/>
                <w:i/>
                <w:iCs/>
                <w:color w:val="000000"/>
                <w:sz w:val="18"/>
                <w:szCs w:val="18"/>
                <w:lang w:val="es-CO" w:eastAsia="es-CO"/>
              </w:rPr>
            </w:pPr>
            <w:r w:rsidRPr="00BE3D60">
              <w:rPr>
                <w:b/>
                <w:bCs/>
                <w:i/>
                <w:iCs/>
                <w:color w:val="000000"/>
                <w:sz w:val="18"/>
                <w:szCs w:val="18"/>
                <w:lang w:val="es-CO" w:eastAsia="es-CO"/>
              </w:rPr>
              <w:t xml:space="preserve">Consumo </w:t>
            </w:r>
            <w:r w:rsidR="00CA04DF">
              <w:rPr>
                <w:b/>
                <w:bCs/>
                <w:i/>
                <w:iCs/>
                <w:color w:val="000000"/>
                <w:sz w:val="18"/>
                <w:szCs w:val="18"/>
                <w:lang w:val="es-CO" w:eastAsia="es-CO"/>
              </w:rPr>
              <w:t>anulado (</w:t>
            </w:r>
            <w:r w:rsidRPr="00BE3D60">
              <w:rPr>
                <w:b/>
                <w:bCs/>
                <w:i/>
                <w:iCs/>
                <w:color w:val="000000"/>
                <w:sz w:val="18"/>
                <w:szCs w:val="18"/>
                <w:lang w:val="es-CO" w:eastAsia="es-CO"/>
              </w:rPr>
              <w:t>A</w:t>
            </w:r>
            <w:r w:rsidR="00CA04DF">
              <w:rPr>
                <w:b/>
                <w:bCs/>
                <w:i/>
                <w:iCs/>
                <w:color w:val="000000"/>
                <w:sz w:val="18"/>
                <w:szCs w:val="18"/>
                <w:lang w:val="es-CO" w:eastAsia="es-CO"/>
              </w:rPr>
              <w:t>)</w:t>
            </w:r>
          </w:p>
        </w:tc>
        <w:tc>
          <w:tcPr>
            <w:tcW w:w="1825" w:type="dxa"/>
            <w:tcBorders>
              <w:top w:val="single" w:sz="4" w:space="0" w:color="auto"/>
              <w:left w:val="nil"/>
              <w:bottom w:val="single" w:sz="4" w:space="0" w:color="auto"/>
              <w:right w:val="single" w:sz="4" w:space="0" w:color="auto"/>
            </w:tcBorders>
            <w:shd w:val="clear" w:color="000000" w:fill="FFFFFF"/>
            <w:noWrap/>
            <w:vAlign w:val="center"/>
            <w:hideMark/>
          </w:tcPr>
          <w:p w14:paraId="43C6E862" w14:textId="23741AF7" w:rsidR="00BE3D60" w:rsidRPr="00BE3D60" w:rsidRDefault="00BE3D60" w:rsidP="00CA04DF">
            <w:pPr>
              <w:spacing w:before="0" w:after="0"/>
              <w:jc w:val="center"/>
              <w:rPr>
                <w:b/>
                <w:bCs/>
                <w:i/>
                <w:iCs/>
                <w:color w:val="000000"/>
                <w:sz w:val="18"/>
                <w:szCs w:val="18"/>
                <w:lang w:val="es-CO" w:eastAsia="es-CO"/>
              </w:rPr>
            </w:pPr>
            <w:r w:rsidRPr="00BE3D60">
              <w:rPr>
                <w:b/>
                <w:bCs/>
                <w:i/>
                <w:iCs/>
                <w:color w:val="000000"/>
                <w:sz w:val="18"/>
                <w:szCs w:val="18"/>
                <w:lang w:val="es-CO" w:eastAsia="es-CO"/>
              </w:rPr>
              <w:t xml:space="preserve">Consumo </w:t>
            </w:r>
            <w:r w:rsidR="00CA04DF">
              <w:rPr>
                <w:b/>
                <w:bCs/>
                <w:i/>
                <w:iCs/>
                <w:color w:val="000000"/>
                <w:sz w:val="18"/>
                <w:szCs w:val="18"/>
                <w:lang w:val="es-CO" w:eastAsia="es-CO"/>
              </w:rPr>
              <w:t>liquidado / refacturado (</w:t>
            </w:r>
            <w:r w:rsidRPr="00BE3D60">
              <w:rPr>
                <w:b/>
                <w:bCs/>
                <w:i/>
                <w:iCs/>
                <w:color w:val="000000"/>
                <w:sz w:val="18"/>
                <w:szCs w:val="18"/>
                <w:lang w:val="es-CO" w:eastAsia="es-CO"/>
              </w:rPr>
              <w:t>L</w:t>
            </w:r>
            <w:r w:rsidR="00CA04DF">
              <w:rPr>
                <w:b/>
                <w:bCs/>
                <w:i/>
                <w:iCs/>
                <w:color w:val="000000"/>
                <w:sz w:val="18"/>
                <w:szCs w:val="18"/>
                <w:lang w:val="es-CO" w:eastAsia="es-CO"/>
              </w:rPr>
              <w:t>)</w:t>
            </w:r>
          </w:p>
        </w:tc>
        <w:tc>
          <w:tcPr>
            <w:tcW w:w="1548" w:type="dxa"/>
            <w:tcBorders>
              <w:top w:val="single" w:sz="4" w:space="0" w:color="auto"/>
              <w:left w:val="nil"/>
              <w:bottom w:val="single" w:sz="4" w:space="0" w:color="auto"/>
              <w:right w:val="single" w:sz="4" w:space="0" w:color="auto"/>
            </w:tcBorders>
            <w:shd w:val="clear" w:color="000000" w:fill="FFFFFF"/>
            <w:noWrap/>
            <w:vAlign w:val="center"/>
            <w:hideMark/>
          </w:tcPr>
          <w:p w14:paraId="08697400" w14:textId="77777777" w:rsidR="00CA04DF" w:rsidRDefault="00BE3D60" w:rsidP="00CA04DF">
            <w:pPr>
              <w:spacing w:before="0" w:after="0"/>
              <w:jc w:val="center"/>
              <w:rPr>
                <w:b/>
                <w:bCs/>
                <w:i/>
                <w:iCs/>
                <w:color w:val="000000"/>
                <w:sz w:val="18"/>
                <w:szCs w:val="18"/>
                <w:lang w:val="es-CO" w:eastAsia="es-CO"/>
              </w:rPr>
            </w:pPr>
            <w:r w:rsidRPr="00BE3D60">
              <w:rPr>
                <w:b/>
                <w:bCs/>
                <w:i/>
                <w:iCs/>
                <w:color w:val="000000"/>
                <w:sz w:val="18"/>
                <w:szCs w:val="18"/>
                <w:lang w:val="es-CO" w:eastAsia="es-CO"/>
              </w:rPr>
              <w:t>Consumo</w:t>
            </w:r>
          </w:p>
          <w:p w14:paraId="40CDD2B7" w14:textId="1D2E64CC" w:rsidR="00BE3D60" w:rsidRPr="00BE3D60" w:rsidRDefault="00BE3D60" w:rsidP="00CA04DF">
            <w:pPr>
              <w:spacing w:before="0" w:after="0"/>
              <w:jc w:val="center"/>
              <w:rPr>
                <w:b/>
                <w:bCs/>
                <w:i/>
                <w:iCs/>
                <w:color w:val="000000"/>
                <w:sz w:val="18"/>
                <w:szCs w:val="18"/>
                <w:lang w:val="es-CO" w:eastAsia="es-CO"/>
              </w:rPr>
            </w:pPr>
            <w:r w:rsidRPr="00BE3D60">
              <w:rPr>
                <w:b/>
                <w:bCs/>
                <w:i/>
                <w:iCs/>
                <w:color w:val="000000"/>
                <w:sz w:val="18"/>
                <w:szCs w:val="18"/>
                <w:lang w:val="es-CO" w:eastAsia="es-CO"/>
              </w:rPr>
              <w:t>I</w:t>
            </w:r>
            <w:r w:rsidR="00CA04DF">
              <w:rPr>
                <w:b/>
                <w:bCs/>
                <w:i/>
                <w:iCs/>
                <w:color w:val="000000"/>
                <w:sz w:val="18"/>
                <w:szCs w:val="18"/>
                <w:lang w:val="es-CO" w:eastAsia="es-CO"/>
              </w:rPr>
              <w:t xml:space="preserve"> – </w:t>
            </w:r>
            <w:r w:rsidRPr="00BE3D60">
              <w:rPr>
                <w:b/>
                <w:bCs/>
                <w:i/>
                <w:iCs/>
                <w:color w:val="000000"/>
                <w:sz w:val="18"/>
                <w:szCs w:val="18"/>
                <w:lang w:val="es-CO" w:eastAsia="es-CO"/>
              </w:rPr>
              <w:t>A</w:t>
            </w:r>
            <w:r w:rsidR="00CA04DF">
              <w:rPr>
                <w:b/>
                <w:bCs/>
                <w:i/>
                <w:iCs/>
                <w:color w:val="000000"/>
                <w:sz w:val="18"/>
                <w:szCs w:val="18"/>
                <w:lang w:val="es-CO" w:eastAsia="es-CO"/>
              </w:rPr>
              <w:t xml:space="preserve"> </w:t>
            </w:r>
            <w:r w:rsidRPr="00BE3D60">
              <w:rPr>
                <w:b/>
                <w:bCs/>
                <w:i/>
                <w:iCs/>
                <w:color w:val="000000"/>
                <w:sz w:val="18"/>
                <w:szCs w:val="18"/>
                <w:lang w:val="es-CO" w:eastAsia="es-CO"/>
              </w:rPr>
              <w:t>+</w:t>
            </w:r>
            <w:r w:rsidR="00CA04DF">
              <w:rPr>
                <w:b/>
                <w:bCs/>
                <w:i/>
                <w:iCs/>
                <w:color w:val="000000"/>
                <w:sz w:val="18"/>
                <w:szCs w:val="18"/>
                <w:lang w:val="es-CO" w:eastAsia="es-CO"/>
              </w:rPr>
              <w:t xml:space="preserve"> </w:t>
            </w:r>
            <w:r w:rsidRPr="00BE3D60">
              <w:rPr>
                <w:b/>
                <w:bCs/>
                <w:i/>
                <w:iCs/>
                <w:color w:val="000000"/>
                <w:sz w:val="18"/>
                <w:szCs w:val="18"/>
                <w:lang w:val="es-CO" w:eastAsia="es-CO"/>
              </w:rPr>
              <w:t>L</w:t>
            </w:r>
          </w:p>
        </w:tc>
      </w:tr>
      <w:tr w:rsidR="00CA04DF" w:rsidRPr="00BE3D60" w14:paraId="7F4B0691" w14:textId="77777777" w:rsidTr="00551609">
        <w:trPr>
          <w:trHeight w:val="300"/>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760A73BC" w14:textId="77777777" w:rsidR="00BE3D60" w:rsidRPr="00BE3D60" w:rsidRDefault="00BE3D60" w:rsidP="00CA04DF">
            <w:pPr>
              <w:spacing w:before="0" w:after="0"/>
              <w:jc w:val="left"/>
              <w:rPr>
                <w:i/>
                <w:iCs/>
                <w:color w:val="000000"/>
                <w:sz w:val="18"/>
                <w:szCs w:val="18"/>
                <w:lang w:val="es-CO" w:eastAsia="es-CO"/>
              </w:rPr>
            </w:pPr>
            <w:r w:rsidRPr="00BE3D60">
              <w:rPr>
                <w:i/>
                <w:iCs/>
                <w:color w:val="000000"/>
                <w:sz w:val="18"/>
                <w:szCs w:val="18"/>
                <w:lang w:val="es-CO" w:eastAsia="es-CO"/>
              </w:rPr>
              <w:t>1-2019</w:t>
            </w:r>
          </w:p>
        </w:tc>
        <w:tc>
          <w:tcPr>
            <w:tcW w:w="1559" w:type="dxa"/>
            <w:tcBorders>
              <w:top w:val="nil"/>
              <w:left w:val="nil"/>
              <w:bottom w:val="single" w:sz="4" w:space="0" w:color="auto"/>
              <w:right w:val="single" w:sz="4" w:space="0" w:color="auto"/>
            </w:tcBorders>
            <w:shd w:val="clear" w:color="000000" w:fill="FFFFFF"/>
            <w:noWrap/>
            <w:vAlign w:val="center"/>
            <w:hideMark/>
          </w:tcPr>
          <w:p w14:paraId="0A06EE42"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305.988.135</w:t>
            </w:r>
          </w:p>
        </w:tc>
        <w:tc>
          <w:tcPr>
            <w:tcW w:w="1276" w:type="dxa"/>
            <w:tcBorders>
              <w:top w:val="nil"/>
              <w:left w:val="nil"/>
              <w:bottom w:val="single" w:sz="4" w:space="0" w:color="auto"/>
              <w:right w:val="single" w:sz="4" w:space="0" w:color="auto"/>
            </w:tcBorders>
            <w:shd w:val="clear" w:color="000000" w:fill="FFFFFF"/>
            <w:noWrap/>
            <w:vAlign w:val="center"/>
            <w:hideMark/>
          </w:tcPr>
          <w:p w14:paraId="46EF104D" w14:textId="32A5C380"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2.486.838</w:t>
            </w:r>
          </w:p>
        </w:tc>
        <w:tc>
          <w:tcPr>
            <w:tcW w:w="1825" w:type="dxa"/>
            <w:tcBorders>
              <w:top w:val="nil"/>
              <w:left w:val="nil"/>
              <w:bottom w:val="single" w:sz="4" w:space="0" w:color="auto"/>
              <w:right w:val="single" w:sz="4" w:space="0" w:color="auto"/>
            </w:tcBorders>
            <w:shd w:val="clear" w:color="000000" w:fill="FFFFFF"/>
            <w:noWrap/>
            <w:vAlign w:val="center"/>
            <w:hideMark/>
          </w:tcPr>
          <w:p w14:paraId="5C5127E6"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1.118.126</w:t>
            </w:r>
          </w:p>
        </w:tc>
        <w:tc>
          <w:tcPr>
            <w:tcW w:w="1548" w:type="dxa"/>
            <w:tcBorders>
              <w:top w:val="nil"/>
              <w:left w:val="nil"/>
              <w:bottom w:val="single" w:sz="4" w:space="0" w:color="auto"/>
              <w:right w:val="single" w:sz="4" w:space="0" w:color="auto"/>
            </w:tcBorders>
            <w:shd w:val="clear" w:color="000000" w:fill="FFFFFF"/>
            <w:noWrap/>
            <w:vAlign w:val="center"/>
            <w:hideMark/>
          </w:tcPr>
          <w:p w14:paraId="307478CC"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304.619.423</w:t>
            </w:r>
          </w:p>
        </w:tc>
      </w:tr>
      <w:tr w:rsidR="00CA04DF" w:rsidRPr="00BE3D60" w14:paraId="0AA4B1D9" w14:textId="77777777" w:rsidTr="00551609">
        <w:trPr>
          <w:trHeight w:val="300"/>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7C47EE6B" w14:textId="77777777" w:rsidR="00BE3D60" w:rsidRPr="00BE3D60" w:rsidRDefault="00BE3D60" w:rsidP="00CA04DF">
            <w:pPr>
              <w:spacing w:before="0" w:after="0"/>
              <w:jc w:val="left"/>
              <w:rPr>
                <w:i/>
                <w:iCs/>
                <w:color w:val="000000"/>
                <w:sz w:val="18"/>
                <w:szCs w:val="18"/>
                <w:lang w:val="es-CO" w:eastAsia="es-CO"/>
              </w:rPr>
            </w:pPr>
            <w:r w:rsidRPr="00BE3D60">
              <w:rPr>
                <w:i/>
                <w:iCs/>
                <w:color w:val="000000"/>
                <w:sz w:val="18"/>
                <w:szCs w:val="18"/>
                <w:lang w:val="es-CO" w:eastAsia="es-CO"/>
              </w:rPr>
              <w:t>2-2019</w:t>
            </w:r>
          </w:p>
        </w:tc>
        <w:tc>
          <w:tcPr>
            <w:tcW w:w="1559" w:type="dxa"/>
            <w:tcBorders>
              <w:top w:val="nil"/>
              <w:left w:val="nil"/>
              <w:bottom w:val="single" w:sz="4" w:space="0" w:color="auto"/>
              <w:right w:val="single" w:sz="4" w:space="0" w:color="auto"/>
            </w:tcBorders>
            <w:shd w:val="clear" w:color="000000" w:fill="FFFFFF"/>
            <w:noWrap/>
            <w:vAlign w:val="center"/>
            <w:hideMark/>
          </w:tcPr>
          <w:p w14:paraId="6E9287EA"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318.114.743</w:t>
            </w:r>
          </w:p>
        </w:tc>
        <w:tc>
          <w:tcPr>
            <w:tcW w:w="1276" w:type="dxa"/>
            <w:tcBorders>
              <w:top w:val="nil"/>
              <w:left w:val="nil"/>
              <w:bottom w:val="single" w:sz="4" w:space="0" w:color="auto"/>
              <w:right w:val="single" w:sz="4" w:space="0" w:color="auto"/>
            </w:tcBorders>
            <w:shd w:val="clear" w:color="000000" w:fill="FFFFFF"/>
            <w:noWrap/>
            <w:vAlign w:val="center"/>
            <w:hideMark/>
          </w:tcPr>
          <w:p w14:paraId="0674FE64" w14:textId="1C49C5A4"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3.225.386</w:t>
            </w:r>
          </w:p>
        </w:tc>
        <w:tc>
          <w:tcPr>
            <w:tcW w:w="1825" w:type="dxa"/>
            <w:tcBorders>
              <w:top w:val="nil"/>
              <w:left w:val="nil"/>
              <w:bottom w:val="single" w:sz="4" w:space="0" w:color="auto"/>
              <w:right w:val="single" w:sz="4" w:space="0" w:color="auto"/>
            </w:tcBorders>
            <w:shd w:val="clear" w:color="000000" w:fill="FFFFFF"/>
            <w:noWrap/>
            <w:vAlign w:val="center"/>
            <w:hideMark/>
          </w:tcPr>
          <w:p w14:paraId="515008D6"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1.455.522</w:t>
            </w:r>
          </w:p>
        </w:tc>
        <w:tc>
          <w:tcPr>
            <w:tcW w:w="1548" w:type="dxa"/>
            <w:tcBorders>
              <w:top w:val="nil"/>
              <w:left w:val="nil"/>
              <w:bottom w:val="single" w:sz="4" w:space="0" w:color="auto"/>
              <w:right w:val="single" w:sz="4" w:space="0" w:color="auto"/>
            </w:tcBorders>
            <w:shd w:val="clear" w:color="000000" w:fill="FFFFFF"/>
            <w:noWrap/>
            <w:vAlign w:val="center"/>
            <w:hideMark/>
          </w:tcPr>
          <w:p w14:paraId="066FD0AA"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316.344.879</w:t>
            </w:r>
          </w:p>
        </w:tc>
      </w:tr>
      <w:tr w:rsidR="00CA04DF" w:rsidRPr="00BE3D60" w14:paraId="1ED07BD5" w14:textId="77777777" w:rsidTr="00551609">
        <w:trPr>
          <w:trHeight w:val="300"/>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6B478C20" w14:textId="77777777" w:rsidR="00BE3D60" w:rsidRPr="00BE3D60" w:rsidRDefault="00BE3D60" w:rsidP="00CA04DF">
            <w:pPr>
              <w:spacing w:before="0" w:after="0"/>
              <w:jc w:val="left"/>
              <w:rPr>
                <w:i/>
                <w:iCs/>
                <w:color w:val="000000"/>
                <w:sz w:val="18"/>
                <w:szCs w:val="18"/>
                <w:lang w:val="es-CO" w:eastAsia="es-CO"/>
              </w:rPr>
            </w:pPr>
            <w:r w:rsidRPr="00BE3D60">
              <w:rPr>
                <w:i/>
                <w:iCs/>
                <w:color w:val="000000"/>
                <w:sz w:val="18"/>
                <w:szCs w:val="18"/>
                <w:lang w:val="es-CO" w:eastAsia="es-CO"/>
              </w:rPr>
              <w:t>3-2019</w:t>
            </w:r>
          </w:p>
        </w:tc>
        <w:tc>
          <w:tcPr>
            <w:tcW w:w="1559" w:type="dxa"/>
            <w:tcBorders>
              <w:top w:val="nil"/>
              <w:left w:val="nil"/>
              <w:bottom w:val="single" w:sz="4" w:space="0" w:color="auto"/>
              <w:right w:val="single" w:sz="4" w:space="0" w:color="auto"/>
            </w:tcBorders>
            <w:shd w:val="clear" w:color="000000" w:fill="FFFFFF"/>
            <w:noWrap/>
            <w:vAlign w:val="center"/>
            <w:hideMark/>
          </w:tcPr>
          <w:p w14:paraId="32D78D9B"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327.752.529</w:t>
            </w:r>
          </w:p>
        </w:tc>
        <w:tc>
          <w:tcPr>
            <w:tcW w:w="1276" w:type="dxa"/>
            <w:tcBorders>
              <w:top w:val="nil"/>
              <w:left w:val="nil"/>
              <w:bottom w:val="single" w:sz="4" w:space="0" w:color="auto"/>
              <w:right w:val="single" w:sz="4" w:space="0" w:color="auto"/>
            </w:tcBorders>
            <w:shd w:val="clear" w:color="000000" w:fill="FFFFFF"/>
            <w:noWrap/>
            <w:vAlign w:val="center"/>
            <w:hideMark/>
          </w:tcPr>
          <w:p w14:paraId="12602F08" w14:textId="552FEAA3"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3.206.574</w:t>
            </w:r>
          </w:p>
        </w:tc>
        <w:tc>
          <w:tcPr>
            <w:tcW w:w="1825" w:type="dxa"/>
            <w:tcBorders>
              <w:top w:val="nil"/>
              <w:left w:val="nil"/>
              <w:bottom w:val="single" w:sz="4" w:space="0" w:color="auto"/>
              <w:right w:val="single" w:sz="4" w:space="0" w:color="auto"/>
            </w:tcBorders>
            <w:shd w:val="clear" w:color="000000" w:fill="FFFFFF"/>
            <w:noWrap/>
            <w:vAlign w:val="center"/>
            <w:hideMark/>
          </w:tcPr>
          <w:p w14:paraId="0EF8F078"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1.594.240</w:t>
            </w:r>
          </w:p>
        </w:tc>
        <w:tc>
          <w:tcPr>
            <w:tcW w:w="1548" w:type="dxa"/>
            <w:tcBorders>
              <w:top w:val="nil"/>
              <w:left w:val="nil"/>
              <w:bottom w:val="single" w:sz="4" w:space="0" w:color="auto"/>
              <w:right w:val="single" w:sz="4" w:space="0" w:color="auto"/>
            </w:tcBorders>
            <w:shd w:val="clear" w:color="000000" w:fill="FFFFFF"/>
            <w:noWrap/>
            <w:vAlign w:val="center"/>
            <w:hideMark/>
          </w:tcPr>
          <w:p w14:paraId="7F2DE5A9"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326.140.195</w:t>
            </w:r>
          </w:p>
        </w:tc>
      </w:tr>
      <w:tr w:rsidR="00CA04DF" w:rsidRPr="00BE3D60" w14:paraId="280068D2" w14:textId="77777777" w:rsidTr="00551609">
        <w:trPr>
          <w:trHeight w:val="300"/>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3F2B6289" w14:textId="77777777" w:rsidR="00BE3D60" w:rsidRPr="00BE3D60" w:rsidRDefault="00BE3D60" w:rsidP="00CA04DF">
            <w:pPr>
              <w:spacing w:before="0" w:after="0"/>
              <w:jc w:val="left"/>
              <w:rPr>
                <w:i/>
                <w:iCs/>
                <w:color w:val="000000"/>
                <w:sz w:val="18"/>
                <w:szCs w:val="18"/>
                <w:lang w:val="es-CO" w:eastAsia="es-CO"/>
              </w:rPr>
            </w:pPr>
            <w:r w:rsidRPr="00BE3D60">
              <w:rPr>
                <w:i/>
                <w:iCs/>
                <w:color w:val="000000"/>
                <w:sz w:val="18"/>
                <w:szCs w:val="18"/>
                <w:lang w:val="es-CO" w:eastAsia="es-CO"/>
              </w:rPr>
              <w:t>4-2019</w:t>
            </w:r>
          </w:p>
        </w:tc>
        <w:tc>
          <w:tcPr>
            <w:tcW w:w="1559" w:type="dxa"/>
            <w:tcBorders>
              <w:top w:val="nil"/>
              <w:left w:val="nil"/>
              <w:bottom w:val="single" w:sz="4" w:space="0" w:color="auto"/>
              <w:right w:val="single" w:sz="4" w:space="0" w:color="auto"/>
            </w:tcBorders>
            <w:shd w:val="clear" w:color="000000" w:fill="FFFFFF"/>
            <w:noWrap/>
            <w:vAlign w:val="center"/>
            <w:hideMark/>
          </w:tcPr>
          <w:p w14:paraId="7E6FF888"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334.780.301</w:t>
            </w:r>
          </w:p>
        </w:tc>
        <w:tc>
          <w:tcPr>
            <w:tcW w:w="1276" w:type="dxa"/>
            <w:tcBorders>
              <w:top w:val="nil"/>
              <w:left w:val="nil"/>
              <w:bottom w:val="single" w:sz="4" w:space="0" w:color="auto"/>
              <w:right w:val="single" w:sz="4" w:space="0" w:color="auto"/>
            </w:tcBorders>
            <w:shd w:val="clear" w:color="000000" w:fill="FFFFFF"/>
            <w:noWrap/>
            <w:vAlign w:val="center"/>
            <w:hideMark/>
          </w:tcPr>
          <w:p w14:paraId="289E86A6" w14:textId="2A4942B0"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2.796.924</w:t>
            </w:r>
          </w:p>
        </w:tc>
        <w:tc>
          <w:tcPr>
            <w:tcW w:w="1825" w:type="dxa"/>
            <w:tcBorders>
              <w:top w:val="nil"/>
              <w:left w:val="nil"/>
              <w:bottom w:val="single" w:sz="4" w:space="0" w:color="auto"/>
              <w:right w:val="single" w:sz="4" w:space="0" w:color="auto"/>
            </w:tcBorders>
            <w:shd w:val="clear" w:color="000000" w:fill="FFFFFF"/>
            <w:noWrap/>
            <w:vAlign w:val="center"/>
            <w:hideMark/>
          </w:tcPr>
          <w:p w14:paraId="64A050EA"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1.563.329</w:t>
            </w:r>
          </w:p>
        </w:tc>
        <w:tc>
          <w:tcPr>
            <w:tcW w:w="1548" w:type="dxa"/>
            <w:tcBorders>
              <w:top w:val="nil"/>
              <w:left w:val="nil"/>
              <w:bottom w:val="single" w:sz="4" w:space="0" w:color="auto"/>
              <w:right w:val="single" w:sz="4" w:space="0" w:color="auto"/>
            </w:tcBorders>
            <w:shd w:val="clear" w:color="000000" w:fill="FFFFFF"/>
            <w:noWrap/>
            <w:vAlign w:val="center"/>
            <w:hideMark/>
          </w:tcPr>
          <w:p w14:paraId="754D0D34"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333.546.706</w:t>
            </w:r>
          </w:p>
        </w:tc>
      </w:tr>
      <w:tr w:rsidR="00CA04DF" w:rsidRPr="00BE3D60" w14:paraId="06907947" w14:textId="77777777" w:rsidTr="00551609">
        <w:trPr>
          <w:trHeight w:val="300"/>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32C20D8B" w14:textId="77777777" w:rsidR="00BE3D60" w:rsidRPr="00BE3D60" w:rsidRDefault="00BE3D60" w:rsidP="00CA04DF">
            <w:pPr>
              <w:spacing w:before="0" w:after="0"/>
              <w:jc w:val="left"/>
              <w:rPr>
                <w:i/>
                <w:iCs/>
                <w:color w:val="000000"/>
                <w:sz w:val="18"/>
                <w:szCs w:val="18"/>
                <w:lang w:val="es-CO" w:eastAsia="es-CO"/>
              </w:rPr>
            </w:pPr>
            <w:r w:rsidRPr="00BE3D60">
              <w:rPr>
                <w:i/>
                <w:iCs/>
                <w:color w:val="000000"/>
                <w:sz w:val="18"/>
                <w:szCs w:val="18"/>
                <w:lang w:val="es-CO" w:eastAsia="es-CO"/>
              </w:rPr>
              <w:t>5-2019</w:t>
            </w:r>
          </w:p>
        </w:tc>
        <w:tc>
          <w:tcPr>
            <w:tcW w:w="1559" w:type="dxa"/>
            <w:tcBorders>
              <w:top w:val="nil"/>
              <w:left w:val="nil"/>
              <w:bottom w:val="single" w:sz="4" w:space="0" w:color="auto"/>
              <w:right w:val="single" w:sz="4" w:space="0" w:color="auto"/>
            </w:tcBorders>
            <w:shd w:val="clear" w:color="000000" w:fill="FFFFFF"/>
            <w:noWrap/>
            <w:vAlign w:val="center"/>
            <w:hideMark/>
          </w:tcPr>
          <w:p w14:paraId="598E4B63"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353.795.155</w:t>
            </w:r>
          </w:p>
        </w:tc>
        <w:tc>
          <w:tcPr>
            <w:tcW w:w="1276" w:type="dxa"/>
            <w:tcBorders>
              <w:top w:val="nil"/>
              <w:left w:val="nil"/>
              <w:bottom w:val="single" w:sz="4" w:space="0" w:color="auto"/>
              <w:right w:val="single" w:sz="4" w:space="0" w:color="auto"/>
            </w:tcBorders>
            <w:shd w:val="clear" w:color="000000" w:fill="FFFFFF"/>
            <w:noWrap/>
            <w:vAlign w:val="center"/>
            <w:hideMark/>
          </w:tcPr>
          <w:p w14:paraId="42EEF027" w14:textId="57901AC0"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3.065.090</w:t>
            </w:r>
          </w:p>
        </w:tc>
        <w:tc>
          <w:tcPr>
            <w:tcW w:w="1825" w:type="dxa"/>
            <w:tcBorders>
              <w:top w:val="nil"/>
              <w:left w:val="nil"/>
              <w:bottom w:val="single" w:sz="4" w:space="0" w:color="auto"/>
              <w:right w:val="single" w:sz="4" w:space="0" w:color="auto"/>
            </w:tcBorders>
            <w:shd w:val="clear" w:color="000000" w:fill="FFFFFF"/>
            <w:noWrap/>
            <w:vAlign w:val="center"/>
            <w:hideMark/>
          </w:tcPr>
          <w:p w14:paraId="637FE42E"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1.562.525</w:t>
            </w:r>
          </w:p>
        </w:tc>
        <w:tc>
          <w:tcPr>
            <w:tcW w:w="1548" w:type="dxa"/>
            <w:tcBorders>
              <w:top w:val="nil"/>
              <w:left w:val="nil"/>
              <w:bottom w:val="single" w:sz="4" w:space="0" w:color="auto"/>
              <w:right w:val="single" w:sz="4" w:space="0" w:color="auto"/>
            </w:tcBorders>
            <w:shd w:val="clear" w:color="000000" w:fill="FFFFFF"/>
            <w:noWrap/>
            <w:vAlign w:val="center"/>
            <w:hideMark/>
          </w:tcPr>
          <w:p w14:paraId="3C6194A6"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352.292.590</w:t>
            </w:r>
          </w:p>
        </w:tc>
      </w:tr>
      <w:tr w:rsidR="00CA04DF" w:rsidRPr="00BE3D60" w14:paraId="7D196C07" w14:textId="77777777" w:rsidTr="00551609">
        <w:trPr>
          <w:trHeight w:val="300"/>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6F894B84" w14:textId="77777777" w:rsidR="00BE3D60" w:rsidRPr="00BE3D60" w:rsidRDefault="00BE3D60" w:rsidP="00CA04DF">
            <w:pPr>
              <w:spacing w:before="0" w:after="0"/>
              <w:jc w:val="left"/>
              <w:rPr>
                <w:i/>
                <w:iCs/>
                <w:color w:val="000000"/>
                <w:sz w:val="18"/>
                <w:szCs w:val="18"/>
                <w:lang w:val="es-CO" w:eastAsia="es-CO"/>
              </w:rPr>
            </w:pPr>
            <w:r w:rsidRPr="00BE3D60">
              <w:rPr>
                <w:i/>
                <w:iCs/>
                <w:color w:val="000000"/>
                <w:sz w:val="18"/>
                <w:szCs w:val="18"/>
                <w:lang w:val="es-CO" w:eastAsia="es-CO"/>
              </w:rPr>
              <w:t>6-2019</w:t>
            </w:r>
          </w:p>
        </w:tc>
        <w:tc>
          <w:tcPr>
            <w:tcW w:w="1559" w:type="dxa"/>
            <w:tcBorders>
              <w:top w:val="nil"/>
              <w:left w:val="nil"/>
              <w:bottom w:val="single" w:sz="4" w:space="0" w:color="auto"/>
              <w:right w:val="single" w:sz="4" w:space="0" w:color="auto"/>
            </w:tcBorders>
            <w:shd w:val="clear" w:color="000000" w:fill="FFFFFF"/>
            <w:noWrap/>
            <w:vAlign w:val="center"/>
            <w:hideMark/>
          </w:tcPr>
          <w:p w14:paraId="01230609"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337.701.023</w:t>
            </w:r>
          </w:p>
        </w:tc>
        <w:tc>
          <w:tcPr>
            <w:tcW w:w="1276" w:type="dxa"/>
            <w:tcBorders>
              <w:top w:val="nil"/>
              <w:left w:val="nil"/>
              <w:bottom w:val="single" w:sz="4" w:space="0" w:color="auto"/>
              <w:right w:val="single" w:sz="4" w:space="0" w:color="auto"/>
            </w:tcBorders>
            <w:shd w:val="clear" w:color="000000" w:fill="FFFFFF"/>
            <w:noWrap/>
            <w:vAlign w:val="center"/>
            <w:hideMark/>
          </w:tcPr>
          <w:p w14:paraId="37AB3D25" w14:textId="4E5F1629"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2.175.741</w:t>
            </w:r>
          </w:p>
        </w:tc>
        <w:tc>
          <w:tcPr>
            <w:tcW w:w="1825" w:type="dxa"/>
            <w:tcBorders>
              <w:top w:val="nil"/>
              <w:left w:val="nil"/>
              <w:bottom w:val="single" w:sz="4" w:space="0" w:color="auto"/>
              <w:right w:val="single" w:sz="4" w:space="0" w:color="auto"/>
            </w:tcBorders>
            <w:shd w:val="clear" w:color="000000" w:fill="FFFFFF"/>
            <w:noWrap/>
            <w:vAlign w:val="center"/>
            <w:hideMark/>
          </w:tcPr>
          <w:p w14:paraId="3F557EEC"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1.180.788</w:t>
            </w:r>
          </w:p>
        </w:tc>
        <w:tc>
          <w:tcPr>
            <w:tcW w:w="1548" w:type="dxa"/>
            <w:tcBorders>
              <w:top w:val="nil"/>
              <w:left w:val="nil"/>
              <w:bottom w:val="single" w:sz="4" w:space="0" w:color="auto"/>
              <w:right w:val="single" w:sz="4" w:space="0" w:color="auto"/>
            </w:tcBorders>
            <w:shd w:val="clear" w:color="000000" w:fill="FFFFFF"/>
            <w:noWrap/>
            <w:vAlign w:val="center"/>
            <w:hideMark/>
          </w:tcPr>
          <w:p w14:paraId="4DF2F7CE"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336.706.070</w:t>
            </w:r>
          </w:p>
        </w:tc>
      </w:tr>
      <w:tr w:rsidR="00CA04DF" w:rsidRPr="00BE3D60" w14:paraId="7BE85462" w14:textId="77777777" w:rsidTr="00551609">
        <w:trPr>
          <w:trHeight w:val="300"/>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535252B6" w14:textId="77777777" w:rsidR="00BE3D60" w:rsidRPr="00BE3D60" w:rsidRDefault="00BE3D60" w:rsidP="00CA04DF">
            <w:pPr>
              <w:spacing w:before="0" w:after="0"/>
              <w:jc w:val="left"/>
              <w:rPr>
                <w:i/>
                <w:iCs/>
                <w:color w:val="000000"/>
                <w:sz w:val="18"/>
                <w:szCs w:val="18"/>
                <w:lang w:val="es-CO" w:eastAsia="es-CO"/>
              </w:rPr>
            </w:pPr>
            <w:r w:rsidRPr="00BE3D60">
              <w:rPr>
                <w:i/>
                <w:iCs/>
                <w:color w:val="000000"/>
                <w:sz w:val="18"/>
                <w:szCs w:val="18"/>
                <w:lang w:val="es-CO" w:eastAsia="es-CO"/>
              </w:rPr>
              <w:t>7-2019</w:t>
            </w:r>
          </w:p>
        </w:tc>
        <w:tc>
          <w:tcPr>
            <w:tcW w:w="1559" w:type="dxa"/>
            <w:tcBorders>
              <w:top w:val="nil"/>
              <w:left w:val="nil"/>
              <w:bottom w:val="single" w:sz="4" w:space="0" w:color="auto"/>
              <w:right w:val="single" w:sz="4" w:space="0" w:color="auto"/>
            </w:tcBorders>
            <w:shd w:val="clear" w:color="000000" w:fill="FFFFFF"/>
            <w:noWrap/>
            <w:vAlign w:val="center"/>
            <w:hideMark/>
          </w:tcPr>
          <w:p w14:paraId="183BE7DC"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346.093.184</w:t>
            </w:r>
          </w:p>
        </w:tc>
        <w:tc>
          <w:tcPr>
            <w:tcW w:w="1276" w:type="dxa"/>
            <w:tcBorders>
              <w:top w:val="nil"/>
              <w:left w:val="nil"/>
              <w:bottom w:val="single" w:sz="4" w:space="0" w:color="auto"/>
              <w:right w:val="single" w:sz="4" w:space="0" w:color="auto"/>
            </w:tcBorders>
            <w:shd w:val="clear" w:color="000000" w:fill="FFFFFF"/>
            <w:noWrap/>
            <w:vAlign w:val="center"/>
            <w:hideMark/>
          </w:tcPr>
          <w:p w14:paraId="4D3AB14C" w14:textId="30E1F7A4"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2.438.770</w:t>
            </w:r>
          </w:p>
        </w:tc>
        <w:tc>
          <w:tcPr>
            <w:tcW w:w="1825" w:type="dxa"/>
            <w:tcBorders>
              <w:top w:val="nil"/>
              <w:left w:val="nil"/>
              <w:bottom w:val="single" w:sz="4" w:space="0" w:color="auto"/>
              <w:right w:val="single" w:sz="4" w:space="0" w:color="auto"/>
            </w:tcBorders>
            <w:shd w:val="clear" w:color="000000" w:fill="FFFFFF"/>
            <w:noWrap/>
            <w:vAlign w:val="center"/>
            <w:hideMark/>
          </w:tcPr>
          <w:p w14:paraId="5FB08A4C"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1.274.089</w:t>
            </w:r>
          </w:p>
        </w:tc>
        <w:tc>
          <w:tcPr>
            <w:tcW w:w="1548" w:type="dxa"/>
            <w:tcBorders>
              <w:top w:val="nil"/>
              <w:left w:val="nil"/>
              <w:bottom w:val="single" w:sz="4" w:space="0" w:color="auto"/>
              <w:right w:val="single" w:sz="4" w:space="0" w:color="auto"/>
            </w:tcBorders>
            <w:shd w:val="clear" w:color="000000" w:fill="FFFFFF"/>
            <w:noWrap/>
            <w:vAlign w:val="center"/>
            <w:hideMark/>
          </w:tcPr>
          <w:p w14:paraId="12B66FB6"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344.928.503</w:t>
            </w:r>
          </w:p>
        </w:tc>
      </w:tr>
      <w:tr w:rsidR="00CA04DF" w:rsidRPr="00BE3D60" w14:paraId="7C65C1E3" w14:textId="77777777" w:rsidTr="00551609">
        <w:trPr>
          <w:trHeight w:val="300"/>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1AFA2771" w14:textId="77777777" w:rsidR="00BE3D60" w:rsidRPr="00BE3D60" w:rsidRDefault="00BE3D60" w:rsidP="00CA04DF">
            <w:pPr>
              <w:spacing w:before="0" w:after="0"/>
              <w:jc w:val="left"/>
              <w:rPr>
                <w:i/>
                <w:iCs/>
                <w:color w:val="000000"/>
                <w:sz w:val="18"/>
                <w:szCs w:val="18"/>
                <w:lang w:val="es-CO" w:eastAsia="es-CO"/>
              </w:rPr>
            </w:pPr>
            <w:r w:rsidRPr="00BE3D60">
              <w:rPr>
                <w:i/>
                <w:iCs/>
                <w:color w:val="000000"/>
                <w:sz w:val="18"/>
                <w:szCs w:val="18"/>
                <w:lang w:val="es-CO" w:eastAsia="es-CO"/>
              </w:rPr>
              <w:t>8-2019</w:t>
            </w:r>
          </w:p>
        </w:tc>
        <w:tc>
          <w:tcPr>
            <w:tcW w:w="1559" w:type="dxa"/>
            <w:tcBorders>
              <w:top w:val="nil"/>
              <w:left w:val="nil"/>
              <w:bottom w:val="single" w:sz="4" w:space="0" w:color="auto"/>
              <w:right w:val="single" w:sz="4" w:space="0" w:color="auto"/>
            </w:tcBorders>
            <w:shd w:val="clear" w:color="000000" w:fill="FFFFFF"/>
            <w:noWrap/>
            <w:vAlign w:val="center"/>
            <w:hideMark/>
          </w:tcPr>
          <w:p w14:paraId="09C7ED00"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355.776.409</w:t>
            </w:r>
          </w:p>
        </w:tc>
        <w:tc>
          <w:tcPr>
            <w:tcW w:w="1276" w:type="dxa"/>
            <w:tcBorders>
              <w:top w:val="nil"/>
              <w:left w:val="nil"/>
              <w:bottom w:val="single" w:sz="4" w:space="0" w:color="auto"/>
              <w:right w:val="single" w:sz="4" w:space="0" w:color="auto"/>
            </w:tcBorders>
            <w:shd w:val="clear" w:color="000000" w:fill="FFFFFF"/>
            <w:noWrap/>
            <w:vAlign w:val="center"/>
            <w:hideMark/>
          </w:tcPr>
          <w:p w14:paraId="55DBCF66" w14:textId="67E612C3"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2.368.548</w:t>
            </w:r>
          </w:p>
        </w:tc>
        <w:tc>
          <w:tcPr>
            <w:tcW w:w="1825" w:type="dxa"/>
            <w:tcBorders>
              <w:top w:val="nil"/>
              <w:left w:val="nil"/>
              <w:bottom w:val="single" w:sz="4" w:space="0" w:color="auto"/>
              <w:right w:val="single" w:sz="4" w:space="0" w:color="auto"/>
            </w:tcBorders>
            <w:shd w:val="clear" w:color="000000" w:fill="FFFFFF"/>
            <w:noWrap/>
            <w:vAlign w:val="center"/>
            <w:hideMark/>
          </w:tcPr>
          <w:p w14:paraId="6CB050F2"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1.013.896</w:t>
            </w:r>
          </w:p>
        </w:tc>
        <w:tc>
          <w:tcPr>
            <w:tcW w:w="1548" w:type="dxa"/>
            <w:tcBorders>
              <w:top w:val="nil"/>
              <w:left w:val="nil"/>
              <w:bottom w:val="single" w:sz="4" w:space="0" w:color="auto"/>
              <w:right w:val="single" w:sz="4" w:space="0" w:color="auto"/>
            </w:tcBorders>
            <w:shd w:val="clear" w:color="000000" w:fill="FFFFFF"/>
            <w:noWrap/>
            <w:vAlign w:val="center"/>
            <w:hideMark/>
          </w:tcPr>
          <w:p w14:paraId="431E4C66"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354.421.757</w:t>
            </w:r>
          </w:p>
        </w:tc>
      </w:tr>
      <w:tr w:rsidR="00CA04DF" w:rsidRPr="00BE3D60" w14:paraId="6E557186" w14:textId="77777777" w:rsidTr="00551609">
        <w:trPr>
          <w:trHeight w:val="300"/>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66CC23B0" w14:textId="77777777" w:rsidR="00BE3D60" w:rsidRPr="00BE3D60" w:rsidRDefault="00BE3D60" w:rsidP="00CA04DF">
            <w:pPr>
              <w:spacing w:before="0" w:after="0"/>
              <w:jc w:val="left"/>
              <w:rPr>
                <w:i/>
                <w:iCs/>
                <w:color w:val="000000"/>
                <w:sz w:val="18"/>
                <w:szCs w:val="18"/>
                <w:lang w:val="es-CO" w:eastAsia="es-CO"/>
              </w:rPr>
            </w:pPr>
            <w:r w:rsidRPr="00BE3D60">
              <w:rPr>
                <w:i/>
                <w:iCs/>
                <w:color w:val="000000"/>
                <w:sz w:val="18"/>
                <w:szCs w:val="18"/>
                <w:lang w:val="es-CO" w:eastAsia="es-CO"/>
              </w:rPr>
              <w:t>9-2019</w:t>
            </w:r>
          </w:p>
        </w:tc>
        <w:tc>
          <w:tcPr>
            <w:tcW w:w="1559" w:type="dxa"/>
            <w:tcBorders>
              <w:top w:val="nil"/>
              <w:left w:val="nil"/>
              <w:bottom w:val="single" w:sz="4" w:space="0" w:color="auto"/>
              <w:right w:val="single" w:sz="4" w:space="0" w:color="auto"/>
            </w:tcBorders>
            <w:shd w:val="clear" w:color="000000" w:fill="FFFFFF"/>
            <w:noWrap/>
            <w:vAlign w:val="center"/>
            <w:hideMark/>
          </w:tcPr>
          <w:p w14:paraId="40820B74"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353.215.516</w:t>
            </w:r>
          </w:p>
        </w:tc>
        <w:tc>
          <w:tcPr>
            <w:tcW w:w="1276" w:type="dxa"/>
            <w:tcBorders>
              <w:top w:val="nil"/>
              <w:left w:val="nil"/>
              <w:bottom w:val="single" w:sz="4" w:space="0" w:color="auto"/>
              <w:right w:val="single" w:sz="4" w:space="0" w:color="auto"/>
            </w:tcBorders>
            <w:shd w:val="clear" w:color="000000" w:fill="FFFFFF"/>
            <w:noWrap/>
            <w:vAlign w:val="center"/>
            <w:hideMark/>
          </w:tcPr>
          <w:p w14:paraId="57FE25EC" w14:textId="006AA7EC"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3.056.217</w:t>
            </w:r>
          </w:p>
        </w:tc>
        <w:tc>
          <w:tcPr>
            <w:tcW w:w="1825" w:type="dxa"/>
            <w:tcBorders>
              <w:top w:val="nil"/>
              <w:left w:val="nil"/>
              <w:bottom w:val="single" w:sz="4" w:space="0" w:color="auto"/>
              <w:right w:val="single" w:sz="4" w:space="0" w:color="auto"/>
            </w:tcBorders>
            <w:shd w:val="clear" w:color="000000" w:fill="FFFFFF"/>
            <w:noWrap/>
            <w:vAlign w:val="center"/>
            <w:hideMark/>
          </w:tcPr>
          <w:p w14:paraId="4C01C532"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1.311.204</w:t>
            </w:r>
          </w:p>
        </w:tc>
        <w:tc>
          <w:tcPr>
            <w:tcW w:w="1548" w:type="dxa"/>
            <w:tcBorders>
              <w:top w:val="nil"/>
              <w:left w:val="nil"/>
              <w:bottom w:val="single" w:sz="4" w:space="0" w:color="auto"/>
              <w:right w:val="single" w:sz="4" w:space="0" w:color="auto"/>
            </w:tcBorders>
            <w:shd w:val="clear" w:color="000000" w:fill="FFFFFF"/>
            <w:noWrap/>
            <w:vAlign w:val="center"/>
            <w:hideMark/>
          </w:tcPr>
          <w:p w14:paraId="7AF6EFAB"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351.470.503</w:t>
            </w:r>
          </w:p>
        </w:tc>
      </w:tr>
      <w:tr w:rsidR="00CA04DF" w:rsidRPr="00BE3D60" w14:paraId="3312D1EC" w14:textId="77777777" w:rsidTr="00551609">
        <w:trPr>
          <w:trHeight w:val="300"/>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5EF10C00" w14:textId="77777777" w:rsidR="00BE3D60" w:rsidRPr="00BE3D60" w:rsidRDefault="00BE3D60" w:rsidP="00CA04DF">
            <w:pPr>
              <w:spacing w:before="0" w:after="0"/>
              <w:jc w:val="left"/>
              <w:rPr>
                <w:i/>
                <w:iCs/>
                <w:color w:val="000000"/>
                <w:sz w:val="18"/>
                <w:szCs w:val="18"/>
                <w:lang w:val="es-CO" w:eastAsia="es-CO"/>
              </w:rPr>
            </w:pPr>
            <w:r w:rsidRPr="00BE3D60">
              <w:rPr>
                <w:i/>
                <w:iCs/>
                <w:color w:val="000000"/>
                <w:sz w:val="18"/>
                <w:szCs w:val="18"/>
                <w:lang w:val="es-CO" w:eastAsia="es-CO"/>
              </w:rPr>
              <w:t>10-2019</w:t>
            </w:r>
          </w:p>
        </w:tc>
        <w:tc>
          <w:tcPr>
            <w:tcW w:w="1559" w:type="dxa"/>
            <w:tcBorders>
              <w:top w:val="nil"/>
              <w:left w:val="nil"/>
              <w:bottom w:val="single" w:sz="4" w:space="0" w:color="auto"/>
              <w:right w:val="single" w:sz="4" w:space="0" w:color="auto"/>
            </w:tcBorders>
            <w:shd w:val="clear" w:color="000000" w:fill="FFFFFF"/>
            <w:noWrap/>
            <w:vAlign w:val="center"/>
            <w:hideMark/>
          </w:tcPr>
          <w:p w14:paraId="6066529C"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338.898.622</w:t>
            </w:r>
          </w:p>
        </w:tc>
        <w:tc>
          <w:tcPr>
            <w:tcW w:w="1276" w:type="dxa"/>
            <w:tcBorders>
              <w:top w:val="nil"/>
              <w:left w:val="nil"/>
              <w:bottom w:val="single" w:sz="4" w:space="0" w:color="auto"/>
              <w:right w:val="single" w:sz="4" w:space="0" w:color="auto"/>
            </w:tcBorders>
            <w:shd w:val="clear" w:color="000000" w:fill="FFFFFF"/>
            <w:noWrap/>
            <w:vAlign w:val="center"/>
            <w:hideMark/>
          </w:tcPr>
          <w:p w14:paraId="507C191E" w14:textId="16B8BD7D"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3.130.173</w:t>
            </w:r>
          </w:p>
        </w:tc>
        <w:tc>
          <w:tcPr>
            <w:tcW w:w="1825" w:type="dxa"/>
            <w:tcBorders>
              <w:top w:val="nil"/>
              <w:left w:val="nil"/>
              <w:bottom w:val="single" w:sz="4" w:space="0" w:color="auto"/>
              <w:right w:val="single" w:sz="4" w:space="0" w:color="auto"/>
            </w:tcBorders>
            <w:shd w:val="clear" w:color="000000" w:fill="FFFFFF"/>
            <w:noWrap/>
            <w:vAlign w:val="center"/>
            <w:hideMark/>
          </w:tcPr>
          <w:p w14:paraId="43DC63B2"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1.379.823</w:t>
            </w:r>
          </w:p>
        </w:tc>
        <w:tc>
          <w:tcPr>
            <w:tcW w:w="1548" w:type="dxa"/>
            <w:tcBorders>
              <w:top w:val="nil"/>
              <w:left w:val="nil"/>
              <w:bottom w:val="single" w:sz="4" w:space="0" w:color="auto"/>
              <w:right w:val="single" w:sz="4" w:space="0" w:color="auto"/>
            </w:tcBorders>
            <w:shd w:val="clear" w:color="000000" w:fill="FFFFFF"/>
            <w:noWrap/>
            <w:vAlign w:val="center"/>
            <w:hideMark/>
          </w:tcPr>
          <w:p w14:paraId="78E98EA9"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337.148.272</w:t>
            </w:r>
          </w:p>
        </w:tc>
      </w:tr>
      <w:tr w:rsidR="00CA04DF" w:rsidRPr="00BE3D60" w14:paraId="3056DAB1" w14:textId="77777777" w:rsidTr="00551609">
        <w:trPr>
          <w:trHeight w:val="300"/>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740C0D31" w14:textId="77777777" w:rsidR="00BE3D60" w:rsidRPr="00BE3D60" w:rsidRDefault="00BE3D60" w:rsidP="00CA04DF">
            <w:pPr>
              <w:spacing w:before="0" w:after="0"/>
              <w:jc w:val="left"/>
              <w:rPr>
                <w:i/>
                <w:iCs/>
                <w:color w:val="000000"/>
                <w:sz w:val="18"/>
                <w:szCs w:val="18"/>
                <w:lang w:val="es-CO" w:eastAsia="es-CO"/>
              </w:rPr>
            </w:pPr>
            <w:r w:rsidRPr="00BE3D60">
              <w:rPr>
                <w:i/>
                <w:iCs/>
                <w:color w:val="000000"/>
                <w:sz w:val="18"/>
                <w:szCs w:val="18"/>
                <w:lang w:val="es-CO" w:eastAsia="es-CO"/>
              </w:rPr>
              <w:t>11-2019</w:t>
            </w:r>
          </w:p>
        </w:tc>
        <w:tc>
          <w:tcPr>
            <w:tcW w:w="1559" w:type="dxa"/>
            <w:tcBorders>
              <w:top w:val="nil"/>
              <w:left w:val="nil"/>
              <w:bottom w:val="single" w:sz="4" w:space="0" w:color="auto"/>
              <w:right w:val="single" w:sz="4" w:space="0" w:color="auto"/>
            </w:tcBorders>
            <w:shd w:val="clear" w:color="000000" w:fill="FFFFFF"/>
            <w:noWrap/>
            <w:vAlign w:val="center"/>
            <w:hideMark/>
          </w:tcPr>
          <w:p w14:paraId="0D63156D"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334.769.031</w:t>
            </w:r>
          </w:p>
        </w:tc>
        <w:tc>
          <w:tcPr>
            <w:tcW w:w="1276" w:type="dxa"/>
            <w:tcBorders>
              <w:top w:val="nil"/>
              <w:left w:val="nil"/>
              <w:bottom w:val="single" w:sz="4" w:space="0" w:color="auto"/>
              <w:right w:val="single" w:sz="4" w:space="0" w:color="auto"/>
            </w:tcBorders>
            <w:shd w:val="clear" w:color="000000" w:fill="FFFFFF"/>
            <w:noWrap/>
            <w:vAlign w:val="center"/>
            <w:hideMark/>
          </w:tcPr>
          <w:p w14:paraId="2D39BD8E" w14:textId="484A131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2.818.674</w:t>
            </w:r>
          </w:p>
        </w:tc>
        <w:tc>
          <w:tcPr>
            <w:tcW w:w="1825" w:type="dxa"/>
            <w:tcBorders>
              <w:top w:val="nil"/>
              <w:left w:val="nil"/>
              <w:bottom w:val="single" w:sz="4" w:space="0" w:color="auto"/>
              <w:right w:val="single" w:sz="4" w:space="0" w:color="auto"/>
            </w:tcBorders>
            <w:shd w:val="clear" w:color="000000" w:fill="FFFFFF"/>
            <w:noWrap/>
            <w:vAlign w:val="center"/>
            <w:hideMark/>
          </w:tcPr>
          <w:p w14:paraId="1B29CAF4"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1.367.528</w:t>
            </w:r>
          </w:p>
        </w:tc>
        <w:tc>
          <w:tcPr>
            <w:tcW w:w="1548" w:type="dxa"/>
            <w:tcBorders>
              <w:top w:val="nil"/>
              <w:left w:val="nil"/>
              <w:bottom w:val="single" w:sz="4" w:space="0" w:color="auto"/>
              <w:right w:val="single" w:sz="4" w:space="0" w:color="auto"/>
            </w:tcBorders>
            <w:shd w:val="clear" w:color="000000" w:fill="FFFFFF"/>
            <w:noWrap/>
            <w:vAlign w:val="center"/>
            <w:hideMark/>
          </w:tcPr>
          <w:p w14:paraId="2D5BA85E"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333.317.885</w:t>
            </w:r>
          </w:p>
        </w:tc>
      </w:tr>
      <w:tr w:rsidR="00CA04DF" w:rsidRPr="00BE3D60" w14:paraId="038E5390" w14:textId="77777777" w:rsidTr="00551609">
        <w:trPr>
          <w:trHeight w:val="300"/>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0F108927" w14:textId="77777777" w:rsidR="00BE3D60" w:rsidRPr="00BE3D60" w:rsidRDefault="00BE3D60" w:rsidP="00CA04DF">
            <w:pPr>
              <w:spacing w:before="0" w:after="0"/>
              <w:jc w:val="left"/>
              <w:rPr>
                <w:i/>
                <w:iCs/>
                <w:color w:val="000000"/>
                <w:sz w:val="18"/>
                <w:szCs w:val="18"/>
                <w:lang w:val="es-CO" w:eastAsia="es-CO"/>
              </w:rPr>
            </w:pPr>
            <w:r w:rsidRPr="00BE3D60">
              <w:rPr>
                <w:i/>
                <w:iCs/>
                <w:color w:val="000000"/>
                <w:sz w:val="18"/>
                <w:szCs w:val="18"/>
                <w:lang w:val="es-CO" w:eastAsia="es-CO"/>
              </w:rPr>
              <w:t>12-2019</w:t>
            </w:r>
          </w:p>
        </w:tc>
        <w:tc>
          <w:tcPr>
            <w:tcW w:w="1559" w:type="dxa"/>
            <w:tcBorders>
              <w:top w:val="nil"/>
              <w:left w:val="nil"/>
              <w:bottom w:val="single" w:sz="4" w:space="0" w:color="auto"/>
              <w:right w:val="single" w:sz="4" w:space="0" w:color="auto"/>
            </w:tcBorders>
            <w:shd w:val="clear" w:color="000000" w:fill="FFFFFF"/>
            <w:noWrap/>
            <w:vAlign w:val="center"/>
            <w:hideMark/>
          </w:tcPr>
          <w:p w14:paraId="086A5046"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345.944.911</w:t>
            </w:r>
          </w:p>
        </w:tc>
        <w:tc>
          <w:tcPr>
            <w:tcW w:w="1276" w:type="dxa"/>
            <w:tcBorders>
              <w:top w:val="nil"/>
              <w:left w:val="nil"/>
              <w:bottom w:val="single" w:sz="4" w:space="0" w:color="auto"/>
              <w:right w:val="single" w:sz="4" w:space="0" w:color="auto"/>
            </w:tcBorders>
            <w:shd w:val="clear" w:color="000000" w:fill="FFFFFF"/>
            <w:noWrap/>
            <w:vAlign w:val="center"/>
            <w:hideMark/>
          </w:tcPr>
          <w:p w14:paraId="71963C42" w14:textId="5CCB44EA"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2.594.584</w:t>
            </w:r>
          </w:p>
        </w:tc>
        <w:tc>
          <w:tcPr>
            <w:tcW w:w="1825" w:type="dxa"/>
            <w:tcBorders>
              <w:top w:val="nil"/>
              <w:left w:val="nil"/>
              <w:bottom w:val="single" w:sz="4" w:space="0" w:color="auto"/>
              <w:right w:val="single" w:sz="4" w:space="0" w:color="auto"/>
            </w:tcBorders>
            <w:shd w:val="clear" w:color="000000" w:fill="FFFFFF"/>
            <w:noWrap/>
            <w:vAlign w:val="center"/>
            <w:hideMark/>
          </w:tcPr>
          <w:p w14:paraId="2B929DF9"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1.617.569</w:t>
            </w:r>
          </w:p>
        </w:tc>
        <w:tc>
          <w:tcPr>
            <w:tcW w:w="1548" w:type="dxa"/>
            <w:tcBorders>
              <w:top w:val="nil"/>
              <w:left w:val="nil"/>
              <w:bottom w:val="single" w:sz="4" w:space="0" w:color="auto"/>
              <w:right w:val="single" w:sz="4" w:space="0" w:color="auto"/>
            </w:tcBorders>
            <w:shd w:val="clear" w:color="000000" w:fill="FFFFFF"/>
            <w:noWrap/>
            <w:vAlign w:val="center"/>
            <w:hideMark/>
          </w:tcPr>
          <w:p w14:paraId="32C325CF" w14:textId="77777777" w:rsidR="00BE3D60" w:rsidRPr="00BE3D60" w:rsidRDefault="00BE3D60" w:rsidP="00CA04DF">
            <w:pPr>
              <w:spacing w:before="0" w:after="0"/>
              <w:jc w:val="right"/>
              <w:rPr>
                <w:i/>
                <w:iCs/>
                <w:color w:val="000000"/>
                <w:sz w:val="18"/>
                <w:szCs w:val="18"/>
                <w:lang w:val="es-CO" w:eastAsia="es-CO"/>
              </w:rPr>
            </w:pPr>
            <w:r w:rsidRPr="00BE3D60">
              <w:rPr>
                <w:i/>
                <w:iCs/>
                <w:color w:val="000000"/>
                <w:sz w:val="18"/>
                <w:szCs w:val="18"/>
                <w:lang w:val="es-CO" w:eastAsia="es-CO"/>
              </w:rPr>
              <w:t>344.967.896</w:t>
            </w:r>
          </w:p>
        </w:tc>
      </w:tr>
      <w:tr w:rsidR="00CA04DF" w:rsidRPr="00BE3D60" w14:paraId="4BC2408E" w14:textId="77777777" w:rsidTr="00551609">
        <w:trPr>
          <w:trHeight w:val="300"/>
          <w:jc w:val="center"/>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06287B3B" w14:textId="77777777" w:rsidR="00BE3D60" w:rsidRPr="00BE3D60" w:rsidRDefault="00BE3D60" w:rsidP="00CA04DF">
            <w:pPr>
              <w:spacing w:before="0" w:after="0"/>
              <w:jc w:val="left"/>
              <w:rPr>
                <w:b/>
                <w:bCs/>
                <w:i/>
                <w:iCs/>
                <w:color w:val="000000"/>
                <w:sz w:val="18"/>
                <w:szCs w:val="18"/>
                <w:lang w:val="es-CO" w:eastAsia="es-CO"/>
              </w:rPr>
            </w:pPr>
            <w:r w:rsidRPr="00BE3D60">
              <w:rPr>
                <w:b/>
                <w:bCs/>
                <w:i/>
                <w:iCs/>
                <w:color w:val="000000"/>
                <w:sz w:val="18"/>
                <w:szCs w:val="18"/>
                <w:lang w:val="es-CO" w:eastAsia="es-CO"/>
              </w:rPr>
              <w:t>Total</w:t>
            </w:r>
          </w:p>
        </w:tc>
        <w:tc>
          <w:tcPr>
            <w:tcW w:w="1559" w:type="dxa"/>
            <w:tcBorders>
              <w:top w:val="nil"/>
              <w:left w:val="nil"/>
              <w:bottom w:val="single" w:sz="4" w:space="0" w:color="auto"/>
              <w:right w:val="single" w:sz="4" w:space="0" w:color="auto"/>
            </w:tcBorders>
            <w:shd w:val="clear" w:color="000000" w:fill="FFFFFF"/>
            <w:noWrap/>
            <w:vAlign w:val="center"/>
            <w:hideMark/>
          </w:tcPr>
          <w:p w14:paraId="5A0C3796" w14:textId="77777777" w:rsidR="00BE3D60" w:rsidRPr="00BE3D60" w:rsidRDefault="00BE3D60" w:rsidP="00CA04DF">
            <w:pPr>
              <w:spacing w:before="0" w:after="0"/>
              <w:jc w:val="right"/>
              <w:rPr>
                <w:b/>
                <w:bCs/>
                <w:i/>
                <w:iCs/>
                <w:color w:val="000000"/>
                <w:sz w:val="18"/>
                <w:szCs w:val="18"/>
                <w:lang w:val="es-CO" w:eastAsia="es-CO"/>
              </w:rPr>
            </w:pPr>
            <w:r w:rsidRPr="00BE3D60">
              <w:rPr>
                <w:b/>
                <w:bCs/>
                <w:i/>
                <w:iCs/>
                <w:color w:val="000000"/>
                <w:sz w:val="18"/>
                <w:szCs w:val="18"/>
                <w:lang w:val="es-CO" w:eastAsia="es-CO"/>
              </w:rPr>
              <w:t>4.052.829.559</w:t>
            </w:r>
          </w:p>
        </w:tc>
        <w:tc>
          <w:tcPr>
            <w:tcW w:w="1276" w:type="dxa"/>
            <w:tcBorders>
              <w:top w:val="nil"/>
              <w:left w:val="nil"/>
              <w:bottom w:val="single" w:sz="4" w:space="0" w:color="auto"/>
              <w:right w:val="single" w:sz="4" w:space="0" w:color="auto"/>
            </w:tcBorders>
            <w:shd w:val="clear" w:color="000000" w:fill="FFFFFF"/>
            <w:noWrap/>
            <w:vAlign w:val="center"/>
            <w:hideMark/>
          </w:tcPr>
          <w:p w14:paraId="21BD5554" w14:textId="7D1FA836" w:rsidR="00BE3D60" w:rsidRPr="00BE3D60" w:rsidRDefault="00BE3D60" w:rsidP="00CA04DF">
            <w:pPr>
              <w:spacing w:before="0" w:after="0"/>
              <w:jc w:val="right"/>
              <w:rPr>
                <w:b/>
                <w:bCs/>
                <w:i/>
                <w:iCs/>
                <w:color w:val="000000"/>
                <w:sz w:val="18"/>
                <w:szCs w:val="18"/>
                <w:lang w:val="es-CO" w:eastAsia="es-CO"/>
              </w:rPr>
            </w:pPr>
            <w:r w:rsidRPr="00BE3D60">
              <w:rPr>
                <w:b/>
                <w:bCs/>
                <w:i/>
                <w:iCs/>
                <w:color w:val="000000"/>
                <w:sz w:val="18"/>
                <w:szCs w:val="18"/>
                <w:lang w:val="es-CO" w:eastAsia="es-CO"/>
              </w:rPr>
              <w:t>33.363.519</w:t>
            </w:r>
          </w:p>
        </w:tc>
        <w:tc>
          <w:tcPr>
            <w:tcW w:w="1825" w:type="dxa"/>
            <w:tcBorders>
              <w:top w:val="nil"/>
              <w:left w:val="nil"/>
              <w:bottom w:val="single" w:sz="4" w:space="0" w:color="auto"/>
              <w:right w:val="single" w:sz="4" w:space="0" w:color="auto"/>
            </w:tcBorders>
            <w:shd w:val="clear" w:color="000000" w:fill="FFFFFF"/>
            <w:noWrap/>
            <w:vAlign w:val="center"/>
            <w:hideMark/>
          </w:tcPr>
          <w:p w14:paraId="777F3734" w14:textId="77777777" w:rsidR="00BE3D60" w:rsidRPr="00BE3D60" w:rsidRDefault="00BE3D60" w:rsidP="00CA04DF">
            <w:pPr>
              <w:spacing w:before="0" w:after="0"/>
              <w:jc w:val="right"/>
              <w:rPr>
                <w:b/>
                <w:bCs/>
                <w:i/>
                <w:iCs/>
                <w:color w:val="000000"/>
                <w:sz w:val="18"/>
                <w:szCs w:val="18"/>
                <w:lang w:val="es-CO" w:eastAsia="es-CO"/>
              </w:rPr>
            </w:pPr>
            <w:r w:rsidRPr="00BE3D60">
              <w:rPr>
                <w:b/>
                <w:bCs/>
                <w:i/>
                <w:iCs/>
                <w:color w:val="000000"/>
                <w:sz w:val="18"/>
                <w:szCs w:val="18"/>
                <w:lang w:val="es-CO" w:eastAsia="es-CO"/>
              </w:rPr>
              <w:t>16.438.639</w:t>
            </w:r>
          </w:p>
        </w:tc>
        <w:tc>
          <w:tcPr>
            <w:tcW w:w="1548" w:type="dxa"/>
            <w:tcBorders>
              <w:top w:val="nil"/>
              <w:left w:val="nil"/>
              <w:bottom w:val="single" w:sz="4" w:space="0" w:color="auto"/>
              <w:right w:val="single" w:sz="4" w:space="0" w:color="auto"/>
            </w:tcBorders>
            <w:shd w:val="clear" w:color="000000" w:fill="FFFFFF"/>
            <w:noWrap/>
            <w:vAlign w:val="center"/>
            <w:hideMark/>
          </w:tcPr>
          <w:p w14:paraId="6675AEDD" w14:textId="77777777" w:rsidR="00BE3D60" w:rsidRPr="00BE3D60" w:rsidRDefault="00BE3D60" w:rsidP="00CA04DF">
            <w:pPr>
              <w:spacing w:before="0" w:after="0"/>
              <w:jc w:val="right"/>
              <w:rPr>
                <w:b/>
                <w:bCs/>
                <w:i/>
                <w:iCs/>
                <w:color w:val="000000"/>
                <w:sz w:val="18"/>
                <w:szCs w:val="18"/>
                <w:lang w:val="es-CO" w:eastAsia="es-CO"/>
              </w:rPr>
            </w:pPr>
            <w:r w:rsidRPr="00BE3D60">
              <w:rPr>
                <w:b/>
                <w:bCs/>
                <w:i/>
                <w:iCs/>
                <w:color w:val="000000"/>
                <w:sz w:val="18"/>
                <w:szCs w:val="18"/>
                <w:lang w:val="es-CO" w:eastAsia="es-CO"/>
              </w:rPr>
              <w:t>4.035.904.679</w:t>
            </w:r>
          </w:p>
        </w:tc>
      </w:tr>
    </w:tbl>
    <w:p w14:paraId="51D67A59" w14:textId="24DF5979" w:rsidR="00CA04DF" w:rsidRDefault="00CA04DF" w:rsidP="00CA04DF">
      <w:pPr>
        <w:rPr>
          <w:rFonts w:cs="Arial"/>
          <w:lang w:val="es-CO" w:eastAsia="es-CO"/>
        </w:rPr>
      </w:pPr>
      <w:r>
        <w:t xml:space="preserve">El valor de la variable </w:t>
      </w:r>
      <w:r w:rsidRPr="00D25E16">
        <w:rPr>
          <w:i/>
          <w:iCs/>
        </w:rPr>
        <w:t>EsVSFC</w:t>
      </w:r>
      <w:r w:rsidRPr="00D25E16">
        <w:rPr>
          <w:i/>
          <w:iCs/>
          <w:vertAlign w:val="subscript"/>
        </w:rPr>
        <w:t>j,1,m</w:t>
      </w:r>
      <w:r>
        <w:rPr>
          <w:i/>
          <w:iCs/>
          <w:vertAlign w:val="subscript"/>
        </w:rPr>
        <w:t xml:space="preserve"> </w:t>
      </w:r>
      <w:r>
        <w:t xml:space="preserve">empleado en el cálculo de los índices de pérdidas corresponde a 4.035.904.679 kWh, tal como se observa en la tabla </w:t>
      </w:r>
      <w:r w:rsidRPr="009E6D28">
        <w:rPr>
          <w:rFonts w:cs="Arial"/>
          <w:i/>
          <w:iCs/>
          <w:lang w:val="es-CO" w:eastAsia="es-CO"/>
        </w:rPr>
        <w:t>Ventas de usuarios regulados del comercializador incumbente</w:t>
      </w:r>
      <w:r>
        <w:rPr>
          <w:rFonts w:cs="Arial"/>
          <w:lang w:val="es-CO" w:eastAsia="es-CO"/>
        </w:rPr>
        <w:t xml:space="preserve">, en el rango de rango de celdas (AC262:AO266) de la hoja de cálculo </w:t>
      </w:r>
      <w:r w:rsidRPr="00970D42">
        <w:rPr>
          <w:rFonts w:cs="Arial"/>
          <w:i/>
          <w:iCs/>
          <w:lang w:val="es-CO" w:eastAsia="es-CO"/>
        </w:rPr>
        <w:t>Capítulo_7</w:t>
      </w:r>
      <w:r>
        <w:rPr>
          <w:rFonts w:cs="Arial"/>
          <w:lang w:val="es-CO" w:eastAsia="es-CO"/>
        </w:rPr>
        <w:t xml:space="preserve"> del archivo </w:t>
      </w:r>
      <w:r w:rsidRPr="00970D42">
        <w:rPr>
          <w:rFonts w:cs="Arial"/>
          <w:i/>
          <w:iCs/>
          <w:lang w:val="es-CO" w:eastAsia="es-CO"/>
        </w:rPr>
        <w:t xml:space="preserve">Calculo ingresos D </w:t>
      </w:r>
      <w:r w:rsidR="00551609">
        <w:rPr>
          <w:rFonts w:cs="Arial"/>
          <w:i/>
          <w:iCs/>
          <w:lang w:val="es-CO" w:eastAsia="es-CO"/>
        </w:rPr>
        <w:t>Caribemar.</w:t>
      </w:r>
      <w:r w:rsidRPr="00970D42">
        <w:rPr>
          <w:rFonts w:cs="Arial"/>
          <w:i/>
          <w:iCs/>
          <w:lang w:val="es-CO" w:eastAsia="es-CO"/>
        </w:rPr>
        <w:t>xlsx</w:t>
      </w:r>
      <w:r>
        <w:rPr>
          <w:rFonts w:cs="Arial"/>
          <w:lang w:val="es-CO" w:eastAsia="es-CO"/>
        </w:rPr>
        <w:t xml:space="preserve"> entregado al OR como parte de los documentos de soporte de la Resolución CREG 02</w:t>
      </w:r>
      <w:r w:rsidR="00551609">
        <w:rPr>
          <w:rFonts w:cs="Arial"/>
          <w:lang w:val="es-CO" w:eastAsia="es-CO"/>
        </w:rPr>
        <w:t>5</w:t>
      </w:r>
      <w:r>
        <w:rPr>
          <w:rFonts w:cs="Arial"/>
          <w:lang w:val="es-CO" w:eastAsia="es-CO"/>
        </w:rPr>
        <w:t xml:space="preserve"> de 2021. </w:t>
      </w:r>
    </w:p>
    <w:p w14:paraId="0229EEA5" w14:textId="1434E1F3" w:rsidR="00BE3D60" w:rsidRDefault="00551609" w:rsidP="008E2080">
      <w:pPr>
        <w:ind w:left="567" w:hanging="142"/>
      </w:pPr>
      <w:r>
        <w:t xml:space="preserve">Con base en lo anterior, no se modifica la información de la variable </w:t>
      </w:r>
      <w:r w:rsidRPr="00D25E16">
        <w:rPr>
          <w:i/>
          <w:iCs/>
        </w:rPr>
        <w:t>EsVSFC</w:t>
      </w:r>
      <w:r w:rsidRPr="00D25E16">
        <w:rPr>
          <w:i/>
          <w:iCs/>
          <w:vertAlign w:val="subscript"/>
        </w:rPr>
        <w:t>j,</w:t>
      </w:r>
      <w:r>
        <w:rPr>
          <w:i/>
          <w:iCs/>
          <w:vertAlign w:val="subscript"/>
        </w:rPr>
        <w:t>n</w:t>
      </w:r>
      <w:r w:rsidRPr="00D25E16">
        <w:rPr>
          <w:i/>
          <w:iCs/>
          <w:vertAlign w:val="subscript"/>
        </w:rPr>
        <w:t>,m</w:t>
      </w:r>
      <w:r>
        <w:rPr>
          <w:i/>
          <w:iCs/>
          <w:vertAlign w:val="subscript"/>
        </w:rPr>
        <w:t xml:space="preserve">, </w:t>
      </w:r>
      <w:r>
        <w:t>ya que para su cálculo se consideraron los ajustes solicitados por el OR durante la actuación administrativa</w:t>
      </w:r>
      <w:r w:rsidR="00C83EBF">
        <w:t>,</w:t>
      </w:r>
      <w:r>
        <w:t xml:space="preserve"> respecto a la aplicación de los campos 36 y 39 de los formatos 2 y 3 de la </w:t>
      </w:r>
      <w:r w:rsidRPr="00FA45B8">
        <w:t>Resolución SSPD 20102400008055</w:t>
      </w:r>
      <w:r w:rsidR="00C83EBF">
        <w:t xml:space="preserve">, </w:t>
      </w:r>
      <w:r>
        <w:t>en el cálculo de las ventas a usuarios regulados, así como la información disponible en el SUI en marzo de 2021.</w:t>
      </w:r>
    </w:p>
    <w:p w14:paraId="1AAED724" w14:textId="7BCBC3A5" w:rsidR="00227F71" w:rsidRDefault="00227F71" w:rsidP="00227F71">
      <w:r>
        <w:rPr>
          <w:b/>
          <w:bCs/>
        </w:rPr>
        <w:t xml:space="preserve">Sexta </w:t>
      </w:r>
      <w:r w:rsidRPr="007654F3">
        <w:rPr>
          <w:b/>
          <w:bCs/>
        </w:rPr>
        <w:t>solicitud</w:t>
      </w:r>
    </w:p>
    <w:p w14:paraId="12533854" w14:textId="308067AB" w:rsidR="00FE775A" w:rsidRPr="00FE775A" w:rsidRDefault="00FE775A" w:rsidP="008E2080">
      <w:pPr>
        <w:spacing w:before="60" w:after="60"/>
        <w:ind w:left="284"/>
        <w:rPr>
          <w:i/>
          <w:iCs/>
          <w:sz w:val="20"/>
          <w:szCs w:val="20"/>
        </w:rPr>
      </w:pPr>
      <w:r w:rsidRPr="00FE775A">
        <w:rPr>
          <w:i/>
          <w:iCs/>
          <w:sz w:val="20"/>
          <w:szCs w:val="20"/>
        </w:rPr>
        <w:t xml:space="preserve">SEXTO: Modificar el artículo 17 de la Resolución CREG 025 de 2021. </w:t>
      </w:r>
    </w:p>
    <w:p w14:paraId="1DA4A9B6" w14:textId="554C43E4" w:rsidR="00FE775A" w:rsidRDefault="00FE775A" w:rsidP="008E2080">
      <w:pPr>
        <w:spacing w:before="60" w:after="60"/>
        <w:ind w:left="284"/>
        <w:rPr>
          <w:i/>
          <w:iCs/>
          <w:sz w:val="20"/>
          <w:szCs w:val="20"/>
        </w:rPr>
      </w:pPr>
      <w:r w:rsidRPr="00FE775A">
        <w:rPr>
          <w:i/>
          <w:iCs/>
          <w:sz w:val="20"/>
          <w:szCs w:val="20"/>
        </w:rPr>
        <w:t xml:space="preserve">3. Ajustar el índice IPTSj,10 por el valor requerido por CaribeMar en la senda de reducción de pérdidas, equivalente a 13,57%.  </w:t>
      </w:r>
      <w:r w:rsidR="00551609">
        <w:rPr>
          <w:i/>
          <w:iCs/>
          <w:sz w:val="20"/>
          <w:szCs w:val="20"/>
        </w:rPr>
        <w:t>(…)</w:t>
      </w:r>
    </w:p>
    <w:p w14:paraId="7BE47FBD" w14:textId="77777777" w:rsidR="00551609" w:rsidRPr="00551609" w:rsidRDefault="00551609" w:rsidP="008E2080">
      <w:pPr>
        <w:spacing w:before="60" w:after="60"/>
        <w:ind w:left="284"/>
        <w:rPr>
          <w:i/>
          <w:iCs/>
          <w:sz w:val="20"/>
          <w:szCs w:val="20"/>
        </w:rPr>
      </w:pPr>
      <w:r w:rsidRPr="00551609">
        <w:rPr>
          <w:i/>
          <w:iCs/>
          <w:sz w:val="20"/>
          <w:szCs w:val="20"/>
        </w:rPr>
        <w:t xml:space="preserve">A. Validación de los Índices de referencia para la senda de reducción de pérdidas, en el cual se concluye lo siguiente:   </w:t>
      </w:r>
    </w:p>
    <w:p w14:paraId="08056322" w14:textId="77777777" w:rsidR="00551609" w:rsidRPr="00551609" w:rsidRDefault="00551609" w:rsidP="008E2080">
      <w:pPr>
        <w:spacing w:before="60" w:after="60"/>
        <w:ind w:left="426" w:hanging="141"/>
        <w:rPr>
          <w:i/>
          <w:iCs/>
          <w:sz w:val="20"/>
          <w:szCs w:val="20"/>
        </w:rPr>
      </w:pPr>
      <w:r w:rsidRPr="00551609">
        <w:rPr>
          <w:i/>
          <w:iCs/>
          <w:sz w:val="20"/>
          <w:szCs w:val="20"/>
        </w:rPr>
        <w:t xml:space="preserve">1. En la Tabla 21 del artículo 17 de la Resolución CREG 025 de 2021, el indicador IPTSj,10 es equivalente a 13,10%, sin embargo, en la senda del plan de gestión de pérdidas aportado por CaribeMar el valor para el citado indicador es de 13,57%.  </w:t>
      </w:r>
    </w:p>
    <w:p w14:paraId="51B8D15D" w14:textId="7944481D" w:rsidR="00551609" w:rsidRPr="00551609" w:rsidRDefault="00551609" w:rsidP="008E2080">
      <w:pPr>
        <w:spacing w:before="60" w:after="60"/>
        <w:ind w:left="426" w:hanging="141"/>
        <w:rPr>
          <w:i/>
          <w:iCs/>
          <w:sz w:val="20"/>
          <w:szCs w:val="20"/>
        </w:rPr>
      </w:pPr>
      <w:r w:rsidRPr="00551609">
        <w:rPr>
          <w:i/>
          <w:iCs/>
          <w:sz w:val="20"/>
          <w:szCs w:val="20"/>
        </w:rPr>
        <w:t xml:space="preserve">2. En el documento CREG 018 de 2021 la Comisión realiza el siguiente comentario: “Para la senda de reducción de pérdidas, el valor inicial corresponde a 25,5% y el valor final corresponde al solicitado por el OR, es decir 13,57%.”  </w:t>
      </w:r>
    </w:p>
    <w:p w14:paraId="69D561A9" w14:textId="3A44B799" w:rsidR="00551609" w:rsidRDefault="00551609" w:rsidP="008E2080">
      <w:pPr>
        <w:spacing w:before="60" w:after="60"/>
        <w:ind w:left="426" w:hanging="141"/>
        <w:rPr>
          <w:i/>
          <w:iCs/>
          <w:sz w:val="20"/>
          <w:szCs w:val="20"/>
        </w:rPr>
      </w:pPr>
      <w:r w:rsidRPr="00551609">
        <w:rPr>
          <w:i/>
          <w:iCs/>
          <w:sz w:val="20"/>
          <w:szCs w:val="20"/>
        </w:rPr>
        <w:t>3. De acuerdo con lo expuesto por la Comisión en el documento CREG 018 de 2021, el valor correcto para el indicador IPTSj,10 es de 13,57%, y no el referido en la Resolución CREG 025 de 2021. En este sentido, consideramos que la resolución debe ser corregida conforme a lo dispuesto en el documento CREG 018 de 2021.</w:t>
      </w:r>
    </w:p>
    <w:p w14:paraId="54FE420F" w14:textId="7F5365A8" w:rsidR="00227F71" w:rsidRDefault="00227F71" w:rsidP="00227F71">
      <w:pPr>
        <w:rPr>
          <w:b/>
          <w:bCs/>
        </w:rPr>
      </w:pPr>
      <w:r w:rsidRPr="007654F3">
        <w:rPr>
          <w:b/>
          <w:bCs/>
        </w:rPr>
        <w:t>Análisis de la Comisión</w:t>
      </w:r>
    </w:p>
    <w:p w14:paraId="3D6FDADD" w14:textId="3AC20608" w:rsidR="00227F71" w:rsidRDefault="00551609" w:rsidP="00227F71">
      <w:r>
        <w:t xml:space="preserve">Se verificó que la información de la variable </w:t>
      </w:r>
      <w:r w:rsidRPr="00551609">
        <w:rPr>
          <w:i/>
          <w:iCs/>
          <w:sz w:val="20"/>
          <w:szCs w:val="20"/>
        </w:rPr>
        <w:t>IPTS</w:t>
      </w:r>
      <w:r w:rsidRPr="00551609">
        <w:rPr>
          <w:i/>
          <w:iCs/>
          <w:sz w:val="20"/>
          <w:szCs w:val="20"/>
          <w:vertAlign w:val="subscript"/>
        </w:rPr>
        <w:t>j,10</w:t>
      </w:r>
      <w:r>
        <w:rPr>
          <w:i/>
          <w:iCs/>
          <w:sz w:val="20"/>
          <w:szCs w:val="20"/>
        </w:rPr>
        <w:t xml:space="preserve"> </w:t>
      </w:r>
      <w:r>
        <w:t xml:space="preserve">aprobada en la Resolución CREG 025 de 2021 no </w:t>
      </w:r>
      <w:r w:rsidRPr="00551609">
        <w:t>coincide con</w:t>
      </w:r>
      <w:r>
        <w:rPr>
          <w:sz w:val="20"/>
          <w:szCs w:val="20"/>
        </w:rPr>
        <w:t xml:space="preserve"> </w:t>
      </w:r>
      <w:r>
        <w:t xml:space="preserve">la información entregada por el OR en la solicitud de aprobación de ingresos, por lo cual, se ajusta el valor </w:t>
      </w:r>
      <w:r w:rsidR="000C7F17">
        <w:t>según la solicitud del OR</w:t>
      </w:r>
      <w:r>
        <w:t>.</w:t>
      </w:r>
    </w:p>
    <w:p w14:paraId="27372C67" w14:textId="4D7528F3" w:rsidR="00227F71" w:rsidRDefault="00227F71" w:rsidP="00227F71">
      <w:r>
        <w:rPr>
          <w:b/>
          <w:bCs/>
        </w:rPr>
        <w:t xml:space="preserve">Séptima </w:t>
      </w:r>
      <w:r w:rsidRPr="007654F3">
        <w:rPr>
          <w:b/>
          <w:bCs/>
        </w:rPr>
        <w:t>solicitud</w:t>
      </w:r>
      <w:r>
        <w:rPr>
          <w:b/>
          <w:bCs/>
        </w:rPr>
        <w:t>, numeral 1</w:t>
      </w:r>
    </w:p>
    <w:p w14:paraId="510F71A0" w14:textId="39392B91" w:rsidR="00FE775A" w:rsidRPr="00FE775A" w:rsidRDefault="00FE775A" w:rsidP="008E2080">
      <w:pPr>
        <w:spacing w:before="60" w:after="60"/>
        <w:ind w:left="284"/>
        <w:rPr>
          <w:i/>
          <w:iCs/>
          <w:sz w:val="20"/>
          <w:szCs w:val="20"/>
        </w:rPr>
      </w:pPr>
      <w:r w:rsidRPr="00FE775A">
        <w:rPr>
          <w:i/>
          <w:iCs/>
          <w:sz w:val="20"/>
          <w:szCs w:val="20"/>
        </w:rPr>
        <w:t xml:space="preserve">SÉPTIMO: Modificar el artículo 18 de la Resolución CREG 025 de 2021, en el siguiente sentido:  </w:t>
      </w:r>
    </w:p>
    <w:p w14:paraId="6AD489F5" w14:textId="7C1AB77D" w:rsidR="00FE775A" w:rsidRDefault="00FE775A" w:rsidP="008E2080">
      <w:pPr>
        <w:spacing w:before="60" w:after="60"/>
        <w:ind w:left="284"/>
        <w:rPr>
          <w:i/>
          <w:iCs/>
          <w:sz w:val="20"/>
          <w:szCs w:val="20"/>
        </w:rPr>
      </w:pPr>
      <w:r w:rsidRPr="00FE775A">
        <w:rPr>
          <w:i/>
          <w:iCs/>
          <w:sz w:val="20"/>
          <w:szCs w:val="20"/>
        </w:rPr>
        <w:t xml:space="preserve">1. Considerar para la obtención del Costo anual del plan de gestión de pérdidas, el costo del plan de reducción de pérdidas presentado por CaribeMar. </w:t>
      </w:r>
      <w:r w:rsidR="000C7F17">
        <w:rPr>
          <w:i/>
          <w:iCs/>
          <w:sz w:val="20"/>
          <w:szCs w:val="20"/>
        </w:rPr>
        <w:t>(…)</w:t>
      </w:r>
    </w:p>
    <w:p w14:paraId="6123C0FF" w14:textId="77777777" w:rsidR="000C7F17" w:rsidRPr="000C7F17" w:rsidRDefault="000C7F17" w:rsidP="008E2080">
      <w:pPr>
        <w:spacing w:before="60" w:after="60"/>
        <w:ind w:left="284"/>
        <w:rPr>
          <w:i/>
          <w:iCs/>
          <w:sz w:val="20"/>
          <w:szCs w:val="20"/>
        </w:rPr>
      </w:pPr>
      <w:r w:rsidRPr="000C7F17">
        <w:rPr>
          <w:i/>
          <w:iCs/>
          <w:sz w:val="20"/>
          <w:szCs w:val="20"/>
        </w:rPr>
        <w:t xml:space="preserve">A. Acorde con el concepto de la Comisión, </w:t>
      </w:r>
      <w:r w:rsidRPr="000C7F17">
        <w:rPr>
          <w:i/>
          <w:iCs/>
          <w:sz w:val="20"/>
          <w:szCs w:val="20"/>
          <w:u w:val="single"/>
        </w:rPr>
        <w:t>los criterios para la definición del plan de gestión de pérdidas para CaribeMar, no se ajustan a lo establecido por norma e incorpora un procedimiento adicional no previsto</w:t>
      </w:r>
      <w:r w:rsidRPr="000C7F17">
        <w:rPr>
          <w:i/>
          <w:iCs/>
          <w:sz w:val="20"/>
          <w:szCs w:val="20"/>
        </w:rPr>
        <w:t xml:space="preserve">. Teniendo en cuenta lo anterior, se expone lo siguiente:  </w:t>
      </w:r>
    </w:p>
    <w:p w14:paraId="33AFE4DB" w14:textId="77777777" w:rsidR="000C7F17" w:rsidRPr="000C7F17" w:rsidRDefault="000C7F17" w:rsidP="008E2080">
      <w:pPr>
        <w:spacing w:before="60" w:after="60"/>
        <w:ind w:left="284"/>
        <w:rPr>
          <w:i/>
          <w:iCs/>
          <w:sz w:val="20"/>
          <w:szCs w:val="20"/>
        </w:rPr>
      </w:pPr>
      <w:r w:rsidRPr="000C7F17">
        <w:rPr>
          <w:i/>
          <w:iCs/>
          <w:sz w:val="20"/>
          <w:szCs w:val="20"/>
        </w:rPr>
        <w:t xml:space="preserve">1. El Costo total del plan estimado por CaribeMar y presentado a la Comisión corresponde a 1.429.649 millones de pesos de diciembre de 2017, sin embargo el valor indicado en la hoja resultados del libro Excel “Calculo ingresos D Caribemar.xlsx” se determinó en 381.394 millones de pesos, </w:t>
      </w:r>
      <w:r w:rsidRPr="000C7F17">
        <w:rPr>
          <w:i/>
          <w:iCs/>
          <w:sz w:val="20"/>
          <w:szCs w:val="20"/>
          <w:u w:val="single"/>
        </w:rPr>
        <w:t>lo que obedece a un plan ajustado y depurado por la Comisión</w:t>
      </w:r>
      <w:r w:rsidRPr="000C7F17">
        <w:rPr>
          <w:i/>
          <w:iCs/>
          <w:sz w:val="20"/>
          <w:szCs w:val="20"/>
        </w:rPr>
        <w:t xml:space="preserve">.  </w:t>
      </w:r>
    </w:p>
    <w:p w14:paraId="68BB18AC" w14:textId="4F9FD0EC" w:rsidR="000C7F17" w:rsidRDefault="000C7F17" w:rsidP="008E2080">
      <w:pPr>
        <w:spacing w:before="60" w:after="60"/>
        <w:ind w:left="284"/>
        <w:rPr>
          <w:i/>
          <w:iCs/>
          <w:sz w:val="20"/>
          <w:szCs w:val="20"/>
        </w:rPr>
      </w:pPr>
      <w:r w:rsidRPr="000C7F17">
        <w:rPr>
          <w:i/>
          <w:iCs/>
          <w:sz w:val="20"/>
          <w:szCs w:val="20"/>
        </w:rPr>
        <w:t xml:space="preserve">2. </w:t>
      </w:r>
      <w:r w:rsidRPr="000C7F17">
        <w:rPr>
          <w:i/>
          <w:iCs/>
          <w:sz w:val="20"/>
          <w:szCs w:val="20"/>
          <w:u w:val="single"/>
        </w:rPr>
        <w:t>La Comisión mediante el modelo de costos eficientes y la información del mercado operado por CaribeMar, obtuvo un resultado del Costo total del plan estimado con el modelo de costos eficientes, equivalente a 847.795 millones de pesos</w:t>
      </w:r>
      <w:r w:rsidRPr="000C7F17">
        <w:rPr>
          <w:i/>
          <w:iCs/>
          <w:sz w:val="20"/>
          <w:szCs w:val="20"/>
        </w:rPr>
        <w:t>, conforme consta en el documento CREG-018 de 2021 en el numeral 3 “Resultados Generales” del libro Excel “Calculo ingresos D Caribemar.xlsx.</w:t>
      </w:r>
    </w:p>
    <w:p w14:paraId="6A04F186" w14:textId="77777777" w:rsidR="000C7F17" w:rsidRPr="000C7F17" w:rsidRDefault="000C7F17" w:rsidP="008E2080">
      <w:pPr>
        <w:spacing w:before="60" w:after="60"/>
        <w:ind w:left="284"/>
        <w:rPr>
          <w:i/>
          <w:iCs/>
          <w:sz w:val="20"/>
          <w:szCs w:val="20"/>
        </w:rPr>
      </w:pPr>
      <w:r w:rsidRPr="000C7F17">
        <w:rPr>
          <w:i/>
          <w:iCs/>
          <w:sz w:val="20"/>
          <w:szCs w:val="20"/>
        </w:rPr>
        <w:t xml:space="preserve">3. Se debe tener en cuenta que el valor resultante del modelo de costos eficientes se obtiene a partir del modelo desarrollado por la Universidad de Pereira – UTP </w:t>
      </w:r>
      <w:r w:rsidRPr="000C7F17">
        <w:rPr>
          <w:i/>
          <w:iCs/>
          <w:sz w:val="20"/>
          <w:szCs w:val="20"/>
          <w:u w:val="single"/>
        </w:rPr>
        <w:t>con la historia de los programas de gestión de pérdidas que las empresas llevaron a cabo durante los últimos años y no integra conceptos recientes como la infraestructura de medición avanzada (AMI)</w:t>
      </w:r>
      <w:r w:rsidRPr="000C7F17">
        <w:rPr>
          <w:i/>
          <w:iCs/>
          <w:sz w:val="20"/>
          <w:szCs w:val="20"/>
        </w:rPr>
        <w:t xml:space="preserve">. Dicho modelo, entrega un costo eficiente en las condiciones bajo las cuales se encuentra reglamentada la Resolución CREG 015 de 2018, que implica un despliegue del plan de gestión de pérdidas </w:t>
      </w:r>
      <w:r w:rsidRPr="000C7F17">
        <w:rPr>
          <w:i/>
          <w:iCs/>
          <w:sz w:val="20"/>
          <w:szCs w:val="20"/>
          <w:u w:val="single"/>
        </w:rPr>
        <w:t>que no tiene asociados los costos de implementación de tecnologías AMI</w:t>
      </w:r>
      <w:r w:rsidRPr="000C7F17">
        <w:rPr>
          <w:i/>
          <w:iCs/>
          <w:sz w:val="20"/>
          <w:szCs w:val="20"/>
        </w:rPr>
        <w:t xml:space="preserve">.  </w:t>
      </w:r>
    </w:p>
    <w:p w14:paraId="5AB29478" w14:textId="77777777" w:rsidR="000C7F17" w:rsidRPr="000C7F17" w:rsidRDefault="000C7F17" w:rsidP="008E2080">
      <w:pPr>
        <w:spacing w:before="60" w:after="60"/>
        <w:ind w:left="284"/>
        <w:rPr>
          <w:i/>
          <w:iCs/>
          <w:sz w:val="20"/>
          <w:szCs w:val="20"/>
        </w:rPr>
      </w:pPr>
      <w:r w:rsidRPr="000C7F17">
        <w:rPr>
          <w:i/>
          <w:iCs/>
          <w:sz w:val="20"/>
          <w:szCs w:val="20"/>
        </w:rPr>
        <w:t xml:space="preserve">4. Conforme lo señala la Comisión en el documento CREG 018 de 2021, esta Comisión evidencio en los anexos y documentos, alguna información que le permite concluir que el OR reportó proyectos con infraestructura de medición avanzada (AMI), razón por la cual, excluye lo que relaciona como inversión relacionada con proyectos implementados con Infraestructura de Medición Avanzada (AMI) y ajusta el plan de gestión de pérdidas presentado por el OR, </w:t>
      </w:r>
      <w:r w:rsidRPr="000C7F17">
        <w:rPr>
          <w:i/>
          <w:iCs/>
          <w:sz w:val="20"/>
          <w:szCs w:val="20"/>
          <w:u w:val="single"/>
        </w:rPr>
        <w:t>aunque se debe resaltar que el OR plantea como objetivo la instalación de medición centralizada, como estrategia dentro del plan de reducción de pérdidas</w:t>
      </w:r>
      <w:r w:rsidRPr="000C7F17">
        <w:rPr>
          <w:i/>
          <w:iCs/>
          <w:sz w:val="20"/>
          <w:szCs w:val="20"/>
        </w:rPr>
        <w:t xml:space="preserve">.  </w:t>
      </w:r>
    </w:p>
    <w:p w14:paraId="0FF6A3ED" w14:textId="77777777" w:rsidR="000C7F17" w:rsidRPr="000C7F17" w:rsidRDefault="000C7F17" w:rsidP="008E2080">
      <w:pPr>
        <w:spacing w:before="60" w:after="60"/>
        <w:ind w:left="284"/>
        <w:rPr>
          <w:i/>
          <w:iCs/>
          <w:sz w:val="20"/>
          <w:szCs w:val="20"/>
        </w:rPr>
      </w:pPr>
      <w:r w:rsidRPr="000C7F17">
        <w:rPr>
          <w:i/>
          <w:iCs/>
          <w:sz w:val="20"/>
          <w:szCs w:val="20"/>
        </w:rPr>
        <w:t xml:space="preserve">5. La Comisión compara el resultado del modelo de costos eficiente (CPCEj) con el valor resultante del costo total del plan estimado por el OR ajustado por la Comisión (CPOR), resultando como costo anual el plan de gestión de pérdidas (CAPj) que es el costo del plan ajustado por la Comisión.  </w:t>
      </w:r>
    </w:p>
    <w:p w14:paraId="5C1559CA" w14:textId="27FE3AE3" w:rsidR="000C7F17" w:rsidRDefault="000C7F17" w:rsidP="008E2080">
      <w:pPr>
        <w:spacing w:before="60" w:after="60"/>
        <w:ind w:left="284"/>
        <w:rPr>
          <w:i/>
          <w:iCs/>
          <w:sz w:val="20"/>
          <w:szCs w:val="20"/>
        </w:rPr>
      </w:pPr>
      <w:r w:rsidRPr="000C7F17">
        <w:rPr>
          <w:i/>
          <w:iCs/>
          <w:sz w:val="20"/>
          <w:szCs w:val="20"/>
        </w:rPr>
        <w:t xml:space="preserve">6. </w:t>
      </w:r>
      <w:r w:rsidRPr="000C7F17">
        <w:rPr>
          <w:i/>
          <w:iCs/>
          <w:sz w:val="20"/>
          <w:szCs w:val="20"/>
          <w:u w:val="single"/>
        </w:rPr>
        <w:t>En el entendido que el resultado del modelo de costos eficientes (CPCEj) es el valor que requiere un OR para realizar como mínimo su plan de gestión de pérdidas y en esta etapa se ha surtido toda la depuración de los costos, incluido cualquier posibilidad que un OR proyecte instalar Infraestructura Medición Avanzada (AMI)</w:t>
      </w:r>
      <w:r w:rsidRPr="000C7F17">
        <w:rPr>
          <w:i/>
          <w:iCs/>
          <w:sz w:val="20"/>
          <w:szCs w:val="20"/>
        </w:rPr>
        <w:t xml:space="preserve">, en este sentido, </w:t>
      </w:r>
      <w:r w:rsidRPr="000C7F17">
        <w:rPr>
          <w:i/>
          <w:iCs/>
          <w:sz w:val="20"/>
          <w:szCs w:val="20"/>
          <w:u w:val="single"/>
        </w:rPr>
        <w:t>no entendemos por qué la Comisión realiza la depuración del costo de plan suministrado por el OR y no realiza la comparación del costo eficiente (CPCEj) con el valor del plan presentado por el OR</w:t>
      </w:r>
      <w:r w:rsidRPr="000C7F17">
        <w:rPr>
          <w:i/>
          <w:iCs/>
          <w:sz w:val="20"/>
          <w:szCs w:val="20"/>
        </w:rPr>
        <w:t>, en cuyo sentido, el valor resultante a aprobar a Caribe Mar sería los 847.795 millones de pesos que indica el modelo de costos eficientes.</w:t>
      </w:r>
    </w:p>
    <w:p w14:paraId="5F25CF55" w14:textId="02B8F106" w:rsidR="000C7F17" w:rsidRPr="00FE775A" w:rsidRDefault="000C7F17" w:rsidP="008E2080">
      <w:pPr>
        <w:spacing w:before="60" w:after="60"/>
        <w:ind w:left="284"/>
        <w:rPr>
          <w:i/>
          <w:iCs/>
          <w:sz w:val="20"/>
          <w:szCs w:val="20"/>
        </w:rPr>
      </w:pPr>
      <w:r>
        <w:rPr>
          <w:i/>
          <w:iCs/>
          <w:sz w:val="20"/>
          <w:szCs w:val="20"/>
        </w:rPr>
        <w:t>Subrayado fuera de texto</w:t>
      </w:r>
    </w:p>
    <w:p w14:paraId="6995AF4B" w14:textId="422578A5" w:rsidR="00227F71" w:rsidRDefault="00227F71" w:rsidP="00227F71">
      <w:r w:rsidRPr="007654F3">
        <w:rPr>
          <w:b/>
          <w:bCs/>
        </w:rPr>
        <w:t>Análisis de la Comisión</w:t>
      </w:r>
    </w:p>
    <w:p w14:paraId="29F4B497" w14:textId="77777777" w:rsidR="00CB6810" w:rsidRDefault="00CB6810" w:rsidP="00CB6810">
      <w:r>
        <w:t xml:space="preserve">El numeral 7.3.2.3 de la Resolución CREG 015 de 2018, modificado en la Resolución CREG 085 de 2018 establece lo siguiente respecto al cálculo de la variable </w:t>
      </w:r>
      <w:r w:rsidRPr="001F6D53">
        <w:rPr>
          <w:i/>
          <w:iCs/>
        </w:rPr>
        <w:t>CP</w:t>
      </w:r>
      <w:r>
        <w:rPr>
          <w:i/>
          <w:iCs/>
        </w:rPr>
        <w:t>O</w:t>
      </w:r>
      <w:r w:rsidRPr="001F6D53">
        <w:rPr>
          <w:i/>
          <w:iCs/>
        </w:rPr>
        <w:t>R</w:t>
      </w:r>
      <w:r w:rsidRPr="001F6D53">
        <w:rPr>
          <w:i/>
          <w:iCs/>
          <w:vertAlign w:val="subscript"/>
        </w:rPr>
        <w:t>j</w:t>
      </w:r>
      <w:r>
        <w:t>:</w:t>
      </w:r>
    </w:p>
    <w:p w14:paraId="2BC0CA64" w14:textId="77777777" w:rsidR="00CB6810" w:rsidRPr="001F6D53" w:rsidRDefault="00CB6810" w:rsidP="00CB6810">
      <w:pPr>
        <w:spacing w:before="60" w:after="60"/>
        <w:ind w:left="708"/>
        <w:rPr>
          <w:b/>
          <w:i/>
          <w:iCs/>
          <w:sz w:val="20"/>
          <w:szCs w:val="20"/>
          <w:highlight w:val="cyan"/>
          <w:lang w:val="es-CO"/>
        </w:rPr>
      </w:pPr>
      <w:r w:rsidRPr="001F6D53">
        <w:rPr>
          <w:b/>
          <w:i/>
          <w:iCs/>
          <w:sz w:val="20"/>
          <w:szCs w:val="20"/>
          <w:lang w:val="es-CO"/>
        </w:rPr>
        <w:t>7.3.2.3. Cálculo de la variable CPORj</w:t>
      </w:r>
    </w:p>
    <w:p w14:paraId="1E212763" w14:textId="77777777" w:rsidR="00CB6810" w:rsidRPr="001F6D53" w:rsidRDefault="00CB6810" w:rsidP="00CB6810">
      <w:pPr>
        <w:spacing w:before="60" w:after="60"/>
        <w:ind w:left="708"/>
        <w:rPr>
          <w:i/>
          <w:iCs/>
          <w:sz w:val="20"/>
          <w:szCs w:val="20"/>
        </w:rPr>
      </w:pPr>
      <w:r w:rsidRPr="001F6D53">
        <w:rPr>
          <w:i/>
          <w:iCs/>
          <w:sz w:val="20"/>
          <w:szCs w:val="20"/>
          <w:lang w:val="es-ES_tradnl"/>
        </w:rPr>
        <w:t>La variable CPOR</w:t>
      </w:r>
      <w:r w:rsidRPr="001F6D53">
        <w:rPr>
          <w:i/>
          <w:iCs/>
          <w:sz w:val="20"/>
          <w:szCs w:val="20"/>
          <w:vertAlign w:val="subscript"/>
          <w:lang w:val="es-ES_tradnl"/>
        </w:rPr>
        <w:t>j</w:t>
      </w:r>
      <w:r w:rsidRPr="001F6D53">
        <w:rPr>
          <w:i/>
          <w:iCs/>
          <w:sz w:val="20"/>
          <w:szCs w:val="20"/>
          <w:lang w:val="es-ES_tradnl"/>
        </w:rPr>
        <w:t xml:space="preserve"> está conformada por los gastos de AOM relacionados con pérdidas de energía y por la remuneración de las inversiones mencionadas en el numeral 7.3.2.1, según la siguiente expresión:</w:t>
      </w:r>
    </w:p>
    <w:p w14:paraId="78F0B842" w14:textId="77777777" w:rsidR="00CB6810" w:rsidRPr="009F7EE2" w:rsidRDefault="00BB77CD" w:rsidP="00CB6810">
      <w:pPr>
        <w:spacing w:before="60" w:after="60"/>
        <w:ind w:left="708"/>
        <w:rPr>
          <w:i/>
          <w:iCs/>
          <w:sz w:val="18"/>
          <w:szCs w:val="18"/>
        </w:rPr>
      </w:pPr>
      <m:oMathPara>
        <m:oMath>
          <m:sSub>
            <m:sSubPr>
              <m:ctrlPr>
                <w:rPr>
                  <w:rFonts w:ascii="Cambria Math" w:hAnsi="Cambria Math"/>
                  <w:i/>
                  <w:iCs/>
                  <w:sz w:val="18"/>
                  <w:szCs w:val="18"/>
                </w:rPr>
              </m:ctrlPr>
            </m:sSubPr>
            <m:e>
              <m:r>
                <w:rPr>
                  <w:rFonts w:ascii="Cambria Math" w:hAnsi="Cambria Math"/>
                  <w:sz w:val="18"/>
                  <w:szCs w:val="18"/>
                </w:rPr>
                <m:t>CPOR</m:t>
              </m:r>
            </m:e>
            <m:sub>
              <m:r>
                <w:rPr>
                  <w:rFonts w:ascii="Cambria Math" w:hAnsi="Cambria Math"/>
                  <w:sz w:val="18"/>
                  <w:szCs w:val="18"/>
                </w:rPr>
                <m:t>j</m:t>
              </m:r>
            </m:sub>
          </m:sSub>
          <m:r>
            <w:rPr>
              <w:rFonts w:ascii="Cambria Math" w:hAnsi="Cambria Math"/>
              <w:sz w:val="18"/>
              <w:szCs w:val="18"/>
            </w:rPr>
            <m:t>=</m:t>
          </m:r>
          <m:sSub>
            <m:sSubPr>
              <m:ctrlPr>
                <w:rPr>
                  <w:rFonts w:ascii="Cambria Math" w:hAnsi="Cambria Math"/>
                  <w:i/>
                  <w:iCs/>
                  <w:sz w:val="18"/>
                  <w:szCs w:val="18"/>
                </w:rPr>
              </m:ctrlPr>
            </m:sSubPr>
            <m:e>
              <m:r>
                <w:rPr>
                  <w:rFonts w:ascii="Cambria Math" w:hAnsi="Cambria Math"/>
                  <w:sz w:val="18"/>
                  <w:szCs w:val="18"/>
                </w:rPr>
                <m:t>INVNUC</m:t>
              </m:r>
            </m:e>
            <m:sub>
              <m:r>
                <w:rPr>
                  <w:rFonts w:ascii="Cambria Math" w:hAnsi="Cambria Math"/>
                  <w:sz w:val="18"/>
                  <w:szCs w:val="18"/>
                </w:rPr>
                <m:t>j</m:t>
              </m:r>
            </m:sub>
          </m:sSub>
          <m:r>
            <w:rPr>
              <w:rFonts w:ascii="Cambria Math" w:hAnsi="Cambria Math"/>
              <w:sz w:val="18"/>
              <w:szCs w:val="18"/>
            </w:rPr>
            <m:t>+</m:t>
          </m:r>
          <m:f>
            <m:fPr>
              <m:ctrlPr>
                <w:rPr>
                  <w:rFonts w:ascii="Cambria Math" w:hAnsi="Cambria Math"/>
                  <w:i/>
                  <w:iCs/>
                  <w:sz w:val="18"/>
                  <w:szCs w:val="18"/>
                </w:rPr>
              </m:ctrlPr>
            </m:fPr>
            <m:num>
              <m:r>
                <w:rPr>
                  <w:rFonts w:ascii="Cambria Math" w:hAnsi="Cambria Math"/>
                  <w:sz w:val="18"/>
                  <w:szCs w:val="18"/>
                </w:rPr>
                <m:t>DP</m:t>
              </m:r>
            </m:num>
            <m:den>
              <m:r>
                <w:rPr>
                  <w:rFonts w:ascii="Cambria Math" w:hAnsi="Cambria Math"/>
                  <w:sz w:val="18"/>
                  <w:szCs w:val="18"/>
                </w:rPr>
                <m:t>5</m:t>
              </m:r>
            </m:den>
          </m:f>
          <m:r>
            <w:rPr>
              <w:rFonts w:ascii="Cambria Math" w:hAnsi="Cambria Math"/>
              <w:sz w:val="18"/>
              <w:szCs w:val="18"/>
            </w:rPr>
            <m:t>*</m:t>
          </m:r>
          <m:nary>
            <m:naryPr>
              <m:chr m:val="∑"/>
              <m:limLoc m:val="undOvr"/>
              <m:ctrlPr>
                <w:rPr>
                  <w:rFonts w:ascii="Cambria Math" w:hAnsi="Cambria Math"/>
                  <w:i/>
                  <w:iCs/>
                  <w:sz w:val="18"/>
                  <w:szCs w:val="18"/>
                </w:rPr>
              </m:ctrlPr>
            </m:naryPr>
            <m:sub>
              <m:r>
                <w:rPr>
                  <w:rFonts w:ascii="Cambria Math" w:hAnsi="Cambria Math"/>
                  <w:sz w:val="18"/>
                  <w:szCs w:val="18"/>
                </w:rPr>
                <m:t>k=1</m:t>
              </m:r>
            </m:sub>
            <m:sup>
              <m:sSub>
                <m:sSubPr>
                  <m:ctrlPr>
                    <w:rPr>
                      <w:rFonts w:ascii="Cambria Math" w:hAnsi="Cambria Math"/>
                      <w:i/>
                      <w:iCs/>
                      <w:sz w:val="18"/>
                      <w:szCs w:val="18"/>
                    </w:rPr>
                  </m:ctrlPr>
                </m:sSubPr>
                <m:e>
                  <m:r>
                    <w:rPr>
                      <w:rFonts w:ascii="Cambria Math" w:hAnsi="Cambria Math"/>
                      <w:sz w:val="18"/>
                      <w:szCs w:val="18"/>
                    </w:rPr>
                    <m:t>K</m:t>
                  </m:r>
                </m:e>
                <m:sub>
                  <m:r>
                    <w:rPr>
                      <w:rFonts w:ascii="Cambria Math" w:hAnsi="Cambria Math"/>
                      <w:sz w:val="18"/>
                      <w:szCs w:val="18"/>
                    </w:rPr>
                    <m:t>j</m:t>
                  </m:r>
                </m:sub>
              </m:sSub>
            </m:sup>
            <m:e>
              <m:sSub>
                <m:sSubPr>
                  <m:ctrlPr>
                    <w:rPr>
                      <w:rFonts w:ascii="Cambria Math" w:hAnsi="Cambria Math"/>
                      <w:i/>
                      <w:iCs/>
                      <w:sz w:val="18"/>
                      <w:szCs w:val="18"/>
                    </w:rPr>
                  </m:ctrlPr>
                </m:sSubPr>
                <m:e>
                  <m:r>
                    <w:rPr>
                      <w:rFonts w:ascii="Cambria Math" w:hAnsi="Cambria Math"/>
                      <w:sz w:val="18"/>
                      <w:szCs w:val="18"/>
                    </w:rPr>
                    <m:t>AOMP</m:t>
                  </m:r>
                </m:e>
                <m:sub>
                  <m:r>
                    <w:rPr>
                      <w:rFonts w:ascii="Cambria Math" w:hAnsi="Cambria Math"/>
                      <w:sz w:val="18"/>
                      <w:szCs w:val="18"/>
                    </w:rPr>
                    <m:t>j,k</m:t>
                  </m:r>
                </m:sub>
              </m:sSub>
            </m:e>
          </m:nary>
        </m:oMath>
      </m:oMathPara>
    </w:p>
    <w:p w14:paraId="45D9BE21" w14:textId="77777777" w:rsidR="00CB6810" w:rsidRPr="001F6D53" w:rsidRDefault="00CB6810" w:rsidP="00CB6810">
      <w:pPr>
        <w:spacing w:before="60" w:after="60"/>
        <w:ind w:left="708"/>
        <w:rPr>
          <w:i/>
          <w:iCs/>
          <w:sz w:val="20"/>
          <w:szCs w:val="20"/>
        </w:rPr>
      </w:pPr>
      <w:r w:rsidRPr="001F6D53">
        <w:rPr>
          <w:i/>
          <w:iCs/>
          <w:sz w:val="20"/>
          <w:szCs w:val="20"/>
          <w:lang w:val="es-ES_tradnl"/>
        </w:rPr>
        <w:t>Donde:</w:t>
      </w:r>
    </w:p>
    <w:p w14:paraId="4D5FBF18" w14:textId="77777777" w:rsidR="00CB6810" w:rsidRPr="001F6D53" w:rsidRDefault="00CB6810" w:rsidP="00CB6810">
      <w:pPr>
        <w:spacing w:before="60" w:after="60"/>
        <w:ind w:left="2126" w:hanging="1418"/>
        <w:rPr>
          <w:i/>
          <w:iCs/>
          <w:sz w:val="20"/>
          <w:szCs w:val="20"/>
        </w:rPr>
      </w:pPr>
      <w:r w:rsidRPr="001F6D53">
        <w:rPr>
          <w:i/>
          <w:iCs/>
          <w:sz w:val="20"/>
          <w:szCs w:val="20"/>
        </w:rPr>
        <w:t>CPOR</w:t>
      </w:r>
      <w:r w:rsidRPr="001F6D53">
        <w:rPr>
          <w:i/>
          <w:iCs/>
          <w:sz w:val="20"/>
          <w:szCs w:val="20"/>
          <w:vertAlign w:val="subscript"/>
        </w:rPr>
        <w:t>j</w:t>
      </w:r>
      <w:r w:rsidRPr="001F6D53">
        <w:rPr>
          <w:i/>
          <w:iCs/>
          <w:sz w:val="20"/>
          <w:szCs w:val="20"/>
        </w:rPr>
        <w:t xml:space="preserve">: </w:t>
      </w:r>
      <w:r w:rsidRPr="001F6D53">
        <w:rPr>
          <w:i/>
          <w:iCs/>
          <w:sz w:val="20"/>
          <w:szCs w:val="20"/>
        </w:rPr>
        <w:tab/>
        <w:t>Costo total del plan, en pesos de la fecha de corte, presentado por el OR j para su aprobación.</w:t>
      </w:r>
    </w:p>
    <w:p w14:paraId="6D32E404" w14:textId="77777777" w:rsidR="00CB6810" w:rsidRPr="001F6D53" w:rsidRDefault="00CB6810" w:rsidP="00CB6810">
      <w:pPr>
        <w:spacing w:before="60" w:after="60"/>
        <w:ind w:left="2126" w:hanging="1418"/>
        <w:rPr>
          <w:i/>
          <w:iCs/>
          <w:sz w:val="20"/>
          <w:szCs w:val="20"/>
        </w:rPr>
      </w:pPr>
      <w:r w:rsidRPr="001F6D53">
        <w:rPr>
          <w:i/>
          <w:iCs/>
          <w:sz w:val="20"/>
          <w:szCs w:val="20"/>
        </w:rPr>
        <w:t>INVNUC</w:t>
      </w:r>
      <w:r w:rsidRPr="001F6D53">
        <w:rPr>
          <w:i/>
          <w:iCs/>
          <w:sz w:val="20"/>
          <w:szCs w:val="20"/>
          <w:vertAlign w:val="subscript"/>
        </w:rPr>
        <w:t>j</w:t>
      </w:r>
      <w:r w:rsidRPr="001F6D53">
        <w:rPr>
          <w:i/>
          <w:iCs/>
          <w:sz w:val="20"/>
          <w:szCs w:val="20"/>
        </w:rPr>
        <w:t xml:space="preserve">: </w:t>
      </w:r>
      <w:r w:rsidRPr="001F6D53">
        <w:rPr>
          <w:i/>
          <w:iCs/>
          <w:sz w:val="20"/>
          <w:szCs w:val="20"/>
        </w:rPr>
        <w:tab/>
      </w:r>
      <w:r w:rsidRPr="001F6D53">
        <w:rPr>
          <w:i/>
          <w:iCs/>
          <w:sz w:val="20"/>
          <w:szCs w:val="20"/>
          <w:u w:val="single"/>
        </w:rPr>
        <w:t>Costo de las inversiones en activos que no son clasificables como UC del OR</w:t>
      </w:r>
      <w:r w:rsidRPr="001F6D53">
        <w:rPr>
          <w:i/>
          <w:iCs/>
          <w:sz w:val="20"/>
          <w:szCs w:val="20"/>
        </w:rPr>
        <w:t xml:space="preserve"> j, aplicable para los planes de reducción de pérdidas. Para los OR con plan de mantenimiento de pérdidas este valor es igual a cero (0).</w:t>
      </w:r>
    </w:p>
    <w:p w14:paraId="546267A9" w14:textId="77777777" w:rsidR="00CB6810" w:rsidRPr="001F6D53" w:rsidRDefault="00CB6810" w:rsidP="00CB6810">
      <w:pPr>
        <w:spacing w:before="60" w:after="60"/>
        <w:ind w:left="2126" w:hanging="1418"/>
        <w:rPr>
          <w:i/>
          <w:iCs/>
          <w:sz w:val="20"/>
          <w:szCs w:val="20"/>
        </w:rPr>
      </w:pPr>
      <w:r w:rsidRPr="001F6D53">
        <w:rPr>
          <w:i/>
          <w:iCs/>
          <w:sz w:val="20"/>
          <w:szCs w:val="20"/>
        </w:rPr>
        <w:t>AOMP</w:t>
      </w:r>
      <w:r w:rsidRPr="001F6D53">
        <w:rPr>
          <w:i/>
          <w:iCs/>
          <w:sz w:val="20"/>
          <w:szCs w:val="20"/>
          <w:vertAlign w:val="subscript"/>
        </w:rPr>
        <w:t>j,k</w:t>
      </w:r>
      <w:r w:rsidRPr="001F6D53">
        <w:rPr>
          <w:i/>
          <w:iCs/>
          <w:sz w:val="20"/>
          <w:szCs w:val="20"/>
        </w:rPr>
        <w:t>:</w:t>
      </w:r>
      <w:r w:rsidRPr="001F6D53">
        <w:rPr>
          <w:i/>
          <w:iCs/>
          <w:sz w:val="20"/>
          <w:szCs w:val="20"/>
        </w:rPr>
        <w:tab/>
        <w:t xml:space="preserve">Gastos del OR j en pérdidas de energía, durante los años k (de 2012 al 2016). </w:t>
      </w:r>
      <w:r w:rsidRPr="001F6D53">
        <w:rPr>
          <w:i/>
          <w:iCs/>
          <w:sz w:val="20"/>
          <w:szCs w:val="20"/>
          <w:u w:val="single"/>
        </w:rPr>
        <w:t>Esta información corresponde a la entregada por los OR en respuesta a las circulares CREG 027 de 2014 y CREG 015 de 2017, en pesos de la fecha de corte</w:t>
      </w:r>
      <w:r w:rsidRPr="001F6D53">
        <w:rPr>
          <w:i/>
          <w:iCs/>
          <w:sz w:val="20"/>
          <w:szCs w:val="20"/>
        </w:rPr>
        <w:t>.</w:t>
      </w:r>
    </w:p>
    <w:p w14:paraId="5E2FA21F" w14:textId="77777777" w:rsidR="00CB6810" w:rsidRPr="001F6D53" w:rsidRDefault="00CB6810" w:rsidP="00CB6810">
      <w:pPr>
        <w:spacing w:before="60" w:after="60"/>
        <w:ind w:left="2126" w:hanging="2"/>
        <w:rPr>
          <w:i/>
          <w:iCs/>
          <w:sz w:val="20"/>
          <w:szCs w:val="20"/>
        </w:rPr>
      </w:pPr>
      <w:r w:rsidRPr="001F6D53">
        <w:rPr>
          <w:i/>
          <w:iCs/>
          <w:sz w:val="20"/>
          <w:szCs w:val="20"/>
        </w:rPr>
        <w:t xml:space="preserve">En el caso de que un OR no haya reportado información en respuesta a estas circulares, esta variable tomará el valor igual a cero (0). </w:t>
      </w:r>
    </w:p>
    <w:p w14:paraId="646B7665" w14:textId="77777777" w:rsidR="00CB6810" w:rsidRPr="001F6D53" w:rsidRDefault="00CB6810" w:rsidP="00CB6810">
      <w:pPr>
        <w:spacing w:before="60" w:after="60"/>
        <w:ind w:left="2058" w:hanging="1350"/>
        <w:rPr>
          <w:i/>
          <w:iCs/>
          <w:sz w:val="20"/>
          <w:szCs w:val="20"/>
        </w:rPr>
      </w:pPr>
      <w:r w:rsidRPr="001F6D53">
        <w:rPr>
          <w:i/>
          <w:iCs/>
          <w:sz w:val="20"/>
          <w:szCs w:val="20"/>
        </w:rPr>
        <w:t>K</w:t>
      </w:r>
      <w:r w:rsidRPr="001F6D53">
        <w:rPr>
          <w:i/>
          <w:iCs/>
          <w:sz w:val="20"/>
          <w:szCs w:val="20"/>
          <w:vertAlign w:val="subscript"/>
        </w:rPr>
        <w:t>j</w:t>
      </w:r>
      <w:r w:rsidRPr="001F6D53">
        <w:rPr>
          <w:i/>
          <w:iCs/>
          <w:sz w:val="20"/>
          <w:szCs w:val="20"/>
        </w:rPr>
        <w:t xml:space="preserve">: </w:t>
      </w:r>
      <w:r w:rsidRPr="001F6D53">
        <w:rPr>
          <w:i/>
          <w:iCs/>
          <w:sz w:val="20"/>
          <w:szCs w:val="20"/>
        </w:rPr>
        <w:tab/>
      </w:r>
      <w:r w:rsidRPr="001F6D53">
        <w:rPr>
          <w:i/>
          <w:iCs/>
          <w:sz w:val="20"/>
          <w:szCs w:val="20"/>
        </w:rPr>
        <w:tab/>
        <w:t>Es el número de años con información reportada por el OR j.</w:t>
      </w:r>
    </w:p>
    <w:p w14:paraId="09A9F98E" w14:textId="77777777" w:rsidR="00CB6810" w:rsidRDefault="00CB6810" w:rsidP="00CB6810">
      <w:pPr>
        <w:spacing w:before="60" w:after="60"/>
        <w:ind w:left="2058" w:hanging="1350"/>
        <w:rPr>
          <w:i/>
          <w:iCs/>
          <w:sz w:val="20"/>
          <w:szCs w:val="20"/>
        </w:rPr>
      </w:pPr>
      <w:r w:rsidRPr="001F6D53">
        <w:rPr>
          <w:i/>
          <w:iCs/>
          <w:sz w:val="20"/>
          <w:szCs w:val="20"/>
        </w:rPr>
        <w:t xml:space="preserve">DP: </w:t>
      </w:r>
      <w:r w:rsidRPr="001F6D53">
        <w:rPr>
          <w:i/>
          <w:iCs/>
          <w:sz w:val="20"/>
          <w:szCs w:val="20"/>
        </w:rPr>
        <w:tab/>
        <w:t>Duración horizonte de planeación del plan de pérdidas en años, igual a diez (10).</w:t>
      </w:r>
    </w:p>
    <w:p w14:paraId="58D76F89" w14:textId="77777777" w:rsidR="00CB6810" w:rsidRPr="001F6D53" w:rsidRDefault="00CB6810" w:rsidP="00CB6810">
      <w:pPr>
        <w:spacing w:before="60" w:after="60"/>
        <w:ind w:left="2058" w:hanging="1350"/>
        <w:rPr>
          <w:i/>
          <w:iCs/>
          <w:sz w:val="20"/>
          <w:szCs w:val="20"/>
        </w:rPr>
      </w:pPr>
      <w:r>
        <w:rPr>
          <w:i/>
          <w:iCs/>
          <w:sz w:val="20"/>
          <w:szCs w:val="20"/>
        </w:rPr>
        <w:t>Subrayado fuera de texto</w:t>
      </w:r>
    </w:p>
    <w:p w14:paraId="1AC28AFD" w14:textId="15EA0593" w:rsidR="001C2FEE" w:rsidRDefault="00CB6810" w:rsidP="00CB6810">
      <w:r>
        <w:t xml:space="preserve">De este numeral es claro que el </w:t>
      </w:r>
      <w:r w:rsidRPr="00CB6810">
        <w:rPr>
          <w:i/>
          <w:iCs/>
        </w:rPr>
        <w:t>Costo total del plan, CPORj</w:t>
      </w:r>
      <w:r>
        <w:t xml:space="preserve">, corresponde a la suma de dos conceptos: i) las inversiones </w:t>
      </w:r>
      <w:r w:rsidRPr="00CB6810">
        <w:t>en activos que no son clasificables como UC</w:t>
      </w:r>
      <w:r w:rsidR="001C2FEE">
        <w:t>, l</w:t>
      </w:r>
      <w:r w:rsidR="00C83EBF">
        <w:t>o</w:t>
      </w:r>
      <w:r w:rsidR="001C2FEE">
        <w:t>s cuales están relacionadas en el numeral 7.3.2.1</w:t>
      </w:r>
      <w:r>
        <w:t xml:space="preserve"> y ii) l</w:t>
      </w:r>
      <w:r w:rsidR="001C2FEE">
        <w:t>os g</w:t>
      </w:r>
      <w:r w:rsidR="001C2FEE" w:rsidRPr="00742009">
        <w:t>astos del OR en pérdidas de energía</w:t>
      </w:r>
      <w:r w:rsidR="001C2FEE">
        <w:t>, que es calculado con base en los costos históricos en reducción de pérdidas</w:t>
      </w:r>
      <w:r>
        <w:t xml:space="preserve">. </w:t>
      </w:r>
    </w:p>
    <w:p w14:paraId="5BDEC863" w14:textId="4E72876F" w:rsidR="00CB6810" w:rsidRDefault="00CB6810" w:rsidP="00CB6810">
      <w:r>
        <w:t>El numeral 7.3.2.1 de la Resolución CREG 015 de 2018, modificado en la Resolución CREG 085 de 2018, establece lo siguiente respecto a las inversiones que son reconocidas en el plan de reducción de pérdidas:</w:t>
      </w:r>
    </w:p>
    <w:p w14:paraId="0CBA7435" w14:textId="77777777" w:rsidR="00CB6810" w:rsidRPr="001F6D53" w:rsidRDefault="00CB6810" w:rsidP="00CB6810">
      <w:pPr>
        <w:spacing w:before="60" w:after="60"/>
        <w:ind w:left="708"/>
        <w:rPr>
          <w:b/>
          <w:i/>
          <w:iCs/>
          <w:sz w:val="20"/>
          <w:szCs w:val="20"/>
          <w:highlight w:val="cyan"/>
          <w:lang w:val="es-CO"/>
        </w:rPr>
      </w:pPr>
      <w:r w:rsidRPr="001F6D53">
        <w:rPr>
          <w:b/>
          <w:i/>
          <w:iCs/>
          <w:sz w:val="20"/>
          <w:szCs w:val="20"/>
          <w:lang w:val="es-CO"/>
        </w:rPr>
        <w:t>7.3.2.1. Cálculo del costo anual del plan</w:t>
      </w:r>
    </w:p>
    <w:p w14:paraId="6808BA7E" w14:textId="77777777" w:rsidR="00CB6810" w:rsidRPr="001F6D53" w:rsidRDefault="00CB6810" w:rsidP="00CB6810">
      <w:pPr>
        <w:spacing w:before="60" w:after="60"/>
        <w:ind w:left="708"/>
        <w:rPr>
          <w:i/>
          <w:iCs/>
          <w:sz w:val="20"/>
          <w:szCs w:val="20"/>
        </w:rPr>
      </w:pPr>
      <w:r w:rsidRPr="001F6D53">
        <w:rPr>
          <w:i/>
          <w:iCs/>
          <w:sz w:val="20"/>
          <w:szCs w:val="20"/>
        </w:rPr>
        <w:t>La variable CAP</w:t>
      </w:r>
      <w:r w:rsidRPr="001F6D53">
        <w:rPr>
          <w:i/>
          <w:iCs/>
          <w:sz w:val="20"/>
          <w:szCs w:val="20"/>
          <w:vertAlign w:val="subscript"/>
        </w:rPr>
        <w:t>j</w:t>
      </w:r>
      <w:r w:rsidRPr="001F6D53">
        <w:rPr>
          <w:i/>
          <w:iCs/>
          <w:sz w:val="20"/>
          <w:szCs w:val="20"/>
        </w:rPr>
        <w:t xml:space="preserve"> corresponde al costo anual del plan que remunera los costos y gastos asociados con la recuperación o mantenimiento de pérdidas de energía y, para los OR que requieren de aprobación de plan de reducción de pérdidas la remuneración será de la siguiente manera:</w:t>
      </w:r>
    </w:p>
    <w:p w14:paraId="31E7582E" w14:textId="77777777" w:rsidR="00CB6810" w:rsidRPr="009F7EE2" w:rsidRDefault="00BB77CD" w:rsidP="00CB6810">
      <w:pPr>
        <w:spacing w:before="60" w:after="60"/>
        <w:ind w:left="708"/>
        <w:jc w:val="center"/>
        <w:rPr>
          <w:i/>
          <w:iCs/>
          <w:sz w:val="18"/>
          <w:szCs w:val="18"/>
        </w:rPr>
      </w:pPr>
      <m:oMathPara>
        <m:oMath>
          <m:sSub>
            <m:sSubPr>
              <m:ctrlPr>
                <w:rPr>
                  <w:rFonts w:ascii="Cambria Math" w:hAnsi="Cambria Math"/>
                  <w:i/>
                  <w:iCs/>
                  <w:sz w:val="18"/>
                  <w:szCs w:val="18"/>
                </w:rPr>
              </m:ctrlPr>
            </m:sSubPr>
            <m:e>
              <m:r>
                <w:rPr>
                  <w:rFonts w:ascii="Cambria Math" w:hAnsi="Cambria Math"/>
                  <w:sz w:val="18"/>
                  <w:szCs w:val="18"/>
                </w:rPr>
                <m:t>CAP</m:t>
              </m:r>
            </m:e>
            <m:sub>
              <m:r>
                <w:rPr>
                  <w:rFonts w:ascii="Cambria Math" w:hAnsi="Cambria Math"/>
                  <w:sz w:val="18"/>
                  <w:szCs w:val="18"/>
                </w:rPr>
                <m:t>j</m:t>
              </m:r>
            </m:sub>
          </m:sSub>
          <m:r>
            <w:rPr>
              <w:rFonts w:ascii="Cambria Math" w:hAnsi="Cambria Math"/>
              <w:sz w:val="18"/>
              <w:szCs w:val="18"/>
            </w:rPr>
            <m:t>=</m:t>
          </m:r>
          <m:f>
            <m:fPr>
              <m:ctrlPr>
                <w:rPr>
                  <w:rFonts w:ascii="Cambria Math" w:hAnsi="Cambria Math"/>
                  <w:i/>
                  <w:iCs/>
                  <w:sz w:val="18"/>
                  <w:szCs w:val="18"/>
                </w:rPr>
              </m:ctrlPr>
            </m:fPr>
            <m:num>
              <m:sSub>
                <m:sSubPr>
                  <m:ctrlPr>
                    <w:rPr>
                      <w:rFonts w:ascii="Cambria Math" w:hAnsi="Cambria Math"/>
                      <w:i/>
                      <w:iCs/>
                      <w:sz w:val="18"/>
                      <w:szCs w:val="18"/>
                    </w:rPr>
                  </m:ctrlPr>
                </m:sSubPr>
                <m:e>
                  <m:r>
                    <w:rPr>
                      <w:rFonts w:ascii="Cambria Math" w:hAnsi="Cambria Math"/>
                      <w:sz w:val="18"/>
                      <w:szCs w:val="18"/>
                    </w:rPr>
                    <m:t>CTP</m:t>
                  </m:r>
                </m:e>
                <m:sub>
                  <m:r>
                    <w:rPr>
                      <w:rFonts w:ascii="Cambria Math" w:hAnsi="Cambria Math"/>
                      <w:sz w:val="18"/>
                      <w:szCs w:val="18"/>
                    </w:rPr>
                    <m:t>j</m:t>
                  </m:r>
                </m:sub>
              </m:sSub>
            </m:num>
            <m:den>
              <m:r>
                <w:rPr>
                  <w:rFonts w:ascii="Cambria Math" w:hAnsi="Cambria Math"/>
                  <w:sz w:val="18"/>
                  <w:szCs w:val="18"/>
                </w:rPr>
                <m:t>DP</m:t>
              </m:r>
            </m:den>
          </m:f>
        </m:oMath>
      </m:oMathPara>
    </w:p>
    <w:p w14:paraId="132E9F7A" w14:textId="77777777" w:rsidR="00CB6810" w:rsidRPr="001F6D53" w:rsidRDefault="00CB6810" w:rsidP="00CB6810">
      <w:pPr>
        <w:spacing w:before="60" w:after="60"/>
        <w:ind w:left="2118" w:hanging="1410"/>
        <w:rPr>
          <w:i/>
          <w:iCs/>
          <w:sz w:val="20"/>
          <w:szCs w:val="20"/>
        </w:rPr>
      </w:pPr>
      <w:r w:rsidRPr="001F6D53">
        <w:rPr>
          <w:i/>
          <w:iCs/>
          <w:sz w:val="20"/>
          <w:szCs w:val="20"/>
        </w:rPr>
        <w:t>Donde:</w:t>
      </w:r>
    </w:p>
    <w:p w14:paraId="7EA8B8B9" w14:textId="77777777" w:rsidR="00CB6810" w:rsidRPr="001F6D53" w:rsidRDefault="00CB6810" w:rsidP="00CB6810">
      <w:pPr>
        <w:spacing w:before="60" w:after="60"/>
        <w:ind w:left="1701" w:hanging="993"/>
        <w:rPr>
          <w:i/>
          <w:iCs/>
          <w:sz w:val="20"/>
          <w:szCs w:val="20"/>
        </w:rPr>
      </w:pPr>
      <w:r w:rsidRPr="001F6D53">
        <w:rPr>
          <w:i/>
          <w:iCs/>
          <w:sz w:val="20"/>
          <w:szCs w:val="20"/>
        </w:rPr>
        <w:t>CAP</w:t>
      </w:r>
      <w:r w:rsidRPr="001F6D53">
        <w:rPr>
          <w:i/>
          <w:iCs/>
          <w:sz w:val="20"/>
          <w:szCs w:val="20"/>
          <w:vertAlign w:val="subscript"/>
        </w:rPr>
        <w:t>j</w:t>
      </w:r>
      <w:r w:rsidRPr="001F6D53">
        <w:rPr>
          <w:i/>
          <w:iCs/>
          <w:sz w:val="20"/>
          <w:szCs w:val="20"/>
        </w:rPr>
        <w:t xml:space="preserve">: </w:t>
      </w:r>
      <w:r w:rsidRPr="001F6D53">
        <w:rPr>
          <w:i/>
          <w:iCs/>
          <w:sz w:val="20"/>
          <w:szCs w:val="20"/>
        </w:rPr>
        <w:tab/>
        <w:t>Costo anual del plan de gestión de pérdidas del mercado de comercialización j aprobado al OR que atiende dicho mercado. El menor valor que toma esta variable es el que corresponde al AOM de mantenimiento de pérdidas.</w:t>
      </w:r>
    </w:p>
    <w:p w14:paraId="29C39442" w14:textId="77777777" w:rsidR="00CB6810" w:rsidRPr="001F6D53" w:rsidRDefault="00CB6810" w:rsidP="00CB6810">
      <w:pPr>
        <w:spacing w:before="60" w:after="60"/>
        <w:ind w:left="1701" w:hanging="993"/>
        <w:rPr>
          <w:i/>
          <w:iCs/>
          <w:sz w:val="20"/>
          <w:szCs w:val="20"/>
        </w:rPr>
      </w:pPr>
      <w:r w:rsidRPr="001F6D53">
        <w:rPr>
          <w:i/>
          <w:iCs/>
          <w:sz w:val="20"/>
          <w:szCs w:val="20"/>
        </w:rPr>
        <w:t>CTP</w:t>
      </w:r>
      <w:r w:rsidRPr="001F6D53">
        <w:rPr>
          <w:i/>
          <w:iCs/>
          <w:sz w:val="20"/>
          <w:szCs w:val="20"/>
          <w:vertAlign w:val="subscript"/>
        </w:rPr>
        <w:t>j</w:t>
      </w:r>
      <w:r w:rsidRPr="001F6D53">
        <w:rPr>
          <w:i/>
          <w:iCs/>
          <w:sz w:val="20"/>
          <w:szCs w:val="20"/>
        </w:rPr>
        <w:t>:</w:t>
      </w:r>
      <w:r w:rsidRPr="001F6D53">
        <w:rPr>
          <w:i/>
          <w:iCs/>
          <w:sz w:val="20"/>
          <w:szCs w:val="20"/>
          <w:vertAlign w:val="subscript"/>
        </w:rPr>
        <w:t xml:space="preserve">  </w:t>
      </w:r>
      <w:r w:rsidRPr="001F6D53">
        <w:rPr>
          <w:i/>
          <w:iCs/>
          <w:sz w:val="20"/>
          <w:szCs w:val="20"/>
          <w:vertAlign w:val="subscript"/>
        </w:rPr>
        <w:tab/>
      </w:r>
      <w:r w:rsidRPr="001F6D53">
        <w:rPr>
          <w:i/>
          <w:iCs/>
          <w:sz w:val="20"/>
          <w:szCs w:val="20"/>
        </w:rPr>
        <w:t>Costo total del plan para el OR j, en pesos de la fecha de corte, calculado según el numeral 7.3.2.</w:t>
      </w:r>
    </w:p>
    <w:p w14:paraId="4F1B75FA" w14:textId="77777777" w:rsidR="00CB6810" w:rsidRPr="001F6D53" w:rsidRDefault="00CB6810" w:rsidP="00CB6810">
      <w:pPr>
        <w:spacing w:before="60" w:after="60"/>
        <w:ind w:left="1701" w:hanging="993"/>
        <w:rPr>
          <w:i/>
          <w:iCs/>
          <w:sz w:val="20"/>
          <w:szCs w:val="20"/>
        </w:rPr>
      </w:pPr>
      <w:r w:rsidRPr="001F6D53">
        <w:rPr>
          <w:i/>
          <w:iCs/>
          <w:sz w:val="20"/>
          <w:szCs w:val="20"/>
        </w:rPr>
        <w:t xml:space="preserve">DP: </w:t>
      </w:r>
      <w:r w:rsidRPr="001F6D53">
        <w:rPr>
          <w:i/>
          <w:iCs/>
          <w:sz w:val="20"/>
          <w:szCs w:val="20"/>
        </w:rPr>
        <w:tab/>
        <w:t xml:space="preserve">Duración horizonte de planeación del plan de pérdidas en años, igual a diez (10). </w:t>
      </w:r>
    </w:p>
    <w:p w14:paraId="6B89D507" w14:textId="77777777" w:rsidR="00CB6810" w:rsidRPr="001F6D53" w:rsidRDefault="00CB6810" w:rsidP="00CB6810">
      <w:pPr>
        <w:spacing w:before="60" w:after="60"/>
        <w:ind w:left="708"/>
        <w:rPr>
          <w:i/>
          <w:iCs/>
          <w:sz w:val="20"/>
          <w:szCs w:val="20"/>
        </w:rPr>
      </w:pPr>
      <w:r w:rsidRPr="001F6D53">
        <w:rPr>
          <w:i/>
          <w:iCs/>
          <w:sz w:val="20"/>
          <w:szCs w:val="20"/>
        </w:rPr>
        <w:t xml:space="preserve">Independientemente del horizonte de planeación del plan de pérdidas, este será remunerado durante la vigencia de los ingresos aprobados con base en la presente resolución.  </w:t>
      </w:r>
    </w:p>
    <w:p w14:paraId="595FBE2A" w14:textId="21E19B8E" w:rsidR="00CB6810" w:rsidRDefault="00CB6810" w:rsidP="001C2FEE">
      <w:pPr>
        <w:spacing w:before="60" w:after="60"/>
        <w:ind w:left="708"/>
        <w:rPr>
          <w:i/>
          <w:iCs/>
          <w:sz w:val="20"/>
          <w:szCs w:val="20"/>
        </w:rPr>
      </w:pPr>
      <w:r w:rsidRPr="00742009">
        <w:rPr>
          <w:i/>
          <w:iCs/>
          <w:sz w:val="20"/>
          <w:szCs w:val="20"/>
          <w:u w:val="single"/>
        </w:rPr>
        <w:t>En el costo total del plan se pueden incluir las siguientes inversiones: medidores de usuarios finales regulados que no cuenten con medidor a la fecha de presentación del plan y su costo no sea trasladado al usuario, medidores en el arranque de todas las líneas, equipos de medida en los puntos de entrada de cada nivel de tensión, macromedidores instalados en transformadores de distribución y sistemas de medición centralizada, incluyendo software y comunicaciones</w:t>
      </w:r>
      <w:r w:rsidRPr="001F6D53">
        <w:rPr>
          <w:i/>
          <w:iCs/>
          <w:sz w:val="20"/>
          <w:szCs w:val="20"/>
        </w:rPr>
        <w:t xml:space="preserve">. </w:t>
      </w:r>
      <w:r w:rsidR="001C2FEE">
        <w:rPr>
          <w:i/>
          <w:iCs/>
          <w:sz w:val="20"/>
          <w:szCs w:val="20"/>
        </w:rPr>
        <w:t>(…)</w:t>
      </w:r>
    </w:p>
    <w:p w14:paraId="671962C9" w14:textId="16F9AC1A" w:rsidR="001C2FEE" w:rsidRPr="001F6D53" w:rsidRDefault="001C2FEE" w:rsidP="001C2FEE">
      <w:pPr>
        <w:spacing w:before="60" w:after="60"/>
        <w:ind w:left="708"/>
        <w:rPr>
          <w:i/>
          <w:iCs/>
          <w:sz w:val="20"/>
          <w:szCs w:val="20"/>
        </w:rPr>
      </w:pPr>
      <w:r>
        <w:rPr>
          <w:i/>
          <w:iCs/>
          <w:sz w:val="20"/>
          <w:szCs w:val="20"/>
          <w:u w:val="single"/>
        </w:rPr>
        <w:t>Subrayado fuera de texto</w:t>
      </w:r>
    </w:p>
    <w:p w14:paraId="50A255DE" w14:textId="4ED5C765" w:rsidR="001C2FEE" w:rsidRDefault="00CB6810" w:rsidP="00CB6810">
      <w:r>
        <w:t xml:space="preserve">De lo anterior </w:t>
      </w:r>
      <w:r w:rsidR="001C2FEE">
        <w:t xml:space="preserve">se </w:t>
      </w:r>
      <w:r w:rsidR="00C83EBF">
        <w:t xml:space="preserve">entiende </w:t>
      </w:r>
      <w:r w:rsidR="001C2FEE">
        <w:t xml:space="preserve">que en </w:t>
      </w:r>
      <w:r>
        <w:t xml:space="preserve">la variable </w:t>
      </w:r>
      <w:r w:rsidRPr="007C378B">
        <w:rPr>
          <w:i/>
          <w:iCs/>
        </w:rPr>
        <w:t>INVNUC</w:t>
      </w:r>
      <w:r w:rsidR="00C83EBF">
        <w:t xml:space="preserve">, </w:t>
      </w:r>
      <w:r w:rsidR="001C2FEE">
        <w:t xml:space="preserve">que hace parte de la variable </w:t>
      </w:r>
      <w:r w:rsidR="001C2FEE" w:rsidRPr="001C2FEE">
        <w:rPr>
          <w:i/>
          <w:iCs/>
        </w:rPr>
        <w:t>CPOR</w:t>
      </w:r>
      <w:r w:rsidR="00C83EBF">
        <w:t xml:space="preserve">, </w:t>
      </w:r>
      <w:r>
        <w:t xml:space="preserve">se incluyen inversiones en activos que </w:t>
      </w:r>
      <w:r w:rsidRPr="00742009">
        <w:t>no son clasificables como UC</w:t>
      </w:r>
      <w:r w:rsidR="001C2FEE">
        <w:t xml:space="preserve"> según el listado </w:t>
      </w:r>
      <w:r w:rsidR="00C83EBF">
        <w:t>d</w:t>
      </w:r>
      <w:r w:rsidR="001C2FEE">
        <w:t xml:space="preserve">el numeral 7.3.2.1. </w:t>
      </w:r>
    </w:p>
    <w:p w14:paraId="41067BC3" w14:textId="0CD018E4" w:rsidR="00D53B3D" w:rsidRDefault="00D53B3D" w:rsidP="00CB6810">
      <w:r>
        <w:t xml:space="preserve">En la actuación administrativa para aprobar los ingresos de las empresas, la Comisión </w:t>
      </w:r>
      <w:r w:rsidR="00C83EBF">
        <w:t xml:space="preserve">debe </w:t>
      </w:r>
      <w:r>
        <w:t>verificar que la información, procedimientos y cálculos empleados por el OR en su solicitud se ajusten a lo dispuesto en la metodología</w:t>
      </w:r>
      <w:r w:rsidR="008E2080">
        <w:t>. P</w:t>
      </w:r>
      <w:r>
        <w:t>or tal razón</w:t>
      </w:r>
      <w:r w:rsidR="008E2080">
        <w:t>,</w:t>
      </w:r>
      <w:r>
        <w:t xml:space="preserve"> la Comisión verificó, con base en la información suministrada por el OR, que las inversiones solicitadas dentro de la variable </w:t>
      </w:r>
      <w:r w:rsidRPr="00D53B3D">
        <w:rPr>
          <w:i/>
          <w:iCs/>
        </w:rPr>
        <w:t>INVNUC</w:t>
      </w:r>
      <w:r>
        <w:t xml:space="preserve"> cumplieran con los criterios definidos en la metodología. </w:t>
      </w:r>
    </w:p>
    <w:p w14:paraId="41FA4A70" w14:textId="13BEB96A" w:rsidR="001C2FEE" w:rsidRDefault="001C2FEE" w:rsidP="00CB6810">
      <w:r>
        <w:t>El OR señala lo siguiente:</w:t>
      </w:r>
    </w:p>
    <w:p w14:paraId="21150392" w14:textId="293E2DF1" w:rsidR="001C2FEE" w:rsidRDefault="001C2FEE" w:rsidP="008E2080">
      <w:pPr>
        <w:ind w:left="284"/>
        <w:rPr>
          <w:i/>
          <w:iCs/>
          <w:sz w:val="20"/>
          <w:szCs w:val="20"/>
          <w:u w:val="single"/>
        </w:rPr>
      </w:pPr>
      <w:r w:rsidRPr="001C2FEE">
        <w:rPr>
          <w:i/>
          <w:iCs/>
          <w:sz w:val="20"/>
          <w:szCs w:val="20"/>
          <w:u w:val="single"/>
        </w:rPr>
        <w:t>En el entendido que el resultado del modelo de costos eficientes (CPCEj) es el valor que requiere un OR para realizar como mínimo su plan de gestión de pérdidas</w:t>
      </w:r>
      <w:r w:rsidRPr="001C2FEE">
        <w:rPr>
          <w:i/>
          <w:iCs/>
          <w:sz w:val="20"/>
          <w:szCs w:val="20"/>
        </w:rPr>
        <w:t xml:space="preserve"> y en esta etapa se ha surtido toda la depuración de los costos, incluido cualquier posibilidad que un OR proyecte instalar Infraestructura Medición Avanzada (AMI), en este sentido, </w:t>
      </w:r>
      <w:r w:rsidRPr="001C2FEE">
        <w:rPr>
          <w:i/>
          <w:iCs/>
          <w:sz w:val="20"/>
          <w:szCs w:val="20"/>
          <w:u w:val="single"/>
        </w:rPr>
        <w:t>no entendemos por qué la Comisión realiza la depuración del costo de plan suministrado por el OR y no realiza la comparación del costo eficiente (CPCEj) con el valor del plan presentado por el OR</w:t>
      </w:r>
      <w:r>
        <w:rPr>
          <w:i/>
          <w:iCs/>
          <w:sz w:val="20"/>
          <w:szCs w:val="20"/>
          <w:u w:val="single"/>
        </w:rPr>
        <w:t xml:space="preserve">. </w:t>
      </w:r>
    </w:p>
    <w:p w14:paraId="51753F45" w14:textId="1AC65455" w:rsidR="001C2FEE" w:rsidRPr="001C2FEE" w:rsidRDefault="001C2FEE" w:rsidP="008E2080">
      <w:pPr>
        <w:ind w:left="284"/>
      </w:pPr>
      <w:r>
        <w:rPr>
          <w:i/>
          <w:iCs/>
          <w:sz w:val="20"/>
          <w:szCs w:val="20"/>
          <w:u w:val="single"/>
        </w:rPr>
        <w:t>Subrayado fuera de texto</w:t>
      </w:r>
    </w:p>
    <w:p w14:paraId="19408962" w14:textId="11DAB595" w:rsidR="001C2FEE" w:rsidRDefault="00D53B3D" w:rsidP="00CB6810">
      <w:r>
        <w:t xml:space="preserve">En primer lugar, se señala que en el </w:t>
      </w:r>
      <w:r w:rsidR="001C2FEE">
        <w:t xml:space="preserve">numeral 7.3.2 del anexo general de la Resolución CREG 015 de 2018 </w:t>
      </w:r>
      <w:r>
        <w:t xml:space="preserve">se tiene prevista la comparación entre las variables </w:t>
      </w:r>
      <w:r w:rsidRPr="00D53B3D">
        <w:rPr>
          <w:i/>
          <w:iCs/>
        </w:rPr>
        <w:t>CPCE</w:t>
      </w:r>
      <w:r>
        <w:t xml:space="preserve"> y </w:t>
      </w:r>
      <w:r w:rsidRPr="00D53B3D">
        <w:rPr>
          <w:i/>
          <w:iCs/>
        </w:rPr>
        <w:t>CPOR</w:t>
      </w:r>
      <w:r>
        <w:t xml:space="preserve"> para determinar el valor de la variable </w:t>
      </w:r>
      <w:r w:rsidRPr="00D53B3D">
        <w:rPr>
          <w:i/>
          <w:iCs/>
        </w:rPr>
        <w:t>CTP</w:t>
      </w:r>
      <w:r>
        <w:t>, tal como se observa a continuación</w:t>
      </w:r>
      <w:r w:rsidR="001C2FEE">
        <w:t xml:space="preserve">: </w:t>
      </w:r>
    </w:p>
    <w:p w14:paraId="5BE33B8F" w14:textId="77777777" w:rsidR="001C2FEE" w:rsidRPr="001C2FEE" w:rsidRDefault="001C2FEE" w:rsidP="001C2FEE">
      <w:pPr>
        <w:spacing w:before="60" w:after="60"/>
        <w:ind w:left="567"/>
        <w:rPr>
          <w:i/>
          <w:iCs/>
          <w:sz w:val="20"/>
          <w:szCs w:val="20"/>
        </w:rPr>
      </w:pPr>
      <w:r w:rsidRPr="001C2FEE">
        <w:rPr>
          <w:i/>
          <w:iCs/>
          <w:sz w:val="20"/>
          <w:szCs w:val="20"/>
        </w:rPr>
        <w:t>El costo total del plan a aprobar a cada OR se determinará según la siguiente expresión:</w:t>
      </w:r>
    </w:p>
    <w:p w14:paraId="3770B750" w14:textId="74940CE3" w:rsidR="001C2FEE" w:rsidRPr="001C2FEE" w:rsidRDefault="00BB77CD" w:rsidP="001C2FEE">
      <w:pPr>
        <w:spacing w:before="60" w:after="60"/>
        <w:ind w:left="567"/>
        <w:jc w:val="center"/>
        <w:rPr>
          <w:i/>
          <w:iCs/>
          <w:sz w:val="20"/>
          <w:szCs w:val="20"/>
          <w:u w:val="single"/>
        </w:rPr>
      </w:pPr>
      <m:oMathPara>
        <m:oMath>
          <m:sSub>
            <m:sSubPr>
              <m:ctrlPr>
                <w:rPr>
                  <w:rFonts w:ascii="Cambria Math" w:hAnsi="Cambria Math"/>
                  <w:i/>
                  <w:iCs/>
                  <w:sz w:val="20"/>
                  <w:szCs w:val="20"/>
                  <w:u w:val="single"/>
                </w:rPr>
              </m:ctrlPr>
            </m:sSubPr>
            <m:e>
              <m:r>
                <w:rPr>
                  <w:rFonts w:ascii="Cambria Math" w:hAnsi="Cambria Math"/>
                  <w:sz w:val="20"/>
                  <w:szCs w:val="20"/>
                  <w:u w:val="single"/>
                </w:rPr>
                <m:t>CTP</m:t>
              </m:r>
            </m:e>
            <m:sub>
              <m:r>
                <w:rPr>
                  <w:rFonts w:ascii="Cambria Math" w:hAnsi="Cambria Math"/>
                  <w:sz w:val="20"/>
                  <w:szCs w:val="20"/>
                  <w:u w:val="single"/>
                </w:rPr>
                <m:t>j</m:t>
              </m:r>
            </m:sub>
          </m:sSub>
          <m:r>
            <w:rPr>
              <w:rFonts w:ascii="Cambria Math" w:hAnsi="Cambria Math"/>
              <w:sz w:val="20"/>
              <w:szCs w:val="20"/>
              <w:u w:val="single"/>
            </w:rPr>
            <m:t>=mín</m:t>
          </m:r>
          <m:d>
            <m:dPr>
              <m:begChr m:val="{"/>
              <m:endChr m:val="}"/>
              <m:ctrlPr>
                <w:rPr>
                  <w:rFonts w:ascii="Cambria Math" w:hAnsi="Cambria Math"/>
                  <w:i/>
                  <w:iCs/>
                  <w:sz w:val="20"/>
                  <w:szCs w:val="20"/>
                  <w:u w:val="single"/>
                </w:rPr>
              </m:ctrlPr>
            </m:dPr>
            <m:e>
              <m:r>
                <w:rPr>
                  <w:rFonts w:ascii="Cambria Math" w:hAnsi="Cambria Math"/>
                  <w:sz w:val="20"/>
                  <w:szCs w:val="20"/>
                  <w:u w:val="single"/>
                </w:rPr>
                <m:t>C</m:t>
              </m:r>
              <m:sSub>
                <m:sSubPr>
                  <m:ctrlPr>
                    <w:rPr>
                      <w:rFonts w:ascii="Cambria Math" w:hAnsi="Cambria Math"/>
                      <w:i/>
                      <w:iCs/>
                      <w:sz w:val="20"/>
                      <w:szCs w:val="20"/>
                      <w:u w:val="single"/>
                    </w:rPr>
                  </m:ctrlPr>
                </m:sSubPr>
                <m:e>
                  <m:r>
                    <w:rPr>
                      <w:rFonts w:ascii="Cambria Math" w:hAnsi="Cambria Math"/>
                      <w:sz w:val="20"/>
                      <w:szCs w:val="20"/>
                      <w:u w:val="single"/>
                    </w:rPr>
                    <m:t>PCE</m:t>
                  </m:r>
                </m:e>
                <m:sub>
                  <m:r>
                    <w:rPr>
                      <w:rFonts w:ascii="Cambria Math" w:hAnsi="Cambria Math"/>
                      <w:sz w:val="20"/>
                      <w:szCs w:val="20"/>
                      <w:u w:val="single"/>
                    </w:rPr>
                    <m:t>j</m:t>
                  </m:r>
                </m:sub>
              </m:sSub>
              <m:r>
                <w:rPr>
                  <w:rFonts w:ascii="Cambria Math" w:hAnsi="Cambria Math"/>
                  <w:sz w:val="20"/>
                  <w:szCs w:val="20"/>
                  <w:u w:val="single"/>
                </w:rPr>
                <m:t>,</m:t>
              </m:r>
              <m:sSub>
                <m:sSubPr>
                  <m:ctrlPr>
                    <w:rPr>
                      <w:rFonts w:ascii="Cambria Math" w:hAnsi="Cambria Math"/>
                      <w:i/>
                      <w:iCs/>
                      <w:sz w:val="20"/>
                      <w:szCs w:val="20"/>
                      <w:u w:val="single"/>
                    </w:rPr>
                  </m:ctrlPr>
                </m:sSubPr>
                <m:e>
                  <m:r>
                    <w:rPr>
                      <w:rFonts w:ascii="Cambria Math" w:hAnsi="Cambria Math"/>
                      <w:sz w:val="20"/>
                      <w:szCs w:val="20"/>
                      <w:u w:val="single"/>
                    </w:rPr>
                    <m:t>CPOR</m:t>
                  </m:r>
                </m:e>
                <m:sub>
                  <m:r>
                    <w:rPr>
                      <w:rFonts w:ascii="Cambria Math" w:hAnsi="Cambria Math"/>
                      <w:sz w:val="20"/>
                      <w:szCs w:val="20"/>
                      <w:u w:val="single"/>
                    </w:rPr>
                    <m:t>j</m:t>
                  </m:r>
                </m:sub>
              </m:sSub>
            </m:e>
          </m:d>
        </m:oMath>
      </m:oMathPara>
    </w:p>
    <w:p w14:paraId="7A355425" w14:textId="77777777" w:rsidR="001C2FEE" w:rsidRPr="001C2FEE" w:rsidRDefault="001C2FEE" w:rsidP="001C2FEE">
      <w:pPr>
        <w:tabs>
          <w:tab w:val="left" w:pos="993"/>
        </w:tabs>
        <w:spacing w:before="60" w:after="60"/>
        <w:ind w:left="567"/>
        <w:rPr>
          <w:i/>
          <w:iCs/>
          <w:sz w:val="20"/>
          <w:szCs w:val="20"/>
          <w:lang w:val="es-CO"/>
        </w:rPr>
      </w:pPr>
      <w:r w:rsidRPr="001C2FEE">
        <w:rPr>
          <w:i/>
          <w:iCs/>
          <w:sz w:val="20"/>
          <w:szCs w:val="20"/>
          <w:lang w:val="es-CO"/>
        </w:rPr>
        <w:t>Donde:</w:t>
      </w:r>
    </w:p>
    <w:p w14:paraId="6AEA18B5" w14:textId="297CEE82" w:rsidR="001C2FEE" w:rsidRPr="001C2FEE" w:rsidRDefault="001C2FEE" w:rsidP="001C2FEE">
      <w:pPr>
        <w:tabs>
          <w:tab w:val="left" w:pos="993"/>
        </w:tabs>
        <w:spacing w:before="60" w:after="60"/>
        <w:ind w:left="567"/>
        <w:rPr>
          <w:i/>
          <w:iCs/>
          <w:sz w:val="20"/>
          <w:szCs w:val="20"/>
        </w:rPr>
      </w:pPr>
      <w:r w:rsidRPr="001C2FEE">
        <w:rPr>
          <w:i/>
          <w:iCs/>
          <w:sz w:val="20"/>
          <w:szCs w:val="20"/>
        </w:rPr>
        <w:t>CTP</w:t>
      </w:r>
      <w:r w:rsidRPr="001C2FEE">
        <w:rPr>
          <w:i/>
          <w:iCs/>
          <w:sz w:val="20"/>
          <w:szCs w:val="20"/>
          <w:vertAlign w:val="subscript"/>
        </w:rPr>
        <w:t>j</w:t>
      </w:r>
      <w:r w:rsidRPr="001C2FEE">
        <w:rPr>
          <w:i/>
          <w:iCs/>
          <w:sz w:val="20"/>
          <w:szCs w:val="20"/>
        </w:rPr>
        <w:t>:</w:t>
      </w:r>
      <w:r w:rsidRPr="001C2FEE">
        <w:rPr>
          <w:i/>
          <w:iCs/>
          <w:sz w:val="20"/>
          <w:szCs w:val="20"/>
          <w:vertAlign w:val="subscript"/>
        </w:rPr>
        <w:t xml:space="preserve">  </w:t>
      </w:r>
      <w:r w:rsidRPr="001C2FEE">
        <w:rPr>
          <w:i/>
          <w:iCs/>
          <w:sz w:val="20"/>
          <w:szCs w:val="20"/>
          <w:vertAlign w:val="subscript"/>
        </w:rPr>
        <w:tab/>
      </w:r>
      <w:r w:rsidRPr="001C2FEE">
        <w:rPr>
          <w:i/>
          <w:iCs/>
          <w:sz w:val="20"/>
          <w:szCs w:val="20"/>
        </w:rPr>
        <w:t>Costo total del plan para el OR j, en pesos de la fecha de corte.</w:t>
      </w:r>
    </w:p>
    <w:p w14:paraId="31C2CEF7" w14:textId="5DBF46A4" w:rsidR="001C2FEE" w:rsidRPr="001C2FEE" w:rsidRDefault="001C2FEE" w:rsidP="001C2FEE">
      <w:pPr>
        <w:tabs>
          <w:tab w:val="left" w:pos="993"/>
        </w:tabs>
        <w:spacing w:before="60" w:after="60"/>
        <w:ind w:left="1416" w:hanging="849"/>
        <w:rPr>
          <w:i/>
          <w:iCs/>
          <w:sz w:val="20"/>
          <w:szCs w:val="20"/>
        </w:rPr>
      </w:pPr>
      <w:r w:rsidRPr="001C2FEE">
        <w:rPr>
          <w:i/>
          <w:iCs/>
          <w:sz w:val="20"/>
          <w:szCs w:val="20"/>
        </w:rPr>
        <w:t>CPCE</w:t>
      </w:r>
      <w:r w:rsidRPr="001C2FEE">
        <w:rPr>
          <w:i/>
          <w:iCs/>
          <w:sz w:val="20"/>
          <w:szCs w:val="20"/>
          <w:vertAlign w:val="subscript"/>
        </w:rPr>
        <w:t>j</w:t>
      </w:r>
      <w:r w:rsidRPr="001C2FEE">
        <w:rPr>
          <w:i/>
          <w:iCs/>
          <w:sz w:val="20"/>
          <w:szCs w:val="20"/>
        </w:rPr>
        <w:t xml:space="preserve">: </w:t>
      </w:r>
      <w:r w:rsidRPr="001C2FEE">
        <w:rPr>
          <w:i/>
          <w:iCs/>
          <w:sz w:val="20"/>
          <w:szCs w:val="20"/>
        </w:rPr>
        <w:tab/>
        <w:t>Costo total del plan, en pesos de la fecha de corte. Este valor resulta de la aplicación del modelo de costos eficientes de que trata el numeral</w:t>
      </w:r>
      <w:r>
        <w:rPr>
          <w:i/>
          <w:iCs/>
          <w:sz w:val="20"/>
          <w:szCs w:val="20"/>
        </w:rPr>
        <w:t xml:space="preserve"> 7.3.2.2</w:t>
      </w:r>
      <w:r w:rsidRPr="001C2FEE">
        <w:rPr>
          <w:i/>
          <w:iCs/>
          <w:sz w:val="20"/>
          <w:szCs w:val="20"/>
        </w:rPr>
        <w:t>, actualizado a pesos de la fecha de corte.</w:t>
      </w:r>
    </w:p>
    <w:p w14:paraId="198AB346" w14:textId="52ED8089" w:rsidR="001C2FEE" w:rsidRDefault="001C2FEE" w:rsidP="001C2FEE">
      <w:pPr>
        <w:tabs>
          <w:tab w:val="left" w:pos="993"/>
        </w:tabs>
        <w:spacing w:before="60" w:after="60"/>
        <w:ind w:left="1416" w:hanging="849"/>
        <w:rPr>
          <w:i/>
          <w:iCs/>
          <w:sz w:val="20"/>
          <w:szCs w:val="20"/>
        </w:rPr>
      </w:pPr>
      <w:r w:rsidRPr="001C2FEE">
        <w:rPr>
          <w:i/>
          <w:iCs/>
          <w:sz w:val="20"/>
          <w:szCs w:val="20"/>
        </w:rPr>
        <w:t>CPOR</w:t>
      </w:r>
      <w:r w:rsidRPr="001C2FEE">
        <w:rPr>
          <w:i/>
          <w:iCs/>
          <w:sz w:val="20"/>
          <w:szCs w:val="20"/>
          <w:vertAlign w:val="subscript"/>
        </w:rPr>
        <w:t>j</w:t>
      </w:r>
      <w:r w:rsidRPr="001C2FEE">
        <w:rPr>
          <w:i/>
          <w:iCs/>
          <w:sz w:val="20"/>
          <w:szCs w:val="20"/>
        </w:rPr>
        <w:t xml:space="preserve">: </w:t>
      </w:r>
      <w:r>
        <w:rPr>
          <w:i/>
          <w:iCs/>
          <w:sz w:val="20"/>
          <w:szCs w:val="20"/>
        </w:rPr>
        <w:t xml:space="preserve"> </w:t>
      </w:r>
      <w:r>
        <w:rPr>
          <w:i/>
          <w:iCs/>
          <w:sz w:val="20"/>
          <w:szCs w:val="20"/>
        </w:rPr>
        <w:tab/>
      </w:r>
      <w:r w:rsidRPr="001C2FEE">
        <w:rPr>
          <w:i/>
          <w:iCs/>
          <w:sz w:val="20"/>
          <w:szCs w:val="20"/>
        </w:rPr>
        <w:t xml:space="preserve">Costo total del plan, en pesos de la fecha de corte, presentado por el OR j para su aprobación. </w:t>
      </w:r>
    </w:p>
    <w:p w14:paraId="7C68F23D" w14:textId="6E769BAD" w:rsidR="001C2FEE" w:rsidRPr="001C2FEE" w:rsidRDefault="001C2FEE" w:rsidP="001C2FEE">
      <w:pPr>
        <w:tabs>
          <w:tab w:val="left" w:pos="993"/>
        </w:tabs>
        <w:spacing w:before="60" w:after="60"/>
        <w:ind w:left="1416" w:hanging="849"/>
        <w:rPr>
          <w:i/>
          <w:iCs/>
          <w:sz w:val="20"/>
          <w:szCs w:val="20"/>
        </w:rPr>
      </w:pPr>
      <w:r>
        <w:rPr>
          <w:i/>
          <w:iCs/>
          <w:sz w:val="20"/>
          <w:szCs w:val="20"/>
        </w:rPr>
        <w:t>Subrayado fuera de texto.</w:t>
      </w:r>
    </w:p>
    <w:p w14:paraId="68B57011" w14:textId="142E79B9" w:rsidR="00CB6810" w:rsidRPr="00D53B3D" w:rsidRDefault="00D53B3D" w:rsidP="00CB6810">
      <w:pPr>
        <w:rPr>
          <w:sz w:val="32"/>
          <w:szCs w:val="32"/>
        </w:rPr>
      </w:pPr>
      <w:r>
        <w:t xml:space="preserve">El OR </w:t>
      </w:r>
      <w:r w:rsidR="00267811">
        <w:t xml:space="preserve">indica </w:t>
      </w:r>
      <w:r>
        <w:t xml:space="preserve">en el recurso de reposición que los criterios empleados por la Comisión </w:t>
      </w:r>
      <w:r w:rsidRPr="00D53B3D">
        <w:t xml:space="preserve">no se ajustan a lo establecido por </w:t>
      </w:r>
      <w:r>
        <w:t xml:space="preserve">la </w:t>
      </w:r>
      <w:r w:rsidRPr="00D53B3D">
        <w:t xml:space="preserve">norma </w:t>
      </w:r>
      <w:r w:rsidR="00267811">
        <w:t>y s</w:t>
      </w:r>
      <w:r w:rsidRPr="00D53B3D">
        <w:t>e incorpora un procedimiento adicional no previsto</w:t>
      </w:r>
      <w:r w:rsidR="00267811">
        <w:t>. Al respecto</w:t>
      </w:r>
      <w:r w:rsidR="008E2080">
        <w:t>,</w:t>
      </w:r>
      <w:r w:rsidR="00267811">
        <w:t xml:space="preserve"> se reitera que </w:t>
      </w:r>
      <w:r>
        <w:t xml:space="preserve">la Comisión </w:t>
      </w:r>
      <w:r w:rsidR="00C83EBF">
        <w:t xml:space="preserve">puede </w:t>
      </w:r>
      <w:r>
        <w:t xml:space="preserve">verificar </w:t>
      </w:r>
      <w:r w:rsidR="00267811">
        <w:t>que la información, procedimientos y cálculos empleados por el OR en su solicitud se ajusten a lo dispuesto en la metodología</w:t>
      </w:r>
      <w:r w:rsidR="008E2080">
        <w:t>. D</w:t>
      </w:r>
      <w:r w:rsidR="00267811">
        <w:t>e otra parte, se reitera que el cálculo de las diferentes variables se realizó con base en las formulas determinadas en la Resolución CREG 015 de 2018</w:t>
      </w:r>
      <w:r w:rsidR="008E2080">
        <w:t>,</w:t>
      </w:r>
      <w:r w:rsidR="00267811">
        <w:t xml:space="preserve"> tal como se puede verificar en la hoja de cálculo </w:t>
      </w:r>
      <w:r w:rsidR="00267811" w:rsidRPr="00267811">
        <w:rPr>
          <w:i/>
          <w:iCs/>
        </w:rPr>
        <w:t>Capítulo</w:t>
      </w:r>
      <w:r w:rsidR="00267811">
        <w:rPr>
          <w:i/>
          <w:iCs/>
        </w:rPr>
        <w:t>_</w:t>
      </w:r>
      <w:r w:rsidR="00267811" w:rsidRPr="00267811">
        <w:rPr>
          <w:i/>
          <w:iCs/>
        </w:rPr>
        <w:t>7</w:t>
      </w:r>
      <w:r w:rsidR="00267811">
        <w:t xml:space="preserve"> del archivo </w:t>
      </w:r>
      <w:r w:rsidR="00267811" w:rsidRPr="00267811">
        <w:rPr>
          <w:i/>
          <w:iCs/>
        </w:rPr>
        <w:t>Calculo Ingreso D Caribemar.xlsx</w:t>
      </w:r>
      <w:r w:rsidR="00267811">
        <w:t xml:space="preserve">, entregada al OR como soporte de la Resolución CREG 025 de 2021. </w:t>
      </w:r>
    </w:p>
    <w:p w14:paraId="16C719DF" w14:textId="06E7274C" w:rsidR="001C2FEE" w:rsidRDefault="00267811" w:rsidP="00227F71">
      <w:r>
        <w:t>Finalmente</w:t>
      </w:r>
      <w:r w:rsidR="008E2080">
        <w:t>,</w:t>
      </w:r>
      <w:r>
        <w:t xml:space="preserve"> se aclara que el valor de la variable </w:t>
      </w:r>
      <w:r w:rsidRPr="00267811">
        <w:rPr>
          <w:i/>
          <w:iCs/>
        </w:rPr>
        <w:t>CPCE</w:t>
      </w:r>
      <w:r>
        <w:t xml:space="preserve"> no corresponde al mínimo valor que requiere un OR para alcanzar un nivel de pérdidas determinado</w:t>
      </w:r>
      <w:r w:rsidR="008E2080">
        <w:t>. A</w:t>
      </w:r>
      <w:r>
        <w:t xml:space="preserve">l contrario, corresponde al </w:t>
      </w:r>
      <w:r w:rsidR="00C83EBF">
        <w:t xml:space="preserve">máximo </w:t>
      </w:r>
      <w:r>
        <w:t xml:space="preserve">valor </w:t>
      </w:r>
      <w:r w:rsidR="00C83EBF">
        <w:t>d</w:t>
      </w:r>
      <w:r>
        <w:t>el</w:t>
      </w:r>
      <w:r w:rsidR="00C83EBF">
        <w:t xml:space="preserve"> </w:t>
      </w:r>
      <w:r>
        <w:t xml:space="preserve">programa de reducción de pérdidas. </w:t>
      </w:r>
    </w:p>
    <w:p w14:paraId="1CE690A5" w14:textId="0EB1B0EC" w:rsidR="000C7F17" w:rsidRDefault="000C7F17" w:rsidP="000C7F17">
      <w:r>
        <w:rPr>
          <w:b/>
          <w:bCs/>
        </w:rPr>
        <w:t xml:space="preserve">Séptima </w:t>
      </w:r>
      <w:r w:rsidRPr="007654F3">
        <w:rPr>
          <w:b/>
          <w:bCs/>
        </w:rPr>
        <w:t>solicitud</w:t>
      </w:r>
      <w:r>
        <w:rPr>
          <w:b/>
          <w:bCs/>
        </w:rPr>
        <w:t>, numeral 2</w:t>
      </w:r>
    </w:p>
    <w:p w14:paraId="5447BD1E" w14:textId="162D3F53" w:rsidR="000C7F17" w:rsidRPr="00FE775A" w:rsidRDefault="000C7F17" w:rsidP="008E2080">
      <w:pPr>
        <w:spacing w:before="60" w:after="60"/>
        <w:ind w:left="284"/>
        <w:rPr>
          <w:i/>
          <w:iCs/>
          <w:sz w:val="20"/>
          <w:szCs w:val="20"/>
        </w:rPr>
      </w:pPr>
      <w:r w:rsidRPr="00FE775A">
        <w:rPr>
          <w:i/>
          <w:iCs/>
          <w:sz w:val="20"/>
          <w:szCs w:val="20"/>
        </w:rPr>
        <w:t xml:space="preserve">SÉPTIMO: Modificar el artículo 18 de la Resolución CREG 025 de 2021, en el siguiente sentido: </w:t>
      </w:r>
      <w:r>
        <w:rPr>
          <w:i/>
          <w:iCs/>
          <w:sz w:val="20"/>
          <w:szCs w:val="20"/>
        </w:rPr>
        <w:t xml:space="preserve">(…) </w:t>
      </w:r>
    </w:p>
    <w:p w14:paraId="29BB9D53" w14:textId="23D5F1B7" w:rsidR="000C7F17" w:rsidRDefault="000C7F17" w:rsidP="008E2080">
      <w:pPr>
        <w:spacing w:before="60" w:after="60"/>
        <w:ind w:left="284"/>
        <w:rPr>
          <w:i/>
          <w:iCs/>
          <w:sz w:val="20"/>
          <w:szCs w:val="20"/>
        </w:rPr>
      </w:pPr>
      <w:r w:rsidRPr="00FE775A">
        <w:rPr>
          <w:i/>
          <w:iCs/>
          <w:sz w:val="20"/>
          <w:szCs w:val="20"/>
        </w:rPr>
        <w:t xml:space="preserve">2. Efectuar la comparación con el Costo Eficiente (CPCE) calculado a partir del modelo de costos eficientes. </w:t>
      </w:r>
      <w:r w:rsidR="00F119EF">
        <w:rPr>
          <w:i/>
          <w:iCs/>
          <w:sz w:val="20"/>
          <w:szCs w:val="20"/>
        </w:rPr>
        <w:t>(…)</w:t>
      </w:r>
    </w:p>
    <w:p w14:paraId="443DF00C" w14:textId="77777777" w:rsidR="000C7F17" w:rsidRPr="000C7F17" w:rsidRDefault="000C7F17" w:rsidP="008E2080">
      <w:pPr>
        <w:spacing w:before="60" w:after="60"/>
        <w:ind w:left="284"/>
        <w:rPr>
          <w:i/>
          <w:iCs/>
          <w:sz w:val="20"/>
          <w:szCs w:val="20"/>
        </w:rPr>
      </w:pPr>
      <w:r w:rsidRPr="000C7F17">
        <w:rPr>
          <w:i/>
          <w:iCs/>
          <w:sz w:val="20"/>
          <w:szCs w:val="20"/>
        </w:rPr>
        <w:t xml:space="preserve">B. Utilización del modelo de costos eficientes de la Universidad Tecnológica de Pereira (UTP).  </w:t>
      </w:r>
    </w:p>
    <w:p w14:paraId="172EE809" w14:textId="77777777" w:rsidR="000C7F17" w:rsidRPr="000C7F17" w:rsidRDefault="000C7F17" w:rsidP="008E2080">
      <w:pPr>
        <w:spacing w:before="60" w:after="60"/>
        <w:ind w:left="284"/>
        <w:rPr>
          <w:i/>
          <w:iCs/>
          <w:sz w:val="20"/>
          <w:szCs w:val="20"/>
        </w:rPr>
      </w:pPr>
      <w:r w:rsidRPr="000C7F17">
        <w:rPr>
          <w:i/>
          <w:iCs/>
          <w:sz w:val="20"/>
          <w:szCs w:val="20"/>
        </w:rPr>
        <w:t xml:space="preserve">1. Para establecer el valor del Costo eficiente (CPCE) informado a la Comisión en la solicitud.  </w:t>
      </w:r>
    </w:p>
    <w:p w14:paraId="7D88556B" w14:textId="77777777" w:rsidR="000C7F17" w:rsidRPr="000C7F17" w:rsidRDefault="000C7F17" w:rsidP="008E2080">
      <w:pPr>
        <w:spacing w:before="60" w:after="60"/>
        <w:ind w:left="284"/>
        <w:rPr>
          <w:i/>
          <w:iCs/>
          <w:sz w:val="20"/>
          <w:szCs w:val="20"/>
        </w:rPr>
      </w:pPr>
      <w:r w:rsidRPr="000C7F17">
        <w:rPr>
          <w:i/>
          <w:iCs/>
          <w:sz w:val="20"/>
          <w:szCs w:val="20"/>
        </w:rPr>
        <w:t xml:space="preserve">• La información considerada corresponde a los años año 2019 y 2020, conforme se interpreta las definiciones contenidas en el manual del modelo de la UPT.  </w:t>
      </w:r>
    </w:p>
    <w:p w14:paraId="7241D3E4" w14:textId="77777777" w:rsidR="000C7F17" w:rsidRPr="000C7F17" w:rsidRDefault="000C7F17" w:rsidP="008E2080">
      <w:pPr>
        <w:spacing w:before="60" w:after="60"/>
        <w:ind w:left="284"/>
        <w:rPr>
          <w:i/>
          <w:iCs/>
          <w:sz w:val="20"/>
          <w:szCs w:val="20"/>
        </w:rPr>
      </w:pPr>
      <w:r w:rsidRPr="000C7F17">
        <w:rPr>
          <w:i/>
          <w:iCs/>
          <w:sz w:val="20"/>
          <w:szCs w:val="20"/>
        </w:rPr>
        <w:t xml:space="preserve">“t_1 indica la energía de entrada al sistema del año anterior. De manera, similar, la Energía de Salida en la columna t-1 denota las ventas de energía del año anterior. Así mismo, la Energía de Entrada en la columna t denota las ventas de energía estimadas para el año en curso. Entonces, el nombre de la casilla indica el tipo de información que se requiere (Energía de Entrada, Energía de Salida, etc.) y la columna t-1 o t indican si son valores del año anterior o del año en curso. Los valores para el año en curso deben ser valores estimados.”  </w:t>
      </w:r>
    </w:p>
    <w:p w14:paraId="626AD2EE" w14:textId="77777777" w:rsidR="000C7F17" w:rsidRPr="000C7F17" w:rsidRDefault="000C7F17" w:rsidP="008E2080">
      <w:pPr>
        <w:spacing w:before="60" w:after="60"/>
        <w:ind w:left="284"/>
        <w:rPr>
          <w:i/>
          <w:iCs/>
          <w:sz w:val="20"/>
          <w:szCs w:val="20"/>
        </w:rPr>
      </w:pPr>
      <w:r w:rsidRPr="000C7F17">
        <w:rPr>
          <w:i/>
          <w:iCs/>
          <w:sz w:val="20"/>
          <w:szCs w:val="20"/>
        </w:rPr>
        <w:t xml:space="preserve">• Los valores para el año t-1, es decir 2019, son reales. Para el año t, que corresponde al año 2020, son estimados, conforme lo indica el modelo.  </w:t>
      </w:r>
    </w:p>
    <w:p w14:paraId="372ACD1A" w14:textId="77777777" w:rsidR="000C7F17" w:rsidRPr="000C7F17" w:rsidRDefault="000C7F17" w:rsidP="008E2080">
      <w:pPr>
        <w:spacing w:before="60" w:after="60"/>
        <w:ind w:left="284"/>
        <w:rPr>
          <w:i/>
          <w:iCs/>
          <w:sz w:val="20"/>
          <w:szCs w:val="20"/>
        </w:rPr>
      </w:pPr>
      <w:r w:rsidRPr="000C7F17">
        <w:rPr>
          <w:i/>
          <w:iCs/>
          <w:sz w:val="20"/>
          <w:szCs w:val="20"/>
        </w:rPr>
        <w:t xml:space="preserve">• Con los parámetros de entrada, que se adjunta en el ANEXO 6. Valores para ejecución del modelo de la UTP.xlsx, se obtuvo el valor referido en la solicitud por 1.089.716 millones para el Costos eficiente (CPCE)  </w:t>
      </w:r>
    </w:p>
    <w:p w14:paraId="000B33B8" w14:textId="77777777" w:rsidR="000C7F17" w:rsidRPr="000C7F17" w:rsidRDefault="000C7F17" w:rsidP="008E2080">
      <w:pPr>
        <w:spacing w:before="60" w:after="60"/>
        <w:ind w:left="284"/>
        <w:rPr>
          <w:i/>
          <w:iCs/>
          <w:sz w:val="20"/>
          <w:szCs w:val="20"/>
        </w:rPr>
      </w:pPr>
      <w:r w:rsidRPr="000C7F17">
        <w:rPr>
          <w:i/>
          <w:iCs/>
          <w:sz w:val="20"/>
          <w:szCs w:val="20"/>
        </w:rPr>
        <w:t xml:space="preserve">2. Para determinar el cumplimiento de la senda aprobada en la Resolución CREG 025 de 2021 (artículo 17 del costo anual del plan de gestión de pérdidas), del cual se obtiene el siguiente resultado.  </w:t>
      </w:r>
    </w:p>
    <w:p w14:paraId="002EC3EA" w14:textId="45B819D0" w:rsidR="000C7F17" w:rsidRDefault="000C7F17" w:rsidP="008E2080">
      <w:pPr>
        <w:spacing w:before="60" w:after="60"/>
        <w:ind w:left="284"/>
        <w:rPr>
          <w:i/>
          <w:iCs/>
          <w:sz w:val="20"/>
          <w:szCs w:val="20"/>
        </w:rPr>
      </w:pPr>
      <w:r w:rsidRPr="000C7F17">
        <w:rPr>
          <w:i/>
          <w:iCs/>
          <w:sz w:val="20"/>
          <w:szCs w:val="20"/>
        </w:rPr>
        <w:t>• A partir del costo anual del plan de gestión de pérdidas (CAPj), aprobado en la Resolución CREG 025 de 2021, se obtuvo la inversión mínima y máxima para el horizonte de 10 años del plan de gestión de pérdidas, considerando las ventas de energía proyectadas por CaribeMar para el p</w:t>
      </w:r>
      <w:r w:rsidR="0061198C">
        <w:rPr>
          <w:i/>
          <w:iCs/>
          <w:sz w:val="20"/>
          <w:szCs w:val="20"/>
        </w:rPr>
        <w:t>eríodo</w:t>
      </w:r>
      <w:r w:rsidRPr="000C7F17">
        <w:rPr>
          <w:i/>
          <w:iCs/>
          <w:sz w:val="20"/>
          <w:szCs w:val="20"/>
        </w:rPr>
        <w:t xml:space="preserve"> de análisis.</w:t>
      </w:r>
    </w:p>
    <w:p w14:paraId="2D5CCF13" w14:textId="77777777" w:rsidR="000C7F17" w:rsidRPr="000C7F17" w:rsidRDefault="000C7F17" w:rsidP="008E2080">
      <w:pPr>
        <w:spacing w:before="60" w:after="60"/>
        <w:ind w:left="284"/>
        <w:rPr>
          <w:i/>
          <w:iCs/>
          <w:sz w:val="20"/>
          <w:szCs w:val="20"/>
        </w:rPr>
      </w:pPr>
      <w:r w:rsidRPr="000C7F17">
        <w:rPr>
          <w:i/>
          <w:iCs/>
          <w:sz w:val="20"/>
          <w:szCs w:val="20"/>
        </w:rPr>
        <w:t xml:space="preserve">Manteniendo los valores para las demás variables que solicita el modelo de la UTP y que fueron considerados para los análisis previos a la presentación de la solicitud de ingresos de CaribeMar, se modificó la inversión mínima y máxima, y la senda aprobada, conforme se indica en la Tabla 23.  </w:t>
      </w:r>
    </w:p>
    <w:p w14:paraId="5C80E9A3" w14:textId="2FEAC650" w:rsidR="000C7F17" w:rsidRPr="000C7F17" w:rsidRDefault="000C7F17" w:rsidP="008E2080">
      <w:pPr>
        <w:spacing w:before="60" w:after="60"/>
        <w:ind w:left="284"/>
        <w:jc w:val="center"/>
        <w:rPr>
          <w:i/>
          <w:iCs/>
          <w:sz w:val="20"/>
          <w:szCs w:val="20"/>
        </w:rPr>
      </w:pPr>
      <w:r w:rsidRPr="000C7F17">
        <w:rPr>
          <w:i/>
          <w:iCs/>
          <w:sz w:val="20"/>
          <w:szCs w:val="20"/>
        </w:rPr>
        <w:t xml:space="preserve">Tabla 23. Variables para ejecutar modelo de la UTP.  </w:t>
      </w:r>
      <w:r>
        <w:rPr>
          <w:i/>
          <w:iCs/>
          <w:sz w:val="20"/>
          <w:szCs w:val="20"/>
        </w:rPr>
        <w:t>(…)</w:t>
      </w:r>
    </w:p>
    <w:p w14:paraId="588FF4F8" w14:textId="77777777" w:rsidR="000C7F17" w:rsidRPr="000C7F17" w:rsidRDefault="000C7F17" w:rsidP="008E2080">
      <w:pPr>
        <w:spacing w:before="60" w:after="60"/>
        <w:ind w:left="284"/>
        <w:rPr>
          <w:i/>
          <w:iCs/>
          <w:sz w:val="20"/>
          <w:szCs w:val="20"/>
        </w:rPr>
      </w:pPr>
      <w:r w:rsidRPr="000C7F17">
        <w:rPr>
          <w:i/>
          <w:iCs/>
          <w:sz w:val="20"/>
          <w:szCs w:val="20"/>
        </w:rPr>
        <w:t xml:space="preserve">• Los resultados de la ejecución del modelo de la UTP en cinco (5) ocasiones fue el mismo, es decir “no se alcanzó el nivel de pérdidas proyectado por la comisión”.  </w:t>
      </w:r>
    </w:p>
    <w:p w14:paraId="25B5B75F" w14:textId="77777777" w:rsidR="000C7F17" w:rsidRPr="000C7F17" w:rsidRDefault="000C7F17" w:rsidP="008E2080">
      <w:pPr>
        <w:spacing w:before="60" w:after="60"/>
        <w:ind w:left="284"/>
        <w:rPr>
          <w:i/>
          <w:iCs/>
          <w:sz w:val="20"/>
          <w:szCs w:val="20"/>
        </w:rPr>
      </w:pPr>
      <w:r w:rsidRPr="000C7F17">
        <w:rPr>
          <w:i/>
          <w:iCs/>
          <w:sz w:val="20"/>
          <w:szCs w:val="20"/>
        </w:rPr>
        <w:t xml:space="preserve">• Basados en lo anterior y el hecho que el modelo no converja, permite evidenciar que el monto aprobado para el costo del plan de gestión de pérdidas es insuficiente para alcanzar las metas aprobadas por la Comisión.  </w:t>
      </w:r>
    </w:p>
    <w:p w14:paraId="215A4E4C" w14:textId="474872DB" w:rsidR="000C7F17" w:rsidRDefault="000C7F17" w:rsidP="008E2080">
      <w:pPr>
        <w:spacing w:before="60" w:after="60"/>
        <w:ind w:left="284"/>
        <w:rPr>
          <w:i/>
          <w:iCs/>
          <w:sz w:val="20"/>
          <w:szCs w:val="20"/>
        </w:rPr>
      </w:pPr>
      <w:r w:rsidRPr="000C7F17">
        <w:rPr>
          <w:i/>
          <w:iCs/>
          <w:sz w:val="20"/>
          <w:szCs w:val="20"/>
        </w:rPr>
        <w:t xml:space="preserve">• Dado que en la documentación remitida por la Comisión no se aporta las variables utilizadas para alcanzar el monto del Costos Eficiente (CPCE), ilustrado en el documento CREG 018 de 2021 en el numeral 3 Resultados generales, no fue posible reproducir este cálculo, basado en las variables que utiliza la Comisión.  </w:t>
      </w:r>
    </w:p>
    <w:p w14:paraId="4460BC80" w14:textId="7AE99CC8" w:rsidR="00F119EF" w:rsidRPr="00F119EF" w:rsidRDefault="00F119EF" w:rsidP="009F7EE2">
      <w:pPr>
        <w:keepNext/>
        <w:rPr>
          <w:b/>
          <w:bCs/>
        </w:rPr>
      </w:pPr>
      <w:r w:rsidRPr="00F119EF">
        <w:rPr>
          <w:b/>
          <w:bCs/>
        </w:rPr>
        <w:t>Análisis de la Comisión</w:t>
      </w:r>
    </w:p>
    <w:p w14:paraId="3E5A21F7" w14:textId="0FBCF3BE" w:rsidR="000C7F17" w:rsidRDefault="00F119EF" w:rsidP="00227F71">
      <w:r>
        <w:t xml:space="preserve">Al respecto se identificó que en la Resolución CREG 025 de 2021 se calculó la variable </w:t>
      </w:r>
      <w:r w:rsidRPr="00F119EF">
        <w:rPr>
          <w:i/>
          <w:iCs/>
        </w:rPr>
        <w:t>CPCE</w:t>
      </w:r>
      <w:r>
        <w:t xml:space="preserve"> con base en la información del índice de pérdidas del sistema obtenid</w:t>
      </w:r>
      <w:r w:rsidR="00C83EBF">
        <w:t>o</w:t>
      </w:r>
      <w:r>
        <w:t xml:space="preserve"> con la información </w:t>
      </w:r>
      <w:r w:rsidR="00C83EBF">
        <w:t xml:space="preserve">disponible en </w:t>
      </w:r>
      <w:r>
        <w:t xml:space="preserve">el SUI </w:t>
      </w:r>
      <w:r w:rsidR="00C83EBF">
        <w:t xml:space="preserve">antes de </w:t>
      </w:r>
      <w:r>
        <w:t>los ajustes de información realizados en los primeros meses del año</w:t>
      </w:r>
      <w:r w:rsidR="00C83EBF">
        <w:t xml:space="preserve"> por el OR</w:t>
      </w:r>
      <w:r>
        <w:t xml:space="preserve">. </w:t>
      </w:r>
    </w:p>
    <w:p w14:paraId="7F37DB57" w14:textId="2B0C3D9D" w:rsidR="000C7F17" w:rsidRDefault="00C83EBF" w:rsidP="00227F71">
      <w:r w:rsidRPr="00BC3F04">
        <w:t>Teniendo en cuenta que la información del SUI con base en la cual se aprobaron los índices de pérdidas corresponde a la disponible en el SUI en marzo de 2021</w:t>
      </w:r>
      <w:r w:rsidR="008E2080">
        <w:t>,</w:t>
      </w:r>
      <w:r w:rsidRPr="00BC3F04">
        <w:t xml:space="preserve"> y que estos índices son mayores a los obtenidos con la información anterior, </w:t>
      </w:r>
      <w:r w:rsidR="00F119EF" w:rsidRPr="00BC3F04">
        <w:t xml:space="preserve">se modifica el valor de la variable </w:t>
      </w:r>
      <w:r w:rsidR="00F119EF" w:rsidRPr="00BC3F04">
        <w:rPr>
          <w:i/>
          <w:iCs/>
        </w:rPr>
        <w:t>CPCE</w:t>
      </w:r>
      <w:r w:rsidR="008E2080">
        <w:rPr>
          <w:i/>
          <w:iCs/>
        </w:rPr>
        <w:t>,</w:t>
      </w:r>
      <w:r w:rsidR="00F119EF" w:rsidRPr="00BC3F04">
        <w:t xml:space="preserve"> considerando los índices de pérdidas iniciales obtenidos con la información de ventas </w:t>
      </w:r>
      <w:r w:rsidRPr="00BC3F04">
        <w:t xml:space="preserve">disponible en el </w:t>
      </w:r>
      <w:r w:rsidR="00F119EF" w:rsidRPr="00BC3F04">
        <w:t xml:space="preserve">SUI </w:t>
      </w:r>
      <w:r w:rsidRPr="00BC3F04">
        <w:t>en</w:t>
      </w:r>
      <w:r w:rsidR="00F119EF" w:rsidRPr="00BC3F04">
        <w:t xml:space="preserve"> marzo de 2021.</w:t>
      </w:r>
      <w:r w:rsidR="00F119EF">
        <w:t xml:space="preserve"> </w:t>
      </w:r>
    </w:p>
    <w:p w14:paraId="6644BB83" w14:textId="1764C33A" w:rsidR="000C7F17" w:rsidRDefault="00F119EF" w:rsidP="00227F71">
      <w:r>
        <w:t xml:space="preserve">Se señala que el valor de la variable </w:t>
      </w:r>
      <w:r w:rsidRPr="00F119EF">
        <w:rPr>
          <w:i/>
          <w:iCs/>
        </w:rPr>
        <w:t>CPCE</w:t>
      </w:r>
      <w:r>
        <w:t xml:space="preserve"> empleado en la Resolución CREG 025 de 2021 no modificaba los resultados de la variable </w:t>
      </w:r>
      <w:r w:rsidRPr="00F119EF">
        <w:rPr>
          <w:i/>
          <w:iCs/>
        </w:rPr>
        <w:t>Costo total del programa</w:t>
      </w:r>
      <w:r>
        <w:t xml:space="preserve">, CTP, al </w:t>
      </w:r>
      <w:r w:rsidR="00BC3F04">
        <w:t xml:space="preserve">tener un </w:t>
      </w:r>
      <w:r>
        <w:t xml:space="preserve">mayor </w:t>
      </w:r>
      <w:r w:rsidR="00BC3F04">
        <w:t xml:space="preserve">valor </w:t>
      </w:r>
      <w:r>
        <w:t xml:space="preserve">que </w:t>
      </w:r>
      <w:r w:rsidR="00BC3F04">
        <w:t xml:space="preserve">el de la </w:t>
      </w:r>
      <w:r>
        <w:t xml:space="preserve">variable </w:t>
      </w:r>
      <w:r w:rsidRPr="00F119EF">
        <w:rPr>
          <w:i/>
          <w:iCs/>
        </w:rPr>
        <w:t>CPOR</w:t>
      </w:r>
      <w:r>
        <w:t xml:space="preserve"> utilizada en dicha resolución.</w:t>
      </w:r>
    </w:p>
    <w:p w14:paraId="39A27A36" w14:textId="69020389" w:rsidR="00F119EF" w:rsidRDefault="00F119EF" w:rsidP="00F119EF">
      <w:r>
        <w:rPr>
          <w:b/>
          <w:bCs/>
        </w:rPr>
        <w:t xml:space="preserve">Séptima </w:t>
      </w:r>
      <w:r w:rsidRPr="007654F3">
        <w:rPr>
          <w:b/>
          <w:bCs/>
        </w:rPr>
        <w:t>solicitud</w:t>
      </w:r>
      <w:r>
        <w:rPr>
          <w:b/>
          <w:bCs/>
        </w:rPr>
        <w:t>, numeral 3</w:t>
      </w:r>
    </w:p>
    <w:p w14:paraId="61A6B02D" w14:textId="77777777" w:rsidR="00F119EF" w:rsidRDefault="00F119EF" w:rsidP="008E2080">
      <w:pPr>
        <w:spacing w:before="60" w:after="60"/>
        <w:ind w:left="284"/>
        <w:rPr>
          <w:i/>
          <w:iCs/>
          <w:sz w:val="20"/>
          <w:szCs w:val="20"/>
        </w:rPr>
      </w:pPr>
      <w:r w:rsidRPr="00FE775A">
        <w:rPr>
          <w:i/>
          <w:iCs/>
          <w:sz w:val="20"/>
          <w:szCs w:val="20"/>
        </w:rPr>
        <w:t xml:space="preserve">3. Seleccionar el mínimo valor entre los dos valores anteriores, conforme lo establece la Resolución CREG 015 de 2018.  </w:t>
      </w:r>
      <w:r>
        <w:rPr>
          <w:i/>
          <w:iCs/>
          <w:sz w:val="20"/>
          <w:szCs w:val="20"/>
        </w:rPr>
        <w:t>(…)</w:t>
      </w:r>
    </w:p>
    <w:p w14:paraId="17224296" w14:textId="77777777" w:rsidR="00F119EF" w:rsidRPr="00F119EF" w:rsidRDefault="00F119EF" w:rsidP="00F119EF">
      <w:pPr>
        <w:rPr>
          <w:b/>
          <w:bCs/>
        </w:rPr>
      </w:pPr>
      <w:r w:rsidRPr="00F119EF">
        <w:rPr>
          <w:b/>
          <w:bCs/>
        </w:rPr>
        <w:t>Análisis de la Comisión</w:t>
      </w:r>
    </w:p>
    <w:p w14:paraId="2562F713" w14:textId="0887DD0F" w:rsidR="00F119EF" w:rsidRDefault="00F119EF" w:rsidP="00F119EF">
      <w:r w:rsidRPr="00F119EF">
        <w:t>S</w:t>
      </w:r>
      <w:r>
        <w:t xml:space="preserve">e verificó que para la expedición de la Resolución CREG 025 de 2021, el cálculo de las diferentes variables, incluyendo la variable </w:t>
      </w:r>
      <w:r w:rsidRPr="00F119EF">
        <w:rPr>
          <w:i/>
          <w:iCs/>
        </w:rPr>
        <w:t>CTP</w:t>
      </w:r>
      <w:r>
        <w:t xml:space="preserve"> definida en el numeral 7.3.2, se realizó con base en las fórmulas determinadas en la Resolución CREG 015 de 2018. </w:t>
      </w:r>
      <w:r w:rsidR="009A231A">
        <w:t xml:space="preserve">Lo anterior se puede evidenciar </w:t>
      </w:r>
      <w:r>
        <w:t xml:space="preserve">en la hoja de cálculo </w:t>
      </w:r>
      <w:r w:rsidRPr="00267811">
        <w:rPr>
          <w:i/>
          <w:iCs/>
        </w:rPr>
        <w:t>Capítulo</w:t>
      </w:r>
      <w:r>
        <w:rPr>
          <w:i/>
          <w:iCs/>
        </w:rPr>
        <w:t>_</w:t>
      </w:r>
      <w:r w:rsidRPr="00267811">
        <w:rPr>
          <w:i/>
          <w:iCs/>
        </w:rPr>
        <w:t>7</w:t>
      </w:r>
      <w:r>
        <w:t xml:space="preserve"> del archivo </w:t>
      </w:r>
      <w:r w:rsidRPr="00267811">
        <w:rPr>
          <w:i/>
          <w:iCs/>
        </w:rPr>
        <w:t>Calculo Ingreso D Caribemar.xlsx</w:t>
      </w:r>
      <w:r>
        <w:t xml:space="preserve">, entregada al OR como soporte de la </w:t>
      </w:r>
      <w:r w:rsidR="009A231A">
        <w:t>r</w:t>
      </w:r>
      <w:r>
        <w:t xml:space="preserve">esolución </w:t>
      </w:r>
      <w:r w:rsidR="009A231A">
        <w:t>particular de aprobación de ingresos</w:t>
      </w:r>
      <w:r>
        <w:t xml:space="preserve">. </w:t>
      </w:r>
    </w:p>
    <w:p w14:paraId="5F383508" w14:textId="4FEA8645" w:rsidR="009A231A" w:rsidRPr="00D53B3D" w:rsidRDefault="009A231A" w:rsidP="00F119EF">
      <w:pPr>
        <w:rPr>
          <w:sz w:val="32"/>
          <w:szCs w:val="32"/>
        </w:rPr>
      </w:pPr>
      <w:r>
        <w:t xml:space="preserve">No obstante, se aclara que el valor de la variable </w:t>
      </w:r>
      <w:r w:rsidRPr="009A231A">
        <w:rPr>
          <w:i/>
          <w:iCs/>
        </w:rPr>
        <w:t>CTP</w:t>
      </w:r>
      <w:r>
        <w:t xml:space="preserve"> se ajusta teniendo en cuenta los cambios en las variables </w:t>
      </w:r>
      <w:r w:rsidRPr="009A231A">
        <w:rPr>
          <w:i/>
          <w:iCs/>
        </w:rPr>
        <w:t>CPCE</w:t>
      </w:r>
      <w:r>
        <w:t xml:space="preserve"> o </w:t>
      </w:r>
      <w:r w:rsidRPr="009A231A">
        <w:rPr>
          <w:i/>
          <w:iCs/>
        </w:rPr>
        <w:t>CPOR</w:t>
      </w:r>
      <w:r>
        <w:t xml:space="preserve"> </w:t>
      </w:r>
      <w:r w:rsidR="00BC3F04">
        <w:t xml:space="preserve">resultantes de </w:t>
      </w:r>
      <w:r>
        <w:t>la revisión de</w:t>
      </w:r>
      <w:r w:rsidR="00BC3F04">
        <w:t xml:space="preserve">l </w:t>
      </w:r>
      <w:r>
        <w:t>recurso de reposición.</w:t>
      </w:r>
    </w:p>
    <w:p w14:paraId="21DA30DA" w14:textId="70854CB3" w:rsidR="00227F71" w:rsidRDefault="00227F71" w:rsidP="00227F71">
      <w:r>
        <w:rPr>
          <w:b/>
          <w:bCs/>
        </w:rPr>
        <w:t xml:space="preserve">Octava </w:t>
      </w:r>
      <w:r w:rsidRPr="007654F3">
        <w:rPr>
          <w:b/>
          <w:bCs/>
        </w:rPr>
        <w:t>solicitud</w:t>
      </w:r>
      <w:r>
        <w:rPr>
          <w:b/>
          <w:bCs/>
        </w:rPr>
        <w:t>, numeral 1</w:t>
      </w:r>
    </w:p>
    <w:p w14:paraId="49011A72" w14:textId="2E72AF7B" w:rsidR="00FE775A" w:rsidRPr="00FE775A" w:rsidRDefault="00FE775A" w:rsidP="008E2080">
      <w:pPr>
        <w:spacing w:before="60" w:after="60"/>
        <w:ind w:left="284"/>
        <w:rPr>
          <w:i/>
          <w:iCs/>
          <w:sz w:val="20"/>
          <w:szCs w:val="20"/>
        </w:rPr>
      </w:pPr>
      <w:r w:rsidRPr="00FE775A">
        <w:rPr>
          <w:i/>
          <w:iCs/>
          <w:sz w:val="20"/>
          <w:szCs w:val="20"/>
        </w:rPr>
        <w:t xml:space="preserve">OCTAVO: Modificar el artículo 19 de la Resolución CREG 025 de 2021, en el siguiente sentido:  </w:t>
      </w:r>
    </w:p>
    <w:p w14:paraId="6ADD0532" w14:textId="77777777" w:rsidR="00C812A7" w:rsidRDefault="00FE775A" w:rsidP="008E2080">
      <w:pPr>
        <w:spacing w:before="60" w:after="60"/>
        <w:ind w:left="284"/>
        <w:rPr>
          <w:i/>
          <w:iCs/>
          <w:sz w:val="20"/>
          <w:szCs w:val="20"/>
        </w:rPr>
      </w:pPr>
      <w:r w:rsidRPr="00FE775A">
        <w:rPr>
          <w:i/>
          <w:iCs/>
          <w:sz w:val="20"/>
          <w:szCs w:val="20"/>
        </w:rPr>
        <w:t xml:space="preserve">1. Aprobar las inversiones en activos que no son clasificables como UC que CaribeMar presentó en el plan de reducción de pérdidas. </w:t>
      </w:r>
    </w:p>
    <w:p w14:paraId="07AE6EBC" w14:textId="77777777" w:rsidR="00C812A7" w:rsidRDefault="00C812A7" w:rsidP="008E2080">
      <w:pPr>
        <w:spacing w:before="60" w:after="60"/>
        <w:ind w:left="284"/>
        <w:rPr>
          <w:i/>
          <w:iCs/>
          <w:sz w:val="20"/>
          <w:szCs w:val="20"/>
        </w:rPr>
      </w:pPr>
      <w:r w:rsidRPr="00FE775A">
        <w:rPr>
          <w:i/>
          <w:iCs/>
          <w:sz w:val="20"/>
          <w:szCs w:val="20"/>
        </w:rPr>
        <w:t xml:space="preserve">2. Las inversiones presentadas en el plan de reducción de pérdidas son las requeridas para mejorar las condiciones de prestación del servicio de energía eléctrica y alcanzar los indicadores eficientes que se proyectan. </w:t>
      </w:r>
    </w:p>
    <w:p w14:paraId="3FAFEF69" w14:textId="0BC08CF1" w:rsidR="00FE775A" w:rsidRDefault="00C812A7" w:rsidP="008E2080">
      <w:pPr>
        <w:spacing w:before="60" w:after="60"/>
        <w:ind w:left="284"/>
        <w:rPr>
          <w:i/>
          <w:iCs/>
          <w:sz w:val="20"/>
          <w:szCs w:val="20"/>
        </w:rPr>
      </w:pPr>
      <w:r w:rsidRPr="00FE775A">
        <w:rPr>
          <w:i/>
          <w:iCs/>
          <w:sz w:val="20"/>
          <w:szCs w:val="20"/>
        </w:rPr>
        <w:t>3. Considerar la actualización del soporte de certificación de las cuentas contables para el registro de las inversiones en el plan de reducción de pérdidas.</w:t>
      </w:r>
      <w:r>
        <w:rPr>
          <w:i/>
          <w:iCs/>
          <w:sz w:val="20"/>
          <w:szCs w:val="20"/>
        </w:rPr>
        <w:t xml:space="preserve"> (…)</w:t>
      </w:r>
    </w:p>
    <w:p w14:paraId="11E7FAAD" w14:textId="77777777" w:rsidR="00C812A7" w:rsidRPr="00C812A7" w:rsidRDefault="00C812A7" w:rsidP="008E2080">
      <w:pPr>
        <w:spacing w:before="60" w:after="60"/>
        <w:ind w:left="284"/>
        <w:rPr>
          <w:i/>
          <w:iCs/>
          <w:sz w:val="20"/>
          <w:szCs w:val="20"/>
        </w:rPr>
      </w:pPr>
      <w:r w:rsidRPr="00C812A7">
        <w:rPr>
          <w:i/>
          <w:iCs/>
          <w:sz w:val="20"/>
          <w:szCs w:val="20"/>
        </w:rPr>
        <w:t xml:space="preserve">A. Las inversiones solicitadas para el plan de gestión de pérdidas obedecen a las necesidades del mercado y se ajusta a la normatividad que lo reglamenta.  </w:t>
      </w:r>
    </w:p>
    <w:p w14:paraId="7C51ABA8" w14:textId="0C1B1164" w:rsidR="00C812A7" w:rsidRDefault="00C812A7" w:rsidP="008E2080">
      <w:pPr>
        <w:spacing w:before="60" w:after="60"/>
        <w:ind w:left="284"/>
        <w:rPr>
          <w:i/>
          <w:iCs/>
          <w:sz w:val="20"/>
          <w:szCs w:val="20"/>
        </w:rPr>
      </w:pPr>
      <w:r w:rsidRPr="00C812A7">
        <w:rPr>
          <w:i/>
          <w:iCs/>
          <w:sz w:val="20"/>
          <w:szCs w:val="20"/>
        </w:rPr>
        <w:t>1. CaribeMar presentó un plan de gestión de pérdidas acorde con la normatividad vigente y en las proporciones económicas que permitan, a partir de su ejecución, alcanzar las metas que presentó y alcanzar las pérdidas eficientes en un horizonte de 10 años.</w:t>
      </w:r>
    </w:p>
    <w:p w14:paraId="2A1CE8BF" w14:textId="77777777" w:rsidR="00C812A7" w:rsidRPr="00C812A7" w:rsidRDefault="00C812A7" w:rsidP="008E2080">
      <w:pPr>
        <w:spacing w:before="60" w:after="60"/>
        <w:ind w:left="284"/>
        <w:rPr>
          <w:i/>
          <w:iCs/>
          <w:sz w:val="20"/>
          <w:szCs w:val="20"/>
        </w:rPr>
      </w:pPr>
      <w:r w:rsidRPr="00C812A7">
        <w:rPr>
          <w:i/>
          <w:iCs/>
          <w:sz w:val="20"/>
          <w:szCs w:val="20"/>
        </w:rPr>
        <w:t xml:space="preserve">2. La Comisión en el numeral 2.5.6.3 Inversiones del plan de reducción de pérdidas del documento CREG-018 de 2021, señala:  </w:t>
      </w:r>
    </w:p>
    <w:p w14:paraId="3219B28A" w14:textId="3B212220" w:rsidR="00C812A7" w:rsidRPr="00C812A7" w:rsidRDefault="00C812A7" w:rsidP="008E2080">
      <w:pPr>
        <w:spacing w:before="60" w:after="60"/>
        <w:ind w:left="567"/>
        <w:rPr>
          <w:i/>
          <w:iCs/>
          <w:sz w:val="20"/>
          <w:szCs w:val="20"/>
        </w:rPr>
      </w:pPr>
      <w:r w:rsidRPr="00C812A7">
        <w:rPr>
          <w:i/>
          <w:iCs/>
          <w:sz w:val="20"/>
          <w:szCs w:val="20"/>
        </w:rPr>
        <w:t xml:space="preserve">“En la solicitud del OR, la mayor parte de las inversiones corresponden a proyectos que el OR denomina normalización y en algunos apartes medición centralizada. Tanto en el documento de soporte del plan de pérdidas como en los anexos se identifica que estos proyectos corresponden a proyectos de Infraestructura de Medición Avanzada, AMI, aunque son denominados proyectos de medición centralizada, al respecto se aclara que los proyectos AMI no se incluyen en la variable INVNUC.”  </w:t>
      </w:r>
    </w:p>
    <w:p w14:paraId="1EE33918" w14:textId="77777777" w:rsidR="00C812A7" w:rsidRPr="00C812A7" w:rsidRDefault="00C812A7" w:rsidP="008E2080">
      <w:pPr>
        <w:spacing w:before="60" w:after="60"/>
        <w:ind w:left="284"/>
        <w:rPr>
          <w:i/>
          <w:iCs/>
          <w:sz w:val="20"/>
          <w:szCs w:val="20"/>
        </w:rPr>
      </w:pPr>
      <w:r w:rsidRPr="00C812A7">
        <w:rPr>
          <w:i/>
          <w:iCs/>
          <w:sz w:val="20"/>
          <w:szCs w:val="20"/>
        </w:rPr>
        <w:t xml:space="preserve">Posteriormente la Comisión considera:  </w:t>
      </w:r>
    </w:p>
    <w:p w14:paraId="0E1202D9" w14:textId="6AEC6298" w:rsidR="00C812A7" w:rsidRPr="00C812A7" w:rsidRDefault="00C812A7" w:rsidP="008E2080">
      <w:pPr>
        <w:spacing w:before="60" w:after="60"/>
        <w:ind w:left="567"/>
        <w:rPr>
          <w:i/>
          <w:iCs/>
          <w:sz w:val="20"/>
          <w:szCs w:val="20"/>
        </w:rPr>
      </w:pPr>
      <w:r w:rsidRPr="00C812A7">
        <w:rPr>
          <w:i/>
          <w:iCs/>
          <w:sz w:val="20"/>
          <w:szCs w:val="20"/>
        </w:rPr>
        <w:t xml:space="preserve">“Con base en lo anterior, se excluyen las inversiones relacionadas con proyectos de implementación de infraestructura de Medición Avanzada, AMI.”  </w:t>
      </w:r>
    </w:p>
    <w:p w14:paraId="6403E9FD" w14:textId="77777777" w:rsidR="00C812A7" w:rsidRPr="00C812A7" w:rsidRDefault="00C812A7" w:rsidP="008E2080">
      <w:pPr>
        <w:spacing w:before="60" w:after="60"/>
        <w:ind w:left="284"/>
        <w:rPr>
          <w:i/>
          <w:iCs/>
          <w:sz w:val="20"/>
          <w:szCs w:val="20"/>
        </w:rPr>
      </w:pPr>
      <w:r w:rsidRPr="00C812A7">
        <w:rPr>
          <w:i/>
          <w:iCs/>
          <w:sz w:val="20"/>
          <w:szCs w:val="20"/>
        </w:rPr>
        <w:t xml:space="preserve">3. En este punto debemos resaltar que, contrario a lo indicado documento CREG018 de 2021, el plan de gestión de pérdidas presentado por CaribeMar, se encuentra conforme a lo establecido en la Resolución CREG 015 de 2018, numeral 7.3.2.1 “Cálculo del costo anual del plan”, la cual establece:  </w:t>
      </w:r>
    </w:p>
    <w:p w14:paraId="053480BB" w14:textId="781AA615" w:rsidR="00C812A7" w:rsidRPr="00C812A7" w:rsidRDefault="00C812A7" w:rsidP="008E2080">
      <w:pPr>
        <w:spacing w:before="60" w:after="60"/>
        <w:ind w:left="284"/>
        <w:rPr>
          <w:i/>
          <w:iCs/>
          <w:sz w:val="20"/>
          <w:szCs w:val="20"/>
        </w:rPr>
      </w:pPr>
      <w:r w:rsidRPr="00C812A7">
        <w:rPr>
          <w:i/>
          <w:iCs/>
          <w:sz w:val="20"/>
          <w:szCs w:val="20"/>
        </w:rPr>
        <w:t xml:space="preserve">“En el costo total del plan se puede incluir las siguientes inversiones: medidores de usuarios finales regulados que no cuenten con medidor a la fecha de prestación del plan y su costo no sea trasladado al usuario, medidores en el arranque de todas las líneas, equipos de medida en los puntos de entrada de cada nivel de tensión, macromedidores instalados en transformadores de distribución y sistemas de medición centralizada, incluyendo software y comunicaciones.” (Subrayado fuera del texto original).  </w:t>
      </w:r>
    </w:p>
    <w:p w14:paraId="0908B42A" w14:textId="77777777" w:rsidR="00C812A7" w:rsidRPr="00C812A7" w:rsidRDefault="00C812A7" w:rsidP="008E2080">
      <w:pPr>
        <w:spacing w:before="60" w:after="60"/>
        <w:ind w:left="284"/>
        <w:rPr>
          <w:i/>
          <w:iCs/>
          <w:sz w:val="20"/>
          <w:szCs w:val="20"/>
        </w:rPr>
      </w:pPr>
      <w:r w:rsidRPr="00C812A7">
        <w:rPr>
          <w:i/>
          <w:iCs/>
          <w:sz w:val="20"/>
          <w:szCs w:val="20"/>
        </w:rPr>
        <w:t>4. En ese sentido, el plan de gestión de pérdidas por parte de CaribeMar se acoge a lo definido en la norma, adicionalmente la solicitud se hace como un plan para reducir los altos niveles de pérdidas de energía que se tienen en el mercado que se atiende, cercanas al 30% de pérdidas totales a corte de 2019 y que</w:t>
      </w:r>
      <w:r>
        <w:rPr>
          <w:i/>
          <w:iCs/>
          <w:sz w:val="20"/>
          <w:szCs w:val="20"/>
        </w:rPr>
        <w:t xml:space="preserve"> </w:t>
      </w:r>
      <w:r w:rsidRPr="00C812A7">
        <w:rPr>
          <w:i/>
          <w:iCs/>
          <w:sz w:val="20"/>
          <w:szCs w:val="20"/>
        </w:rPr>
        <w:t xml:space="preserve">continuaron su incremento en el año 2021 llegando a 33%. A lo anterior se suma la existencia de un sistema de distribución frágil que permite la vulnerabilidad de este, las condiciones económicas de los usuarios y la eficiencia en los procesos para combatir el fraude, entre otras.  </w:t>
      </w:r>
    </w:p>
    <w:p w14:paraId="2DF46189" w14:textId="77777777" w:rsidR="00C812A7" w:rsidRPr="00C812A7" w:rsidRDefault="00C812A7" w:rsidP="008E2080">
      <w:pPr>
        <w:spacing w:before="60" w:after="60"/>
        <w:ind w:left="284"/>
        <w:rPr>
          <w:i/>
          <w:iCs/>
          <w:sz w:val="20"/>
          <w:szCs w:val="20"/>
        </w:rPr>
      </w:pPr>
      <w:r w:rsidRPr="00C812A7">
        <w:rPr>
          <w:i/>
          <w:iCs/>
          <w:sz w:val="20"/>
          <w:szCs w:val="20"/>
        </w:rPr>
        <w:t xml:space="preserve">5. Debido a las características del mercado, es evidente la necesidad de incorporar como eje fundamental a la estrategia de reducción de pérdidas la ejecución de proyectos de aseguramiento y blindaje de la red y la implementación de tecnologías de medición centralizadas. De acuerdo con lo anterior, a la fecha nuestro mercado con corte al mes de marzo se compone de 1.606.402 clientes, de los cuales podemos resaltar:  </w:t>
      </w:r>
    </w:p>
    <w:p w14:paraId="32813E8D" w14:textId="77777777" w:rsidR="00C812A7" w:rsidRDefault="00C812A7" w:rsidP="008E2080">
      <w:pPr>
        <w:spacing w:before="60" w:after="60"/>
        <w:ind w:left="284"/>
        <w:rPr>
          <w:i/>
          <w:iCs/>
          <w:sz w:val="20"/>
          <w:szCs w:val="20"/>
        </w:rPr>
      </w:pPr>
      <w:r w:rsidRPr="00C812A7">
        <w:rPr>
          <w:i/>
          <w:iCs/>
          <w:sz w:val="20"/>
          <w:szCs w:val="20"/>
        </w:rPr>
        <w:t>• Contamos con 147.013 usuarios directos, siendo este uno de los objetivos principales de las actividades del plan de pérdidas.</w:t>
      </w:r>
    </w:p>
    <w:p w14:paraId="19991FE5" w14:textId="77777777" w:rsidR="00C812A7" w:rsidRDefault="00C812A7" w:rsidP="008E2080">
      <w:pPr>
        <w:spacing w:before="60" w:after="60"/>
        <w:ind w:left="284"/>
        <w:rPr>
          <w:i/>
          <w:iCs/>
          <w:sz w:val="20"/>
          <w:szCs w:val="20"/>
        </w:rPr>
      </w:pPr>
      <w:r w:rsidRPr="00C812A7">
        <w:rPr>
          <w:i/>
          <w:iCs/>
          <w:sz w:val="20"/>
          <w:szCs w:val="20"/>
        </w:rPr>
        <w:t xml:space="preserve">• Presentamos 58.305 clientes con el medidor dañado, foco de ejecución de la operativa de Control de Energía. </w:t>
      </w:r>
    </w:p>
    <w:p w14:paraId="4002ADD9" w14:textId="77777777" w:rsidR="00C812A7" w:rsidRDefault="00C812A7" w:rsidP="008E2080">
      <w:pPr>
        <w:spacing w:before="60" w:after="60"/>
        <w:ind w:left="284"/>
        <w:rPr>
          <w:i/>
          <w:iCs/>
          <w:sz w:val="20"/>
          <w:szCs w:val="20"/>
        </w:rPr>
      </w:pPr>
      <w:r w:rsidRPr="00C812A7">
        <w:rPr>
          <w:i/>
          <w:iCs/>
          <w:sz w:val="20"/>
          <w:szCs w:val="20"/>
        </w:rPr>
        <w:t xml:space="preserve">• Se ha presentado un incremento del 2,6% de los usuarios ubicados en áreas geográficas catalogadas como Barrios Eléctricamente Subnormales y Zonas de Difícil Gestión (590.387 usuarios comparando Octubre 2020 con Marzo 2021), y sobre estas comunidades se proyecta la realización de trabajos como construcción de red, instalación de macromedidores e instalación de medida centralizada. </w:t>
      </w:r>
    </w:p>
    <w:p w14:paraId="055FF38C" w14:textId="77777777" w:rsidR="00C812A7" w:rsidRDefault="00C812A7" w:rsidP="008E2080">
      <w:pPr>
        <w:spacing w:before="60" w:after="60"/>
        <w:ind w:left="284"/>
        <w:rPr>
          <w:i/>
          <w:iCs/>
          <w:sz w:val="20"/>
          <w:szCs w:val="20"/>
        </w:rPr>
      </w:pPr>
      <w:r w:rsidRPr="00C812A7">
        <w:rPr>
          <w:i/>
          <w:iCs/>
          <w:sz w:val="20"/>
          <w:szCs w:val="20"/>
        </w:rPr>
        <w:t xml:space="preserve">• Cabe destacar el crecimiento de comunidades Subnormales en 2,31% respecto a Octubre 2020, con un total a la fecha de 142.112 grupos de familia, en los cuales estamos trabajando para mejorar su calidad de vida en lo referente al servicio de energía eléctrica, a través de los proyectos de normalización de redes y medida, con un objetivo aproximado de 80.000 usuarios en los próximos 5 años. </w:t>
      </w:r>
    </w:p>
    <w:p w14:paraId="252CD470" w14:textId="77777777" w:rsidR="00C812A7" w:rsidRPr="00C812A7" w:rsidRDefault="00C812A7" w:rsidP="008E2080">
      <w:pPr>
        <w:spacing w:before="60" w:after="60"/>
        <w:ind w:left="284"/>
        <w:rPr>
          <w:i/>
          <w:iCs/>
          <w:sz w:val="20"/>
          <w:szCs w:val="20"/>
        </w:rPr>
      </w:pPr>
      <w:r w:rsidRPr="00C812A7">
        <w:rPr>
          <w:i/>
          <w:iCs/>
          <w:sz w:val="20"/>
          <w:szCs w:val="20"/>
        </w:rPr>
        <w:t>• Cabe resaltar que la medida centralizada proyectada a instalar en estos segmentos de mercado, es vital para la gestión del mismo, debido que los índices de pobreza y los factores climáticos que caracteriza la región en la que opera CaribeMar, se traducen en un bajo porcentaje de pago del servicio de energía y por tanto se genera en los usuarios la necesidad de obtener el servicio de forma antitécnica, generando accesos no autorizados a las redes de distribución en baja tensión normales y en muchas ocasiones vulnerando los sistemas de medición tradicionales con el objetivo de obtener la energía</w:t>
      </w:r>
      <w:r>
        <w:rPr>
          <w:i/>
          <w:iCs/>
          <w:sz w:val="20"/>
          <w:szCs w:val="20"/>
        </w:rPr>
        <w:t xml:space="preserve"> </w:t>
      </w:r>
      <w:r w:rsidRPr="00C812A7">
        <w:rPr>
          <w:i/>
          <w:iCs/>
          <w:sz w:val="20"/>
          <w:szCs w:val="20"/>
        </w:rPr>
        <w:t xml:space="preserve">para cubrir sus necesidades, situación que se presenta en menor proporción en otras regiones del país, donde las características climatológicas y los niveles de pobreza, no son tan agresivos como en esta región de la costa.  </w:t>
      </w:r>
    </w:p>
    <w:p w14:paraId="43DE8808" w14:textId="77777777" w:rsidR="00C812A7" w:rsidRPr="00C812A7" w:rsidRDefault="00C812A7" w:rsidP="008E2080">
      <w:pPr>
        <w:spacing w:before="60" w:after="60"/>
        <w:ind w:left="284"/>
        <w:rPr>
          <w:i/>
          <w:iCs/>
          <w:sz w:val="20"/>
          <w:szCs w:val="20"/>
        </w:rPr>
      </w:pPr>
      <w:r w:rsidRPr="00C812A7">
        <w:rPr>
          <w:i/>
          <w:iCs/>
          <w:sz w:val="20"/>
          <w:szCs w:val="20"/>
        </w:rPr>
        <w:t xml:space="preserve">6. Este tipo de tecnologías de medición centralizada ha permitido desde su llegada a Colombia, aportar al control y reducción de pérdidas de energía, basados en la orientación que se obtiene a través de los balances de energía, permitiendo focalizar y rentabilizar las actividades de reducción de pérdidas en mercados como los que atiende CaribeMar.  </w:t>
      </w:r>
    </w:p>
    <w:p w14:paraId="4B156F5A" w14:textId="77777777" w:rsidR="00C812A7" w:rsidRPr="00C812A7" w:rsidRDefault="00C812A7" w:rsidP="008E2080">
      <w:pPr>
        <w:spacing w:before="60" w:after="60"/>
        <w:ind w:left="284"/>
        <w:rPr>
          <w:i/>
          <w:iCs/>
          <w:sz w:val="20"/>
          <w:szCs w:val="20"/>
        </w:rPr>
      </w:pPr>
      <w:r w:rsidRPr="00C812A7">
        <w:rPr>
          <w:i/>
          <w:iCs/>
          <w:sz w:val="20"/>
          <w:szCs w:val="20"/>
        </w:rPr>
        <w:t xml:space="preserve">7. La implementación de </w:t>
      </w:r>
      <w:r w:rsidRPr="00AC104B">
        <w:rPr>
          <w:i/>
          <w:iCs/>
          <w:sz w:val="20"/>
          <w:szCs w:val="20"/>
          <w:u w:val="single"/>
        </w:rPr>
        <w:t>sistemas de medición centralizada en el proceso de reducción de pérdidas, tienen como componentes básicos los medidores, sistemas de comunicación y software de gestión, que a su vez se apoyan en herramientas informáticas que facilitan el análisis y control de la información, monitoreo, seguimiento y control en tiempo real de los usuarios normalizados</w:t>
      </w:r>
      <w:r w:rsidRPr="00C812A7">
        <w:rPr>
          <w:i/>
          <w:iCs/>
          <w:sz w:val="20"/>
          <w:szCs w:val="20"/>
        </w:rPr>
        <w:t xml:space="preserve">.  </w:t>
      </w:r>
    </w:p>
    <w:p w14:paraId="105D9E60" w14:textId="2E6A8957" w:rsidR="00C812A7" w:rsidRPr="00C812A7" w:rsidRDefault="00C812A7" w:rsidP="008E2080">
      <w:pPr>
        <w:spacing w:before="60" w:after="60"/>
        <w:ind w:left="284"/>
        <w:rPr>
          <w:i/>
          <w:iCs/>
          <w:sz w:val="20"/>
          <w:szCs w:val="20"/>
        </w:rPr>
      </w:pPr>
      <w:r w:rsidRPr="00C812A7">
        <w:rPr>
          <w:i/>
          <w:iCs/>
          <w:sz w:val="20"/>
          <w:szCs w:val="20"/>
        </w:rPr>
        <w:t xml:space="preserve">8. Ahora bien, conforme lo establece el literal e) del numeral 7.3.1 “Requisitos para la presentación del plan de reducción” de la Resolución 015 de 2018, </w:t>
      </w:r>
      <w:r w:rsidRPr="00AC104B">
        <w:rPr>
          <w:i/>
          <w:iCs/>
          <w:sz w:val="20"/>
          <w:szCs w:val="20"/>
          <w:u w:val="single"/>
        </w:rPr>
        <w:t>el OR debía aportar un certificado detallado de las cuentas creadas en el sistema de contabilidad, en el siguiente sentido</w:t>
      </w:r>
      <w:r w:rsidRPr="00C812A7">
        <w:rPr>
          <w:i/>
          <w:iCs/>
          <w:sz w:val="20"/>
          <w:szCs w:val="20"/>
        </w:rPr>
        <w:t xml:space="preserve">:  </w:t>
      </w:r>
    </w:p>
    <w:p w14:paraId="729171B5" w14:textId="77777777" w:rsidR="00C812A7" w:rsidRPr="00C812A7" w:rsidRDefault="00C812A7" w:rsidP="008E2080">
      <w:pPr>
        <w:spacing w:before="60" w:after="60"/>
        <w:ind w:left="284"/>
        <w:rPr>
          <w:i/>
          <w:iCs/>
          <w:sz w:val="20"/>
          <w:szCs w:val="20"/>
        </w:rPr>
      </w:pPr>
      <w:r w:rsidRPr="00C812A7">
        <w:rPr>
          <w:i/>
          <w:iCs/>
          <w:sz w:val="20"/>
          <w:szCs w:val="20"/>
        </w:rPr>
        <w:t xml:space="preserve">“e. Certificación del representante legal, contador y revisor fiscal del OR detallando el código de las cuentas creadas en la contabilidad, que permitan el registro independiente de todas las actividades relacionadas con el plan.”  </w:t>
      </w:r>
    </w:p>
    <w:p w14:paraId="50C42CBB" w14:textId="17A0B604" w:rsidR="00C812A7" w:rsidRPr="00C812A7" w:rsidRDefault="00C812A7" w:rsidP="008E2080">
      <w:pPr>
        <w:spacing w:before="60" w:after="60"/>
        <w:ind w:left="284"/>
        <w:rPr>
          <w:i/>
          <w:iCs/>
          <w:sz w:val="20"/>
          <w:szCs w:val="20"/>
        </w:rPr>
      </w:pPr>
      <w:r w:rsidRPr="00C812A7">
        <w:rPr>
          <w:i/>
          <w:iCs/>
          <w:sz w:val="20"/>
          <w:szCs w:val="20"/>
        </w:rPr>
        <w:t xml:space="preserve">Teniendo en cuenta lo dispuesto en la norma transcrita, </w:t>
      </w:r>
      <w:r w:rsidRPr="00AC104B">
        <w:rPr>
          <w:i/>
          <w:iCs/>
          <w:sz w:val="20"/>
          <w:szCs w:val="20"/>
          <w:u w:val="single"/>
        </w:rPr>
        <w:t xml:space="preserve">CaribeMar aportó la certificación expedida por el anterior OR del mercado que actualmente opera CaribeMar, documentación que fue elaborada conforme los criterios de la anterior </w:t>
      </w:r>
      <w:r w:rsidR="00AC104B" w:rsidRPr="00AC104B">
        <w:rPr>
          <w:i/>
          <w:iCs/>
          <w:sz w:val="20"/>
          <w:szCs w:val="20"/>
          <w:u w:val="single"/>
        </w:rPr>
        <w:t>compañía</w:t>
      </w:r>
      <w:r w:rsidRPr="00AC104B">
        <w:rPr>
          <w:i/>
          <w:iCs/>
          <w:sz w:val="20"/>
          <w:szCs w:val="20"/>
          <w:u w:val="single"/>
        </w:rPr>
        <w:t xml:space="preserve"> y la estructura del sistema contable que disponía esa compañía, dado que CaribeMar a la fecha no había asumido la operación del mercado</w:t>
      </w:r>
      <w:r w:rsidRPr="00C812A7">
        <w:rPr>
          <w:i/>
          <w:iCs/>
          <w:sz w:val="20"/>
          <w:szCs w:val="20"/>
        </w:rPr>
        <w:t xml:space="preserve">.  </w:t>
      </w:r>
    </w:p>
    <w:p w14:paraId="0576CDBF" w14:textId="1E047C91" w:rsidR="00C812A7" w:rsidRDefault="00C812A7" w:rsidP="008E2080">
      <w:pPr>
        <w:spacing w:before="60" w:after="60"/>
        <w:ind w:left="284"/>
        <w:rPr>
          <w:i/>
          <w:iCs/>
          <w:sz w:val="20"/>
          <w:szCs w:val="20"/>
        </w:rPr>
      </w:pPr>
      <w:r w:rsidRPr="00C812A7">
        <w:rPr>
          <w:i/>
          <w:iCs/>
          <w:sz w:val="20"/>
          <w:szCs w:val="20"/>
        </w:rPr>
        <w:t xml:space="preserve">Con la finalidad de </w:t>
      </w:r>
      <w:r w:rsidRPr="00AC104B">
        <w:rPr>
          <w:i/>
          <w:iCs/>
          <w:sz w:val="20"/>
          <w:szCs w:val="20"/>
          <w:u w:val="single"/>
        </w:rPr>
        <w:t>actualizar dicha certificación y que esta corresponda a las condiciones de información y las características que CaribeMar implementó en su sistema contable, se permite aportar la certificación actualizada y la cual se consideró como elemento de repuesta al recurso (ANEXO 7)</w:t>
      </w:r>
      <w:r w:rsidRPr="00C812A7">
        <w:rPr>
          <w:i/>
          <w:iCs/>
          <w:sz w:val="20"/>
          <w:szCs w:val="20"/>
        </w:rPr>
        <w:t>.</w:t>
      </w:r>
    </w:p>
    <w:p w14:paraId="48BE1BD4" w14:textId="77777777" w:rsidR="00C812A7" w:rsidRPr="00C812A7" w:rsidRDefault="00C812A7" w:rsidP="008E2080">
      <w:pPr>
        <w:spacing w:before="60" w:after="60"/>
        <w:ind w:left="284"/>
        <w:rPr>
          <w:i/>
          <w:iCs/>
          <w:sz w:val="20"/>
          <w:szCs w:val="20"/>
        </w:rPr>
      </w:pPr>
      <w:r w:rsidRPr="00C812A7">
        <w:rPr>
          <w:i/>
          <w:iCs/>
          <w:sz w:val="20"/>
          <w:szCs w:val="20"/>
        </w:rPr>
        <w:t xml:space="preserve">9. En ese sentido, </w:t>
      </w:r>
      <w:r w:rsidRPr="00AC104B">
        <w:rPr>
          <w:i/>
          <w:iCs/>
          <w:sz w:val="20"/>
          <w:szCs w:val="20"/>
          <w:u w:val="single"/>
        </w:rPr>
        <w:t>debemos aclarar que las referencias a sistemas de medición AMI incluidas en la certificación elaborada por el anterior OR, corresponden en realidad a los “sistemas de medición centralizada, incluyendo medidores, software y comunicaciones” incluidos dentro del plan de gestión de pérdidas de CaribeMar</w:t>
      </w:r>
      <w:r w:rsidRPr="00C812A7">
        <w:rPr>
          <w:i/>
          <w:iCs/>
          <w:sz w:val="20"/>
          <w:szCs w:val="20"/>
        </w:rPr>
        <w:t xml:space="preserve"> en los términos establecidos en la Resolución CREG 015 de 2018, numeral 7.3.2.1, tal como se evidencia en la certificación actualizada.    </w:t>
      </w:r>
    </w:p>
    <w:p w14:paraId="403E71E7" w14:textId="77777777" w:rsidR="00C812A7" w:rsidRPr="00C812A7" w:rsidRDefault="00C812A7" w:rsidP="008E2080">
      <w:pPr>
        <w:spacing w:before="60" w:after="60"/>
        <w:ind w:left="284"/>
        <w:rPr>
          <w:i/>
          <w:iCs/>
          <w:sz w:val="20"/>
          <w:szCs w:val="20"/>
        </w:rPr>
      </w:pPr>
      <w:r w:rsidRPr="00C812A7">
        <w:rPr>
          <w:i/>
          <w:iCs/>
          <w:sz w:val="20"/>
          <w:szCs w:val="20"/>
        </w:rPr>
        <w:t xml:space="preserve">B. No es claro si el valor de la variable INVNUC aprobada en la Resolución CREG 025 de 2021, obedece al costo total de las inversiones o al valor anual de dichas inversiones.  </w:t>
      </w:r>
    </w:p>
    <w:p w14:paraId="36A4753F" w14:textId="77777777" w:rsidR="00C812A7" w:rsidRPr="00C812A7" w:rsidRDefault="00C812A7" w:rsidP="008E2080">
      <w:pPr>
        <w:spacing w:before="60" w:after="60"/>
        <w:ind w:left="284"/>
        <w:rPr>
          <w:i/>
          <w:iCs/>
          <w:sz w:val="20"/>
          <w:szCs w:val="20"/>
        </w:rPr>
      </w:pPr>
      <w:r w:rsidRPr="00C812A7">
        <w:rPr>
          <w:i/>
          <w:iCs/>
          <w:sz w:val="20"/>
          <w:szCs w:val="20"/>
        </w:rPr>
        <w:t xml:space="preserve">1. La Resolución CREG 085 de 2019, que modifica la Resolución CREG 015 de 2018, define el INVNUCj en los siguientes términos:  </w:t>
      </w:r>
    </w:p>
    <w:p w14:paraId="5E32D2EB" w14:textId="368D28C7" w:rsidR="00C812A7" w:rsidRPr="00C812A7" w:rsidRDefault="00C812A7" w:rsidP="008E2080">
      <w:pPr>
        <w:spacing w:before="60" w:after="60"/>
        <w:ind w:left="284"/>
        <w:rPr>
          <w:i/>
          <w:iCs/>
          <w:sz w:val="20"/>
          <w:szCs w:val="20"/>
        </w:rPr>
      </w:pPr>
      <w:r w:rsidRPr="00C812A7">
        <w:rPr>
          <w:i/>
          <w:iCs/>
          <w:sz w:val="20"/>
          <w:szCs w:val="20"/>
        </w:rPr>
        <w:t xml:space="preserve">“INVNUCj: Costo de las inversiones en activos que no son clasificables como UC del OR j, aplicable para los planes de reducción de pérdidas. Para los OR con plan de mantenimiento de pérdidas este valor es igual a cero (0).”  </w:t>
      </w:r>
    </w:p>
    <w:p w14:paraId="5ED263D3" w14:textId="77777777" w:rsidR="00C812A7" w:rsidRPr="00C812A7" w:rsidRDefault="00C812A7" w:rsidP="008E2080">
      <w:pPr>
        <w:spacing w:before="60" w:after="60"/>
        <w:ind w:left="284"/>
        <w:rPr>
          <w:i/>
          <w:iCs/>
          <w:sz w:val="20"/>
          <w:szCs w:val="20"/>
        </w:rPr>
      </w:pPr>
      <w:r w:rsidRPr="00C812A7">
        <w:rPr>
          <w:i/>
          <w:iCs/>
          <w:sz w:val="20"/>
          <w:szCs w:val="20"/>
        </w:rPr>
        <w:t xml:space="preserve">En estas condiciones, se entiende que el INVNUCj se refiere al valor total en el horizonte del plan de reducción de pérdidas, y no a un valor anual.  </w:t>
      </w:r>
    </w:p>
    <w:p w14:paraId="484C896B" w14:textId="77777777" w:rsidR="00C812A7" w:rsidRPr="00C812A7" w:rsidRDefault="00C812A7" w:rsidP="008E2080">
      <w:pPr>
        <w:spacing w:before="60" w:after="60"/>
        <w:ind w:left="284"/>
        <w:rPr>
          <w:i/>
          <w:iCs/>
          <w:sz w:val="20"/>
          <w:szCs w:val="20"/>
        </w:rPr>
      </w:pPr>
      <w:r w:rsidRPr="00C812A7">
        <w:rPr>
          <w:i/>
          <w:iCs/>
          <w:sz w:val="20"/>
          <w:szCs w:val="20"/>
        </w:rPr>
        <w:t xml:space="preserve">2. En el artículo 19 de la Resolución CREG 025 de 2021, en la Tabla 23, hace referencia a un costo anual de inversiones en activos no clasificables como UC identificado con la variable INVNUCj. En cuyo caso, surge la inquietud sobre si el valor es el del total del plan de gestión de pérdidas o el valor anual de inversión, de ser esté último, el valor anual de inversión superaría el valor del costo anual de gestión de pérdidas reconocido, imponiendo un castigo a CaribeMar, dado que tendría de reintegrar a los usuarios un costo superior al reconocido.  En ese sentido, solicitamos aclarar la resolución recurrida.   </w:t>
      </w:r>
    </w:p>
    <w:p w14:paraId="425D2313" w14:textId="77777777" w:rsidR="00C812A7" w:rsidRDefault="00C812A7" w:rsidP="008E2080">
      <w:pPr>
        <w:spacing w:before="60" w:after="60"/>
        <w:ind w:left="284"/>
        <w:rPr>
          <w:i/>
          <w:iCs/>
          <w:sz w:val="20"/>
          <w:szCs w:val="20"/>
        </w:rPr>
      </w:pPr>
      <w:r w:rsidRPr="00C812A7">
        <w:rPr>
          <w:i/>
          <w:iCs/>
          <w:sz w:val="20"/>
          <w:szCs w:val="20"/>
        </w:rPr>
        <w:t>C. Criterios para la depuración del plan de reducción de pérdidas por parte de la Comisión</w:t>
      </w:r>
      <w:r>
        <w:rPr>
          <w:i/>
          <w:iCs/>
          <w:sz w:val="20"/>
          <w:szCs w:val="20"/>
        </w:rPr>
        <w:t xml:space="preserve"> </w:t>
      </w:r>
    </w:p>
    <w:p w14:paraId="43A6FC22" w14:textId="468BF98A" w:rsidR="00C812A7" w:rsidRPr="00C812A7" w:rsidRDefault="00C812A7" w:rsidP="008E2080">
      <w:pPr>
        <w:spacing w:before="60" w:after="60"/>
        <w:ind w:left="284"/>
        <w:rPr>
          <w:i/>
          <w:iCs/>
          <w:sz w:val="20"/>
          <w:szCs w:val="20"/>
        </w:rPr>
      </w:pPr>
      <w:r w:rsidRPr="00C812A7">
        <w:rPr>
          <w:i/>
          <w:iCs/>
          <w:sz w:val="20"/>
          <w:szCs w:val="20"/>
        </w:rPr>
        <w:t xml:space="preserve">1. Conforme lo señala la Comisión en el numeral 2.5.6.3 “Inversiones del plan de reducción de pérdidas” del documento CREG 018 de 2021, la Comisión excluye inversiones, en el entendido que el OR incluyó inversiones para proyectos de implementación de Infraestructura de Medición Avanzada, AMI.  </w:t>
      </w:r>
    </w:p>
    <w:p w14:paraId="78238156" w14:textId="77777777" w:rsidR="00C812A7" w:rsidRPr="00C812A7" w:rsidRDefault="00C812A7" w:rsidP="008E2080">
      <w:pPr>
        <w:spacing w:before="60" w:after="60"/>
        <w:ind w:left="284"/>
        <w:rPr>
          <w:i/>
          <w:iCs/>
          <w:sz w:val="20"/>
          <w:szCs w:val="20"/>
        </w:rPr>
      </w:pPr>
      <w:r w:rsidRPr="00C812A7">
        <w:rPr>
          <w:i/>
          <w:iCs/>
          <w:sz w:val="20"/>
          <w:szCs w:val="20"/>
        </w:rPr>
        <w:t xml:space="preserve">2. Dado que no se detalla las inversiones que fueron excluidas en la información aportada por parte de la Comisión, a partir del comentario efectuado por la Comisión, se pueden inferir las actividades excluidas del plan de reducción de pérdidas, </w:t>
      </w:r>
      <w:r w:rsidRPr="00C11AE9">
        <w:rPr>
          <w:i/>
          <w:iCs/>
          <w:sz w:val="20"/>
          <w:szCs w:val="20"/>
          <w:u w:val="single"/>
        </w:rPr>
        <w:t>sin embargo, luego de efectuadas las exclusiones de las inversiones de medición centralizada entendidas por la comisión como inversiones AMI, el valor difiere al aprobado en el artículo 19 de la Resolución CREG 025 de 2021</w:t>
      </w:r>
      <w:r w:rsidRPr="00C812A7">
        <w:rPr>
          <w:i/>
          <w:iCs/>
          <w:sz w:val="20"/>
          <w:szCs w:val="20"/>
        </w:rPr>
        <w:t xml:space="preserve">.  </w:t>
      </w:r>
    </w:p>
    <w:p w14:paraId="0B1E933C" w14:textId="77777777" w:rsidR="00C11AE9" w:rsidRDefault="00C812A7" w:rsidP="008E2080">
      <w:pPr>
        <w:spacing w:before="60" w:after="60"/>
        <w:ind w:left="284"/>
        <w:rPr>
          <w:i/>
          <w:iCs/>
          <w:sz w:val="20"/>
          <w:szCs w:val="20"/>
        </w:rPr>
      </w:pPr>
      <w:r w:rsidRPr="00C812A7">
        <w:rPr>
          <w:i/>
          <w:iCs/>
          <w:sz w:val="20"/>
          <w:szCs w:val="20"/>
        </w:rPr>
        <w:t xml:space="preserve">1. Considerando las siguientes actividades descritas en el plan de reducción de pérdidas de CaribeMar: </w:t>
      </w:r>
      <w:r w:rsidRPr="00C11AE9">
        <w:rPr>
          <w:i/>
          <w:iCs/>
          <w:sz w:val="20"/>
          <w:szCs w:val="20"/>
          <w:u w:val="single"/>
        </w:rPr>
        <w:t>Gestión de grandes consumidores, Campañas sistemáticas en consumidores regulados, instalación de medidores a usuarios sin medición, herramientas informáticas de planificación y gestión de energía, barridos de media tensión (BMT) y Gestión Social; el valor resultante para el plan de reducción de pérdidas es de $240.863 millones de pesos de diciembre de 2017 en activos de no uso</w:t>
      </w:r>
      <w:r w:rsidRPr="00C812A7">
        <w:rPr>
          <w:i/>
          <w:iCs/>
          <w:sz w:val="20"/>
          <w:szCs w:val="20"/>
        </w:rPr>
        <w:t xml:space="preserve">, mayor al obtenido por la Comisión de $54.383 millones de pesos. </w:t>
      </w:r>
    </w:p>
    <w:p w14:paraId="2D2B93C7" w14:textId="3B140C09" w:rsidR="00C812A7" w:rsidRDefault="00C812A7" w:rsidP="008E2080">
      <w:pPr>
        <w:spacing w:before="60" w:after="60"/>
        <w:ind w:left="284"/>
        <w:rPr>
          <w:i/>
          <w:iCs/>
          <w:sz w:val="20"/>
          <w:szCs w:val="20"/>
        </w:rPr>
      </w:pPr>
      <w:r w:rsidRPr="00C812A7">
        <w:rPr>
          <w:i/>
          <w:iCs/>
          <w:sz w:val="20"/>
          <w:szCs w:val="20"/>
        </w:rPr>
        <w:t xml:space="preserve">En Anexo 8, </w:t>
      </w:r>
      <w:r w:rsidRPr="004A11FA">
        <w:rPr>
          <w:i/>
          <w:iCs/>
          <w:sz w:val="20"/>
          <w:szCs w:val="20"/>
          <w:u w:val="single"/>
        </w:rPr>
        <w:t>los valores resultantes de descontar las acciones que tiene que ver con medición centralizada dentro del plan de gestión de pérdidas</w:t>
      </w:r>
      <w:r w:rsidRPr="00C812A7">
        <w:rPr>
          <w:i/>
          <w:iCs/>
          <w:sz w:val="20"/>
          <w:szCs w:val="20"/>
        </w:rPr>
        <w:t>.</w:t>
      </w:r>
    </w:p>
    <w:p w14:paraId="38088CF3" w14:textId="2816E8B2" w:rsidR="00C11AE9" w:rsidRDefault="00C11AE9" w:rsidP="008E2080">
      <w:pPr>
        <w:spacing w:before="60" w:after="60"/>
        <w:ind w:left="284"/>
        <w:rPr>
          <w:i/>
          <w:iCs/>
          <w:sz w:val="20"/>
          <w:szCs w:val="20"/>
        </w:rPr>
      </w:pPr>
      <w:r>
        <w:rPr>
          <w:i/>
          <w:iCs/>
          <w:sz w:val="20"/>
          <w:szCs w:val="20"/>
        </w:rPr>
        <w:t>Subrayado fuera de texto</w:t>
      </w:r>
    </w:p>
    <w:p w14:paraId="1E0DE146" w14:textId="32922D6E" w:rsidR="00227F71" w:rsidRDefault="00227F71" w:rsidP="00227F71">
      <w:r w:rsidRPr="007654F3">
        <w:rPr>
          <w:b/>
          <w:bCs/>
        </w:rPr>
        <w:t>Análisis de la Comisión</w:t>
      </w:r>
    </w:p>
    <w:p w14:paraId="4A08D27F" w14:textId="7BB0AD1A" w:rsidR="007D073E" w:rsidRPr="00F75B8D" w:rsidRDefault="00A258EC" w:rsidP="009F7EE2">
      <w:r>
        <w:t xml:space="preserve">En relación con </w:t>
      </w:r>
      <w:r w:rsidR="00C11AE9">
        <w:t xml:space="preserve">el punto A </w:t>
      </w:r>
      <w:r>
        <w:t>de la solicitud</w:t>
      </w:r>
      <w:r w:rsidR="00C17D3E">
        <w:t xml:space="preserve">, en </w:t>
      </w:r>
      <w:r w:rsidR="007D073E" w:rsidRPr="00242D27">
        <w:t xml:space="preserve">el documento </w:t>
      </w:r>
      <w:r w:rsidR="007D073E" w:rsidRPr="00242D27">
        <w:rPr>
          <w:i/>
          <w:iCs/>
        </w:rPr>
        <w:t>Certificado contador CM RES 015 CPROG vf.pdf</w:t>
      </w:r>
      <w:r w:rsidR="007D073E" w:rsidRPr="00242D27">
        <w:t xml:space="preserve">, </w:t>
      </w:r>
      <w:r w:rsidR="00242D27">
        <w:t>que hace parte de los soportes presentados por el OR en la solicitud de aprobación de ingresos</w:t>
      </w:r>
      <w:r w:rsidR="007D073E">
        <w:t xml:space="preserve">, </w:t>
      </w:r>
      <w:r w:rsidR="007D073E" w:rsidRPr="00F75B8D">
        <w:t xml:space="preserve">se </w:t>
      </w:r>
      <w:r>
        <w:t xml:space="preserve">indica </w:t>
      </w:r>
      <w:r w:rsidR="007D073E" w:rsidRPr="00F75B8D">
        <w:t>lo siguiente:</w:t>
      </w:r>
    </w:p>
    <w:p w14:paraId="2A7F0A99" w14:textId="62A9DAC7" w:rsidR="00723E6C" w:rsidRPr="001B50BA" w:rsidRDefault="007D073E" w:rsidP="008E2080">
      <w:pPr>
        <w:spacing w:before="60" w:after="60"/>
        <w:ind w:left="284"/>
        <w:jc w:val="center"/>
        <w:rPr>
          <w:rFonts w:cs="Arial"/>
          <w:b/>
          <w:bCs/>
          <w:i/>
          <w:iCs/>
          <w:sz w:val="20"/>
          <w:szCs w:val="20"/>
          <w:shd w:val="clear" w:color="auto" w:fill="FAF9F8"/>
        </w:rPr>
      </w:pPr>
      <w:r w:rsidRPr="001B50BA">
        <w:rPr>
          <w:rFonts w:cs="Arial"/>
          <w:b/>
          <w:bCs/>
          <w:i/>
          <w:iCs/>
          <w:sz w:val="20"/>
          <w:szCs w:val="20"/>
          <w:shd w:val="clear" w:color="auto" w:fill="FAF9F8"/>
        </w:rPr>
        <w:t>EL SUSCRITO CONTADOR DE ELECTRIFICADORA DE CARIBE S.A. E.S.P. NIT 802.007.670-6</w:t>
      </w:r>
    </w:p>
    <w:p w14:paraId="3AA158E0" w14:textId="77777777" w:rsidR="00A371A8" w:rsidRPr="00A371A8" w:rsidRDefault="00A371A8" w:rsidP="008E2080">
      <w:pPr>
        <w:ind w:left="284"/>
        <w:rPr>
          <w:i/>
          <w:iCs/>
          <w:sz w:val="20"/>
          <w:szCs w:val="20"/>
        </w:rPr>
      </w:pPr>
      <w:r w:rsidRPr="00A371A8">
        <w:rPr>
          <w:i/>
          <w:iCs/>
          <w:sz w:val="20"/>
          <w:szCs w:val="20"/>
        </w:rPr>
        <w:t xml:space="preserve">En  mi  calidad  de  Contador  de  ELECTRICARIBE,  informo  que  a  fecha  29  de  abril  de  2020  la Compañía ha realizado los procedimientos para la implementación de </w:t>
      </w:r>
      <w:r w:rsidRPr="00A371A8">
        <w:rPr>
          <w:i/>
          <w:iCs/>
          <w:sz w:val="20"/>
          <w:szCs w:val="20"/>
          <w:u w:val="single"/>
        </w:rPr>
        <w:t xml:space="preserve">la información incluida en el  Anexo  I  adjunto  denominado  "Creación  de  cuentas contables  destinadas  al  Programa  de Reducción  de  Pérdidas  Eficientes </w:t>
      </w:r>
      <w:r w:rsidRPr="00A371A8">
        <w:rPr>
          <w:i/>
          <w:iCs/>
          <w:sz w:val="20"/>
          <w:szCs w:val="20"/>
        </w:rPr>
        <w:t xml:space="preserve"> –  CPROG"  de CARIBEMAR  DE  LA  COSTA  SAS  ESP, identificada  con  el  NIT  No.  901.380.949-1,  como  consecuencia  del  proceso  de  solución empresarial adelantado sobre ELECTRICARIBE, el cual implicaba la creación de dicha empresa para la prestación del servicio de energía en los Departamentos de Bolívar, Sucre, Córdoba y Cesar, luego de que se cumplan las condiciones definidas en el Reglamento de Presentación de  Ofertas  Vinculantes  y  Enajenación  de  Acciones  expedido  por  la  Agente  Especial  de ELECTRICARIBE y el Contrato de Compraventa de Acciones. No obstante, la creación de estas cuentas   por   las   razones   antes   expuestas, el   manejo y   modificación   de   estas   será responsabilidad de la administración de CARIBEMAR DE LA COSTA SAS ESP. (…)</w:t>
      </w:r>
    </w:p>
    <w:p w14:paraId="5ADB690F" w14:textId="77777777" w:rsidR="00A371A8" w:rsidRPr="00A371A8" w:rsidRDefault="00A371A8" w:rsidP="008E2080">
      <w:pPr>
        <w:ind w:left="284"/>
        <w:rPr>
          <w:i/>
          <w:iCs/>
          <w:sz w:val="20"/>
          <w:szCs w:val="20"/>
        </w:rPr>
      </w:pPr>
      <w:r w:rsidRPr="00A371A8">
        <w:rPr>
          <w:i/>
          <w:iCs/>
          <w:sz w:val="20"/>
          <w:szCs w:val="20"/>
        </w:rPr>
        <w:t>El proceso de implantación y revisión incluyeron, entre otras, las siguientes actividades:</w:t>
      </w:r>
    </w:p>
    <w:p w14:paraId="2E5A3C91" w14:textId="77777777" w:rsidR="00A371A8" w:rsidRPr="00A371A8" w:rsidRDefault="00A371A8" w:rsidP="008E2080">
      <w:pPr>
        <w:ind w:left="284"/>
        <w:rPr>
          <w:i/>
          <w:iCs/>
          <w:sz w:val="20"/>
          <w:szCs w:val="20"/>
        </w:rPr>
      </w:pPr>
      <w:r w:rsidRPr="00A371A8">
        <w:rPr>
          <w:i/>
          <w:iCs/>
          <w:sz w:val="20"/>
          <w:szCs w:val="20"/>
        </w:rPr>
        <w:t xml:space="preserve">1. Analizar la Resolución CREG 015 de 2018, modificada por la Resolución CREG 085 de 2018 y 036 de 2019, en la cual se establece la metodología para la remuneración de la actividad de distribución de energía eléctrica en el Sistema Interconectado Nacional, así mismo, los requerimientos de información que debe ser certificados por el Revisor Fiscal o Contador de la Compañía. </w:t>
      </w:r>
    </w:p>
    <w:p w14:paraId="56D25187" w14:textId="77777777" w:rsidR="00A371A8" w:rsidRPr="00A371A8" w:rsidRDefault="00A371A8" w:rsidP="008E2080">
      <w:pPr>
        <w:ind w:left="284"/>
        <w:rPr>
          <w:i/>
          <w:iCs/>
          <w:sz w:val="20"/>
          <w:szCs w:val="20"/>
          <w:u w:val="single"/>
        </w:rPr>
      </w:pPr>
      <w:r w:rsidRPr="00A371A8">
        <w:rPr>
          <w:i/>
          <w:iCs/>
          <w:sz w:val="20"/>
          <w:szCs w:val="20"/>
        </w:rPr>
        <w:t xml:space="preserve">2. </w:t>
      </w:r>
      <w:r w:rsidRPr="00A371A8">
        <w:rPr>
          <w:i/>
          <w:iCs/>
          <w:sz w:val="20"/>
          <w:szCs w:val="20"/>
          <w:u w:val="single"/>
        </w:rPr>
        <w:t xml:space="preserve">Indagar con las Gerencias de Control de Energía y Regulación, sobre los procedimientos que debe realizar la Compañía para dar cumplimiento al Plan de Reducción y Mantenimiento de Pérdidas. </w:t>
      </w:r>
    </w:p>
    <w:p w14:paraId="5D8E937D" w14:textId="77777777" w:rsidR="00A371A8" w:rsidRPr="00A371A8" w:rsidRDefault="00A371A8" w:rsidP="008E2080">
      <w:pPr>
        <w:ind w:left="284"/>
        <w:rPr>
          <w:i/>
          <w:iCs/>
          <w:sz w:val="20"/>
          <w:szCs w:val="20"/>
        </w:rPr>
      </w:pPr>
      <w:r w:rsidRPr="00A371A8">
        <w:rPr>
          <w:i/>
          <w:iCs/>
          <w:sz w:val="20"/>
          <w:szCs w:val="20"/>
          <w:u w:val="single"/>
        </w:rPr>
        <w:t>3. Elaborar los procedimientos contables mediante los cuales se detallan los códigos de las cuentas creadas en la contabilidad, que permita el registro independiente de todas las actividades relacionadas con el Plan de Reducción y Mantenimiento de Pérdidas</w:t>
      </w:r>
      <w:r w:rsidRPr="00A371A8">
        <w:rPr>
          <w:i/>
          <w:iCs/>
          <w:sz w:val="20"/>
          <w:szCs w:val="20"/>
        </w:rPr>
        <w:t>. (…)</w:t>
      </w:r>
    </w:p>
    <w:p w14:paraId="5BC214C8" w14:textId="41BD0E62" w:rsidR="00A371A8" w:rsidRPr="00A371A8" w:rsidRDefault="00A371A8" w:rsidP="008E2080">
      <w:pPr>
        <w:ind w:left="284"/>
        <w:rPr>
          <w:i/>
          <w:iCs/>
          <w:sz w:val="20"/>
          <w:szCs w:val="20"/>
        </w:rPr>
      </w:pPr>
      <w:r w:rsidRPr="00A371A8">
        <w:rPr>
          <w:i/>
          <w:iCs/>
          <w:sz w:val="20"/>
          <w:szCs w:val="20"/>
        </w:rPr>
        <w:t>Subrayado fuera de texto.</w:t>
      </w:r>
    </w:p>
    <w:p w14:paraId="4FD52F40" w14:textId="10AAB195" w:rsidR="007D073E" w:rsidRDefault="007D073E" w:rsidP="009F7EE2">
      <w:r>
        <w:t>En relación con las cuentas destinadas al programa de reducción de pérdidas</w:t>
      </w:r>
      <w:r w:rsidR="008E2080">
        <w:t>,</w:t>
      </w:r>
      <w:r>
        <w:t xml:space="preserve"> en el Anexo 1 de dicho documento se señala lo siguiente:</w:t>
      </w:r>
    </w:p>
    <w:p w14:paraId="661C684A" w14:textId="77777777" w:rsidR="00A371A8" w:rsidRPr="00A371A8" w:rsidRDefault="00A371A8" w:rsidP="00A371A8">
      <w:pPr>
        <w:ind w:left="567"/>
        <w:jc w:val="center"/>
        <w:rPr>
          <w:i/>
          <w:iCs/>
          <w:sz w:val="20"/>
          <w:szCs w:val="20"/>
        </w:rPr>
      </w:pPr>
      <w:r w:rsidRPr="00A371A8">
        <w:rPr>
          <w:i/>
          <w:iCs/>
          <w:sz w:val="20"/>
          <w:szCs w:val="20"/>
        </w:rPr>
        <w:t>Anexo I Creación de cuentas contables destinadas al Programa de Reducción de Pérdidas Eficientes – CPROG Propuesta Plan Contable</w:t>
      </w:r>
    </w:p>
    <w:p w14:paraId="6AD9C156" w14:textId="77777777" w:rsidR="00A371A8" w:rsidRPr="00A371A8" w:rsidRDefault="00A371A8" w:rsidP="00A371A8">
      <w:pPr>
        <w:ind w:left="567"/>
        <w:rPr>
          <w:i/>
          <w:iCs/>
          <w:sz w:val="20"/>
          <w:szCs w:val="20"/>
        </w:rPr>
      </w:pPr>
      <w:r w:rsidRPr="00A371A8">
        <w:rPr>
          <w:i/>
          <w:iCs/>
          <w:sz w:val="20"/>
          <w:szCs w:val="20"/>
        </w:rPr>
        <w:t xml:space="preserve">Actividades de inversión </w:t>
      </w:r>
    </w:p>
    <w:p w14:paraId="3EDAF402" w14:textId="77777777" w:rsidR="00A371A8" w:rsidRPr="00A371A8" w:rsidRDefault="00A371A8" w:rsidP="00A371A8">
      <w:pPr>
        <w:ind w:left="567"/>
        <w:rPr>
          <w:i/>
          <w:iCs/>
          <w:sz w:val="20"/>
          <w:szCs w:val="20"/>
        </w:rPr>
      </w:pPr>
      <w:r w:rsidRPr="00A371A8">
        <w:rPr>
          <w:i/>
          <w:iCs/>
          <w:sz w:val="20"/>
          <w:szCs w:val="20"/>
          <w:u w:val="single"/>
        </w:rPr>
        <w:t>En virtud de la mencionada resolución, la CARIBEMAR DE LA COSTA SAS ESP ha desarrollado un plan de pérdidas con una fuerte inversión en redes y en equipos de macro medición</w:t>
      </w:r>
      <w:r w:rsidRPr="00A371A8">
        <w:rPr>
          <w:i/>
          <w:iCs/>
          <w:sz w:val="20"/>
          <w:szCs w:val="20"/>
        </w:rPr>
        <w:t xml:space="preserve">, basada en el control energético, mejora de la red y tecnificación de la medida incorporando las últimas tecnologías de información, encaminadas a la detección y eliminación de anomalías a través de campañas que incluyen la normalización de instalaciones. </w:t>
      </w:r>
    </w:p>
    <w:p w14:paraId="70CFBCA0" w14:textId="6BD37E57" w:rsidR="00A371A8" w:rsidRPr="00A371A8" w:rsidRDefault="00A371A8" w:rsidP="00A371A8">
      <w:pPr>
        <w:ind w:left="567"/>
        <w:rPr>
          <w:i/>
          <w:iCs/>
          <w:sz w:val="20"/>
          <w:szCs w:val="20"/>
        </w:rPr>
      </w:pPr>
      <w:r w:rsidRPr="00A371A8">
        <w:rPr>
          <w:i/>
          <w:iCs/>
          <w:sz w:val="20"/>
          <w:szCs w:val="20"/>
        </w:rPr>
        <w:t xml:space="preserve">Las cuentas definidas para el registro del valor de las inversiones se han establecido </w:t>
      </w:r>
      <w:r w:rsidRPr="00A371A8">
        <w:rPr>
          <w:i/>
          <w:iCs/>
          <w:sz w:val="20"/>
          <w:szCs w:val="20"/>
          <w:u w:val="single"/>
        </w:rPr>
        <w:t>teniendo en cuenta las líneas de acción principales definidas para el plan de reducción de pérdidas, las cuales son</w:t>
      </w:r>
      <w:r w:rsidRPr="00A371A8">
        <w:rPr>
          <w:i/>
          <w:iCs/>
          <w:sz w:val="20"/>
          <w:szCs w:val="20"/>
        </w:rPr>
        <w:t>:</w:t>
      </w:r>
      <w:r w:rsidR="006C153F">
        <w:rPr>
          <w:i/>
          <w:iCs/>
          <w:sz w:val="20"/>
          <w:szCs w:val="20"/>
        </w:rPr>
        <w:t xml:space="preserve"> (…)</w:t>
      </w:r>
    </w:p>
    <w:p w14:paraId="673CB563" w14:textId="77777777" w:rsidR="00A371A8" w:rsidRPr="00A371A8" w:rsidRDefault="00A371A8" w:rsidP="00A371A8">
      <w:pPr>
        <w:ind w:left="426"/>
        <w:rPr>
          <w:i/>
          <w:iCs/>
          <w:sz w:val="20"/>
          <w:szCs w:val="20"/>
        </w:rPr>
      </w:pPr>
      <w:r w:rsidRPr="00A371A8">
        <w:rPr>
          <w:i/>
          <w:iCs/>
          <w:sz w:val="20"/>
          <w:szCs w:val="20"/>
        </w:rPr>
        <w:t xml:space="preserve">• </w:t>
      </w:r>
      <w:r w:rsidRPr="00A371A8">
        <w:rPr>
          <w:i/>
          <w:iCs/>
          <w:sz w:val="20"/>
          <w:szCs w:val="20"/>
          <w:u w:val="single"/>
        </w:rPr>
        <w:t>Infraestructuras de Medición Avanzada</w:t>
      </w:r>
      <w:r w:rsidRPr="00A371A8">
        <w:rPr>
          <w:i/>
          <w:iCs/>
          <w:sz w:val="20"/>
          <w:szCs w:val="20"/>
        </w:rPr>
        <w:t>: contiene la inversión por mano de obra y materiales, así como las herramientas informáticas, necesarias para la instalación de nuevos medidores y reemplazo de convencionales por este sistema de medición centralizada y que obedezcan a acciones para el control y reducción de pérdidas de energía.</w:t>
      </w:r>
    </w:p>
    <w:p w14:paraId="1F07857D" w14:textId="77777777" w:rsidR="00A371A8" w:rsidRPr="00A371A8" w:rsidRDefault="00A371A8" w:rsidP="00A371A8">
      <w:pPr>
        <w:ind w:left="426"/>
        <w:rPr>
          <w:i/>
          <w:iCs/>
          <w:sz w:val="20"/>
          <w:szCs w:val="20"/>
        </w:rPr>
      </w:pPr>
      <w:r w:rsidRPr="00A371A8">
        <w:rPr>
          <w:i/>
          <w:iCs/>
          <w:sz w:val="20"/>
          <w:szCs w:val="20"/>
        </w:rPr>
        <w:t xml:space="preserve">• </w:t>
      </w:r>
      <w:r w:rsidRPr="00A371A8">
        <w:rPr>
          <w:i/>
          <w:iCs/>
          <w:sz w:val="20"/>
          <w:szCs w:val="20"/>
          <w:u w:val="single"/>
        </w:rPr>
        <w:t>Aseguramiento y Mejora de Red</w:t>
      </w:r>
      <w:r w:rsidRPr="00A371A8">
        <w:rPr>
          <w:i/>
          <w:iCs/>
          <w:sz w:val="20"/>
          <w:szCs w:val="20"/>
        </w:rPr>
        <w:t xml:space="preserve">: este plan consiste en la construcción de redes con protección (anti-defraudación), que dificultan la manipulación de las redes de baja tensión evitando conexiones ilegales. </w:t>
      </w:r>
      <w:r w:rsidRPr="00A371A8">
        <w:rPr>
          <w:i/>
          <w:iCs/>
          <w:sz w:val="20"/>
          <w:szCs w:val="20"/>
          <w:u w:val="single"/>
        </w:rPr>
        <w:t>Contiene toda la inversión por mano de obra, materiales para la instalación de la red y las acometidas</w:t>
      </w:r>
      <w:r w:rsidRPr="00A371A8">
        <w:rPr>
          <w:i/>
          <w:iCs/>
          <w:sz w:val="20"/>
          <w:szCs w:val="20"/>
        </w:rPr>
        <w:t>.</w:t>
      </w:r>
    </w:p>
    <w:p w14:paraId="369126CA" w14:textId="7E98BCCF" w:rsidR="00A371A8" w:rsidRPr="00A371A8" w:rsidRDefault="00A371A8" w:rsidP="00A371A8">
      <w:pPr>
        <w:ind w:left="426"/>
        <w:rPr>
          <w:i/>
          <w:iCs/>
          <w:sz w:val="20"/>
          <w:szCs w:val="20"/>
        </w:rPr>
      </w:pPr>
      <w:r w:rsidRPr="00A371A8">
        <w:rPr>
          <w:i/>
          <w:iCs/>
          <w:sz w:val="20"/>
          <w:szCs w:val="20"/>
        </w:rPr>
        <w:t>Subrayado fuera de texto.</w:t>
      </w:r>
    </w:p>
    <w:p w14:paraId="60F144E9" w14:textId="7F6B5161" w:rsidR="007D073E" w:rsidRPr="005A0DB4" w:rsidRDefault="007D073E" w:rsidP="007D073E">
      <w:r w:rsidRPr="005A0DB4">
        <w:t xml:space="preserve">Se observa que en el anexo que sirve de base para establecer las cuentas asociadas con el programa de reducción de pérdidas se </w:t>
      </w:r>
      <w:r>
        <w:t xml:space="preserve">incluyen actividades denominadas </w:t>
      </w:r>
      <w:r w:rsidRPr="005A0DB4">
        <w:rPr>
          <w:i/>
          <w:iCs/>
        </w:rPr>
        <w:t>“INFRAESTRUCTURA DE MEDICIÓN AVANZADA”</w:t>
      </w:r>
      <w:r w:rsidR="008E2080">
        <w:rPr>
          <w:i/>
          <w:iCs/>
        </w:rPr>
        <w:t>,</w:t>
      </w:r>
      <w:r w:rsidRPr="005A0DB4">
        <w:t xml:space="preserve"> conformada por las siguientes actividades </w:t>
      </w:r>
      <w:r w:rsidRPr="005A0DB4">
        <w:rPr>
          <w:i/>
          <w:iCs/>
        </w:rPr>
        <w:t>“AMI CLIENTES REGULARES Y MEDIOS, COMUNICACIÓN Y SOFTWARE AMI, AMI GRANDES CONSUMIDORES Y OPERACIÓN AMI”</w:t>
      </w:r>
      <w:r w:rsidR="00A258EC">
        <w:rPr>
          <w:i/>
          <w:iCs/>
        </w:rPr>
        <w:t>.</w:t>
      </w:r>
      <w:r w:rsidRPr="005A0DB4">
        <w:t xml:space="preserve"> </w:t>
      </w:r>
    </w:p>
    <w:p w14:paraId="22ED7F27" w14:textId="3F61A05A" w:rsidR="007D073E" w:rsidRDefault="007D073E" w:rsidP="007D073E">
      <w:r>
        <w:t>De otra parte, se observa que en las actividades clasificadas como aseguramiento y mejora de red se consideran</w:t>
      </w:r>
      <w:r w:rsidR="008E2080">
        <w:t>,</w:t>
      </w:r>
      <w:r>
        <w:t xml:space="preserve"> tanto la instalación de redes</w:t>
      </w:r>
      <w:r w:rsidR="008E2080">
        <w:t>,</w:t>
      </w:r>
      <w:r>
        <w:t xml:space="preserve"> </w:t>
      </w:r>
      <w:r w:rsidRPr="00230985">
        <w:t>como la instalación</w:t>
      </w:r>
      <w:r w:rsidRPr="009D137F">
        <w:rPr>
          <w:b/>
          <w:bCs/>
        </w:rPr>
        <w:t xml:space="preserve"> </w:t>
      </w:r>
      <w:r w:rsidRPr="00CF0740">
        <w:t>de acometidas</w:t>
      </w:r>
      <w:r>
        <w:t>.</w:t>
      </w:r>
    </w:p>
    <w:p w14:paraId="601612DA" w14:textId="117E3A82" w:rsidR="007D073E" w:rsidRDefault="00E65535" w:rsidP="00C11AE9">
      <w:r w:rsidRPr="00242D27">
        <w:t>En el recurso de reposición</w:t>
      </w:r>
      <w:r w:rsidR="00A258EC" w:rsidRPr="00242D27">
        <w:t xml:space="preserve">, </w:t>
      </w:r>
      <w:r w:rsidRPr="00242D27">
        <w:t xml:space="preserve">el OR </w:t>
      </w:r>
      <w:r w:rsidR="00A258EC" w:rsidRPr="00242D27">
        <w:t>adjunta una nueva certificación en la cual no se incluye el detalle de las inversiones y no se hace referencia a la implementación de sistemas AMI</w:t>
      </w:r>
      <w:r w:rsidRPr="00242D27">
        <w:t>.</w:t>
      </w:r>
      <w:r>
        <w:t xml:space="preserve"> </w:t>
      </w:r>
    </w:p>
    <w:p w14:paraId="357F3164" w14:textId="4100B77F" w:rsidR="005F3538" w:rsidRDefault="00242D27" w:rsidP="00C11AE9">
      <w:r>
        <w:t>El OR presentó el resumen s</w:t>
      </w:r>
      <w:r w:rsidR="00A258EC">
        <w:t>obre las actividades y costos solicitados en el plan de reducción de pérdidas</w:t>
      </w:r>
      <w:r>
        <w:t xml:space="preserve"> como se observa a continuación:</w:t>
      </w:r>
    </w:p>
    <w:p w14:paraId="538C4DFD" w14:textId="24B7CC1D" w:rsidR="00242D27" w:rsidRDefault="00BC3F04" w:rsidP="00C11AE9">
      <w:r>
        <w:t>L</w:t>
      </w:r>
      <w:r w:rsidR="00242D27">
        <w:t>os activos de no uso</w:t>
      </w:r>
      <w:r>
        <w:t xml:space="preserve"> solicitados, </w:t>
      </w:r>
      <w:r w:rsidR="00242D27">
        <w:t>CPROG</w:t>
      </w:r>
      <w:r>
        <w:t>,</w:t>
      </w:r>
      <w:r w:rsidR="00242D27">
        <w:t xml:space="preserve"> suman un valor total de 1.069.698 millones de pesos entre el 2021 y el 2029</w:t>
      </w:r>
      <w:r w:rsidR="008E2080">
        <w:t>. D</w:t>
      </w:r>
      <w:r w:rsidR="00242D27">
        <w:t xml:space="preserve">entro </w:t>
      </w:r>
      <w:r>
        <w:t xml:space="preserve">de este valor </w:t>
      </w:r>
      <w:r w:rsidR="00242D27">
        <w:t>se encontraron programas asociados con gastos y no con inversiones del plan como son: las campañas sistemáticas en consumidores regulados y medios, la gestión de grandes consumidores y la gestión social.</w:t>
      </w:r>
    </w:p>
    <w:p w14:paraId="69C51D7A" w14:textId="45A410AC" w:rsidR="007D073E" w:rsidRDefault="00440575" w:rsidP="00A258EC">
      <w:r w:rsidRPr="009D38E8">
        <w:rPr>
          <w:b/>
          <w:bCs/>
        </w:rPr>
        <w:t xml:space="preserve">Actividades </w:t>
      </w:r>
      <w:r>
        <w:rPr>
          <w:b/>
          <w:bCs/>
        </w:rPr>
        <w:t xml:space="preserve">solicitadas por el OR </w:t>
      </w:r>
      <w:r w:rsidRPr="009D38E8">
        <w:rPr>
          <w:b/>
          <w:bCs/>
        </w:rPr>
        <w:t xml:space="preserve">que no se </w:t>
      </w:r>
      <w:r>
        <w:rPr>
          <w:b/>
          <w:bCs/>
        </w:rPr>
        <w:t xml:space="preserve">incluyen </w:t>
      </w:r>
      <w:r w:rsidRPr="009D38E8">
        <w:rPr>
          <w:b/>
          <w:bCs/>
        </w:rPr>
        <w:t xml:space="preserve">en la variable </w:t>
      </w:r>
      <w:r w:rsidRPr="009D38E8">
        <w:rPr>
          <w:b/>
          <w:bCs/>
          <w:i/>
          <w:iCs/>
        </w:rPr>
        <w:t>INVNUC</w:t>
      </w:r>
    </w:p>
    <w:p w14:paraId="2E539B40" w14:textId="0832D96E" w:rsidR="00440575" w:rsidRDefault="00440575" w:rsidP="00A258EC">
      <w:r>
        <w:t xml:space="preserve">A continuación, se presenta la justificación presentada por el OR para las actividades que se entiende que no corresponden en su mayoría a inversiones sino a actividades relacionadas con gastos, según lo definido en el numeral </w:t>
      </w:r>
      <w:r w:rsidRPr="00990CE8">
        <w:t>7.3.2.</w:t>
      </w:r>
      <w:r>
        <w:t>1</w:t>
      </w:r>
      <w:r w:rsidRPr="00990CE8">
        <w:t xml:space="preserve"> del anexo general de la Resolución CREG 015 de 2018</w:t>
      </w:r>
      <w:r>
        <w:t>.</w:t>
      </w:r>
    </w:p>
    <w:p w14:paraId="1F420BE9" w14:textId="77777777" w:rsidR="00440575" w:rsidRDefault="00440575" w:rsidP="008E2080">
      <w:pPr>
        <w:spacing w:before="60" w:after="60"/>
        <w:ind w:left="284"/>
        <w:rPr>
          <w:i/>
          <w:iCs/>
          <w:sz w:val="20"/>
          <w:szCs w:val="20"/>
        </w:rPr>
      </w:pPr>
      <w:r w:rsidRPr="00440575">
        <w:rPr>
          <w:i/>
          <w:iCs/>
          <w:sz w:val="20"/>
          <w:szCs w:val="20"/>
        </w:rPr>
        <w:t>2.3.4</w:t>
      </w:r>
      <w:r>
        <w:rPr>
          <w:i/>
          <w:iCs/>
          <w:sz w:val="20"/>
          <w:szCs w:val="20"/>
        </w:rPr>
        <w:t xml:space="preserve"> </w:t>
      </w:r>
      <w:r w:rsidRPr="00440575">
        <w:rPr>
          <w:i/>
          <w:iCs/>
          <w:sz w:val="20"/>
          <w:szCs w:val="20"/>
        </w:rPr>
        <w:t>Campañas Sistemáticas en Consumidores Regulares y Medios</w:t>
      </w:r>
    </w:p>
    <w:p w14:paraId="4CA7CA6F" w14:textId="77777777" w:rsidR="00E92758" w:rsidRDefault="00440575" w:rsidP="008E2080">
      <w:pPr>
        <w:spacing w:before="60" w:after="60"/>
        <w:ind w:left="284"/>
        <w:rPr>
          <w:i/>
          <w:iCs/>
          <w:sz w:val="20"/>
          <w:szCs w:val="20"/>
        </w:rPr>
      </w:pPr>
      <w:r w:rsidRPr="00440575">
        <w:rPr>
          <w:i/>
          <w:iCs/>
          <w:sz w:val="20"/>
          <w:szCs w:val="20"/>
        </w:rPr>
        <w:t>Estas Campañas</w:t>
      </w:r>
      <w:r>
        <w:rPr>
          <w:i/>
          <w:iCs/>
          <w:sz w:val="20"/>
          <w:szCs w:val="20"/>
        </w:rPr>
        <w:t xml:space="preserve"> </w:t>
      </w:r>
      <w:r w:rsidRPr="00440575">
        <w:rPr>
          <w:i/>
          <w:iCs/>
          <w:sz w:val="20"/>
          <w:szCs w:val="20"/>
        </w:rPr>
        <w:t>están dirigidas a la recuperación de energía, a través de la gestión inteligente de</w:t>
      </w:r>
      <w:r>
        <w:rPr>
          <w:i/>
          <w:iCs/>
          <w:sz w:val="20"/>
          <w:szCs w:val="20"/>
        </w:rPr>
        <w:t xml:space="preserve"> </w:t>
      </w:r>
      <w:r w:rsidRPr="00440575">
        <w:rPr>
          <w:i/>
          <w:iCs/>
          <w:sz w:val="20"/>
          <w:szCs w:val="20"/>
        </w:rPr>
        <w:t>la</w:t>
      </w:r>
      <w:r>
        <w:rPr>
          <w:i/>
          <w:iCs/>
          <w:sz w:val="20"/>
          <w:szCs w:val="20"/>
        </w:rPr>
        <w:t xml:space="preserve"> </w:t>
      </w:r>
      <w:r w:rsidRPr="00440575">
        <w:rPr>
          <w:i/>
          <w:iCs/>
          <w:sz w:val="20"/>
          <w:szCs w:val="20"/>
        </w:rPr>
        <w:t>información</w:t>
      </w:r>
      <w:r>
        <w:rPr>
          <w:i/>
          <w:iCs/>
          <w:sz w:val="20"/>
          <w:szCs w:val="20"/>
        </w:rPr>
        <w:t xml:space="preserve"> </w:t>
      </w:r>
      <w:r w:rsidRPr="00440575">
        <w:rPr>
          <w:i/>
          <w:iCs/>
          <w:sz w:val="20"/>
          <w:szCs w:val="20"/>
        </w:rPr>
        <w:t>proveniente</w:t>
      </w:r>
      <w:r>
        <w:rPr>
          <w:i/>
          <w:iCs/>
          <w:sz w:val="20"/>
          <w:szCs w:val="20"/>
        </w:rPr>
        <w:t xml:space="preserve"> </w:t>
      </w:r>
      <w:r w:rsidRPr="00440575">
        <w:rPr>
          <w:i/>
          <w:iCs/>
          <w:sz w:val="20"/>
          <w:szCs w:val="20"/>
        </w:rPr>
        <w:t>de</w:t>
      </w:r>
      <w:r>
        <w:rPr>
          <w:i/>
          <w:iCs/>
          <w:sz w:val="20"/>
          <w:szCs w:val="20"/>
        </w:rPr>
        <w:t xml:space="preserve"> </w:t>
      </w:r>
      <w:r w:rsidRPr="00440575">
        <w:rPr>
          <w:i/>
          <w:iCs/>
          <w:sz w:val="20"/>
          <w:szCs w:val="20"/>
        </w:rPr>
        <w:t>diferentes</w:t>
      </w:r>
      <w:r>
        <w:rPr>
          <w:i/>
          <w:iCs/>
          <w:sz w:val="20"/>
          <w:szCs w:val="20"/>
        </w:rPr>
        <w:t xml:space="preserve"> </w:t>
      </w:r>
      <w:r w:rsidRPr="00440575">
        <w:rPr>
          <w:i/>
          <w:iCs/>
          <w:sz w:val="20"/>
          <w:szCs w:val="20"/>
        </w:rPr>
        <w:t>fuentes,</w:t>
      </w:r>
      <w:r>
        <w:rPr>
          <w:i/>
          <w:iCs/>
          <w:sz w:val="20"/>
          <w:szCs w:val="20"/>
        </w:rPr>
        <w:t xml:space="preserve"> </w:t>
      </w:r>
      <w:r w:rsidRPr="00440575">
        <w:rPr>
          <w:i/>
          <w:iCs/>
          <w:sz w:val="20"/>
          <w:szCs w:val="20"/>
        </w:rPr>
        <w:t>tales</w:t>
      </w:r>
      <w:r>
        <w:rPr>
          <w:i/>
          <w:iCs/>
          <w:sz w:val="20"/>
          <w:szCs w:val="20"/>
        </w:rPr>
        <w:t xml:space="preserve"> </w:t>
      </w:r>
      <w:r w:rsidRPr="00440575">
        <w:rPr>
          <w:i/>
          <w:iCs/>
          <w:sz w:val="20"/>
          <w:szCs w:val="20"/>
        </w:rPr>
        <w:t>como,</w:t>
      </w:r>
      <w:r>
        <w:rPr>
          <w:i/>
          <w:iCs/>
          <w:sz w:val="20"/>
          <w:szCs w:val="20"/>
        </w:rPr>
        <w:t xml:space="preserve"> </w:t>
      </w:r>
      <w:r w:rsidRPr="00440575">
        <w:rPr>
          <w:i/>
          <w:iCs/>
          <w:sz w:val="20"/>
          <w:szCs w:val="20"/>
        </w:rPr>
        <w:t>reportes</w:t>
      </w:r>
      <w:r>
        <w:rPr>
          <w:i/>
          <w:iCs/>
          <w:sz w:val="20"/>
          <w:szCs w:val="20"/>
        </w:rPr>
        <w:t xml:space="preserve"> </w:t>
      </w:r>
      <w:r w:rsidRPr="00440575">
        <w:rPr>
          <w:i/>
          <w:iCs/>
          <w:sz w:val="20"/>
          <w:szCs w:val="20"/>
        </w:rPr>
        <w:t>de</w:t>
      </w:r>
      <w:r>
        <w:rPr>
          <w:i/>
          <w:iCs/>
          <w:sz w:val="20"/>
          <w:szCs w:val="20"/>
        </w:rPr>
        <w:t xml:space="preserve"> </w:t>
      </w:r>
      <w:r w:rsidRPr="00440575">
        <w:rPr>
          <w:i/>
          <w:iCs/>
          <w:sz w:val="20"/>
          <w:szCs w:val="20"/>
        </w:rPr>
        <w:t>usuarios (internos</w:t>
      </w:r>
      <w:r>
        <w:rPr>
          <w:i/>
          <w:iCs/>
          <w:sz w:val="20"/>
          <w:szCs w:val="20"/>
        </w:rPr>
        <w:t xml:space="preserve"> </w:t>
      </w:r>
      <w:r w:rsidRPr="00440575">
        <w:rPr>
          <w:i/>
          <w:iCs/>
          <w:sz w:val="20"/>
          <w:szCs w:val="20"/>
        </w:rPr>
        <w:t>o</w:t>
      </w:r>
      <w:r>
        <w:rPr>
          <w:i/>
          <w:iCs/>
          <w:sz w:val="20"/>
          <w:szCs w:val="20"/>
        </w:rPr>
        <w:t xml:space="preserve"> </w:t>
      </w:r>
      <w:r w:rsidRPr="00440575">
        <w:rPr>
          <w:i/>
          <w:iCs/>
          <w:sz w:val="20"/>
          <w:szCs w:val="20"/>
        </w:rPr>
        <w:t>externos),</w:t>
      </w:r>
      <w:r>
        <w:rPr>
          <w:i/>
          <w:iCs/>
          <w:sz w:val="20"/>
          <w:szCs w:val="20"/>
        </w:rPr>
        <w:t xml:space="preserve"> </w:t>
      </w:r>
      <w:r w:rsidRPr="00440575">
        <w:rPr>
          <w:i/>
          <w:iCs/>
          <w:sz w:val="20"/>
          <w:szCs w:val="20"/>
        </w:rPr>
        <w:t>bases</w:t>
      </w:r>
      <w:r>
        <w:rPr>
          <w:i/>
          <w:iCs/>
          <w:sz w:val="20"/>
          <w:szCs w:val="20"/>
        </w:rPr>
        <w:t xml:space="preserve"> </w:t>
      </w:r>
      <w:r w:rsidRPr="00440575">
        <w:rPr>
          <w:i/>
          <w:iCs/>
          <w:sz w:val="20"/>
          <w:szCs w:val="20"/>
        </w:rPr>
        <w:t>de</w:t>
      </w:r>
      <w:r>
        <w:rPr>
          <w:i/>
          <w:iCs/>
          <w:sz w:val="20"/>
          <w:szCs w:val="20"/>
        </w:rPr>
        <w:t xml:space="preserve"> </w:t>
      </w:r>
      <w:r w:rsidRPr="00440575">
        <w:rPr>
          <w:i/>
          <w:iCs/>
          <w:sz w:val="20"/>
          <w:szCs w:val="20"/>
        </w:rPr>
        <w:t>datos,</w:t>
      </w:r>
      <w:r>
        <w:rPr>
          <w:i/>
          <w:iCs/>
          <w:sz w:val="20"/>
          <w:szCs w:val="20"/>
        </w:rPr>
        <w:t xml:space="preserve"> </w:t>
      </w:r>
      <w:r w:rsidRPr="00440575">
        <w:rPr>
          <w:i/>
          <w:iCs/>
          <w:sz w:val="20"/>
          <w:szCs w:val="20"/>
        </w:rPr>
        <w:t>software</w:t>
      </w:r>
      <w:r>
        <w:rPr>
          <w:i/>
          <w:iCs/>
          <w:sz w:val="20"/>
          <w:szCs w:val="20"/>
        </w:rPr>
        <w:t xml:space="preserve"> </w:t>
      </w:r>
      <w:r w:rsidRPr="00440575">
        <w:rPr>
          <w:i/>
          <w:iCs/>
          <w:sz w:val="20"/>
          <w:szCs w:val="20"/>
        </w:rPr>
        <w:t>predictivo,</w:t>
      </w:r>
      <w:r>
        <w:rPr>
          <w:i/>
          <w:iCs/>
          <w:sz w:val="20"/>
          <w:szCs w:val="20"/>
        </w:rPr>
        <w:t xml:space="preserve"> </w:t>
      </w:r>
      <w:r w:rsidRPr="00440575">
        <w:rPr>
          <w:i/>
          <w:iCs/>
          <w:sz w:val="20"/>
          <w:szCs w:val="20"/>
        </w:rPr>
        <w:t>análisis</w:t>
      </w:r>
      <w:r>
        <w:rPr>
          <w:i/>
          <w:iCs/>
          <w:sz w:val="20"/>
          <w:szCs w:val="20"/>
        </w:rPr>
        <w:t xml:space="preserve"> </w:t>
      </w:r>
      <w:r w:rsidRPr="00440575">
        <w:rPr>
          <w:i/>
          <w:iCs/>
          <w:sz w:val="20"/>
          <w:szCs w:val="20"/>
        </w:rPr>
        <w:t>de</w:t>
      </w:r>
      <w:r>
        <w:rPr>
          <w:i/>
          <w:iCs/>
          <w:sz w:val="20"/>
          <w:szCs w:val="20"/>
        </w:rPr>
        <w:t xml:space="preserve"> </w:t>
      </w:r>
      <w:r w:rsidRPr="00440575">
        <w:rPr>
          <w:i/>
          <w:iCs/>
          <w:sz w:val="20"/>
          <w:szCs w:val="20"/>
        </w:rPr>
        <w:t>escritorio,</w:t>
      </w:r>
      <w:r>
        <w:rPr>
          <w:i/>
          <w:iCs/>
          <w:sz w:val="20"/>
          <w:szCs w:val="20"/>
        </w:rPr>
        <w:t xml:space="preserve"> </w:t>
      </w:r>
      <w:r w:rsidRPr="00440575">
        <w:rPr>
          <w:i/>
          <w:iCs/>
          <w:sz w:val="20"/>
          <w:szCs w:val="20"/>
        </w:rPr>
        <w:t>gestión</w:t>
      </w:r>
      <w:r>
        <w:rPr>
          <w:i/>
          <w:iCs/>
          <w:sz w:val="20"/>
          <w:szCs w:val="20"/>
        </w:rPr>
        <w:t xml:space="preserve"> </w:t>
      </w:r>
      <w:r w:rsidRPr="00440575">
        <w:rPr>
          <w:i/>
          <w:iCs/>
          <w:sz w:val="20"/>
          <w:szCs w:val="20"/>
        </w:rPr>
        <w:t>de alarmas,</w:t>
      </w:r>
      <w:r>
        <w:rPr>
          <w:i/>
          <w:iCs/>
          <w:sz w:val="20"/>
          <w:szCs w:val="20"/>
        </w:rPr>
        <w:t xml:space="preserve"> </w:t>
      </w:r>
      <w:r w:rsidRPr="00440575">
        <w:rPr>
          <w:i/>
          <w:iCs/>
          <w:sz w:val="20"/>
          <w:szCs w:val="20"/>
        </w:rPr>
        <w:t>información</w:t>
      </w:r>
      <w:r>
        <w:rPr>
          <w:i/>
          <w:iCs/>
          <w:sz w:val="20"/>
          <w:szCs w:val="20"/>
        </w:rPr>
        <w:t xml:space="preserve"> </w:t>
      </w:r>
      <w:r w:rsidRPr="00440575">
        <w:rPr>
          <w:i/>
          <w:iCs/>
          <w:sz w:val="20"/>
          <w:szCs w:val="20"/>
        </w:rPr>
        <w:t>de</w:t>
      </w:r>
      <w:r>
        <w:rPr>
          <w:i/>
          <w:iCs/>
          <w:sz w:val="20"/>
          <w:szCs w:val="20"/>
        </w:rPr>
        <w:t xml:space="preserve"> </w:t>
      </w:r>
      <w:r w:rsidRPr="00440575">
        <w:rPr>
          <w:i/>
          <w:iCs/>
          <w:sz w:val="20"/>
          <w:szCs w:val="20"/>
        </w:rPr>
        <w:t>balances</w:t>
      </w:r>
      <w:r>
        <w:rPr>
          <w:i/>
          <w:iCs/>
          <w:sz w:val="20"/>
          <w:szCs w:val="20"/>
        </w:rPr>
        <w:t xml:space="preserve"> </w:t>
      </w:r>
      <w:r w:rsidRPr="00440575">
        <w:rPr>
          <w:i/>
          <w:iCs/>
          <w:sz w:val="20"/>
          <w:szCs w:val="20"/>
        </w:rPr>
        <w:t>de</w:t>
      </w:r>
      <w:r>
        <w:rPr>
          <w:i/>
          <w:iCs/>
          <w:sz w:val="20"/>
          <w:szCs w:val="20"/>
        </w:rPr>
        <w:t xml:space="preserve"> </w:t>
      </w:r>
      <w:r w:rsidRPr="00440575">
        <w:rPr>
          <w:i/>
          <w:iCs/>
          <w:sz w:val="20"/>
          <w:szCs w:val="20"/>
        </w:rPr>
        <w:t>energía</w:t>
      </w:r>
      <w:r>
        <w:rPr>
          <w:i/>
          <w:iCs/>
          <w:sz w:val="20"/>
          <w:szCs w:val="20"/>
        </w:rPr>
        <w:t xml:space="preserve"> </w:t>
      </w:r>
      <w:r w:rsidRPr="00440575">
        <w:rPr>
          <w:i/>
          <w:iCs/>
          <w:sz w:val="20"/>
          <w:szCs w:val="20"/>
        </w:rPr>
        <w:t>de</w:t>
      </w:r>
      <w:r>
        <w:rPr>
          <w:i/>
          <w:iCs/>
          <w:sz w:val="20"/>
          <w:szCs w:val="20"/>
        </w:rPr>
        <w:t xml:space="preserve"> </w:t>
      </w:r>
      <w:r w:rsidRPr="00440575">
        <w:rPr>
          <w:i/>
          <w:iCs/>
          <w:sz w:val="20"/>
          <w:szCs w:val="20"/>
        </w:rPr>
        <w:t>macromedidores,</w:t>
      </w:r>
      <w:r>
        <w:rPr>
          <w:i/>
          <w:iCs/>
          <w:sz w:val="20"/>
          <w:szCs w:val="20"/>
        </w:rPr>
        <w:t xml:space="preserve"> </w:t>
      </w:r>
      <w:r w:rsidRPr="00440575">
        <w:rPr>
          <w:i/>
          <w:iCs/>
          <w:sz w:val="20"/>
          <w:szCs w:val="20"/>
        </w:rPr>
        <w:t>etc.</w:t>
      </w:r>
      <w:r>
        <w:rPr>
          <w:i/>
          <w:iCs/>
          <w:sz w:val="20"/>
          <w:szCs w:val="20"/>
        </w:rPr>
        <w:t xml:space="preserve"> </w:t>
      </w:r>
      <w:r w:rsidRPr="00440575">
        <w:rPr>
          <w:i/>
          <w:iCs/>
          <w:sz w:val="20"/>
          <w:szCs w:val="20"/>
        </w:rPr>
        <w:t>Esta</w:t>
      </w:r>
      <w:r>
        <w:rPr>
          <w:i/>
          <w:iCs/>
          <w:sz w:val="20"/>
          <w:szCs w:val="20"/>
        </w:rPr>
        <w:t xml:space="preserve"> </w:t>
      </w:r>
      <w:r w:rsidRPr="00440575">
        <w:rPr>
          <w:i/>
          <w:iCs/>
          <w:sz w:val="20"/>
          <w:szCs w:val="20"/>
        </w:rPr>
        <w:t>gestión</w:t>
      </w:r>
      <w:r>
        <w:rPr>
          <w:i/>
          <w:iCs/>
          <w:sz w:val="20"/>
          <w:szCs w:val="20"/>
        </w:rPr>
        <w:t xml:space="preserve"> </w:t>
      </w:r>
      <w:r w:rsidRPr="00440575">
        <w:rPr>
          <w:i/>
          <w:iCs/>
          <w:sz w:val="20"/>
          <w:szCs w:val="20"/>
        </w:rPr>
        <w:t>permitirá identificar usuarios con anomalías en la medida y/o acometida que impidan el registro efectivo de</w:t>
      </w:r>
      <w:r>
        <w:rPr>
          <w:i/>
          <w:iCs/>
          <w:sz w:val="20"/>
          <w:szCs w:val="20"/>
        </w:rPr>
        <w:t xml:space="preserve"> </w:t>
      </w:r>
      <w:r w:rsidRPr="00440575">
        <w:rPr>
          <w:i/>
          <w:iCs/>
          <w:sz w:val="20"/>
          <w:szCs w:val="20"/>
        </w:rPr>
        <w:t>la</w:t>
      </w:r>
      <w:r>
        <w:rPr>
          <w:i/>
          <w:iCs/>
          <w:sz w:val="20"/>
          <w:szCs w:val="20"/>
        </w:rPr>
        <w:t xml:space="preserve"> </w:t>
      </w:r>
      <w:r w:rsidRPr="00440575">
        <w:rPr>
          <w:i/>
          <w:iCs/>
          <w:sz w:val="20"/>
          <w:szCs w:val="20"/>
        </w:rPr>
        <w:t>energía,</w:t>
      </w:r>
      <w:r>
        <w:rPr>
          <w:i/>
          <w:iCs/>
          <w:sz w:val="20"/>
          <w:szCs w:val="20"/>
        </w:rPr>
        <w:t xml:space="preserve"> </w:t>
      </w:r>
      <w:r w:rsidRPr="00440575">
        <w:rPr>
          <w:i/>
          <w:iCs/>
          <w:sz w:val="20"/>
          <w:szCs w:val="20"/>
        </w:rPr>
        <w:t>por</w:t>
      </w:r>
      <w:r>
        <w:rPr>
          <w:i/>
          <w:iCs/>
          <w:sz w:val="20"/>
          <w:szCs w:val="20"/>
        </w:rPr>
        <w:t xml:space="preserve"> </w:t>
      </w:r>
      <w:r w:rsidRPr="00440575">
        <w:rPr>
          <w:i/>
          <w:iCs/>
          <w:sz w:val="20"/>
          <w:szCs w:val="20"/>
        </w:rPr>
        <w:t>lo</w:t>
      </w:r>
      <w:r>
        <w:rPr>
          <w:i/>
          <w:iCs/>
          <w:sz w:val="20"/>
          <w:szCs w:val="20"/>
        </w:rPr>
        <w:t xml:space="preserve"> </w:t>
      </w:r>
      <w:r w:rsidRPr="00440575">
        <w:rPr>
          <w:i/>
          <w:iCs/>
          <w:sz w:val="20"/>
          <w:szCs w:val="20"/>
        </w:rPr>
        <w:t>cual</w:t>
      </w:r>
      <w:r>
        <w:rPr>
          <w:i/>
          <w:iCs/>
          <w:sz w:val="20"/>
          <w:szCs w:val="20"/>
        </w:rPr>
        <w:t xml:space="preserve"> </w:t>
      </w:r>
      <w:r w:rsidRPr="00440575">
        <w:rPr>
          <w:i/>
          <w:iCs/>
          <w:sz w:val="20"/>
          <w:szCs w:val="20"/>
        </w:rPr>
        <w:t>se</w:t>
      </w:r>
      <w:r>
        <w:rPr>
          <w:i/>
          <w:iCs/>
          <w:sz w:val="20"/>
          <w:szCs w:val="20"/>
        </w:rPr>
        <w:t xml:space="preserve"> </w:t>
      </w:r>
      <w:r w:rsidRPr="00440575">
        <w:rPr>
          <w:i/>
          <w:iCs/>
          <w:sz w:val="20"/>
          <w:szCs w:val="20"/>
        </w:rPr>
        <w:t>deberá</w:t>
      </w:r>
      <w:r>
        <w:rPr>
          <w:i/>
          <w:iCs/>
          <w:sz w:val="20"/>
          <w:szCs w:val="20"/>
        </w:rPr>
        <w:t xml:space="preserve"> </w:t>
      </w:r>
      <w:r w:rsidRPr="00440575">
        <w:rPr>
          <w:i/>
          <w:iCs/>
          <w:sz w:val="20"/>
          <w:szCs w:val="20"/>
        </w:rPr>
        <w:t>desplegar</w:t>
      </w:r>
      <w:r>
        <w:rPr>
          <w:i/>
          <w:iCs/>
          <w:sz w:val="20"/>
          <w:szCs w:val="20"/>
        </w:rPr>
        <w:t xml:space="preserve"> </w:t>
      </w:r>
      <w:r w:rsidRPr="00440575">
        <w:rPr>
          <w:i/>
          <w:iCs/>
          <w:sz w:val="20"/>
          <w:szCs w:val="20"/>
        </w:rPr>
        <w:t>la</w:t>
      </w:r>
      <w:r>
        <w:rPr>
          <w:i/>
          <w:iCs/>
          <w:sz w:val="20"/>
          <w:szCs w:val="20"/>
        </w:rPr>
        <w:t xml:space="preserve"> </w:t>
      </w:r>
      <w:r w:rsidRPr="00440575">
        <w:rPr>
          <w:i/>
          <w:iCs/>
          <w:sz w:val="20"/>
          <w:szCs w:val="20"/>
        </w:rPr>
        <w:t>operativa</w:t>
      </w:r>
      <w:r>
        <w:rPr>
          <w:i/>
          <w:iCs/>
          <w:sz w:val="20"/>
          <w:szCs w:val="20"/>
        </w:rPr>
        <w:t xml:space="preserve"> </w:t>
      </w:r>
      <w:r w:rsidRPr="00440575">
        <w:rPr>
          <w:i/>
          <w:iCs/>
          <w:sz w:val="20"/>
          <w:szCs w:val="20"/>
        </w:rPr>
        <w:t>necesaria</w:t>
      </w:r>
      <w:r>
        <w:rPr>
          <w:i/>
          <w:iCs/>
          <w:sz w:val="20"/>
          <w:szCs w:val="20"/>
        </w:rPr>
        <w:t xml:space="preserve"> </w:t>
      </w:r>
      <w:r w:rsidRPr="00440575">
        <w:rPr>
          <w:i/>
          <w:iCs/>
          <w:sz w:val="20"/>
          <w:szCs w:val="20"/>
        </w:rPr>
        <w:t>para</w:t>
      </w:r>
      <w:r>
        <w:rPr>
          <w:i/>
          <w:iCs/>
          <w:sz w:val="20"/>
          <w:szCs w:val="20"/>
        </w:rPr>
        <w:t xml:space="preserve"> </w:t>
      </w:r>
      <w:r w:rsidRPr="00440575">
        <w:rPr>
          <w:i/>
          <w:iCs/>
          <w:sz w:val="20"/>
          <w:szCs w:val="20"/>
        </w:rPr>
        <w:t>lograr</w:t>
      </w:r>
      <w:r>
        <w:rPr>
          <w:i/>
          <w:iCs/>
          <w:sz w:val="20"/>
          <w:szCs w:val="20"/>
        </w:rPr>
        <w:t xml:space="preserve"> </w:t>
      </w:r>
      <w:r w:rsidRPr="00440575">
        <w:rPr>
          <w:i/>
          <w:iCs/>
          <w:sz w:val="20"/>
          <w:szCs w:val="20"/>
        </w:rPr>
        <w:t>la normalización de estas anomalías en terreno.</w:t>
      </w:r>
      <w:r w:rsidR="00C17D3E">
        <w:rPr>
          <w:i/>
          <w:iCs/>
          <w:sz w:val="20"/>
          <w:szCs w:val="20"/>
        </w:rPr>
        <w:t xml:space="preserve"> </w:t>
      </w:r>
    </w:p>
    <w:p w14:paraId="630D4CB0" w14:textId="333D2B02" w:rsidR="00367619" w:rsidRDefault="00367619" w:rsidP="008E2080">
      <w:pPr>
        <w:spacing w:before="60" w:after="60"/>
        <w:ind w:left="284"/>
        <w:rPr>
          <w:i/>
          <w:iCs/>
          <w:sz w:val="20"/>
          <w:szCs w:val="20"/>
        </w:rPr>
      </w:pPr>
      <w:r>
        <w:rPr>
          <w:i/>
          <w:iCs/>
          <w:sz w:val="20"/>
          <w:szCs w:val="20"/>
        </w:rPr>
        <w:t>(…)</w:t>
      </w:r>
    </w:p>
    <w:p w14:paraId="025C95E2" w14:textId="6F852C9C" w:rsidR="0055691A" w:rsidRDefault="0055691A" w:rsidP="008E2080">
      <w:pPr>
        <w:spacing w:before="60" w:after="60"/>
        <w:ind w:left="284"/>
        <w:rPr>
          <w:i/>
          <w:iCs/>
          <w:sz w:val="20"/>
          <w:szCs w:val="20"/>
        </w:rPr>
      </w:pPr>
      <w:r w:rsidRPr="0055691A">
        <w:rPr>
          <w:i/>
          <w:iCs/>
          <w:sz w:val="20"/>
          <w:szCs w:val="20"/>
        </w:rPr>
        <w:t>Gestión social para el Plan Integral de Pérdidas</w:t>
      </w:r>
    </w:p>
    <w:p w14:paraId="1E7A9B9E" w14:textId="77777777" w:rsidR="00E92758" w:rsidRDefault="0055691A" w:rsidP="008E2080">
      <w:pPr>
        <w:spacing w:before="60" w:after="60"/>
        <w:ind w:left="284"/>
        <w:rPr>
          <w:i/>
          <w:iCs/>
          <w:sz w:val="20"/>
          <w:szCs w:val="20"/>
        </w:rPr>
      </w:pPr>
      <w:r>
        <w:rPr>
          <w:i/>
          <w:iCs/>
          <w:sz w:val="20"/>
          <w:szCs w:val="20"/>
        </w:rPr>
        <w:t>P</w:t>
      </w:r>
      <w:r w:rsidRPr="0055691A">
        <w:rPr>
          <w:i/>
          <w:iCs/>
          <w:sz w:val="20"/>
          <w:szCs w:val="20"/>
        </w:rPr>
        <w:t>ara  el  desarrollo  efectivo  de  las  acciones  del  Plan  Integral  de  Pérdidas,  se  considerará  el trabajo  social  que  se  debe  adelantar  con  las  comunidades  con  las  cuales  se  tenga  contacto, dado que  permitirá mantener el control de las variables de tipo socioeconómico y cultural, así como,  la  formación  y  asistencia  al  usuario  para  minimizar  el  impacto  sobre  la  actuación  y normalización  de  la  medida  y  todos  aquellos  aspectos  que  buscan  eliminar  o  minimizar  la creación  de  conflicto, que  podrían  afectar  la  consecución  de  los  objetivos  plasmados  en  el Plan.</w:t>
      </w:r>
      <w:r w:rsidR="00C17D3E">
        <w:rPr>
          <w:i/>
          <w:iCs/>
          <w:sz w:val="20"/>
          <w:szCs w:val="20"/>
        </w:rPr>
        <w:t xml:space="preserve"> </w:t>
      </w:r>
    </w:p>
    <w:p w14:paraId="57520D29" w14:textId="5C0DF4F1" w:rsidR="00367619" w:rsidRDefault="00367619" w:rsidP="008E2080">
      <w:pPr>
        <w:spacing w:before="60" w:after="60"/>
        <w:ind w:left="284"/>
        <w:rPr>
          <w:i/>
          <w:iCs/>
          <w:sz w:val="20"/>
          <w:szCs w:val="20"/>
        </w:rPr>
      </w:pPr>
      <w:r>
        <w:rPr>
          <w:i/>
          <w:iCs/>
          <w:sz w:val="20"/>
          <w:szCs w:val="20"/>
        </w:rPr>
        <w:t>(…)</w:t>
      </w:r>
    </w:p>
    <w:p w14:paraId="0EDDFD8B" w14:textId="265CF5E5" w:rsidR="00440575" w:rsidRDefault="00440575" w:rsidP="008E2080">
      <w:pPr>
        <w:spacing w:before="60" w:after="60"/>
        <w:ind w:left="284"/>
        <w:rPr>
          <w:i/>
          <w:iCs/>
          <w:sz w:val="20"/>
          <w:szCs w:val="20"/>
        </w:rPr>
      </w:pPr>
      <w:r w:rsidRPr="00440575">
        <w:rPr>
          <w:i/>
          <w:iCs/>
          <w:sz w:val="20"/>
          <w:szCs w:val="20"/>
        </w:rPr>
        <w:t>2.3.1</w:t>
      </w:r>
      <w:r>
        <w:rPr>
          <w:i/>
          <w:iCs/>
          <w:sz w:val="20"/>
          <w:szCs w:val="20"/>
        </w:rPr>
        <w:t xml:space="preserve"> </w:t>
      </w:r>
      <w:r w:rsidRPr="00440575">
        <w:rPr>
          <w:i/>
          <w:iCs/>
          <w:sz w:val="20"/>
          <w:szCs w:val="20"/>
        </w:rPr>
        <w:t>Gestión de grandes consumidores</w:t>
      </w:r>
    </w:p>
    <w:p w14:paraId="07E489F9" w14:textId="3B318DFC" w:rsidR="00440575" w:rsidRDefault="00440575" w:rsidP="008E2080">
      <w:pPr>
        <w:spacing w:before="60" w:after="60"/>
        <w:ind w:left="284"/>
        <w:rPr>
          <w:i/>
          <w:iCs/>
          <w:sz w:val="20"/>
          <w:szCs w:val="20"/>
        </w:rPr>
      </w:pPr>
      <w:r w:rsidRPr="00440575">
        <w:rPr>
          <w:i/>
          <w:iCs/>
          <w:sz w:val="20"/>
          <w:szCs w:val="20"/>
        </w:rPr>
        <w:t>Las acciones por ejecutarse</w:t>
      </w:r>
      <w:r>
        <w:rPr>
          <w:i/>
          <w:iCs/>
          <w:sz w:val="20"/>
          <w:szCs w:val="20"/>
        </w:rPr>
        <w:t xml:space="preserve"> </w:t>
      </w:r>
      <w:r w:rsidRPr="00440575">
        <w:rPr>
          <w:i/>
          <w:iCs/>
          <w:sz w:val="20"/>
          <w:szCs w:val="20"/>
        </w:rPr>
        <w:t>concentran</w:t>
      </w:r>
      <w:r>
        <w:rPr>
          <w:i/>
          <w:iCs/>
          <w:sz w:val="20"/>
          <w:szCs w:val="20"/>
        </w:rPr>
        <w:t xml:space="preserve"> </w:t>
      </w:r>
      <w:r w:rsidRPr="00440575">
        <w:rPr>
          <w:i/>
          <w:iCs/>
          <w:sz w:val="20"/>
          <w:szCs w:val="20"/>
        </w:rPr>
        <w:t>principalmente</w:t>
      </w:r>
      <w:r>
        <w:rPr>
          <w:i/>
          <w:iCs/>
          <w:sz w:val="20"/>
          <w:szCs w:val="20"/>
        </w:rPr>
        <w:t xml:space="preserve"> </w:t>
      </w:r>
      <w:r w:rsidRPr="00440575">
        <w:rPr>
          <w:i/>
          <w:iCs/>
          <w:sz w:val="20"/>
          <w:szCs w:val="20"/>
        </w:rPr>
        <w:t>en los</w:t>
      </w:r>
      <w:r>
        <w:rPr>
          <w:i/>
          <w:iCs/>
          <w:sz w:val="20"/>
          <w:szCs w:val="20"/>
        </w:rPr>
        <w:t xml:space="preserve"> </w:t>
      </w:r>
      <w:r w:rsidRPr="00440575">
        <w:rPr>
          <w:i/>
          <w:iCs/>
          <w:sz w:val="20"/>
          <w:szCs w:val="20"/>
        </w:rPr>
        <w:t>primeros 5</w:t>
      </w:r>
      <w:r>
        <w:rPr>
          <w:i/>
          <w:iCs/>
          <w:sz w:val="20"/>
          <w:szCs w:val="20"/>
        </w:rPr>
        <w:t xml:space="preserve"> </w:t>
      </w:r>
      <w:r w:rsidRPr="00440575">
        <w:rPr>
          <w:i/>
          <w:iCs/>
          <w:sz w:val="20"/>
          <w:szCs w:val="20"/>
        </w:rPr>
        <w:t>años</w:t>
      </w:r>
      <w:r>
        <w:rPr>
          <w:i/>
          <w:iCs/>
          <w:sz w:val="20"/>
          <w:szCs w:val="20"/>
        </w:rPr>
        <w:t xml:space="preserve"> </w:t>
      </w:r>
      <w:r w:rsidRPr="00440575">
        <w:rPr>
          <w:i/>
          <w:iCs/>
          <w:sz w:val="20"/>
          <w:szCs w:val="20"/>
        </w:rPr>
        <w:t>del</w:t>
      </w:r>
      <w:r>
        <w:rPr>
          <w:i/>
          <w:iCs/>
          <w:sz w:val="20"/>
          <w:szCs w:val="20"/>
        </w:rPr>
        <w:t xml:space="preserve"> </w:t>
      </w:r>
      <w:r w:rsidRPr="00440575">
        <w:rPr>
          <w:i/>
          <w:iCs/>
          <w:sz w:val="20"/>
          <w:szCs w:val="20"/>
        </w:rPr>
        <w:t>Plan</w:t>
      </w:r>
      <w:r>
        <w:rPr>
          <w:i/>
          <w:iCs/>
          <w:sz w:val="20"/>
          <w:szCs w:val="20"/>
        </w:rPr>
        <w:t xml:space="preserve"> </w:t>
      </w:r>
      <w:r w:rsidRPr="00440575">
        <w:rPr>
          <w:i/>
          <w:iCs/>
          <w:sz w:val="20"/>
          <w:szCs w:val="20"/>
        </w:rPr>
        <w:t>Integral</w:t>
      </w:r>
      <w:r>
        <w:rPr>
          <w:i/>
          <w:iCs/>
          <w:sz w:val="20"/>
          <w:szCs w:val="20"/>
        </w:rPr>
        <w:t xml:space="preserve"> </w:t>
      </w:r>
      <w:r w:rsidRPr="00440575">
        <w:rPr>
          <w:i/>
          <w:iCs/>
          <w:sz w:val="20"/>
          <w:szCs w:val="20"/>
        </w:rPr>
        <w:t>de</w:t>
      </w:r>
      <w:r>
        <w:rPr>
          <w:i/>
          <w:iCs/>
          <w:sz w:val="20"/>
          <w:szCs w:val="20"/>
        </w:rPr>
        <w:t xml:space="preserve"> </w:t>
      </w:r>
      <w:r w:rsidRPr="00440575">
        <w:rPr>
          <w:i/>
          <w:iCs/>
          <w:sz w:val="20"/>
          <w:szCs w:val="20"/>
        </w:rPr>
        <w:t>Pérdidas,</w:t>
      </w:r>
      <w:r>
        <w:rPr>
          <w:i/>
          <w:iCs/>
          <w:sz w:val="20"/>
          <w:szCs w:val="20"/>
        </w:rPr>
        <w:t xml:space="preserve"> </w:t>
      </w:r>
      <w:r w:rsidRPr="00440575">
        <w:rPr>
          <w:i/>
          <w:iCs/>
          <w:sz w:val="20"/>
          <w:szCs w:val="20"/>
        </w:rPr>
        <w:t>durante</w:t>
      </w:r>
      <w:r>
        <w:rPr>
          <w:i/>
          <w:iCs/>
          <w:sz w:val="20"/>
          <w:szCs w:val="20"/>
        </w:rPr>
        <w:t xml:space="preserve"> </w:t>
      </w:r>
      <w:r w:rsidRPr="00440575">
        <w:rPr>
          <w:i/>
          <w:iCs/>
          <w:sz w:val="20"/>
          <w:szCs w:val="20"/>
        </w:rPr>
        <w:t>los</w:t>
      </w:r>
      <w:r>
        <w:rPr>
          <w:i/>
          <w:iCs/>
          <w:sz w:val="20"/>
          <w:szCs w:val="20"/>
        </w:rPr>
        <w:t xml:space="preserve"> </w:t>
      </w:r>
      <w:r w:rsidRPr="00440575">
        <w:rPr>
          <w:i/>
          <w:iCs/>
          <w:sz w:val="20"/>
          <w:szCs w:val="20"/>
        </w:rPr>
        <w:t>cuales</w:t>
      </w:r>
      <w:r>
        <w:rPr>
          <w:i/>
          <w:iCs/>
          <w:sz w:val="20"/>
          <w:szCs w:val="20"/>
        </w:rPr>
        <w:t xml:space="preserve"> </w:t>
      </w:r>
      <w:r w:rsidRPr="00440575">
        <w:rPr>
          <w:i/>
          <w:iCs/>
          <w:sz w:val="20"/>
          <w:szCs w:val="20"/>
        </w:rPr>
        <w:t>se</w:t>
      </w:r>
      <w:r>
        <w:rPr>
          <w:i/>
          <w:iCs/>
          <w:sz w:val="20"/>
          <w:szCs w:val="20"/>
        </w:rPr>
        <w:t xml:space="preserve"> </w:t>
      </w:r>
      <w:r w:rsidRPr="00440575">
        <w:rPr>
          <w:i/>
          <w:iCs/>
          <w:sz w:val="20"/>
          <w:szCs w:val="20"/>
        </w:rPr>
        <w:t>prevé</w:t>
      </w:r>
      <w:r>
        <w:rPr>
          <w:i/>
          <w:iCs/>
          <w:sz w:val="20"/>
          <w:szCs w:val="20"/>
        </w:rPr>
        <w:t xml:space="preserve"> </w:t>
      </w:r>
      <w:r w:rsidRPr="00440575">
        <w:rPr>
          <w:i/>
          <w:iCs/>
          <w:sz w:val="20"/>
          <w:szCs w:val="20"/>
        </w:rPr>
        <w:t>gestionarla</w:t>
      </w:r>
      <w:r>
        <w:rPr>
          <w:i/>
          <w:iCs/>
          <w:sz w:val="20"/>
          <w:szCs w:val="20"/>
        </w:rPr>
        <w:t xml:space="preserve"> </w:t>
      </w:r>
      <w:r w:rsidRPr="00440575">
        <w:rPr>
          <w:i/>
          <w:iCs/>
          <w:sz w:val="20"/>
          <w:szCs w:val="20"/>
        </w:rPr>
        <w:t>totalidad</w:t>
      </w:r>
      <w:r>
        <w:rPr>
          <w:i/>
          <w:iCs/>
          <w:sz w:val="20"/>
          <w:szCs w:val="20"/>
        </w:rPr>
        <w:t xml:space="preserve"> </w:t>
      </w:r>
      <w:r w:rsidRPr="00440575">
        <w:rPr>
          <w:i/>
          <w:iCs/>
          <w:sz w:val="20"/>
          <w:szCs w:val="20"/>
        </w:rPr>
        <w:t>de</w:t>
      </w:r>
      <w:r>
        <w:rPr>
          <w:i/>
          <w:iCs/>
          <w:sz w:val="20"/>
          <w:szCs w:val="20"/>
        </w:rPr>
        <w:t xml:space="preserve"> </w:t>
      </w:r>
      <w:r w:rsidRPr="00440575">
        <w:rPr>
          <w:i/>
          <w:iCs/>
          <w:sz w:val="20"/>
          <w:szCs w:val="20"/>
        </w:rPr>
        <w:t>los</w:t>
      </w:r>
      <w:r>
        <w:rPr>
          <w:i/>
          <w:iCs/>
          <w:sz w:val="20"/>
          <w:szCs w:val="20"/>
        </w:rPr>
        <w:t xml:space="preserve"> </w:t>
      </w:r>
      <w:r w:rsidRPr="00440575">
        <w:rPr>
          <w:i/>
          <w:iCs/>
          <w:sz w:val="20"/>
          <w:szCs w:val="20"/>
        </w:rPr>
        <w:t>usuarios</w:t>
      </w:r>
      <w:r>
        <w:rPr>
          <w:i/>
          <w:iCs/>
          <w:sz w:val="20"/>
          <w:szCs w:val="20"/>
        </w:rPr>
        <w:t xml:space="preserve"> </w:t>
      </w:r>
      <w:r w:rsidRPr="00440575">
        <w:rPr>
          <w:i/>
          <w:iCs/>
          <w:sz w:val="20"/>
          <w:szCs w:val="20"/>
        </w:rPr>
        <w:t>que conforman este segmento.</w:t>
      </w:r>
      <w:r>
        <w:rPr>
          <w:i/>
          <w:iCs/>
          <w:sz w:val="20"/>
          <w:szCs w:val="20"/>
        </w:rPr>
        <w:t xml:space="preserve"> </w:t>
      </w:r>
      <w:r w:rsidRPr="00440575">
        <w:rPr>
          <w:i/>
          <w:iCs/>
          <w:sz w:val="20"/>
          <w:szCs w:val="20"/>
        </w:rPr>
        <w:t>Los costos de mano de obra de estas acciones corresponden a los precios pagados a los contratistas resultantes de los procesos contractuales adelantados por la empresa.</w:t>
      </w:r>
      <w:r>
        <w:rPr>
          <w:i/>
          <w:iCs/>
          <w:sz w:val="20"/>
          <w:szCs w:val="20"/>
        </w:rPr>
        <w:t xml:space="preserve"> </w:t>
      </w:r>
    </w:p>
    <w:p w14:paraId="161C7BCE" w14:textId="626C753B" w:rsidR="00440575" w:rsidRDefault="00440575" w:rsidP="008E2080">
      <w:pPr>
        <w:spacing w:before="60" w:after="60"/>
        <w:ind w:left="284"/>
        <w:rPr>
          <w:i/>
          <w:iCs/>
          <w:sz w:val="20"/>
          <w:szCs w:val="20"/>
        </w:rPr>
      </w:pPr>
      <w:r w:rsidRPr="00440575">
        <w:rPr>
          <w:i/>
          <w:iCs/>
          <w:sz w:val="20"/>
          <w:szCs w:val="20"/>
        </w:rPr>
        <w:t>Las</w:t>
      </w:r>
      <w:r>
        <w:rPr>
          <w:i/>
          <w:iCs/>
          <w:sz w:val="20"/>
          <w:szCs w:val="20"/>
        </w:rPr>
        <w:t xml:space="preserve"> </w:t>
      </w:r>
      <w:r w:rsidRPr="00440575">
        <w:rPr>
          <w:i/>
          <w:iCs/>
          <w:sz w:val="20"/>
          <w:szCs w:val="20"/>
        </w:rPr>
        <w:t>actividades</w:t>
      </w:r>
      <w:r>
        <w:rPr>
          <w:i/>
          <w:iCs/>
          <w:sz w:val="20"/>
          <w:szCs w:val="20"/>
        </w:rPr>
        <w:t xml:space="preserve"> </w:t>
      </w:r>
      <w:r w:rsidRPr="00440575">
        <w:rPr>
          <w:i/>
          <w:iCs/>
          <w:sz w:val="20"/>
          <w:szCs w:val="20"/>
        </w:rPr>
        <w:t>de</w:t>
      </w:r>
      <w:r>
        <w:rPr>
          <w:i/>
          <w:iCs/>
          <w:sz w:val="20"/>
          <w:szCs w:val="20"/>
        </w:rPr>
        <w:t xml:space="preserve"> </w:t>
      </w:r>
      <w:r w:rsidRPr="00440575">
        <w:rPr>
          <w:i/>
          <w:iCs/>
          <w:sz w:val="20"/>
          <w:szCs w:val="20"/>
        </w:rPr>
        <w:t>gestión</w:t>
      </w:r>
      <w:r>
        <w:rPr>
          <w:i/>
          <w:iCs/>
          <w:sz w:val="20"/>
          <w:szCs w:val="20"/>
        </w:rPr>
        <w:t xml:space="preserve"> </w:t>
      </w:r>
      <w:r w:rsidRPr="00440575">
        <w:rPr>
          <w:i/>
          <w:iCs/>
          <w:sz w:val="20"/>
          <w:szCs w:val="20"/>
        </w:rPr>
        <w:t>en</w:t>
      </w:r>
      <w:r>
        <w:rPr>
          <w:i/>
          <w:iCs/>
          <w:sz w:val="20"/>
          <w:szCs w:val="20"/>
        </w:rPr>
        <w:t xml:space="preserve"> </w:t>
      </w:r>
      <w:r w:rsidRPr="00440575">
        <w:rPr>
          <w:i/>
          <w:iCs/>
          <w:sz w:val="20"/>
          <w:szCs w:val="20"/>
        </w:rPr>
        <w:t>grandes</w:t>
      </w:r>
      <w:r>
        <w:rPr>
          <w:i/>
          <w:iCs/>
          <w:sz w:val="20"/>
          <w:szCs w:val="20"/>
        </w:rPr>
        <w:t xml:space="preserve"> </w:t>
      </w:r>
      <w:r w:rsidRPr="00440575">
        <w:rPr>
          <w:i/>
          <w:iCs/>
          <w:sz w:val="20"/>
          <w:szCs w:val="20"/>
        </w:rPr>
        <w:t>consumidores</w:t>
      </w:r>
      <w:r>
        <w:rPr>
          <w:i/>
          <w:iCs/>
          <w:sz w:val="20"/>
          <w:szCs w:val="20"/>
        </w:rPr>
        <w:t xml:space="preserve"> </w:t>
      </w:r>
      <w:r w:rsidRPr="00440575">
        <w:rPr>
          <w:i/>
          <w:iCs/>
          <w:sz w:val="20"/>
          <w:szCs w:val="20"/>
        </w:rPr>
        <w:t>se</w:t>
      </w:r>
      <w:r>
        <w:rPr>
          <w:i/>
          <w:iCs/>
          <w:sz w:val="20"/>
          <w:szCs w:val="20"/>
        </w:rPr>
        <w:t xml:space="preserve"> </w:t>
      </w:r>
      <w:r w:rsidRPr="00440575">
        <w:rPr>
          <w:i/>
          <w:iCs/>
          <w:sz w:val="20"/>
          <w:szCs w:val="20"/>
        </w:rPr>
        <w:t>fundamentan</w:t>
      </w:r>
      <w:r>
        <w:rPr>
          <w:i/>
          <w:iCs/>
          <w:sz w:val="20"/>
          <w:szCs w:val="20"/>
        </w:rPr>
        <w:t xml:space="preserve"> </w:t>
      </w:r>
      <w:r w:rsidRPr="00440575">
        <w:rPr>
          <w:i/>
          <w:iCs/>
          <w:sz w:val="20"/>
          <w:szCs w:val="20"/>
        </w:rPr>
        <w:t>en</w:t>
      </w:r>
      <w:r>
        <w:rPr>
          <w:i/>
          <w:iCs/>
          <w:sz w:val="20"/>
          <w:szCs w:val="20"/>
        </w:rPr>
        <w:t xml:space="preserve"> </w:t>
      </w:r>
      <w:r w:rsidRPr="00440575">
        <w:rPr>
          <w:i/>
          <w:iCs/>
          <w:sz w:val="20"/>
          <w:szCs w:val="20"/>
        </w:rPr>
        <w:t>la</w:t>
      </w:r>
      <w:r>
        <w:rPr>
          <w:i/>
          <w:iCs/>
          <w:sz w:val="20"/>
          <w:szCs w:val="20"/>
        </w:rPr>
        <w:t xml:space="preserve"> </w:t>
      </w:r>
      <w:r w:rsidRPr="00440575">
        <w:rPr>
          <w:i/>
          <w:iCs/>
          <w:sz w:val="20"/>
          <w:szCs w:val="20"/>
        </w:rPr>
        <w:t>ejecución</w:t>
      </w:r>
      <w:r>
        <w:rPr>
          <w:i/>
          <w:iCs/>
          <w:sz w:val="20"/>
          <w:szCs w:val="20"/>
        </w:rPr>
        <w:t xml:space="preserve"> </w:t>
      </w:r>
      <w:r w:rsidRPr="00440575">
        <w:rPr>
          <w:i/>
          <w:iCs/>
          <w:sz w:val="20"/>
          <w:szCs w:val="20"/>
        </w:rPr>
        <w:t>de acciones</w:t>
      </w:r>
      <w:r>
        <w:rPr>
          <w:i/>
          <w:iCs/>
          <w:sz w:val="20"/>
          <w:szCs w:val="20"/>
        </w:rPr>
        <w:t xml:space="preserve"> </w:t>
      </w:r>
      <w:r w:rsidRPr="00440575">
        <w:rPr>
          <w:i/>
          <w:iCs/>
          <w:sz w:val="20"/>
          <w:szCs w:val="20"/>
        </w:rPr>
        <w:t xml:space="preserve"> de</w:t>
      </w:r>
      <w:r>
        <w:rPr>
          <w:i/>
          <w:iCs/>
          <w:sz w:val="20"/>
          <w:szCs w:val="20"/>
        </w:rPr>
        <w:t xml:space="preserve"> </w:t>
      </w:r>
      <w:r w:rsidRPr="00440575">
        <w:rPr>
          <w:i/>
          <w:iCs/>
          <w:sz w:val="20"/>
          <w:szCs w:val="20"/>
        </w:rPr>
        <w:t xml:space="preserve"> control orientadas</w:t>
      </w:r>
      <w:r>
        <w:rPr>
          <w:i/>
          <w:iCs/>
          <w:sz w:val="20"/>
          <w:szCs w:val="20"/>
        </w:rPr>
        <w:t xml:space="preserve"> </w:t>
      </w:r>
      <w:r w:rsidRPr="00440575">
        <w:rPr>
          <w:i/>
          <w:iCs/>
          <w:sz w:val="20"/>
          <w:szCs w:val="20"/>
        </w:rPr>
        <w:t xml:space="preserve"> por</w:t>
      </w:r>
      <w:r>
        <w:rPr>
          <w:i/>
          <w:iCs/>
          <w:sz w:val="20"/>
          <w:szCs w:val="20"/>
        </w:rPr>
        <w:t xml:space="preserve"> </w:t>
      </w:r>
      <w:r w:rsidRPr="00440575">
        <w:rPr>
          <w:i/>
          <w:iCs/>
          <w:sz w:val="20"/>
          <w:szCs w:val="20"/>
        </w:rPr>
        <w:t xml:space="preserve"> las</w:t>
      </w:r>
      <w:r>
        <w:rPr>
          <w:i/>
          <w:iCs/>
          <w:sz w:val="20"/>
          <w:szCs w:val="20"/>
        </w:rPr>
        <w:t xml:space="preserve"> </w:t>
      </w:r>
      <w:r w:rsidRPr="00440575">
        <w:rPr>
          <w:i/>
          <w:iCs/>
          <w:sz w:val="20"/>
          <w:szCs w:val="20"/>
        </w:rPr>
        <w:t xml:space="preserve"> alarmas</w:t>
      </w:r>
      <w:r>
        <w:rPr>
          <w:i/>
          <w:iCs/>
          <w:sz w:val="20"/>
          <w:szCs w:val="20"/>
        </w:rPr>
        <w:t xml:space="preserve"> </w:t>
      </w:r>
      <w:r w:rsidRPr="00440575">
        <w:rPr>
          <w:i/>
          <w:iCs/>
          <w:sz w:val="20"/>
          <w:szCs w:val="20"/>
        </w:rPr>
        <w:t>y</w:t>
      </w:r>
      <w:r>
        <w:rPr>
          <w:i/>
          <w:iCs/>
          <w:sz w:val="20"/>
          <w:szCs w:val="20"/>
        </w:rPr>
        <w:t xml:space="preserve"> </w:t>
      </w:r>
      <w:r w:rsidRPr="00440575">
        <w:rPr>
          <w:i/>
          <w:iCs/>
          <w:sz w:val="20"/>
          <w:szCs w:val="20"/>
        </w:rPr>
        <w:t xml:space="preserve"> eventos</w:t>
      </w:r>
      <w:r>
        <w:rPr>
          <w:i/>
          <w:iCs/>
          <w:sz w:val="20"/>
          <w:szCs w:val="20"/>
        </w:rPr>
        <w:t xml:space="preserve"> </w:t>
      </w:r>
      <w:r w:rsidRPr="00440575">
        <w:rPr>
          <w:i/>
          <w:iCs/>
          <w:sz w:val="20"/>
          <w:szCs w:val="20"/>
        </w:rPr>
        <w:t>entregadas</w:t>
      </w:r>
      <w:r>
        <w:rPr>
          <w:i/>
          <w:iCs/>
          <w:sz w:val="20"/>
          <w:szCs w:val="20"/>
        </w:rPr>
        <w:t xml:space="preserve"> </w:t>
      </w:r>
      <w:r w:rsidRPr="00440575">
        <w:rPr>
          <w:i/>
          <w:iCs/>
          <w:sz w:val="20"/>
          <w:szCs w:val="20"/>
        </w:rPr>
        <w:t xml:space="preserve"> por</w:t>
      </w:r>
      <w:r>
        <w:rPr>
          <w:i/>
          <w:iCs/>
          <w:sz w:val="20"/>
          <w:szCs w:val="20"/>
        </w:rPr>
        <w:t xml:space="preserve"> </w:t>
      </w:r>
      <w:r w:rsidRPr="00440575">
        <w:rPr>
          <w:i/>
          <w:iCs/>
          <w:sz w:val="20"/>
          <w:szCs w:val="20"/>
        </w:rPr>
        <w:t xml:space="preserve"> los</w:t>
      </w:r>
      <w:r>
        <w:rPr>
          <w:i/>
          <w:iCs/>
          <w:sz w:val="20"/>
          <w:szCs w:val="20"/>
        </w:rPr>
        <w:t xml:space="preserve"> </w:t>
      </w:r>
      <w:r w:rsidRPr="00440575">
        <w:rPr>
          <w:i/>
          <w:iCs/>
          <w:sz w:val="20"/>
          <w:szCs w:val="20"/>
        </w:rPr>
        <w:t xml:space="preserve"> sistemas complementarios</w:t>
      </w:r>
      <w:r>
        <w:rPr>
          <w:i/>
          <w:iCs/>
          <w:sz w:val="20"/>
          <w:szCs w:val="20"/>
        </w:rPr>
        <w:t xml:space="preserve"> </w:t>
      </w:r>
      <w:r w:rsidRPr="00440575">
        <w:rPr>
          <w:i/>
          <w:iCs/>
          <w:sz w:val="20"/>
          <w:szCs w:val="20"/>
        </w:rPr>
        <w:t>en el segmento de Grandes Consumidores de la compañía</w:t>
      </w:r>
      <w:r>
        <w:rPr>
          <w:i/>
          <w:iCs/>
          <w:sz w:val="20"/>
          <w:szCs w:val="20"/>
        </w:rPr>
        <w:t xml:space="preserve"> </w:t>
      </w:r>
      <w:r w:rsidRPr="00440575">
        <w:rPr>
          <w:i/>
          <w:iCs/>
          <w:sz w:val="20"/>
          <w:szCs w:val="20"/>
        </w:rPr>
        <w:t>y al análisis de la información</w:t>
      </w:r>
      <w:r>
        <w:rPr>
          <w:i/>
          <w:iCs/>
          <w:sz w:val="20"/>
          <w:szCs w:val="20"/>
        </w:rPr>
        <w:t xml:space="preserve"> </w:t>
      </w:r>
      <w:r w:rsidRPr="00440575">
        <w:rPr>
          <w:i/>
          <w:iCs/>
          <w:sz w:val="20"/>
          <w:szCs w:val="20"/>
        </w:rPr>
        <w:t>comercial</w:t>
      </w:r>
      <w:r>
        <w:rPr>
          <w:i/>
          <w:iCs/>
          <w:sz w:val="20"/>
          <w:szCs w:val="20"/>
        </w:rPr>
        <w:t xml:space="preserve"> </w:t>
      </w:r>
      <w:r w:rsidRPr="00440575">
        <w:rPr>
          <w:i/>
          <w:iCs/>
          <w:sz w:val="20"/>
          <w:szCs w:val="20"/>
        </w:rPr>
        <w:t>de</w:t>
      </w:r>
      <w:r>
        <w:rPr>
          <w:i/>
          <w:iCs/>
          <w:sz w:val="20"/>
          <w:szCs w:val="20"/>
        </w:rPr>
        <w:t xml:space="preserve"> </w:t>
      </w:r>
      <w:r w:rsidRPr="00440575">
        <w:rPr>
          <w:i/>
          <w:iCs/>
          <w:sz w:val="20"/>
          <w:szCs w:val="20"/>
        </w:rPr>
        <w:t>estos</w:t>
      </w:r>
      <w:r>
        <w:rPr>
          <w:i/>
          <w:iCs/>
          <w:sz w:val="20"/>
          <w:szCs w:val="20"/>
        </w:rPr>
        <w:t xml:space="preserve"> </w:t>
      </w:r>
      <w:r w:rsidRPr="00440575">
        <w:rPr>
          <w:i/>
          <w:iCs/>
          <w:sz w:val="20"/>
          <w:szCs w:val="20"/>
        </w:rPr>
        <w:t>clientes, con</w:t>
      </w:r>
      <w:r>
        <w:rPr>
          <w:i/>
          <w:iCs/>
          <w:sz w:val="20"/>
          <w:szCs w:val="20"/>
        </w:rPr>
        <w:t xml:space="preserve"> </w:t>
      </w:r>
      <w:r w:rsidRPr="00440575">
        <w:rPr>
          <w:i/>
          <w:iCs/>
          <w:sz w:val="20"/>
          <w:szCs w:val="20"/>
        </w:rPr>
        <w:t>el</w:t>
      </w:r>
      <w:r>
        <w:rPr>
          <w:i/>
          <w:iCs/>
          <w:sz w:val="20"/>
          <w:szCs w:val="20"/>
        </w:rPr>
        <w:t xml:space="preserve"> </w:t>
      </w:r>
      <w:r w:rsidRPr="00440575">
        <w:rPr>
          <w:i/>
          <w:iCs/>
          <w:sz w:val="20"/>
          <w:szCs w:val="20"/>
        </w:rPr>
        <w:t>propósito</w:t>
      </w:r>
      <w:r>
        <w:rPr>
          <w:i/>
          <w:iCs/>
          <w:sz w:val="20"/>
          <w:szCs w:val="20"/>
        </w:rPr>
        <w:t xml:space="preserve"> </w:t>
      </w:r>
      <w:r w:rsidRPr="00440575">
        <w:rPr>
          <w:i/>
          <w:iCs/>
          <w:sz w:val="20"/>
          <w:szCs w:val="20"/>
        </w:rPr>
        <w:t>de</w:t>
      </w:r>
      <w:r>
        <w:rPr>
          <w:i/>
          <w:iCs/>
          <w:sz w:val="20"/>
          <w:szCs w:val="20"/>
        </w:rPr>
        <w:t xml:space="preserve"> </w:t>
      </w:r>
      <w:r w:rsidRPr="00440575">
        <w:rPr>
          <w:i/>
          <w:iCs/>
          <w:sz w:val="20"/>
          <w:szCs w:val="20"/>
        </w:rPr>
        <w:t>lograr</w:t>
      </w:r>
      <w:r>
        <w:rPr>
          <w:i/>
          <w:iCs/>
          <w:sz w:val="20"/>
          <w:szCs w:val="20"/>
        </w:rPr>
        <w:t xml:space="preserve"> </w:t>
      </w:r>
      <w:r w:rsidRPr="00440575">
        <w:rPr>
          <w:i/>
          <w:iCs/>
          <w:sz w:val="20"/>
          <w:szCs w:val="20"/>
        </w:rPr>
        <w:t>un</w:t>
      </w:r>
      <w:r>
        <w:rPr>
          <w:i/>
          <w:iCs/>
          <w:sz w:val="20"/>
          <w:szCs w:val="20"/>
        </w:rPr>
        <w:t xml:space="preserve"> </w:t>
      </w:r>
      <w:r w:rsidRPr="00440575">
        <w:rPr>
          <w:i/>
          <w:iCs/>
          <w:sz w:val="20"/>
          <w:szCs w:val="20"/>
        </w:rPr>
        <w:t>impacto</w:t>
      </w:r>
      <w:r>
        <w:rPr>
          <w:i/>
          <w:iCs/>
          <w:sz w:val="20"/>
          <w:szCs w:val="20"/>
        </w:rPr>
        <w:t xml:space="preserve"> </w:t>
      </w:r>
      <w:r w:rsidRPr="00440575">
        <w:rPr>
          <w:i/>
          <w:iCs/>
          <w:sz w:val="20"/>
          <w:szCs w:val="20"/>
        </w:rPr>
        <w:t>positivo</w:t>
      </w:r>
      <w:r>
        <w:rPr>
          <w:i/>
          <w:iCs/>
          <w:sz w:val="20"/>
          <w:szCs w:val="20"/>
        </w:rPr>
        <w:t xml:space="preserve"> </w:t>
      </w:r>
      <w:r w:rsidRPr="00440575">
        <w:rPr>
          <w:i/>
          <w:iCs/>
          <w:sz w:val="20"/>
          <w:szCs w:val="20"/>
        </w:rPr>
        <w:t>en</w:t>
      </w:r>
      <w:r>
        <w:rPr>
          <w:i/>
          <w:iCs/>
          <w:sz w:val="20"/>
          <w:szCs w:val="20"/>
        </w:rPr>
        <w:t xml:space="preserve"> </w:t>
      </w:r>
      <w:r w:rsidRPr="00440575">
        <w:rPr>
          <w:i/>
          <w:iCs/>
          <w:sz w:val="20"/>
          <w:szCs w:val="20"/>
        </w:rPr>
        <w:t>la disminución</w:t>
      </w:r>
      <w:r>
        <w:rPr>
          <w:i/>
          <w:iCs/>
          <w:sz w:val="20"/>
          <w:szCs w:val="20"/>
        </w:rPr>
        <w:t xml:space="preserve"> </w:t>
      </w:r>
      <w:r w:rsidRPr="00440575">
        <w:rPr>
          <w:i/>
          <w:iCs/>
          <w:sz w:val="20"/>
          <w:szCs w:val="20"/>
        </w:rPr>
        <w:t>de</w:t>
      </w:r>
      <w:r>
        <w:rPr>
          <w:i/>
          <w:iCs/>
          <w:sz w:val="20"/>
          <w:szCs w:val="20"/>
        </w:rPr>
        <w:t xml:space="preserve"> </w:t>
      </w:r>
      <w:r w:rsidRPr="00440575">
        <w:rPr>
          <w:i/>
          <w:iCs/>
          <w:sz w:val="20"/>
          <w:szCs w:val="20"/>
        </w:rPr>
        <w:t>las</w:t>
      </w:r>
      <w:r>
        <w:rPr>
          <w:i/>
          <w:iCs/>
          <w:sz w:val="20"/>
          <w:szCs w:val="20"/>
        </w:rPr>
        <w:t xml:space="preserve"> </w:t>
      </w:r>
      <w:r w:rsidRPr="00440575">
        <w:rPr>
          <w:i/>
          <w:iCs/>
          <w:sz w:val="20"/>
          <w:szCs w:val="20"/>
        </w:rPr>
        <w:t>pérdidas</w:t>
      </w:r>
      <w:r>
        <w:rPr>
          <w:i/>
          <w:iCs/>
          <w:sz w:val="20"/>
          <w:szCs w:val="20"/>
        </w:rPr>
        <w:t xml:space="preserve"> </w:t>
      </w:r>
      <w:r w:rsidRPr="00440575">
        <w:rPr>
          <w:i/>
          <w:iCs/>
          <w:sz w:val="20"/>
          <w:szCs w:val="20"/>
        </w:rPr>
        <w:t>en</w:t>
      </w:r>
      <w:r>
        <w:rPr>
          <w:i/>
          <w:iCs/>
          <w:sz w:val="20"/>
          <w:szCs w:val="20"/>
        </w:rPr>
        <w:t xml:space="preserve"> </w:t>
      </w:r>
      <w:r w:rsidRPr="00440575">
        <w:rPr>
          <w:i/>
          <w:iCs/>
          <w:sz w:val="20"/>
          <w:szCs w:val="20"/>
        </w:rPr>
        <w:t>esta</w:t>
      </w:r>
      <w:r>
        <w:rPr>
          <w:i/>
          <w:iCs/>
          <w:sz w:val="20"/>
          <w:szCs w:val="20"/>
        </w:rPr>
        <w:t xml:space="preserve"> </w:t>
      </w:r>
      <w:r w:rsidRPr="00440575">
        <w:rPr>
          <w:i/>
          <w:iCs/>
          <w:sz w:val="20"/>
          <w:szCs w:val="20"/>
        </w:rPr>
        <w:t>porción</w:t>
      </w:r>
      <w:r>
        <w:rPr>
          <w:i/>
          <w:iCs/>
          <w:sz w:val="20"/>
          <w:szCs w:val="20"/>
        </w:rPr>
        <w:t xml:space="preserve"> </w:t>
      </w:r>
      <w:r w:rsidRPr="00440575">
        <w:rPr>
          <w:i/>
          <w:iCs/>
          <w:sz w:val="20"/>
          <w:szCs w:val="20"/>
        </w:rPr>
        <w:t>de mercado,</w:t>
      </w:r>
      <w:r>
        <w:rPr>
          <w:i/>
          <w:iCs/>
          <w:sz w:val="20"/>
          <w:szCs w:val="20"/>
        </w:rPr>
        <w:t xml:space="preserve"> </w:t>
      </w:r>
      <w:r w:rsidRPr="00440575">
        <w:rPr>
          <w:i/>
          <w:iCs/>
          <w:sz w:val="20"/>
          <w:szCs w:val="20"/>
        </w:rPr>
        <w:t>así</w:t>
      </w:r>
      <w:r>
        <w:rPr>
          <w:i/>
          <w:iCs/>
          <w:sz w:val="20"/>
          <w:szCs w:val="20"/>
        </w:rPr>
        <w:t xml:space="preserve"> </w:t>
      </w:r>
      <w:r w:rsidRPr="00440575">
        <w:rPr>
          <w:i/>
          <w:iCs/>
          <w:sz w:val="20"/>
          <w:szCs w:val="20"/>
        </w:rPr>
        <w:t>como</w:t>
      </w:r>
      <w:r>
        <w:rPr>
          <w:i/>
          <w:iCs/>
          <w:sz w:val="20"/>
          <w:szCs w:val="20"/>
        </w:rPr>
        <w:t xml:space="preserve"> </w:t>
      </w:r>
      <w:r w:rsidRPr="00440575">
        <w:rPr>
          <w:i/>
          <w:iCs/>
          <w:sz w:val="20"/>
          <w:szCs w:val="20"/>
        </w:rPr>
        <w:t>la</w:t>
      </w:r>
      <w:r>
        <w:rPr>
          <w:i/>
          <w:iCs/>
          <w:sz w:val="20"/>
          <w:szCs w:val="20"/>
        </w:rPr>
        <w:t xml:space="preserve"> </w:t>
      </w:r>
      <w:r w:rsidRPr="00440575">
        <w:rPr>
          <w:i/>
          <w:iCs/>
          <w:sz w:val="20"/>
          <w:szCs w:val="20"/>
        </w:rPr>
        <w:t>atención</w:t>
      </w:r>
      <w:r>
        <w:rPr>
          <w:i/>
          <w:iCs/>
          <w:sz w:val="20"/>
          <w:szCs w:val="20"/>
        </w:rPr>
        <w:t xml:space="preserve"> </w:t>
      </w:r>
      <w:r w:rsidRPr="00440575">
        <w:rPr>
          <w:i/>
          <w:iCs/>
          <w:sz w:val="20"/>
          <w:szCs w:val="20"/>
        </w:rPr>
        <w:t>de</w:t>
      </w:r>
      <w:r>
        <w:rPr>
          <w:i/>
          <w:iCs/>
          <w:sz w:val="20"/>
          <w:szCs w:val="20"/>
        </w:rPr>
        <w:t xml:space="preserve"> </w:t>
      </w:r>
      <w:r w:rsidRPr="00440575">
        <w:rPr>
          <w:i/>
          <w:iCs/>
          <w:sz w:val="20"/>
          <w:szCs w:val="20"/>
        </w:rPr>
        <w:t>los requerimientos</w:t>
      </w:r>
      <w:r>
        <w:rPr>
          <w:i/>
          <w:iCs/>
          <w:sz w:val="20"/>
          <w:szCs w:val="20"/>
        </w:rPr>
        <w:t xml:space="preserve"> </w:t>
      </w:r>
      <w:r w:rsidRPr="00440575">
        <w:rPr>
          <w:i/>
          <w:iCs/>
          <w:sz w:val="20"/>
          <w:szCs w:val="20"/>
        </w:rPr>
        <w:t xml:space="preserve"> asociados</w:t>
      </w:r>
      <w:r>
        <w:rPr>
          <w:i/>
          <w:iCs/>
          <w:sz w:val="20"/>
          <w:szCs w:val="20"/>
        </w:rPr>
        <w:t xml:space="preserve"> </w:t>
      </w:r>
      <w:r w:rsidRPr="00440575">
        <w:rPr>
          <w:i/>
          <w:iCs/>
          <w:sz w:val="20"/>
          <w:szCs w:val="20"/>
        </w:rPr>
        <w:t xml:space="preserve"> a</w:t>
      </w:r>
      <w:r>
        <w:rPr>
          <w:i/>
          <w:iCs/>
          <w:sz w:val="20"/>
          <w:szCs w:val="20"/>
        </w:rPr>
        <w:t xml:space="preserve"> </w:t>
      </w:r>
      <w:r w:rsidRPr="00440575">
        <w:rPr>
          <w:i/>
          <w:iCs/>
          <w:sz w:val="20"/>
          <w:szCs w:val="20"/>
        </w:rPr>
        <w:t xml:space="preserve"> la</w:t>
      </w:r>
      <w:r>
        <w:rPr>
          <w:i/>
          <w:iCs/>
          <w:sz w:val="20"/>
          <w:szCs w:val="20"/>
        </w:rPr>
        <w:t xml:space="preserve"> </w:t>
      </w:r>
      <w:r w:rsidRPr="00440575">
        <w:rPr>
          <w:i/>
          <w:iCs/>
          <w:sz w:val="20"/>
          <w:szCs w:val="20"/>
        </w:rPr>
        <w:t xml:space="preserve"> operación</w:t>
      </w:r>
      <w:r>
        <w:rPr>
          <w:i/>
          <w:iCs/>
          <w:sz w:val="20"/>
          <w:szCs w:val="20"/>
        </w:rPr>
        <w:t xml:space="preserve"> </w:t>
      </w:r>
      <w:r w:rsidRPr="00440575">
        <w:rPr>
          <w:i/>
          <w:iCs/>
          <w:sz w:val="20"/>
          <w:szCs w:val="20"/>
        </w:rPr>
        <w:t xml:space="preserve"> comercial</w:t>
      </w:r>
      <w:r>
        <w:rPr>
          <w:i/>
          <w:iCs/>
          <w:sz w:val="20"/>
          <w:szCs w:val="20"/>
        </w:rPr>
        <w:t xml:space="preserve"> </w:t>
      </w:r>
      <w:r w:rsidRPr="00440575">
        <w:rPr>
          <w:i/>
          <w:iCs/>
          <w:sz w:val="20"/>
          <w:szCs w:val="20"/>
        </w:rPr>
        <w:t xml:space="preserve"> y</w:t>
      </w:r>
      <w:r>
        <w:rPr>
          <w:i/>
          <w:iCs/>
          <w:sz w:val="20"/>
          <w:szCs w:val="20"/>
        </w:rPr>
        <w:t xml:space="preserve"> </w:t>
      </w:r>
      <w:r w:rsidRPr="00440575">
        <w:rPr>
          <w:i/>
          <w:iCs/>
          <w:sz w:val="20"/>
          <w:szCs w:val="20"/>
        </w:rPr>
        <w:t xml:space="preserve"> el</w:t>
      </w:r>
      <w:r>
        <w:rPr>
          <w:i/>
          <w:iCs/>
          <w:sz w:val="20"/>
          <w:szCs w:val="20"/>
        </w:rPr>
        <w:t xml:space="preserve"> </w:t>
      </w:r>
      <w:r w:rsidRPr="00440575">
        <w:rPr>
          <w:i/>
          <w:iCs/>
          <w:sz w:val="20"/>
          <w:szCs w:val="20"/>
        </w:rPr>
        <w:t xml:space="preserve"> cumplimiento</w:t>
      </w:r>
      <w:r>
        <w:rPr>
          <w:i/>
          <w:iCs/>
          <w:sz w:val="20"/>
          <w:szCs w:val="20"/>
        </w:rPr>
        <w:t xml:space="preserve"> </w:t>
      </w:r>
      <w:r w:rsidRPr="00440575">
        <w:rPr>
          <w:i/>
          <w:iCs/>
          <w:sz w:val="20"/>
          <w:szCs w:val="20"/>
        </w:rPr>
        <w:t xml:space="preserve"> de</w:t>
      </w:r>
      <w:r>
        <w:rPr>
          <w:i/>
          <w:iCs/>
          <w:sz w:val="20"/>
          <w:szCs w:val="20"/>
        </w:rPr>
        <w:t xml:space="preserve"> </w:t>
      </w:r>
      <w:r w:rsidRPr="00440575">
        <w:rPr>
          <w:i/>
          <w:iCs/>
          <w:sz w:val="20"/>
          <w:szCs w:val="20"/>
        </w:rPr>
        <w:t xml:space="preserve"> requisitos regulatorios propios de la gestión de los clientes grandes consumidores.</w:t>
      </w:r>
      <w:r>
        <w:rPr>
          <w:i/>
          <w:iCs/>
          <w:sz w:val="20"/>
          <w:szCs w:val="20"/>
        </w:rPr>
        <w:t xml:space="preserve"> (…)</w:t>
      </w:r>
    </w:p>
    <w:p w14:paraId="69B121D4" w14:textId="74111469" w:rsidR="00C11AE9" w:rsidRDefault="00DB457B" w:rsidP="00D1712E">
      <w:pPr>
        <w:keepNext/>
      </w:pPr>
      <w:r>
        <w:t xml:space="preserve">Con base en las aclaraciones realizadas por el OR se ajusta el valor de la variable </w:t>
      </w:r>
      <w:r w:rsidRPr="00DB457B">
        <w:rPr>
          <w:i/>
          <w:iCs/>
        </w:rPr>
        <w:t>INVNUC</w:t>
      </w:r>
      <w:r>
        <w:t xml:space="preserve"> empleada para determinar el valor de la variable </w:t>
      </w:r>
      <w:r w:rsidRPr="00DB457B">
        <w:rPr>
          <w:i/>
          <w:iCs/>
        </w:rPr>
        <w:t>CPOR</w:t>
      </w:r>
      <w:r>
        <w:t>, excluyendo las actividades en las cuales se entiende que corresponden a gastos</w:t>
      </w:r>
      <w:r w:rsidR="008E2080">
        <w:t>,</w:t>
      </w:r>
      <w:r>
        <w:t xml:space="preserve"> y no a inversiones del plan. </w:t>
      </w:r>
      <w:r w:rsidR="00FC7CAB">
        <w:t xml:space="preserve">El valor de las inversiones </w:t>
      </w:r>
      <w:r w:rsidR="006A3E2A">
        <w:t xml:space="preserve">de la </w:t>
      </w:r>
      <w:r w:rsidR="00FC7CAB">
        <w:t xml:space="preserve">variable </w:t>
      </w:r>
      <w:r w:rsidR="00FC7CAB" w:rsidRPr="00FC7CAB">
        <w:rPr>
          <w:i/>
          <w:iCs/>
        </w:rPr>
        <w:t>INVNUC</w:t>
      </w:r>
      <w:r w:rsidR="00FC7CAB">
        <w:t xml:space="preserve"> </w:t>
      </w:r>
      <w:r w:rsidR="006A3E2A">
        <w:t xml:space="preserve">corresponde a </w:t>
      </w:r>
      <w:r w:rsidR="00FC7CAB" w:rsidRPr="00FC7CAB">
        <w:t>901.651</w:t>
      </w:r>
      <w:r w:rsidR="00FC7CAB">
        <w:t xml:space="preserve"> millones de pesos.</w:t>
      </w:r>
    </w:p>
    <w:p w14:paraId="269AFEBF" w14:textId="165DF721" w:rsidR="00C17D3E" w:rsidRDefault="00242D27" w:rsidP="00242D27">
      <w:pPr>
        <w:keepNext/>
      </w:pPr>
      <w:r>
        <w:t xml:space="preserve">Sobre al punto B se señala que el valor para la variable </w:t>
      </w:r>
      <w:r w:rsidRPr="00AC104B">
        <w:rPr>
          <w:i/>
          <w:iCs/>
        </w:rPr>
        <w:t>CAP</w:t>
      </w:r>
      <w:r>
        <w:t xml:space="preserve"> incluido en el artículo 18 de la Resolución CREG 025 de 2021 corresponde al valor anual</w:t>
      </w:r>
      <w:r w:rsidR="008E2080">
        <w:t>,</w:t>
      </w:r>
      <w:r>
        <w:t xml:space="preserve"> y el valor de la variable </w:t>
      </w:r>
      <w:r w:rsidRPr="006F625C">
        <w:rPr>
          <w:i/>
          <w:iCs/>
        </w:rPr>
        <w:t>INVNUC</w:t>
      </w:r>
      <w:r>
        <w:t>, definida en el artículo 19</w:t>
      </w:r>
      <w:r w:rsidR="008E2080">
        <w:t>,</w:t>
      </w:r>
      <w:r>
        <w:t xml:space="preserve"> corresponde al valor total</w:t>
      </w:r>
      <w:r w:rsidR="008E2080">
        <w:t>. E</w:t>
      </w:r>
      <w:r>
        <w:t>n este caso se aclara que el título de la tabla 23 es incorrecto</w:t>
      </w:r>
      <w:r w:rsidR="008E2080">
        <w:t>,</w:t>
      </w:r>
      <w:r>
        <w:t xml:space="preserve"> al no ser un valor anual.  </w:t>
      </w:r>
    </w:p>
    <w:p w14:paraId="21359471" w14:textId="2DDE6809" w:rsidR="00242D27" w:rsidRDefault="00242D27" w:rsidP="00242D27">
      <w:pPr>
        <w:keepNext/>
      </w:pPr>
      <w:r>
        <w:t xml:space="preserve">Sobre el punto C se aclara que en la variable </w:t>
      </w:r>
      <w:r w:rsidRPr="00242D27">
        <w:rPr>
          <w:i/>
          <w:iCs/>
        </w:rPr>
        <w:t>INVNUC</w:t>
      </w:r>
      <w:r>
        <w:t xml:space="preserve"> solamente se incluyen activos que no son de uso</w:t>
      </w:r>
      <w:r w:rsidR="008E2080">
        <w:t>,</w:t>
      </w:r>
      <w:r>
        <w:t xml:space="preserve"> y no se incluyen gastos como gestión social</w:t>
      </w:r>
      <w:r w:rsidR="00402750">
        <w:t>, entre otros</w:t>
      </w:r>
      <w:r>
        <w:t>.</w:t>
      </w:r>
    </w:p>
    <w:p w14:paraId="716DF393" w14:textId="2F98A8F1" w:rsidR="00331421" w:rsidRDefault="009A3649" w:rsidP="002A7D62">
      <w:pPr>
        <w:rPr>
          <w:spacing w:val="-3"/>
        </w:rPr>
      </w:pPr>
      <w:r>
        <w:rPr>
          <w:spacing w:val="-3"/>
        </w:rPr>
        <w:t>Con base en los análisis presentados anteriormente, se realizaron los ajustes correspondientes. La</w:t>
      </w:r>
      <w:r w:rsidR="00331421">
        <w:rPr>
          <w:spacing w:val="-3"/>
        </w:rPr>
        <w:t xml:space="preserve"> información detallada de las modificaciones realizadas </w:t>
      </w:r>
      <w:r>
        <w:rPr>
          <w:spacing w:val="-3"/>
        </w:rPr>
        <w:t xml:space="preserve">se </w:t>
      </w:r>
      <w:r w:rsidR="00331421">
        <w:rPr>
          <w:spacing w:val="-3"/>
        </w:rPr>
        <w:t>entrega</w:t>
      </w:r>
      <w:r>
        <w:rPr>
          <w:spacing w:val="-3"/>
        </w:rPr>
        <w:t xml:space="preserve"> como soporte de esta resolución</w:t>
      </w:r>
      <w:r w:rsidR="00331421">
        <w:rPr>
          <w:spacing w:val="-3"/>
        </w:rPr>
        <w:t xml:space="preserve">. </w:t>
      </w:r>
    </w:p>
    <w:p w14:paraId="47644FEE" w14:textId="34EF61C1" w:rsidR="002A7D62" w:rsidRPr="00BF69C9" w:rsidRDefault="00771B7C" w:rsidP="002A7D62">
      <w:pPr>
        <w:rPr>
          <w:spacing w:val="-3"/>
        </w:rPr>
      </w:pPr>
      <w:r>
        <w:rPr>
          <w:spacing w:val="-3"/>
        </w:rPr>
        <w:t>L</w:t>
      </w:r>
      <w:r w:rsidR="002A7D62" w:rsidRPr="00BF69C9">
        <w:rPr>
          <w:spacing w:val="-3"/>
        </w:rPr>
        <w:t>a Comisión de Regulación de Energía y Gas, en su</w:t>
      </w:r>
      <w:r w:rsidR="006259EB">
        <w:rPr>
          <w:spacing w:val="-3"/>
        </w:rPr>
        <w:t xml:space="preserve"> </w:t>
      </w:r>
      <w:r w:rsidR="002A7D62" w:rsidRPr="00BF69C9">
        <w:rPr>
          <w:spacing w:val="-3"/>
        </w:rPr>
        <w:t xml:space="preserve">sesión </w:t>
      </w:r>
      <w:r w:rsidR="006D1CB3">
        <w:rPr>
          <w:spacing w:val="-3"/>
        </w:rPr>
        <w:t>1100</w:t>
      </w:r>
      <w:r w:rsidR="00366AC7">
        <w:rPr>
          <w:spacing w:val="-3"/>
        </w:rPr>
        <w:t xml:space="preserve"> del </w:t>
      </w:r>
      <w:r w:rsidR="00A371A8">
        <w:rPr>
          <w:spacing w:val="-3"/>
        </w:rPr>
        <w:t>24</w:t>
      </w:r>
      <w:r w:rsidR="006259EB">
        <w:rPr>
          <w:spacing w:val="-3"/>
        </w:rPr>
        <w:t xml:space="preserve"> </w:t>
      </w:r>
      <w:r w:rsidR="002A7D62" w:rsidRPr="00BF69C9">
        <w:rPr>
          <w:spacing w:val="-3"/>
        </w:rPr>
        <w:t xml:space="preserve">de </w:t>
      </w:r>
      <w:r w:rsidR="004730C9">
        <w:rPr>
          <w:spacing w:val="-3"/>
        </w:rPr>
        <w:t xml:space="preserve">junio </w:t>
      </w:r>
      <w:r w:rsidR="002A7D62" w:rsidRPr="00BF69C9">
        <w:rPr>
          <w:spacing w:val="-3"/>
        </w:rPr>
        <w:t>de 20</w:t>
      </w:r>
      <w:r w:rsidR="0092537D">
        <w:rPr>
          <w:spacing w:val="-3"/>
        </w:rPr>
        <w:t>2</w:t>
      </w:r>
      <w:r w:rsidR="000C4F5C">
        <w:rPr>
          <w:spacing w:val="-3"/>
        </w:rPr>
        <w:t>1</w:t>
      </w:r>
      <w:r w:rsidR="002A7D62" w:rsidRPr="00BF69C9">
        <w:rPr>
          <w:spacing w:val="-3"/>
        </w:rPr>
        <w:t xml:space="preserve">, acordó expedir esta resolución. </w:t>
      </w:r>
    </w:p>
    <w:p w14:paraId="6E5B4B14" w14:textId="77777777" w:rsidR="00595129" w:rsidRPr="0019345E" w:rsidRDefault="00595129" w:rsidP="00E92758">
      <w:pPr>
        <w:keepNext/>
        <w:spacing w:before="360" w:after="360"/>
        <w:ind w:right="51"/>
        <w:jc w:val="center"/>
        <w:rPr>
          <w:b/>
        </w:rPr>
      </w:pPr>
      <w:r w:rsidRPr="0019345E">
        <w:rPr>
          <w:b/>
        </w:rPr>
        <w:t>RESUELVE:</w:t>
      </w:r>
    </w:p>
    <w:p w14:paraId="3835CF01" w14:textId="7E0A3041" w:rsidR="004730C9" w:rsidRPr="00A71EA8" w:rsidRDefault="004730C9" w:rsidP="004730C9">
      <w:pPr>
        <w:pStyle w:val="Artculo"/>
        <w:spacing w:before="200" w:after="200"/>
        <w:ind w:left="0"/>
        <w:outlineLvl w:val="2"/>
        <w:rPr>
          <w:b w:val="0"/>
        </w:rPr>
      </w:pPr>
      <w:r>
        <w:t xml:space="preserve">Modificar el artículo 2 de la Resolución </w:t>
      </w:r>
      <w:r w:rsidR="00C86E92">
        <w:t>CREG 025 de 2021</w:t>
      </w:r>
      <w:r>
        <w:t xml:space="preserve">. </w:t>
      </w:r>
      <w:r w:rsidRPr="00A71EA8">
        <w:rPr>
          <w:b w:val="0"/>
        </w:rPr>
        <w:t xml:space="preserve">El artículo 2 de la Resolución </w:t>
      </w:r>
      <w:r w:rsidR="00C86E92">
        <w:rPr>
          <w:b w:val="0"/>
        </w:rPr>
        <w:t>CREG 025 de 2021</w:t>
      </w:r>
      <w:r w:rsidRPr="00A71EA8">
        <w:rPr>
          <w:b w:val="0"/>
        </w:rPr>
        <w:t xml:space="preserve"> quedará así:</w:t>
      </w:r>
    </w:p>
    <w:p w14:paraId="03533D52" w14:textId="4C951A6A" w:rsidR="004730C9" w:rsidRPr="00304BEA" w:rsidRDefault="004730C9" w:rsidP="008E2080">
      <w:pPr>
        <w:ind w:left="426"/>
        <w:rPr>
          <w:b/>
          <w:i/>
        </w:rPr>
      </w:pPr>
      <w:r w:rsidRPr="0056668A">
        <w:rPr>
          <w:b/>
          <w:i/>
          <w:sz w:val="22"/>
        </w:rPr>
        <w:t>Artículo 2. Base regulatoria de activos eléctricos al inicio del p</w:t>
      </w:r>
      <w:r w:rsidR="0061198C">
        <w:rPr>
          <w:b/>
          <w:i/>
          <w:sz w:val="22"/>
        </w:rPr>
        <w:t>eríodo</w:t>
      </w:r>
      <w:r w:rsidRPr="0056668A">
        <w:rPr>
          <w:b/>
          <w:i/>
          <w:sz w:val="22"/>
        </w:rPr>
        <w:t xml:space="preserve"> tarifario. </w:t>
      </w:r>
      <w:r w:rsidRPr="0056668A">
        <w:rPr>
          <w:i/>
          <w:sz w:val="22"/>
        </w:rPr>
        <w:t>La base regulatoria de activos eléctricos al inicio del p</w:t>
      </w:r>
      <w:r w:rsidR="0061198C">
        <w:rPr>
          <w:i/>
          <w:sz w:val="22"/>
        </w:rPr>
        <w:t>eríodo</w:t>
      </w:r>
      <w:r w:rsidRPr="0056668A">
        <w:rPr>
          <w:i/>
          <w:sz w:val="22"/>
        </w:rPr>
        <w:t xml:space="preserve"> tarifario, BRAE</w:t>
      </w:r>
      <w:r w:rsidRPr="0056668A">
        <w:rPr>
          <w:i/>
          <w:sz w:val="22"/>
          <w:vertAlign w:val="subscript"/>
        </w:rPr>
        <w:t>j,n,0</w:t>
      </w:r>
      <w:r w:rsidRPr="0056668A">
        <w:rPr>
          <w:i/>
          <w:sz w:val="22"/>
        </w:rPr>
        <w:t>, es el siguiente</w:t>
      </w:r>
      <w:r w:rsidRPr="00A71EA8">
        <w:rPr>
          <w:i/>
        </w:rPr>
        <w:t>:</w:t>
      </w:r>
    </w:p>
    <w:p w14:paraId="2B64321B" w14:textId="52DB67D5" w:rsidR="004730C9" w:rsidRPr="00B0124E" w:rsidRDefault="004730C9" w:rsidP="004730C9">
      <w:pPr>
        <w:pStyle w:val="Descripcin"/>
        <w:ind w:left="426" w:right="425"/>
        <w:rPr>
          <w:i/>
          <w:sz w:val="20"/>
          <w:szCs w:val="18"/>
        </w:rPr>
      </w:pPr>
      <w:r w:rsidRPr="00B0124E">
        <w:rPr>
          <w:i/>
          <w:sz w:val="20"/>
          <w:szCs w:val="18"/>
        </w:rPr>
        <w:t>Tabla 1 Base regulatoria de activos eléctricos al inicio del p</w:t>
      </w:r>
      <w:r w:rsidR="0061198C">
        <w:rPr>
          <w:i/>
          <w:sz w:val="20"/>
          <w:szCs w:val="18"/>
        </w:rPr>
        <w:t>eríodo</w:t>
      </w:r>
      <w:r w:rsidRPr="00B0124E">
        <w:rPr>
          <w:i/>
          <w:sz w:val="20"/>
          <w:szCs w:val="18"/>
        </w:rPr>
        <w:t xml:space="preserve"> tarifario. </w:t>
      </w:r>
    </w:p>
    <w:tbl>
      <w:tblPr>
        <w:tblW w:w="3580" w:type="dxa"/>
        <w:jc w:val="center"/>
        <w:tblCellMar>
          <w:left w:w="70" w:type="dxa"/>
          <w:right w:w="70" w:type="dxa"/>
        </w:tblCellMar>
        <w:tblLook w:val="04A0" w:firstRow="1" w:lastRow="0" w:firstColumn="1" w:lastColumn="0" w:noHBand="0" w:noVBand="1"/>
      </w:tblPr>
      <w:tblGrid>
        <w:gridCol w:w="1600"/>
        <w:gridCol w:w="1980"/>
      </w:tblGrid>
      <w:tr w:rsidR="002A503F" w:rsidRPr="002A503F" w14:paraId="0CA3CC34" w14:textId="77777777" w:rsidTr="002A503F">
        <w:trPr>
          <w:trHeight w:val="480"/>
          <w:tblHeader/>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37E99" w14:textId="77777777" w:rsidR="002A503F" w:rsidRPr="002A503F" w:rsidRDefault="002A503F" w:rsidP="002A503F">
            <w:pPr>
              <w:spacing w:before="0" w:after="0"/>
              <w:jc w:val="center"/>
              <w:rPr>
                <w:rFonts w:cs="Arial"/>
                <w:b/>
                <w:bCs/>
                <w:sz w:val="20"/>
                <w:szCs w:val="20"/>
                <w:lang w:val="es-CO" w:eastAsia="es-CO"/>
              </w:rPr>
            </w:pPr>
            <w:r w:rsidRPr="002A503F">
              <w:rPr>
                <w:rFonts w:cs="Arial"/>
                <w:b/>
                <w:bCs/>
                <w:sz w:val="20"/>
                <w:szCs w:val="20"/>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14:paraId="5B5CA7F2" w14:textId="77777777" w:rsidR="002A503F" w:rsidRPr="002A503F" w:rsidRDefault="002A503F" w:rsidP="002A503F">
            <w:pPr>
              <w:spacing w:before="0" w:after="0"/>
              <w:jc w:val="center"/>
              <w:rPr>
                <w:rFonts w:cs="Arial"/>
                <w:b/>
                <w:bCs/>
                <w:sz w:val="18"/>
                <w:szCs w:val="18"/>
                <w:lang w:val="es-CO" w:eastAsia="es-CO"/>
              </w:rPr>
            </w:pPr>
            <w:r w:rsidRPr="002A503F">
              <w:rPr>
                <w:rFonts w:cs="Arial"/>
                <w:b/>
                <w:bCs/>
                <w:sz w:val="18"/>
                <w:szCs w:val="18"/>
                <w:lang w:val="es-CO" w:eastAsia="es-CO"/>
              </w:rPr>
              <w:t>Pesos de diciembre de 2017</w:t>
            </w:r>
          </w:p>
        </w:tc>
      </w:tr>
      <w:tr w:rsidR="002A503F" w:rsidRPr="002A503F" w14:paraId="250058B4" w14:textId="77777777" w:rsidTr="002A503F">
        <w:trPr>
          <w:trHeight w:val="315"/>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02DD9FD7" w14:textId="77777777" w:rsidR="002A503F" w:rsidRPr="002A503F" w:rsidRDefault="002A503F" w:rsidP="002A503F">
            <w:pPr>
              <w:spacing w:before="0" w:after="0"/>
              <w:jc w:val="center"/>
              <w:rPr>
                <w:rFonts w:cs="Arial"/>
                <w:i/>
                <w:iCs/>
                <w:sz w:val="18"/>
                <w:szCs w:val="18"/>
                <w:lang w:val="es-CO" w:eastAsia="es-CO"/>
              </w:rPr>
            </w:pPr>
            <w:r w:rsidRPr="002A503F">
              <w:rPr>
                <w:rFonts w:cs="Arial"/>
                <w:i/>
                <w:iCs/>
                <w:sz w:val="18"/>
                <w:szCs w:val="18"/>
                <w:lang w:val="es-CO" w:eastAsia="es-CO"/>
              </w:rPr>
              <w:t>BRAE</w:t>
            </w:r>
            <w:r w:rsidRPr="002A503F">
              <w:rPr>
                <w:rFonts w:cs="Arial"/>
                <w:i/>
                <w:iCs/>
                <w:sz w:val="18"/>
                <w:szCs w:val="18"/>
                <w:vertAlign w:val="subscript"/>
                <w:lang w:val="es-CO" w:eastAsia="es-CO"/>
              </w:rPr>
              <w:t>j,4,0</w:t>
            </w:r>
          </w:p>
        </w:tc>
        <w:tc>
          <w:tcPr>
            <w:tcW w:w="1980" w:type="dxa"/>
            <w:tcBorders>
              <w:top w:val="nil"/>
              <w:left w:val="nil"/>
              <w:bottom w:val="single" w:sz="4" w:space="0" w:color="auto"/>
              <w:right w:val="single" w:sz="4" w:space="0" w:color="auto"/>
            </w:tcBorders>
            <w:shd w:val="clear" w:color="auto" w:fill="auto"/>
            <w:noWrap/>
            <w:vAlign w:val="center"/>
            <w:hideMark/>
          </w:tcPr>
          <w:p w14:paraId="0B49B062"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970.617.260.565</w:t>
            </w:r>
          </w:p>
        </w:tc>
      </w:tr>
      <w:tr w:rsidR="002A503F" w:rsidRPr="002A503F" w14:paraId="61968561" w14:textId="77777777" w:rsidTr="002A503F">
        <w:trPr>
          <w:trHeight w:val="315"/>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1957A53C" w14:textId="77777777" w:rsidR="002A503F" w:rsidRPr="002A503F" w:rsidRDefault="002A503F" w:rsidP="002A503F">
            <w:pPr>
              <w:spacing w:before="0" w:after="0"/>
              <w:jc w:val="center"/>
              <w:rPr>
                <w:rFonts w:cs="Arial"/>
                <w:i/>
                <w:iCs/>
                <w:sz w:val="18"/>
                <w:szCs w:val="18"/>
                <w:lang w:val="es-CO" w:eastAsia="es-CO"/>
              </w:rPr>
            </w:pPr>
            <w:r w:rsidRPr="002A503F">
              <w:rPr>
                <w:rFonts w:cs="Arial"/>
                <w:i/>
                <w:iCs/>
                <w:sz w:val="18"/>
                <w:szCs w:val="18"/>
                <w:lang w:val="es-CO" w:eastAsia="es-CO"/>
              </w:rPr>
              <w:t>BRAE</w:t>
            </w:r>
            <w:r w:rsidRPr="002A503F">
              <w:rPr>
                <w:rFonts w:cs="Arial"/>
                <w:i/>
                <w:iCs/>
                <w:sz w:val="18"/>
                <w:szCs w:val="18"/>
                <w:vertAlign w:val="subscript"/>
                <w:lang w:val="es-CO" w:eastAsia="es-CO"/>
              </w:rPr>
              <w:t>j,3,0</w:t>
            </w:r>
          </w:p>
        </w:tc>
        <w:tc>
          <w:tcPr>
            <w:tcW w:w="1980" w:type="dxa"/>
            <w:tcBorders>
              <w:top w:val="nil"/>
              <w:left w:val="nil"/>
              <w:bottom w:val="single" w:sz="4" w:space="0" w:color="auto"/>
              <w:right w:val="single" w:sz="4" w:space="0" w:color="auto"/>
            </w:tcBorders>
            <w:shd w:val="clear" w:color="auto" w:fill="auto"/>
            <w:noWrap/>
            <w:vAlign w:val="center"/>
            <w:hideMark/>
          </w:tcPr>
          <w:p w14:paraId="526AADB3"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465.181.070.011</w:t>
            </w:r>
          </w:p>
        </w:tc>
      </w:tr>
      <w:tr w:rsidR="002A503F" w:rsidRPr="002A503F" w14:paraId="7660748F" w14:textId="77777777" w:rsidTr="002A503F">
        <w:trPr>
          <w:trHeight w:val="315"/>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6687B832" w14:textId="77777777" w:rsidR="002A503F" w:rsidRPr="002A503F" w:rsidRDefault="002A503F" w:rsidP="002A503F">
            <w:pPr>
              <w:spacing w:before="0" w:after="0"/>
              <w:jc w:val="center"/>
              <w:rPr>
                <w:rFonts w:cs="Arial"/>
                <w:i/>
                <w:iCs/>
                <w:sz w:val="18"/>
                <w:szCs w:val="18"/>
                <w:lang w:val="es-CO" w:eastAsia="es-CO"/>
              </w:rPr>
            </w:pPr>
            <w:r w:rsidRPr="002A503F">
              <w:rPr>
                <w:rFonts w:cs="Arial"/>
                <w:i/>
                <w:iCs/>
                <w:sz w:val="18"/>
                <w:szCs w:val="18"/>
                <w:lang w:val="es-CO" w:eastAsia="es-CO"/>
              </w:rPr>
              <w:t>BRAE</w:t>
            </w:r>
            <w:r w:rsidRPr="002A503F">
              <w:rPr>
                <w:rFonts w:cs="Arial"/>
                <w:i/>
                <w:iCs/>
                <w:sz w:val="18"/>
                <w:szCs w:val="18"/>
                <w:vertAlign w:val="subscript"/>
                <w:lang w:val="es-CO" w:eastAsia="es-CO"/>
              </w:rPr>
              <w:t>j,2,0</w:t>
            </w:r>
          </w:p>
        </w:tc>
        <w:tc>
          <w:tcPr>
            <w:tcW w:w="1980" w:type="dxa"/>
            <w:tcBorders>
              <w:top w:val="nil"/>
              <w:left w:val="nil"/>
              <w:bottom w:val="single" w:sz="4" w:space="0" w:color="auto"/>
              <w:right w:val="single" w:sz="4" w:space="0" w:color="auto"/>
            </w:tcBorders>
            <w:shd w:val="clear" w:color="auto" w:fill="auto"/>
            <w:noWrap/>
            <w:vAlign w:val="center"/>
            <w:hideMark/>
          </w:tcPr>
          <w:p w14:paraId="7FB24DD2"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1.323.477.903.690</w:t>
            </w:r>
          </w:p>
        </w:tc>
      </w:tr>
      <w:tr w:rsidR="002A503F" w:rsidRPr="002A503F" w14:paraId="78CF9B51" w14:textId="77777777" w:rsidTr="002A503F">
        <w:trPr>
          <w:trHeight w:val="315"/>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6D649B24" w14:textId="77777777" w:rsidR="002A503F" w:rsidRPr="002A503F" w:rsidRDefault="002A503F" w:rsidP="002A503F">
            <w:pPr>
              <w:spacing w:before="0" w:after="0"/>
              <w:jc w:val="center"/>
              <w:rPr>
                <w:rFonts w:cs="Arial"/>
                <w:i/>
                <w:iCs/>
                <w:sz w:val="18"/>
                <w:szCs w:val="18"/>
                <w:lang w:val="es-CO" w:eastAsia="es-CO"/>
              </w:rPr>
            </w:pPr>
            <w:r w:rsidRPr="002A503F">
              <w:rPr>
                <w:rFonts w:cs="Arial"/>
                <w:i/>
                <w:iCs/>
                <w:sz w:val="18"/>
                <w:szCs w:val="18"/>
                <w:lang w:val="es-CO" w:eastAsia="es-CO"/>
              </w:rPr>
              <w:t>BRAE</w:t>
            </w:r>
            <w:r w:rsidRPr="002A503F">
              <w:rPr>
                <w:rFonts w:cs="Arial"/>
                <w:i/>
                <w:iCs/>
                <w:sz w:val="18"/>
                <w:szCs w:val="18"/>
                <w:vertAlign w:val="subscript"/>
                <w:lang w:val="es-CO" w:eastAsia="es-CO"/>
              </w:rPr>
              <w:t>j,1,0</w:t>
            </w:r>
          </w:p>
        </w:tc>
        <w:tc>
          <w:tcPr>
            <w:tcW w:w="1980" w:type="dxa"/>
            <w:tcBorders>
              <w:top w:val="nil"/>
              <w:left w:val="nil"/>
              <w:bottom w:val="single" w:sz="4" w:space="0" w:color="auto"/>
              <w:right w:val="single" w:sz="4" w:space="0" w:color="auto"/>
            </w:tcBorders>
            <w:shd w:val="clear" w:color="auto" w:fill="auto"/>
            <w:noWrap/>
            <w:vAlign w:val="center"/>
            <w:hideMark/>
          </w:tcPr>
          <w:p w14:paraId="47A0A465"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685.672.863.567</w:t>
            </w:r>
          </w:p>
        </w:tc>
      </w:tr>
    </w:tbl>
    <w:p w14:paraId="67D92366" w14:textId="4DA92A18" w:rsidR="004730C9" w:rsidRPr="000C23A9" w:rsidRDefault="004730C9" w:rsidP="004730C9">
      <w:pPr>
        <w:pStyle w:val="Artculo"/>
        <w:ind w:left="0"/>
        <w:outlineLvl w:val="2"/>
        <w:rPr>
          <w:b w:val="0"/>
        </w:rPr>
      </w:pPr>
      <w:r>
        <w:t xml:space="preserve">Modificar el artículo 3 de la Resolución </w:t>
      </w:r>
      <w:r w:rsidR="00C86E92">
        <w:t>CREG 025 de 2021</w:t>
      </w:r>
      <w:r>
        <w:t xml:space="preserve">. </w:t>
      </w:r>
      <w:r w:rsidRPr="00A71EA8">
        <w:rPr>
          <w:b w:val="0"/>
        </w:rPr>
        <w:t xml:space="preserve">El artículo </w:t>
      </w:r>
      <w:r>
        <w:rPr>
          <w:b w:val="0"/>
        </w:rPr>
        <w:t>3</w:t>
      </w:r>
      <w:r w:rsidRPr="00A71EA8">
        <w:rPr>
          <w:b w:val="0"/>
        </w:rPr>
        <w:t xml:space="preserve"> de la Resolución </w:t>
      </w:r>
      <w:r w:rsidR="00C86E92">
        <w:rPr>
          <w:b w:val="0"/>
        </w:rPr>
        <w:t>CREG 025 de 2021</w:t>
      </w:r>
      <w:r w:rsidRPr="00A71EA8">
        <w:rPr>
          <w:b w:val="0"/>
        </w:rPr>
        <w:t xml:space="preserve"> quedará así:</w:t>
      </w:r>
    </w:p>
    <w:p w14:paraId="102FEEA7" w14:textId="77777777" w:rsidR="004730C9" w:rsidRDefault="004730C9" w:rsidP="00723E6C">
      <w:pPr>
        <w:pStyle w:val="Artculo"/>
        <w:numPr>
          <w:ilvl w:val="0"/>
          <w:numId w:val="0"/>
        </w:numPr>
        <w:spacing w:before="120" w:after="120"/>
        <w:ind w:left="425"/>
        <w:outlineLvl w:val="2"/>
        <w:rPr>
          <w:b w:val="0"/>
          <w:i/>
          <w:iCs/>
          <w:sz w:val="22"/>
          <w:szCs w:val="22"/>
        </w:rPr>
      </w:pPr>
      <w:r w:rsidRPr="006E62C4">
        <w:rPr>
          <w:i/>
          <w:iCs/>
          <w:sz w:val="22"/>
          <w:szCs w:val="22"/>
        </w:rPr>
        <w:t>Articulo 3 Inversión aprobada en el plan de inversiones</w:t>
      </w:r>
      <w:r w:rsidRPr="006E62C4">
        <w:rPr>
          <w:b w:val="0"/>
          <w:i/>
          <w:iCs/>
          <w:sz w:val="22"/>
          <w:szCs w:val="22"/>
        </w:rPr>
        <w:t>. El valor de las inversiones aprobadas en el plan de inversiones, INVA</w:t>
      </w:r>
      <w:r w:rsidRPr="006E62C4">
        <w:rPr>
          <w:b w:val="0"/>
          <w:i/>
          <w:iCs/>
          <w:sz w:val="22"/>
          <w:szCs w:val="22"/>
          <w:vertAlign w:val="subscript"/>
        </w:rPr>
        <w:t>j,n,l,t</w:t>
      </w:r>
      <w:r w:rsidRPr="006E62C4">
        <w:rPr>
          <w:b w:val="0"/>
          <w:i/>
          <w:iCs/>
          <w:sz w:val="22"/>
          <w:szCs w:val="22"/>
        </w:rPr>
        <w:t>, para cada nivel de tensión, es el siguiente:</w:t>
      </w:r>
    </w:p>
    <w:p w14:paraId="19E3340B" w14:textId="36302B32" w:rsidR="004730C9" w:rsidRPr="00B0124E" w:rsidRDefault="004730C9" w:rsidP="004730C9">
      <w:pPr>
        <w:pStyle w:val="Descripcin"/>
        <w:rPr>
          <w:i/>
          <w:iCs/>
          <w:sz w:val="20"/>
          <w:szCs w:val="18"/>
        </w:rPr>
      </w:pPr>
      <w:r w:rsidRPr="00B0124E">
        <w:rPr>
          <w:i/>
          <w:iCs/>
          <w:sz w:val="20"/>
          <w:szCs w:val="18"/>
        </w:rPr>
        <w:t>Tabla 2 Plan de inversiones del nivel de tensión 4, pesos de diciembre de 2017</w:t>
      </w:r>
    </w:p>
    <w:tbl>
      <w:tblPr>
        <w:tblW w:w="0" w:type="auto"/>
        <w:tblInd w:w="421" w:type="dxa"/>
        <w:tblCellMar>
          <w:left w:w="70" w:type="dxa"/>
          <w:right w:w="70" w:type="dxa"/>
        </w:tblCellMar>
        <w:tblLook w:val="04A0" w:firstRow="1" w:lastRow="0" w:firstColumn="1" w:lastColumn="0" w:noHBand="0" w:noVBand="1"/>
      </w:tblPr>
      <w:tblGrid>
        <w:gridCol w:w="1332"/>
        <w:gridCol w:w="1541"/>
        <w:gridCol w:w="1541"/>
        <w:gridCol w:w="1541"/>
        <w:gridCol w:w="1541"/>
        <w:gridCol w:w="1429"/>
      </w:tblGrid>
      <w:tr w:rsidR="002A503F" w:rsidRPr="002A503F" w14:paraId="77426574" w14:textId="77777777" w:rsidTr="002A503F">
        <w:trPr>
          <w:trHeight w:val="428"/>
          <w:tblHeader/>
        </w:trPr>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FDEB07" w14:textId="77777777" w:rsidR="002A503F" w:rsidRPr="002A503F" w:rsidRDefault="002A503F" w:rsidP="002A503F">
            <w:pPr>
              <w:spacing w:before="0" w:after="0"/>
              <w:jc w:val="center"/>
              <w:rPr>
                <w:rFonts w:cs="Arial"/>
                <w:b/>
                <w:bCs/>
                <w:color w:val="000000"/>
                <w:sz w:val="18"/>
                <w:szCs w:val="18"/>
                <w:lang w:val="es-CO" w:eastAsia="es-CO"/>
              </w:rPr>
            </w:pPr>
            <w:r w:rsidRPr="002A503F">
              <w:rPr>
                <w:rFonts w:cs="Arial"/>
                <w:b/>
                <w:bCs/>
                <w:color w:val="000000"/>
                <w:sz w:val="18"/>
                <w:szCs w:val="18"/>
                <w:lang w:val="es-CO" w:eastAsia="es-CO"/>
              </w:rPr>
              <w:t xml:space="preserve">Categoría de activos </w:t>
            </w:r>
            <w:r w:rsidRPr="002A503F">
              <w:rPr>
                <w:rFonts w:cs="Arial"/>
                <w:b/>
                <w:bCs/>
                <w:i/>
                <w:iCs/>
                <w:color w:val="000000"/>
                <w:sz w:val="18"/>
                <w:szCs w:val="18"/>
                <w:lang w:val="es-CO" w:eastAsia="es-CO"/>
              </w:rPr>
              <w:t>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32E3D25" w14:textId="77777777" w:rsidR="002A503F" w:rsidRPr="002A503F" w:rsidRDefault="002A503F" w:rsidP="002A503F">
            <w:pPr>
              <w:spacing w:before="0" w:after="0"/>
              <w:jc w:val="center"/>
              <w:rPr>
                <w:rFonts w:cs="Arial"/>
                <w:b/>
                <w:bCs/>
                <w:i/>
                <w:iCs/>
                <w:sz w:val="18"/>
                <w:szCs w:val="18"/>
                <w:lang w:val="es-CO" w:eastAsia="es-CO"/>
              </w:rPr>
            </w:pPr>
            <w:r w:rsidRPr="002A503F">
              <w:rPr>
                <w:rFonts w:cs="Arial"/>
                <w:b/>
                <w:bCs/>
                <w:i/>
                <w:iCs/>
                <w:sz w:val="18"/>
                <w:szCs w:val="18"/>
                <w:lang w:val="es-CO" w:eastAsia="es-CO"/>
              </w:rPr>
              <w:t>INVA</w:t>
            </w:r>
            <w:r w:rsidRPr="002A503F">
              <w:rPr>
                <w:rFonts w:cs="Arial"/>
                <w:b/>
                <w:bCs/>
                <w:i/>
                <w:iCs/>
                <w:sz w:val="18"/>
                <w:szCs w:val="18"/>
                <w:vertAlign w:val="subscript"/>
                <w:lang w:val="es-CO" w:eastAsia="es-CO"/>
              </w:rPr>
              <w:t>j,4,l,1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FEC6080" w14:textId="77777777" w:rsidR="002A503F" w:rsidRPr="002A503F" w:rsidRDefault="002A503F" w:rsidP="002A503F">
            <w:pPr>
              <w:spacing w:before="0" w:after="0"/>
              <w:jc w:val="center"/>
              <w:rPr>
                <w:rFonts w:cs="Arial"/>
                <w:b/>
                <w:bCs/>
                <w:i/>
                <w:iCs/>
                <w:sz w:val="18"/>
                <w:szCs w:val="18"/>
                <w:lang w:val="es-CO" w:eastAsia="es-CO"/>
              </w:rPr>
            </w:pPr>
            <w:r w:rsidRPr="002A503F">
              <w:rPr>
                <w:rFonts w:cs="Arial"/>
                <w:b/>
                <w:bCs/>
                <w:i/>
                <w:iCs/>
                <w:sz w:val="18"/>
                <w:szCs w:val="18"/>
                <w:lang w:val="es-CO" w:eastAsia="es-CO"/>
              </w:rPr>
              <w:t>INVA</w:t>
            </w:r>
            <w:r w:rsidRPr="002A503F">
              <w:rPr>
                <w:rFonts w:cs="Arial"/>
                <w:b/>
                <w:bCs/>
                <w:i/>
                <w:iCs/>
                <w:sz w:val="18"/>
                <w:szCs w:val="18"/>
                <w:vertAlign w:val="subscript"/>
                <w:lang w:val="es-CO" w:eastAsia="es-CO"/>
              </w:rPr>
              <w:t>j,4,l,2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A3EE0D9" w14:textId="77777777" w:rsidR="002A503F" w:rsidRPr="002A503F" w:rsidRDefault="002A503F" w:rsidP="002A503F">
            <w:pPr>
              <w:spacing w:before="0" w:after="0"/>
              <w:jc w:val="center"/>
              <w:rPr>
                <w:rFonts w:cs="Arial"/>
                <w:b/>
                <w:bCs/>
                <w:i/>
                <w:iCs/>
                <w:sz w:val="18"/>
                <w:szCs w:val="18"/>
                <w:lang w:val="es-CO" w:eastAsia="es-CO"/>
              </w:rPr>
            </w:pPr>
            <w:r w:rsidRPr="002A503F">
              <w:rPr>
                <w:rFonts w:cs="Arial"/>
                <w:b/>
                <w:bCs/>
                <w:i/>
                <w:iCs/>
                <w:sz w:val="18"/>
                <w:szCs w:val="18"/>
                <w:lang w:val="es-CO" w:eastAsia="es-CO"/>
              </w:rPr>
              <w:t>INVA</w:t>
            </w:r>
            <w:r w:rsidRPr="002A503F">
              <w:rPr>
                <w:rFonts w:cs="Arial"/>
                <w:b/>
                <w:bCs/>
                <w:i/>
                <w:iCs/>
                <w:sz w:val="18"/>
                <w:szCs w:val="18"/>
                <w:vertAlign w:val="subscript"/>
                <w:lang w:val="es-CO" w:eastAsia="es-CO"/>
              </w:rPr>
              <w:t>j,4,l,3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944C736" w14:textId="77777777" w:rsidR="002A503F" w:rsidRPr="002A503F" w:rsidRDefault="002A503F" w:rsidP="002A503F">
            <w:pPr>
              <w:spacing w:before="0" w:after="0"/>
              <w:jc w:val="center"/>
              <w:rPr>
                <w:rFonts w:cs="Arial"/>
                <w:b/>
                <w:bCs/>
                <w:i/>
                <w:iCs/>
                <w:sz w:val="18"/>
                <w:szCs w:val="18"/>
                <w:lang w:val="es-CO" w:eastAsia="es-CO"/>
              </w:rPr>
            </w:pPr>
            <w:r w:rsidRPr="002A503F">
              <w:rPr>
                <w:rFonts w:cs="Arial"/>
                <w:b/>
                <w:bCs/>
                <w:i/>
                <w:iCs/>
                <w:sz w:val="18"/>
                <w:szCs w:val="18"/>
                <w:lang w:val="es-CO" w:eastAsia="es-CO"/>
              </w:rPr>
              <w:t>INVA</w:t>
            </w:r>
            <w:r w:rsidRPr="002A503F">
              <w:rPr>
                <w:rFonts w:cs="Arial"/>
                <w:b/>
                <w:bCs/>
                <w:i/>
                <w:iCs/>
                <w:sz w:val="18"/>
                <w:szCs w:val="18"/>
                <w:vertAlign w:val="subscript"/>
                <w:lang w:val="es-CO" w:eastAsia="es-CO"/>
              </w:rPr>
              <w:t>j,4,l,4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E9B4F6B" w14:textId="77777777" w:rsidR="002A503F" w:rsidRPr="002A503F" w:rsidRDefault="002A503F" w:rsidP="002A503F">
            <w:pPr>
              <w:spacing w:before="0" w:after="0"/>
              <w:jc w:val="center"/>
              <w:rPr>
                <w:rFonts w:cs="Arial"/>
                <w:b/>
                <w:bCs/>
                <w:i/>
                <w:iCs/>
                <w:sz w:val="18"/>
                <w:szCs w:val="18"/>
                <w:lang w:val="es-CO" w:eastAsia="es-CO"/>
              </w:rPr>
            </w:pPr>
            <w:r w:rsidRPr="002A503F">
              <w:rPr>
                <w:rFonts w:cs="Arial"/>
                <w:b/>
                <w:bCs/>
                <w:i/>
                <w:iCs/>
                <w:sz w:val="18"/>
                <w:szCs w:val="18"/>
                <w:lang w:val="es-CO" w:eastAsia="es-CO"/>
              </w:rPr>
              <w:t>INVA</w:t>
            </w:r>
            <w:r w:rsidRPr="002A503F">
              <w:rPr>
                <w:rFonts w:cs="Arial"/>
                <w:b/>
                <w:bCs/>
                <w:i/>
                <w:iCs/>
                <w:sz w:val="18"/>
                <w:szCs w:val="18"/>
                <w:vertAlign w:val="subscript"/>
                <w:lang w:val="es-CO" w:eastAsia="es-CO"/>
              </w:rPr>
              <w:t>j,4,l,5</w:t>
            </w:r>
          </w:p>
        </w:tc>
      </w:tr>
      <w:tr w:rsidR="002A503F" w:rsidRPr="002A503F" w14:paraId="738FC313" w14:textId="77777777" w:rsidTr="002A503F">
        <w:trPr>
          <w:trHeight w:val="255"/>
        </w:trPr>
        <w:tc>
          <w:tcPr>
            <w:tcW w:w="1332" w:type="dxa"/>
            <w:tcBorders>
              <w:top w:val="nil"/>
              <w:left w:val="single" w:sz="4" w:space="0" w:color="auto"/>
              <w:bottom w:val="single" w:sz="4" w:space="0" w:color="auto"/>
              <w:right w:val="nil"/>
            </w:tcBorders>
            <w:shd w:val="clear" w:color="000000" w:fill="FFFFFF"/>
            <w:noWrap/>
            <w:vAlign w:val="center"/>
            <w:hideMark/>
          </w:tcPr>
          <w:p w14:paraId="493B0C13"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4B1555"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3.847.338.809</w:t>
            </w:r>
          </w:p>
        </w:tc>
        <w:tc>
          <w:tcPr>
            <w:tcW w:w="0" w:type="auto"/>
            <w:tcBorders>
              <w:top w:val="nil"/>
              <w:left w:val="nil"/>
              <w:bottom w:val="single" w:sz="4" w:space="0" w:color="auto"/>
              <w:right w:val="single" w:sz="4" w:space="0" w:color="auto"/>
            </w:tcBorders>
            <w:shd w:val="clear" w:color="auto" w:fill="auto"/>
            <w:noWrap/>
            <w:vAlign w:val="center"/>
            <w:hideMark/>
          </w:tcPr>
          <w:p w14:paraId="507E5550"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5.933.894.000</w:t>
            </w:r>
          </w:p>
        </w:tc>
        <w:tc>
          <w:tcPr>
            <w:tcW w:w="0" w:type="auto"/>
            <w:tcBorders>
              <w:top w:val="nil"/>
              <w:left w:val="nil"/>
              <w:bottom w:val="single" w:sz="4" w:space="0" w:color="auto"/>
              <w:right w:val="single" w:sz="4" w:space="0" w:color="auto"/>
            </w:tcBorders>
            <w:shd w:val="clear" w:color="auto" w:fill="auto"/>
            <w:noWrap/>
            <w:vAlign w:val="center"/>
            <w:hideMark/>
          </w:tcPr>
          <w:p w14:paraId="199BCC96"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183.780.149</w:t>
            </w:r>
          </w:p>
        </w:tc>
        <w:tc>
          <w:tcPr>
            <w:tcW w:w="0" w:type="auto"/>
            <w:tcBorders>
              <w:top w:val="nil"/>
              <w:left w:val="nil"/>
              <w:bottom w:val="single" w:sz="4" w:space="0" w:color="auto"/>
              <w:right w:val="single" w:sz="4" w:space="0" w:color="auto"/>
            </w:tcBorders>
            <w:shd w:val="clear" w:color="auto" w:fill="auto"/>
            <w:noWrap/>
            <w:vAlign w:val="center"/>
            <w:hideMark/>
          </w:tcPr>
          <w:p w14:paraId="090446E6"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15.195.298.000</w:t>
            </w:r>
          </w:p>
        </w:tc>
        <w:tc>
          <w:tcPr>
            <w:tcW w:w="0" w:type="auto"/>
            <w:tcBorders>
              <w:top w:val="nil"/>
              <w:left w:val="nil"/>
              <w:bottom w:val="single" w:sz="4" w:space="0" w:color="auto"/>
              <w:right w:val="single" w:sz="4" w:space="0" w:color="auto"/>
            </w:tcBorders>
            <w:shd w:val="clear" w:color="auto" w:fill="auto"/>
            <w:noWrap/>
            <w:vAlign w:val="center"/>
            <w:hideMark/>
          </w:tcPr>
          <w:p w14:paraId="0420A612"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0</w:t>
            </w:r>
          </w:p>
        </w:tc>
      </w:tr>
      <w:tr w:rsidR="002A503F" w:rsidRPr="002A503F" w14:paraId="150F85DA" w14:textId="77777777" w:rsidTr="002A503F">
        <w:trPr>
          <w:trHeight w:val="255"/>
        </w:trPr>
        <w:tc>
          <w:tcPr>
            <w:tcW w:w="1332" w:type="dxa"/>
            <w:tcBorders>
              <w:top w:val="nil"/>
              <w:left w:val="single" w:sz="4" w:space="0" w:color="auto"/>
              <w:bottom w:val="single" w:sz="4" w:space="0" w:color="auto"/>
              <w:right w:val="nil"/>
            </w:tcBorders>
            <w:shd w:val="clear" w:color="000000" w:fill="FFFFFF"/>
            <w:noWrap/>
            <w:vAlign w:val="center"/>
            <w:hideMark/>
          </w:tcPr>
          <w:p w14:paraId="6D3B9521"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D4FC1D"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02D8B862"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4F2644E4"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0A2DCF00"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1A6AFA42"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0</w:t>
            </w:r>
          </w:p>
        </w:tc>
      </w:tr>
      <w:tr w:rsidR="002A503F" w:rsidRPr="002A503F" w14:paraId="473FF20E" w14:textId="77777777" w:rsidTr="002A503F">
        <w:trPr>
          <w:trHeight w:val="255"/>
        </w:trPr>
        <w:tc>
          <w:tcPr>
            <w:tcW w:w="1332" w:type="dxa"/>
            <w:tcBorders>
              <w:top w:val="nil"/>
              <w:left w:val="single" w:sz="4" w:space="0" w:color="auto"/>
              <w:bottom w:val="single" w:sz="4" w:space="0" w:color="auto"/>
              <w:right w:val="nil"/>
            </w:tcBorders>
            <w:shd w:val="clear" w:color="000000" w:fill="FFFFFF"/>
            <w:noWrap/>
            <w:vAlign w:val="center"/>
            <w:hideMark/>
          </w:tcPr>
          <w:p w14:paraId="0F8EC7CD"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93C183"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2.898.419.053</w:t>
            </w:r>
          </w:p>
        </w:tc>
        <w:tc>
          <w:tcPr>
            <w:tcW w:w="0" w:type="auto"/>
            <w:tcBorders>
              <w:top w:val="nil"/>
              <w:left w:val="nil"/>
              <w:bottom w:val="single" w:sz="4" w:space="0" w:color="auto"/>
              <w:right w:val="single" w:sz="4" w:space="0" w:color="auto"/>
            </w:tcBorders>
            <w:shd w:val="clear" w:color="auto" w:fill="auto"/>
            <w:noWrap/>
            <w:vAlign w:val="center"/>
            <w:hideMark/>
          </w:tcPr>
          <w:p w14:paraId="0673A7B8"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5.399.574.925</w:t>
            </w:r>
          </w:p>
        </w:tc>
        <w:tc>
          <w:tcPr>
            <w:tcW w:w="0" w:type="auto"/>
            <w:tcBorders>
              <w:top w:val="nil"/>
              <w:left w:val="nil"/>
              <w:bottom w:val="single" w:sz="4" w:space="0" w:color="auto"/>
              <w:right w:val="single" w:sz="4" w:space="0" w:color="auto"/>
            </w:tcBorders>
            <w:shd w:val="clear" w:color="auto" w:fill="auto"/>
            <w:noWrap/>
            <w:vAlign w:val="center"/>
            <w:hideMark/>
          </w:tcPr>
          <w:p w14:paraId="1DF5EB54"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3.700.241.968</w:t>
            </w:r>
          </w:p>
        </w:tc>
        <w:tc>
          <w:tcPr>
            <w:tcW w:w="0" w:type="auto"/>
            <w:tcBorders>
              <w:top w:val="nil"/>
              <w:left w:val="nil"/>
              <w:bottom w:val="single" w:sz="4" w:space="0" w:color="auto"/>
              <w:right w:val="single" w:sz="4" w:space="0" w:color="auto"/>
            </w:tcBorders>
            <w:shd w:val="clear" w:color="auto" w:fill="auto"/>
            <w:noWrap/>
            <w:vAlign w:val="center"/>
            <w:hideMark/>
          </w:tcPr>
          <w:p w14:paraId="7E51B2CE"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19.363.554.928</w:t>
            </w:r>
          </w:p>
        </w:tc>
        <w:tc>
          <w:tcPr>
            <w:tcW w:w="0" w:type="auto"/>
            <w:tcBorders>
              <w:top w:val="nil"/>
              <w:left w:val="nil"/>
              <w:bottom w:val="single" w:sz="4" w:space="0" w:color="auto"/>
              <w:right w:val="single" w:sz="4" w:space="0" w:color="auto"/>
            </w:tcBorders>
            <w:shd w:val="clear" w:color="auto" w:fill="auto"/>
            <w:noWrap/>
            <w:vAlign w:val="center"/>
            <w:hideMark/>
          </w:tcPr>
          <w:p w14:paraId="1F457902"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1.249.663.235</w:t>
            </w:r>
          </w:p>
        </w:tc>
      </w:tr>
      <w:tr w:rsidR="002A503F" w:rsidRPr="002A503F" w14:paraId="12E8CF46" w14:textId="77777777" w:rsidTr="002A503F">
        <w:trPr>
          <w:trHeight w:val="255"/>
        </w:trPr>
        <w:tc>
          <w:tcPr>
            <w:tcW w:w="1332" w:type="dxa"/>
            <w:tcBorders>
              <w:top w:val="nil"/>
              <w:left w:val="single" w:sz="4" w:space="0" w:color="auto"/>
              <w:bottom w:val="single" w:sz="4" w:space="0" w:color="auto"/>
              <w:right w:val="nil"/>
            </w:tcBorders>
            <w:shd w:val="clear" w:color="000000" w:fill="FFFFFF"/>
            <w:noWrap/>
            <w:vAlign w:val="center"/>
            <w:hideMark/>
          </w:tcPr>
          <w:p w14:paraId="7B35E2FE"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52174B"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2.618.653.117</w:t>
            </w:r>
          </w:p>
        </w:tc>
        <w:tc>
          <w:tcPr>
            <w:tcW w:w="0" w:type="auto"/>
            <w:tcBorders>
              <w:top w:val="nil"/>
              <w:left w:val="nil"/>
              <w:bottom w:val="single" w:sz="4" w:space="0" w:color="auto"/>
              <w:right w:val="single" w:sz="4" w:space="0" w:color="auto"/>
            </w:tcBorders>
            <w:shd w:val="clear" w:color="auto" w:fill="auto"/>
            <w:noWrap/>
            <w:vAlign w:val="center"/>
            <w:hideMark/>
          </w:tcPr>
          <w:p w14:paraId="31547D2D"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4.286.924.257</w:t>
            </w:r>
          </w:p>
        </w:tc>
        <w:tc>
          <w:tcPr>
            <w:tcW w:w="0" w:type="auto"/>
            <w:tcBorders>
              <w:top w:val="nil"/>
              <w:left w:val="nil"/>
              <w:bottom w:val="single" w:sz="4" w:space="0" w:color="auto"/>
              <w:right w:val="single" w:sz="4" w:space="0" w:color="auto"/>
            </w:tcBorders>
            <w:shd w:val="clear" w:color="auto" w:fill="auto"/>
            <w:noWrap/>
            <w:vAlign w:val="center"/>
            <w:hideMark/>
          </w:tcPr>
          <w:p w14:paraId="1152F487"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2.931.477.675</w:t>
            </w:r>
          </w:p>
        </w:tc>
        <w:tc>
          <w:tcPr>
            <w:tcW w:w="0" w:type="auto"/>
            <w:tcBorders>
              <w:top w:val="nil"/>
              <w:left w:val="nil"/>
              <w:bottom w:val="single" w:sz="4" w:space="0" w:color="auto"/>
              <w:right w:val="single" w:sz="4" w:space="0" w:color="auto"/>
            </w:tcBorders>
            <w:shd w:val="clear" w:color="auto" w:fill="auto"/>
            <w:noWrap/>
            <w:vAlign w:val="center"/>
            <w:hideMark/>
          </w:tcPr>
          <w:p w14:paraId="367B95F7"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1.649.730.000</w:t>
            </w:r>
          </w:p>
        </w:tc>
        <w:tc>
          <w:tcPr>
            <w:tcW w:w="0" w:type="auto"/>
            <w:tcBorders>
              <w:top w:val="nil"/>
              <w:left w:val="nil"/>
              <w:bottom w:val="single" w:sz="4" w:space="0" w:color="auto"/>
              <w:right w:val="single" w:sz="4" w:space="0" w:color="auto"/>
            </w:tcBorders>
            <w:shd w:val="clear" w:color="auto" w:fill="auto"/>
            <w:noWrap/>
            <w:vAlign w:val="center"/>
            <w:hideMark/>
          </w:tcPr>
          <w:p w14:paraId="3E35040A"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2.667.897.000</w:t>
            </w:r>
          </w:p>
        </w:tc>
      </w:tr>
      <w:tr w:rsidR="002A503F" w:rsidRPr="002A503F" w14:paraId="53AFFF61" w14:textId="77777777" w:rsidTr="002A503F">
        <w:trPr>
          <w:trHeight w:val="255"/>
        </w:trPr>
        <w:tc>
          <w:tcPr>
            <w:tcW w:w="1332" w:type="dxa"/>
            <w:tcBorders>
              <w:top w:val="nil"/>
              <w:left w:val="single" w:sz="4" w:space="0" w:color="auto"/>
              <w:bottom w:val="single" w:sz="4" w:space="0" w:color="auto"/>
              <w:right w:val="nil"/>
            </w:tcBorders>
            <w:shd w:val="clear" w:color="000000" w:fill="FFFFFF"/>
            <w:noWrap/>
            <w:vAlign w:val="center"/>
            <w:hideMark/>
          </w:tcPr>
          <w:p w14:paraId="08646987"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312342"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1.660.218.000</w:t>
            </w:r>
          </w:p>
        </w:tc>
        <w:tc>
          <w:tcPr>
            <w:tcW w:w="0" w:type="auto"/>
            <w:tcBorders>
              <w:top w:val="nil"/>
              <w:left w:val="nil"/>
              <w:bottom w:val="single" w:sz="4" w:space="0" w:color="auto"/>
              <w:right w:val="single" w:sz="4" w:space="0" w:color="auto"/>
            </w:tcBorders>
            <w:shd w:val="clear" w:color="auto" w:fill="auto"/>
            <w:noWrap/>
            <w:vAlign w:val="center"/>
            <w:hideMark/>
          </w:tcPr>
          <w:p w14:paraId="6B224BD4"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1.321.398.000</w:t>
            </w:r>
          </w:p>
        </w:tc>
        <w:tc>
          <w:tcPr>
            <w:tcW w:w="0" w:type="auto"/>
            <w:tcBorders>
              <w:top w:val="nil"/>
              <w:left w:val="nil"/>
              <w:bottom w:val="single" w:sz="4" w:space="0" w:color="auto"/>
              <w:right w:val="single" w:sz="4" w:space="0" w:color="auto"/>
            </w:tcBorders>
            <w:shd w:val="clear" w:color="auto" w:fill="auto"/>
            <w:noWrap/>
            <w:vAlign w:val="center"/>
            <w:hideMark/>
          </w:tcPr>
          <w:p w14:paraId="1DC3EE57"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1.219.752.000</w:t>
            </w:r>
          </w:p>
        </w:tc>
        <w:tc>
          <w:tcPr>
            <w:tcW w:w="0" w:type="auto"/>
            <w:tcBorders>
              <w:top w:val="nil"/>
              <w:left w:val="nil"/>
              <w:bottom w:val="single" w:sz="4" w:space="0" w:color="auto"/>
              <w:right w:val="single" w:sz="4" w:space="0" w:color="auto"/>
            </w:tcBorders>
            <w:shd w:val="clear" w:color="auto" w:fill="auto"/>
            <w:noWrap/>
            <w:vAlign w:val="center"/>
            <w:hideMark/>
          </w:tcPr>
          <w:p w14:paraId="009B4FDC"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813.168.000</w:t>
            </w:r>
          </w:p>
        </w:tc>
        <w:tc>
          <w:tcPr>
            <w:tcW w:w="0" w:type="auto"/>
            <w:tcBorders>
              <w:top w:val="nil"/>
              <w:left w:val="nil"/>
              <w:bottom w:val="single" w:sz="4" w:space="0" w:color="auto"/>
              <w:right w:val="single" w:sz="4" w:space="0" w:color="auto"/>
            </w:tcBorders>
            <w:shd w:val="clear" w:color="auto" w:fill="auto"/>
            <w:noWrap/>
            <w:vAlign w:val="center"/>
            <w:hideMark/>
          </w:tcPr>
          <w:p w14:paraId="61534CA3"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237.174.000</w:t>
            </w:r>
          </w:p>
        </w:tc>
      </w:tr>
      <w:tr w:rsidR="002A503F" w:rsidRPr="002A503F" w14:paraId="04881FE8" w14:textId="77777777" w:rsidTr="002A503F">
        <w:trPr>
          <w:trHeight w:val="255"/>
        </w:trPr>
        <w:tc>
          <w:tcPr>
            <w:tcW w:w="1332" w:type="dxa"/>
            <w:tcBorders>
              <w:top w:val="nil"/>
              <w:left w:val="single" w:sz="4" w:space="0" w:color="auto"/>
              <w:bottom w:val="single" w:sz="4" w:space="0" w:color="auto"/>
              <w:right w:val="nil"/>
            </w:tcBorders>
            <w:shd w:val="clear" w:color="000000" w:fill="FFFFFF"/>
            <w:noWrap/>
            <w:vAlign w:val="center"/>
            <w:hideMark/>
          </w:tcPr>
          <w:p w14:paraId="21E4FC57"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B14FBF"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10.485.916.924</w:t>
            </w:r>
          </w:p>
        </w:tc>
        <w:tc>
          <w:tcPr>
            <w:tcW w:w="0" w:type="auto"/>
            <w:tcBorders>
              <w:top w:val="nil"/>
              <w:left w:val="nil"/>
              <w:bottom w:val="single" w:sz="4" w:space="0" w:color="auto"/>
              <w:right w:val="single" w:sz="4" w:space="0" w:color="auto"/>
            </w:tcBorders>
            <w:shd w:val="clear" w:color="auto" w:fill="auto"/>
            <w:noWrap/>
            <w:vAlign w:val="center"/>
            <w:hideMark/>
          </w:tcPr>
          <w:p w14:paraId="754D50CA"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8.815.585.000</w:t>
            </w:r>
          </w:p>
        </w:tc>
        <w:tc>
          <w:tcPr>
            <w:tcW w:w="0" w:type="auto"/>
            <w:tcBorders>
              <w:top w:val="nil"/>
              <w:left w:val="nil"/>
              <w:bottom w:val="single" w:sz="4" w:space="0" w:color="auto"/>
              <w:right w:val="single" w:sz="4" w:space="0" w:color="auto"/>
            </w:tcBorders>
            <w:shd w:val="clear" w:color="auto" w:fill="auto"/>
            <w:noWrap/>
            <w:vAlign w:val="center"/>
            <w:hideMark/>
          </w:tcPr>
          <w:p w14:paraId="32213FA2"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10.638.783.666</w:t>
            </w:r>
          </w:p>
        </w:tc>
        <w:tc>
          <w:tcPr>
            <w:tcW w:w="0" w:type="auto"/>
            <w:tcBorders>
              <w:top w:val="nil"/>
              <w:left w:val="nil"/>
              <w:bottom w:val="single" w:sz="4" w:space="0" w:color="auto"/>
              <w:right w:val="single" w:sz="4" w:space="0" w:color="auto"/>
            </w:tcBorders>
            <w:shd w:val="clear" w:color="auto" w:fill="auto"/>
            <w:noWrap/>
            <w:vAlign w:val="center"/>
            <w:hideMark/>
          </w:tcPr>
          <w:p w14:paraId="4092F335"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3.911.068.000</w:t>
            </w:r>
          </w:p>
        </w:tc>
        <w:tc>
          <w:tcPr>
            <w:tcW w:w="0" w:type="auto"/>
            <w:tcBorders>
              <w:top w:val="nil"/>
              <w:left w:val="nil"/>
              <w:bottom w:val="single" w:sz="4" w:space="0" w:color="auto"/>
              <w:right w:val="single" w:sz="4" w:space="0" w:color="auto"/>
            </w:tcBorders>
            <w:shd w:val="clear" w:color="auto" w:fill="auto"/>
            <w:noWrap/>
            <w:vAlign w:val="center"/>
            <w:hideMark/>
          </w:tcPr>
          <w:p w14:paraId="60890B6C"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7.817.437.997</w:t>
            </w:r>
          </w:p>
        </w:tc>
      </w:tr>
      <w:tr w:rsidR="002A503F" w:rsidRPr="002A503F" w14:paraId="0C3058E2" w14:textId="77777777" w:rsidTr="002A503F">
        <w:trPr>
          <w:trHeight w:val="255"/>
        </w:trPr>
        <w:tc>
          <w:tcPr>
            <w:tcW w:w="1332" w:type="dxa"/>
            <w:tcBorders>
              <w:top w:val="nil"/>
              <w:left w:val="single" w:sz="4" w:space="0" w:color="auto"/>
              <w:bottom w:val="single" w:sz="4" w:space="0" w:color="auto"/>
              <w:right w:val="nil"/>
            </w:tcBorders>
            <w:shd w:val="clear" w:color="000000" w:fill="FFFFFF"/>
            <w:noWrap/>
            <w:vAlign w:val="center"/>
            <w:hideMark/>
          </w:tcPr>
          <w:p w14:paraId="753CA972"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3D7406"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22.547.173.393</w:t>
            </w:r>
          </w:p>
        </w:tc>
        <w:tc>
          <w:tcPr>
            <w:tcW w:w="0" w:type="auto"/>
            <w:tcBorders>
              <w:top w:val="nil"/>
              <w:left w:val="nil"/>
              <w:bottom w:val="single" w:sz="4" w:space="0" w:color="auto"/>
              <w:right w:val="single" w:sz="4" w:space="0" w:color="auto"/>
            </w:tcBorders>
            <w:shd w:val="clear" w:color="auto" w:fill="auto"/>
            <w:noWrap/>
            <w:vAlign w:val="center"/>
            <w:hideMark/>
          </w:tcPr>
          <w:p w14:paraId="5798DC86"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12.535.579.310</w:t>
            </w:r>
          </w:p>
        </w:tc>
        <w:tc>
          <w:tcPr>
            <w:tcW w:w="0" w:type="auto"/>
            <w:tcBorders>
              <w:top w:val="nil"/>
              <w:left w:val="nil"/>
              <w:bottom w:val="single" w:sz="4" w:space="0" w:color="auto"/>
              <w:right w:val="single" w:sz="4" w:space="0" w:color="auto"/>
            </w:tcBorders>
            <w:shd w:val="clear" w:color="auto" w:fill="auto"/>
            <w:noWrap/>
            <w:vAlign w:val="center"/>
            <w:hideMark/>
          </w:tcPr>
          <w:p w14:paraId="1E50F26C"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7.191.764.671</w:t>
            </w:r>
          </w:p>
        </w:tc>
        <w:tc>
          <w:tcPr>
            <w:tcW w:w="0" w:type="auto"/>
            <w:tcBorders>
              <w:top w:val="nil"/>
              <w:left w:val="nil"/>
              <w:bottom w:val="single" w:sz="4" w:space="0" w:color="auto"/>
              <w:right w:val="single" w:sz="4" w:space="0" w:color="auto"/>
            </w:tcBorders>
            <w:shd w:val="clear" w:color="auto" w:fill="auto"/>
            <w:noWrap/>
            <w:vAlign w:val="center"/>
            <w:hideMark/>
          </w:tcPr>
          <w:p w14:paraId="2270E8BC"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10.667.006.543</w:t>
            </w:r>
          </w:p>
        </w:tc>
        <w:tc>
          <w:tcPr>
            <w:tcW w:w="0" w:type="auto"/>
            <w:tcBorders>
              <w:top w:val="nil"/>
              <w:left w:val="nil"/>
              <w:bottom w:val="single" w:sz="4" w:space="0" w:color="auto"/>
              <w:right w:val="single" w:sz="4" w:space="0" w:color="auto"/>
            </w:tcBorders>
            <w:shd w:val="clear" w:color="auto" w:fill="auto"/>
            <w:noWrap/>
            <w:vAlign w:val="center"/>
            <w:hideMark/>
          </w:tcPr>
          <w:p w14:paraId="609D436B"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3.697.626.000</w:t>
            </w:r>
          </w:p>
        </w:tc>
      </w:tr>
      <w:tr w:rsidR="002A503F" w:rsidRPr="002A503F" w14:paraId="362D1359" w14:textId="77777777" w:rsidTr="002A503F">
        <w:trPr>
          <w:trHeight w:val="255"/>
        </w:trPr>
        <w:tc>
          <w:tcPr>
            <w:tcW w:w="1332" w:type="dxa"/>
            <w:tcBorders>
              <w:top w:val="nil"/>
              <w:left w:val="single" w:sz="4" w:space="0" w:color="auto"/>
              <w:bottom w:val="single" w:sz="4" w:space="0" w:color="auto"/>
              <w:right w:val="nil"/>
            </w:tcBorders>
            <w:shd w:val="clear" w:color="000000" w:fill="FFFFFF"/>
            <w:noWrap/>
            <w:vAlign w:val="center"/>
            <w:hideMark/>
          </w:tcPr>
          <w:p w14:paraId="35CE96FE"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834D4A"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5.779.434.500</w:t>
            </w:r>
          </w:p>
        </w:tc>
        <w:tc>
          <w:tcPr>
            <w:tcW w:w="0" w:type="auto"/>
            <w:tcBorders>
              <w:top w:val="nil"/>
              <w:left w:val="nil"/>
              <w:bottom w:val="single" w:sz="4" w:space="0" w:color="auto"/>
              <w:right w:val="single" w:sz="4" w:space="0" w:color="auto"/>
            </w:tcBorders>
            <w:shd w:val="clear" w:color="auto" w:fill="auto"/>
            <w:noWrap/>
            <w:vAlign w:val="center"/>
            <w:hideMark/>
          </w:tcPr>
          <w:p w14:paraId="3538E082"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2.874.763.550</w:t>
            </w:r>
          </w:p>
        </w:tc>
        <w:tc>
          <w:tcPr>
            <w:tcW w:w="0" w:type="auto"/>
            <w:tcBorders>
              <w:top w:val="nil"/>
              <w:left w:val="nil"/>
              <w:bottom w:val="single" w:sz="4" w:space="0" w:color="auto"/>
              <w:right w:val="single" w:sz="4" w:space="0" w:color="auto"/>
            </w:tcBorders>
            <w:shd w:val="clear" w:color="auto" w:fill="auto"/>
            <w:noWrap/>
            <w:vAlign w:val="center"/>
            <w:hideMark/>
          </w:tcPr>
          <w:p w14:paraId="62099FC9"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1.064.537.500</w:t>
            </w:r>
          </w:p>
        </w:tc>
        <w:tc>
          <w:tcPr>
            <w:tcW w:w="0" w:type="auto"/>
            <w:tcBorders>
              <w:top w:val="nil"/>
              <w:left w:val="nil"/>
              <w:bottom w:val="single" w:sz="4" w:space="0" w:color="auto"/>
              <w:right w:val="single" w:sz="4" w:space="0" w:color="auto"/>
            </w:tcBorders>
            <w:shd w:val="clear" w:color="auto" w:fill="auto"/>
            <w:noWrap/>
            <w:vAlign w:val="center"/>
            <w:hideMark/>
          </w:tcPr>
          <w:p w14:paraId="2643C394"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10B2CB47"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0</w:t>
            </w:r>
          </w:p>
        </w:tc>
      </w:tr>
      <w:tr w:rsidR="002A503F" w:rsidRPr="002A503F" w14:paraId="02E0A2CF" w14:textId="77777777" w:rsidTr="002A503F">
        <w:trPr>
          <w:trHeight w:val="255"/>
        </w:trPr>
        <w:tc>
          <w:tcPr>
            <w:tcW w:w="1332" w:type="dxa"/>
            <w:tcBorders>
              <w:top w:val="nil"/>
              <w:left w:val="single" w:sz="4" w:space="0" w:color="auto"/>
              <w:bottom w:val="single" w:sz="4" w:space="0" w:color="auto"/>
              <w:right w:val="nil"/>
            </w:tcBorders>
            <w:shd w:val="clear" w:color="000000" w:fill="FFFFFF"/>
            <w:noWrap/>
            <w:vAlign w:val="center"/>
            <w:hideMark/>
          </w:tcPr>
          <w:p w14:paraId="7A4C0BC7"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6CD850"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34B35B31"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5FBE3061"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1E52E151"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6C9A9F5D"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0</w:t>
            </w:r>
          </w:p>
        </w:tc>
      </w:tr>
      <w:tr w:rsidR="002A503F" w:rsidRPr="002A503F" w14:paraId="020B9FAC" w14:textId="77777777" w:rsidTr="002A503F">
        <w:trPr>
          <w:trHeight w:val="255"/>
        </w:trPr>
        <w:tc>
          <w:tcPr>
            <w:tcW w:w="1332" w:type="dxa"/>
            <w:tcBorders>
              <w:top w:val="nil"/>
              <w:left w:val="single" w:sz="4" w:space="0" w:color="auto"/>
              <w:bottom w:val="single" w:sz="4" w:space="0" w:color="auto"/>
              <w:right w:val="nil"/>
            </w:tcBorders>
            <w:shd w:val="clear" w:color="000000" w:fill="FFFFFF"/>
            <w:noWrap/>
            <w:vAlign w:val="center"/>
            <w:hideMark/>
          </w:tcPr>
          <w:p w14:paraId="7ED28196"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C26601"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1.744.231.000</w:t>
            </w:r>
          </w:p>
        </w:tc>
        <w:tc>
          <w:tcPr>
            <w:tcW w:w="0" w:type="auto"/>
            <w:tcBorders>
              <w:top w:val="nil"/>
              <w:left w:val="nil"/>
              <w:bottom w:val="single" w:sz="4" w:space="0" w:color="auto"/>
              <w:right w:val="single" w:sz="4" w:space="0" w:color="auto"/>
            </w:tcBorders>
            <w:shd w:val="clear" w:color="auto" w:fill="auto"/>
            <w:noWrap/>
            <w:vAlign w:val="center"/>
            <w:hideMark/>
          </w:tcPr>
          <w:p w14:paraId="78D037B6"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1.153.989.979</w:t>
            </w:r>
          </w:p>
        </w:tc>
        <w:tc>
          <w:tcPr>
            <w:tcW w:w="0" w:type="auto"/>
            <w:tcBorders>
              <w:top w:val="nil"/>
              <w:left w:val="nil"/>
              <w:bottom w:val="single" w:sz="4" w:space="0" w:color="auto"/>
              <w:right w:val="single" w:sz="4" w:space="0" w:color="auto"/>
            </w:tcBorders>
            <w:shd w:val="clear" w:color="auto" w:fill="auto"/>
            <w:noWrap/>
            <w:vAlign w:val="center"/>
            <w:hideMark/>
          </w:tcPr>
          <w:p w14:paraId="66F62AFD"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6.529.827.225</w:t>
            </w:r>
          </w:p>
        </w:tc>
        <w:tc>
          <w:tcPr>
            <w:tcW w:w="0" w:type="auto"/>
            <w:tcBorders>
              <w:top w:val="nil"/>
              <w:left w:val="nil"/>
              <w:bottom w:val="single" w:sz="4" w:space="0" w:color="auto"/>
              <w:right w:val="single" w:sz="4" w:space="0" w:color="auto"/>
            </w:tcBorders>
            <w:shd w:val="clear" w:color="auto" w:fill="auto"/>
            <w:noWrap/>
            <w:vAlign w:val="center"/>
            <w:hideMark/>
          </w:tcPr>
          <w:p w14:paraId="0CDC1F14"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1.130.579.921</w:t>
            </w:r>
          </w:p>
        </w:tc>
        <w:tc>
          <w:tcPr>
            <w:tcW w:w="0" w:type="auto"/>
            <w:tcBorders>
              <w:top w:val="nil"/>
              <w:left w:val="nil"/>
              <w:bottom w:val="single" w:sz="4" w:space="0" w:color="auto"/>
              <w:right w:val="single" w:sz="4" w:space="0" w:color="auto"/>
            </w:tcBorders>
            <w:shd w:val="clear" w:color="auto" w:fill="auto"/>
            <w:noWrap/>
            <w:vAlign w:val="center"/>
            <w:hideMark/>
          </w:tcPr>
          <w:p w14:paraId="73A0FCB5"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1.575.245.671</w:t>
            </w:r>
          </w:p>
        </w:tc>
      </w:tr>
    </w:tbl>
    <w:p w14:paraId="5FE20CEF" w14:textId="283CA596" w:rsidR="004730C9" w:rsidRPr="00B0124E" w:rsidRDefault="004730C9" w:rsidP="004730C9">
      <w:pPr>
        <w:pStyle w:val="Descripcin"/>
        <w:rPr>
          <w:i/>
          <w:iCs/>
          <w:sz w:val="20"/>
          <w:szCs w:val="18"/>
        </w:rPr>
      </w:pPr>
      <w:r w:rsidRPr="00B0124E">
        <w:rPr>
          <w:i/>
          <w:iCs/>
          <w:sz w:val="20"/>
          <w:szCs w:val="18"/>
        </w:rPr>
        <w:t>Tabla 3 Plan de inversiones del nivel de tensión 3, pesos de diciembre de 2017</w:t>
      </w:r>
    </w:p>
    <w:tbl>
      <w:tblPr>
        <w:tblW w:w="0" w:type="auto"/>
        <w:tblInd w:w="421" w:type="dxa"/>
        <w:tblCellMar>
          <w:left w:w="70" w:type="dxa"/>
          <w:right w:w="70" w:type="dxa"/>
        </w:tblCellMar>
        <w:tblLook w:val="04A0" w:firstRow="1" w:lastRow="0" w:firstColumn="1" w:lastColumn="0" w:noHBand="0" w:noVBand="1"/>
      </w:tblPr>
      <w:tblGrid>
        <w:gridCol w:w="1220"/>
        <w:gridCol w:w="1541"/>
        <w:gridCol w:w="1541"/>
        <w:gridCol w:w="1541"/>
        <w:gridCol w:w="1541"/>
        <w:gridCol w:w="1541"/>
      </w:tblGrid>
      <w:tr w:rsidR="002A503F" w:rsidRPr="002A503F" w14:paraId="6550A613" w14:textId="77777777" w:rsidTr="002A503F">
        <w:trPr>
          <w:trHeight w:val="480"/>
        </w:trPr>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8BDEE5" w14:textId="77777777" w:rsidR="002A503F" w:rsidRPr="002A503F" w:rsidRDefault="002A503F" w:rsidP="002A503F">
            <w:pPr>
              <w:spacing w:before="0" w:after="0"/>
              <w:jc w:val="center"/>
              <w:rPr>
                <w:rFonts w:cs="Arial"/>
                <w:b/>
                <w:bCs/>
                <w:color w:val="000000"/>
                <w:sz w:val="18"/>
                <w:szCs w:val="18"/>
                <w:lang w:val="es-CO" w:eastAsia="es-CO"/>
              </w:rPr>
            </w:pPr>
            <w:r w:rsidRPr="002A503F">
              <w:rPr>
                <w:rFonts w:cs="Arial"/>
                <w:b/>
                <w:bCs/>
                <w:color w:val="000000"/>
                <w:sz w:val="18"/>
                <w:szCs w:val="18"/>
                <w:lang w:val="es-CO" w:eastAsia="es-CO"/>
              </w:rPr>
              <w:t xml:space="preserve">Categoría de activos </w:t>
            </w:r>
            <w:r w:rsidRPr="002A503F">
              <w:rPr>
                <w:rFonts w:cs="Arial"/>
                <w:b/>
                <w:bCs/>
                <w:i/>
                <w:iCs/>
                <w:color w:val="000000"/>
                <w:sz w:val="18"/>
                <w:szCs w:val="18"/>
                <w:lang w:val="es-CO" w:eastAsia="es-CO"/>
              </w:rPr>
              <w:t>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3F30628" w14:textId="77777777" w:rsidR="002A503F" w:rsidRPr="002A503F" w:rsidRDefault="002A503F" w:rsidP="002A503F">
            <w:pPr>
              <w:spacing w:before="0" w:after="0"/>
              <w:jc w:val="center"/>
              <w:rPr>
                <w:rFonts w:cs="Arial"/>
                <w:b/>
                <w:bCs/>
                <w:i/>
                <w:iCs/>
                <w:sz w:val="18"/>
                <w:szCs w:val="18"/>
                <w:lang w:val="es-CO" w:eastAsia="es-CO"/>
              </w:rPr>
            </w:pPr>
            <w:r w:rsidRPr="002A503F">
              <w:rPr>
                <w:rFonts w:cs="Arial"/>
                <w:b/>
                <w:bCs/>
                <w:i/>
                <w:iCs/>
                <w:sz w:val="18"/>
                <w:szCs w:val="18"/>
                <w:lang w:val="es-CO" w:eastAsia="es-CO"/>
              </w:rPr>
              <w:t>INVA</w:t>
            </w:r>
            <w:r w:rsidRPr="002A503F">
              <w:rPr>
                <w:rFonts w:cs="Arial"/>
                <w:b/>
                <w:bCs/>
                <w:i/>
                <w:iCs/>
                <w:sz w:val="18"/>
                <w:szCs w:val="18"/>
                <w:vertAlign w:val="subscript"/>
                <w:lang w:val="es-CO" w:eastAsia="es-CO"/>
              </w:rPr>
              <w:t>j,3,l,1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D3FF5E4" w14:textId="77777777" w:rsidR="002A503F" w:rsidRPr="002A503F" w:rsidRDefault="002A503F" w:rsidP="002A503F">
            <w:pPr>
              <w:spacing w:before="0" w:after="0"/>
              <w:jc w:val="center"/>
              <w:rPr>
                <w:rFonts w:cs="Arial"/>
                <w:b/>
                <w:bCs/>
                <w:i/>
                <w:iCs/>
                <w:sz w:val="18"/>
                <w:szCs w:val="18"/>
                <w:lang w:val="es-CO" w:eastAsia="es-CO"/>
              </w:rPr>
            </w:pPr>
            <w:r w:rsidRPr="002A503F">
              <w:rPr>
                <w:rFonts w:cs="Arial"/>
                <w:b/>
                <w:bCs/>
                <w:i/>
                <w:iCs/>
                <w:sz w:val="18"/>
                <w:szCs w:val="18"/>
                <w:lang w:val="es-CO" w:eastAsia="es-CO"/>
              </w:rPr>
              <w:t>INVA</w:t>
            </w:r>
            <w:r w:rsidRPr="002A503F">
              <w:rPr>
                <w:rFonts w:cs="Arial"/>
                <w:b/>
                <w:bCs/>
                <w:i/>
                <w:iCs/>
                <w:sz w:val="18"/>
                <w:szCs w:val="18"/>
                <w:vertAlign w:val="subscript"/>
                <w:lang w:val="es-CO" w:eastAsia="es-CO"/>
              </w:rPr>
              <w:t>j,3,l,2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9C8D8A2" w14:textId="77777777" w:rsidR="002A503F" w:rsidRPr="002A503F" w:rsidRDefault="002A503F" w:rsidP="002A503F">
            <w:pPr>
              <w:spacing w:before="0" w:after="0"/>
              <w:jc w:val="center"/>
              <w:rPr>
                <w:rFonts w:cs="Arial"/>
                <w:b/>
                <w:bCs/>
                <w:i/>
                <w:iCs/>
                <w:sz w:val="18"/>
                <w:szCs w:val="18"/>
                <w:lang w:val="es-CO" w:eastAsia="es-CO"/>
              </w:rPr>
            </w:pPr>
            <w:r w:rsidRPr="002A503F">
              <w:rPr>
                <w:rFonts w:cs="Arial"/>
                <w:b/>
                <w:bCs/>
                <w:i/>
                <w:iCs/>
                <w:sz w:val="18"/>
                <w:szCs w:val="18"/>
                <w:lang w:val="es-CO" w:eastAsia="es-CO"/>
              </w:rPr>
              <w:t>INVA</w:t>
            </w:r>
            <w:r w:rsidRPr="002A503F">
              <w:rPr>
                <w:rFonts w:cs="Arial"/>
                <w:b/>
                <w:bCs/>
                <w:i/>
                <w:iCs/>
                <w:sz w:val="18"/>
                <w:szCs w:val="18"/>
                <w:vertAlign w:val="subscript"/>
                <w:lang w:val="es-CO" w:eastAsia="es-CO"/>
              </w:rPr>
              <w:t>j,3,l,3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92BB084" w14:textId="77777777" w:rsidR="002A503F" w:rsidRPr="002A503F" w:rsidRDefault="002A503F" w:rsidP="002A503F">
            <w:pPr>
              <w:spacing w:before="0" w:after="0"/>
              <w:jc w:val="center"/>
              <w:rPr>
                <w:rFonts w:cs="Arial"/>
                <w:b/>
                <w:bCs/>
                <w:i/>
                <w:iCs/>
                <w:sz w:val="18"/>
                <w:szCs w:val="18"/>
                <w:lang w:val="es-CO" w:eastAsia="es-CO"/>
              </w:rPr>
            </w:pPr>
            <w:r w:rsidRPr="002A503F">
              <w:rPr>
                <w:rFonts w:cs="Arial"/>
                <w:b/>
                <w:bCs/>
                <w:i/>
                <w:iCs/>
                <w:sz w:val="18"/>
                <w:szCs w:val="18"/>
                <w:lang w:val="es-CO" w:eastAsia="es-CO"/>
              </w:rPr>
              <w:t>INVA</w:t>
            </w:r>
            <w:r w:rsidRPr="002A503F">
              <w:rPr>
                <w:rFonts w:cs="Arial"/>
                <w:b/>
                <w:bCs/>
                <w:i/>
                <w:iCs/>
                <w:sz w:val="18"/>
                <w:szCs w:val="18"/>
                <w:vertAlign w:val="subscript"/>
                <w:lang w:val="es-CO" w:eastAsia="es-CO"/>
              </w:rPr>
              <w:t>j,3,l,4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C1FA6D8" w14:textId="77777777" w:rsidR="002A503F" w:rsidRPr="002A503F" w:rsidRDefault="002A503F" w:rsidP="002A503F">
            <w:pPr>
              <w:spacing w:before="0" w:after="0"/>
              <w:jc w:val="center"/>
              <w:rPr>
                <w:rFonts w:cs="Arial"/>
                <w:b/>
                <w:bCs/>
                <w:i/>
                <w:iCs/>
                <w:sz w:val="18"/>
                <w:szCs w:val="18"/>
                <w:lang w:val="es-CO" w:eastAsia="es-CO"/>
              </w:rPr>
            </w:pPr>
            <w:r w:rsidRPr="002A503F">
              <w:rPr>
                <w:rFonts w:cs="Arial"/>
                <w:b/>
                <w:bCs/>
                <w:i/>
                <w:iCs/>
                <w:sz w:val="18"/>
                <w:szCs w:val="18"/>
                <w:lang w:val="es-CO" w:eastAsia="es-CO"/>
              </w:rPr>
              <w:t>INVA</w:t>
            </w:r>
            <w:r w:rsidRPr="002A503F">
              <w:rPr>
                <w:rFonts w:cs="Arial"/>
                <w:b/>
                <w:bCs/>
                <w:i/>
                <w:iCs/>
                <w:sz w:val="18"/>
                <w:szCs w:val="18"/>
                <w:vertAlign w:val="subscript"/>
                <w:lang w:val="es-CO" w:eastAsia="es-CO"/>
              </w:rPr>
              <w:t>j,3,l,5</w:t>
            </w:r>
          </w:p>
        </w:tc>
      </w:tr>
      <w:tr w:rsidR="002A503F" w:rsidRPr="002A503F" w14:paraId="1E88BA70" w14:textId="77777777" w:rsidTr="002A503F">
        <w:trPr>
          <w:trHeight w:val="255"/>
        </w:trPr>
        <w:tc>
          <w:tcPr>
            <w:tcW w:w="1220" w:type="dxa"/>
            <w:tcBorders>
              <w:top w:val="nil"/>
              <w:left w:val="single" w:sz="4" w:space="0" w:color="auto"/>
              <w:bottom w:val="single" w:sz="4" w:space="0" w:color="auto"/>
              <w:right w:val="nil"/>
            </w:tcBorders>
            <w:shd w:val="clear" w:color="000000" w:fill="FFFFFF"/>
            <w:noWrap/>
            <w:vAlign w:val="center"/>
            <w:hideMark/>
          </w:tcPr>
          <w:p w14:paraId="62001F9C"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C9956A"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12.788.559.395</w:t>
            </w:r>
          </w:p>
        </w:tc>
        <w:tc>
          <w:tcPr>
            <w:tcW w:w="0" w:type="auto"/>
            <w:tcBorders>
              <w:top w:val="nil"/>
              <w:left w:val="nil"/>
              <w:bottom w:val="single" w:sz="4" w:space="0" w:color="auto"/>
              <w:right w:val="single" w:sz="4" w:space="0" w:color="auto"/>
            </w:tcBorders>
            <w:shd w:val="clear" w:color="auto" w:fill="auto"/>
            <w:noWrap/>
            <w:vAlign w:val="center"/>
            <w:hideMark/>
          </w:tcPr>
          <w:p w14:paraId="0575D303"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3.974.568.940</w:t>
            </w:r>
          </w:p>
        </w:tc>
        <w:tc>
          <w:tcPr>
            <w:tcW w:w="0" w:type="auto"/>
            <w:tcBorders>
              <w:top w:val="nil"/>
              <w:left w:val="nil"/>
              <w:bottom w:val="single" w:sz="4" w:space="0" w:color="auto"/>
              <w:right w:val="single" w:sz="4" w:space="0" w:color="auto"/>
            </w:tcBorders>
            <w:shd w:val="clear" w:color="auto" w:fill="auto"/>
            <w:noWrap/>
            <w:vAlign w:val="center"/>
            <w:hideMark/>
          </w:tcPr>
          <w:p w14:paraId="142CC2DB"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12.871.467.131</w:t>
            </w:r>
          </w:p>
        </w:tc>
        <w:tc>
          <w:tcPr>
            <w:tcW w:w="0" w:type="auto"/>
            <w:tcBorders>
              <w:top w:val="nil"/>
              <w:left w:val="nil"/>
              <w:bottom w:val="single" w:sz="4" w:space="0" w:color="auto"/>
              <w:right w:val="single" w:sz="4" w:space="0" w:color="auto"/>
            </w:tcBorders>
            <w:shd w:val="clear" w:color="auto" w:fill="auto"/>
            <w:noWrap/>
            <w:vAlign w:val="center"/>
            <w:hideMark/>
          </w:tcPr>
          <w:p w14:paraId="143BF7D8"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4.817.437.500</w:t>
            </w:r>
          </w:p>
        </w:tc>
        <w:tc>
          <w:tcPr>
            <w:tcW w:w="0" w:type="auto"/>
            <w:tcBorders>
              <w:top w:val="nil"/>
              <w:left w:val="nil"/>
              <w:bottom w:val="single" w:sz="4" w:space="0" w:color="auto"/>
              <w:right w:val="single" w:sz="4" w:space="0" w:color="auto"/>
            </w:tcBorders>
            <w:shd w:val="clear" w:color="auto" w:fill="auto"/>
            <w:noWrap/>
            <w:vAlign w:val="center"/>
            <w:hideMark/>
          </w:tcPr>
          <w:p w14:paraId="5B9FDA5B"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15.271.015.992</w:t>
            </w:r>
          </w:p>
        </w:tc>
      </w:tr>
      <w:tr w:rsidR="002A503F" w:rsidRPr="002A503F" w14:paraId="002E5DCE" w14:textId="77777777" w:rsidTr="002A503F">
        <w:trPr>
          <w:trHeight w:val="255"/>
        </w:trPr>
        <w:tc>
          <w:tcPr>
            <w:tcW w:w="1220" w:type="dxa"/>
            <w:tcBorders>
              <w:top w:val="nil"/>
              <w:left w:val="single" w:sz="4" w:space="0" w:color="auto"/>
              <w:bottom w:val="single" w:sz="4" w:space="0" w:color="auto"/>
              <w:right w:val="nil"/>
            </w:tcBorders>
            <w:shd w:val="clear" w:color="000000" w:fill="FFFFFF"/>
            <w:noWrap/>
            <w:vAlign w:val="center"/>
            <w:hideMark/>
          </w:tcPr>
          <w:p w14:paraId="7E652B4F"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3B60A0"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22F69565"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68CE112A"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4475716B"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688CE4B2"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0</w:t>
            </w:r>
          </w:p>
        </w:tc>
      </w:tr>
      <w:tr w:rsidR="002A503F" w:rsidRPr="002A503F" w14:paraId="53A986A9" w14:textId="77777777" w:rsidTr="002A503F">
        <w:trPr>
          <w:trHeight w:val="255"/>
        </w:trPr>
        <w:tc>
          <w:tcPr>
            <w:tcW w:w="1220" w:type="dxa"/>
            <w:tcBorders>
              <w:top w:val="nil"/>
              <w:left w:val="single" w:sz="4" w:space="0" w:color="auto"/>
              <w:bottom w:val="single" w:sz="4" w:space="0" w:color="auto"/>
              <w:right w:val="nil"/>
            </w:tcBorders>
            <w:shd w:val="clear" w:color="000000" w:fill="FFFFFF"/>
            <w:noWrap/>
            <w:vAlign w:val="center"/>
            <w:hideMark/>
          </w:tcPr>
          <w:p w14:paraId="0DD152D9"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640C5A"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35.393.324.260</w:t>
            </w:r>
          </w:p>
        </w:tc>
        <w:tc>
          <w:tcPr>
            <w:tcW w:w="0" w:type="auto"/>
            <w:tcBorders>
              <w:top w:val="nil"/>
              <w:left w:val="nil"/>
              <w:bottom w:val="single" w:sz="4" w:space="0" w:color="auto"/>
              <w:right w:val="single" w:sz="4" w:space="0" w:color="auto"/>
            </w:tcBorders>
            <w:shd w:val="clear" w:color="auto" w:fill="auto"/>
            <w:noWrap/>
            <w:vAlign w:val="center"/>
            <w:hideMark/>
          </w:tcPr>
          <w:p w14:paraId="433A9F69"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20.624.859.822</w:t>
            </w:r>
          </w:p>
        </w:tc>
        <w:tc>
          <w:tcPr>
            <w:tcW w:w="0" w:type="auto"/>
            <w:tcBorders>
              <w:top w:val="nil"/>
              <w:left w:val="nil"/>
              <w:bottom w:val="single" w:sz="4" w:space="0" w:color="auto"/>
              <w:right w:val="single" w:sz="4" w:space="0" w:color="auto"/>
            </w:tcBorders>
            <w:shd w:val="clear" w:color="auto" w:fill="auto"/>
            <w:noWrap/>
            <w:vAlign w:val="center"/>
            <w:hideMark/>
          </w:tcPr>
          <w:p w14:paraId="3B024C79"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49.359.174.580</w:t>
            </w:r>
          </w:p>
        </w:tc>
        <w:tc>
          <w:tcPr>
            <w:tcW w:w="0" w:type="auto"/>
            <w:tcBorders>
              <w:top w:val="nil"/>
              <w:left w:val="nil"/>
              <w:bottom w:val="single" w:sz="4" w:space="0" w:color="auto"/>
              <w:right w:val="single" w:sz="4" w:space="0" w:color="auto"/>
            </w:tcBorders>
            <w:shd w:val="clear" w:color="auto" w:fill="auto"/>
            <w:noWrap/>
            <w:vAlign w:val="center"/>
            <w:hideMark/>
          </w:tcPr>
          <w:p w14:paraId="623C82D0"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26.143.216.338</w:t>
            </w:r>
          </w:p>
        </w:tc>
        <w:tc>
          <w:tcPr>
            <w:tcW w:w="0" w:type="auto"/>
            <w:tcBorders>
              <w:top w:val="nil"/>
              <w:left w:val="nil"/>
              <w:bottom w:val="single" w:sz="4" w:space="0" w:color="auto"/>
              <w:right w:val="single" w:sz="4" w:space="0" w:color="auto"/>
            </w:tcBorders>
            <w:shd w:val="clear" w:color="auto" w:fill="auto"/>
            <w:noWrap/>
            <w:vAlign w:val="center"/>
            <w:hideMark/>
          </w:tcPr>
          <w:p w14:paraId="467362FE"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28.505.598.000</w:t>
            </w:r>
          </w:p>
        </w:tc>
      </w:tr>
      <w:tr w:rsidR="002A503F" w:rsidRPr="002A503F" w14:paraId="38CA8E94" w14:textId="77777777" w:rsidTr="002A503F">
        <w:trPr>
          <w:trHeight w:val="255"/>
        </w:trPr>
        <w:tc>
          <w:tcPr>
            <w:tcW w:w="1220" w:type="dxa"/>
            <w:tcBorders>
              <w:top w:val="nil"/>
              <w:left w:val="single" w:sz="4" w:space="0" w:color="auto"/>
              <w:bottom w:val="single" w:sz="4" w:space="0" w:color="auto"/>
              <w:right w:val="nil"/>
            </w:tcBorders>
            <w:shd w:val="clear" w:color="000000" w:fill="FFFFFF"/>
            <w:noWrap/>
            <w:vAlign w:val="center"/>
            <w:hideMark/>
          </w:tcPr>
          <w:p w14:paraId="299FD9D0"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73C0EC"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6.305.021.000</w:t>
            </w:r>
          </w:p>
        </w:tc>
        <w:tc>
          <w:tcPr>
            <w:tcW w:w="0" w:type="auto"/>
            <w:tcBorders>
              <w:top w:val="nil"/>
              <w:left w:val="nil"/>
              <w:bottom w:val="single" w:sz="4" w:space="0" w:color="auto"/>
              <w:right w:val="single" w:sz="4" w:space="0" w:color="auto"/>
            </w:tcBorders>
            <w:shd w:val="clear" w:color="auto" w:fill="auto"/>
            <w:noWrap/>
            <w:vAlign w:val="center"/>
            <w:hideMark/>
          </w:tcPr>
          <w:p w14:paraId="17BD1F10"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5.166.628.674</w:t>
            </w:r>
          </w:p>
        </w:tc>
        <w:tc>
          <w:tcPr>
            <w:tcW w:w="0" w:type="auto"/>
            <w:tcBorders>
              <w:top w:val="nil"/>
              <w:left w:val="nil"/>
              <w:bottom w:val="single" w:sz="4" w:space="0" w:color="auto"/>
              <w:right w:val="single" w:sz="4" w:space="0" w:color="auto"/>
            </w:tcBorders>
            <w:shd w:val="clear" w:color="auto" w:fill="auto"/>
            <w:noWrap/>
            <w:vAlign w:val="center"/>
            <w:hideMark/>
          </w:tcPr>
          <w:p w14:paraId="4D5D7012"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11.110.436.302</w:t>
            </w:r>
          </w:p>
        </w:tc>
        <w:tc>
          <w:tcPr>
            <w:tcW w:w="0" w:type="auto"/>
            <w:tcBorders>
              <w:top w:val="nil"/>
              <w:left w:val="nil"/>
              <w:bottom w:val="single" w:sz="4" w:space="0" w:color="auto"/>
              <w:right w:val="single" w:sz="4" w:space="0" w:color="auto"/>
            </w:tcBorders>
            <w:shd w:val="clear" w:color="auto" w:fill="auto"/>
            <w:noWrap/>
            <w:vAlign w:val="center"/>
            <w:hideMark/>
          </w:tcPr>
          <w:p w14:paraId="14A1326A"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4.903.150.054</w:t>
            </w:r>
          </w:p>
        </w:tc>
        <w:tc>
          <w:tcPr>
            <w:tcW w:w="0" w:type="auto"/>
            <w:tcBorders>
              <w:top w:val="nil"/>
              <w:left w:val="nil"/>
              <w:bottom w:val="single" w:sz="4" w:space="0" w:color="auto"/>
              <w:right w:val="single" w:sz="4" w:space="0" w:color="auto"/>
            </w:tcBorders>
            <w:shd w:val="clear" w:color="auto" w:fill="auto"/>
            <w:noWrap/>
            <w:vAlign w:val="center"/>
            <w:hideMark/>
          </w:tcPr>
          <w:p w14:paraId="0717D81D"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6.514.274.000</w:t>
            </w:r>
          </w:p>
        </w:tc>
      </w:tr>
      <w:tr w:rsidR="002A503F" w:rsidRPr="002A503F" w14:paraId="556C2CCF" w14:textId="77777777" w:rsidTr="002A503F">
        <w:trPr>
          <w:trHeight w:val="255"/>
        </w:trPr>
        <w:tc>
          <w:tcPr>
            <w:tcW w:w="1220" w:type="dxa"/>
            <w:tcBorders>
              <w:top w:val="nil"/>
              <w:left w:val="single" w:sz="4" w:space="0" w:color="auto"/>
              <w:bottom w:val="single" w:sz="4" w:space="0" w:color="auto"/>
              <w:right w:val="nil"/>
            </w:tcBorders>
            <w:shd w:val="clear" w:color="000000" w:fill="FFFFFF"/>
            <w:noWrap/>
            <w:vAlign w:val="center"/>
            <w:hideMark/>
          </w:tcPr>
          <w:p w14:paraId="4DCC8687"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51BCD0"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708.960.000</w:t>
            </w:r>
          </w:p>
        </w:tc>
        <w:tc>
          <w:tcPr>
            <w:tcW w:w="0" w:type="auto"/>
            <w:tcBorders>
              <w:top w:val="nil"/>
              <w:left w:val="nil"/>
              <w:bottom w:val="single" w:sz="4" w:space="0" w:color="auto"/>
              <w:right w:val="single" w:sz="4" w:space="0" w:color="auto"/>
            </w:tcBorders>
            <w:shd w:val="clear" w:color="auto" w:fill="auto"/>
            <w:noWrap/>
            <w:vAlign w:val="center"/>
            <w:hideMark/>
          </w:tcPr>
          <w:p w14:paraId="6CC5543F"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635.536.000</w:t>
            </w:r>
          </w:p>
        </w:tc>
        <w:tc>
          <w:tcPr>
            <w:tcW w:w="0" w:type="auto"/>
            <w:tcBorders>
              <w:top w:val="nil"/>
              <w:left w:val="nil"/>
              <w:bottom w:val="single" w:sz="4" w:space="0" w:color="auto"/>
              <w:right w:val="single" w:sz="4" w:space="0" w:color="auto"/>
            </w:tcBorders>
            <w:shd w:val="clear" w:color="auto" w:fill="auto"/>
            <w:noWrap/>
            <w:vAlign w:val="center"/>
            <w:hideMark/>
          </w:tcPr>
          <w:p w14:paraId="693DE92C"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1.187.508.000</w:t>
            </w:r>
          </w:p>
        </w:tc>
        <w:tc>
          <w:tcPr>
            <w:tcW w:w="0" w:type="auto"/>
            <w:tcBorders>
              <w:top w:val="nil"/>
              <w:left w:val="nil"/>
              <w:bottom w:val="single" w:sz="4" w:space="0" w:color="auto"/>
              <w:right w:val="single" w:sz="4" w:space="0" w:color="auto"/>
            </w:tcBorders>
            <w:shd w:val="clear" w:color="auto" w:fill="auto"/>
            <w:noWrap/>
            <w:vAlign w:val="center"/>
            <w:hideMark/>
          </w:tcPr>
          <w:p w14:paraId="07273998"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714.868.000</w:t>
            </w:r>
          </w:p>
        </w:tc>
        <w:tc>
          <w:tcPr>
            <w:tcW w:w="0" w:type="auto"/>
            <w:tcBorders>
              <w:top w:val="nil"/>
              <w:left w:val="nil"/>
              <w:bottom w:val="single" w:sz="4" w:space="0" w:color="auto"/>
              <w:right w:val="single" w:sz="4" w:space="0" w:color="auto"/>
            </w:tcBorders>
            <w:shd w:val="clear" w:color="auto" w:fill="auto"/>
            <w:noWrap/>
            <w:vAlign w:val="center"/>
            <w:hideMark/>
          </w:tcPr>
          <w:p w14:paraId="06D93252"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1.066.820.000</w:t>
            </w:r>
          </w:p>
        </w:tc>
      </w:tr>
      <w:tr w:rsidR="002A503F" w:rsidRPr="002A503F" w14:paraId="762D2A81" w14:textId="77777777" w:rsidTr="002A503F">
        <w:trPr>
          <w:trHeight w:val="255"/>
        </w:trPr>
        <w:tc>
          <w:tcPr>
            <w:tcW w:w="1220" w:type="dxa"/>
            <w:tcBorders>
              <w:top w:val="nil"/>
              <w:left w:val="single" w:sz="4" w:space="0" w:color="auto"/>
              <w:bottom w:val="single" w:sz="4" w:space="0" w:color="auto"/>
              <w:right w:val="nil"/>
            </w:tcBorders>
            <w:shd w:val="clear" w:color="000000" w:fill="FFFFFF"/>
            <w:noWrap/>
            <w:vAlign w:val="center"/>
            <w:hideMark/>
          </w:tcPr>
          <w:p w14:paraId="31FFE3CE"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D3312C"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3.825.614.000</w:t>
            </w:r>
          </w:p>
        </w:tc>
        <w:tc>
          <w:tcPr>
            <w:tcW w:w="0" w:type="auto"/>
            <w:tcBorders>
              <w:top w:val="nil"/>
              <w:left w:val="nil"/>
              <w:bottom w:val="single" w:sz="4" w:space="0" w:color="auto"/>
              <w:right w:val="single" w:sz="4" w:space="0" w:color="auto"/>
            </w:tcBorders>
            <w:shd w:val="clear" w:color="auto" w:fill="auto"/>
            <w:noWrap/>
            <w:vAlign w:val="center"/>
            <w:hideMark/>
          </w:tcPr>
          <w:p w14:paraId="01124EF0"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3.232.476.000</w:t>
            </w:r>
          </w:p>
        </w:tc>
        <w:tc>
          <w:tcPr>
            <w:tcW w:w="0" w:type="auto"/>
            <w:tcBorders>
              <w:top w:val="nil"/>
              <w:left w:val="nil"/>
              <w:bottom w:val="single" w:sz="4" w:space="0" w:color="auto"/>
              <w:right w:val="single" w:sz="4" w:space="0" w:color="auto"/>
            </w:tcBorders>
            <w:shd w:val="clear" w:color="auto" w:fill="auto"/>
            <w:noWrap/>
            <w:vAlign w:val="center"/>
            <w:hideMark/>
          </w:tcPr>
          <w:p w14:paraId="366AFA85"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8.789.784.000</w:t>
            </w:r>
          </w:p>
        </w:tc>
        <w:tc>
          <w:tcPr>
            <w:tcW w:w="0" w:type="auto"/>
            <w:tcBorders>
              <w:top w:val="nil"/>
              <w:left w:val="nil"/>
              <w:bottom w:val="single" w:sz="4" w:space="0" w:color="auto"/>
              <w:right w:val="single" w:sz="4" w:space="0" w:color="auto"/>
            </w:tcBorders>
            <w:shd w:val="clear" w:color="auto" w:fill="auto"/>
            <w:noWrap/>
            <w:vAlign w:val="center"/>
            <w:hideMark/>
          </w:tcPr>
          <w:p w14:paraId="41199609"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3.865.112.000</w:t>
            </w:r>
          </w:p>
        </w:tc>
        <w:tc>
          <w:tcPr>
            <w:tcW w:w="0" w:type="auto"/>
            <w:tcBorders>
              <w:top w:val="nil"/>
              <w:left w:val="nil"/>
              <w:bottom w:val="single" w:sz="4" w:space="0" w:color="auto"/>
              <w:right w:val="single" w:sz="4" w:space="0" w:color="auto"/>
            </w:tcBorders>
            <w:shd w:val="clear" w:color="auto" w:fill="auto"/>
            <w:noWrap/>
            <w:vAlign w:val="center"/>
            <w:hideMark/>
          </w:tcPr>
          <w:p w14:paraId="0D9DB4C9"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5.694.980.000</w:t>
            </w:r>
          </w:p>
        </w:tc>
      </w:tr>
      <w:tr w:rsidR="002A503F" w:rsidRPr="002A503F" w14:paraId="3CF748F1" w14:textId="77777777" w:rsidTr="002A503F">
        <w:trPr>
          <w:trHeight w:val="255"/>
        </w:trPr>
        <w:tc>
          <w:tcPr>
            <w:tcW w:w="1220" w:type="dxa"/>
            <w:tcBorders>
              <w:top w:val="nil"/>
              <w:left w:val="single" w:sz="4" w:space="0" w:color="auto"/>
              <w:bottom w:val="single" w:sz="4" w:space="0" w:color="auto"/>
              <w:right w:val="nil"/>
            </w:tcBorders>
            <w:shd w:val="clear" w:color="000000" w:fill="FFFFFF"/>
            <w:noWrap/>
            <w:vAlign w:val="center"/>
            <w:hideMark/>
          </w:tcPr>
          <w:p w14:paraId="3DC48C80"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4EEB3C"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25.152.940.619</w:t>
            </w:r>
          </w:p>
        </w:tc>
        <w:tc>
          <w:tcPr>
            <w:tcW w:w="0" w:type="auto"/>
            <w:tcBorders>
              <w:top w:val="nil"/>
              <w:left w:val="nil"/>
              <w:bottom w:val="single" w:sz="4" w:space="0" w:color="auto"/>
              <w:right w:val="single" w:sz="4" w:space="0" w:color="auto"/>
            </w:tcBorders>
            <w:shd w:val="clear" w:color="auto" w:fill="auto"/>
            <w:noWrap/>
            <w:vAlign w:val="center"/>
            <w:hideMark/>
          </w:tcPr>
          <w:p w14:paraId="46A32361"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28.946.297.391</w:t>
            </w:r>
          </w:p>
        </w:tc>
        <w:tc>
          <w:tcPr>
            <w:tcW w:w="0" w:type="auto"/>
            <w:tcBorders>
              <w:top w:val="nil"/>
              <w:left w:val="nil"/>
              <w:bottom w:val="single" w:sz="4" w:space="0" w:color="auto"/>
              <w:right w:val="single" w:sz="4" w:space="0" w:color="auto"/>
            </w:tcBorders>
            <w:shd w:val="clear" w:color="auto" w:fill="auto"/>
            <w:noWrap/>
            <w:vAlign w:val="center"/>
            <w:hideMark/>
          </w:tcPr>
          <w:p w14:paraId="7B911E1F"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66.733.270.692</w:t>
            </w:r>
          </w:p>
        </w:tc>
        <w:tc>
          <w:tcPr>
            <w:tcW w:w="0" w:type="auto"/>
            <w:tcBorders>
              <w:top w:val="nil"/>
              <w:left w:val="nil"/>
              <w:bottom w:val="single" w:sz="4" w:space="0" w:color="auto"/>
              <w:right w:val="single" w:sz="4" w:space="0" w:color="auto"/>
            </w:tcBorders>
            <w:shd w:val="clear" w:color="auto" w:fill="auto"/>
            <w:noWrap/>
            <w:vAlign w:val="center"/>
            <w:hideMark/>
          </w:tcPr>
          <w:p w14:paraId="093D7BF5"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15.582.423.068</w:t>
            </w:r>
          </w:p>
        </w:tc>
        <w:tc>
          <w:tcPr>
            <w:tcW w:w="0" w:type="auto"/>
            <w:tcBorders>
              <w:top w:val="nil"/>
              <w:left w:val="nil"/>
              <w:bottom w:val="single" w:sz="4" w:space="0" w:color="auto"/>
              <w:right w:val="single" w:sz="4" w:space="0" w:color="auto"/>
            </w:tcBorders>
            <w:shd w:val="clear" w:color="auto" w:fill="auto"/>
            <w:noWrap/>
            <w:vAlign w:val="center"/>
            <w:hideMark/>
          </w:tcPr>
          <w:p w14:paraId="16C920AD"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43.251.697.587</w:t>
            </w:r>
          </w:p>
        </w:tc>
      </w:tr>
      <w:tr w:rsidR="002A503F" w:rsidRPr="002A503F" w14:paraId="539CBF5F" w14:textId="77777777" w:rsidTr="002A503F">
        <w:trPr>
          <w:trHeight w:val="255"/>
        </w:trPr>
        <w:tc>
          <w:tcPr>
            <w:tcW w:w="1220" w:type="dxa"/>
            <w:tcBorders>
              <w:top w:val="nil"/>
              <w:left w:val="single" w:sz="4" w:space="0" w:color="auto"/>
              <w:bottom w:val="single" w:sz="4" w:space="0" w:color="auto"/>
              <w:right w:val="nil"/>
            </w:tcBorders>
            <w:shd w:val="clear" w:color="000000" w:fill="FFFFFF"/>
            <w:noWrap/>
            <w:vAlign w:val="center"/>
            <w:hideMark/>
          </w:tcPr>
          <w:p w14:paraId="75B612F3"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01E677"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858.914.991</w:t>
            </w:r>
          </w:p>
        </w:tc>
        <w:tc>
          <w:tcPr>
            <w:tcW w:w="0" w:type="auto"/>
            <w:tcBorders>
              <w:top w:val="nil"/>
              <w:left w:val="nil"/>
              <w:bottom w:val="single" w:sz="4" w:space="0" w:color="auto"/>
              <w:right w:val="single" w:sz="4" w:space="0" w:color="auto"/>
            </w:tcBorders>
            <w:shd w:val="clear" w:color="auto" w:fill="auto"/>
            <w:noWrap/>
            <w:vAlign w:val="center"/>
            <w:hideMark/>
          </w:tcPr>
          <w:p w14:paraId="14F35C8B"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416.063.938</w:t>
            </w:r>
          </w:p>
        </w:tc>
        <w:tc>
          <w:tcPr>
            <w:tcW w:w="0" w:type="auto"/>
            <w:tcBorders>
              <w:top w:val="nil"/>
              <w:left w:val="nil"/>
              <w:bottom w:val="single" w:sz="4" w:space="0" w:color="auto"/>
              <w:right w:val="single" w:sz="4" w:space="0" w:color="auto"/>
            </w:tcBorders>
            <w:shd w:val="clear" w:color="auto" w:fill="auto"/>
            <w:noWrap/>
            <w:vAlign w:val="center"/>
            <w:hideMark/>
          </w:tcPr>
          <w:p w14:paraId="5731F6E5"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1.902.932.379</w:t>
            </w:r>
          </w:p>
        </w:tc>
        <w:tc>
          <w:tcPr>
            <w:tcW w:w="0" w:type="auto"/>
            <w:tcBorders>
              <w:top w:val="nil"/>
              <w:left w:val="nil"/>
              <w:bottom w:val="single" w:sz="4" w:space="0" w:color="auto"/>
              <w:right w:val="single" w:sz="4" w:space="0" w:color="auto"/>
            </w:tcBorders>
            <w:shd w:val="clear" w:color="auto" w:fill="auto"/>
            <w:noWrap/>
            <w:vAlign w:val="center"/>
            <w:hideMark/>
          </w:tcPr>
          <w:p w14:paraId="32D98416"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1.190.107.658</w:t>
            </w:r>
          </w:p>
        </w:tc>
        <w:tc>
          <w:tcPr>
            <w:tcW w:w="0" w:type="auto"/>
            <w:tcBorders>
              <w:top w:val="nil"/>
              <w:left w:val="nil"/>
              <w:bottom w:val="single" w:sz="4" w:space="0" w:color="auto"/>
              <w:right w:val="single" w:sz="4" w:space="0" w:color="auto"/>
            </w:tcBorders>
            <w:shd w:val="clear" w:color="auto" w:fill="auto"/>
            <w:noWrap/>
            <w:vAlign w:val="center"/>
            <w:hideMark/>
          </w:tcPr>
          <w:p w14:paraId="5DAD121D"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2.450.089.868</w:t>
            </w:r>
          </w:p>
        </w:tc>
      </w:tr>
      <w:tr w:rsidR="002A503F" w:rsidRPr="002A503F" w14:paraId="5E604634" w14:textId="77777777" w:rsidTr="002A503F">
        <w:trPr>
          <w:trHeight w:val="255"/>
        </w:trPr>
        <w:tc>
          <w:tcPr>
            <w:tcW w:w="1220" w:type="dxa"/>
            <w:tcBorders>
              <w:top w:val="nil"/>
              <w:left w:val="single" w:sz="4" w:space="0" w:color="auto"/>
              <w:bottom w:val="single" w:sz="4" w:space="0" w:color="auto"/>
              <w:right w:val="nil"/>
            </w:tcBorders>
            <w:shd w:val="clear" w:color="000000" w:fill="FFFFFF"/>
            <w:noWrap/>
            <w:vAlign w:val="center"/>
            <w:hideMark/>
          </w:tcPr>
          <w:p w14:paraId="3F667B60"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97DFE0"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1.801.099.000</w:t>
            </w:r>
          </w:p>
        </w:tc>
        <w:tc>
          <w:tcPr>
            <w:tcW w:w="0" w:type="auto"/>
            <w:tcBorders>
              <w:top w:val="nil"/>
              <w:left w:val="nil"/>
              <w:bottom w:val="single" w:sz="4" w:space="0" w:color="auto"/>
              <w:right w:val="single" w:sz="4" w:space="0" w:color="auto"/>
            </w:tcBorders>
            <w:shd w:val="clear" w:color="auto" w:fill="auto"/>
            <w:noWrap/>
            <w:vAlign w:val="center"/>
            <w:hideMark/>
          </w:tcPr>
          <w:p w14:paraId="32747196"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2.054.663.000</w:t>
            </w:r>
          </w:p>
        </w:tc>
        <w:tc>
          <w:tcPr>
            <w:tcW w:w="0" w:type="auto"/>
            <w:tcBorders>
              <w:top w:val="nil"/>
              <w:left w:val="nil"/>
              <w:bottom w:val="single" w:sz="4" w:space="0" w:color="auto"/>
              <w:right w:val="single" w:sz="4" w:space="0" w:color="auto"/>
            </w:tcBorders>
            <w:shd w:val="clear" w:color="auto" w:fill="auto"/>
            <w:noWrap/>
            <w:vAlign w:val="center"/>
            <w:hideMark/>
          </w:tcPr>
          <w:p w14:paraId="38365FD5"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658.089.000</w:t>
            </w:r>
          </w:p>
        </w:tc>
        <w:tc>
          <w:tcPr>
            <w:tcW w:w="0" w:type="auto"/>
            <w:tcBorders>
              <w:top w:val="nil"/>
              <w:left w:val="nil"/>
              <w:bottom w:val="single" w:sz="4" w:space="0" w:color="auto"/>
              <w:right w:val="single" w:sz="4" w:space="0" w:color="auto"/>
            </w:tcBorders>
            <w:shd w:val="clear" w:color="auto" w:fill="auto"/>
            <w:noWrap/>
            <w:vAlign w:val="center"/>
            <w:hideMark/>
          </w:tcPr>
          <w:p w14:paraId="19074E24"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177.151.000</w:t>
            </w:r>
          </w:p>
        </w:tc>
        <w:tc>
          <w:tcPr>
            <w:tcW w:w="0" w:type="auto"/>
            <w:tcBorders>
              <w:top w:val="nil"/>
              <w:left w:val="nil"/>
              <w:bottom w:val="single" w:sz="4" w:space="0" w:color="auto"/>
              <w:right w:val="single" w:sz="4" w:space="0" w:color="auto"/>
            </w:tcBorders>
            <w:shd w:val="clear" w:color="auto" w:fill="auto"/>
            <w:noWrap/>
            <w:vAlign w:val="center"/>
            <w:hideMark/>
          </w:tcPr>
          <w:p w14:paraId="484D73CC"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230.798.000</w:t>
            </w:r>
          </w:p>
        </w:tc>
      </w:tr>
      <w:tr w:rsidR="002A503F" w:rsidRPr="002A503F" w14:paraId="0A1641C9" w14:textId="77777777" w:rsidTr="002A503F">
        <w:trPr>
          <w:trHeight w:val="255"/>
        </w:trPr>
        <w:tc>
          <w:tcPr>
            <w:tcW w:w="1220" w:type="dxa"/>
            <w:tcBorders>
              <w:top w:val="nil"/>
              <w:left w:val="single" w:sz="4" w:space="0" w:color="auto"/>
              <w:bottom w:val="single" w:sz="4" w:space="0" w:color="auto"/>
              <w:right w:val="nil"/>
            </w:tcBorders>
            <w:shd w:val="clear" w:color="000000" w:fill="FFFFFF"/>
            <w:noWrap/>
            <w:vAlign w:val="center"/>
            <w:hideMark/>
          </w:tcPr>
          <w:p w14:paraId="2E7224B7"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F74291"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1.744.231.000</w:t>
            </w:r>
          </w:p>
        </w:tc>
        <w:tc>
          <w:tcPr>
            <w:tcW w:w="0" w:type="auto"/>
            <w:tcBorders>
              <w:top w:val="nil"/>
              <w:left w:val="nil"/>
              <w:bottom w:val="single" w:sz="4" w:space="0" w:color="auto"/>
              <w:right w:val="single" w:sz="4" w:space="0" w:color="auto"/>
            </w:tcBorders>
            <w:shd w:val="clear" w:color="auto" w:fill="auto"/>
            <w:noWrap/>
            <w:vAlign w:val="center"/>
            <w:hideMark/>
          </w:tcPr>
          <w:p w14:paraId="07C19676"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1.153.989.979</w:t>
            </w:r>
          </w:p>
        </w:tc>
        <w:tc>
          <w:tcPr>
            <w:tcW w:w="0" w:type="auto"/>
            <w:tcBorders>
              <w:top w:val="nil"/>
              <w:left w:val="nil"/>
              <w:bottom w:val="single" w:sz="4" w:space="0" w:color="auto"/>
              <w:right w:val="single" w:sz="4" w:space="0" w:color="auto"/>
            </w:tcBorders>
            <w:shd w:val="clear" w:color="auto" w:fill="auto"/>
            <w:noWrap/>
            <w:vAlign w:val="center"/>
            <w:hideMark/>
          </w:tcPr>
          <w:p w14:paraId="28B5E1FE"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6.529.827.225</w:t>
            </w:r>
          </w:p>
        </w:tc>
        <w:tc>
          <w:tcPr>
            <w:tcW w:w="0" w:type="auto"/>
            <w:tcBorders>
              <w:top w:val="nil"/>
              <w:left w:val="nil"/>
              <w:bottom w:val="single" w:sz="4" w:space="0" w:color="auto"/>
              <w:right w:val="single" w:sz="4" w:space="0" w:color="auto"/>
            </w:tcBorders>
            <w:shd w:val="clear" w:color="auto" w:fill="auto"/>
            <w:noWrap/>
            <w:vAlign w:val="center"/>
            <w:hideMark/>
          </w:tcPr>
          <w:p w14:paraId="64AB9ECB"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1.130.579.921</w:t>
            </w:r>
          </w:p>
        </w:tc>
        <w:tc>
          <w:tcPr>
            <w:tcW w:w="0" w:type="auto"/>
            <w:tcBorders>
              <w:top w:val="nil"/>
              <w:left w:val="nil"/>
              <w:bottom w:val="single" w:sz="4" w:space="0" w:color="auto"/>
              <w:right w:val="single" w:sz="4" w:space="0" w:color="auto"/>
            </w:tcBorders>
            <w:shd w:val="clear" w:color="auto" w:fill="auto"/>
            <w:noWrap/>
            <w:vAlign w:val="center"/>
            <w:hideMark/>
          </w:tcPr>
          <w:p w14:paraId="26F7C390"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1.575.245.671</w:t>
            </w:r>
          </w:p>
        </w:tc>
      </w:tr>
    </w:tbl>
    <w:p w14:paraId="6825CE4A" w14:textId="2CCD2B73" w:rsidR="004730C9" w:rsidRPr="00B0124E" w:rsidRDefault="004730C9" w:rsidP="004730C9">
      <w:pPr>
        <w:pStyle w:val="Descripcin"/>
        <w:rPr>
          <w:i/>
          <w:iCs/>
          <w:sz w:val="20"/>
          <w:szCs w:val="18"/>
        </w:rPr>
      </w:pPr>
      <w:r w:rsidRPr="00B0124E">
        <w:rPr>
          <w:i/>
          <w:iCs/>
          <w:sz w:val="20"/>
          <w:szCs w:val="18"/>
        </w:rPr>
        <w:t>Tabla 4 Plan de inversiones del nivel de tensión 2, pesos de diciembre de 2017</w:t>
      </w:r>
    </w:p>
    <w:tbl>
      <w:tblPr>
        <w:tblW w:w="0" w:type="auto"/>
        <w:jc w:val="right"/>
        <w:tblCellMar>
          <w:left w:w="70" w:type="dxa"/>
          <w:right w:w="70" w:type="dxa"/>
        </w:tblCellMar>
        <w:tblLook w:val="04A0" w:firstRow="1" w:lastRow="0" w:firstColumn="1" w:lastColumn="0" w:noHBand="0" w:noVBand="1"/>
      </w:tblPr>
      <w:tblGrid>
        <w:gridCol w:w="1033"/>
        <w:gridCol w:w="1749"/>
        <w:gridCol w:w="1669"/>
        <w:gridCol w:w="1653"/>
        <w:gridCol w:w="1541"/>
        <w:gridCol w:w="1653"/>
      </w:tblGrid>
      <w:tr w:rsidR="002A503F" w:rsidRPr="002A503F" w14:paraId="5D8F9DA0" w14:textId="77777777" w:rsidTr="00335934">
        <w:trPr>
          <w:trHeight w:val="480"/>
          <w:tblHeader/>
          <w:jc w:val="right"/>
        </w:trPr>
        <w:tc>
          <w:tcPr>
            <w:tcW w:w="9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F715F1" w14:textId="0606CFF7" w:rsidR="002A503F" w:rsidRPr="002A503F" w:rsidRDefault="002A503F" w:rsidP="002A503F">
            <w:pPr>
              <w:spacing w:before="0" w:after="0"/>
              <w:jc w:val="center"/>
              <w:rPr>
                <w:rFonts w:cs="Arial"/>
                <w:b/>
                <w:bCs/>
                <w:color w:val="000000"/>
                <w:sz w:val="18"/>
                <w:szCs w:val="18"/>
                <w:lang w:val="es-CO" w:eastAsia="es-CO"/>
              </w:rPr>
            </w:pPr>
            <w:r w:rsidRPr="002A503F">
              <w:rPr>
                <w:rFonts w:cs="Arial"/>
                <w:b/>
                <w:bCs/>
                <w:color w:val="000000"/>
                <w:sz w:val="18"/>
                <w:szCs w:val="18"/>
                <w:lang w:val="es-CO" w:eastAsia="es-CO"/>
              </w:rPr>
              <w:t>Categorí</w:t>
            </w:r>
            <w:r>
              <w:rPr>
                <w:rFonts w:cs="Arial"/>
                <w:b/>
                <w:bCs/>
                <w:color w:val="000000"/>
                <w:sz w:val="18"/>
                <w:szCs w:val="18"/>
                <w:lang w:val="es-CO" w:eastAsia="es-CO"/>
              </w:rPr>
              <w:t xml:space="preserve">a </w:t>
            </w:r>
            <w:r w:rsidRPr="00335934">
              <w:rPr>
                <w:rFonts w:cs="Arial"/>
                <w:b/>
                <w:bCs/>
                <w:color w:val="000000"/>
                <w:sz w:val="18"/>
                <w:szCs w:val="18"/>
                <w:lang w:val="es-CO" w:eastAsia="es-CO"/>
              </w:rPr>
              <w:t>d</w:t>
            </w:r>
            <w:r w:rsidRPr="002A503F">
              <w:rPr>
                <w:rFonts w:cs="Arial"/>
                <w:b/>
                <w:bCs/>
                <w:color w:val="000000"/>
                <w:sz w:val="18"/>
                <w:szCs w:val="18"/>
                <w:lang w:val="es-CO" w:eastAsia="es-CO"/>
              </w:rPr>
              <w:t xml:space="preserve">e activos </w:t>
            </w:r>
            <w:r w:rsidRPr="002A503F">
              <w:rPr>
                <w:rFonts w:cs="Arial"/>
                <w:b/>
                <w:bCs/>
                <w:i/>
                <w:iCs/>
                <w:color w:val="000000"/>
                <w:sz w:val="18"/>
                <w:szCs w:val="18"/>
                <w:lang w:val="es-CO" w:eastAsia="es-CO"/>
              </w:rPr>
              <w:t>l</w:t>
            </w:r>
          </w:p>
        </w:tc>
        <w:tc>
          <w:tcPr>
            <w:tcW w:w="1749" w:type="dxa"/>
            <w:tcBorders>
              <w:top w:val="single" w:sz="4" w:space="0" w:color="auto"/>
              <w:left w:val="nil"/>
              <w:bottom w:val="single" w:sz="4" w:space="0" w:color="auto"/>
              <w:right w:val="single" w:sz="4" w:space="0" w:color="auto"/>
            </w:tcBorders>
            <w:shd w:val="clear" w:color="000000" w:fill="FFFFFF"/>
            <w:noWrap/>
            <w:vAlign w:val="center"/>
            <w:hideMark/>
          </w:tcPr>
          <w:p w14:paraId="13117853" w14:textId="77777777" w:rsidR="002A503F" w:rsidRPr="002A503F" w:rsidRDefault="002A503F" w:rsidP="002A503F">
            <w:pPr>
              <w:spacing w:before="0" w:after="0"/>
              <w:jc w:val="center"/>
              <w:rPr>
                <w:rFonts w:cs="Arial"/>
                <w:b/>
                <w:bCs/>
                <w:i/>
                <w:iCs/>
                <w:sz w:val="18"/>
                <w:szCs w:val="18"/>
                <w:lang w:val="es-CO" w:eastAsia="es-CO"/>
              </w:rPr>
            </w:pPr>
            <w:r w:rsidRPr="002A503F">
              <w:rPr>
                <w:rFonts w:cs="Arial"/>
                <w:b/>
                <w:bCs/>
                <w:i/>
                <w:iCs/>
                <w:sz w:val="18"/>
                <w:szCs w:val="18"/>
                <w:lang w:val="es-CO" w:eastAsia="es-CO"/>
              </w:rPr>
              <w:t>INVA</w:t>
            </w:r>
            <w:r w:rsidRPr="002A503F">
              <w:rPr>
                <w:rFonts w:cs="Arial"/>
                <w:b/>
                <w:bCs/>
                <w:i/>
                <w:iCs/>
                <w:sz w:val="18"/>
                <w:szCs w:val="18"/>
                <w:vertAlign w:val="subscript"/>
                <w:lang w:val="es-CO" w:eastAsia="es-CO"/>
              </w:rPr>
              <w:t>j,2,l,1</w:t>
            </w:r>
          </w:p>
        </w:tc>
        <w:tc>
          <w:tcPr>
            <w:tcW w:w="1669" w:type="dxa"/>
            <w:tcBorders>
              <w:top w:val="single" w:sz="4" w:space="0" w:color="auto"/>
              <w:left w:val="nil"/>
              <w:bottom w:val="single" w:sz="4" w:space="0" w:color="auto"/>
              <w:right w:val="single" w:sz="4" w:space="0" w:color="auto"/>
            </w:tcBorders>
            <w:shd w:val="clear" w:color="000000" w:fill="FFFFFF"/>
            <w:noWrap/>
            <w:vAlign w:val="center"/>
            <w:hideMark/>
          </w:tcPr>
          <w:p w14:paraId="2041BD5B" w14:textId="77777777" w:rsidR="002A503F" w:rsidRPr="002A503F" w:rsidRDefault="002A503F" w:rsidP="002A503F">
            <w:pPr>
              <w:spacing w:before="0" w:after="0"/>
              <w:jc w:val="center"/>
              <w:rPr>
                <w:rFonts w:cs="Arial"/>
                <w:b/>
                <w:bCs/>
                <w:i/>
                <w:iCs/>
                <w:sz w:val="18"/>
                <w:szCs w:val="18"/>
                <w:lang w:val="es-CO" w:eastAsia="es-CO"/>
              </w:rPr>
            </w:pPr>
            <w:r w:rsidRPr="002A503F">
              <w:rPr>
                <w:rFonts w:cs="Arial"/>
                <w:b/>
                <w:bCs/>
                <w:i/>
                <w:iCs/>
                <w:sz w:val="18"/>
                <w:szCs w:val="18"/>
                <w:lang w:val="es-CO" w:eastAsia="es-CO"/>
              </w:rPr>
              <w:t>INVA</w:t>
            </w:r>
            <w:r w:rsidRPr="002A503F">
              <w:rPr>
                <w:rFonts w:cs="Arial"/>
                <w:b/>
                <w:bCs/>
                <w:i/>
                <w:iCs/>
                <w:sz w:val="18"/>
                <w:szCs w:val="18"/>
                <w:vertAlign w:val="subscript"/>
                <w:lang w:val="es-CO" w:eastAsia="es-CO"/>
              </w:rPr>
              <w:t>j,2,l,2</w:t>
            </w:r>
          </w:p>
        </w:tc>
        <w:tc>
          <w:tcPr>
            <w:tcW w:w="1653" w:type="dxa"/>
            <w:tcBorders>
              <w:top w:val="single" w:sz="4" w:space="0" w:color="auto"/>
              <w:left w:val="nil"/>
              <w:bottom w:val="single" w:sz="4" w:space="0" w:color="auto"/>
              <w:right w:val="single" w:sz="4" w:space="0" w:color="auto"/>
            </w:tcBorders>
            <w:shd w:val="clear" w:color="000000" w:fill="FFFFFF"/>
            <w:noWrap/>
            <w:vAlign w:val="center"/>
            <w:hideMark/>
          </w:tcPr>
          <w:p w14:paraId="1509FE30" w14:textId="77777777" w:rsidR="002A503F" w:rsidRPr="002A503F" w:rsidRDefault="002A503F" w:rsidP="002A503F">
            <w:pPr>
              <w:spacing w:before="0" w:after="0"/>
              <w:jc w:val="center"/>
              <w:rPr>
                <w:rFonts w:cs="Arial"/>
                <w:b/>
                <w:bCs/>
                <w:i/>
                <w:iCs/>
                <w:sz w:val="18"/>
                <w:szCs w:val="18"/>
                <w:lang w:val="es-CO" w:eastAsia="es-CO"/>
              </w:rPr>
            </w:pPr>
            <w:r w:rsidRPr="002A503F">
              <w:rPr>
                <w:rFonts w:cs="Arial"/>
                <w:b/>
                <w:bCs/>
                <w:i/>
                <w:iCs/>
                <w:sz w:val="18"/>
                <w:szCs w:val="18"/>
                <w:lang w:val="es-CO" w:eastAsia="es-CO"/>
              </w:rPr>
              <w:t>INVA</w:t>
            </w:r>
            <w:r w:rsidRPr="002A503F">
              <w:rPr>
                <w:rFonts w:cs="Arial"/>
                <w:b/>
                <w:bCs/>
                <w:i/>
                <w:iCs/>
                <w:sz w:val="18"/>
                <w:szCs w:val="18"/>
                <w:vertAlign w:val="subscript"/>
                <w:lang w:val="es-CO" w:eastAsia="es-CO"/>
              </w:rPr>
              <w:t>j,2,l,3</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3B693EC5" w14:textId="77777777" w:rsidR="002A503F" w:rsidRPr="002A503F" w:rsidRDefault="002A503F" w:rsidP="002A503F">
            <w:pPr>
              <w:spacing w:before="0" w:after="0"/>
              <w:jc w:val="center"/>
              <w:rPr>
                <w:rFonts w:cs="Arial"/>
                <w:b/>
                <w:bCs/>
                <w:i/>
                <w:iCs/>
                <w:sz w:val="18"/>
                <w:szCs w:val="18"/>
                <w:lang w:val="es-CO" w:eastAsia="es-CO"/>
              </w:rPr>
            </w:pPr>
            <w:r w:rsidRPr="002A503F">
              <w:rPr>
                <w:rFonts w:cs="Arial"/>
                <w:b/>
                <w:bCs/>
                <w:i/>
                <w:iCs/>
                <w:sz w:val="18"/>
                <w:szCs w:val="18"/>
                <w:lang w:val="es-CO" w:eastAsia="es-CO"/>
              </w:rPr>
              <w:t>INVA</w:t>
            </w:r>
            <w:r w:rsidRPr="002A503F">
              <w:rPr>
                <w:rFonts w:cs="Arial"/>
                <w:b/>
                <w:bCs/>
                <w:i/>
                <w:iCs/>
                <w:sz w:val="18"/>
                <w:szCs w:val="18"/>
                <w:vertAlign w:val="subscript"/>
                <w:lang w:val="es-CO" w:eastAsia="es-CO"/>
              </w:rPr>
              <w:t>j,2,l,4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F99E268" w14:textId="77777777" w:rsidR="002A503F" w:rsidRPr="002A503F" w:rsidRDefault="002A503F" w:rsidP="002A503F">
            <w:pPr>
              <w:spacing w:before="0" w:after="0"/>
              <w:jc w:val="center"/>
              <w:rPr>
                <w:rFonts w:cs="Arial"/>
                <w:b/>
                <w:bCs/>
                <w:i/>
                <w:iCs/>
                <w:sz w:val="18"/>
                <w:szCs w:val="18"/>
                <w:lang w:val="es-CO" w:eastAsia="es-CO"/>
              </w:rPr>
            </w:pPr>
            <w:r w:rsidRPr="002A503F">
              <w:rPr>
                <w:rFonts w:cs="Arial"/>
                <w:b/>
                <w:bCs/>
                <w:i/>
                <w:iCs/>
                <w:sz w:val="18"/>
                <w:szCs w:val="18"/>
                <w:lang w:val="es-CO" w:eastAsia="es-CO"/>
              </w:rPr>
              <w:t>INVA</w:t>
            </w:r>
            <w:r w:rsidRPr="002A503F">
              <w:rPr>
                <w:rFonts w:cs="Arial"/>
                <w:b/>
                <w:bCs/>
                <w:i/>
                <w:iCs/>
                <w:sz w:val="18"/>
                <w:szCs w:val="18"/>
                <w:vertAlign w:val="subscript"/>
                <w:lang w:val="es-CO" w:eastAsia="es-CO"/>
              </w:rPr>
              <w:t>j,2,l,5</w:t>
            </w:r>
          </w:p>
        </w:tc>
      </w:tr>
      <w:tr w:rsidR="002A503F" w:rsidRPr="002A503F" w14:paraId="6207E2EA" w14:textId="77777777" w:rsidTr="00335934">
        <w:trPr>
          <w:trHeight w:val="255"/>
          <w:jc w:val="right"/>
        </w:trPr>
        <w:tc>
          <w:tcPr>
            <w:tcW w:w="944" w:type="dxa"/>
            <w:tcBorders>
              <w:top w:val="nil"/>
              <w:left w:val="single" w:sz="4" w:space="0" w:color="auto"/>
              <w:bottom w:val="single" w:sz="4" w:space="0" w:color="auto"/>
              <w:right w:val="nil"/>
            </w:tcBorders>
            <w:shd w:val="clear" w:color="000000" w:fill="FFFFFF"/>
            <w:noWrap/>
            <w:vAlign w:val="center"/>
            <w:hideMark/>
          </w:tcPr>
          <w:p w14:paraId="699EE7E7"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1</w:t>
            </w:r>
          </w:p>
        </w:tc>
        <w:tc>
          <w:tcPr>
            <w:tcW w:w="1749" w:type="dxa"/>
            <w:tcBorders>
              <w:top w:val="nil"/>
              <w:left w:val="single" w:sz="4" w:space="0" w:color="auto"/>
              <w:bottom w:val="single" w:sz="4" w:space="0" w:color="auto"/>
              <w:right w:val="single" w:sz="4" w:space="0" w:color="auto"/>
            </w:tcBorders>
            <w:shd w:val="clear" w:color="auto" w:fill="auto"/>
            <w:noWrap/>
            <w:vAlign w:val="center"/>
            <w:hideMark/>
          </w:tcPr>
          <w:p w14:paraId="10336E86"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19.931.556.528</w:t>
            </w:r>
          </w:p>
        </w:tc>
        <w:tc>
          <w:tcPr>
            <w:tcW w:w="1669" w:type="dxa"/>
            <w:tcBorders>
              <w:top w:val="nil"/>
              <w:left w:val="nil"/>
              <w:bottom w:val="single" w:sz="4" w:space="0" w:color="auto"/>
              <w:right w:val="single" w:sz="4" w:space="0" w:color="auto"/>
            </w:tcBorders>
            <w:shd w:val="clear" w:color="auto" w:fill="auto"/>
            <w:noWrap/>
            <w:vAlign w:val="center"/>
            <w:hideMark/>
          </w:tcPr>
          <w:p w14:paraId="2023C9D9"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9.289.835.560</w:t>
            </w:r>
          </w:p>
        </w:tc>
        <w:tc>
          <w:tcPr>
            <w:tcW w:w="1653" w:type="dxa"/>
            <w:tcBorders>
              <w:top w:val="nil"/>
              <w:left w:val="nil"/>
              <w:bottom w:val="single" w:sz="4" w:space="0" w:color="auto"/>
              <w:right w:val="single" w:sz="4" w:space="0" w:color="auto"/>
            </w:tcBorders>
            <w:shd w:val="clear" w:color="auto" w:fill="auto"/>
            <w:noWrap/>
            <w:vAlign w:val="center"/>
            <w:hideMark/>
          </w:tcPr>
          <w:p w14:paraId="18034208"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24.220.809.269</w:t>
            </w:r>
          </w:p>
        </w:tc>
        <w:tc>
          <w:tcPr>
            <w:tcW w:w="1541" w:type="dxa"/>
            <w:tcBorders>
              <w:top w:val="nil"/>
              <w:left w:val="nil"/>
              <w:bottom w:val="single" w:sz="4" w:space="0" w:color="auto"/>
              <w:right w:val="single" w:sz="4" w:space="0" w:color="auto"/>
            </w:tcBorders>
            <w:shd w:val="clear" w:color="auto" w:fill="auto"/>
            <w:noWrap/>
            <w:vAlign w:val="center"/>
            <w:hideMark/>
          </w:tcPr>
          <w:p w14:paraId="5008E939"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18.320.726.100</w:t>
            </w:r>
          </w:p>
        </w:tc>
        <w:tc>
          <w:tcPr>
            <w:tcW w:w="0" w:type="auto"/>
            <w:tcBorders>
              <w:top w:val="nil"/>
              <w:left w:val="nil"/>
              <w:bottom w:val="single" w:sz="4" w:space="0" w:color="auto"/>
              <w:right w:val="single" w:sz="4" w:space="0" w:color="auto"/>
            </w:tcBorders>
            <w:shd w:val="clear" w:color="auto" w:fill="auto"/>
            <w:noWrap/>
            <w:vAlign w:val="center"/>
            <w:hideMark/>
          </w:tcPr>
          <w:p w14:paraId="00E81204"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19.432.312.408</w:t>
            </w:r>
          </w:p>
        </w:tc>
      </w:tr>
      <w:tr w:rsidR="002A503F" w:rsidRPr="002A503F" w14:paraId="13D25CD1" w14:textId="77777777" w:rsidTr="00335934">
        <w:trPr>
          <w:trHeight w:val="255"/>
          <w:jc w:val="right"/>
        </w:trPr>
        <w:tc>
          <w:tcPr>
            <w:tcW w:w="944" w:type="dxa"/>
            <w:tcBorders>
              <w:top w:val="nil"/>
              <w:left w:val="single" w:sz="4" w:space="0" w:color="auto"/>
              <w:bottom w:val="single" w:sz="4" w:space="0" w:color="auto"/>
              <w:right w:val="nil"/>
            </w:tcBorders>
            <w:shd w:val="clear" w:color="000000" w:fill="FFFFFF"/>
            <w:noWrap/>
            <w:vAlign w:val="center"/>
            <w:hideMark/>
          </w:tcPr>
          <w:p w14:paraId="63992571"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2</w:t>
            </w:r>
          </w:p>
        </w:tc>
        <w:tc>
          <w:tcPr>
            <w:tcW w:w="1749" w:type="dxa"/>
            <w:tcBorders>
              <w:top w:val="nil"/>
              <w:left w:val="single" w:sz="4" w:space="0" w:color="auto"/>
              <w:bottom w:val="single" w:sz="4" w:space="0" w:color="auto"/>
              <w:right w:val="single" w:sz="4" w:space="0" w:color="auto"/>
            </w:tcBorders>
            <w:shd w:val="clear" w:color="auto" w:fill="auto"/>
            <w:noWrap/>
            <w:vAlign w:val="center"/>
            <w:hideMark/>
          </w:tcPr>
          <w:p w14:paraId="053E3DB7"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0</w:t>
            </w:r>
          </w:p>
        </w:tc>
        <w:tc>
          <w:tcPr>
            <w:tcW w:w="1669" w:type="dxa"/>
            <w:tcBorders>
              <w:top w:val="nil"/>
              <w:left w:val="nil"/>
              <w:bottom w:val="single" w:sz="4" w:space="0" w:color="auto"/>
              <w:right w:val="single" w:sz="4" w:space="0" w:color="auto"/>
            </w:tcBorders>
            <w:shd w:val="clear" w:color="auto" w:fill="auto"/>
            <w:noWrap/>
            <w:vAlign w:val="center"/>
            <w:hideMark/>
          </w:tcPr>
          <w:p w14:paraId="3FD24AE8"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0</w:t>
            </w:r>
          </w:p>
        </w:tc>
        <w:tc>
          <w:tcPr>
            <w:tcW w:w="1653" w:type="dxa"/>
            <w:tcBorders>
              <w:top w:val="nil"/>
              <w:left w:val="nil"/>
              <w:bottom w:val="single" w:sz="4" w:space="0" w:color="auto"/>
              <w:right w:val="single" w:sz="4" w:space="0" w:color="auto"/>
            </w:tcBorders>
            <w:shd w:val="clear" w:color="auto" w:fill="auto"/>
            <w:noWrap/>
            <w:vAlign w:val="center"/>
            <w:hideMark/>
          </w:tcPr>
          <w:p w14:paraId="01906D51"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0</w:t>
            </w:r>
          </w:p>
        </w:tc>
        <w:tc>
          <w:tcPr>
            <w:tcW w:w="1541" w:type="dxa"/>
            <w:tcBorders>
              <w:top w:val="nil"/>
              <w:left w:val="nil"/>
              <w:bottom w:val="single" w:sz="4" w:space="0" w:color="auto"/>
              <w:right w:val="single" w:sz="4" w:space="0" w:color="auto"/>
            </w:tcBorders>
            <w:shd w:val="clear" w:color="auto" w:fill="auto"/>
            <w:noWrap/>
            <w:vAlign w:val="center"/>
            <w:hideMark/>
          </w:tcPr>
          <w:p w14:paraId="1CBE7766"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51F735A8"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0</w:t>
            </w:r>
          </w:p>
        </w:tc>
      </w:tr>
      <w:tr w:rsidR="002A503F" w:rsidRPr="002A503F" w14:paraId="76058FC8" w14:textId="77777777" w:rsidTr="00335934">
        <w:trPr>
          <w:trHeight w:val="255"/>
          <w:jc w:val="right"/>
        </w:trPr>
        <w:tc>
          <w:tcPr>
            <w:tcW w:w="944" w:type="dxa"/>
            <w:tcBorders>
              <w:top w:val="nil"/>
              <w:left w:val="single" w:sz="4" w:space="0" w:color="auto"/>
              <w:bottom w:val="single" w:sz="4" w:space="0" w:color="auto"/>
              <w:right w:val="nil"/>
            </w:tcBorders>
            <w:shd w:val="clear" w:color="000000" w:fill="FFFFFF"/>
            <w:noWrap/>
            <w:vAlign w:val="center"/>
            <w:hideMark/>
          </w:tcPr>
          <w:p w14:paraId="083F7394"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3</w:t>
            </w:r>
          </w:p>
        </w:tc>
        <w:tc>
          <w:tcPr>
            <w:tcW w:w="1749" w:type="dxa"/>
            <w:tcBorders>
              <w:top w:val="nil"/>
              <w:left w:val="single" w:sz="4" w:space="0" w:color="auto"/>
              <w:bottom w:val="single" w:sz="4" w:space="0" w:color="auto"/>
              <w:right w:val="single" w:sz="4" w:space="0" w:color="auto"/>
            </w:tcBorders>
            <w:shd w:val="clear" w:color="auto" w:fill="auto"/>
            <w:noWrap/>
            <w:vAlign w:val="center"/>
            <w:hideMark/>
          </w:tcPr>
          <w:p w14:paraId="0541AA58"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21.475.700.544</w:t>
            </w:r>
          </w:p>
        </w:tc>
        <w:tc>
          <w:tcPr>
            <w:tcW w:w="1669" w:type="dxa"/>
            <w:tcBorders>
              <w:top w:val="nil"/>
              <w:left w:val="nil"/>
              <w:bottom w:val="single" w:sz="4" w:space="0" w:color="auto"/>
              <w:right w:val="single" w:sz="4" w:space="0" w:color="auto"/>
            </w:tcBorders>
            <w:shd w:val="clear" w:color="auto" w:fill="auto"/>
            <w:noWrap/>
            <w:vAlign w:val="center"/>
            <w:hideMark/>
          </w:tcPr>
          <w:p w14:paraId="4330A093"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6.812.596.756</w:t>
            </w:r>
          </w:p>
        </w:tc>
        <w:tc>
          <w:tcPr>
            <w:tcW w:w="1653" w:type="dxa"/>
            <w:tcBorders>
              <w:top w:val="nil"/>
              <w:left w:val="nil"/>
              <w:bottom w:val="single" w:sz="4" w:space="0" w:color="auto"/>
              <w:right w:val="single" w:sz="4" w:space="0" w:color="auto"/>
            </w:tcBorders>
            <w:shd w:val="clear" w:color="auto" w:fill="auto"/>
            <w:noWrap/>
            <w:vAlign w:val="center"/>
            <w:hideMark/>
          </w:tcPr>
          <w:p w14:paraId="3B8D007E"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22.297.396.000</w:t>
            </w:r>
          </w:p>
        </w:tc>
        <w:tc>
          <w:tcPr>
            <w:tcW w:w="1541" w:type="dxa"/>
            <w:tcBorders>
              <w:top w:val="nil"/>
              <w:left w:val="nil"/>
              <w:bottom w:val="single" w:sz="4" w:space="0" w:color="auto"/>
              <w:right w:val="single" w:sz="4" w:space="0" w:color="auto"/>
            </w:tcBorders>
            <w:shd w:val="clear" w:color="auto" w:fill="auto"/>
            <w:noWrap/>
            <w:vAlign w:val="center"/>
            <w:hideMark/>
          </w:tcPr>
          <w:p w14:paraId="2B58BA7D"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11.779.398.004</w:t>
            </w:r>
          </w:p>
        </w:tc>
        <w:tc>
          <w:tcPr>
            <w:tcW w:w="0" w:type="auto"/>
            <w:tcBorders>
              <w:top w:val="nil"/>
              <w:left w:val="nil"/>
              <w:bottom w:val="single" w:sz="4" w:space="0" w:color="auto"/>
              <w:right w:val="single" w:sz="4" w:space="0" w:color="auto"/>
            </w:tcBorders>
            <w:shd w:val="clear" w:color="auto" w:fill="auto"/>
            <w:noWrap/>
            <w:vAlign w:val="center"/>
            <w:hideMark/>
          </w:tcPr>
          <w:p w14:paraId="05F729A7"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21.034.773.340</w:t>
            </w:r>
          </w:p>
        </w:tc>
      </w:tr>
      <w:tr w:rsidR="002A503F" w:rsidRPr="002A503F" w14:paraId="70DB701C" w14:textId="77777777" w:rsidTr="00335934">
        <w:trPr>
          <w:trHeight w:val="255"/>
          <w:jc w:val="right"/>
        </w:trPr>
        <w:tc>
          <w:tcPr>
            <w:tcW w:w="944" w:type="dxa"/>
            <w:tcBorders>
              <w:top w:val="nil"/>
              <w:left w:val="single" w:sz="4" w:space="0" w:color="auto"/>
              <w:bottom w:val="single" w:sz="4" w:space="0" w:color="auto"/>
              <w:right w:val="nil"/>
            </w:tcBorders>
            <w:shd w:val="clear" w:color="000000" w:fill="FFFFFF"/>
            <w:noWrap/>
            <w:vAlign w:val="center"/>
            <w:hideMark/>
          </w:tcPr>
          <w:p w14:paraId="4E69DAA0"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4</w:t>
            </w:r>
          </w:p>
        </w:tc>
        <w:tc>
          <w:tcPr>
            <w:tcW w:w="1749" w:type="dxa"/>
            <w:tcBorders>
              <w:top w:val="nil"/>
              <w:left w:val="single" w:sz="4" w:space="0" w:color="auto"/>
              <w:bottom w:val="single" w:sz="4" w:space="0" w:color="auto"/>
              <w:right w:val="single" w:sz="4" w:space="0" w:color="auto"/>
            </w:tcBorders>
            <w:shd w:val="clear" w:color="auto" w:fill="auto"/>
            <w:noWrap/>
            <w:vAlign w:val="center"/>
            <w:hideMark/>
          </w:tcPr>
          <w:p w14:paraId="4DF5066A"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11.164.052.140</w:t>
            </w:r>
          </w:p>
        </w:tc>
        <w:tc>
          <w:tcPr>
            <w:tcW w:w="1669" w:type="dxa"/>
            <w:tcBorders>
              <w:top w:val="nil"/>
              <w:left w:val="nil"/>
              <w:bottom w:val="single" w:sz="4" w:space="0" w:color="auto"/>
              <w:right w:val="single" w:sz="4" w:space="0" w:color="auto"/>
            </w:tcBorders>
            <w:shd w:val="clear" w:color="auto" w:fill="auto"/>
            <w:noWrap/>
            <w:vAlign w:val="center"/>
            <w:hideMark/>
          </w:tcPr>
          <w:p w14:paraId="4C03E5A0"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10.642.451.270</w:t>
            </w:r>
          </w:p>
        </w:tc>
        <w:tc>
          <w:tcPr>
            <w:tcW w:w="1653" w:type="dxa"/>
            <w:tcBorders>
              <w:top w:val="nil"/>
              <w:left w:val="nil"/>
              <w:bottom w:val="single" w:sz="4" w:space="0" w:color="auto"/>
              <w:right w:val="single" w:sz="4" w:space="0" w:color="auto"/>
            </w:tcBorders>
            <w:shd w:val="clear" w:color="auto" w:fill="auto"/>
            <w:noWrap/>
            <w:vAlign w:val="center"/>
            <w:hideMark/>
          </w:tcPr>
          <w:p w14:paraId="4C8D1227"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10.451.628.037</w:t>
            </w:r>
          </w:p>
        </w:tc>
        <w:tc>
          <w:tcPr>
            <w:tcW w:w="1541" w:type="dxa"/>
            <w:tcBorders>
              <w:top w:val="nil"/>
              <w:left w:val="nil"/>
              <w:bottom w:val="single" w:sz="4" w:space="0" w:color="auto"/>
              <w:right w:val="single" w:sz="4" w:space="0" w:color="auto"/>
            </w:tcBorders>
            <w:shd w:val="clear" w:color="auto" w:fill="auto"/>
            <w:noWrap/>
            <w:vAlign w:val="center"/>
            <w:hideMark/>
          </w:tcPr>
          <w:p w14:paraId="5AFE32A4"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8.238.179.028</w:t>
            </w:r>
          </w:p>
        </w:tc>
        <w:tc>
          <w:tcPr>
            <w:tcW w:w="0" w:type="auto"/>
            <w:tcBorders>
              <w:top w:val="nil"/>
              <w:left w:val="nil"/>
              <w:bottom w:val="single" w:sz="4" w:space="0" w:color="auto"/>
              <w:right w:val="single" w:sz="4" w:space="0" w:color="auto"/>
            </w:tcBorders>
            <w:shd w:val="clear" w:color="auto" w:fill="auto"/>
            <w:noWrap/>
            <w:vAlign w:val="center"/>
            <w:hideMark/>
          </w:tcPr>
          <w:p w14:paraId="64E99A90"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9.771.543.449</w:t>
            </w:r>
          </w:p>
        </w:tc>
      </w:tr>
      <w:tr w:rsidR="002A503F" w:rsidRPr="002A503F" w14:paraId="5D8C3D35" w14:textId="77777777" w:rsidTr="00335934">
        <w:trPr>
          <w:trHeight w:val="255"/>
          <w:jc w:val="right"/>
        </w:trPr>
        <w:tc>
          <w:tcPr>
            <w:tcW w:w="944" w:type="dxa"/>
            <w:tcBorders>
              <w:top w:val="nil"/>
              <w:left w:val="single" w:sz="4" w:space="0" w:color="auto"/>
              <w:bottom w:val="single" w:sz="4" w:space="0" w:color="auto"/>
              <w:right w:val="nil"/>
            </w:tcBorders>
            <w:shd w:val="clear" w:color="000000" w:fill="FFFFFF"/>
            <w:noWrap/>
            <w:vAlign w:val="center"/>
            <w:hideMark/>
          </w:tcPr>
          <w:p w14:paraId="2D68CE4B"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5</w:t>
            </w:r>
          </w:p>
        </w:tc>
        <w:tc>
          <w:tcPr>
            <w:tcW w:w="1749" w:type="dxa"/>
            <w:tcBorders>
              <w:top w:val="nil"/>
              <w:left w:val="single" w:sz="4" w:space="0" w:color="auto"/>
              <w:bottom w:val="single" w:sz="4" w:space="0" w:color="auto"/>
              <w:right w:val="single" w:sz="4" w:space="0" w:color="auto"/>
            </w:tcBorders>
            <w:shd w:val="clear" w:color="auto" w:fill="auto"/>
            <w:noWrap/>
            <w:vAlign w:val="center"/>
            <w:hideMark/>
          </w:tcPr>
          <w:p w14:paraId="28BEF148"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5.895.019.000</w:t>
            </w:r>
          </w:p>
        </w:tc>
        <w:tc>
          <w:tcPr>
            <w:tcW w:w="1669" w:type="dxa"/>
            <w:tcBorders>
              <w:top w:val="nil"/>
              <w:left w:val="nil"/>
              <w:bottom w:val="single" w:sz="4" w:space="0" w:color="auto"/>
              <w:right w:val="single" w:sz="4" w:space="0" w:color="auto"/>
            </w:tcBorders>
            <w:shd w:val="clear" w:color="auto" w:fill="auto"/>
            <w:noWrap/>
            <w:vAlign w:val="center"/>
            <w:hideMark/>
          </w:tcPr>
          <w:p w14:paraId="403B2F6C"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976.014.000</w:t>
            </w:r>
          </w:p>
        </w:tc>
        <w:tc>
          <w:tcPr>
            <w:tcW w:w="1653" w:type="dxa"/>
            <w:tcBorders>
              <w:top w:val="nil"/>
              <w:left w:val="nil"/>
              <w:bottom w:val="single" w:sz="4" w:space="0" w:color="auto"/>
              <w:right w:val="single" w:sz="4" w:space="0" w:color="auto"/>
            </w:tcBorders>
            <w:shd w:val="clear" w:color="auto" w:fill="auto"/>
            <w:noWrap/>
            <w:vAlign w:val="center"/>
            <w:hideMark/>
          </w:tcPr>
          <w:p w14:paraId="39971B06"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1.640.088.000</w:t>
            </w:r>
          </w:p>
        </w:tc>
        <w:tc>
          <w:tcPr>
            <w:tcW w:w="1541" w:type="dxa"/>
            <w:tcBorders>
              <w:top w:val="nil"/>
              <w:left w:val="nil"/>
              <w:bottom w:val="single" w:sz="4" w:space="0" w:color="auto"/>
              <w:right w:val="single" w:sz="4" w:space="0" w:color="auto"/>
            </w:tcBorders>
            <w:shd w:val="clear" w:color="auto" w:fill="auto"/>
            <w:noWrap/>
            <w:vAlign w:val="center"/>
            <w:hideMark/>
          </w:tcPr>
          <w:p w14:paraId="74F49862"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1.019.251.000</w:t>
            </w:r>
          </w:p>
        </w:tc>
        <w:tc>
          <w:tcPr>
            <w:tcW w:w="0" w:type="auto"/>
            <w:tcBorders>
              <w:top w:val="nil"/>
              <w:left w:val="nil"/>
              <w:bottom w:val="single" w:sz="4" w:space="0" w:color="auto"/>
              <w:right w:val="single" w:sz="4" w:space="0" w:color="auto"/>
            </w:tcBorders>
            <w:shd w:val="clear" w:color="auto" w:fill="auto"/>
            <w:noWrap/>
            <w:vAlign w:val="center"/>
            <w:hideMark/>
          </w:tcPr>
          <w:p w14:paraId="6686D452"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1.593.367.000</w:t>
            </w:r>
          </w:p>
        </w:tc>
      </w:tr>
      <w:tr w:rsidR="002A503F" w:rsidRPr="002A503F" w14:paraId="51CCA677" w14:textId="77777777" w:rsidTr="00335934">
        <w:trPr>
          <w:trHeight w:val="255"/>
          <w:jc w:val="right"/>
        </w:trPr>
        <w:tc>
          <w:tcPr>
            <w:tcW w:w="944" w:type="dxa"/>
            <w:tcBorders>
              <w:top w:val="nil"/>
              <w:left w:val="single" w:sz="4" w:space="0" w:color="auto"/>
              <w:bottom w:val="single" w:sz="4" w:space="0" w:color="auto"/>
              <w:right w:val="nil"/>
            </w:tcBorders>
            <w:shd w:val="clear" w:color="000000" w:fill="FFFFFF"/>
            <w:noWrap/>
            <w:vAlign w:val="center"/>
            <w:hideMark/>
          </w:tcPr>
          <w:p w14:paraId="6814F7EA"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6</w:t>
            </w:r>
          </w:p>
        </w:tc>
        <w:tc>
          <w:tcPr>
            <w:tcW w:w="1749" w:type="dxa"/>
            <w:tcBorders>
              <w:top w:val="nil"/>
              <w:left w:val="single" w:sz="4" w:space="0" w:color="auto"/>
              <w:bottom w:val="single" w:sz="4" w:space="0" w:color="auto"/>
              <w:right w:val="single" w:sz="4" w:space="0" w:color="auto"/>
            </w:tcBorders>
            <w:shd w:val="clear" w:color="auto" w:fill="auto"/>
            <w:noWrap/>
            <w:vAlign w:val="center"/>
            <w:hideMark/>
          </w:tcPr>
          <w:p w14:paraId="0777A7CC"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4.369.024.000</w:t>
            </w:r>
          </w:p>
        </w:tc>
        <w:tc>
          <w:tcPr>
            <w:tcW w:w="1669" w:type="dxa"/>
            <w:tcBorders>
              <w:top w:val="nil"/>
              <w:left w:val="nil"/>
              <w:bottom w:val="single" w:sz="4" w:space="0" w:color="auto"/>
              <w:right w:val="single" w:sz="4" w:space="0" w:color="auto"/>
            </w:tcBorders>
            <w:shd w:val="clear" w:color="auto" w:fill="auto"/>
            <w:noWrap/>
            <w:vAlign w:val="center"/>
            <w:hideMark/>
          </w:tcPr>
          <w:p w14:paraId="146D0425"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2.387.912.000</w:t>
            </w:r>
          </w:p>
        </w:tc>
        <w:tc>
          <w:tcPr>
            <w:tcW w:w="1653" w:type="dxa"/>
            <w:tcBorders>
              <w:top w:val="nil"/>
              <w:left w:val="nil"/>
              <w:bottom w:val="single" w:sz="4" w:space="0" w:color="auto"/>
              <w:right w:val="single" w:sz="4" w:space="0" w:color="auto"/>
            </w:tcBorders>
            <w:shd w:val="clear" w:color="auto" w:fill="auto"/>
            <w:noWrap/>
            <w:vAlign w:val="center"/>
            <w:hideMark/>
          </w:tcPr>
          <w:p w14:paraId="3544BA69"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3.864.532.000</w:t>
            </w:r>
          </w:p>
        </w:tc>
        <w:tc>
          <w:tcPr>
            <w:tcW w:w="1541" w:type="dxa"/>
            <w:tcBorders>
              <w:top w:val="nil"/>
              <w:left w:val="nil"/>
              <w:bottom w:val="single" w:sz="4" w:space="0" w:color="auto"/>
              <w:right w:val="single" w:sz="4" w:space="0" w:color="auto"/>
            </w:tcBorders>
            <w:shd w:val="clear" w:color="auto" w:fill="auto"/>
            <w:noWrap/>
            <w:vAlign w:val="center"/>
            <w:hideMark/>
          </w:tcPr>
          <w:p w14:paraId="28B0261D"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2.261.789.000</w:t>
            </w:r>
          </w:p>
        </w:tc>
        <w:tc>
          <w:tcPr>
            <w:tcW w:w="0" w:type="auto"/>
            <w:tcBorders>
              <w:top w:val="nil"/>
              <w:left w:val="nil"/>
              <w:bottom w:val="single" w:sz="4" w:space="0" w:color="auto"/>
              <w:right w:val="single" w:sz="4" w:space="0" w:color="auto"/>
            </w:tcBorders>
            <w:shd w:val="clear" w:color="auto" w:fill="auto"/>
            <w:noWrap/>
            <w:vAlign w:val="center"/>
            <w:hideMark/>
          </w:tcPr>
          <w:p w14:paraId="08B2E375"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3.852.765.000</w:t>
            </w:r>
          </w:p>
        </w:tc>
      </w:tr>
      <w:tr w:rsidR="002A503F" w:rsidRPr="002A503F" w14:paraId="743C82D6" w14:textId="77777777" w:rsidTr="00335934">
        <w:trPr>
          <w:trHeight w:val="255"/>
          <w:jc w:val="right"/>
        </w:trPr>
        <w:tc>
          <w:tcPr>
            <w:tcW w:w="944" w:type="dxa"/>
            <w:tcBorders>
              <w:top w:val="nil"/>
              <w:left w:val="single" w:sz="4" w:space="0" w:color="auto"/>
              <w:bottom w:val="single" w:sz="4" w:space="0" w:color="auto"/>
              <w:right w:val="nil"/>
            </w:tcBorders>
            <w:shd w:val="clear" w:color="000000" w:fill="FFFFFF"/>
            <w:noWrap/>
            <w:vAlign w:val="center"/>
            <w:hideMark/>
          </w:tcPr>
          <w:p w14:paraId="331B0E74"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7</w:t>
            </w:r>
          </w:p>
        </w:tc>
        <w:tc>
          <w:tcPr>
            <w:tcW w:w="1749" w:type="dxa"/>
            <w:tcBorders>
              <w:top w:val="nil"/>
              <w:left w:val="single" w:sz="4" w:space="0" w:color="auto"/>
              <w:bottom w:val="single" w:sz="4" w:space="0" w:color="auto"/>
              <w:right w:val="single" w:sz="4" w:space="0" w:color="auto"/>
            </w:tcBorders>
            <w:shd w:val="clear" w:color="auto" w:fill="auto"/>
            <w:noWrap/>
            <w:vAlign w:val="center"/>
            <w:hideMark/>
          </w:tcPr>
          <w:p w14:paraId="30064F35"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148.673.778.734</w:t>
            </w:r>
          </w:p>
        </w:tc>
        <w:tc>
          <w:tcPr>
            <w:tcW w:w="1669" w:type="dxa"/>
            <w:tcBorders>
              <w:top w:val="nil"/>
              <w:left w:val="nil"/>
              <w:bottom w:val="single" w:sz="4" w:space="0" w:color="auto"/>
              <w:right w:val="single" w:sz="4" w:space="0" w:color="auto"/>
            </w:tcBorders>
            <w:shd w:val="clear" w:color="auto" w:fill="auto"/>
            <w:noWrap/>
            <w:vAlign w:val="center"/>
            <w:hideMark/>
          </w:tcPr>
          <w:p w14:paraId="7D1980A3"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122.290.725.896</w:t>
            </w:r>
          </w:p>
        </w:tc>
        <w:tc>
          <w:tcPr>
            <w:tcW w:w="1653" w:type="dxa"/>
            <w:tcBorders>
              <w:top w:val="nil"/>
              <w:left w:val="nil"/>
              <w:bottom w:val="single" w:sz="4" w:space="0" w:color="auto"/>
              <w:right w:val="single" w:sz="4" w:space="0" w:color="auto"/>
            </w:tcBorders>
            <w:shd w:val="clear" w:color="auto" w:fill="auto"/>
            <w:noWrap/>
            <w:vAlign w:val="center"/>
            <w:hideMark/>
          </w:tcPr>
          <w:p w14:paraId="5668EBFE"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129.921.441.446</w:t>
            </w:r>
          </w:p>
        </w:tc>
        <w:tc>
          <w:tcPr>
            <w:tcW w:w="1541" w:type="dxa"/>
            <w:tcBorders>
              <w:top w:val="nil"/>
              <w:left w:val="nil"/>
              <w:bottom w:val="single" w:sz="4" w:space="0" w:color="auto"/>
              <w:right w:val="single" w:sz="4" w:space="0" w:color="auto"/>
            </w:tcBorders>
            <w:shd w:val="clear" w:color="auto" w:fill="auto"/>
            <w:noWrap/>
            <w:vAlign w:val="center"/>
            <w:hideMark/>
          </w:tcPr>
          <w:p w14:paraId="12325601"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95.542.265.276</w:t>
            </w:r>
          </w:p>
        </w:tc>
        <w:tc>
          <w:tcPr>
            <w:tcW w:w="0" w:type="auto"/>
            <w:tcBorders>
              <w:top w:val="nil"/>
              <w:left w:val="nil"/>
              <w:bottom w:val="single" w:sz="4" w:space="0" w:color="auto"/>
              <w:right w:val="single" w:sz="4" w:space="0" w:color="auto"/>
            </w:tcBorders>
            <w:shd w:val="clear" w:color="auto" w:fill="auto"/>
            <w:noWrap/>
            <w:vAlign w:val="center"/>
            <w:hideMark/>
          </w:tcPr>
          <w:p w14:paraId="301A18F7"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118.707.856.109</w:t>
            </w:r>
          </w:p>
        </w:tc>
      </w:tr>
      <w:tr w:rsidR="002A503F" w:rsidRPr="002A503F" w14:paraId="72C1A1AE" w14:textId="77777777" w:rsidTr="00335934">
        <w:trPr>
          <w:trHeight w:val="255"/>
          <w:jc w:val="right"/>
        </w:trPr>
        <w:tc>
          <w:tcPr>
            <w:tcW w:w="944" w:type="dxa"/>
            <w:tcBorders>
              <w:top w:val="nil"/>
              <w:left w:val="single" w:sz="4" w:space="0" w:color="auto"/>
              <w:bottom w:val="single" w:sz="4" w:space="0" w:color="auto"/>
              <w:right w:val="nil"/>
            </w:tcBorders>
            <w:shd w:val="clear" w:color="000000" w:fill="FFFFFF"/>
            <w:noWrap/>
            <w:vAlign w:val="center"/>
            <w:hideMark/>
          </w:tcPr>
          <w:p w14:paraId="5074340B"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8</w:t>
            </w:r>
          </w:p>
        </w:tc>
        <w:tc>
          <w:tcPr>
            <w:tcW w:w="1749" w:type="dxa"/>
            <w:tcBorders>
              <w:top w:val="nil"/>
              <w:left w:val="single" w:sz="4" w:space="0" w:color="auto"/>
              <w:bottom w:val="single" w:sz="4" w:space="0" w:color="auto"/>
              <w:right w:val="single" w:sz="4" w:space="0" w:color="auto"/>
            </w:tcBorders>
            <w:shd w:val="clear" w:color="auto" w:fill="auto"/>
            <w:noWrap/>
            <w:vAlign w:val="center"/>
            <w:hideMark/>
          </w:tcPr>
          <w:p w14:paraId="14FD5DD8"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16.518.699.549</w:t>
            </w:r>
          </w:p>
        </w:tc>
        <w:tc>
          <w:tcPr>
            <w:tcW w:w="1669" w:type="dxa"/>
            <w:tcBorders>
              <w:top w:val="nil"/>
              <w:left w:val="nil"/>
              <w:bottom w:val="single" w:sz="4" w:space="0" w:color="auto"/>
              <w:right w:val="single" w:sz="4" w:space="0" w:color="auto"/>
            </w:tcBorders>
            <w:shd w:val="clear" w:color="auto" w:fill="auto"/>
            <w:noWrap/>
            <w:vAlign w:val="center"/>
            <w:hideMark/>
          </w:tcPr>
          <w:p w14:paraId="5705E4C2"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12.123.623.967</w:t>
            </w:r>
          </w:p>
        </w:tc>
        <w:tc>
          <w:tcPr>
            <w:tcW w:w="1653" w:type="dxa"/>
            <w:tcBorders>
              <w:top w:val="nil"/>
              <w:left w:val="nil"/>
              <w:bottom w:val="single" w:sz="4" w:space="0" w:color="auto"/>
              <w:right w:val="single" w:sz="4" w:space="0" w:color="auto"/>
            </w:tcBorders>
            <w:shd w:val="clear" w:color="auto" w:fill="auto"/>
            <w:noWrap/>
            <w:vAlign w:val="center"/>
            <w:hideMark/>
          </w:tcPr>
          <w:p w14:paraId="1825D6A6"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19.451.903.392</w:t>
            </w:r>
          </w:p>
        </w:tc>
        <w:tc>
          <w:tcPr>
            <w:tcW w:w="1541" w:type="dxa"/>
            <w:tcBorders>
              <w:top w:val="nil"/>
              <w:left w:val="nil"/>
              <w:bottom w:val="single" w:sz="4" w:space="0" w:color="auto"/>
              <w:right w:val="single" w:sz="4" w:space="0" w:color="auto"/>
            </w:tcBorders>
            <w:shd w:val="clear" w:color="auto" w:fill="auto"/>
            <w:noWrap/>
            <w:vAlign w:val="center"/>
            <w:hideMark/>
          </w:tcPr>
          <w:p w14:paraId="7EA84E8E"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21.506.563.340</w:t>
            </w:r>
          </w:p>
        </w:tc>
        <w:tc>
          <w:tcPr>
            <w:tcW w:w="0" w:type="auto"/>
            <w:tcBorders>
              <w:top w:val="nil"/>
              <w:left w:val="nil"/>
              <w:bottom w:val="single" w:sz="4" w:space="0" w:color="auto"/>
              <w:right w:val="single" w:sz="4" w:space="0" w:color="auto"/>
            </w:tcBorders>
            <w:shd w:val="clear" w:color="auto" w:fill="auto"/>
            <w:noWrap/>
            <w:vAlign w:val="center"/>
            <w:hideMark/>
          </w:tcPr>
          <w:p w14:paraId="19DA9CE4"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20.538.923.994</w:t>
            </w:r>
          </w:p>
        </w:tc>
      </w:tr>
      <w:tr w:rsidR="002A503F" w:rsidRPr="002A503F" w14:paraId="2344E7EC" w14:textId="77777777" w:rsidTr="00335934">
        <w:trPr>
          <w:trHeight w:val="255"/>
          <w:jc w:val="right"/>
        </w:trPr>
        <w:tc>
          <w:tcPr>
            <w:tcW w:w="944" w:type="dxa"/>
            <w:tcBorders>
              <w:top w:val="nil"/>
              <w:left w:val="single" w:sz="4" w:space="0" w:color="auto"/>
              <w:bottom w:val="single" w:sz="4" w:space="0" w:color="auto"/>
              <w:right w:val="nil"/>
            </w:tcBorders>
            <w:shd w:val="clear" w:color="000000" w:fill="FFFFFF"/>
            <w:noWrap/>
            <w:vAlign w:val="center"/>
            <w:hideMark/>
          </w:tcPr>
          <w:p w14:paraId="09647BA9"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9</w:t>
            </w:r>
          </w:p>
        </w:tc>
        <w:tc>
          <w:tcPr>
            <w:tcW w:w="1749" w:type="dxa"/>
            <w:tcBorders>
              <w:top w:val="nil"/>
              <w:left w:val="single" w:sz="4" w:space="0" w:color="auto"/>
              <w:bottom w:val="single" w:sz="4" w:space="0" w:color="auto"/>
              <w:right w:val="single" w:sz="4" w:space="0" w:color="auto"/>
            </w:tcBorders>
            <w:shd w:val="clear" w:color="auto" w:fill="auto"/>
            <w:noWrap/>
            <w:vAlign w:val="center"/>
            <w:hideMark/>
          </w:tcPr>
          <w:p w14:paraId="6EE8C826"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46.047.288.000</w:t>
            </w:r>
          </w:p>
        </w:tc>
        <w:tc>
          <w:tcPr>
            <w:tcW w:w="1669" w:type="dxa"/>
            <w:tcBorders>
              <w:top w:val="nil"/>
              <w:left w:val="nil"/>
              <w:bottom w:val="single" w:sz="4" w:space="0" w:color="auto"/>
              <w:right w:val="single" w:sz="4" w:space="0" w:color="auto"/>
            </w:tcBorders>
            <w:shd w:val="clear" w:color="auto" w:fill="auto"/>
            <w:noWrap/>
            <w:vAlign w:val="center"/>
            <w:hideMark/>
          </w:tcPr>
          <w:p w14:paraId="73535E20"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11.872.124.000</w:t>
            </w:r>
          </w:p>
        </w:tc>
        <w:tc>
          <w:tcPr>
            <w:tcW w:w="1653" w:type="dxa"/>
            <w:tcBorders>
              <w:top w:val="nil"/>
              <w:left w:val="nil"/>
              <w:bottom w:val="single" w:sz="4" w:space="0" w:color="auto"/>
              <w:right w:val="single" w:sz="4" w:space="0" w:color="auto"/>
            </w:tcBorders>
            <w:shd w:val="clear" w:color="auto" w:fill="auto"/>
            <w:noWrap/>
            <w:vAlign w:val="center"/>
            <w:hideMark/>
          </w:tcPr>
          <w:p w14:paraId="604EE96F"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9.190.408.000</w:t>
            </w:r>
          </w:p>
        </w:tc>
        <w:tc>
          <w:tcPr>
            <w:tcW w:w="1541" w:type="dxa"/>
            <w:tcBorders>
              <w:top w:val="nil"/>
              <w:left w:val="nil"/>
              <w:bottom w:val="single" w:sz="4" w:space="0" w:color="auto"/>
              <w:right w:val="single" w:sz="4" w:space="0" w:color="auto"/>
            </w:tcBorders>
            <w:shd w:val="clear" w:color="auto" w:fill="auto"/>
            <w:noWrap/>
            <w:vAlign w:val="center"/>
            <w:hideMark/>
          </w:tcPr>
          <w:p w14:paraId="4E5E323F"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3.053.431.000</w:t>
            </w:r>
          </w:p>
        </w:tc>
        <w:tc>
          <w:tcPr>
            <w:tcW w:w="0" w:type="auto"/>
            <w:tcBorders>
              <w:top w:val="nil"/>
              <w:left w:val="nil"/>
              <w:bottom w:val="single" w:sz="4" w:space="0" w:color="auto"/>
              <w:right w:val="single" w:sz="4" w:space="0" w:color="auto"/>
            </w:tcBorders>
            <w:shd w:val="clear" w:color="auto" w:fill="auto"/>
            <w:noWrap/>
            <w:vAlign w:val="center"/>
            <w:hideMark/>
          </w:tcPr>
          <w:p w14:paraId="0EBA7C72"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5.325.427.000</w:t>
            </w:r>
          </w:p>
        </w:tc>
      </w:tr>
      <w:tr w:rsidR="002A503F" w:rsidRPr="002A503F" w14:paraId="6BD592A6" w14:textId="77777777" w:rsidTr="00335934">
        <w:trPr>
          <w:trHeight w:val="255"/>
          <w:jc w:val="right"/>
        </w:trPr>
        <w:tc>
          <w:tcPr>
            <w:tcW w:w="944" w:type="dxa"/>
            <w:tcBorders>
              <w:top w:val="nil"/>
              <w:left w:val="single" w:sz="4" w:space="0" w:color="auto"/>
              <w:bottom w:val="single" w:sz="4" w:space="0" w:color="auto"/>
              <w:right w:val="nil"/>
            </w:tcBorders>
            <w:shd w:val="clear" w:color="000000" w:fill="FFFFFF"/>
            <w:noWrap/>
            <w:vAlign w:val="center"/>
            <w:hideMark/>
          </w:tcPr>
          <w:p w14:paraId="25821FA7"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10</w:t>
            </w:r>
          </w:p>
        </w:tc>
        <w:tc>
          <w:tcPr>
            <w:tcW w:w="1749" w:type="dxa"/>
            <w:tcBorders>
              <w:top w:val="nil"/>
              <w:left w:val="single" w:sz="4" w:space="0" w:color="auto"/>
              <w:bottom w:val="single" w:sz="4" w:space="0" w:color="auto"/>
              <w:right w:val="single" w:sz="4" w:space="0" w:color="auto"/>
            </w:tcBorders>
            <w:shd w:val="clear" w:color="auto" w:fill="auto"/>
            <w:noWrap/>
            <w:vAlign w:val="center"/>
            <w:hideMark/>
          </w:tcPr>
          <w:p w14:paraId="0C05181F"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1.744.231.000</w:t>
            </w:r>
          </w:p>
        </w:tc>
        <w:tc>
          <w:tcPr>
            <w:tcW w:w="1669" w:type="dxa"/>
            <w:tcBorders>
              <w:top w:val="nil"/>
              <w:left w:val="nil"/>
              <w:bottom w:val="single" w:sz="4" w:space="0" w:color="auto"/>
              <w:right w:val="single" w:sz="4" w:space="0" w:color="auto"/>
            </w:tcBorders>
            <w:shd w:val="clear" w:color="auto" w:fill="auto"/>
            <w:noWrap/>
            <w:vAlign w:val="center"/>
            <w:hideMark/>
          </w:tcPr>
          <w:p w14:paraId="3A7B178E"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1.153.989.979</w:t>
            </w:r>
          </w:p>
        </w:tc>
        <w:tc>
          <w:tcPr>
            <w:tcW w:w="1653" w:type="dxa"/>
            <w:tcBorders>
              <w:top w:val="nil"/>
              <w:left w:val="nil"/>
              <w:bottom w:val="single" w:sz="4" w:space="0" w:color="auto"/>
              <w:right w:val="single" w:sz="4" w:space="0" w:color="auto"/>
            </w:tcBorders>
            <w:shd w:val="clear" w:color="auto" w:fill="auto"/>
            <w:noWrap/>
            <w:vAlign w:val="center"/>
            <w:hideMark/>
          </w:tcPr>
          <w:p w14:paraId="1F438891"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6.529.827.225</w:t>
            </w:r>
          </w:p>
        </w:tc>
        <w:tc>
          <w:tcPr>
            <w:tcW w:w="1541" w:type="dxa"/>
            <w:tcBorders>
              <w:top w:val="nil"/>
              <w:left w:val="nil"/>
              <w:bottom w:val="single" w:sz="4" w:space="0" w:color="auto"/>
              <w:right w:val="single" w:sz="4" w:space="0" w:color="auto"/>
            </w:tcBorders>
            <w:shd w:val="clear" w:color="auto" w:fill="auto"/>
            <w:noWrap/>
            <w:vAlign w:val="center"/>
            <w:hideMark/>
          </w:tcPr>
          <w:p w14:paraId="7CDADE51"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1.130.579.921</w:t>
            </w:r>
          </w:p>
        </w:tc>
        <w:tc>
          <w:tcPr>
            <w:tcW w:w="0" w:type="auto"/>
            <w:tcBorders>
              <w:top w:val="nil"/>
              <w:left w:val="nil"/>
              <w:bottom w:val="single" w:sz="4" w:space="0" w:color="auto"/>
              <w:right w:val="single" w:sz="4" w:space="0" w:color="auto"/>
            </w:tcBorders>
            <w:shd w:val="clear" w:color="auto" w:fill="auto"/>
            <w:noWrap/>
            <w:vAlign w:val="center"/>
            <w:hideMark/>
          </w:tcPr>
          <w:p w14:paraId="738FB9BE"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1.575.245.671</w:t>
            </w:r>
          </w:p>
        </w:tc>
      </w:tr>
    </w:tbl>
    <w:p w14:paraId="05B5A1FB" w14:textId="26482B9C" w:rsidR="004730C9" w:rsidRPr="00B0124E" w:rsidRDefault="004730C9" w:rsidP="004730C9">
      <w:pPr>
        <w:pStyle w:val="Descripcin"/>
        <w:rPr>
          <w:i/>
          <w:iCs/>
          <w:sz w:val="20"/>
          <w:szCs w:val="18"/>
        </w:rPr>
      </w:pPr>
      <w:r w:rsidRPr="00B0124E">
        <w:rPr>
          <w:i/>
          <w:iCs/>
          <w:sz w:val="20"/>
          <w:szCs w:val="18"/>
        </w:rPr>
        <w:t>Tabla 5 Plan de inversiones del nivel de tensión 1, pesos de diciembre de 2017</w:t>
      </w:r>
    </w:p>
    <w:tbl>
      <w:tblPr>
        <w:tblW w:w="0" w:type="auto"/>
        <w:tblInd w:w="421" w:type="dxa"/>
        <w:tblCellMar>
          <w:left w:w="70" w:type="dxa"/>
          <w:right w:w="70" w:type="dxa"/>
        </w:tblCellMar>
        <w:tblLook w:val="04A0" w:firstRow="1" w:lastRow="0" w:firstColumn="1" w:lastColumn="0" w:noHBand="0" w:noVBand="1"/>
      </w:tblPr>
      <w:tblGrid>
        <w:gridCol w:w="1220"/>
        <w:gridCol w:w="1541"/>
        <w:gridCol w:w="1541"/>
        <w:gridCol w:w="1541"/>
        <w:gridCol w:w="1541"/>
        <w:gridCol w:w="1541"/>
      </w:tblGrid>
      <w:tr w:rsidR="002A503F" w:rsidRPr="002A503F" w14:paraId="5FF56B0B" w14:textId="77777777" w:rsidTr="002A503F">
        <w:trPr>
          <w:trHeight w:val="480"/>
        </w:trPr>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DD4B1" w14:textId="77777777" w:rsidR="002A503F" w:rsidRPr="002A503F" w:rsidRDefault="002A503F" w:rsidP="002A503F">
            <w:pPr>
              <w:spacing w:before="0" w:after="0"/>
              <w:jc w:val="center"/>
              <w:rPr>
                <w:rFonts w:cs="Arial"/>
                <w:b/>
                <w:bCs/>
                <w:color w:val="000000"/>
                <w:sz w:val="18"/>
                <w:szCs w:val="18"/>
                <w:lang w:val="es-CO" w:eastAsia="es-CO"/>
              </w:rPr>
            </w:pPr>
            <w:r w:rsidRPr="002A503F">
              <w:rPr>
                <w:rFonts w:cs="Arial"/>
                <w:b/>
                <w:bCs/>
                <w:color w:val="000000"/>
                <w:sz w:val="18"/>
                <w:szCs w:val="18"/>
                <w:lang w:val="es-CO" w:eastAsia="es-CO"/>
              </w:rPr>
              <w:t xml:space="preserve">Categoría de activos </w:t>
            </w:r>
            <w:r w:rsidRPr="002A503F">
              <w:rPr>
                <w:rFonts w:cs="Arial"/>
                <w:b/>
                <w:bCs/>
                <w:i/>
                <w:iCs/>
                <w:color w:val="000000"/>
                <w:sz w:val="18"/>
                <w:szCs w:val="18"/>
                <w:lang w:val="es-CO" w:eastAsia="es-CO"/>
              </w:rPr>
              <w:t>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A6571C7" w14:textId="77777777" w:rsidR="002A503F" w:rsidRPr="002A503F" w:rsidRDefault="002A503F" w:rsidP="002A503F">
            <w:pPr>
              <w:spacing w:before="0" w:after="0"/>
              <w:jc w:val="center"/>
              <w:rPr>
                <w:rFonts w:cs="Arial"/>
                <w:b/>
                <w:bCs/>
                <w:i/>
                <w:iCs/>
                <w:sz w:val="18"/>
                <w:szCs w:val="18"/>
                <w:lang w:val="es-CO" w:eastAsia="es-CO"/>
              </w:rPr>
            </w:pPr>
            <w:r w:rsidRPr="002A503F">
              <w:rPr>
                <w:rFonts w:cs="Arial"/>
                <w:b/>
                <w:bCs/>
                <w:i/>
                <w:iCs/>
                <w:sz w:val="18"/>
                <w:szCs w:val="18"/>
                <w:lang w:val="es-CO" w:eastAsia="es-CO"/>
              </w:rPr>
              <w:t>INVA</w:t>
            </w:r>
            <w:r w:rsidRPr="002A503F">
              <w:rPr>
                <w:rFonts w:cs="Arial"/>
                <w:b/>
                <w:bCs/>
                <w:i/>
                <w:iCs/>
                <w:sz w:val="18"/>
                <w:szCs w:val="18"/>
                <w:vertAlign w:val="subscript"/>
                <w:lang w:val="es-CO" w:eastAsia="es-CO"/>
              </w:rPr>
              <w:t>j,1,l,1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0CAB337" w14:textId="77777777" w:rsidR="002A503F" w:rsidRPr="002A503F" w:rsidRDefault="002A503F" w:rsidP="002A503F">
            <w:pPr>
              <w:spacing w:before="0" w:after="0"/>
              <w:jc w:val="center"/>
              <w:rPr>
                <w:rFonts w:cs="Arial"/>
                <w:b/>
                <w:bCs/>
                <w:i/>
                <w:iCs/>
                <w:sz w:val="18"/>
                <w:szCs w:val="18"/>
                <w:lang w:val="es-CO" w:eastAsia="es-CO"/>
              </w:rPr>
            </w:pPr>
            <w:r w:rsidRPr="002A503F">
              <w:rPr>
                <w:rFonts w:cs="Arial"/>
                <w:b/>
                <w:bCs/>
                <w:i/>
                <w:iCs/>
                <w:sz w:val="18"/>
                <w:szCs w:val="18"/>
                <w:lang w:val="es-CO" w:eastAsia="es-CO"/>
              </w:rPr>
              <w:t>INVA</w:t>
            </w:r>
            <w:r w:rsidRPr="002A503F">
              <w:rPr>
                <w:rFonts w:cs="Arial"/>
                <w:b/>
                <w:bCs/>
                <w:i/>
                <w:iCs/>
                <w:sz w:val="18"/>
                <w:szCs w:val="18"/>
                <w:vertAlign w:val="subscript"/>
                <w:lang w:val="es-CO" w:eastAsia="es-CO"/>
              </w:rPr>
              <w:t>j,1,l,2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B4A093D" w14:textId="77777777" w:rsidR="002A503F" w:rsidRPr="002A503F" w:rsidRDefault="002A503F" w:rsidP="002A503F">
            <w:pPr>
              <w:spacing w:before="0" w:after="0"/>
              <w:jc w:val="center"/>
              <w:rPr>
                <w:rFonts w:cs="Arial"/>
                <w:b/>
                <w:bCs/>
                <w:i/>
                <w:iCs/>
                <w:sz w:val="18"/>
                <w:szCs w:val="18"/>
                <w:lang w:val="es-CO" w:eastAsia="es-CO"/>
              </w:rPr>
            </w:pPr>
            <w:r w:rsidRPr="002A503F">
              <w:rPr>
                <w:rFonts w:cs="Arial"/>
                <w:b/>
                <w:bCs/>
                <w:i/>
                <w:iCs/>
                <w:sz w:val="18"/>
                <w:szCs w:val="18"/>
                <w:lang w:val="es-CO" w:eastAsia="es-CO"/>
              </w:rPr>
              <w:t>INVA</w:t>
            </w:r>
            <w:r w:rsidRPr="002A503F">
              <w:rPr>
                <w:rFonts w:cs="Arial"/>
                <w:b/>
                <w:bCs/>
                <w:i/>
                <w:iCs/>
                <w:sz w:val="18"/>
                <w:szCs w:val="18"/>
                <w:vertAlign w:val="subscript"/>
                <w:lang w:val="es-CO" w:eastAsia="es-CO"/>
              </w:rPr>
              <w:t>j,1,l,3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2515536" w14:textId="77777777" w:rsidR="002A503F" w:rsidRPr="002A503F" w:rsidRDefault="002A503F" w:rsidP="002A503F">
            <w:pPr>
              <w:spacing w:before="0" w:after="0"/>
              <w:jc w:val="center"/>
              <w:rPr>
                <w:rFonts w:cs="Arial"/>
                <w:b/>
                <w:bCs/>
                <w:i/>
                <w:iCs/>
                <w:sz w:val="18"/>
                <w:szCs w:val="18"/>
                <w:lang w:val="es-CO" w:eastAsia="es-CO"/>
              </w:rPr>
            </w:pPr>
            <w:r w:rsidRPr="002A503F">
              <w:rPr>
                <w:rFonts w:cs="Arial"/>
                <w:b/>
                <w:bCs/>
                <w:i/>
                <w:iCs/>
                <w:sz w:val="18"/>
                <w:szCs w:val="18"/>
                <w:lang w:val="es-CO" w:eastAsia="es-CO"/>
              </w:rPr>
              <w:t>INVA</w:t>
            </w:r>
            <w:r w:rsidRPr="002A503F">
              <w:rPr>
                <w:rFonts w:cs="Arial"/>
                <w:b/>
                <w:bCs/>
                <w:i/>
                <w:iCs/>
                <w:sz w:val="18"/>
                <w:szCs w:val="18"/>
                <w:vertAlign w:val="subscript"/>
                <w:lang w:val="es-CO" w:eastAsia="es-CO"/>
              </w:rPr>
              <w:t>j,1,l,4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53EA965" w14:textId="77777777" w:rsidR="002A503F" w:rsidRPr="002A503F" w:rsidRDefault="002A503F" w:rsidP="002A503F">
            <w:pPr>
              <w:spacing w:before="0" w:after="0"/>
              <w:jc w:val="center"/>
              <w:rPr>
                <w:rFonts w:cs="Arial"/>
                <w:b/>
                <w:bCs/>
                <w:i/>
                <w:iCs/>
                <w:sz w:val="18"/>
                <w:szCs w:val="18"/>
                <w:lang w:val="es-CO" w:eastAsia="es-CO"/>
              </w:rPr>
            </w:pPr>
            <w:r w:rsidRPr="002A503F">
              <w:rPr>
                <w:rFonts w:cs="Arial"/>
                <w:b/>
                <w:bCs/>
                <w:i/>
                <w:iCs/>
                <w:sz w:val="18"/>
                <w:szCs w:val="18"/>
                <w:lang w:val="es-CO" w:eastAsia="es-CO"/>
              </w:rPr>
              <w:t>INVA</w:t>
            </w:r>
            <w:r w:rsidRPr="002A503F">
              <w:rPr>
                <w:rFonts w:cs="Arial"/>
                <w:b/>
                <w:bCs/>
                <w:i/>
                <w:iCs/>
                <w:sz w:val="18"/>
                <w:szCs w:val="18"/>
                <w:vertAlign w:val="subscript"/>
                <w:lang w:val="es-CO" w:eastAsia="es-CO"/>
              </w:rPr>
              <w:t>j,1,l,5</w:t>
            </w:r>
          </w:p>
        </w:tc>
      </w:tr>
      <w:tr w:rsidR="002A503F" w:rsidRPr="002A503F" w14:paraId="3E3D3F00" w14:textId="77777777" w:rsidTr="002A503F">
        <w:trPr>
          <w:trHeight w:val="255"/>
        </w:trPr>
        <w:tc>
          <w:tcPr>
            <w:tcW w:w="1220" w:type="dxa"/>
            <w:tcBorders>
              <w:top w:val="nil"/>
              <w:left w:val="single" w:sz="4" w:space="0" w:color="auto"/>
              <w:bottom w:val="single" w:sz="4" w:space="0" w:color="auto"/>
              <w:right w:val="nil"/>
            </w:tcBorders>
            <w:shd w:val="clear" w:color="000000" w:fill="FFFFFF"/>
            <w:noWrap/>
            <w:vAlign w:val="center"/>
            <w:hideMark/>
          </w:tcPr>
          <w:p w14:paraId="65187FA7"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E610C4"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32.126.942.000</w:t>
            </w:r>
          </w:p>
        </w:tc>
        <w:tc>
          <w:tcPr>
            <w:tcW w:w="0" w:type="auto"/>
            <w:tcBorders>
              <w:top w:val="nil"/>
              <w:left w:val="nil"/>
              <w:bottom w:val="single" w:sz="4" w:space="0" w:color="auto"/>
              <w:right w:val="single" w:sz="4" w:space="0" w:color="auto"/>
            </w:tcBorders>
            <w:shd w:val="clear" w:color="auto" w:fill="auto"/>
            <w:noWrap/>
            <w:vAlign w:val="center"/>
            <w:hideMark/>
          </w:tcPr>
          <w:p w14:paraId="501E2D02"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35.767.901.000</w:t>
            </w:r>
          </w:p>
        </w:tc>
        <w:tc>
          <w:tcPr>
            <w:tcW w:w="0" w:type="auto"/>
            <w:tcBorders>
              <w:top w:val="nil"/>
              <w:left w:val="nil"/>
              <w:bottom w:val="single" w:sz="4" w:space="0" w:color="auto"/>
              <w:right w:val="single" w:sz="4" w:space="0" w:color="auto"/>
            </w:tcBorders>
            <w:shd w:val="clear" w:color="auto" w:fill="auto"/>
            <w:noWrap/>
            <w:vAlign w:val="center"/>
            <w:hideMark/>
          </w:tcPr>
          <w:p w14:paraId="30B17EAB"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34.966.351.000</w:t>
            </w:r>
          </w:p>
        </w:tc>
        <w:tc>
          <w:tcPr>
            <w:tcW w:w="0" w:type="auto"/>
            <w:tcBorders>
              <w:top w:val="nil"/>
              <w:left w:val="nil"/>
              <w:bottom w:val="single" w:sz="4" w:space="0" w:color="auto"/>
              <w:right w:val="single" w:sz="4" w:space="0" w:color="auto"/>
            </w:tcBorders>
            <w:shd w:val="clear" w:color="auto" w:fill="auto"/>
            <w:noWrap/>
            <w:vAlign w:val="center"/>
            <w:hideMark/>
          </w:tcPr>
          <w:p w14:paraId="245530E7"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32.909.763.000</w:t>
            </w:r>
          </w:p>
        </w:tc>
        <w:tc>
          <w:tcPr>
            <w:tcW w:w="0" w:type="auto"/>
            <w:tcBorders>
              <w:top w:val="nil"/>
              <w:left w:val="nil"/>
              <w:bottom w:val="single" w:sz="4" w:space="0" w:color="auto"/>
              <w:right w:val="single" w:sz="4" w:space="0" w:color="auto"/>
            </w:tcBorders>
            <w:shd w:val="clear" w:color="auto" w:fill="auto"/>
            <w:noWrap/>
            <w:vAlign w:val="center"/>
            <w:hideMark/>
          </w:tcPr>
          <w:p w14:paraId="7341CC08"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34.754.956.000</w:t>
            </w:r>
          </w:p>
        </w:tc>
      </w:tr>
      <w:tr w:rsidR="002A503F" w:rsidRPr="002A503F" w14:paraId="63836470" w14:textId="77777777" w:rsidTr="002A503F">
        <w:trPr>
          <w:trHeight w:val="255"/>
        </w:trPr>
        <w:tc>
          <w:tcPr>
            <w:tcW w:w="1220" w:type="dxa"/>
            <w:tcBorders>
              <w:top w:val="nil"/>
              <w:left w:val="single" w:sz="4" w:space="0" w:color="auto"/>
              <w:bottom w:val="single" w:sz="4" w:space="0" w:color="auto"/>
              <w:right w:val="nil"/>
            </w:tcBorders>
            <w:shd w:val="clear" w:color="000000" w:fill="FFFFFF"/>
            <w:noWrap/>
            <w:vAlign w:val="center"/>
            <w:hideMark/>
          </w:tcPr>
          <w:p w14:paraId="4EA6B2A6" w14:textId="77777777" w:rsidR="002A503F" w:rsidRPr="002A503F" w:rsidRDefault="002A503F" w:rsidP="002A503F">
            <w:pPr>
              <w:spacing w:before="0" w:after="0"/>
              <w:jc w:val="center"/>
              <w:rPr>
                <w:rFonts w:cs="Arial"/>
                <w:i/>
                <w:iCs/>
                <w:color w:val="000000"/>
                <w:sz w:val="18"/>
                <w:szCs w:val="18"/>
                <w:lang w:val="es-CO" w:eastAsia="es-CO"/>
              </w:rPr>
            </w:pPr>
            <w:r w:rsidRPr="002A503F">
              <w:rPr>
                <w:rFonts w:cs="Arial"/>
                <w:i/>
                <w:iCs/>
                <w:color w:val="000000"/>
                <w:sz w:val="18"/>
                <w:szCs w:val="18"/>
                <w:lang w:val="es-CO" w:eastAsia="es-CO"/>
              </w:rPr>
              <w:t>l = 12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20675D"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22.402.683.930</w:t>
            </w:r>
          </w:p>
        </w:tc>
        <w:tc>
          <w:tcPr>
            <w:tcW w:w="0" w:type="auto"/>
            <w:tcBorders>
              <w:top w:val="nil"/>
              <w:left w:val="nil"/>
              <w:bottom w:val="single" w:sz="4" w:space="0" w:color="auto"/>
              <w:right w:val="single" w:sz="4" w:space="0" w:color="auto"/>
            </w:tcBorders>
            <w:shd w:val="clear" w:color="auto" w:fill="auto"/>
            <w:noWrap/>
            <w:vAlign w:val="center"/>
            <w:hideMark/>
          </w:tcPr>
          <w:p w14:paraId="322A4B8E"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31.536.719.603</w:t>
            </w:r>
          </w:p>
        </w:tc>
        <w:tc>
          <w:tcPr>
            <w:tcW w:w="0" w:type="auto"/>
            <w:tcBorders>
              <w:top w:val="nil"/>
              <w:left w:val="nil"/>
              <w:bottom w:val="single" w:sz="4" w:space="0" w:color="auto"/>
              <w:right w:val="single" w:sz="4" w:space="0" w:color="auto"/>
            </w:tcBorders>
            <w:shd w:val="clear" w:color="auto" w:fill="auto"/>
            <w:noWrap/>
            <w:vAlign w:val="center"/>
            <w:hideMark/>
          </w:tcPr>
          <w:p w14:paraId="1BA1484D"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32.095.339.750</w:t>
            </w:r>
          </w:p>
        </w:tc>
        <w:tc>
          <w:tcPr>
            <w:tcW w:w="0" w:type="auto"/>
            <w:tcBorders>
              <w:top w:val="nil"/>
              <w:left w:val="nil"/>
              <w:bottom w:val="single" w:sz="4" w:space="0" w:color="auto"/>
              <w:right w:val="single" w:sz="4" w:space="0" w:color="auto"/>
            </w:tcBorders>
            <w:shd w:val="clear" w:color="auto" w:fill="auto"/>
            <w:noWrap/>
            <w:vAlign w:val="center"/>
            <w:hideMark/>
          </w:tcPr>
          <w:p w14:paraId="155F70EA"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28.875.889.654</w:t>
            </w:r>
          </w:p>
        </w:tc>
        <w:tc>
          <w:tcPr>
            <w:tcW w:w="0" w:type="auto"/>
            <w:tcBorders>
              <w:top w:val="nil"/>
              <w:left w:val="nil"/>
              <w:bottom w:val="single" w:sz="4" w:space="0" w:color="auto"/>
              <w:right w:val="single" w:sz="4" w:space="0" w:color="auto"/>
            </w:tcBorders>
            <w:shd w:val="clear" w:color="auto" w:fill="auto"/>
            <w:noWrap/>
            <w:vAlign w:val="center"/>
            <w:hideMark/>
          </w:tcPr>
          <w:p w14:paraId="097B8AAA" w14:textId="77777777" w:rsidR="002A503F" w:rsidRPr="002A503F" w:rsidRDefault="002A503F" w:rsidP="002A503F">
            <w:pPr>
              <w:spacing w:before="0" w:after="0"/>
              <w:jc w:val="right"/>
              <w:rPr>
                <w:rFonts w:cs="Arial"/>
                <w:sz w:val="18"/>
                <w:szCs w:val="18"/>
                <w:lang w:val="es-CO" w:eastAsia="es-CO"/>
              </w:rPr>
            </w:pPr>
            <w:r w:rsidRPr="002A503F">
              <w:rPr>
                <w:rFonts w:cs="Arial"/>
                <w:sz w:val="18"/>
                <w:szCs w:val="18"/>
                <w:lang w:val="es-CO" w:eastAsia="es-CO"/>
              </w:rPr>
              <w:t>34.009.376.837</w:t>
            </w:r>
          </w:p>
        </w:tc>
      </w:tr>
    </w:tbl>
    <w:p w14:paraId="6E74C0E0" w14:textId="03FB69A9" w:rsidR="004730C9" w:rsidRPr="000C23A9" w:rsidRDefault="004730C9" w:rsidP="004730C9">
      <w:pPr>
        <w:pStyle w:val="Artculo"/>
        <w:ind w:left="0"/>
        <w:outlineLvl w:val="2"/>
        <w:rPr>
          <w:b w:val="0"/>
        </w:rPr>
      </w:pPr>
      <w:r>
        <w:t xml:space="preserve">Modificar el artículo 4 de la Resolución </w:t>
      </w:r>
      <w:r w:rsidR="00C86E92">
        <w:t>CREG 025 de 2021</w:t>
      </w:r>
      <w:r>
        <w:t xml:space="preserve">. </w:t>
      </w:r>
      <w:r w:rsidRPr="00A71EA8">
        <w:rPr>
          <w:b w:val="0"/>
        </w:rPr>
        <w:t xml:space="preserve">El artículo </w:t>
      </w:r>
      <w:r>
        <w:rPr>
          <w:b w:val="0"/>
        </w:rPr>
        <w:t>4</w:t>
      </w:r>
      <w:r w:rsidRPr="00A71EA8">
        <w:rPr>
          <w:b w:val="0"/>
        </w:rPr>
        <w:t xml:space="preserve"> de la Resolución </w:t>
      </w:r>
      <w:r w:rsidR="00C86E92">
        <w:rPr>
          <w:b w:val="0"/>
        </w:rPr>
        <w:t>CREG 025 de 2021</w:t>
      </w:r>
      <w:r w:rsidRPr="00A71EA8">
        <w:rPr>
          <w:b w:val="0"/>
        </w:rPr>
        <w:t xml:space="preserve"> quedará así:</w:t>
      </w:r>
    </w:p>
    <w:p w14:paraId="101853C1" w14:textId="77777777" w:rsidR="004730C9" w:rsidRPr="0056668A" w:rsidRDefault="004730C9" w:rsidP="00723E6C">
      <w:pPr>
        <w:ind w:left="425"/>
        <w:outlineLvl w:val="2"/>
        <w:rPr>
          <w:b/>
          <w:i/>
          <w:sz w:val="22"/>
        </w:rPr>
      </w:pPr>
      <w:r w:rsidRPr="0056668A">
        <w:rPr>
          <w:b/>
          <w:i/>
          <w:sz w:val="22"/>
        </w:rPr>
        <w:t xml:space="preserve">Artículo 4. Recuperación de capital de activos de la BRA inicial. </w:t>
      </w:r>
      <w:r w:rsidRPr="0056668A">
        <w:rPr>
          <w:i/>
          <w:sz w:val="22"/>
        </w:rPr>
        <w:t>El valor de la recuperación de capital reconocida para los activos incluidos en la base regulatoria inicial de activos, RCBIA</w:t>
      </w:r>
      <w:r w:rsidRPr="0056668A">
        <w:rPr>
          <w:i/>
          <w:sz w:val="22"/>
          <w:vertAlign w:val="subscript"/>
        </w:rPr>
        <w:t>j,n,1</w:t>
      </w:r>
      <w:r w:rsidRPr="0056668A">
        <w:rPr>
          <w:i/>
          <w:sz w:val="22"/>
        </w:rPr>
        <w:t>, es el siguiente:</w:t>
      </w:r>
    </w:p>
    <w:p w14:paraId="1051C8B1" w14:textId="18F55118" w:rsidR="004730C9" w:rsidRPr="00B0124E" w:rsidRDefault="004730C9" w:rsidP="004730C9">
      <w:pPr>
        <w:pStyle w:val="Descripcin"/>
        <w:rPr>
          <w:i/>
          <w:iCs/>
          <w:sz w:val="20"/>
          <w:szCs w:val="18"/>
        </w:rPr>
      </w:pPr>
      <w:r w:rsidRPr="00B0124E">
        <w:rPr>
          <w:i/>
          <w:iCs/>
          <w:sz w:val="20"/>
          <w:szCs w:val="18"/>
        </w:rPr>
        <w:t>Tabla 6 Recuperación de capital de activos de la BRA inicial</w:t>
      </w:r>
    </w:p>
    <w:tbl>
      <w:tblPr>
        <w:tblW w:w="3580" w:type="dxa"/>
        <w:jc w:val="center"/>
        <w:tblCellMar>
          <w:left w:w="70" w:type="dxa"/>
          <w:right w:w="70" w:type="dxa"/>
        </w:tblCellMar>
        <w:tblLook w:val="04A0" w:firstRow="1" w:lastRow="0" w:firstColumn="1" w:lastColumn="0" w:noHBand="0" w:noVBand="1"/>
      </w:tblPr>
      <w:tblGrid>
        <w:gridCol w:w="1600"/>
        <w:gridCol w:w="1980"/>
      </w:tblGrid>
      <w:tr w:rsidR="00C86E92" w:rsidRPr="00C86E92" w14:paraId="5536A7AB" w14:textId="77777777" w:rsidTr="00C86E92">
        <w:trPr>
          <w:trHeight w:val="480"/>
          <w:tblHeader/>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2ED0BF" w14:textId="77777777" w:rsidR="00C86E92" w:rsidRPr="00C86E92" w:rsidRDefault="00C86E92" w:rsidP="00C86E92">
            <w:pPr>
              <w:spacing w:before="0" w:after="0"/>
              <w:jc w:val="center"/>
              <w:rPr>
                <w:rFonts w:cs="Arial"/>
                <w:b/>
                <w:bCs/>
                <w:sz w:val="18"/>
                <w:szCs w:val="18"/>
                <w:lang w:val="es-CO" w:eastAsia="es-CO"/>
              </w:rPr>
            </w:pPr>
            <w:r w:rsidRPr="00C86E92">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500B1BCF" w14:textId="77777777" w:rsidR="00C86E92" w:rsidRPr="00C86E92" w:rsidRDefault="00C86E92" w:rsidP="00C86E92">
            <w:pPr>
              <w:spacing w:before="0" w:after="0"/>
              <w:jc w:val="center"/>
              <w:rPr>
                <w:rFonts w:cs="Arial"/>
                <w:b/>
                <w:bCs/>
                <w:sz w:val="18"/>
                <w:szCs w:val="18"/>
                <w:lang w:val="es-CO" w:eastAsia="es-CO"/>
              </w:rPr>
            </w:pPr>
            <w:r w:rsidRPr="00C86E92">
              <w:rPr>
                <w:rFonts w:cs="Arial"/>
                <w:b/>
                <w:bCs/>
                <w:sz w:val="18"/>
                <w:szCs w:val="18"/>
                <w:lang w:val="es-CO" w:eastAsia="es-CO"/>
              </w:rPr>
              <w:t>Pesos de diciembre de 2017</w:t>
            </w:r>
          </w:p>
        </w:tc>
      </w:tr>
      <w:tr w:rsidR="00C86E92" w:rsidRPr="00C86E92" w14:paraId="0A1DD090" w14:textId="77777777" w:rsidTr="00C86E92">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2CCB324D" w14:textId="77777777" w:rsidR="00C86E92" w:rsidRPr="00C86E92" w:rsidRDefault="00C86E92" w:rsidP="00C86E92">
            <w:pPr>
              <w:spacing w:before="0" w:after="0"/>
              <w:jc w:val="center"/>
              <w:rPr>
                <w:rFonts w:cs="Arial"/>
                <w:i/>
                <w:iCs/>
                <w:sz w:val="18"/>
                <w:szCs w:val="18"/>
                <w:lang w:val="es-CO" w:eastAsia="es-CO"/>
              </w:rPr>
            </w:pPr>
            <w:r w:rsidRPr="00C86E92">
              <w:rPr>
                <w:rFonts w:cs="Arial"/>
                <w:i/>
                <w:iCs/>
                <w:sz w:val="18"/>
                <w:szCs w:val="18"/>
                <w:lang w:val="es-CO" w:eastAsia="es-CO"/>
              </w:rPr>
              <w:t>RCBIA</w:t>
            </w:r>
            <w:r w:rsidRPr="00C86E92">
              <w:rPr>
                <w:rFonts w:cs="Arial"/>
                <w:i/>
                <w:iCs/>
                <w:sz w:val="18"/>
                <w:szCs w:val="18"/>
                <w:vertAlign w:val="subscript"/>
                <w:lang w:val="es-CO" w:eastAsia="es-CO"/>
              </w:rPr>
              <w:t>j,4,1</w:t>
            </w:r>
          </w:p>
        </w:tc>
        <w:tc>
          <w:tcPr>
            <w:tcW w:w="1980" w:type="dxa"/>
            <w:tcBorders>
              <w:top w:val="nil"/>
              <w:left w:val="nil"/>
              <w:bottom w:val="single" w:sz="4" w:space="0" w:color="auto"/>
              <w:right w:val="single" w:sz="4" w:space="0" w:color="auto"/>
            </w:tcBorders>
            <w:shd w:val="clear" w:color="auto" w:fill="auto"/>
            <w:noWrap/>
            <w:vAlign w:val="center"/>
            <w:hideMark/>
          </w:tcPr>
          <w:p w14:paraId="0A556C06"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31.466.199.392</w:t>
            </w:r>
          </w:p>
        </w:tc>
      </w:tr>
      <w:tr w:rsidR="00C86E92" w:rsidRPr="00C86E92" w14:paraId="70E05A17" w14:textId="77777777" w:rsidTr="00C86E92">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34D6E880" w14:textId="77777777" w:rsidR="00C86E92" w:rsidRPr="00C86E92" w:rsidRDefault="00C86E92" w:rsidP="00C86E92">
            <w:pPr>
              <w:spacing w:before="0" w:after="0"/>
              <w:jc w:val="center"/>
              <w:rPr>
                <w:rFonts w:cs="Arial"/>
                <w:i/>
                <w:iCs/>
                <w:sz w:val="18"/>
                <w:szCs w:val="18"/>
                <w:lang w:val="es-CO" w:eastAsia="es-CO"/>
              </w:rPr>
            </w:pPr>
            <w:r w:rsidRPr="00C86E92">
              <w:rPr>
                <w:rFonts w:cs="Arial"/>
                <w:i/>
                <w:iCs/>
                <w:sz w:val="18"/>
                <w:szCs w:val="18"/>
                <w:lang w:val="es-CO" w:eastAsia="es-CO"/>
              </w:rPr>
              <w:t>RCBIA</w:t>
            </w:r>
            <w:r w:rsidRPr="00C86E92">
              <w:rPr>
                <w:rFonts w:cs="Arial"/>
                <w:i/>
                <w:iCs/>
                <w:sz w:val="18"/>
                <w:szCs w:val="18"/>
                <w:vertAlign w:val="subscript"/>
                <w:lang w:val="es-CO" w:eastAsia="es-CO"/>
              </w:rPr>
              <w:t>j,3,1</w:t>
            </w:r>
          </w:p>
        </w:tc>
        <w:tc>
          <w:tcPr>
            <w:tcW w:w="1980" w:type="dxa"/>
            <w:tcBorders>
              <w:top w:val="nil"/>
              <w:left w:val="nil"/>
              <w:bottom w:val="single" w:sz="4" w:space="0" w:color="auto"/>
              <w:right w:val="single" w:sz="4" w:space="0" w:color="auto"/>
            </w:tcBorders>
            <w:shd w:val="clear" w:color="auto" w:fill="auto"/>
            <w:noWrap/>
            <w:vAlign w:val="center"/>
            <w:hideMark/>
          </w:tcPr>
          <w:p w14:paraId="33A23537"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15.040.206.488</w:t>
            </w:r>
          </w:p>
        </w:tc>
      </w:tr>
      <w:tr w:rsidR="00C86E92" w:rsidRPr="00C86E92" w14:paraId="151D3B06" w14:textId="77777777" w:rsidTr="00C86E92">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69ED1FC3" w14:textId="77777777" w:rsidR="00C86E92" w:rsidRPr="00C86E92" w:rsidRDefault="00C86E92" w:rsidP="00C86E92">
            <w:pPr>
              <w:spacing w:before="0" w:after="0"/>
              <w:jc w:val="center"/>
              <w:rPr>
                <w:rFonts w:cs="Arial"/>
                <w:i/>
                <w:iCs/>
                <w:sz w:val="18"/>
                <w:szCs w:val="18"/>
                <w:lang w:val="es-CO" w:eastAsia="es-CO"/>
              </w:rPr>
            </w:pPr>
            <w:r w:rsidRPr="00C86E92">
              <w:rPr>
                <w:rFonts w:cs="Arial"/>
                <w:i/>
                <w:iCs/>
                <w:sz w:val="18"/>
                <w:szCs w:val="18"/>
                <w:lang w:val="es-CO" w:eastAsia="es-CO"/>
              </w:rPr>
              <w:t>RCBIA</w:t>
            </w:r>
            <w:r w:rsidRPr="00C86E92">
              <w:rPr>
                <w:rFonts w:cs="Arial"/>
                <w:i/>
                <w:iCs/>
                <w:sz w:val="18"/>
                <w:szCs w:val="18"/>
                <w:vertAlign w:val="subscript"/>
                <w:lang w:val="es-CO" w:eastAsia="es-CO"/>
              </w:rPr>
              <w:t>j,2,1</w:t>
            </w:r>
          </w:p>
        </w:tc>
        <w:tc>
          <w:tcPr>
            <w:tcW w:w="1980" w:type="dxa"/>
            <w:tcBorders>
              <w:top w:val="nil"/>
              <w:left w:val="nil"/>
              <w:bottom w:val="single" w:sz="4" w:space="0" w:color="auto"/>
              <w:right w:val="single" w:sz="4" w:space="0" w:color="auto"/>
            </w:tcBorders>
            <w:shd w:val="clear" w:color="auto" w:fill="auto"/>
            <w:noWrap/>
            <w:vAlign w:val="center"/>
            <w:hideMark/>
          </w:tcPr>
          <w:p w14:paraId="48E85BF9"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39.582.055.310</w:t>
            </w:r>
          </w:p>
        </w:tc>
      </w:tr>
      <w:tr w:rsidR="00C86E92" w:rsidRPr="00C86E92" w14:paraId="2A01EEC0" w14:textId="77777777" w:rsidTr="00C86E92">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1D6E074F" w14:textId="77777777" w:rsidR="00C86E92" w:rsidRPr="00C86E92" w:rsidRDefault="00C86E92" w:rsidP="00C86E92">
            <w:pPr>
              <w:spacing w:before="0" w:after="0"/>
              <w:jc w:val="center"/>
              <w:rPr>
                <w:rFonts w:cs="Arial"/>
                <w:i/>
                <w:iCs/>
                <w:sz w:val="18"/>
                <w:szCs w:val="18"/>
                <w:lang w:val="es-CO" w:eastAsia="es-CO"/>
              </w:rPr>
            </w:pPr>
            <w:r w:rsidRPr="00C86E92">
              <w:rPr>
                <w:rFonts w:cs="Arial"/>
                <w:i/>
                <w:iCs/>
                <w:sz w:val="18"/>
                <w:szCs w:val="18"/>
                <w:lang w:val="es-CO" w:eastAsia="es-CO"/>
              </w:rPr>
              <w:t>RCBIA</w:t>
            </w:r>
            <w:r w:rsidRPr="00C86E92">
              <w:rPr>
                <w:rFonts w:cs="Arial"/>
                <w:i/>
                <w:iCs/>
                <w:sz w:val="18"/>
                <w:szCs w:val="18"/>
                <w:vertAlign w:val="subscript"/>
                <w:lang w:val="es-CO" w:eastAsia="es-CO"/>
              </w:rPr>
              <w:t>j,1,1</w:t>
            </w:r>
          </w:p>
        </w:tc>
        <w:tc>
          <w:tcPr>
            <w:tcW w:w="1980" w:type="dxa"/>
            <w:tcBorders>
              <w:top w:val="nil"/>
              <w:left w:val="nil"/>
              <w:bottom w:val="single" w:sz="4" w:space="0" w:color="auto"/>
              <w:right w:val="single" w:sz="4" w:space="0" w:color="auto"/>
            </w:tcBorders>
            <w:shd w:val="clear" w:color="auto" w:fill="auto"/>
            <w:noWrap/>
            <w:vAlign w:val="center"/>
            <w:hideMark/>
          </w:tcPr>
          <w:p w14:paraId="211B2908"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34.899.235.958</w:t>
            </w:r>
          </w:p>
        </w:tc>
      </w:tr>
    </w:tbl>
    <w:p w14:paraId="28FBE642" w14:textId="6EC6FAAD" w:rsidR="004730C9" w:rsidRPr="000C23A9" w:rsidRDefault="004730C9" w:rsidP="004730C9">
      <w:pPr>
        <w:pStyle w:val="Artculo"/>
        <w:ind w:left="0"/>
        <w:outlineLvl w:val="2"/>
        <w:rPr>
          <w:b w:val="0"/>
        </w:rPr>
      </w:pPr>
      <w:r>
        <w:t xml:space="preserve">Modificar el artículo 5 de la Resolución </w:t>
      </w:r>
      <w:r w:rsidR="00C86E92">
        <w:t>CREG 025 de 2021</w:t>
      </w:r>
      <w:r>
        <w:t xml:space="preserve">. </w:t>
      </w:r>
      <w:r w:rsidRPr="00A71EA8">
        <w:rPr>
          <w:b w:val="0"/>
        </w:rPr>
        <w:t xml:space="preserve">El artículo </w:t>
      </w:r>
      <w:r>
        <w:rPr>
          <w:b w:val="0"/>
        </w:rPr>
        <w:t>5</w:t>
      </w:r>
      <w:r w:rsidRPr="00A71EA8">
        <w:rPr>
          <w:b w:val="0"/>
        </w:rPr>
        <w:t xml:space="preserve"> de la Resolución </w:t>
      </w:r>
      <w:r w:rsidR="00C86E92">
        <w:rPr>
          <w:b w:val="0"/>
        </w:rPr>
        <w:t>CREG 025 de 2021</w:t>
      </w:r>
      <w:r w:rsidRPr="00A71EA8">
        <w:rPr>
          <w:b w:val="0"/>
        </w:rPr>
        <w:t xml:space="preserve"> quedará así:</w:t>
      </w:r>
    </w:p>
    <w:p w14:paraId="62BD39C2" w14:textId="77777777" w:rsidR="004730C9" w:rsidRPr="009650C2" w:rsidRDefault="004730C9" w:rsidP="00723E6C">
      <w:pPr>
        <w:pStyle w:val="Artculo"/>
        <w:numPr>
          <w:ilvl w:val="0"/>
          <w:numId w:val="0"/>
        </w:numPr>
        <w:spacing w:before="120" w:after="120"/>
        <w:ind w:left="425"/>
        <w:outlineLvl w:val="2"/>
        <w:rPr>
          <w:b w:val="0"/>
          <w:i/>
          <w:iCs/>
        </w:rPr>
      </w:pPr>
      <w:r w:rsidRPr="009650C2">
        <w:rPr>
          <w:i/>
          <w:iCs/>
          <w:sz w:val="22"/>
          <w:szCs w:val="22"/>
        </w:rPr>
        <w:t>Artículo 5</w:t>
      </w:r>
      <w:r>
        <w:rPr>
          <w:i/>
          <w:iCs/>
          <w:sz w:val="22"/>
          <w:szCs w:val="22"/>
        </w:rPr>
        <w:t>.</w:t>
      </w:r>
      <w:r w:rsidRPr="009650C2">
        <w:rPr>
          <w:i/>
          <w:iCs/>
          <w:sz w:val="22"/>
          <w:szCs w:val="22"/>
        </w:rPr>
        <w:t xml:space="preserve"> Recuperación de capital de activos nuevos</w:t>
      </w:r>
      <w:r w:rsidRPr="009650C2">
        <w:rPr>
          <w:b w:val="0"/>
          <w:i/>
          <w:iCs/>
          <w:sz w:val="22"/>
          <w:szCs w:val="22"/>
        </w:rPr>
        <w:t>. El valor de la recuperación de capital reconocida para los activos que entraron en operación en el primer año, RCNA</w:t>
      </w:r>
      <w:r w:rsidRPr="009650C2">
        <w:rPr>
          <w:b w:val="0"/>
          <w:i/>
          <w:iCs/>
          <w:sz w:val="22"/>
          <w:szCs w:val="22"/>
          <w:vertAlign w:val="subscript"/>
        </w:rPr>
        <w:t>j,n,1</w:t>
      </w:r>
      <w:r w:rsidRPr="009650C2">
        <w:rPr>
          <w:b w:val="0"/>
          <w:i/>
          <w:iCs/>
          <w:sz w:val="22"/>
          <w:szCs w:val="22"/>
        </w:rPr>
        <w:t>, es el siguiente:</w:t>
      </w:r>
    </w:p>
    <w:p w14:paraId="105DA1C5" w14:textId="5D94A438" w:rsidR="004730C9" w:rsidRPr="00B0124E" w:rsidRDefault="004730C9" w:rsidP="004730C9">
      <w:pPr>
        <w:pStyle w:val="Descripcin"/>
        <w:rPr>
          <w:i/>
          <w:iCs/>
          <w:sz w:val="20"/>
          <w:szCs w:val="18"/>
        </w:rPr>
      </w:pPr>
      <w:r w:rsidRPr="00B0124E">
        <w:rPr>
          <w:i/>
          <w:iCs/>
          <w:sz w:val="20"/>
          <w:szCs w:val="18"/>
        </w:rPr>
        <w:t>Tabla 7 Recuperación de capital de activos nuevos</w:t>
      </w:r>
    </w:p>
    <w:tbl>
      <w:tblPr>
        <w:tblW w:w="3580" w:type="dxa"/>
        <w:jc w:val="center"/>
        <w:tblCellMar>
          <w:left w:w="70" w:type="dxa"/>
          <w:right w:w="70" w:type="dxa"/>
        </w:tblCellMar>
        <w:tblLook w:val="04A0" w:firstRow="1" w:lastRow="0" w:firstColumn="1" w:lastColumn="0" w:noHBand="0" w:noVBand="1"/>
      </w:tblPr>
      <w:tblGrid>
        <w:gridCol w:w="1600"/>
        <w:gridCol w:w="1980"/>
      </w:tblGrid>
      <w:tr w:rsidR="00C86E92" w:rsidRPr="00C86E92" w14:paraId="6581FB57" w14:textId="77777777" w:rsidTr="00C86E92">
        <w:trPr>
          <w:trHeight w:val="480"/>
          <w:tblHeader/>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009654" w14:textId="77777777" w:rsidR="00C86E92" w:rsidRPr="00C86E92" w:rsidRDefault="00C86E92" w:rsidP="00C86E92">
            <w:pPr>
              <w:spacing w:before="0" w:after="0"/>
              <w:jc w:val="center"/>
              <w:rPr>
                <w:rFonts w:cs="Arial"/>
                <w:b/>
                <w:bCs/>
                <w:sz w:val="18"/>
                <w:szCs w:val="18"/>
                <w:lang w:val="es-CO" w:eastAsia="es-CO"/>
              </w:rPr>
            </w:pPr>
            <w:r w:rsidRPr="00C86E92">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3693F746" w14:textId="77777777" w:rsidR="00C86E92" w:rsidRPr="00C86E92" w:rsidRDefault="00C86E92" w:rsidP="00C86E92">
            <w:pPr>
              <w:spacing w:before="0" w:after="0"/>
              <w:jc w:val="center"/>
              <w:rPr>
                <w:rFonts w:cs="Arial"/>
                <w:b/>
                <w:bCs/>
                <w:sz w:val="18"/>
                <w:szCs w:val="18"/>
                <w:lang w:val="es-CO" w:eastAsia="es-CO"/>
              </w:rPr>
            </w:pPr>
            <w:r w:rsidRPr="00C86E92">
              <w:rPr>
                <w:rFonts w:cs="Arial"/>
                <w:b/>
                <w:bCs/>
                <w:sz w:val="18"/>
                <w:szCs w:val="18"/>
                <w:lang w:val="es-CO" w:eastAsia="es-CO"/>
              </w:rPr>
              <w:t>Pesos de diciembre de 2017</w:t>
            </w:r>
          </w:p>
        </w:tc>
      </w:tr>
      <w:tr w:rsidR="00C86E92" w:rsidRPr="00C86E92" w14:paraId="49A4A0E7" w14:textId="77777777" w:rsidTr="00C86E92">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46941A50" w14:textId="77777777" w:rsidR="00C86E92" w:rsidRPr="00C86E92" w:rsidRDefault="00C86E92" w:rsidP="00C86E92">
            <w:pPr>
              <w:spacing w:before="0" w:after="0"/>
              <w:jc w:val="center"/>
              <w:rPr>
                <w:rFonts w:cs="Arial"/>
                <w:i/>
                <w:iCs/>
                <w:sz w:val="18"/>
                <w:szCs w:val="18"/>
                <w:lang w:val="es-CO" w:eastAsia="es-CO"/>
              </w:rPr>
            </w:pPr>
            <w:r w:rsidRPr="00C86E92">
              <w:rPr>
                <w:rFonts w:cs="Arial"/>
                <w:i/>
                <w:iCs/>
                <w:sz w:val="18"/>
                <w:szCs w:val="18"/>
                <w:lang w:val="es-CO" w:eastAsia="es-CO"/>
              </w:rPr>
              <w:t>RCNA</w:t>
            </w:r>
            <w:r w:rsidRPr="00C86E92">
              <w:rPr>
                <w:rFonts w:cs="Arial"/>
                <w:i/>
                <w:iCs/>
                <w:sz w:val="18"/>
                <w:szCs w:val="18"/>
                <w:vertAlign w:val="subscript"/>
                <w:lang w:val="es-CO" w:eastAsia="es-CO"/>
              </w:rPr>
              <w:t>j,4,1</w:t>
            </w:r>
          </w:p>
        </w:tc>
        <w:tc>
          <w:tcPr>
            <w:tcW w:w="1980" w:type="dxa"/>
            <w:tcBorders>
              <w:top w:val="nil"/>
              <w:left w:val="nil"/>
              <w:bottom w:val="single" w:sz="4" w:space="0" w:color="auto"/>
              <w:right w:val="single" w:sz="4" w:space="0" w:color="auto"/>
            </w:tcBorders>
            <w:shd w:val="clear" w:color="auto" w:fill="auto"/>
            <w:noWrap/>
            <w:vAlign w:val="center"/>
            <w:hideMark/>
          </w:tcPr>
          <w:p w14:paraId="3AC24382"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1.569.738.896</w:t>
            </w:r>
          </w:p>
        </w:tc>
      </w:tr>
      <w:tr w:rsidR="00C86E92" w:rsidRPr="00C86E92" w14:paraId="1F6A31B9" w14:textId="77777777" w:rsidTr="00C86E92">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4BBD8D1E" w14:textId="77777777" w:rsidR="00C86E92" w:rsidRPr="00C86E92" w:rsidRDefault="00C86E92" w:rsidP="00C86E92">
            <w:pPr>
              <w:spacing w:before="0" w:after="0"/>
              <w:jc w:val="center"/>
              <w:rPr>
                <w:rFonts w:cs="Arial"/>
                <w:i/>
                <w:iCs/>
                <w:sz w:val="18"/>
                <w:szCs w:val="18"/>
                <w:lang w:val="es-CO" w:eastAsia="es-CO"/>
              </w:rPr>
            </w:pPr>
            <w:r w:rsidRPr="00C86E92">
              <w:rPr>
                <w:rFonts w:cs="Arial"/>
                <w:i/>
                <w:iCs/>
                <w:sz w:val="18"/>
                <w:szCs w:val="18"/>
                <w:lang w:val="es-CO" w:eastAsia="es-CO"/>
              </w:rPr>
              <w:t>RCNA</w:t>
            </w:r>
            <w:r w:rsidRPr="00C86E92">
              <w:rPr>
                <w:rFonts w:cs="Arial"/>
                <w:i/>
                <w:iCs/>
                <w:sz w:val="18"/>
                <w:szCs w:val="18"/>
                <w:vertAlign w:val="subscript"/>
                <w:lang w:val="es-CO" w:eastAsia="es-CO"/>
              </w:rPr>
              <w:t>j,3,1</w:t>
            </w:r>
          </w:p>
        </w:tc>
        <w:tc>
          <w:tcPr>
            <w:tcW w:w="1980" w:type="dxa"/>
            <w:tcBorders>
              <w:top w:val="nil"/>
              <w:left w:val="nil"/>
              <w:bottom w:val="single" w:sz="4" w:space="0" w:color="auto"/>
              <w:right w:val="single" w:sz="4" w:space="0" w:color="auto"/>
            </w:tcBorders>
            <w:shd w:val="clear" w:color="auto" w:fill="auto"/>
            <w:noWrap/>
            <w:vAlign w:val="center"/>
            <w:hideMark/>
          </w:tcPr>
          <w:p w14:paraId="41DB9183"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2.974.647.725</w:t>
            </w:r>
          </w:p>
        </w:tc>
      </w:tr>
      <w:tr w:rsidR="00C86E92" w:rsidRPr="00C86E92" w14:paraId="7676CEE3" w14:textId="77777777" w:rsidTr="00C86E92">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48024599" w14:textId="77777777" w:rsidR="00C86E92" w:rsidRPr="00C86E92" w:rsidRDefault="00C86E92" w:rsidP="00C86E92">
            <w:pPr>
              <w:spacing w:before="0" w:after="0"/>
              <w:jc w:val="center"/>
              <w:rPr>
                <w:rFonts w:cs="Arial"/>
                <w:i/>
                <w:iCs/>
                <w:sz w:val="18"/>
                <w:szCs w:val="18"/>
                <w:lang w:val="es-CO" w:eastAsia="es-CO"/>
              </w:rPr>
            </w:pPr>
            <w:r w:rsidRPr="00C86E92">
              <w:rPr>
                <w:rFonts w:cs="Arial"/>
                <w:i/>
                <w:iCs/>
                <w:sz w:val="18"/>
                <w:szCs w:val="18"/>
                <w:lang w:val="es-CO" w:eastAsia="es-CO"/>
              </w:rPr>
              <w:t>RCNA</w:t>
            </w:r>
            <w:r w:rsidRPr="00C86E92">
              <w:rPr>
                <w:rFonts w:cs="Arial"/>
                <w:i/>
                <w:iCs/>
                <w:sz w:val="18"/>
                <w:szCs w:val="18"/>
                <w:vertAlign w:val="subscript"/>
                <w:lang w:val="es-CO" w:eastAsia="es-CO"/>
              </w:rPr>
              <w:t>j,2,1</w:t>
            </w:r>
          </w:p>
        </w:tc>
        <w:tc>
          <w:tcPr>
            <w:tcW w:w="1980" w:type="dxa"/>
            <w:tcBorders>
              <w:top w:val="nil"/>
              <w:left w:val="nil"/>
              <w:bottom w:val="single" w:sz="4" w:space="0" w:color="auto"/>
              <w:right w:val="single" w:sz="4" w:space="0" w:color="auto"/>
            </w:tcBorders>
            <w:shd w:val="clear" w:color="auto" w:fill="auto"/>
            <w:noWrap/>
            <w:vAlign w:val="center"/>
            <w:hideMark/>
          </w:tcPr>
          <w:p w14:paraId="1A34CBB0"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7.880.511.942</w:t>
            </w:r>
          </w:p>
        </w:tc>
      </w:tr>
      <w:tr w:rsidR="00C86E92" w:rsidRPr="00C86E92" w14:paraId="45404E03" w14:textId="77777777" w:rsidTr="00C86E92">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46EBE442" w14:textId="77777777" w:rsidR="00C86E92" w:rsidRPr="00C86E92" w:rsidRDefault="00C86E92" w:rsidP="00C86E92">
            <w:pPr>
              <w:spacing w:before="0" w:after="0"/>
              <w:jc w:val="center"/>
              <w:rPr>
                <w:rFonts w:cs="Arial"/>
                <w:i/>
                <w:iCs/>
                <w:sz w:val="18"/>
                <w:szCs w:val="18"/>
                <w:lang w:val="es-CO" w:eastAsia="es-CO"/>
              </w:rPr>
            </w:pPr>
            <w:r w:rsidRPr="00C86E92">
              <w:rPr>
                <w:rFonts w:cs="Arial"/>
                <w:i/>
                <w:iCs/>
                <w:sz w:val="18"/>
                <w:szCs w:val="18"/>
                <w:lang w:val="es-CO" w:eastAsia="es-CO"/>
              </w:rPr>
              <w:t>RCNA</w:t>
            </w:r>
            <w:r w:rsidRPr="00C86E92">
              <w:rPr>
                <w:rFonts w:cs="Arial"/>
                <w:i/>
                <w:iCs/>
                <w:sz w:val="18"/>
                <w:szCs w:val="18"/>
                <w:vertAlign w:val="subscript"/>
                <w:lang w:val="es-CO" w:eastAsia="es-CO"/>
              </w:rPr>
              <w:t>j,1,1</w:t>
            </w:r>
          </w:p>
        </w:tc>
        <w:tc>
          <w:tcPr>
            <w:tcW w:w="1980" w:type="dxa"/>
            <w:tcBorders>
              <w:top w:val="nil"/>
              <w:left w:val="nil"/>
              <w:bottom w:val="single" w:sz="4" w:space="0" w:color="auto"/>
              <w:right w:val="single" w:sz="4" w:space="0" w:color="auto"/>
            </w:tcBorders>
            <w:shd w:val="clear" w:color="auto" w:fill="auto"/>
            <w:noWrap/>
            <w:vAlign w:val="center"/>
            <w:hideMark/>
          </w:tcPr>
          <w:p w14:paraId="62A09350"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1.963.657.451</w:t>
            </w:r>
          </w:p>
        </w:tc>
      </w:tr>
    </w:tbl>
    <w:p w14:paraId="70CDF97D" w14:textId="35897548" w:rsidR="004730C9" w:rsidRPr="000C23A9" w:rsidRDefault="004730C9" w:rsidP="004730C9">
      <w:pPr>
        <w:pStyle w:val="Artculo"/>
        <w:ind w:left="0"/>
        <w:outlineLvl w:val="2"/>
        <w:rPr>
          <w:b w:val="0"/>
        </w:rPr>
      </w:pPr>
      <w:r>
        <w:t xml:space="preserve">Modificar el artículo 6 de la Resolución </w:t>
      </w:r>
      <w:r w:rsidR="00C86E92">
        <w:t>CREG 025 de 2021</w:t>
      </w:r>
      <w:r>
        <w:t xml:space="preserve">. </w:t>
      </w:r>
      <w:r w:rsidRPr="00A71EA8">
        <w:rPr>
          <w:b w:val="0"/>
        </w:rPr>
        <w:t xml:space="preserve">El artículo </w:t>
      </w:r>
      <w:r>
        <w:rPr>
          <w:b w:val="0"/>
        </w:rPr>
        <w:t>6</w:t>
      </w:r>
      <w:r w:rsidRPr="00A71EA8">
        <w:rPr>
          <w:b w:val="0"/>
        </w:rPr>
        <w:t xml:space="preserve"> de la Resolución </w:t>
      </w:r>
      <w:r w:rsidR="00C86E92">
        <w:rPr>
          <w:b w:val="0"/>
        </w:rPr>
        <w:t>CREG 025 de 2021</w:t>
      </w:r>
      <w:r w:rsidRPr="00A71EA8">
        <w:rPr>
          <w:b w:val="0"/>
        </w:rPr>
        <w:t xml:space="preserve"> quedará así:</w:t>
      </w:r>
    </w:p>
    <w:p w14:paraId="28E92B72" w14:textId="77777777" w:rsidR="004730C9" w:rsidRPr="004418B5" w:rsidRDefault="004730C9" w:rsidP="00723E6C">
      <w:pPr>
        <w:pStyle w:val="Artculo"/>
        <w:numPr>
          <w:ilvl w:val="0"/>
          <w:numId w:val="0"/>
        </w:numPr>
        <w:spacing w:before="120" w:after="120"/>
        <w:ind w:left="425"/>
        <w:outlineLvl w:val="2"/>
        <w:rPr>
          <w:b w:val="0"/>
          <w:i/>
          <w:iCs/>
          <w:sz w:val="22"/>
          <w:szCs w:val="22"/>
        </w:rPr>
      </w:pPr>
      <w:r w:rsidRPr="004418B5">
        <w:rPr>
          <w:i/>
          <w:iCs/>
          <w:sz w:val="22"/>
          <w:szCs w:val="22"/>
        </w:rPr>
        <w:t>Artículo 6. Base regulatoria de terrenos</w:t>
      </w:r>
      <w:r w:rsidRPr="004418B5">
        <w:rPr>
          <w:b w:val="0"/>
          <w:i/>
          <w:iCs/>
          <w:sz w:val="22"/>
          <w:szCs w:val="22"/>
        </w:rPr>
        <w:t>. El valor de la base regulatoria de terrenos, BRT</w:t>
      </w:r>
      <w:r w:rsidRPr="004418B5">
        <w:rPr>
          <w:b w:val="0"/>
          <w:i/>
          <w:iCs/>
          <w:sz w:val="22"/>
          <w:szCs w:val="22"/>
          <w:vertAlign w:val="subscript"/>
        </w:rPr>
        <w:t>j,n,1</w:t>
      </w:r>
      <w:r w:rsidRPr="004418B5">
        <w:rPr>
          <w:b w:val="0"/>
          <w:i/>
          <w:iCs/>
          <w:sz w:val="22"/>
          <w:szCs w:val="22"/>
        </w:rPr>
        <w:t>, del año 1, para los niveles de tensión 4, 3 y 2, es el siguiente:</w:t>
      </w:r>
    </w:p>
    <w:p w14:paraId="143471C9" w14:textId="7F4744B4" w:rsidR="004730C9" w:rsidRDefault="004730C9" w:rsidP="004730C9">
      <w:pPr>
        <w:pStyle w:val="Descripcin"/>
        <w:ind w:left="567"/>
        <w:rPr>
          <w:i/>
          <w:iCs/>
          <w:sz w:val="20"/>
          <w:szCs w:val="18"/>
        </w:rPr>
      </w:pPr>
      <w:r w:rsidRPr="004418B5">
        <w:rPr>
          <w:i/>
          <w:iCs/>
          <w:sz w:val="20"/>
          <w:szCs w:val="18"/>
        </w:rPr>
        <w:t xml:space="preserve">Tabla </w:t>
      </w:r>
      <w:r>
        <w:rPr>
          <w:i/>
          <w:iCs/>
          <w:sz w:val="20"/>
          <w:szCs w:val="18"/>
        </w:rPr>
        <w:t>8</w:t>
      </w:r>
      <w:r w:rsidRPr="004418B5">
        <w:rPr>
          <w:i/>
          <w:iCs/>
          <w:sz w:val="20"/>
          <w:szCs w:val="18"/>
        </w:rPr>
        <w:t xml:space="preserve"> Base regulatoria de terrenos</w:t>
      </w:r>
    </w:p>
    <w:tbl>
      <w:tblPr>
        <w:tblW w:w="3580" w:type="dxa"/>
        <w:jc w:val="center"/>
        <w:tblCellMar>
          <w:left w:w="70" w:type="dxa"/>
          <w:right w:w="70" w:type="dxa"/>
        </w:tblCellMar>
        <w:tblLook w:val="04A0" w:firstRow="1" w:lastRow="0" w:firstColumn="1" w:lastColumn="0" w:noHBand="0" w:noVBand="1"/>
      </w:tblPr>
      <w:tblGrid>
        <w:gridCol w:w="1600"/>
        <w:gridCol w:w="1980"/>
      </w:tblGrid>
      <w:tr w:rsidR="00C86E92" w:rsidRPr="00C86E92" w14:paraId="3714AC43" w14:textId="77777777" w:rsidTr="00C86E92">
        <w:trPr>
          <w:trHeight w:val="480"/>
          <w:tblHeader/>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A21C7E" w14:textId="77777777" w:rsidR="00C86E92" w:rsidRPr="00C86E92" w:rsidRDefault="00C86E92" w:rsidP="00C86E92">
            <w:pPr>
              <w:spacing w:before="0" w:after="0"/>
              <w:jc w:val="center"/>
              <w:rPr>
                <w:rFonts w:cs="Arial"/>
                <w:b/>
                <w:bCs/>
                <w:sz w:val="18"/>
                <w:szCs w:val="18"/>
                <w:lang w:val="es-CO" w:eastAsia="es-CO"/>
              </w:rPr>
            </w:pPr>
            <w:r w:rsidRPr="00C86E92">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662BBD93" w14:textId="77777777" w:rsidR="00C86E92" w:rsidRPr="00C86E92" w:rsidRDefault="00C86E92" w:rsidP="00C86E92">
            <w:pPr>
              <w:spacing w:before="0" w:after="0"/>
              <w:jc w:val="center"/>
              <w:rPr>
                <w:rFonts w:cs="Arial"/>
                <w:b/>
                <w:bCs/>
                <w:sz w:val="18"/>
                <w:szCs w:val="18"/>
                <w:lang w:val="es-CO" w:eastAsia="es-CO"/>
              </w:rPr>
            </w:pPr>
            <w:r w:rsidRPr="00C86E92">
              <w:rPr>
                <w:rFonts w:cs="Arial"/>
                <w:b/>
                <w:bCs/>
                <w:sz w:val="18"/>
                <w:szCs w:val="18"/>
                <w:lang w:val="es-CO" w:eastAsia="es-CO"/>
              </w:rPr>
              <w:t>Pesos de diciembre de 2017</w:t>
            </w:r>
          </w:p>
        </w:tc>
      </w:tr>
      <w:tr w:rsidR="00C86E92" w:rsidRPr="00C86E92" w14:paraId="1019E424" w14:textId="77777777" w:rsidTr="00C86E92">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2F214EF2" w14:textId="77777777" w:rsidR="00C86E92" w:rsidRPr="00C86E92" w:rsidRDefault="00C86E92" w:rsidP="00C86E92">
            <w:pPr>
              <w:spacing w:before="0" w:after="0"/>
              <w:jc w:val="center"/>
              <w:rPr>
                <w:rFonts w:cs="Arial"/>
                <w:i/>
                <w:iCs/>
                <w:sz w:val="18"/>
                <w:szCs w:val="18"/>
                <w:lang w:val="es-CO" w:eastAsia="es-CO"/>
              </w:rPr>
            </w:pPr>
            <w:r w:rsidRPr="00C86E92">
              <w:rPr>
                <w:rFonts w:cs="Arial"/>
                <w:i/>
                <w:iCs/>
                <w:sz w:val="18"/>
                <w:szCs w:val="18"/>
                <w:lang w:val="es-CO" w:eastAsia="es-CO"/>
              </w:rPr>
              <w:t>BRT</w:t>
            </w:r>
            <w:r w:rsidRPr="00C86E92">
              <w:rPr>
                <w:rFonts w:cs="Arial"/>
                <w:i/>
                <w:iCs/>
                <w:sz w:val="18"/>
                <w:szCs w:val="18"/>
                <w:vertAlign w:val="subscript"/>
                <w:lang w:val="es-CO" w:eastAsia="es-CO"/>
              </w:rPr>
              <w:t>j,4,1</w:t>
            </w:r>
          </w:p>
        </w:tc>
        <w:tc>
          <w:tcPr>
            <w:tcW w:w="1980" w:type="dxa"/>
            <w:tcBorders>
              <w:top w:val="nil"/>
              <w:left w:val="nil"/>
              <w:bottom w:val="single" w:sz="4" w:space="0" w:color="auto"/>
              <w:right w:val="single" w:sz="4" w:space="0" w:color="auto"/>
            </w:tcBorders>
            <w:shd w:val="clear" w:color="auto" w:fill="auto"/>
            <w:noWrap/>
            <w:vAlign w:val="center"/>
            <w:hideMark/>
          </w:tcPr>
          <w:p w14:paraId="2BDE7421"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232.091.009</w:t>
            </w:r>
          </w:p>
        </w:tc>
      </w:tr>
      <w:tr w:rsidR="00C86E92" w:rsidRPr="00C86E92" w14:paraId="0347AB1D" w14:textId="77777777" w:rsidTr="00C86E92">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4C51FDDD" w14:textId="77777777" w:rsidR="00C86E92" w:rsidRPr="00C86E92" w:rsidRDefault="00C86E92" w:rsidP="00C86E92">
            <w:pPr>
              <w:spacing w:before="0" w:after="0"/>
              <w:jc w:val="center"/>
              <w:rPr>
                <w:rFonts w:cs="Arial"/>
                <w:i/>
                <w:iCs/>
                <w:sz w:val="18"/>
                <w:szCs w:val="18"/>
                <w:lang w:val="es-CO" w:eastAsia="es-CO"/>
              </w:rPr>
            </w:pPr>
            <w:r w:rsidRPr="00C86E92">
              <w:rPr>
                <w:rFonts w:cs="Arial"/>
                <w:i/>
                <w:iCs/>
                <w:sz w:val="18"/>
                <w:szCs w:val="18"/>
                <w:lang w:val="es-CO" w:eastAsia="es-CO"/>
              </w:rPr>
              <w:t>BRT</w:t>
            </w:r>
            <w:r w:rsidRPr="00C86E92">
              <w:rPr>
                <w:rFonts w:cs="Arial"/>
                <w:i/>
                <w:iCs/>
                <w:sz w:val="18"/>
                <w:szCs w:val="18"/>
                <w:vertAlign w:val="subscript"/>
                <w:lang w:val="es-CO" w:eastAsia="es-CO"/>
              </w:rPr>
              <w:t>j,3,1</w:t>
            </w:r>
          </w:p>
        </w:tc>
        <w:tc>
          <w:tcPr>
            <w:tcW w:w="1980" w:type="dxa"/>
            <w:tcBorders>
              <w:top w:val="nil"/>
              <w:left w:val="nil"/>
              <w:bottom w:val="single" w:sz="4" w:space="0" w:color="auto"/>
              <w:right w:val="single" w:sz="4" w:space="0" w:color="auto"/>
            </w:tcBorders>
            <w:shd w:val="clear" w:color="auto" w:fill="auto"/>
            <w:noWrap/>
            <w:vAlign w:val="center"/>
            <w:hideMark/>
          </w:tcPr>
          <w:p w14:paraId="0084D763"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82.384.537</w:t>
            </w:r>
          </w:p>
        </w:tc>
      </w:tr>
      <w:tr w:rsidR="00C86E92" w:rsidRPr="00C86E92" w14:paraId="5B6FC11C" w14:textId="77777777" w:rsidTr="00C86E92">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6F7C2936" w14:textId="77777777" w:rsidR="00C86E92" w:rsidRPr="00C86E92" w:rsidRDefault="00C86E92" w:rsidP="00C86E92">
            <w:pPr>
              <w:spacing w:before="0" w:after="0"/>
              <w:jc w:val="center"/>
              <w:rPr>
                <w:rFonts w:cs="Arial"/>
                <w:i/>
                <w:iCs/>
                <w:sz w:val="18"/>
                <w:szCs w:val="18"/>
                <w:lang w:val="es-CO" w:eastAsia="es-CO"/>
              </w:rPr>
            </w:pPr>
            <w:r w:rsidRPr="00C86E92">
              <w:rPr>
                <w:rFonts w:cs="Arial"/>
                <w:i/>
                <w:iCs/>
                <w:sz w:val="18"/>
                <w:szCs w:val="18"/>
                <w:lang w:val="es-CO" w:eastAsia="es-CO"/>
              </w:rPr>
              <w:t>BRT</w:t>
            </w:r>
            <w:r w:rsidRPr="00C86E92">
              <w:rPr>
                <w:rFonts w:cs="Arial"/>
                <w:i/>
                <w:iCs/>
                <w:sz w:val="18"/>
                <w:szCs w:val="18"/>
                <w:vertAlign w:val="subscript"/>
                <w:lang w:val="es-CO" w:eastAsia="es-CO"/>
              </w:rPr>
              <w:t>j,2,1</w:t>
            </w:r>
          </w:p>
        </w:tc>
        <w:tc>
          <w:tcPr>
            <w:tcW w:w="1980" w:type="dxa"/>
            <w:tcBorders>
              <w:top w:val="nil"/>
              <w:left w:val="nil"/>
              <w:bottom w:val="single" w:sz="4" w:space="0" w:color="auto"/>
              <w:right w:val="single" w:sz="4" w:space="0" w:color="auto"/>
            </w:tcBorders>
            <w:shd w:val="clear" w:color="auto" w:fill="auto"/>
            <w:noWrap/>
            <w:vAlign w:val="center"/>
            <w:hideMark/>
          </w:tcPr>
          <w:p w14:paraId="0945F25E"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146.912.333</w:t>
            </w:r>
          </w:p>
        </w:tc>
      </w:tr>
    </w:tbl>
    <w:p w14:paraId="221E1902" w14:textId="0012A3E2" w:rsidR="004730C9" w:rsidRPr="000C23A9" w:rsidRDefault="004730C9" w:rsidP="004730C9">
      <w:pPr>
        <w:pStyle w:val="Artculo"/>
        <w:ind w:left="0"/>
        <w:outlineLvl w:val="2"/>
        <w:rPr>
          <w:b w:val="0"/>
        </w:rPr>
      </w:pPr>
      <w:r>
        <w:t xml:space="preserve">Modificar el artículo 7 de la Resolución </w:t>
      </w:r>
      <w:r w:rsidR="00C86E92">
        <w:t>CREG 025 de 2021</w:t>
      </w:r>
      <w:r>
        <w:t xml:space="preserve">. </w:t>
      </w:r>
      <w:r w:rsidRPr="00A71EA8">
        <w:rPr>
          <w:b w:val="0"/>
        </w:rPr>
        <w:t xml:space="preserve">El artículo </w:t>
      </w:r>
      <w:r>
        <w:rPr>
          <w:b w:val="0"/>
        </w:rPr>
        <w:t>7</w:t>
      </w:r>
      <w:r w:rsidRPr="00A71EA8">
        <w:rPr>
          <w:b w:val="0"/>
        </w:rPr>
        <w:t xml:space="preserve"> de la Resolución </w:t>
      </w:r>
      <w:r w:rsidR="00C86E92">
        <w:rPr>
          <w:b w:val="0"/>
        </w:rPr>
        <w:t>CREG 025 de 2021</w:t>
      </w:r>
      <w:r w:rsidRPr="00A71EA8">
        <w:rPr>
          <w:b w:val="0"/>
        </w:rPr>
        <w:t xml:space="preserve"> quedará así:</w:t>
      </w:r>
    </w:p>
    <w:p w14:paraId="77B21F77" w14:textId="77777777" w:rsidR="004730C9" w:rsidRPr="004418B5" w:rsidRDefault="004730C9" w:rsidP="00723E6C">
      <w:pPr>
        <w:pStyle w:val="Artculo"/>
        <w:numPr>
          <w:ilvl w:val="0"/>
          <w:numId w:val="0"/>
        </w:numPr>
        <w:spacing w:before="120" w:after="120"/>
        <w:ind w:left="425"/>
        <w:outlineLvl w:val="2"/>
        <w:rPr>
          <w:b w:val="0"/>
          <w:i/>
          <w:iCs/>
          <w:sz w:val="22"/>
          <w:szCs w:val="22"/>
        </w:rPr>
      </w:pPr>
      <w:r w:rsidRPr="004418B5">
        <w:rPr>
          <w:i/>
          <w:iCs/>
          <w:sz w:val="22"/>
          <w:szCs w:val="22"/>
        </w:rPr>
        <w:t>Artículo 7. AOM base por nivel de tensión</w:t>
      </w:r>
      <w:r w:rsidRPr="004418B5">
        <w:rPr>
          <w:b w:val="0"/>
          <w:i/>
          <w:iCs/>
          <w:sz w:val="22"/>
          <w:szCs w:val="22"/>
        </w:rPr>
        <w:t>. El valor del AOM base para cada nivel de tensión, AOMbase</w:t>
      </w:r>
      <w:r w:rsidRPr="004418B5">
        <w:rPr>
          <w:b w:val="0"/>
          <w:i/>
          <w:iCs/>
          <w:sz w:val="22"/>
          <w:szCs w:val="22"/>
          <w:vertAlign w:val="subscript"/>
        </w:rPr>
        <w:t>j,n</w:t>
      </w:r>
      <w:r w:rsidRPr="004418B5">
        <w:rPr>
          <w:b w:val="0"/>
          <w:i/>
          <w:iCs/>
          <w:sz w:val="22"/>
          <w:szCs w:val="22"/>
        </w:rPr>
        <w:t>, y para cada año es el siguiente:</w:t>
      </w:r>
    </w:p>
    <w:p w14:paraId="076E0BD9" w14:textId="42392239" w:rsidR="004730C9" w:rsidRDefault="004730C9" w:rsidP="004730C9">
      <w:pPr>
        <w:pStyle w:val="Descripcin"/>
        <w:ind w:left="567"/>
        <w:rPr>
          <w:i/>
          <w:iCs/>
          <w:sz w:val="20"/>
          <w:szCs w:val="18"/>
        </w:rPr>
      </w:pPr>
      <w:r w:rsidRPr="004418B5">
        <w:rPr>
          <w:i/>
          <w:iCs/>
          <w:sz w:val="20"/>
          <w:szCs w:val="18"/>
        </w:rPr>
        <w:t xml:space="preserve">Tabla </w:t>
      </w:r>
      <w:r>
        <w:rPr>
          <w:i/>
          <w:iCs/>
          <w:sz w:val="20"/>
          <w:szCs w:val="18"/>
        </w:rPr>
        <w:t xml:space="preserve">9 </w:t>
      </w:r>
      <w:r w:rsidRPr="004418B5">
        <w:rPr>
          <w:i/>
          <w:iCs/>
          <w:sz w:val="20"/>
          <w:szCs w:val="18"/>
        </w:rPr>
        <w:t>AOM base por nivel de tensión, pesos de diciembre de 2017</w:t>
      </w:r>
    </w:p>
    <w:tbl>
      <w:tblPr>
        <w:tblW w:w="0" w:type="auto"/>
        <w:jc w:val="right"/>
        <w:tblCellMar>
          <w:left w:w="70" w:type="dxa"/>
          <w:right w:w="70" w:type="dxa"/>
        </w:tblCellMar>
        <w:tblLook w:val="04A0" w:firstRow="1" w:lastRow="0" w:firstColumn="1" w:lastColumn="0" w:noHBand="0" w:noVBand="1"/>
      </w:tblPr>
      <w:tblGrid>
        <w:gridCol w:w="1116"/>
        <w:gridCol w:w="1541"/>
        <w:gridCol w:w="1541"/>
        <w:gridCol w:w="1541"/>
        <w:gridCol w:w="1541"/>
        <w:gridCol w:w="1541"/>
      </w:tblGrid>
      <w:tr w:rsidR="00C86E92" w:rsidRPr="00C86E92" w14:paraId="5AD5EEEB" w14:textId="77777777" w:rsidTr="00C86E92">
        <w:trPr>
          <w:trHeight w:val="255"/>
          <w:jc w:val="right"/>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F251CA9" w14:textId="77777777" w:rsidR="00C86E92" w:rsidRPr="00C86E92" w:rsidRDefault="00C86E92" w:rsidP="00C86E92">
            <w:pPr>
              <w:spacing w:before="0" w:after="0"/>
              <w:jc w:val="center"/>
              <w:rPr>
                <w:rFonts w:cs="Arial"/>
                <w:b/>
                <w:bCs/>
                <w:sz w:val="18"/>
                <w:szCs w:val="18"/>
                <w:lang w:val="es-CO" w:eastAsia="es-CO"/>
              </w:rPr>
            </w:pPr>
            <w:r w:rsidRPr="00C86E92">
              <w:rPr>
                <w:rFonts w:cs="Arial"/>
                <w:b/>
                <w:bCs/>
                <w:sz w:val="18"/>
                <w:szCs w:val="18"/>
                <w:lang w:val="es-CO" w:eastAsia="es-CO"/>
              </w:rPr>
              <w:t>Variable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DC97A94" w14:textId="77777777" w:rsidR="00C86E92" w:rsidRPr="00C86E92" w:rsidRDefault="00C86E92" w:rsidP="00C86E92">
            <w:pPr>
              <w:spacing w:before="0" w:after="0"/>
              <w:jc w:val="center"/>
              <w:rPr>
                <w:rFonts w:cs="Arial"/>
                <w:b/>
                <w:bCs/>
                <w:sz w:val="18"/>
                <w:szCs w:val="18"/>
                <w:lang w:val="es-CO" w:eastAsia="es-CO"/>
              </w:rPr>
            </w:pPr>
            <w:r w:rsidRPr="00C86E92">
              <w:rPr>
                <w:rFonts w:cs="Arial"/>
                <w:b/>
                <w:bCs/>
                <w:sz w:val="18"/>
                <w:szCs w:val="18"/>
                <w:lang w:val="es-CO" w:eastAsia="es-CO"/>
              </w:rPr>
              <w:t>Año 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5704AEC" w14:textId="77777777" w:rsidR="00C86E92" w:rsidRPr="00C86E92" w:rsidRDefault="00C86E92" w:rsidP="00C86E92">
            <w:pPr>
              <w:spacing w:before="0" w:after="0"/>
              <w:jc w:val="center"/>
              <w:rPr>
                <w:rFonts w:cs="Arial"/>
                <w:b/>
                <w:bCs/>
                <w:sz w:val="18"/>
                <w:szCs w:val="18"/>
                <w:lang w:val="es-CO" w:eastAsia="es-CO"/>
              </w:rPr>
            </w:pPr>
            <w:r w:rsidRPr="00C86E92">
              <w:rPr>
                <w:rFonts w:cs="Arial"/>
                <w:b/>
                <w:bCs/>
                <w:sz w:val="18"/>
                <w:szCs w:val="18"/>
                <w:lang w:val="es-CO" w:eastAsia="es-CO"/>
              </w:rPr>
              <w:t>Año 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FF6FA54" w14:textId="77777777" w:rsidR="00C86E92" w:rsidRPr="00C86E92" w:rsidRDefault="00C86E92" w:rsidP="00C86E92">
            <w:pPr>
              <w:spacing w:before="0" w:after="0"/>
              <w:jc w:val="center"/>
              <w:rPr>
                <w:rFonts w:cs="Arial"/>
                <w:b/>
                <w:bCs/>
                <w:sz w:val="18"/>
                <w:szCs w:val="18"/>
                <w:lang w:val="es-CO" w:eastAsia="es-CO"/>
              </w:rPr>
            </w:pPr>
            <w:r w:rsidRPr="00C86E92">
              <w:rPr>
                <w:rFonts w:cs="Arial"/>
                <w:b/>
                <w:bCs/>
                <w:sz w:val="18"/>
                <w:szCs w:val="18"/>
                <w:lang w:val="es-CO" w:eastAsia="es-CO"/>
              </w:rPr>
              <w:t>Año 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0EE4401" w14:textId="77777777" w:rsidR="00C86E92" w:rsidRPr="00C86E92" w:rsidRDefault="00C86E92" w:rsidP="00C86E92">
            <w:pPr>
              <w:spacing w:before="0" w:after="0"/>
              <w:jc w:val="center"/>
              <w:rPr>
                <w:rFonts w:cs="Arial"/>
                <w:b/>
                <w:bCs/>
                <w:sz w:val="18"/>
                <w:szCs w:val="18"/>
                <w:lang w:val="es-CO" w:eastAsia="es-CO"/>
              </w:rPr>
            </w:pPr>
            <w:r w:rsidRPr="00C86E92">
              <w:rPr>
                <w:rFonts w:cs="Arial"/>
                <w:b/>
                <w:bCs/>
                <w:sz w:val="18"/>
                <w:szCs w:val="18"/>
                <w:lang w:val="es-CO" w:eastAsia="es-CO"/>
              </w:rPr>
              <w:t>Año 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FB3ABE2" w14:textId="77777777" w:rsidR="00C86E92" w:rsidRPr="00C86E92" w:rsidRDefault="00C86E92" w:rsidP="00C86E92">
            <w:pPr>
              <w:spacing w:before="0" w:after="0"/>
              <w:jc w:val="center"/>
              <w:rPr>
                <w:rFonts w:cs="Arial"/>
                <w:b/>
                <w:bCs/>
                <w:sz w:val="18"/>
                <w:szCs w:val="18"/>
                <w:lang w:val="es-CO" w:eastAsia="es-CO"/>
              </w:rPr>
            </w:pPr>
            <w:r w:rsidRPr="00C86E92">
              <w:rPr>
                <w:rFonts w:cs="Arial"/>
                <w:b/>
                <w:bCs/>
                <w:sz w:val="18"/>
                <w:szCs w:val="18"/>
                <w:lang w:val="es-CO" w:eastAsia="es-CO"/>
              </w:rPr>
              <w:t>Año 5</w:t>
            </w:r>
          </w:p>
        </w:tc>
      </w:tr>
      <w:tr w:rsidR="00C86E92" w:rsidRPr="00C86E92" w14:paraId="2E4865ED" w14:textId="77777777" w:rsidTr="00C86E92">
        <w:trPr>
          <w:trHeight w:val="315"/>
          <w:jc w:val="right"/>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C3B83E9" w14:textId="77777777" w:rsidR="00C86E92" w:rsidRPr="00C86E92" w:rsidRDefault="00C86E92" w:rsidP="00C86E92">
            <w:pPr>
              <w:spacing w:before="0" w:after="0"/>
              <w:jc w:val="center"/>
              <w:rPr>
                <w:rFonts w:cs="Arial"/>
                <w:i/>
                <w:iCs/>
                <w:sz w:val="18"/>
                <w:szCs w:val="18"/>
                <w:lang w:val="es-CO" w:eastAsia="es-CO"/>
              </w:rPr>
            </w:pPr>
            <w:r w:rsidRPr="00C86E92">
              <w:rPr>
                <w:rFonts w:cs="Arial"/>
                <w:i/>
                <w:iCs/>
                <w:sz w:val="18"/>
                <w:szCs w:val="18"/>
                <w:lang w:val="es-CO" w:eastAsia="es-CO"/>
              </w:rPr>
              <w:t>AOMbase</w:t>
            </w:r>
            <w:r w:rsidRPr="00C86E92">
              <w:rPr>
                <w:rFonts w:cs="Arial"/>
                <w:i/>
                <w:iCs/>
                <w:color w:val="000000"/>
                <w:sz w:val="18"/>
                <w:szCs w:val="18"/>
                <w:vertAlign w:val="subscript"/>
                <w:lang w:val="es-CO" w:eastAsia="es-CO"/>
              </w:rPr>
              <w:t>j,4</w:t>
            </w:r>
          </w:p>
        </w:tc>
        <w:tc>
          <w:tcPr>
            <w:tcW w:w="0" w:type="auto"/>
            <w:tcBorders>
              <w:top w:val="nil"/>
              <w:left w:val="nil"/>
              <w:bottom w:val="single" w:sz="4" w:space="0" w:color="auto"/>
              <w:right w:val="single" w:sz="4" w:space="0" w:color="auto"/>
            </w:tcBorders>
            <w:shd w:val="clear" w:color="auto" w:fill="auto"/>
            <w:noWrap/>
            <w:vAlign w:val="center"/>
            <w:hideMark/>
          </w:tcPr>
          <w:p w14:paraId="724079FA"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62.022.175.803</w:t>
            </w:r>
          </w:p>
        </w:tc>
        <w:tc>
          <w:tcPr>
            <w:tcW w:w="0" w:type="auto"/>
            <w:tcBorders>
              <w:top w:val="nil"/>
              <w:left w:val="nil"/>
              <w:bottom w:val="single" w:sz="4" w:space="0" w:color="auto"/>
              <w:right w:val="single" w:sz="4" w:space="0" w:color="auto"/>
            </w:tcBorders>
            <w:shd w:val="clear" w:color="auto" w:fill="auto"/>
            <w:noWrap/>
            <w:vAlign w:val="center"/>
            <w:hideMark/>
          </w:tcPr>
          <w:p w14:paraId="2E946116"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62.022.175.803</w:t>
            </w:r>
          </w:p>
        </w:tc>
        <w:tc>
          <w:tcPr>
            <w:tcW w:w="0" w:type="auto"/>
            <w:tcBorders>
              <w:top w:val="nil"/>
              <w:left w:val="nil"/>
              <w:bottom w:val="single" w:sz="4" w:space="0" w:color="auto"/>
              <w:right w:val="single" w:sz="4" w:space="0" w:color="auto"/>
            </w:tcBorders>
            <w:shd w:val="clear" w:color="auto" w:fill="auto"/>
            <w:noWrap/>
            <w:vAlign w:val="center"/>
            <w:hideMark/>
          </w:tcPr>
          <w:p w14:paraId="0D5D46D0"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62.022.175.803</w:t>
            </w:r>
          </w:p>
        </w:tc>
        <w:tc>
          <w:tcPr>
            <w:tcW w:w="0" w:type="auto"/>
            <w:tcBorders>
              <w:top w:val="nil"/>
              <w:left w:val="nil"/>
              <w:bottom w:val="single" w:sz="4" w:space="0" w:color="auto"/>
              <w:right w:val="single" w:sz="4" w:space="0" w:color="auto"/>
            </w:tcBorders>
            <w:shd w:val="clear" w:color="auto" w:fill="auto"/>
            <w:noWrap/>
            <w:vAlign w:val="center"/>
            <w:hideMark/>
          </w:tcPr>
          <w:p w14:paraId="4E72476B"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51.685.146.502</w:t>
            </w:r>
          </w:p>
        </w:tc>
        <w:tc>
          <w:tcPr>
            <w:tcW w:w="0" w:type="auto"/>
            <w:tcBorders>
              <w:top w:val="nil"/>
              <w:left w:val="nil"/>
              <w:bottom w:val="single" w:sz="4" w:space="0" w:color="auto"/>
              <w:right w:val="single" w:sz="4" w:space="0" w:color="auto"/>
            </w:tcBorders>
            <w:shd w:val="clear" w:color="auto" w:fill="auto"/>
            <w:noWrap/>
            <w:vAlign w:val="center"/>
            <w:hideMark/>
          </w:tcPr>
          <w:p w14:paraId="112AB402"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38.310.969.800</w:t>
            </w:r>
          </w:p>
        </w:tc>
      </w:tr>
      <w:tr w:rsidR="00C86E92" w:rsidRPr="00C86E92" w14:paraId="2934FAE8" w14:textId="77777777" w:rsidTr="00C86E92">
        <w:trPr>
          <w:trHeight w:val="315"/>
          <w:jc w:val="right"/>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A7B0D97" w14:textId="77777777" w:rsidR="00C86E92" w:rsidRPr="00C86E92" w:rsidRDefault="00C86E92" w:rsidP="00C86E92">
            <w:pPr>
              <w:spacing w:before="0" w:after="0"/>
              <w:jc w:val="center"/>
              <w:rPr>
                <w:rFonts w:cs="Arial"/>
                <w:i/>
                <w:iCs/>
                <w:sz w:val="18"/>
                <w:szCs w:val="18"/>
                <w:lang w:val="es-CO" w:eastAsia="es-CO"/>
              </w:rPr>
            </w:pPr>
            <w:r w:rsidRPr="00C86E92">
              <w:rPr>
                <w:rFonts w:cs="Arial"/>
                <w:i/>
                <w:iCs/>
                <w:sz w:val="18"/>
                <w:szCs w:val="18"/>
                <w:lang w:val="es-CO" w:eastAsia="es-CO"/>
              </w:rPr>
              <w:t>AOMbase</w:t>
            </w:r>
            <w:r w:rsidRPr="00C86E92">
              <w:rPr>
                <w:rFonts w:cs="Arial"/>
                <w:i/>
                <w:iCs/>
                <w:color w:val="000000"/>
                <w:sz w:val="18"/>
                <w:szCs w:val="18"/>
                <w:vertAlign w:val="subscript"/>
                <w:lang w:val="es-CO" w:eastAsia="es-CO"/>
              </w:rPr>
              <w:t>j,3</w:t>
            </w:r>
          </w:p>
        </w:tc>
        <w:tc>
          <w:tcPr>
            <w:tcW w:w="0" w:type="auto"/>
            <w:tcBorders>
              <w:top w:val="nil"/>
              <w:left w:val="nil"/>
              <w:bottom w:val="single" w:sz="4" w:space="0" w:color="auto"/>
              <w:right w:val="single" w:sz="4" w:space="0" w:color="auto"/>
            </w:tcBorders>
            <w:shd w:val="clear" w:color="auto" w:fill="auto"/>
            <w:noWrap/>
            <w:vAlign w:val="center"/>
            <w:hideMark/>
          </w:tcPr>
          <w:p w14:paraId="4DC52130"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29.724.942.340</w:t>
            </w:r>
          </w:p>
        </w:tc>
        <w:tc>
          <w:tcPr>
            <w:tcW w:w="0" w:type="auto"/>
            <w:tcBorders>
              <w:top w:val="nil"/>
              <w:left w:val="nil"/>
              <w:bottom w:val="single" w:sz="4" w:space="0" w:color="auto"/>
              <w:right w:val="single" w:sz="4" w:space="0" w:color="auto"/>
            </w:tcBorders>
            <w:shd w:val="clear" w:color="auto" w:fill="auto"/>
            <w:noWrap/>
            <w:vAlign w:val="center"/>
            <w:hideMark/>
          </w:tcPr>
          <w:p w14:paraId="1E970548"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29.724.942.340</w:t>
            </w:r>
          </w:p>
        </w:tc>
        <w:tc>
          <w:tcPr>
            <w:tcW w:w="0" w:type="auto"/>
            <w:tcBorders>
              <w:top w:val="nil"/>
              <w:left w:val="nil"/>
              <w:bottom w:val="single" w:sz="4" w:space="0" w:color="auto"/>
              <w:right w:val="single" w:sz="4" w:space="0" w:color="auto"/>
            </w:tcBorders>
            <w:shd w:val="clear" w:color="auto" w:fill="auto"/>
            <w:noWrap/>
            <w:vAlign w:val="center"/>
            <w:hideMark/>
          </w:tcPr>
          <w:p w14:paraId="22B262A4"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29.724.942.340</w:t>
            </w:r>
          </w:p>
        </w:tc>
        <w:tc>
          <w:tcPr>
            <w:tcW w:w="0" w:type="auto"/>
            <w:tcBorders>
              <w:top w:val="nil"/>
              <w:left w:val="nil"/>
              <w:bottom w:val="single" w:sz="4" w:space="0" w:color="auto"/>
              <w:right w:val="single" w:sz="4" w:space="0" w:color="auto"/>
            </w:tcBorders>
            <w:shd w:val="clear" w:color="auto" w:fill="auto"/>
            <w:noWrap/>
            <w:vAlign w:val="center"/>
            <w:hideMark/>
          </w:tcPr>
          <w:p w14:paraId="307EEBFF"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24.770.785.283</w:t>
            </w:r>
          </w:p>
        </w:tc>
        <w:tc>
          <w:tcPr>
            <w:tcW w:w="0" w:type="auto"/>
            <w:tcBorders>
              <w:top w:val="nil"/>
              <w:left w:val="nil"/>
              <w:bottom w:val="single" w:sz="4" w:space="0" w:color="auto"/>
              <w:right w:val="single" w:sz="4" w:space="0" w:color="auto"/>
            </w:tcBorders>
            <w:shd w:val="clear" w:color="auto" w:fill="auto"/>
            <w:noWrap/>
            <w:vAlign w:val="center"/>
            <w:hideMark/>
          </w:tcPr>
          <w:p w14:paraId="103054E1"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18.361.035.445</w:t>
            </w:r>
          </w:p>
        </w:tc>
      </w:tr>
      <w:tr w:rsidR="00C86E92" w:rsidRPr="00C86E92" w14:paraId="3FC7FD71" w14:textId="77777777" w:rsidTr="00C86E92">
        <w:trPr>
          <w:trHeight w:val="315"/>
          <w:jc w:val="right"/>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08A4E7A" w14:textId="77777777" w:rsidR="00C86E92" w:rsidRPr="00C86E92" w:rsidRDefault="00C86E92" w:rsidP="00C86E92">
            <w:pPr>
              <w:spacing w:before="0" w:after="0"/>
              <w:jc w:val="center"/>
              <w:rPr>
                <w:rFonts w:cs="Arial"/>
                <w:i/>
                <w:iCs/>
                <w:sz w:val="18"/>
                <w:szCs w:val="18"/>
                <w:lang w:val="es-CO" w:eastAsia="es-CO"/>
              </w:rPr>
            </w:pPr>
            <w:r w:rsidRPr="00C86E92">
              <w:rPr>
                <w:rFonts w:cs="Arial"/>
                <w:i/>
                <w:iCs/>
                <w:sz w:val="18"/>
                <w:szCs w:val="18"/>
                <w:lang w:val="es-CO" w:eastAsia="es-CO"/>
              </w:rPr>
              <w:t>AOMbase</w:t>
            </w:r>
            <w:r w:rsidRPr="00C86E92">
              <w:rPr>
                <w:rFonts w:cs="Arial"/>
                <w:i/>
                <w:iCs/>
                <w:color w:val="000000"/>
                <w:sz w:val="18"/>
                <w:szCs w:val="18"/>
                <w:vertAlign w:val="subscript"/>
                <w:lang w:val="es-CO" w:eastAsia="es-CO"/>
              </w:rPr>
              <w:t>j,2</w:t>
            </w:r>
          </w:p>
        </w:tc>
        <w:tc>
          <w:tcPr>
            <w:tcW w:w="0" w:type="auto"/>
            <w:tcBorders>
              <w:top w:val="nil"/>
              <w:left w:val="nil"/>
              <w:bottom w:val="single" w:sz="4" w:space="0" w:color="auto"/>
              <w:right w:val="single" w:sz="4" w:space="0" w:color="auto"/>
            </w:tcBorders>
            <w:shd w:val="clear" w:color="auto" w:fill="auto"/>
            <w:noWrap/>
            <w:vAlign w:val="center"/>
            <w:hideMark/>
          </w:tcPr>
          <w:p w14:paraId="04F18101"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84.569.873.779</w:t>
            </w:r>
          </w:p>
        </w:tc>
        <w:tc>
          <w:tcPr>
            <w:tcW w:w="0" w:type="auto"/>
            <w:tcBorders>
              <w:top w:val="nil"/>
              <w:left w:val="nil"/>
              <w:bottom w:val="single" w:sz="4" w:space="0" w:color="auto"/>
              <w:right w:val="single" w:sz="4" w:space="0" w:color="auto"/>
            </w:tcBorders>
            <w:shd w:val="clear" w:color="auto" w:fill="auto"/>
            <w:noWrap/>
            <w:vAlign w:val="center"/>
            <w:hideMark/>
          </w:tcPr>
          <w:p w14:paraId="3FEEBF62"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84.569.873.779</w:t>
            </w:r>
          </w:p>
        </w:tc>
        <w:tc>
          <w:tcPr>
            <w:tcW w:w="0" w:type="auto"/>
            <w:tcBorders>
              <w:top w:val="nil"/>
              <w:left w:val="nil"/>
              <w:bottom w:val="single" w:sz="4" w:space="0" w:color="auto"/>
              <w:right w:val="single" w:sz="4" w:space="0" w:color="auto"/>
            </w:tcBorders>
            <w:shd w:val="clear" w:color="auto" w:fill="auto"/>
            <w:noWrap/>
            <w:vAlign w:val="center"/>
            <w:hideMark/>
          </w:tcPr>
          <w:p w14:paraId="4530D909"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84.569.873.779</w:t>
            </w:r>
          </w:p>
        </w:tc>
        <w:tc>
          <w:tcPr>
            <w:tcW w:w="0" w:type="auto"/>
            <w:tcBorders>
              <w:top w:val="nil"/>
              <w:left w:val="nil"/>
              <w:bottom w:val="single" w:sz="4" w:space="0" w:color="auto"/>
              <w:right w:val="single" w:sz="4" w:space="0" w:color="auto"/>
            </w:tcBorders>
            <w:shd w:val="clear" w:color="auto" w:fill="auto"/>
            <w:noWrap/>
            <w:vAlign w:val="center"/>
            <w:hideMark/>
          </w:tcPr>
          <w:p w14:paraId="7E02FE37"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70.474.894.816</w:t>
            </w:r>
          </w:p>
        </w:tc>
        <w:tc>
          <w:tcPr>
            <w:tcW w:w="0" w:type="auto"/>
            <w:tcBorders>
              <w:top w:val="nil"/>
              <w:left w:val="nil"/>
              <w:bottom w:val="single" w:sz="4" w:space="0" w:color="auto"/>
              <w:right w:val="single" w:sz="4" w:space="0" w:color="auto"/>
            </w:tcBorders>
            <w:shd w:val="clear" w:color="auto" w:fill="auto"/>
            <w:noWrap/>
            <w:vAlign w:val="center"/>
            <w:hideMark/>
          </w:tcPr>
          <w:p w14:paraId="53DF7CEA"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52.238.636.236</w:t>
            </w:r>
          </w:p>
        </w:tc>
      </w:tr>
      <w:tr w:rsidR="00C86E92" w:rsidRPr="00C86E92" w14:paraId="4C08ACF5" w14:textId="77777777" w:rsidTr="00C86E92">
        <w:trPr>
          <w:trHeight w:val="315"/>
          <w:jc w:val="right"/>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652A91F" w14:textId="77777777" w:rsidR="00C86E92" w:rsidRPr="00C86E92" w:rsidRDefault="00C86E92" w:rsidP="00C86E92">
            <w:pPr>
              <w:spacing w:before="0" w:after="0"/>
              <w:jc w:val="center"/>
              <w:rPr>
                <w:rFonts w:cs="Arial"/>
                <w:i/>
                <w:iCs/>
                <w:sz w:val="18"/>
                <w:szCs w:val="18"/>
                <w:lang w:val="es-CO" w:eastAsia="es-CO"/>
              </w:rPr>
            </w:pPr>
            <w:r w:rsidRPr="00C86E92">
              <w:rPr>
                <w:rFonts w:cs="Arial"/>
                <w:i/>
                <w:iCs/>
                <w:sz w:val="18"/>
                <w:szCs w:val="18"/>
                <w:lang w:val="es-CO" w:eastAsia="es-CO"/>
              </w:rPr>
              <w:t>AOMbase</w:t>
            </w:r>
            <w:r w:rsidRPr="00C86E92">
              <w:rPr>
                <w:rFonts w:cs="Arial"/>
                <w:i/>
                <w:iCs/>
                <w:color w:val="000000"/>
                <w:sz w:val="18"/>
                <w:szCs w:val="18"/>
                <w:vertAlign w:val="subscript"/>
                <w:lang w:val="es-CO" w:eastAsia="es-CO"/>
              </w:rPr>
              <w:t>j,1</w:t>
            </w:r>
          </w:p>
        </w:tc>
        <w:tc>
          <w:tcPr>
            <w:tcW w:w="0" w:type="auto"/>
            <w:tcBorders>
              <w:top w:val="nil"/>
              <w:left w:val="nil"/>
              <w:bottom w:val="single" w:sz="4" w:space="0" w:color="auto"/>
              <w:right w:val="single" w:sz="4" w:space="0" w:color="auto"/>
            </w:tcBorders>
            <w:shd w:val="clear" w:color="auto" w:fill="auto"/>
            <w:noWrap/>
            <w:vAlign w:val="center"/>
            <w:hideMark/>
          </w:tcPr>
          <w:p w14:paraId="5C2EF8A1"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43.814.307.261</w:t>
            </w:r>
          </w:p>
        </w:tc>
        <w:tc>
          <w:tcPr>
            <w:tcW w:w="0" w:type="auto"/>
            <w:tcBorders>
              <w:top w:val="nil"/>
              <w:left w:val="nil"/>
              <w:bottom w:val="single" w:sz="4" w:space="0" w:color="auto"/>
              <w:right w:val="single" w:sz="4" w:space="0" w:color="auto"/>
            </w:tcBorders>
            <w:shd w:val="clear" w:color="auto" w:fill="auto"/>
            <w:noWrap/>
            <w:vAlign w:val="center"/>
            <w:hideMark/>
          </w:tcPr>
          <w:p w14:paraId="110527C3"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43.814.307.261</w:t>
            </w:r>
          </w:p>
        </w:tc>
        <w:tc>
          <w:tcPr>
            <w:tcW w:w="0" w:type="auto"/>
            <w:tcBorders>
              <w:top w:val="nil"/>
              <w:left w:val="nil"/>
              <w:bottom w:val="single" w:sz="4" w:space="0" w:color="auto"/>
              <w:right w:val="single" w:sz="4" w:space="0" w:color="auto"/>
            </w:tcBorders>
            <w:shd w:val="clear" w:color="auto" w:fill="auto"/>
            <w:noWrap/>
            <w:vAlign w:val="center"/>
            <w:hideMark/>
          </w:tcPr>
          <w:p w14:paraId="0DD30D34"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43.814.307.261</w:t>
            </w:r>
          </w:p>
        </w:tc>
        <w:tc>
          <w:tcPr>
            <w:tcW w:w="0" w:type="auto"/>
            <w:tcBorders>
              <w:top w:val="nil"/>
              <w:left w:val="nil"/>
              <w:bottom w:val="single" w:sz="4" w:space="0" w:color="auto"/>
              <w:right w:val="single" w:sz="4" w:space="0" w:color="auto"/>
            </w:tcBorders>
            <w:shd w:val="clear" w:color="auto" w:fill="auto"/>
            <w:noWrap/>
            <w:vAlign w:val="center"/>
            <w:hideMark/>
          </w:tcPr>
          <w:p w14:paraId="74AE418E"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36.511.922.718</w:t>
            </w:r>
          </w:p>
        </w:tc>
        <w:tc>
          <w:tcPr>
            <w:tcW w:w="0" w:type="auto"/>
            <w:tcBorders>
              <w:top w:val="nil"/>
              <w:left w:val="nil"/>
              <w:bottom w:val="single" w:sz="4" w:space="0" w:color="auto"/>
              <w:right w:val="single" w:sz="4" w:space="0" w:color="auto"/>
            </w:tcBorders>
            <w:shd w:val="clear" w:color="auto" w:fill="auto"/>
            <w:noWrap/>
            <w:vAlign w:val="center"/>
            <w:hideMark/>
          </w:tcPr>
          <w:p w14:paraId="5C15D13B" w14:textId="77777777" w:rsidR="00C86E92" w:rsidRPr="00C86E92" w:rsidRDefault="00C86E92" w:rsidP="00C86E92">
            <w:pPr>
              <w:spacing w:before="0" w:after="0"/>
              <w:jc w:val="right"/>
              <w:rPr>
                <w:rFonts w:cs="Arial"/>
                <w:sz w:val="18"/>
                <w:szCs w:val="18"/>
                <w:lang w:val="es-CO" w:eastAsia="es-CO"/>
              </w:rPr>
            </w:pPr>
            <w:r w:rsidRPr="00C86E92">
              <w:rPr>
                <w:rFonts w:cs="Arial"/>
                <w:sz w:val="18"/>
                <w:szCs w:val="18"/>
                <w:lang w:val="es-CO" w:eastAsia="es-CO"/>
              </w:rPr>
              <w:t>27.064.007.036</w:t>
            </w:r>
          </w:p>
        </w:tc>
      </w:tr>
    </w:tbl>
    <w:p w14:paraId="2D7F4FE7" w14:textId="0482DD27" w:rsidR="004730C9" w:rsidRPr="000C23A9" w:rsidRDefault="004730C9" w:rsidP="004730C9">
      <w:pPr>
        <w:pStyle w:val="Artculo"/>
        <w:ind w:left="0"/>
        <w:outlineLvl w:val="2"/>
        <w:rPr>
          <w:b w:val="0"/>
        </w:rPr>
      </w:pPr>
      <w:r>
        <w:t xml:space="preserve">Modificar el artículo 8 de la Resolución </w:t>
      </w:r>
      <w:r w:rsidR="00C86E92">
        <w:t>CREG 025 de 2021</w:t>
      </w:r>
      <w:r>
        <w:t xml:space="preserve">. </w:t>
      </w:r>
      <w:r w:rsidRPr="00A71EA8">
        <w:rPr>
          <w:b w:val="0"/>
        </w:rPr>
        <w:t xml:space="preserve">El artículo </w:t>
      </w:r>
      <w:r>
        <w:rPr>
          <w:b w:val="0"/>
        </w:rPr>
        <w:t>8</w:t>
      </w:r>
      <w:r w:rsidRPr="00A71EA8">
        <w:rPr>
          <w:b w:val="0"/>
        </w:rPr>
        <w:t xml:space="preserve"> de la Resolución </w:t>
      </w:r>
      <w:r w:rsidR="00C86E92">
        <w:rPr>
          <w:b w:val="0"/>
        </w:rPr>
        <w:t>CREG 025 de 2021</w:t>
      </w:r>
      <w:r w:rsidRPr="00A71EA8">
        <w:rPr>
          <w:b w:val="0"/>
        </w:rPr>
        <w:t xml:space="preserve"> quedará así:</w:t>
      </w:r>
    </w:p>
    <w:p w14:paraId="08291B67" w14:textId="77777777" w:rsidR="004730C9" w:rsidRPr="00DD5736" w:rsidRDefault="004730C9" w:rsidP="00723E6C">
      <w:pPr>
        <w:pStyle w:val="Artculo"/>
        <w:numPr>
          <w:ilvl w:val="0"/>
          <w:numId w:val="0"/>
        </w:numPr>
        <w:spacing w:before="120" w:after="120"/>
        <w:ind w:left="425"/>
        <w:outlineLvl w:val="2"/>
        <w:rPr>
          <w:b w:val="0"/>
          <w:i/>
          <w:iCs/>
          <w:sz w:val="22"/>
          <w:szCs w:val="22"/>
        </w:rPr>
      </w:pPr>
      <w:r w:rsidRPr="00DD5736">
        <w:rPr>
          <w:i/>
          <w:iCs/>
          <w:sz w:val="22"/>
          <w:szCs w:val="22"/>
        </w:rPr>
        <w:t>Artículo 8. Factor ambiental para las nuevas inversiones</w:t>
      </w:r>
      <w:r w:rsidRPr="00DD5736">
        <w:rPr>
          <w:b w:val="0"/>
          <w:i/>
          <w:iCs/>
          <w:sz w:val="22"/>
          <w:szCs w:val="22"/>
        </w:rPr>
        <w:t>. El valor del factor ambiental para las nuevas inversiones, fAMB</w:t>
      </w:r>
      <w:r w:rsidRPr="00DD5736">
        <w:rPr>
          <w:b w:val="0"/>
          <w:i/>
          <w:iCs/>
          <w:sz w:val="22"/>
          <w:szCs w:val="22"/>
          <w:vertAlign w:val="subscript"/>
        </w:rPr>
        <w:t>j</w:t>
      </w:r>
      <w:r w:rsidRPr="00DD5736">
        <w:rPr>
          <w:b w:val="0"/>
          <w:i/>
          <w:iCs/>
          <w:sz w:val="22"/>
          <w:szCs w:val="22"/>
        </w:rPr>
        <w:t>, es el siguiente:</w:t>
      </w:r>
    </w:p>
    <w:p w14:paraId="2C0CE0A9" w14:textId="77777777" w:rsidR="004730C9" w:rsidRPr="00DD5736" w:rsidRDefault="004730C9" w:rsidP="004730C9">
      <w:pPr>
        <w:pStyle w:val="Descripcin"/>
        <w:ind w:left="567"/>
        <w:rPr>
          <w:i/>
          <w:iCs/>
          <w:sz w:val="20"/>
          <w:szCs w:val="18"/>
        </w:rPr>
      </w:pPr>
      <w:r w:rsidRPr="00DD5736">
        <w:rPr>
          <w:i/>
          <w:iCs/>
          <w:sz w:val="20"/>
          <w:szCs w:val="18"/>
        </w:rPr>
        <w:t xml:space="preserve">Tabla </w:t>
      </w:r>
      <w:r>
        <w:rPr>
          <w:i/>
          <w:iCs/>
          <w:sz w:val="20"/>
          <w:szCs w:val="18"/>
        </w:rPr>
        <w:t>10</w:t>
      </w:r>
      <w:r w:rsidRPr="00DD5736">
        <w:rPr>
          <w:i/>
          <w:iCs/>
          <w:sz w:val="20"/>
          <w:szCs w:val="18"/>
        </w:rPr>
        <w:t xml:space="preserve"> Factor ambiental para nuevas inversiones</w:t>
      </w:r>
    </w:p>
    <w:tbl>
      <w:tblPr>
        <w:tblW w:w="3751" w:type="dxa"/>
        <w:jc w:val="center"/>
        <w:tblCellMar>
          <w:left w:w="70" w:type="dxa"/>
          <w:right w:w="70" w:type="dxa"/>
        </w:tblCellMar>
        <w:tblLook w:val="04A0" w:firstRow="1" w:lastRow="0" w:firstColumn="1" w:lastColumn="0" w:noHBand="0" w:noVBand="1"/>
      </w:tblPr>
      <w:tblGrid>
        <w:gridCol w:w="1791"/>
        <w:gridCol w:w="1960"/>
      </w:tblGrid>
      <w:tr w:rsidR="004730C9" w:rsidRPr="009B079A" w14:paraId="7497CE6F" w14:textId="77777777" w:rsidTr="001F4481">
        <w:trPr>
          <w:cantSplit/>
          <w:trHeight w:val="255"/>
          <w:tblHeader/>
          <w:jc w:val="center"/>
        </w:trPr>
        <w:tc>
          <w:tcPr>
            <w:tcW w:w="17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138D9D" w14:textId="77777777" w:rsidR="004730C9" w:rsidRPr="009B079A" w:rsidRDefault="004730C9" w:rsidP="001F4481">
            <w:pPr>
              <w:spacing w:before="0" w:after="0"/>
              <w:jc w:val="center"/>
              <w:rPr>
                <w:rFonts w:cs="Arial"/>
                <w:b/>
                <w:bCs/>
                <w:sz w:val="18"/>
                <w:szCs w:val="18"/>
                <w:lang w:val="es-CO" w:eastAsia="es-CO"/>
              </w:rPr>
            </w:pPr>
            <w:r w:rsidRPr="009B079A">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A2C67D2" w14:textId="77777777" w:rsidR="004730C9" w:rsidRPr="009B079A" w:rsidRDefault="004730C9" w:rsidP="001F4481">
            <w:pPr>
              <w:spacing w:before="0" w:after="0"/>
              <w:jc w:val="center"/>
              <w:rPr>
                <w:rFonts w:cs="Arial"/>
                <w:b/>
                <w:bCs/>
                <w:sz w:val="18"/>
                <w:szCs w:val="18"/>
                <w:lang w:val="es-CO" w:eastAsia="es-CO"/>
              </w:rPr>
            </w:pPr>
            <w:r w:rsidRPr="009B079A">
              <w:rPr>
                <w:rFonts w:cs="Arial"/>
                <w:b/>
                <w:bCs/>
                <w:sz w:val="18"/>
                <w:szCs w:val="18"/>
                <w:lang w:val="es-CO" w:eastAsia="es-CO"/>
              </w:rPr>
              <w:t>Valor</w:t>
            </w:r>
          </w:p>
        </w:tc>
      </w:tr>
      <w:tr w:rsidR="004730C9" w:rsidRPr="009B079A" w14:paraId="10F7F408" w14:textId="77777777" w:rsidTr="001F4481">
        <w:trPr>
          <w:trHeight w:val="315"/>
          <w:jc w:val="center"/>
        </w:trPr>
        <w:tc>
          <w:tcPr>
            <w:tcW w:w="1791" w:type="dxa"/>
            <w:tcBorders>
              <w:top w:val="nil"/>
              <w:left w:val="single" w:sz="4" w:space="0" w:color="auto"/>
              <w:bottom w:val="single" w:sz="4" w:space="0" w:color="auto"/>
              <w:right w:val="single" w:sz="4" w:space="0" w:color="auto"/>
            </w:tcBorders>
            <w:shd w:val="clear" w:color="000000" w:fill="FFFFFF"/>
            <w:noWrap/>
            <w:vAlign w:val="center"/>
            <w:hideMark/>
          </w:tcPr>
          <w:p w14:paraId="7ED76EC8" w14:textId="77777777" w:rsidR="004730C9" w:rsidRPr="009B079A" w:rsidRDefault="004730C9" w:rsidP="001F4481">
            <w:pPr>
              <w:spacing w:before="0" w:after="0"/>
              <w:jc w:val="center"/>
              <w:rPr>
                <w:rFonts w:cs="Arial"/>
                <w:i/>
                <w:iCs/>
                <w:sz w:val="18"/>
                <w:szCs w:val="18"/>
                <w:lang w:val="es-CO" w:eastAsia="es-CO"/>
              </w:rPr>
            </w:pPr>
            <w:r w:rsidRPr="009B079A">
              <w:rPr>
                <w:rFonts w:cs="Arial"/>
                <w:i/>
                <w:iCs/>
                <w:sz w:val="18"/>
                <w:szCs w:val="18"/>
                <w:lang w:val="es-CO" w:eastAsia="es-CO"/>
              </w:rPr>
              <w:t>fAMB</w:t>
            </w:r>
            <w:r w:rsidRPr="009B079A">
              <w:rPr>
                <w:rFonts w:cs="Arial"/>
                <w:i/>
                <w:iCs/>
                <w:color w:val="000000"/>
                <w:sz w:val="18"/>
                <w:szCs w:val="18"/>
                <w:vertAlign w:val="subscript"/>
                <w:lang w:val="es-CO" w:eastAsia="es-CO"/>
              </w:rPr>
              <w:t>j</w:t>
            </w:r>
          </w:p>
        </w:tc>
        <w:tc>
          <w:tcPr>
            <w:tcW w:w="1960" w:type="dxa"/>
            <w:tcBorders>
              <w:top w:val="nil"/>
              <w:left w:val="nil"/>
              <w:bottom w:val="single" w:sz="4" w:space="0" w:color="auto"/>
              <w:right w:val="single" w:sz="4" w:space="0" w:color="auto"/>
            </w:tcBorders>
            <w:shd w:val="clear" w:color="auto" w:fill="auto"/>
            <w:noWrap/>
            <w:vAlign w:val="center"/>
            <w:hideMark/>
          </w:tcPr>
          <w:p w14:paraId="29C1F59B" w14:textId="57847B5B" w:rsidR="004730C9" w:rsidRPr="009B079A" w:rsidRDefault="004730C9" w:rsidP="001F4481">
            <w:pPr>
              <w:spacing w:before="0" w:after="0"/>
              <w:jc w:val="right"/>
              <w:rPr>
                <w:rFonts w:cs="Arial"/>
                <w:sz w:val="18"/>
                <w:szCs w:val="18"/>
                <w:lang w:val="es-CO" w:eastAsia="es-CO"/>
              </w:rPr>
            </w:pPr>
            <w:r w:rsidRPr="009B079A">
              <w:rPr>
                <w:rFonts w:cs="Arial"/>
                <w:sz w:val="18"/>
                <w:szCs w:val="18"/>
                <w:lang w:val="es-CO" w:eastAsia="es-CO"/>
              </w:rPr>
              <w:t>1,0</w:t>
            </w:r>
            <w:r w:rsidR="00C86E92">
              <w:rPr>
                <w:rFonts w:cs="Arial"/>
                <w:sz w:val="18"/>
                <w:szCs w:val="18"/>
                <w:lang w:val="es-CO" w:eastAsia="es-CO"/>
              </w:rPr>
              <w:t>260</w:t>
            </w:r>
          </w:p>
        </w:tc>
      </w:tr>
    </w:tbl>
    <w:p w14:paraId="4324FB51" w14:textId="5EA63B76" w:rsidR="00C86E92" w:rsidRDefault="00C86E92" w:rsidP="00C86E92">
      <w:pPr>
        <w:pStyle w:val="Artculo"/>
        <w:ind w:left="0"/>
        <w:outlineLvl w:val="2"/>
        <w:rPr>
          <w:b w:val="0"/>
        </w:rPr>
      </w:pPr>
      <w:r>
        <w:t xml:space="preserve">Modificar el artículo 12 de la Resolución CREG 025 de 2021. </w:t>
      </w:r>
      <w:r w:rsidRPr="00A71EA8">
        <w:rPr>
          <w:b w:val="0"/>
        </w:rPr>
        <w:t xml:space="preserve">El artículo </w:t>
      </w:r>
      <w:r>
        <w:rPr>
          <w:b w:val="0"/>
        </w:rPr>
        <w:t>12</w:t>
      </w:r>
      <w:r w:rsidRPr="00A71EA8">
        <w:rPr>
          <w:b w:val="0"/>
        </w:rPr>
        <w:t xml:space="preserve"> de la Resolución </w:t>
      </w:r>
      <w:r>
        <w:rPr>
          <w:b w:val="0"/>
        </w:rPr>
        <w:t>CREG 025 de 2021</w:t>
      </w:r>
      <w:r w:rsidRPr="00A71EA8">
        <w:rPr>
          <w:b w:val="0"/>
        </w:rPr>
        <w:t xml:space="preserve"> quedará así:</w:t>
      </w:r>
    </w:p>
    <w:p w14:paraId="350269A8" w14:textId="08100570" w:rsidR="00C86E92" w:rsidRPr="00653A5C" w:rsidRDefault="00C86E92" w:rsidP="00723E6C">
      <w:pPr>
        <w:pStyle w:val="Artculo"/>
        <w:numPr>
          <w:ilvl w:val="0"/>
          <w:numId w:val="0"/>
        </w:numPr>
        <w:spacing w:before="120" w:after="120"/>
        <w:ind w:left="425"/>
        <w:outlineLvl w:val="2"/>
        <w:rPr>
          <w:b w:val="0"/>
          <w:i/>
          <w:iCs/>
          <w:sz w:val="22"/>
          <w:szCs w:val="22"/>
        </w:rPr>
      </w:pPr>
      <w:r w:rsidRPr="00653A5C">
        <w:rPr>
          <w:i/>
          <w:iCs/>
          <w:sz w:val="22"/>
          <w:szCs w:val="22"/>
        </w:rPr>
        <w:t>Artícul</w:t>
      </w:r>
      <w:r w:rsidR="00653A5C" w:rsidRPr="00653A5C">
        <w:rPr>
          <w:i/>
          <w:iCs/>
          <w:sz w:val="22"/>
          <w:szCs w:val="22"/>
        </w:rPr>
        <w:t xml:space="preserve">o 12. </w:t>
      </w:r>
      <w:r w:rsidRPr="00653A5C">
        <w:rPr>
          <w:i/>
          <w:iCs/>
          <w:sz w:val="22"/>
          <w:szCs w:val="22"/>
        </w:rPr>
        <w:t xml:space="preserve">Indicadores de calidad individual de duración de eventos. </w:t>
      </w:r>
      <w:r w:rsidRPr="00653A5C">
        <w:rPr>
          <w:b w:val="0"/>
          <w:i/>
          <w:iCs/>
          <w:sz w:val="22"/>
          <w:szCs w:val="22"/>
        </w:rPr>
        <w:t>La duración máxima anual de los eventos percibidos por los usuarios, DIUG</w:t>
      </w:r>
      <w:r w:rsidRPr="00653A5C">
        <w:rPr>
          <w:b w:val="0"/>
          <w:i/>
          <w:iCs/>
          <w:sz w:val="22"/>
          <w:szCs w:val="22"/>
          <w:vertAlign w:val="subscript"/>
        </w:rPr>
        <w:t>j,n,q</w:t>
      </w:r>
      <w:r w:rsidRPr="00653A5C">
        <w:rPr>
          <w:b w:val="0"/>
          <w:i/>
          <w:iCs/>
          <w:sz w:val="22"/>
          <w:szCs w:val="22"/>
        </w:rPr>
        <w:t>, en los niveles de tensión 2, 3 y 1, es la siguiente:</w:t>
      </w:r>
    </w:p>
    <w:p w14:paraId="389C1AA3" w14:textId="79B8EB07" w:rsidR="00C86E92" w:rsidRDefault="00C86E92" w:rsidP="00C86E92">
      <w:pPr>
        <w:pStyle w:val="Descripcin"/>
        <w:rPr>
          <w:i/>
          <w:iCs/>
          <w:sz w:val="20"/>
          <w:szCs w:val="18"/>
        </w:rPr>
      </w:pPr>
      <w:r w:rsidRPr="00772B72">
        <w:rPr>
          <w:i/>
          <w:iCs/>
          <w:sz w:val="20"/>
          <w:szCs w:val="18"/>
        </w:rPr>
        <w:t xml:space="preserve">Tabla </w:t>
      </w:r>
      <w:r w:rsidR="00653A5C" w:rsidRPr="00772B72">
        <w:rPr>
          <w:i/>
          <w:iCs/>
          <w:sz w:val="20"/>
          <w:szCs w:val="18"/>
        </w:rPr>
        <w:t>14</w:t>
      </w:r>
      <w:r w:rsidRPr="00772B72">
        <w:rPr>
          <w:i/>
          <w:iCs/>
          <w:sz w:val="20"/>
          <w:szCs w:val="18"/>
        </w:rPr>
        <w:t xml:space="preserve"> DIUG niveles de tensión 2 y 3, horas</w:t>
      </w:r>
    </w:p>
    <w:tbl>
      <w:tblPr>
        <w:tblW w:w="7500" w:type="dxa"/>
        <w:jc w:val="center"/>
        <w:tblCellMar>
          <w:left w:w="70" w:type="dxa"/>
          <w:right w:w="70" w:type="dxa"/>
        </w:tblCellMar>
        <w:tblLook w:val="04A0" w:firstRow="1" w:lastRow="0" w:firstColumn="1" w:lastColumn="0" w:noHBand="0" w:noVBand="1"/>
      </w:tblPr>
      <w:tblGrid>
        <w:gridCol w:w="1600"/>
        <w:gridCol w:w="1980"/>
        <w:gridCol w:w="1960"/>
        <w:gridCol w:w="1960"/>
      </w:tblGrid>
      <w:tr w:rsidR="00772B72" w:rsidRPr="00772B72" w14:paraId="229C9D15" w14:textId="77777777" w:rsidTr="00772B72">
        <w:trPr>
          <w:trHeight w:val="255"/>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3848B5" w14:textId="77777777" w:rsidR="00772B72" w:rsidRPr="00772B72" w:rsidRDefault="00772B72" w:rsidP="00772B72">
            <w:pPr>
              <w:spacing w:before="0" w:after="0"/>
              <w:jc w:val="center"/>
              <w:rPr>
                <w:rFonts w:cs="Arial"/>
                <w:b/>
                <w:bCs/>
                <w:sz w:val="18"/>
                <w:szCs w:val="18"/>
                <w:lang w:val="es-CO" w:eastAsia="es-CO"/>
              </w:rPr>
            </w:pPr>
            <w:r w:rsidRPr="00772B72">
              <w:rPr>
                <w:rFonts w:cs="Arial"/>
                <w:b/>
                <w:bCs/>
                <w:sz w:val="18"/>
                <w:szCs w:val="18"/>
                <w:lang w:val="es-CO" w:eastAsia="es-CO"/>
              </w:rPr>
              <w:t> </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324A1F32" w14:textId="77777777" w:rsidR="00772B72" w:rsidRPr="00772B72" w:rsidRDefault="00772B72" w:rsidP="00772B72">
            <w:pPr>
              <w:spacing w:before="0" w:after="0"/>
              <w:jc w:val="center"/>
              <w:rPr>
                <w:rFonts w:cs="Arial"/>
                <w:b/>
                <w:bCs/>
                <w:sz w:val="18"/>
                <w:szCs w:val="18"/>
                <w:lang w:val="es-CO" w:eastAsia="es-CO"/>
              </w:rPr>
            </w:pPr>
            <w:r w:rsidRPr="00772B72">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609B9A07" w14:textId="77777777" w:rsidR="00772B72" w:rsidRPr="00772B72" w:rsidRDefault="00772B72" w:rsidP="00772B72">
            <w:pPr>
              <w:spacing w:before="0" w:after="0"/>
              <w:jc w:val="center"/>
              <w:rPr>
                <w:rFonts w:cs="Arial"/>
                <w:b/>
                <w:bCs/>
                <w:sz w:val="18"/>
                <w:szCs w:val="18"/>
                <w:lang w:val="es-CO" w:eastAsia="es-CO"/>
              </w:rPr>
            </w:pPr>
            <w:r w:rsidRPr="00772B72">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C70E8B7" w14:textId="77777777" w:rsidR="00772B72" w:rsidRPr="00772B72" w:rsidRDefault="00772B72" w:rsidP="00772B72">
            <w:pPr>
              <w:spacing w:before="0" w:after="0"/>
              <w:jc w:val="center"/>
              <w:rPr>
                <w:rFonts w:cs="Arial"/>
                <w:b/>
                <w:bCs/>
                <w:sz w:val="18"/>
                <w:szCs w:val="18"/>
                <w:lang w:val="es-CO" w:eastAsia="es-CO"/>
              </w:rPr>
            </w:pPr>
            <w:r w:rsidRPr="00772B72">
              <w:rPr>
                <w:rFonts w:cs="Arial"/>
                <w:b/>
                <w:bCs/>
                <w:sz w:val="18"/>
                <w:szCs w:val="18"/>
                <w:lang w:val="es-CO" w:eastAsia="es-CO"/>
              </w:rPr>
              <w:t>Ruralidad 3</w:t>
            </w:r>
          </w:p>
        </w:tc>
      </w:tr>
      <w:tr w:rsidR="00772B72" w:rsidRPr="00772B72" w14:paraId="01CA3F46" w14:textId="77777777" w:rsidTr="00772B72">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6D42F7FB" w14:textId="77777777" w:rsidR="00772B72" w:rsidRPr="00772B72" w:rsidRDefault="00772B72" w:rsidP="00772B72">
            <w:pPr>
              <w:spacing w:before="0" w:after="0"/>
              <w:jc w:val="center"/>
              <w:rPr>
                <w:rFonts w:cs="Arial"/>
                <w:b/>
                <w:bCs/>
                <w:sz w:val="18"/>
                <w:szCs w:val="18"/>
                <w:lang w:val="es-CO" w:eastAsia="es-CO"/>
              </w:rPr>
            </w:pPr>
            <w:r w:rsidRPr="00772B72">
              <w:rPr>
                <w:rFonts w:cs="Arial"/>
                <w:b/>
                <w:bCs/>
                <w:sz w:val="18"/>
                <w:szCs w:val="18"/>
                <w:lang w:val="es-CO" w:eastAsia="es-CO"/>
              </w:rPr>
              <w:t>Riesgo 1</w:t>
            </w:r>
          </w:p>
        </w:tc>
        <w:tc>
          <w:tcPr>
            <w:tcW w:w="1980" w:type="dxa"/>
            <w:tcBorders>
              <w:top w:val="nil"/>
              <w:left w:val="nil"/>
              <w:bottom w:val="single" w:sz="4" w:space="0" w:color="auto"/>
              <w:right w:val="single" w:sz="4" w:space="0" w:color="auto"/>
            </w:tcBorders>
            <w:shd w:val="clear" w:color="auto" w:fill="auto"/>
            <w:noWrap/>
            <w:vAlign w:val="center"/>
            <w:hideMark/>
          </w:tcPr>
          <w:p w14:paraId="3D3051B8" w14:textId="77777777" w:rsidR="00772B72" w:rsidRPr="00772B72" w:rsidRDefault="00772B72" w:rsidP="00772B72">
            <w:pPr>
              <w:spacing w:before="0" w:after="0"/>
              <w:jc w:val="right"/>
              <w:rPr>
                <w:rFonts w:cs="Arial"/>
                <w:sz w:val="18"/>
                <w:szCs w:val="18"/>
                <w:lang w:val="es-CO" w:eastAsia="es-CO"/>
              </w:rPr>
            </w:pPr>
            <w:r w:rsidRPr="00772B72">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01BBCB4D" w14:textId="77777777" w:rsidR="00772B72" w:rsidRPr="00772B72" w:rsidRDefault="00772B72" w:rsidP="00772B72">
            <w:pPr>
              <w:spacing w:before="0" w:after="0"/>
              <w:jc w:val="right"/>
              <w:rPr>
                <w:rFonts w:cs="Arial"/>
                <w:sz w:val="18"/>
                <w:szCs w:val="18"/>
                <w:lang w:val="es-CO" w:eastAsia="es-CO"/>
              </w:rPr>
            </w:pPr>
            <w:r w:rsidRPr="00772B72">
              <w:rPr>
                <w:rFonts w:cs="Arial"/>
                <w:sz w:val="18"/>
                <w:szCs w:val="18"/>
                <w:lang w:val="es-CO" w:eastAsia="es-CO"/>
              </w:rPr>
              <w:t>208,86</w:t>
            </w:r>
          </w:p>
        </w:tc>
        <w:tc>
          <w:tcPr>
            <w:tcW w:w="1960" w:type="dxa"/>
            <w:tcBorders>
              <w:top w:val="nil"/>
              <w:left w:val="nil"/>
              <w:bottom w:val="single" w:sz="4" w:space="0" w:color="auto"/>
              <w:right w:val="single" w:sz="4" w:space="0" w:color="auto"/>
            </w:tcBorders>
            <w:shd w:val="clear" w:color="auto" w:fill="auto"/>
            <w:noWrap/>
            <w:vAlign w:val="center"/>
            <w:hideMark/>
          </w:tcPr>
          <w:p w14:paraId="1C72F914" w14:textId="77777777" w:rsidR="00772B72" w:rsidRPr="00772B72" w:rsidRDefault="00772B72" w:rsidP="00772B72">
            <w:pPr>
              <w:spacing w:before="0" w:after="0"/>
              <w:jc w:val="right"/>
              <w:rPr>
                <w:rFonts w:cs="Arial"/>
                <w:sz w:val="18"/>
                <w:szCs w:val="18"/>
                <w:lang w:val="es-CO" w:eastAsia="es-CO"/>
              </w:rPr>
            </w:pPr>
            <w:r w:rsidRPr="00772B72">
              <w:rPr>
                <w:rFonts w:cs="Arial"/>
                <w:sz w:val="18"/>
                <w:szCs w:val="18"/>
                <w:lang w:val="es-CO" w:eastAsia="es-CO"/>
              </w:rPr>
              <w:t>61,88</w:t>
            </w:r>
          </w:p>
        </w:tc>
      </w:tr>
      <w:tr w:rsidR="00772B72" w:rsidRPr="00772B72" w14:paraId="3A979B3E" w14:textId="77777777" w:rsidTr="00772B72">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46EA2417" w14:textId="77777777" w:rsidR="00772B72" w:rsidRPr="00772B72" w:rsidRDefault="00772B72" w:rsidP="00772B72">
            <w:pPr>
              <w:spacing w:before="0" w:after="0"/>
              <w:jc w:val="center"/>
              <w:rPr>
                <w:rFonts w:cs="Arial"/>
                <w:b/>
                <w:bCs/>
                <w:sz w:val="18"/>
                <w:szCs w:val="18"/>
                <w:lang w:val="es-CO" w:eastAsia="es-CO"/>
              </w:rPr>
            </w:pPr>
            <w:r w:rsidRPr="00772B72">
              <w:rPr>
                <w:rFonts w:cs="Arial"/>
                <w:b/>
                <w:bCs/>
                <w:sz w:val="18"/>
                <w:szCs w:val="18"/>
                <w:lang w:val="es-CO" w:eastAsia="es-CO"/>
              </w:rPr>
              <w:t>Riesgo 2</w:t>
            </w:r>
          </w:p>
        </w:tc>
        <w:tc>
          <w:tcPr>
            <w:tcW w:w="1980" w:type="dxa"/>
            <w:tcBorders>
              <w:top w:val="nil"/>
              <w:left w:val="nil"/>
              <w:bottom w:val="single" w:sz="4" w:space="0" w:color="auto"/>
              <w:right w:val="single" w:sz="4" w:space="0" w:color="auto"/>
            </w:tcBorders>
            <w:shd w:val="clear" w:color="auto" w:fill="auto"/>
            <w:noWrap/>
            <w:vAlign w:val="center"/>
            <w:hideMark/>
          </w:tcPr>
          <w:p w14:paraId="1F776106" w14:textId="77777777" w:rsidR="00772B72" w:rsidRPr="00772B72" w:rsidRDefault="00772B72" w:rsidP="00772B72">
            <w:pPr>
              <w:spacing w:before="0" w:after="0"/>
              <w:jc w:val="right"/>
              <w:rPr>
                <w:rFonts w:cs="Arial"/>
                <w:sz w:val="18"/>
                <w:szCs w:val="18"/>
                <w:lang w:val="es-CO" w:eastAsia="es-CO"/>
              </w:rPr>
            </w:pPr>
            <w:r w:rsidRPr="00772B72">
              <w:rPr>
                <w:rFonts w:cs="Arial"/>
                <w:sz w:val="18"/>
                <w:szCs w:val="18"/>
                <w:lang w:val="es-CO" w:eastAsia="es-CO"/>
              </w:rPr>
              <w:t>50,11</w:t>
            </w:r>
          </w:p>
        </w:tc>
        <w:tc>
          <w:tcPr>
            <w:tcW w:w="1960" w:type="dxa"/>
            <w:tcBorders>
              <w:top w:val="nil"/>
              <w:left w:val="nil"/>
              <w:bottom w:val="single" w:sz="4" w:space="0" w:color="auto"/>
              <w:right w:val="single" w:sz="4" w:space="0" w:color="auto"/>
            </w:tcBorders>
            <w:shd w:val="clear" w:color="auto" w:fill="auto"/>
            <w:noWrap/>
            <w:vAlign w:val="center"/>
            <w:hideMark/>
          </w:tcPr>
          <w:p w14:paraId="41D1E56B" w14:textId="77777777" w:rsidR="00772B72" w:rsidRPr="00772B72" w:rsidRDefault="00772B72" w:rsidP="00772B72">
            <w:pPr>
              <w:spacing w:before="0" w:after="0"/>
              <w:jc w:val="right"/>
              <w:rPr>
                <w:rFonts w:cs="Arial"/>
                <w:sz w:val="18"/>
                <w:szCs w:val="18"/>
                <w:lang w:val="es-CO" w:eastAsia="es-CO"/>
              </w:rPr>
            </w:pPr>
            <w:r w:rsidRPr="00772B72">
              <w:rPr>
                <w:rFonts w:cs="Arial"/>
                <w:sz w:val="18"/>
                <w:szCs w:val="18"/>
                <w:lang w:val="es-CO" w:eastAsia="es-CO"/>
              </w:rPr>
              <w:t>209,11</w:t>
            </w:r>
          </w:p>
        </w:tc>
        <w:tc>
          <w:tcPr>
            <w:tcW w:w="1960" w:type="dxa"/>
            <w:tcBorders>
              <w:top w:val="nil"/>
              <w:left w:val="nil"/>
              <w:bottom w:val="single" w:sz="4" w:space="0" w:color="auto"/>
              <w:right w:val="single" w:sz="4" w:space="0" w:color="auto"/>
            </w:tcBorders>
            <w:shd w:val="clear" w:color="auto" w:fill="auto"/>
            <w:noWrap/>
            <w:vAlign w:val="center"/>
            <w:hideMark/>
          </w:tcPr>
          <w:p w14:paraId="2C5B033A" w14:textId="77777777" w:rsidR="00772B72" w:rsidRPr="00772B72" w:rsidRDefault="00772B72" w:rsidP="00772B72">
            <w:pPr>
              <w:spacing w:before="0" w:after="0"/>
              <w:jc w:val="right"/>
              <w:rPr>
                <w:rFonts w:cs="Arial"/>
                <w:sz w:val="18"/>
                <w:szCs w:val="18"/>
                <w:lang w:val="es-CO" w:eastAsia="es-CO"/>
              </w:rPr>
            </w:pPr>
            <w:r w:rsidRPr="00772B72">
              <w:rPr>
                <w:rFonts w:cs="Arial"/>
                <w:sz w:val="18"/>
                <w:szCs w:val="18"/>
                <w:lang w:val="es-CO" w:eastAsia="es-CO"/>
              </w:rPr>
              <w:t>201,86</w:t>
            </w:r>
          </w:p>
        </w:tc>
      </w:tr>
      <w:tr w:rsidR="00772B72" w:rsidRPr="00772B72" w14:paraId="0074B30B" w14:textId="77777777" w:rsidTr="00772B72">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652B64D3" w14:textId="77777777" w:rsidR="00772B72" w:rsidRPr="00772B72" w:rsidRDefault="00772B72" w:rsidP="00772B72">
            <w:pPr>
              <w:spacing w:before="0" w:after="0"/>
              <w:jc w:val="center"/>
              <w:rPr>
                <w:rFonts w:cs="Arial"/>
                <w:b/>
                <w:bCs/>
                <w:sz w:val="18"/>
                <w:szCs w:val="18"/>
                <w:lang w:val="es-CO" w:eastAsia="es-CO"/>
              </w:rPr>
            </w:pPr>
            <w:r w:rsidRPr="00772B72">
              <w:rPr>
                <w:rFonts w:cs="Arial"/>
                <w:b/>
                <w:bCs/>
                <w:sz w:val="18"/>
                <w:szCs w:val="18"/>
                <w:lang w:val="es-CO" w:eastAsia="es-CO"/>
              </w:rPr>
              <w:t>Riesgo 3</w:t>
            </w:r>
          </w:p>
        </w:tc>
        <w:tc>
          <w:tcPr>
            <w:tcW w:w="1980" w:type="dxa"/>
            <w:tcBorders>
              <w:top w:val="nil"/>
              <w:left w:val="nil"/>
              <w:bottom w:val="single" w:sz="4" w:space="0" w:color="auto"/>
              <w:right w:val="single" w:sz="4" w:space="0" w:color="auto"/>
            </w:tcBorders>
            <w:shd w:val="clear" w:color="auto" w:fill="auto"/>
            <w:noWrap/>
            <w:vAlign w:val="center"/>
            <w:hideMark/>
          </w:tcPr>
          <w:p w14:paraId="4CC7E18C" w14:textId="77777777" w:rsidR="00772B72" w:rsidRPr="00772B72" w:rsidRDefault="00772B72" w:rsidP="00772B72">
            <w:pPr>
              <w:spacing w:before="0" w:after="0"/>
              <w:jc w:val="right"/>
              <w:rPr>
                <w:rFonts w:cs="Arial"/>
                <w:sz w:val="18"/>
                <w:szCs w:val="18"/>
                <w:lang w:val="es-CO" w:eastAsia="es-CO"/>
              </w:rPr>
            </w:pPr>
            <w:r w:rsidRPr="00772B72">
              <w:rPr>
                <w:rFonts w:cs="Arial"/>
                <w:sz w:val="18"/>
                <w:szCs w:val="18"/>
                <w:lang w:val="es-CO" w:eastAsia="es-CO"/>
              </w:rPr>
              <w:t>47,35</w:t>
            </w:r>
          </w:p>
        </w:tc>
        <w:tc>
          <w:tcPr>
            <w:tcW w:w="1960" w:type="dxa"/>
            <w:tcBorders>
              <w:top w:val="nil"/>
              <w:left w:val="nil"/>
              <w:bottom w:val="single" w:sz="4" w:space="0" w:color="auto"/>
              <w:right w:val="single" w:sz="4" w:space="0" w:color="auto"/>
            </w:tcBorders>
            <w:shd w:val="clear" w:color="auto" w:fill="auto"/>
            <w:noWrap/>
            <w:vAlign w:val="center"/>
            <w:hideMark/>
          </w:tcPr>
          <w:p w14:paraId="2B248B1B" w14:textId="77777777" w:rsidR="00772B72" w:rsidRPr="00772B72" w:rsidRDefault="00772B72" w:rsidP="00772B72">
            <w:pPr>
              <w:spacing w:before="0" w:after="0"/>
              <w:jc w:val="right"/>
              <w:rPr>
                <w:rFonts w:cs="Arial"/>
                <w:sz w:val="18"/>
                <w:szCs w:val="18"/>
                <w:lang w:val="es-CO" w:eastAsia="es-CO"/>
              </w:rPr>
            </w:pPr>
            <w:r w:rsidRPr="00772B72">
              <w:rPr>
                <w:rFonts w:cs="Arial"/>
                <w:sz w:val="18"/>
                <w:szCs w:val="18"/>
                <w:lang w:val="es-CO" w:eastAsia="es-CO"/>
              </w:rPr>
              <w:t>226,57</w:t>
            </w:r>
          </w:p>
        </w:tc>
        <w:tc>
          <w:tcPr>
            <w:tcW w:w="1960" w:type="dxa"/>
            <w:tcBorders>
              <w:top w:val="nil"/>
              <w:left w:val="nil"/>
              <w:bottom w:val="single" w:sz="4" w:space="0" w:color="auto"/>
              <w:right w:val="single" w:sz="4" w:space="0" w:color="auto"/>
            </w:tcBorders>
            <w:shd w:val="clear" w:color="auto" w:fill="auto"/>
            <w:noWrap/>
            <w:vAlign w:val="center"/>
            <w:hideMark/>
          </w:tcPr>
          <w:p w14:paraId="33F95D15" w14:textId="77777777" w:rsidR="00772B72" w:rsidRPr="00772B72" w:rsidRDefault="00772B72" w:rsidP="00772B72">
            <w:pPr>
              <w:spacing w:before="0" w:after="0"/>
              <w:jc w:val="right"/>
              <w:rPr>
                <w:rFonts w:cs="Arial"/>
                <w:sz w:val="18"/>
                <w:szCs w:val="18"/>
                <w:lang w:val="es-CO" w:eastAsia="es-CO"/>
              </w:rPr>
            </w:pPr>
            <w:r w:rsidRPr="00772B72">
              <w:rPr>
                <w:rFonts w:cs="Arial"/>
                <w:sz w:val="18"/>
                <w:szCs w:val="18"/>
                <w:lang w:val="es-CO" w:eastAsia="es-CO"/>
              </w:rPr>
              <w:t>274,82</w:t>
            </w:r>
          </w:p>
        </w:tc>
      </w:tr>
    </w:tbl>
    <w:p w14:paraId="1A8A1213" w14:textId="054C9D6B" w:rsidR="00C86E92" w:rsidRDefault="00C86E92" w:rsidP="00C86E92">
      <w:pPr>
        <w:pStyle w:val="Descripcin"/>
        <w:rPr>
          <w:i/>
          <w:iCs/>
          <w:sz w:val="20"/>
          <w:szCs w:val="18"/>
        </w:rPr>
      </w:pPr>
      <w:r w:rsidRPr="00772B72">
        <w:rPr>
          <w:i/>
          <w:iCs/>
          <w:sz w:val="20"/>
          <w:szCs w:val="18"/>
        </w:rPr>
        <w:t xml:space="preserve">Tabla </w:t>
      </w:r>
      <w:r w:rsidR="00653A5C" w:rsidRPr="00772B72">
        <w:rPr>
          <w:i/>
          <w:iCs/>
          <w:sz w:val="20"/>
          <w:szCs w:val="18"/>
        </w:rPr>
        <w:t>15</w:t>
      </w:r>
      <w:r w:rsidRPr="00772B72">
        <w:rPr>
          <w:i/>
          <w:iCs/>
          <w:sz w:val="20"/>
          <w:szCs w:val="18"/>
        </w:rPr>
        <w:t xml:space="preserve"> DIUG nivel de tensión 1, horas</w:t>
      </w:r>
    </w:p>
    <w:tbl>
      <w:tblPr>
        <w:tblW w:w="7500" w:type="dxa"/>
        <w:jc w:val="center"/>
        <w:tblCellMar>
          <w:left w:w="70" w:type="dxa"/>
          <w:right w:w="70" w:type="dxa"/>
        </w:tblCellMar>
        <w:tblLook w:val="04A0" w:firstRow="1" w:lastRow="0" w:firstColumn="1" w:lastColumn="0" w:noHBand="0" w:noVBand="1"/>
      </w:tblPr>
      <w:tblGrid>
        <w:gridCol w:w="1600"/>
        <w:gridCol w:w="1980"/>
        <w:gridCol w:w="1960"/>
        <w:gridCol w:w="1960"/>
      </w:tblGrid>
      <w:tr w:rsidR="00772B72" w:rsidRPr="00772B72" w14:paraId="523A9DE6" w14:textId="77777777" w:rsidTr="00772B72">
        <w:trPr>
          <w:trHeight w:val="255"/>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32639E" w14:textId="77777777" w:rsidR="00772B72" w:rsidRPr="00772B72" w:rsidRDefault="00772B72" w:rsidP="00772B72">
            <w:pPr>
              <w:spacing w:before="0" w:after="0"/>
              <w:jc w:val="center"/>
              <w:rPr>
                <w:rFonts w:cs="Arial"/>
                <w:b/>
                <w:bCs/>
                <w:sz w:val="18"/>
                <w:szCs w:val="18"/>
                <w:lang w:val="es-CO" w:eastAsia="es-CO"/>
              </w:rPr>
            </w:pPr>
            <w:r w:rsidRPr="00772B72">
              <w:rPr>
                <w:rFonts w:cs="Arial"/>
                <w:b/>
                <w:bCs/>
                <w:sz w:val="18"/>
                <w:szCs w:val="18"/>
                <w:lang w:val="es-CO" w:eastAsia="es-CO"/>
              </w:rPr>
              <w:t> </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4B249F35" w14:textId="77777777" w:rsidR="00772B72" w:rsidRPr="00772B72" w:rsidRDefault="00772B72" w:rsidP="00772B72">
            <w:pPr>
              <w:spacing w:before="0" w:after="0"/>
              <w:jc w:val="center"/>
              <w:rPr>
                <w:rFonts w:cs="Arial"/>
                <w:b/>
                <w:bCs/>
                <w:sz w:val="18"/>
                <w:szCs w:val="18"/>
                <w:lang w:val="es-CO" w:eastAsia="es-CO"/>
              </w:rPr>
            </w:pPr>
            <w:r w:rsidRPr="00772B72">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6FC8301" w14:textId="77777777" w:rsidR="00772B72" w:rsidRPr="00772B72" w:rsidRDefault="00772B72" w:rsidP="00772B72">
            <w:pPr>
              <w:spacing w:before="0" w:after="0"/>
              <w:jc w:val="center"/>
              <w:rPr>
                <w:rFonts w:cs="Arial"/>
                <w:b/>
                <w:bCs/>
                <w:sz w:val="18"/>
                <w:szCs w:val="18"/>
                <w:lang w:val="es-CO" w:eastAsia="es-CO"/>
              </w:rPr>
            </w:pPr>
            <w:r w:rsidRPr="00772B72">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03A9388" w14:textId="77777777" w:rsidR="00772B72" w:rsidRPr="00772B72" w:rsidRDefault="00772B72" w:rsidP="00772B72">
            <w:pPr>
              <w:spacing w:before="0" w:after="0"/>
              <w:jc w:val="center"/>
              <w:rPr>
                <w:rFonts w:cs="Arial"/>
                <w:b/>
                <w:bCs/>
                <w:sz w:val="18"/>
                <w:szCs w:val="18"/>
                <w:lang w:val="es-CO" w:eastAsia="es-CO"/>
              </w:rPr>
            </w:pPr>
            <w:r w:rsidRPr="00772B72">
              <w:rPr>
                <w:rFonts w:cs="Arial"/>
                <w:b/>
                <w:bCs/>
                <w:sz w:val="18"/>
                <w:szCs w:val="18"/>
                <w:lang w:val="es-CO" w:eastAsia="es-CO"/>
              </w:rPr>
              <w:t>Ruralidad 3</w:t>
            </w:r>
          </w:p>
        </w:tc>
      </w:tr>
      <w:tr w:rsidR="00772B72" w:rsidRPr="00772B72" w14:paraId="6B77047F" w14:textId="77777777" w:rsidTr="00772B72">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2DC86410" w14:textId="77777777" w:rsidR="00772B72" w:rsidRPr="00772B72" w:rsidRDefault="00772B72" w:rsidP="00772B72">
            <w:pPr>
              <w:spacing w:before="0" w:after="0"/>
              <w:jc w:val="center"/>
              <w:rPr>
                <w:rFonts w:cs="Arial"/>
                <w:b/>
                <w:bCs/>
                <w:sz w:val="18"/>
                <w:szCs w:val="18"/>
                <w:lang w:val="es-CO" w:eastAsia="es-CO"/>
              </w:rPr>
            </w:pPr>
            <w:r w:rsidRPr="00772B72">
              <w:rPr>
                <w:rFonts w:cs="Arial"/>
                <w:b/>
                <w:bCs/>
                <w:sz w:val="18"/>
                <w:szCs w:val="18"/>
                <w:lang w:val="es-CO" w:eastAsia="es-CO"/>
              </w:rPr>
              <w:t>Riesgo 1</w:t>
            </w:r>
          </w:p>
        </w:tc>
        <w:tc>
          <w:tcPr>
            <w:tcW w:w="1980" w:type="dxa"/>
            <w:tcBorders>
              <w:top w:val="nil"/>
              <w:left w:val="nil"/>
              <w:bottom w:val="single" w:sz="4" w:space="0" w:color="auto"/>
              <w:right w:val="single" w:sz="4" w:space="0" w:color="auto"/>
            </w:tcBorders>
            <w:shd w:val="clear" w:color="auto" w:fill="auto"/>
            <w:noWrap/>
            <w:vAlign w:val="center"/>
            <w:hideMark/>
          </w:tcPr>
          <w:p w14:paraId="7BB375AD" w14:textId="77777777" w:rsidR="00772B72" w:rsidRPr="00772B72" w:rsidRDefault="00772B72" w:rsidP="00772B72">
            <w:pPr>
              <w:spacing w:before="0" w:after="0"/>
              <w:jc w:val="right"/>
              <w:rPr>
                <w:rFonts w:cs="Arial"/>
                <w:sz w:val="18"/>
                <w:szCs w:val="18"/>
                <w:lang w:val="es-CO" w:eastAsia="es-CO"/>
              </w:rPr>
            </w:pPr>
            <w:r w:rsidRPr="00772B72">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2EB67312" w14:textId="77777777" w:rsidR="00772B72" w:rsidRPr="00772B72" w:rsidRDefault="00772B72" w:rsidP="00772B72">
            <w:pPr>
              <w:spacing w:before="0" w:after="0"/>
              <w:jc w:val="right"/>
              <w:rPr>
                <w:rFonts w:cs="Arial"/>
                <w:sz w:val="18"/>
                <w:szCs w:val="18"/>
                <w:lang w:val="es-CO" w:eastAsia="es-CO"/>
              </w:rPr>
            </w:pPr>
            <w:r w:rsidRPr="00772B72">
              <w:rPr>
                <w:rFonts w:cs="Arial"/>
                <w:sz w:val="18"/>
                <w:szCs w:val="18"/>
                <w:lang w:val="es-CO" w:eastAsia="es-CO"/>
              </w:rPr>
              <w:t>248,86</w:t>
            </w:r>
          </w:p>
        </w:tc>
        <w:tc>
          <w:tcPr>
            <w:tcW w:w="1960" w:type="dxa"/>
            <w:tcBorders>
              <w:top w:val="nil"/>
              <w:left w:val="nil"/>
              <w:bottom w:val="single" w:sz="4" w:space="0" w:color="auto"/>
              <w:right w:val="single" w:sz="4" w:space="0" w:color="auto"/>
            </w:tcBorders>
            <w:shd w:val="clear" w:color="auto" w:fill="auto"/>
            <w:noWrap/>
            <w:vAlign w:val="center"/>
            <w:hideMark/>
          </w:tcPr>
          <w:p w14:paraId="286951E2" w14:textId="77777777" w:rsidR="00772B72" w:rsidRPr="00772B72" w:rsidRDefault="00772B72" w:rsidP="00772B72">
            <w:pPr>
              <w:spacing w:before="0" w:after="0"/>
              <w:jc w:val="right"/>
              <w:rPr>
                <w:rFonts w:cs="Arial"/>
                <w:sz w:val="18"/>
                <w:szCs w:val="18"/>
                <w:lang w:val="es-CO" w:eastAsia="es-CO"/>
              </w:rPr>
            </w:pPr>
            <w:r w:rsidRPr="00772B72">
              <w:rPr>
                <w:rFonts w:cs="Arial"/>
                <w:sz w:val="18"/>
                <w:szCs w:val="18"/>
                <w:lang w:val="es-CO" w:eastAsia="es-CO"/>
              </w:rPr>
              <w:t>360,00</w:t>
            </w:r>
          </w:p>
        </w:tc>
      </w:tr>
      <w:tr w:rsidR="00772B72" w:rsidRPr="00772B72" w14:paraId="34ED49D5" w14:textId="77777777" w:rsidTr="00772B72">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4FF45B38" w14:textId="77777777" w:rsidR="00772B72" w:rsidRPr="00772B72" w:rsidRDefault="00772B72" w:rsidP="00772B72">
            <w:pPr>
              <w:spacing w:before="0" w:after="0"/>
              <w:jc w:val="center"/>
              <w:rPr>
                <w:rFonts w:cs="Arial"/>
                <w:b/>
                <w:bCs/>
                <w:sz w:val="18"/>
                <w:szCs w:val="18"/>
                <w:lang w:val="es-CO" w:eastAsia="es-CO"/>
              </w:rPr>
            </w:pPr>
            <w:r w:rsidRPr="00772B72">
              <w:rPr>
                <w:rFonts w:cs="Arial"/>
                <w:b/>
                <w:bCs/>
                <w:sz w:val="18"/>
                <w:szCs w:val="18"/>
                <w:lang w:val="es-CO" w:eastAsia="es-CO"/>
              </w:rPr>
              <w:t>Riesgo 2</w:t>
            </w:r>
          </w:p>
        </w:tc>
        <w:tc>
          <w:tcPr>
            <w:tcW w:w="1980" w:type="dxa"/>
            <w:tcBorders>
              <w:top w:val="nil"/>
              <w:left w:val="nil"/>
              <w:bottom w:val="single" w:sz="4" w:space="0" w:color="auto"/>
              <w:right w:val="single" w:sz="4" w:space="0" w:color="auto"/>
            </w:tcBorders>
            <w:shd w:val="clear" w:color="auto" w:fill="auto"/>
            <w:noWrap/>
            <w:vAlign w:val="center"/>
            <w:hideMark/>
          </w:tcPr>
          <w:p w14:paraId="6C5C6083" w14:textId="77777777" w:rsidR="00772B72" w:rsidRPr="00772B72" w:rsidRDefault="00772B72" w:rsidP="00772B72">
            <w:pPr>
              <w:spacing w:before="0" w:after="0"/>
              <w:jc w:val="right"/>
              <w:rPr>
                <w:rFonts w:cs="Arial"/>
                <w:sz w:val="18"/>
                <w:szCs w:val="18"/>
                <w:lang w:val="es-CO" w:eastAsia="es-CO"/>
              </w:rPr>
            </w:pPr>
            <w:r w:rsidRPr="00772B72">
              <w:rPr>
                <w:rFonts w:cs="Arial"/>
                <w:sz w:val="18"/>
                <w:szCs w:val="18"/>
                <w:lang w:val="es-CO" w:eastAsia="es-CO"/>
              </w:rPr>
              <w:t>80,92</w:t>
            </w:r>
          </w:p>
        </w:tc>
        <w:tc>
          <w:tcPr>
            <w:tcW w:w="1960" w:type="dxa"/>
            <w:tcBorders>
              <w:top w:val="nil"/>
              <w:left w:val="nil"/>
              <w:bottom w:val="single" w:sz="4" w:space="0" w:color="auto"/>
              <w:right w:val="single" w:sz="4" w:space="0" w:color="auto"/>
            </w:tcBorders>
            <w:shd w:val="clear" w:color="auto" w:fill="auto"/>
            <w:noWrap/>
            <w:vAlign w:val="center"/>
            <w:hideMark/>
          </w:tcPr>
          <w:p w14:paraId="2EEF7462" w14:textId="77777777" w:rsidR="00772B72" w:rsidRPr="00772B72" w:rsidRDefault="00772B72" w:rsidP="00772B72">
            <w:pPr>
              <w:spacing w:before="0" w:after="0"/>
              <w:jc w:val="right"/>
              <w:rPr>
                <w:rFonts w:cs="Arial"/>
                <w:sz w:val="18"/>
                <w:szCs w:val="18"/>
                <w:lang w:val="es-CO" w:eastAsia="es-CO"/>
              </w:rPr>
            </w:pPr>
            <w:r w:rsidRPr="00772B72">
              <w:rPr>
                <w:rFonts w:cs="Arial"/>
                <w:sz w:val="18"/>
                <w:szCs w:val="18"/>
                <w:lang w:val="es-CO" w:eastAsia="es-CO"/>
              </w:rPr>
              <w:t>254,20</w:t>
            </w:r>
          </w:p>
        </w:tc>
        <w:tc>
          <w:tcPr>
            <w:tcW w:w="1960" w:type="dxa"/>
            <w:tcBorders>
              <w:top w:val="nil"/>
              <w:left w:val="nil"/>
              <w:bottom w:val="single" w:sz="4" w:space="0" w:color="auto"/>
              <w:right w:val="single" w:sz="4" w:space="0" w:color="auto"/>
            </w:tcBorders>
            <w:shd w:val="clear" w:color="auto" w:fill="auto"/>
            <w:noWrap/>
            <w:vAlign w:val="center"/>
            <w:hideMark/>
          </w:tcPr>
          <w:p w14:paraId="33509192" w14:textId="77777777" w:rsidR="00772B72" w:rsidRPr="00772B72" w:rsidRDefault="00772B72" w:rsidP="00772B72">
            <w:pPr>
              <w:spacing w:before="0" w:after="0"/>
              <w:jc w:val="right"/>
              <w:rPr>
                <w:rFonts w:cs="Arial"/>
                <w:sz w:val="18"/>
                <w:szCs w:val="18"/>
                <w:lang w:val="es-CO" w:eastAsia="es-CO"/>
              </w:rPr>
            </w:pPr>
            <w:r w:rsidRPr="00772B72">
              <w:rPr>
                <w:rFonts w:cs="Arial"/>
                <w:sz w:val="18"/>
                <w:szCs w:val="18"/>
                <w:lang w:val="es-CO" w:eastAsia="es-CO"/>
              </w:rPr>
              <w:t>360,00</w:t>
            </w:r>
          </w:p>
        </w:tc>
      </w:tr>
      <w:tr w:rsidR="00772B72" w:rsidRPr="00772B72" w14:paraId="092D8ED4" w14:textId="77777777" w:rsidTr="00772B72">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0E364846" w14:textId="77777777" w:rsidR="00772B72" w:rsidRPr="00772B72" w:rsidRDefault="00772B72" w:rsidP="00772B72">
            <w:pPr>
              <w:spacing w:before="0" w:after="0"/>
              <w:jc w:val="center"/>
              <w:rPr>
                <w:rFonts w:cs="Arial"/>
                <w:b/>
                <w:bCs/>
                <w:sz w:val="18"/>
                <w:szCs w:val="18"/>
                <w:lang w:val="es-CO" w:eastAsia="es-CO"/>
              </w:rPr>
            </w:pPr>
            <w:r w:rsidRPr="00772B72">
              <w:rPr>
                <w:rFonts w:cs="Arial"/>
                <w:b/>
                <w:bCs/>
                <w:sz w:val="18"/>
                <w:szCs w:val="18"/>
                <w:lang w:val="es-CO" w:eastAsia="es-CO"/>
              </w:rPr>
              <w:t>Riesgo 3</w:t>
            </w:r>
          </w:p>
        </w:tc>
        <w:tc>
          <w:tcPr>
            <w:tcW w:w="1980" w:type="dxa"/>
            <w:tcBorders>
              <w:top w:val="nil"/>
              <w:left w:val="nil"/>
              <w:bottom w:val="single" w:sz="4" w:space="0" w:color="auto"/>
              <w:right w:val="single" w:sz="4" w:space="0" w:color="auto"/>
            </w:tcBorders>
            <w:shd w:val="clear" w:color="auto" w:fill="auto"/>
            <w:noWrap/>
            <w:vAlign w:val="center"/>
            <w:hideMark/>
          </w:tcPr>
          <w:p w14:paraId="537F5B61" w14:textId="77777777" w:rsidR="00772B72" w:rsidRPr="00772B72" w:rsidRDefault="00772B72" w:rsidP="00772B72">
            <w:pPr>
              <w:spacing w:before="0" w:after="0"/>
              <w:jc w:val="right"/>
              <w:rPr>
                <w:rFonts w:cs="Arial"/>
                <w:sz w:val="18"/>
                <w:szCs w:val="18"/>
                <w:lang w:val="es-CO" w:eastAsia="es-CO"/>
              </w:rPr>
            </w:pPr>
            <w:r w:rsidRPr="00772B72">
              <w:rPr>
                <w:rFonts w:cs="Arial"/>
                <w:sz w:val="18"/>
                <w:szCs w:val="18"/>
                <w:lang w:val="es-CO" w:eastAsia="es-CO"/>
              </w:rPr>
              <w:t>82,25</w:t>
            </w:r>
          </w:p>
        </w:tc>
        <w:tc>
          <w:tcPr>
            <w:tcW w:w="1960" w:type="dxa"/>
            <w:tcBorders>
              <w:top w:val="nil"/>
              <w:left w:val="nil"/>
              <w:bottom w:val="single" w:sz="4" w:space="0" w:color="auto"/>
              <w:right w:val="single" w:sz="4" w:space="0" w:color="auto"/>
            </w:tcBorders>
            <w:shd w:val="clear" w:color="auto" w:fill="auto"/>
            <w:noWrap/>
            <w:vAlign w:val="center"/>
            <w:hideMark/>
          </w:tcPr>
          <w:p w14:paraId="57E169AF" w14:textId="77777777" w:rsidR="00772B72" w:rsidRPr="00772B72" w:rsidRDefault="00772B72" w:rsidP="00772B72">
            <w:pPr>
              <w:spacing w:before="0" w:after="0"/>
              <w:jc w:val="right"/>
              <w:rPr>
                <w:rFonts w:cs="Arial"/>
                <w:sz w:val="18"/>
                <w:szCs w:val="18"/>
                <w:lang w:val="es-CO" w:eastAsia="es-CO"/>
              </w:rPr>
            </w:pPr>
            <w:r w:rsidRPr="00772B72">
              <w:rPr>
                <w:rFonts w:cs="Arial"/>
                <w:sz w:val="18"/>
                <w:szCs w:val="18"/>
                <w:lang w:val="es-CO" w:eastAsia="es-CO"/>
              </w:rPr>
              <w:t>242,20</w:t>
            </w:r>
          </w:p>
        </w:tc>
        <w:tc>
          <w:tcPr>
            <w:tcW w:w="1960" w:type="dxa"/>
            <w:tcBorders>
              <w:top w:val="nil"/>
              <w:left w:val="nil"/>
              <w:bottom w:val="single" w:sz="4" w:space="0" w:color="auto"/>
              <w:right w:val="single" w:sz="4" w:space="0" w:color="auto"/>
            </w:tcBorders>
            <w:shd w:val="clear" w:color="auto" w:fill="auto"/>
            <w:noWrap/>
            <w:vAlign w:val="center"/>
            <w:hideMark/>
          </w:tcPr>
          <w:p w14:paraId="7DA0496B" w14:textId="77777777" w:rsidR="00772B72" w:rsidRPr="00772B72" w:rsidRDefault="00772B72" w:rsidP="00772B72">
            <w:pPr>
              <w:spacing w:before="0" w:after="0"/>
              <w:jc w:val="right"/>
              <w:rPr>
                <w:rFonts w:cs="Arial"/>
                <w:sz w:val="18"/>
                <w:szCs w:val="18"/>
                <w:lang w:val="es-CO" w:eastAsia="es-CO"/>
              </w:rPr>
            </w:pPr>
            <w:r w:rsidRPr="00772B72">
              <w:rPr>
                <w:rFonts w:cs="Arial"/>
                <w:sz w:val="18"/>
                <w:szCs w:val="18"/>
                <w:lang w:val="es-CO" w:eastAsia="es-CO"/>
              </w:rPr>
              <w:t>360,00</w:t>
            </w:r>
          </w:p>
        </w:tc>
      </w:tr>
    </w:tbl>
    <w:p w14:paraId="0824BBC8" w14:textId="24C81E91" w:rsidR="00C86E92" w:rsidRDefault="00C86E92" w:rsidP="00C86E92">
      <w:pPr>
        <w:pStyle w:val="Artculo"/>
        <w:ind w:left="0"/>
        <w:outlineLvl w:val="2"/>
        <w:rPr>
          <w:b w:val="0"/>
        </w:rPr>
      </w:pPr>
      <w:r>
        <w:t xml:space="preserve">Modificar el artículo 13 de la Resolución CREG 025 de 2021. </w:t>
      </w:r>
      <w:r w:rsidRPr="00A71EA8">
        <w:rPr>
          <w:b w:val="0"/>
        </w:rPr>
        <w:t xml:space="preserve">El artículo </w:t>
      </w:r>
      <w:r>
        <w:rPr>
          <w:b w:val="0"/>
        </w:rPr>
        <w:t>13</w:t>
      </w:r>
      <w:r w:rsidRPr="00A71EA8">
        <w:rPr>
          <w:b w:val="0"/>
        </w:rPr>
        <w:t xml:space="preserve"> de la Resolución </w:t>
      </w:r>
      <w:r>
        <w:rPr>
          <w:b w:val="0"/>
        </w:rPr>
        <w:t>CREG 025 de 2021</w:t>
      </w:r>
      <w:r w:rsidRPr="00A71EA8">
        <w:rPr>
          <w:b w:val="0"/>
        </w:rPr>
        <w:t xml:space="preserve"> quedará así:</w:t>
      </w:r>
    </w:p>
    <w:p w14:paraId="3634FB19" w14:textId="5CA5E4D6" w:rsidR="00653A5C" w:rsidRPr="00653A5C" w:rsidRDefault="00653A5C" w:rsidP="00723E6C">
      <w:pPr>
        <w:pStyle w:val="Artculo"/>
        <w:numPr>
          <w:ilvl w:val="0"/>
          <w:numId w:val="0"/>
        </w:numPr>
        <w:spacing w:before="120" w:after="120"/>
        <w:ind w:left="425"/>
        <w:outlineLvl w:val="2"/>
        <w:rPr>
          <w:b w:val="0"/>
          <w:i/>
          <w:iCs/>
          <w:sz w:val="22"/>
          <w:szCs w:val="22"/>
        </w:rPr>
      </w:pPr>
      <w:r w:rsidRPr="00653A5C">
        <w:rPr>
          <w:i/>
          <w:iCs/>
          <w:sz w:val="20"/>
          <w:szCs w:val="20"/>
        </w:rPr>
        <w:t xml:space="preserve">Artículo 13. </w:t>
      </w:r>
      <w:r w:rsidRPr="00653A5C">
        <w:rPr>
          <w:i/>
          <w:iCs/>
          <w:sz w:val="22"/>
          <w:szCs w:val="22"/>
        </w:rPr>
        <w:t xml:space="preserve">Indicadores de calidad individual de frecuencia de eventos. </w:t>
      </w:r>
      <w:r w:rsidRPr="00653A5C">
        <w:rPr>
          <w:b w:val="0"/>
          <w:i/>
          <w:iCs/>
          <w:sz w:val="22"/>
          <w:szCs w:val="22"/>
        </w:rPr>
        <w:t>La frecuencia máxima anual de los eventos percibidos por los usuarios, FIUG</w:t>
      </w:r>
      <w:r w:rsidRPr="00653A5C">
        <w:rPr>
          <w:b w:val="0"/>
          <w:i/>
          <w:iCs/>
          <w:sz w:val="22"/>
          <w:szCs w:val="22"/>
          <w:vertAlign w:val="subscript"/>
        </w:rPr>
        <w:t>j,n,q</w:t>
      </w:r>
      <w:r w:rsidRPr="00653A5C">
        <w:rPr>
          <w:b w:val="0"/>
          <w:i/>
          <w:iCs/>
          <w:sz w:val="22"/>
          <w:szCs w:val="22"/>
        </w:rPr>
        <w:t>, en los niveles de tensión 2, 3 y 1, es la siguiente:</w:t>
      </w:r>
    </w:p>
    <w:p w14:paraId="2991AC0D" w14:textId="5CE8731C" w:rsidR="00653A5C" w:rsidRDefault="00653A5C" w:rsidP="00653A5C">
      <w:pPr>
        <w:pStyle w:val="Descripcin"/>
        <w:ind w:left="567"/>
        <w:rPr>
          <w:i/>
          <w:iCs/>
          <w:sz w:val="20"/>
          <w:szCs w:val="18"/>
        </w:rPr>
      </w:pPr>
      <w:r w:rsidRPr="00653A5C">
        <w:rPr>
          <w:i/>
          <w:iCs/>
          <w:sz w:val="20"/>
          <w:szCs w:val="18"/>
        </w:rPr>
        <w:t xml:space="preserve">Tabla </w:t>
      </w:r>
      <w:r>
        <w:rPr>
          <w:i/>
          <w:iCs/>
          <w:sz w:val="20"/>
          <w:szCs w:val="18"/>
        </w:rPr>
        <w:t>16</w:t>
      </w:r>
      <w:r w:rsidRPr="00653A5C">
        <w:rPr>
          <w:i/>
          <w:iCs/>
          <w:sz w:val="20"/>
          <w:szCs w:val="18"/>
        </w:rPr>
        <w:t xml:space="preserve"> FIUG niveles de tensión 2 y 3, veces</w:t>
      </w:r>
    </w:p>
    <w:tbl>
      <w:tblPr>
        <w:tblW w:w="7500" w:type="dxa"/>
        <w:jc w:val="center"/>
        <w:tblCellMar>
          <w:left w:w="70" w:type="dxa"/>
          <w:right w:w="70" w:type="dxa"/>
        </w:tblCellMar>
        <w:tblLook w:val="04A0" w:firstRow="1" w:lastRow="0" w:firstColumn="1" w:lastColumn="0" w:noHBand="0" w:noVBand="1"/>
      </w:tblPr>
      <w:tblGrid>
        <w:gridCol w:w="1600"/>
        <w:gridCol w:w="1980"/>
        <w:gridCol w:w="1960"/>
        <w:gridCol w:w="1960"/>
      </w:tblGrid>
      <w:tr w:rsidR="00D93884" w:rsidRPr="00D93884" w14:paraId="004EFB4A" w14:textId="77777777" w:rsidTr="00D93884">
        <w:trPr>
          <w:trHeight w:val="255"/>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0395E4" w14:textId="77777777" w:rsidR="00D93884" w:rsidRPr="00D93884" w:rsidRDefault="00D93884" w:rsidP="00D93884">
            <w:pPr>
              <w:spacing w:before="0" w:after="0"/>
              <w:jc w:val="center"/>
              <w:rPr>
                <w:rFonts w:cs="Arial"/>
                <w:b/>
                <w:bCs/>
                <w:sz w:val="18"/>
                <w:szCs w:val="18"/>
                <w:lang w:val="es-CO" w:eastAsia="es-CO"/>
              </w:rPr>
            </w:pPr>
            <w:r w:rsidRPr="00D93884">
              <w:rPr>
                <w:rFonts w:cs="Arial"/>
                <w:b/>
                <w:bCs/>
                <w:sz w:val="18"/>
                <w:szCs w:val="18"/>
                <w:lang w:val="es-CO" w:eastAsia="es-CO"/>
              </w:rPr>
              <w:t> </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369A0D9E" w14:textId="77777777" w:rsidR="00D93884" w:rsidRPr="00D93884" w:rsidRDefault="00D93884" w:rsidP="00D93884">
            <w:pPr>
              <w:spacing w:before="0" w:after="0"/>
              <w:jc w:val="center"/>
              <w:rPr>
                <w:rFonts w:cs="Arial"/>
                <w:b/>
                <w:bCs/>
                <w:sz w:val="18"/>
                <w:szCs w:val="18"/>
                <w:lang w:val="es-CO" w:eastAsia="es-CO"/>
              </w:rPr>
            </w:pPr>
            <w:r w:rsidRPr="00D93884">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F09434F" w14:textId="77777777" w:rsidR="00D93884" w:rsidRPr="00D93884" w:rsidRDefault="00D93884" w:rsidP="00D93884">
            <w:pPr>
              <w:spacing w:before="0" w:after="0"/>
              <w:jc w:val="center"/>
              <w:rPr>
                <w:rFonts w:cs="Arial"/>
                <w:b/>
                <w:bCs/>
                <w:sz w:val="18"/>
                <w:szCs w:val="18"/>
                <w:lang w:val="es-CO" w:eastAsia="es-CO"/>
              </w:rPr>
            </w:pPr>
            <w:r w:rsidRPr="00D93884">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1681088" w14:textId="77777777" w:rsidR="00D93884" w:rsidRPr="00D93884" w:rsidRDefault="00D93884" w:rsidP="00D93884">
            <w:pPr>
              <w:spacing w:before="0" w:after="0"/>
              <w:jc w:val="center"/>
              <w:rPr>
                <w:rFonts w:cs="Arial"/>
                <w:b/>
                <w:bCs/>
                <w:sz w:val="18"/>
                <w:szCs w:val="18"/>
                <w:lang w:val="es-CO" w:eastAsia="es-CO"/>
              </w:rPr>
            </w:pPr>
            <w:r w:rsidRPr="00D93884">
              <w:rPr>
                <w:rFonts w:cs="Arial"/>
                <w:b/>
                <w:bCs/>
                <w:sz w:val="18"/>
                <w:szCs w:val="18"/>
                <w:lang w:val="es-CO" w:eastAsia="es-CO"/>
              </w:rPr>
              <w:t>Ruralidad 3</w:t>
            </w:r>
          </w:p>
        </w:tc>
      </w:tr>
      <w:tr w:rsidR="00D93884" w:rsidRPr="00D93884" w14:paraId="4E576244" w14:textId="77777777" w:rsidTr="00D93884">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710AFD1A" w14:textId="77777777" w:rsidR="00D93884" w:rsidRPr="00D93884" w:rsidRDefault="00D93884" w:rsidP="00D93884">
            <w:pPr>
              <w:spacing w:before="0" w:after="0"/>
              <w:jc w:val="center"/>
              <w:rPr>
                <w:rFonts w:cs="Arial"/>
                <w:b/>
                <w:bCs/>
                <w:sz w:val="18"/>
                <w:szCs w:val="18"/>
                <w:lang w:val="es-CO" w:eastAsia="es-CO"/>
              </w:rPr>
            </w:pPr>
            <w:r w:rsidRPr="00D93884">
              <w:rPr>
                <w:rFonts w:cs="Arial"/>
                <w:b/>
                <w:bCs/>
                <w:sz w:val="18"/>
                <w:szCs w:val="18"/>
                <w:lang w:val="es-CO" w:eastAsia="es-CO"/>
              </w:rPr>
              <w:t>Riesgo 1</w:t>
            </w:r>
          </w:p>
        </w:tc>
        <w:tc>
          <w:tcPr>
            <w:tcW w:w="1980" w:type="dxa"/>
            <w:tcBorders>
              <w:top w:val="nil"/>
              <w:left w:val="nil"/>
              <w:bottom w:val="single" w:sz="4" w:space="0" w:color="auto"/>
              <w:right w:val="single" w:sz="4" w:space="0" w:color="auto"/>
            </w:tcBorders>
            <w:shd w:val="clear" w:color="auto" w:fill="auto"/>
            <w:noWrap/>
            <w:vAlign w:val="center"/>
            <w:hideMark/>
          </w:tcPr>
          <w:p w14:paraId="4D9CC9A1" w14:textId="77777777" w:rsidR="00D93884" w:rsidRPr="00D93884" w:rsidRDefault="00D93884" w:rsidP="00D93884">
            <w:pPr>
              <w:spacing w:before="0" w:after="0"/>
              <w:jc w:val="right"/>
              <w:rPr>
                <w:rFonts w:cs="Arial"/>
                <w:sz w:val="18"/>
                <w:szCs w:val="18"/>
                <w:lang w:val="es-CO" w:eastAsia="es-CO"/>
              </w:rPr>
            </w:pPr>
            <w:r w:rsidRPr="00D93884">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12EFFF08" w14:textId="77777777" w:rsidR="00D93884" w:rsidRPr="00D93884" w:rsidRDefault="00D93884" w:rsidP="00D93884">
            <w:pPr>
              <w:spacing w:before="0" w:after="0"/>
              <w:jc w:val="right"/>
              <w:rPr>
                <w:rFonts w:cs="Arial"/>
                <w:sz w:val="18"/>
                <w:szCs w:val="18"/>
                <w:lang w:val="es-CO" w:eastAsia="es-CO"/>
              </w:rPr>
            </w:pPr>
            <w:r w:rsidRPr="00D93884">
              <w:rPr>
                <w:rFonts w:cs="Arial"/>
                <w:sz w:val="18"/>
                <w:szCs w:val="18"/>
                <w:lang w:val="es-CO" w:eastAsia="es-CO"/>
              </w:rPr>
              <w:t>145</w:t>
            </w:r>
          </w:p>
        </w:tc>
        <w:tc>
          <w:tcPr>
            <w:tcW w:w="1960" w:type="dxa"/>
            <w:tcBorders>
              <w:top w:val="nil"/>
              <w:left w:val="nil"/>
              <w:bottom w:val="single" w:sz="4" w:space="0" w:color="auto"/>
              <w:right w:val="single" w:sz="4" w:space="0" w:color="auto"/>
            </w:tcBorders>
            <w:shd w:val="clear" w:color="auto" w:fill="auto"/>
            <w:noWrap/>
            <w:vAlign w:val="center"/>
            <w:hideMark/>
          </w:tcPr>
          <w:p w14:paraId="1C178BB5" w14:textId="77777777" w:rsidR="00D93884" w:rsidRPr="00D93884" w:rsidRDefault="00D93884" w:rsidP="00D93884">
            <w:pPr>
              <w:spacing w:before="0" w:after="0"/>
              <w:jc w:val="right"/>
              <w:rPr>
                <w:rFonts w:cs="Arial"/>
                <w:sz w:val="18"/>
                <w:szCs w:val="18"/>
                <w:lang w:val="es-CO" w:eastAsia="es-CO"/>
              </w:rPr>
            </w:pPr>
            <w:r w:rsidRPr="00D93884">
              <w:rPr>
                <w:rFonts w:cs="Arial"/>
                <w:sz w:val="18"/>
                <w:szCs w:val="18"/>
                <w:lang w:val="es-CO" w:eastAsia="es-CO"/>
              </w:rPr>
              <w:t>127</w:t>
            </w:r>
          </w:p>
        </w:tc>
      </w:tr>
      <w:tr w:rsidR="00D93884" w:rsidRPr="00D93884" w14:paraId="69321758" w14:textId="77777777" w:rsidTr="00D93884">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0961976F" w14:textId="77777777" w:rsidR="00D93884" w:rsidRPr="00D93884" w:rsidRDefault="00D93884" w:rsidP="00D93884">
            <w:pPr>
              <w:spacing w:before="0" w:after="0"/>
              <w:jc w:val="center"/>
              <w:rPr>
                <w:rFonts w:cs="Arial"/>
                <w:b/>
                <w:bCs/>
                <w:sz w:val="18"/>
                <w:szCs w:val="18"/>
                <w:lang w:val="es-CO" w:eastAsia="es-CO"/>
              </w:rPr>
            </w:pPr>
            <w:r w:rsidRPr="00D93884">
              <w:rPr>
                <w:rFonts w:cs="Arial"/>
                <w:b/>
                <w:bCs/>
                <w:sz w:val="18"/>
                <w:szCs w:val="18"/>
                <w:lang w:val="es-CO" w:eastAsia="es-CO"/>
              </w:rPr>
              <w:t>Riesgo 2</w:t>
            </w:r>
          </w:p>
        </w:tc>
        <w:tc>
          <w:tcPr>
            <w:tcW w:w="1980" w:type="dxa"/>
            <w:tcBorders>
              <w:top w:val="nil"/>
              <w:left w:val="nil"/>
              <w:bottom w:val="single" w:sz="4" w:space="0" w:color="auto"/>
              <w:right w:val="single" w:sz="4" w:space="0" w:color="auto"/>
            </w:tcBorders>
            <w:shd w:val="clear" w:color="auto" w:fill="auto"/>
            <w:noWrap/>
            <w:vAlign w:val="center"/>
            <w:hideMark/>
          </w:tcPr>
          <w:p w14:paraId="7FFB30CC" w14:textId="77777777" w:rsidR="00D93884" w:rsidRPr="00D93884" w:rsidRDefault="00D93884" w:rsidP="00D93884">
            <w:pPr>
              <w:spacing w:before="0" w:after="0"/>
              <w:jc w:val="right"/>
              <w:rPr>
                <w:rFonts w:cs="Arial"/>
                <w:sz w:val="18"/>
                <w:szCs w:val="18"/>
                <w:lang w:val="es-CO" w:eastAsia="es-CO"/>
              </w:rPr>
            </w:pPr>
            <w:r w:rsidRPr="00D93884">
              <w:rPr>
                <w:rFonts w:cs="Arial"/>
                <w:sz w:val="18"/>
                <w:szCs w:val="18"/>
                <w:lang w:val="es-CO" w:eastAsia="es-CO"/>
              </w:rPr>
              <w:t>71</w:t>
            </w:r>
          </w:p>
        </w:tc>
        <w:tc>
          <w:tcPr>
            <w:tcW w:w="1960" w:type="dxa"/>
            <w:tcBorders>
              <w:top w:val="nil"/>
              <w:left w:val="nil"/>
              <w:bottom w:val="single" w:sz="4" w:space="0" w:color="auto"/>
              <w:right w:val="single" w:sz="4" w:space="0" w:color="auto"/>
            </w:tcBorders>
            <w:shd w:val="clear" w:color="auto" w:fill="auto"/>
            <w:noWrap/>
            <w:vAlign w:val="center"/>
            <w:hideMark/>
          </w:tcPr>
          <w:p w14:paraId="628BFA25" w14:textId="77777777" w:rsidR="00D93884" w:rsidRPr="00D93884" w:rsidRDefault="00D93884" w:rsidP="00D93884">
            <w:pPr>
              <w:spacing w:before="0" w:after="0"/>
              <w:jc w:val="right"/>
              <w:rPr>
                <w:rFonts w:cs="Arial"/>
                <w:sz w:val="18"/>
                <w:szCs w:val="18"/>
                <w:lang w:val="es-CO" w:eastAsia="es-CO"/>
              </w:rPr>
            </w:pPr>
            <w:r w:rsidRPr="00D93884">
              <w:rPr>
                <w:rFonts w:cs="Arial"/>
                <w:sz w:val="18"/>
                <w:szCs w:val="18"/>
                <w:lang w:val="es-CO" w:eastAsia="es-CO"/>
              </w:rPr>
              <w:t>148</w:t>
            </w:r>
          </w:p>
        </w:tc>
        <w:tc>
          <w:tcPr>
            <w:tcW w:w="1960" w:type="dxa"/>
            <w:tcBorders>
              <w:top w:val="nil"/>
              <w:left w:val="nil"/>
              <w:bottom w:val="single" w:sz="4" w:space="0" w:color="auto"/>
              <w:right w:val="single" w:sz="4" w:space="0" w:color="auto"/>
            </w:tcBorders>
            <w:shd w:val="clear" w:color="auto" w:fill="auto"/>
            <w:noWrap/>
            <w:vAlign w:val="center"/>
            <w:hideMark/>
          </w:tcPr>
          <w:p w14:paraId="2F0836FB" w14:textId="77777777" w:rsidR="00D93884" w:rsidRPr="00D93884" w:rsidRDefault="00D93884" w:rsidP="00D93884">
            <w:pPr>
              <w:spacing w:before="0" w:after="0"/>
              <w:jc w:val="right"/>
              <w:rPr>
                <w:rFonts w:cs="Arial"/>
                <w:sz w:val="18"/>
                <w:szCs w:val="18"/>
                <w:lang w:val="es-CO" w:eastAsia="es-CO"/>
              </w:rPr>
            </w:pPr>
            <w:r w:rsidRPr="00D93884">
              <w:rPr>
                <w:rFonts w:cs="Arial"/>
                <w:sz w:val="18"/>
                <w:szCs w:val="18"/>
                <w:lang w:val="es-CO" w:eastAsia="es-CO"/>
              </w:rPr>
              <w:t>214</w:t>
            </w:r>
          </w:p>
        </w:tc>
      </w:tr>
      <w:tr w:rsidR="00D93884" w:rsidRPr="00D93884" w14:paraId="1C9FEDA9" w14:textId="77777777" w:rsidTr="00D93884">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41B674D8" w14:textId="77777777" w:rsidR="00D93884" w:rsidRPr="00D93884" w:rsidRDefault="00D93884" w:rsidP="00D93884">
            <w:pPr>
              <w:spacing w:before="0" w:after="0"/>
              <w:jc w:val="center"/>
              <w:rPr>
                <w:rFonts w:cs="Arial"/>
                <w:b/>
                <w:bCs/>
                <w:sz w:val="18"/>
                <w:szCs w:val="18"/>
                <w:lang w:val="es-CO" w:eastAsia="es-CO"/>
              </w:rPr>
            </w:pPr>
            <w:r w:rsidRPr="00D93884">
              <w:rPr>
                <w:rFonts w:cs="Arial"/>
                <w:b/>
                <w:bCs/>
                <w:sz w:val="18"/>
                <w:szCs w:val="18"/>
                <w:lang w:val="es-CO" w:eastAsia="es-CO"/>
              </w:rPr>
              <w:t>Riesgo 3</w:t>
            </w:r>
          </w:p>
        </w:tc>
        <w:tc>
          <w:tcPr>
            <w:tcW w:w="1980" w:type="dxa"/>
            <w:tcBorders>
              <w:top w:val="nil"/>
              <w:left w:val="nil"/>
              <w:bottom w:val="single" w:sz="4" w:space="0" w:color="auto"/>
              <w:right w:val="single" w:sz="4" w:space="0" w:color="auto"/>
            </w:tcBorders>
            <w:shd w:val="clear" w:color="auto" w:fill="auto"/>
            <w:noWrap/>
            <w:vAlign w:val="center"/>
            <w:hideMark/>
          </w:tcPr>
          <w:p w14:paraId="0FAD4F33" w14:textId="77777777" w:rsidR="00D93884" w:rsidRPr="00D93884" w:rsidRDefault="00D93884" w:rsidP="00D93884">
            <w:pPr>
              <w:spacing w:before="0" w:after="0"/>
              <w:jc w:val="right"/>
              <w:rPr>
                <w:rFonts w:cs="Arial"/>
                <w:sz w:val="18"/>
                <w:szCs w:val="18"/>
                <w:lang w:val="es-CO" w:eastAsia="es-CO"/>
              </w:rPr>
            </w:pPr>
            <w:r w:rsidRPr="00D93884">
              <w:rPr>
                <w:rFonts w:cs="Arial"/>
                <w:sz w:val="18"/>
                <w:szCs w:val="18"/>
                <w:lang w:val="es-CO" w:eastAsia="es-CO"/>
              </w:rPr>
              <w:t>52</w:t>
            </w:r>
          </w:p>
        </w:tc>
        <w:tc>
          <w:tcPr>
            <w:tcW w:w="1960" w:type="dxa"/>
            <w:tcBorders>
              <w:top w:val="nil"/>
              <w:left w:val="nil"/>
              <w:bottom w:val="single" w:sz="4" w:space="0" w:color="auto"/>
              <w:right w:val="single" w:sz="4" w:space="0" w:color="auto"/>
            </w:tcBorders>
            <w:shd w:val="clear" w:color="auto" w:fill="auto"/>
            <w:noWrap/>
            <w:vAlign w:val="center"/>
            <w:hideMark/>
          </w:tcPr>
          <w:p w14:paraId="06C40B02" w14:textId="77777777" w:rsidR="00D93884" w:rsidRPr="00D93884" w:rsidRDefault="00D93884" w:rsidP="00D93884">
            <w:pPr>
              <w:spacing w:before="0" w:after="0"/>
              <w:jc w:val="right"/>
              <w:rPr>
                <w:rFonts w:cs="Arial"/>
                <w:sz w:val="18"/>
                <w:szCs w:val="18"/>
                <w:lang w:val="es-CO" w:eastAsia="es-CO"/>
              </w:rPr>
            </w:pPr>
            <w:r w:rsidRPr="00D93884">
              <w:rPr>
                <w:rFonts w:cs="Arial"/>
                <w:sz w:val="18"/>
                <w:szCs w:val="18"/>
                <w:lang w:val="es-CO" w:eastAsia="es-CO"/>
              </w:rPr>
              <w:t>177</w:t>
            </w:r>
          </w:p>
        </w:tc>
        <w:tc>
          <w:tcPr>
            <w:tcW w:w="1960" w:type="dxa"/>
            <w:tcBorders>
              <w:top w:val="nil"/>
              <w:left w:val="nil"/>
              <w:bottom w:val="single" w:sz="4" w:space="0" w:color="auto"/>
              <w:right w:val="single" w:sz="4" w:space="0" w:color="auto"/>
            </w:tcBorders>
            <w:shd w:val="clear" w:color="auto" w:fill="auto"/>
            <w:noWrap/>
            <w:vAlign w:val="center"/>
            <w:hideMark/>
          </w:tcPr>
          <w:p w14:paraId="29E6F709" w14:textId="77777777" w:rsidR="00D93884" w:rsidRPr="00D93884" w:rsidRDefault="00D93884" w:rsidP="00D93884">
            <w:pPr>
              <w:spacing w:before="0" w:after="0"/>
              <w:jc w:val="right"/>
              <w:rPr>
                <w:rFonts w:cs="Arial"/>
                <w:sz w:val="18"/>
                <w:szCs w:val="18"/>
                <w:lang w:val="es-CO" w:eastAsia="es-CO"/>
              </w:rPr>
            </w:pPr>
            <w:r w:rsidRPr="00D93884">
              <w:rPr>
                <w:rFonts w:cs="Arial"/>
                <w:sz w:val="18"/>
                <w:szCs w:val="18"/>
                <w:lang w:val="es-CO" w:eastAsia="es-CO"/>
              </w:rPr>
              <w:t>296</w:t>
            </w:r>
          </w:p>
        </w:tc>
      </w:tr>
    </w:tbl>
    <w:p w14:paraId="672A3906" w14:textId="549CE0EE" w:rsidR="00653A5C" w:rsidRDefault="00653A5C" w:rsidP="00653A5C">
      <w:pPr>
        <w:pStyle w:val="Descripcin"/>
        <w:rPr>
          <w:i/>
          <w:iCs/>
          <w:sz w:val="20"/>
          <w:szCs w:val="18"/>
        </w:rPr>
      </w:pPr>
      <w:r w:rsidRPr="00653A5C">
        <w:rPr>
          <w:i/>
          <w:iCs/>
          <w:sz w:val="20"/>
          <w:szCs w:val="18"/>
        </w:rPr>
        <w:t xml:space="preserve">Tabla </w:t>
      </w:r>
      <w:r>
        <w:rPr>
          <w:i/>
          <w:iCs/>
          <w:sz w:val="20"/>
          <w:szCs w:val="18"/>
        </w:rPr>
        <w:t>17</w:t>
      </w:r>
      <w:r w:rsidRPr="00653A5C">
        <w:rPr>
          <w:i/>
          <w:iCs/>
          <w:sz w:val="20"/>
          <w:szCs w:val="18"/>
        </w:rPr>
        <w:t xml:space="preserve"> FIUG nivel de tensión 1, veces </w:t>
      </w:r>
    </w:p>
    <w:tbl>
      <w:tblPr>
        <w:tblW w:w="7500" w:type="dxa"/>
        <w:jc w:val="center"/>
        <w:tblCellMar>
          <w:left w:w="70" w:type="dxa"/>
          <w:right w:w="70" w:type="dxa"/>
        </w:tblCellMar>
        <w:tblLook w:val="04A0" w:firstRow="1" w:lastRow="0" w:firstColumn="1" w:lastColumn="0" w:noHBand="0" w:noVBand="1"/>
      </w:tblPr>
      <w:tblGrid>
        <w:gridCol w:w="1600"/>
        <w:gridCol w:w="1980"/>
        <w:gridCol w:w="1960"/>
        <w:gridCol w:w="1960"/>
      </w:tblGrid>
      <w:tr w:rsidR="00D93884" w:rsidRPr="00D93884" w14:paraId="383E6B54" w14:textId="77777777" w:rsidTr="00D93884">
        <w:trPr>
          <w:trHeight w:val="255"/>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FE0F3A" w14:textId="77777777" w:rsidR="00D93884" w:rsidRPr="00D93884" w:rsidRDefault="00D93884" w:rsidP="00D93884">
            <w:pPr>
              <w:spacing w:before="0" w:after="0"/>
              <w:jc w:val="center"/>
              <w:rPr>
                <w:rFonts w:cs="Arial"/>
                <w:b/>
                <w:bCs/>
                <w:sz w:val="18"/>
                <w:szCs w:val="18"/>
                <w:lang w:val="es-CO" w:eastAsia="es-CO"/>
              </w:rPr>
            </w:pPr>
            <w:r w:rsidRPr="00D93884">
              <w:rPr>
                <w:rFonts w:cs="Arial"/>
                <w:b/>
                <w:bCs/>
                <w:sz w:val="18"/>
                <w:szCs w:val="18"/>
                <w:lang w:val="es-CO" w:eastAsia="es-CO"/>
              </w:rPr>
              <w:t> </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339AECFA" w14:textId="77777777" w:rsidR="00D93884" w:rsidRPr="00D93884" w:rsidRDefault="00D93884" w:rsidP="00D93884">
            <w:pPr>
              <w:spacing w:before="0" w:after="0"/>
              <w:jc w:val="center"/>
              <w:rPr>
                <w:rFonts w:cs="Arial"/>
                <w:b/>
                <w:bCs/>
                <w:sz w:val="18"/>
                <w:szCs w:val="18"/>
                <w:lang w:val="es-CO" w:eastAsia="es-CO"/>
              </w:rPr>
            </w:pPr>
            <w:r w:rsidRPr="00D93884">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982028B" w14:textId="77777777" w:rsidR="00D93884" w:rsidRPr="00D93884" w:rsidRDefault="00D93884" w:rsidP="00D93884">
            <w:pPr>
              <w:spacing w:before="0" w:after="0"/>
              <w:jc w:val="center"/>
              <w:rPr>
                <w:rFonts w:cs="Arial"/>
                <w:b/>
                <w:bCs/>
                <w:sz w:val="18"/>
                <w:szCs w:val="18"/>
                <w:lang w:val="es-CO" w:eastAsia="es-CO"/>
              </w:rPr>
            </w:pPr>
            <w:r w:rsidRPr="00D93884">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6BA87286" w14:textId="77777777" w:rsidR="00D93884" w:rsidRPr="00D93884" w:rsidRDefault="00D93884" w:rsidP="00D93884">
            <w:pPr>
              <w:spacing w:before="0" w:after="0"/>
              <w:jc w:val="center"/>
              <w:rPr>
                <w:rFonts w:cs="Arial"/>
                <w:b/>
                <w:bCs/>
                <w:sz w:val="18"/>
                <w:szCs w:val="18"/>
                <w:lang w:val="es-CO" w:eastAsia="es-CO"/>
              </w:rPr>
            </w:pPr>
            <w:r w:rsidRPr="00D93884">
              <w:rPr>
                <w:rFonts w:cs="Arial"/>
                <w:b/>
                <w:bCs/>
                <w:sz w:val="18"/>
                <w:szCs w:val="18"/>
                <w:lang w:val="es-CO" w:eastAsia="es-CO"/>
              </w:rPr>
              <w:t>Ruralidad 3</w:t>
            </w:r>
          </w:p>
        </w:tc>
      </w:tr>
      <w:tr w:rsidR="00D93884" w:rsidRPr="00D93884" w14:paraId="3100DC64" w14:textId="77777777" w:rsidTr="00D93884">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4DA837AD" w14:textId="77777777" w:rsidR="00D93884" w:rsidRPr="00D93884" w:rsidRDefault="00D93884" w:rsidP="00D93884">
            <w:pPr>
              <w:spacing w:before="0" w:after="0"/>
              <w:jc w:val="center"/>
              <w:rPr>
                <w:rFonts w:cs="Arial"/>
                <w:b/>
                <w:bCs/>
                <w:sz w:val="18"/>
                <w:szCs w:val="18"/>
                <w:lang w:val="es-CO" w:eastAsia="es-CO"/>
              </w:rPr>
            </w:pPr>
            <w:r w:rsidRPr="00D93884">
              <w:rPr>
                <w:rFonts w:cs="Arial"/>
                <w:b/>
                <w:bCs/>
                <w:sz w:val="18"/>
                <w:szCs w:val="18"/>
                <w:lang w:val="es-CO" w:eastAsia="es-CO"/>
              </w:rPr>
              <w:t>Riesgo 1</w:t>
            </w:r>
          </w:p>
        </w:tc>
        <w:tc>
          <w:tcPr>
            <w:tcW w:w="1980" w:type="dxa"/>
            <w:tcBorders>
              <w:top w:val="nil"/>
              <w:left w:val="nil"/>
              <w:bottom w:val="single" w:sz="4" w:space="0" w:color="auto"/>
              <w:right w:val="single" w:sz="4" w:space="0" w:color="auto"/>
            </w:tcBorders>
            <w:shd w:val="clear" w:color="auto" w:fill="auto"/>
            <w:noWrap/>
            <w:vAlign w:val="center"/>
            <w:hideMark/>
          </w:tcPr>
          <w:p w14:paraId="496CD099" w14:textId="77777777" w:rsidR="00D93884" w:rsidRPr="00D93884" w:rsidRDefault="00D93884" w:rsidP="00D93884">
            <w:pPr>
              <w:spacing w:before="0" w:after="0"/>
              <w:jc w:val="right"/>
              <w:rPr>
                <w:rFonts w:cs="Arial"/>
                <w:sz w:val="18"/>
                <w:szCs w:val="18"/>
                <w:lang w:val="es-CO" w:eastAsia="es-CO"/>
              </w:rPr>
            </w:pPr>
            <w:r w:rsidRPr="00D93884">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6E8B54DF" w14:textId="77777777" w:rsidR="00D93884" w:rsidRPr="00D93884" w:rsidRDefault="00D93884" w:rsidP="00D93884">
            <w:pPr>
              <w:spacing w:before="0" w:after="0"/>
              <w:jc w:val="right"/>
              <w:rPr>
                <w:rFonts w:cs="Arial"/>
                <w:sz w:val="18"/>
                <w:szCs w:val="18"/>
                <w:lang w:val="es-CO" w:eastAsia="es-CO"/>
              </w:rPr>
            </w:pPr>
            <w:r w:rsidRPr="00D93884">
              <w:rPr>
                <w:rFonts w:cs="Arial"/>
                <w:sz w:val="18"/>
                <w:szCs w:val="18"/>
                <w:lang w:val="es-CO" w:eastAsia="es-CO"/>
              </w:rPr>
              <w:t>149</w:t>
            </w:r>
          </w:p>
        </w:tc>
        <w:tc>
          <w:tcPr>
            <w:tcW w:w="1960" w:type="dxa"/>
            <w:tcBorders>
              <w:top w:val="nil"/>
              <w:left w:val="nil"/>
              <w:bottom w:val="single" w:sz="4" w:space="0" w:color="auto"/>
              <w:right w:val="single" w:sz="4" w:space="0" w:color="auto"/>
            </w:tcBorders>
            <w:shd w:val="clear" w:color="auto" w:fill="auto"/>
            <w:noWrap/>
            <w:vAlign w:val="center"/>
            <w:hideMark/>
          </w:tcPr>
          <w:p w14:paraId="7243E04D" w14:textId="77777777" w:rsidR="00D93884" w:rsidRPr="00D93884" w:rsidRDefault="00D93884" w:rsidP="00D93884">
            <w:pPr>
              <w:spacing w:before="0" w:after="0"/>
              <w:jc w:val="right"/>
              <w:rPr>
                <w:rFonts w:cs="Arial"/>
                <w:sz w:val="18"/>
                <w:szCs w:val="18"/>
                <w:lang w:val="es-CO" w:eastAsia="es-CO"/>
              </w:rPr>
            </w:pPr>
            <w:r w:rsidRPr="00D93884">
              <w:rPr>
                <w:rFonts w:cs="Arial"/>
                <w:sz w:val="18"/>
                <w:szCs w:val="18"/>
                <w:lang w:val="es-CO" w:eastAsia="es-CO"/>
              </w:rPr>
              <w:t>235</w:t>
            </w:r>
          </w:p>
        </w:tc>
      </w:tr>
      <w:tr w:rsidR="00D93884" w:rsidRPr="00D93884" w14:paraId="7BE48D3F" w14:textId="77777777" w:rsidTr="00D93884">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0913A9E5" w14:textId="77777777" w:rsidR="00D93884" w:rsidRPr="00D93884" w:rsidRDefault="00D93884" w:rsidP="00D93884">
            <w:pPr>
              <w:spacing w:before="0" w:after="0"/>
              <w:jc w:val="center"/>
              <w:rPr>
                <w:rFonts w:cs="Arial"/>
                <w:b/>
                <w:bCs/>
                <w:sz w:val="18"/>
                <w:szCs w:val="18"/>
                <w:lang w:val="es-CO" w:eastAsia="es-CO"/>
              </w:rPr>
            </w:pPr>
            <w:r w:rsidRPr="00D93884">
              <w:rPr>
                <w:rFonts w:cs="Arial"/>
                <w:b/>
                <w:bCs/>
                <w:sz w:val="18"/>
                <w:szCs w:val="18"/>
                <w:lang w:val="es-CO" w:eastAsia="es-CO"/>
              </w:rPr>
              <w:t>Riesgo 2</w:t>
            </w:r>
          </w:p>
        </w:tc>
        <w:tc>
          <w:tcPr>
            <w:tcW w:w="1980" w:type="dxa"/>
            <w:tcBorders>
              <w:top w:val="nil"/>
              <w:left w:val="nil"/>
              <w:bottom w:val="single" w:sz="4" w:space="0" w:color="auto"/>
              <w:right w:val="single" w:sz="4" w:space="0" w:color="auto"/>
            </w:tcBorders>
            <w:shd w:val="clear" w:color="auto" w:fill="auto"/>
            <w:noWrap/>
            <w:vAlign w:val="center"/>
            <w:hideMark/>
          </w:tcPr>
          <w:p w14:paraId="52696732" w14:textId="77777777" w:rsidR="00D93884" w:rsidRPr="00D93884" w:rsidRDefault="00D93884" w:rsidP="00D93884">
            <w:pPr>
              <w:spacing w:before="0" w:after="0"/>
              <w:jc w:val="right"/>
              <w:rPr>
                <w:rFonts w:cs="Arial"/>
                <w:sz w:val="18"/>
                <w:szCs w:val="18"/>
                <w:lang w:val="es-CO" w:eastAsia="es-CO"/>
              </w:rPr>
            </w:pPr>
            <w:r w:rsidRPr="00D93884">
              <w:rPr>
                <w:rFonts w:cs="Arial"/>
                <w:sz w:val="18"/>
                <w:szCs w:val="18"/>
                <w:lang w:val="es-CO" w:eastAsia="es-CO"/>
              </w:rPr>
              <w:t>76</w:t>
            </w:r>
          </w:p>
        </w:tc>
        <w:tc>
          <w:tcPr>
            <w:tcW w:w="1960" w:type="dxa"/>
            <w:tcBorders>
              <w:top w:val="nil"/>
              <w:left w:val="nil"/>
              <w:bottom w:val="single" w:sz="4" w:space="0" w:color="auto"/>
              <w:right w:val="single" w:sz="4" w:space="0" w:color="auto"/>
            </w:tcBorders>
            <w:shd w:val="clear" w:color="auto" w:fill="auto"/>
            <w:noWrap/>
            <w:vAlign w:val="center"/>
            <w:hideMark/>
          </w:tcPr>
          <w:p w14:paraId="30A8BB10" w14:textId="77777777" w:rsidR="00D93884" w:rsidRPr="00D93884" w:rsidRDefault="00D93884" w:rsidP="00D93884">
            <w:pPr>
              <w:spacing w:before="0" w:after="0"/>
              <w:jc w:val="right"/>
              <w:rPr>
                <w:rFonts w:cs="Arial"/>
                <w:sz w:val="18"/>
                <w:szCs w:val="18"/>
                <w:lang w:val="es-CO" w:eastAsia="es-CO"/>
              </w:rPr>
            </w:pPr>
            <w:r w:rsidRPr="00D93884">
              <w:rPr>
                <w:rFonts w:cs="Arial"/>
                <w:sz w:val="18"/>
                <w:szCs w:val="18"/>
                <w:lang w:val="es-CO" w:eastAsia="es-CO"/>
              </w:rPr>
              <w:t>212</w:t>
            </w:r>
          </w:p>
        </w:tc>
        <w:tc>
          <w:tcPr>
            <w:tcW w:w="1960" w:type="dxa"/>
            <w:tcBorders>
              <w:top w:val="nil"/>
              <w:left w:val="nil"/>
              <w:bottom w:val="single" w:sz="4" w:space="0" w:color="auto"/>
              <w:right w:val="single" w:sz="4" w:space="0" w:color="auto"/>
            </w:tcBorders>
            <w:shd w:val="clear" w:color="auto" w:fill="auto"/>
            <w:noWrap/>
            <w:vAlign w:val="center"/>
            <w:hideMark/>
          </w:tcPr>
          <w:p w14:paraId="541D1CBE" w14:textId="77777777" w:rsidR="00D93884" w:rsidRPr="00D93884" w:rsidRDefault="00D93884" w:rsidP="00D93884">
            <w:pPr>
              <w:spacing w:before="0" w:after="0"/>
              <w:jc w:val="right"/>
              <w:rPr>
                <w:rFonts w:cs="Arial"/>
                <w:sz w:val="18"/>
                <w:szCs w:val="18"/>
                <w:lang w:val="es-CO" w:eastAsia="es-CO"/>
              </w:rPr>
            </w:pPr>
            <w:r w:rsidRPr="00D93884">
              <w:rPr>
                <w:rFonts w:cs="Arial"/>
                <w:sz w:val="18"/>
                <w:szCs w:val="18"/>
                <w:lang w:val="es-CO" w:eastAsia="es-CO"/>
              </w:rPr>
              <w:t>317</w:t>
            </w:r>
          </w:p>
        </w:tc>
      </w:tr>
      <w:tr w:rsidR="00D93884" w:rsidRPr="00D93884" w14:paraId="079641CA" w14:textId="77777777" w:rsidTr="00D93884">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0A0B9D21" w14:textId="77777777" w:rsidR="00D93884" w:rsidRPr="00D93884" w:rsidRDefault="00D93884" w:rsidP="00D93884">
            <w:pPr>
              <w:spacing w:before="0" w:after="0"/>
              <w:jc w:val="center"/>
              <w:rPr>
                <w:rFonts w:cs="Arial"/>
                <w:b/>
                <w:bCs/>
                <w:sz w:val="18"/>
                <w:szCs w:val="18"/>
                <w:lang w:val="es-CO" w:eastAsia="es-CO"/>
              </w:rPr>
            </w:pPr>
            <w:r w:rsidRPr="00D93884">
              <w:rPr>
                <w:rFonts w:cs="Arial"/>
                <w:b/>
                <w:bCs/>
                <w:sz w:val="18"/>
                <w:szCs w:val="18"/>
                <w:lang w:val="es-CO" w:eastAsia="es-CO"/>
              </w:rPr>
              <w:t>Riesgo 3</w:t>
            </w:r>
          </w:p>
        </w:tc>
        <w:tc>
          <w:tcPr>
            <w:tcW w:w="1980" w:type="dxa"/>
            <w:tcBorders>
              <w:top w:val="nil"/>
              <w:left w:val="nil"/>
              <w:bottom w:val="single" w:sz="4" w:space="0" w:color="auto"/>
              <w:right w:val="single" w:sz="4" w:space="0" w:color="auto"/>
            </w:tcBorders>
            <w:shd w:val="clear" w:color="auto" w:fill="auto"/>
            <w:noWrap/>
            <w:vAlign w:val="center"/>
            <w:hideMark/>
          </w:tcPr>
          <w:p w14:paraId="7A97BC8C" w14:textId="77777777" w:rsidR="00D93884" w:rsidRPr="00D93884" w:rsidRDefault="00D93884" w:rsidP="00D93884">
            <w:pPr>
              <w:spacing w:before="0" w:after="0"/>
              <w:jc w:val="right"/>
              <w:rPr>
                <w:rFonts w:cs="Arial"/>
                <w:sz w:val="18"/>
                <w:szCs w:val="18"/>
                <w:lang w:val="es-CO" w:eastAsia="es-CO"/>
              </w:rPr>
            </w:pPr>
            <w:r w:rsidRPr="00D93884">
              <w:rPr>
                <w:rFonts w:cs="Arial"/>
                <w:sz w:val="18"/>
                <w:szCs w:val="18"/>
                <w:lang w:val="es-CO" w:eastAsia="es-CO"/>
              </w:rPr>
              <w:t>72</w:t>
            </w:r>
          </w:p>
        </w:tc>
        <w:tc>
          <w:tcPr>
            <w:tcW w:w="1960" w:type="dxa"/>
            <w:tcBorders>
              <w:top w:val="nil"/>
              <w:left w:val="nil"/>
              <w:bottom w:val="single" w:sz="4" w:space="0" w:color="auto"/>
              <w:right w:val="single" w:sz="4" w:space="0" w:color="auto"/>
            </w:tcBorders>
            <w:shd w:val="clear" w:color="auto" w:fill="auto"/>
            <w:noWrap/>
            <w:vAlign w:val="center"/>
            <w:hideMark/>
          </w:tcPr>
          <w:p w14:paraId="2A294497" w14:textId="77777777" w:rsidR="00D93884" w:rsidRPr="00D93884" w:rsidRDefault="00D93884" w:rsidP="00D93884">
            <w:pPr>
              <w:spacing w:before="0" w:after="0"/>
              <w:jc w:val="right"/>
              <w:rPr>
                <w:rFonts w:cs="Arial"/>
                <w:sz w:val="18"/>
                <w:szCs w:val="18"/>
                <w:lang w:val="es-CO" w:eastAsia="es-CO"/>
              </w:rPr>
            </w:pPr>
            <w:r w:rsidRPr="00D93884">
              <w:rPr>
                <w:rFonts w:cs="Arial"/>
                <w:sz w:val="18"/>
                <w:szCs w:val="18"/>
                <w:lang w:val="es-CO" w:eastAsia="es-CO"/>
              </w:rPr>
              <w:t>240</w:t>
            </w:r>
          </w:p>
        </w:tc>
        <w:tc>
          <w:tcPr>
            <w:tcW w:w="1960" w:type="dxa"/>
            <w:tcBorders>
              <w:top w:val="nil"/>
              <w:left w:val="nil"/>
              <w:bottom w:val="single" w:sz="4" w:space="0" w:color="auto"/>
              <w:right w:val="single" w:sz="4" w:space="0" w:color="auto"/>
            </w:tcBorders>
            <w:shd w:val="clear" w:color="auto" w:fill="auto"/>
            <w:noWrap/>
            <w:vAlign w:val="center"/>
            <w:hideMark/>
          </w:tcPr>
          <w:p w14:paraId="0C3926E8" w14:textId="77777777" w:rsidR="00D93884" w:rsidRPr="00D93884" w:rsidRDefault="00D93884" w:rsidP="00D93884">
            <w:pPr>
              <w:spacing w:before="0" w:after="0"/>
              <w:jc w:val="right"/>
              <w:rPr>
                <w:rFonts w:cs="Arial"/>
                <w:sz w:val="18"/>
                <w:szCs w:val="18"/>
                <w:lang w:val="es-CO" w:eastAsia="es-CO"/>
              </w:rPr>
            </w:pPr>
            <w:r w:rsidRPr="00D93884">
              <w:rPr>
                <w:rFonts w:cs="Arial"/>
                <w:sz w:val="18"/>
                <w:szCs w:val="18"/>
                <w:lang w:val="es-CO" w:eastAsia="es-CO"/>
              </w:rPr>
              <w:t>360</w:t>
            </w:r>
          </w:p>
        </w:tc>
      </w:tr>
    </w:tbl>
    <w:p w14:paraId="13599DA4" w14:textId="4286280E" w:rsidR="004730C9" w:rsidRPr="000C23A9" w:rsidRDefault="004730C9" w:rsidP="004730C9">
      <w:pPr>
        <w:pStyle w:val="Artculo"/>
        <w:ind w:left="0"/>
        <w:outlineLvl w:val="2"/>
        <w:rPr>
          <w:b w:val="0"/>
        </w:rPr>
      </w:pPr>
      <w:r>
        <w:t xml:space="preserve">Modificar el artículo 15 de la Resolución </w:t>
      </w:r>
      <w:r w:rsidR="00C86E92">
        <w:t>CREG 025 de 2021</w:t>
      </w:r>
      <w:r>
        <w:t xml:space="preserve">. </w:t>
      </w:r>
      <w:r w:rsidRPr="00A71EA8">
        <w:rPr>
          <w:b w:val="0"/>
        </w:rPr>
        <w:t xml:space="preserve">El artículo </w:t>
      </w:r>
      <w:r>
        <w:rPr>
          <w:b w:val="0"/>
        </w:rPr>
        <w:t>15</w:t>
      </w:r>
      <w:r w:rsidRPr="00A71EA8">
        <w:rPr>
          <w:b w:val="0"/>
        </w:rPr>
        <w:t xml:space="preserve"> de la Resolución </w:t>
      </w:r>
      <w:r w:rsidR="00C86E92">
        <w:rPr>
          <w:b w:val="0"/>
        </w:rPr>
        <w:t>CREG 025 de 2021</w:t>
      </w:r>
      <w:r w:rsidRPr="00A71EA8">
        <w:rPr>
          <w:b w:val="0"/>
        </w:rPr>
        <w:t xml:space="preserve"> quedará así:</w:t>
      </w:r>
    </w:p>
    <w:p w14:paraId="70016209" w14:textId="77777777" w:rsidR="004730C9" w:rsidRPr="00045E35" w:rsidRDefault="004730C9" w:rsidP="00723E6C">
      <w:pPr>
        <w:pStyle w:val="Artculo"/>
        <w:numPr>
          <w:ilvl w:val="0"/>
          <w:numId w:val="0"/>
        </w:numPr>
        <w:spacing w:before="120" w:after="120"/>
        <w:ind w:left="425"/>
        <w:outlineLvl w:val="2"/>
        <w:rPr>
          <w:b w:val="0"/>
          <w:i/>
          <w:iCs/>
          <w:sz w:val="22"/>
          <w:szCs w:val="22"/>
        </w:rPr>
      </w:pPr>
      <w:r w:rsidRPr="00045E35">
        <w:rPr>
          <w:i/>
          <w:iCs/>
          <w:sz w:val="22"/>
          <w:szCs w:val="22"/>
        </w:rPr>
        <w:t>Artículo 15 Costos de reposición de referencia.</w:t>
      </w:r>
      <w:r w:rsidRPr="00045E35">
        <w:rPr>
          <w:b w:val="0"/>
          <w:i/>
          <w:iCs/>
          <w:sz w:val="22"/>
          <w:szCs w:val="22"/>
        </w:rPr>
        <w:t xml:space="preserve"> El costo de reposición de referencia, CRR</w:t>
      </w:r>
      <w:r w:rsidRPr="00045E35">
        <w:rPr>
          <w:b w:val="0"/>
          <w:i/>
          <w:iCs/>
          <w:sz w:val="22"/>
          <w:szCs w:val="22"/>
          <w:vertAlign w:val="subscript"/>
        </w:rPr>
        <w:t>j</w:t>
      </w:r>
      <w:r w:rsidRPr="00045E35">
        <w:rPr>
          <w:b w:val="0"/>
          <w:i/>
          <w:iCs/>
          <w:sz w:val="22"/>
          <w:szCs w:val="22"/>
        </w:rPr>
        <w:t>, y los costos de reposición de referencia por nivel de tensión, Crr</w:t>
      </w:r>
      <w:r w:rsidRPr="00045E35">
        <w:rPr>
          <w:b w:val="0"/>
          <w:i/>
          <w:iCs/>
          <w:sz w:val="22"/>
          <w:szCs w:val="22"/>
          <w:vertAlign w:val="subscript"/>
        </w:rPr>
        <w:t>j,n</w:t>
      </w:r>
      <w:r w:rsidRPr="00045E35">
        <w:rPr>
          <w:b w:val="0"/>
          <w:i/>
          <w:iCs/>
          <w:sz w:val="22"/>
          <w:szCs w:val="22"/>
        </w:rPr>
        <w:t>, son los siguientes:</w:t>
      </w:r>
    </w:p>
    <w:p w14:paraId="001ADBB9" w14:textId="44EFF95F" w:rsidR="004730C9" w:rsidRDefault="004730C9" w:rsidP="004730C9">
      <w:pPr>
        <w:pStyle w:val="Descripcin"/>
        <w:ind w:left="567"/>
        <w:rPr>
          <w:i/>
          <w:iCs/>
          <w:sz w:val="20"/>
          <w:szCs w:val="18"/>
        </w:rPr>
      </w:pPr>
      <w:r w:rsidRPr="00045E35">
        <w:rPr>
          <w:i/>
          <w:iCs/>
          <w:sz w:val="20"/>
          <w:szCs w:val="18"/>
        </w:rPr>
        <w:t>Tabla 19 Costo de reposición de referencia</w:t>
      </w:r>
    </w:p>
    <w:tbl>
      <w:tblPr>
        <w:tblW w:w="3580" w:type="dxa"/>
        <w:jc w:val="center"/>
        <w:tblCellMar>
          <w:left w:w="70" w:type="dxa"/>
          <w:right w:w="70" w:type="dxa"/>
        </w:tblCellMar>
        <w:tblLook w:val="04A0" w:firstRow="1" w:lastRow="0" w:firstColumn="1" w:lastColumn="0" w:noHBand="0" w:noVBand="1"/>
      </w:tblPr>
      <w:tblGrid>
        <w:gridCol w:w="1600"/>
        <w:gridCol w:w="1980"/>
      </w:tblGrid>
      <w:tr w:rsidR="00776095" w:rsidRPr="00776095" w14:paraId="6E241736" w14:textId="77777777" w:rsidTr="00C17D3E">
        <w:trPr>
          <w:trHeight w:val="480"/>
          <w:tblHeader/>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A213A6" w14:textId="77777777" w:rsidR="00776095" w:rsidRPr="00776095" w:rsidRDefault="00776095" w:rsidP="00776095">
            <w:pPr>
              <w:spacing w:before="0" w:after="0"/>
              <w:jc w:val="center"/>
              <w:rPr>
                <w:rFonts w:cs="Arial"/>
                <w:b/>
                <w:bCs/>
                <w:sz w:val="18"/>
                <w:szCs w:val="18"/>
                <w:lang w:val="es-CO" w:eastAsia="es-CO"/>
              </w:rPr>
            </w:pPr>
            <w:r w:rsidRPr="00776095">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14:paraId="6BD89048" w14:textId="77777777" w:rsidR="00776095" w:rsidRPr="00776095" w:rsidRDefault="00776095" w:rsidP="00776095">
            <w:pPr>
              <w:spacing w:before="0" w:after="0"/>
              <w:jc w:val="center"/>
              <w:rPr>
                <w:rFonts w:cs="Arial"/>
                <w:b/>
                <w:bCs/>
                <w:sz w:val="18"/>
                <w:szCs w:val="18"/>
                <w:lang w:val="es-CO" w:eastAsia="es-CO"/>
              </w:rPr>
            </w:pPr>
            <w:r w:rsidRPr="00776095">
              <w:rPr>
                <w:rFonts w:cs="Arial"/>
                <w:b/>
                <w:bCs/>
                <w:sz w:val="18"/>
                <w:szCs w:val="18"/>
                <w:lang w:val="es-CO" w:eastAsia="es-CO"/>
              </w:rPr>
              <w:t>Pesos de diciembre de 2017</w:t>
            </w:r>
          </w:p>
        </w:tc>
      </w:tr>
      <w:tr w:rsidR="00776095" w:rsidRPr="00776095" w14:paraId="1F11C0B8" w14:textId="77777777" w:rsidTr="00776095">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799B5299" w14:textId="77777777" w:rsidR="00776095" w:rsidRPr="00776095" w:rsidRDefault="00776095" w:rsidP="00776095">
            <w:pPr>
              <w:spacing w:before="0" w:after="0"/>
              <w:jc w:val="center"/>
              <w:rPr>
                <w:rFonts w:cs="Arial"/>
                <w:i/>
                <w:iCs/>
                <w:sz w:val="18"/>
                <w:szCs w:val="18"/>
                <w:lang w:val="es-CO" w:eastAsia="es-CO"/>
              </w:rPr>
            </w:pPr>
            <w:r w:rsidRPr="00776095">
              <w:rPr>
                <w:rFonts w:cs="Arial"/>
                <w:i/>
                <w:iCs/>
                <w:sz w:val="18"/>
                <w:szCs w:val="18"/>
                <w:lang w:val="es-CO" w:eastAsia="es-CO"/>
              </w:rPr>
              <w:t>CRR</w:t>
            </w:r>
            <w:r w:rsidRPr="00776095">
              <w:rPr>
                <w:rFonts w:cs="Arial"/>
                <w:i/>
                <w:iCs/>
                <w:color w:val="000000"/>
                <w:sz w:val="18"/>
                <w:szCs w:val="18"/>
                <w:vertAlign w:val="subscript"/>
                <w:lang w:val="es-CO" w:eastAsia="es-CO"/>
              </w:rPr>
              <w:t>j</w:t>
            </w:r>
          </w:p>
        </w:tc>
        <w:tc>
          <w:tcPr>
            <w:tcW w:w="1980" w:type="dxa"/>
            <w:tcBorders>
              <w:top w:val="nil"/>
              <w:left w:val="nil"/>
              <w:bottom w:val="single" w:sz="4" w:space="0" w:color="auto"/>
              <w:right w:val="single" w:sz="4" w:space="0" w:color="auto"/>
            </w:tcBorders>
            <w:shd w:val="clear" w:color="auto" w:fill="auto"/>
            <w:noWrap/>
            <w:vAlign w:val="center"/>
            <w:hideMark/>
          </w:tcPr>
          <w:p w14:paraId="56BCABA5" w14:textId="77777777" w:rsidR="00776095" w:rsidRPr="00776095" w:rsidRDefault="00776095" w:rsidP="00776095">
            <w:pPr>
              <w:spacing w:before="0" w:after="0"/>
              <w:jc w:val="right"/>
              <w:rPr>
                <w:rFonts w:cs="Arial"/>
                <w:sz w:val="18"/>
                <w:szCs w:val="18"/>
                <w:lang w:val="es-CO" w:eastAsia="es-CO"/>
              </w:rPr>
            </w:pPr>
            <w:r w:rsidRPr="00776095">
              <w:rPr>
                <w:rFonts w:cs="Arial"/>
                <w:sz w:val="18"/>
                <w:szCs w:val="18"/>
                <w:lang w:val="es-CO" w:eastAsia="es-CO"/>
              </w:rPr>
              <w:t>3.651.586.835.850</w:t>
            </w:r>
          </w:p>
        </w:tc>
      </w:tr>
      <w:tr w:rsidR="00776095" w:rsidRPr="00776095" w14:paraId="657C3F38" w14:textId="77777777" w:rsidTr="00776095">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071B1C47" w14:textId="77777777" w:rsidR="00776095" w:rsidRPr="00776095" w:rsidRDefault="00776095" w:rsidP="00776095">
            <w:pPr>
              <w:spacing w:before="0" w:after="0"/>
              <w:jc w:val="center"/>
              <w:rPr>
                <w:rFonts w:cs="Arial"/>
                <w:i/>
                <w:iCs/>
                <w:sz w:val="18"/>
                <w:szCs w:val="18"/>
                <w:lang w:val="es-CO" w:eastAsia="es-CO"/>
              </w:rPr>
            </w:pPr>
            <w:r w:rsidRPr="00776095">
              <w:rPr>
                <w:rFonts w:cs="Arial"/>
                <w:i/>
                <w:iCs/>
                <w:sz w:val="18"/>
                <w:szCs w:val="18"/>
                <w:lang w:val="es-CO" w:eastAsia="es-CO"/>
              </w:rPr>
              <w:t>Crr</w:t>
            </w:r>
            <w:r w:rsidRPr="00776095">
              <w:rPr>
                <w:rFonts w:cs="Arial"/>
                <w:i/>
                <w:iCs/>
                <w:color w:val="000000"/>
                <w:sz w:val="18"/>
                <w:szCs w:val="18"/>
                <w:vertAlign w:val="subscript"/>
                <w:lang w:val="es-CO" w:eastAsia="es-CO"/>
              </w:rPr>
              <w:t>j,4</w:t>
            </w:r>
          </w:p>
        </w:tc>
        <w:tc>
          <w:tcPr>
            <w:tcW w:w="1980" w:type="dxa"/>
            <w:tcBorders>
              <w:top w:val="nil"/>
              <w:left w:val="nil"/>
              <w:bottom w:val="single" w:sz="4" w:space="0" w:color="auto"/>
              <w:right w:val="single" w:sz="4" w:space="0" w:color="auto"/>
            </w:tcBorders>
            <w:shd w:val="clear" w:color="auto" w:fill="auto"/>
            <w:noWrap/>
            <w:vAlign w:val="center"/>
            <w:hideMark/>
          </w:tcPr>
          <w:p w14:paraId="36188392" w14:textId="77777777" w:rsidR="00776095" w:rsidRPr="00776095" w:rsidRDefault="00776095" w:rsidP="00776095">
            <w:pPr>
              <w:spacing w:before="0" w:after="0"/>
              <w:jc w:val="right"/>
              <w:rPr>
                <w:rFonts w:cs="Arial"/>
                <w:sz w:val="18"/>
                <w:szCs w:val="18"/>
                <w:lang w:val="es-CO" w:eastAsia="es-CO"/>
              </w:rPr>
            </w:pPr>
            <w:r w:rsidRPr="00776095">
              <w:rPr>
                <w:rFonts w:cs="Arial"/>
                <w:sz w:val="18"/>
                <w:szCs w:val="18"/>
                <w:lang w:val="es-CO" w:eastAsia="es-CO"/>
              </w:rPr>
              <w:t>994.572.951.612</w:t>
            </w:r>
          </w:p>
        </w:tc>
      </w:tr>
      <w:tr w:rsidR="00776095" w:rsidRPr="00776095" w14:paraId="44CB9A82" w14:textId="77777777" w:rsidTr="00776095">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6A92369C" w14:textId="77777777" w:rsidR="00776095" w:rsidRPr="00776095" w:rsidRDefault="00776095" w:rsidP="00776095">
            <w:pPr>
              <w:spacing w:before="0" w:after="0"/>
              <w:jc w:val="center"/>
              <w:rPr>
                <w:rFonts w:cs="Arial"/>
                <w:i/>
                <w:iCs/>
                <w:sz w:val="18"/>
                <w:szCs w:val="18"/>
                <w:lang w:val="es-CO" w:eastAsia="es-CO"/>
              </w:rPr>
            </w:pPr>
            <w:r w:rsidRPr="00776095">
              <w:rPr>
                <w:rFonts w:cs="Arial"/>
                <w:i/>
                <w:iCs/>
                <w:sz w:val="18"/>
                <w:szCs w:val="18"/>
                <w:lang w:val="es-CO" w:eastAsia="es-CO"/>
              </w:rPr>
              <w:t>Crr</w:t>
            </w:r>
            <w:r w:rsidRPr="00776095">
              <w:rPr>
                <w:rFonts w:cs="Arial"/>
                <w:i/>
                <w:iCs/>
                <w:color w:val="000000"/>
                <w:sz w:val="18"/>
                <w:szCs w:val="18"/>
                <w:vertAlign w:val="subscript"/>
                <w:lang w:val="es-CO" w:eastAsia="es-CO"/>
              </w:rPr>
              <w:t>j,3</w:t>
            </w:r>
          </w:p>
        </w:tc>
        <w:tc>
          <w:tcPr>
            <w:tcW w:w="1980" w:type="dxa"/>
            <w:tcBorders>
              <w:top w:val="nil"/>
              <w:left w:val="nil"/>
              <w:bottom w:val="single" w:sz="4" w:space="0" w:color="auto"/>
              <w:right w:val="single" w:sz="4" w:space="0" w:color="auto"/>
            </w:tcBorders>
            <w:shd w:val="clear" w:color="auto" w:fill="auto"/>
            <w:noWrap/>
            <w:vAlign w:val="center"/>
            <w:hideMark/>
          </w:tcPr>
          <w:p w14:paraId="0645F4C3" w14:textId="77777777" w:rsidR="00776095" w:rsidRPr="00776095" w:rsidRDefault="00776095" w:rsidP="00776095">
            <w:pPr>
              <w:spacing w:before="0" w:after="0"/>
              <w:jc w:val="right"/>
              <w:rPr>
                <w:rFonts w:cs="Arial"/>
                <w:sz w:val="18"/>
                <w:szCs w:val="18"/>
                <w:lang w:val="es-CO" w:eastAsia="es-CO"/>
              </w:rPr>
            </w:pPr>
            <w:r w:rsidRPr="00776095">
              <w:rPr>
                <w:rFonts w:cs="Arial"/>
                <w:sz w:val="18"/>
                <w:szCs w:val="18"/>
                <w:lang w:val="es-CO" w:eastAsia="es-CO"/>
              </w:rPr>
              <w:t>490.281.056.170</w:t>
            </w:r>
          </w:p>
        </w:tc>
      </w:tr>
      <w:tr w:rsidR="00776095" w:rsidRPr="00776095" w14:paraId="3633F0C2" w14:textId="77777777" w:rsidTr="00776095">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51F33382" w14:textId="77777777" w:rsidR="00776095" w:rsidRPr="00776095" w:rsidRDefault="00776095" w:rsidP="00776095">
            <w:pPr>
              <w:spacing w:before="0" w:after="0"/>
              <w:jc w:val="center"/>
              <w:rPr>
                <w:rFonts w:cs="Arial"/>
                <w:i/>
                <w:iCs/>
                <w:sz w:val="18"/>
                <w:szCs w:val="18"/>
                <w:lang w:val="es-CO" w:eastAsia="es-CO"/>
              </w:rPr>
            </w:pPr>
            <w:r w:rsidRPr="00776095">
              <w:rPr>
                <w:rFonts w:cs="Arial"/>
                <w:i/>
                <w:iCs/>
                <w:sz w:val="18"/>
                <w:szCs w:val="18"/>
                <w:lang w:val="es-CO" w:eastAsia="es-CO"/>
              </w:rPr>
              <w:t>Crr</w:t>
            </w:r>
            <w:r w:rsidRPr="00776095">
              <w:rPr>
                <w:rFonts w:cs="Arial"/>
                <w:i/>
                <w:iCs/>
                <w:color w:val="000000"/>
                <w:sz w:val="18"/>
                <w:szCs w:val="18"/>
                <w:vertAlign w:val="subscript"/>
                <w:lang w:val="es-CO" w:eastAsia="es-CO"/>
              </w:rPr>
              <w:t>j,2</w:t>
            </w:r>
          </w:p>
        </w:tc>
        <w:tc>
          <w:tcPr>
            <w:tcW w:w="1980" w:type="dxa"/>
            <w:tcBorders>
              <w:top w:val="nil"/>
              <w:left w:val="nil"/>
              <w:bottom w:val="single" w:sz="4" w:space="0" w:color="auto"/>
              <w:right w:val="single" w:sz="4" w:space="0" w:color="auto"/>
            </w:tcBorders>
            <w:shd w:val="clear" w:color="auto" w:fill="auto"/>
            <w:noWrap/>
            <w:vAlign w:val="center"/>
            <w:hideMark/>
          </w:tcPr>
          <w:p w14:paraId="7A0BEA99" w14:textId="77777777" w:rsidR="00776095" w:rsidRPr="00776095" w:rsidRDefault="00776095" w:rsidP="00776095">
            <w:pPr>
              <w:spacing w:before="0" w:after="0"/>
              <w:jc w:val="right"/>
              <w:rPr>
                <w:rFonts w:cs="Arial"/>
                <w:sz w:val="18"/>
                <w:szCs w:val="18"/>
                <w:lang w:val="es-CO" w:eastAsia="es-CO"/>
              </w:rPr>
            </w:pPr>
            <w:r w:rsidRPr="00776095">
              <w:rPr>
                <w:rFonts w:cs="Arial"/>
                <w:sz w:val="18"/>
                <w:szCs w:val="18"/>
                <w:lang w:val="es-CO" w:eastAsia="es-CO"/>
              </w:rPr>
              <w:t>1.391.852.770.969</w:t>
            </w:r>
          </w:p>
        </w:tc>
      </w:tr>
      <w:tr w:rsidR="00776095" w:rsidRPr="00776095" w14:paraId="3211052A" w14:textId="77777777" w:rsidTr="00776095">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01A82204" w14:textId="77777777" w:rsidR="00776095" w:rsidRPr="00776095" w:rsidRDefault="00776095" w:rsidP="00776095">
            <w:pPr>
              <w:spacing w:before="0" w:after="0"/>
              <w:jc w:val="center"/>
              <w:rPr>
                <w:rFonts w:cs="Arial"/>
                <w:i/>
                <w:iCs/>
                <w:sz w:val="18"/>
                <w:szCs w:val="18"/>
                <w:lang w:val="es-CO" w:eastAsia="es-CO"/>
              </w:rPr>
            </w:pPr>
            <w:r w:rsidRPr="00776095">
              <w:rPr>
                <w:rFonts w:cs="Arial"/>
                <w:i/>
                <w:iCs/>
                <w:sz w:val="18"/>
                <w:szCs w:val="18"/>
                <w:lang w:val="es-CO" w:eastAsia="es-CO"/>
              </w:rPr>
              <w:t>Crr</w:t>
            </w:r>
            <w:r w:rsidRPr="00776095">
              <w:rPr>
                <w:rFonts w:cs="Arial"/>
                <w:i/>
                <w:iCs/>
                <w:color w:val="000000"/>
                <w:sz w:val="18"/>
                <w:szCs w:val="18"/>
                <w:vertAlign w:val="subscript"/>
                <w:lang w:val="es-CO" w:eastAsia="es-CO"/>
              </w:rPr>
              <w:t>j,1</w:t>
            </w:r>
          </w:p>
        </w:tc>
        <w:tc>
          <w:tcPr>
            <w:tcW w:w="1980" w:type="dxa"/>
            <w:tcBorders>
              <w:top w:val="nil"/>
              <w:left w:val="nil"/>
              <w:bottom w:val="single" w:sz="4" w:space="0" w:color="auto"/>
              <w:right w:val="single" w:sz="4" w:space="0" w:color="auto"/>
            </w:tcBorders>
            <w:shd w:val="clear" w:color="auto" w:fill="auto"/>
            <w:noWrap/>
            <w:vAlign w:val="center"/>
            <w:hideMark/>
          </w:tcPr>
          <w:p w14:paraId="2A2D9745" w14:textId="77777777" w:rsidR="00776095" w:rsidRPr="00776095" w:rsidRDefault="00776095" w:rsidP="00776095">
            <w:pPr>
              <w:spacing w:before="0" w:after="0"/>
              <w:jc w:val="right"/>
              <w:rPr>
                <w:rFonts w:cs="Arial"/>
                <w:sz w:val="18"/>
                <w:szCs w:val="18"/>
                <w:lang w:val="es-CO" w:eastAsia="es-CO"/>
              </w:rPr>
            </w:pPr>
            <w:r w:rsidRPr="00776095">
              <w:rPr>
                <w:rFonts w:cs="Arial"/>
                <w:sz w:val="18"/>
                <w:szCs w:val="18"/>
                <w:lang w:val="es-CO" w:eastAsia="es-CO"/>
              </w:rPr>
              <w:t>774.880.057.100</w:t>
            </w:r>
          </w:p>
        </w:tc>
      </w:tr>
    </w:tbl>
    <w:p w14:paraId="0279918E" w14:textId="194439F9" w:rsidR="004730C9" w:rsidRPr="000C23A9" w:rsidRDefault="004730C9" w:rsidP="004730C9">
      <w:pPr>
        <w:pStyle w:val="Artculo"/>
        <w:ind w:left="0"/>
        <w:outlineLvl w:val="2"/>
        <w:rPr>
          <w:b w:val="0"/>
        </w:rPr>
      </w:pPr>
      <w:r>
        <w:t xml:space="preserve">Modificar el artículo 17 de la Resolución </w:t>
      </w:r>
      <w:r w:rsidR="00C86E92">
        <w:t>CREG 025 de 2021</w:t>
      </w:r>
      <w:r>
        <w:t xml:space="preserve">. </w:t>
      </w:r>
      <w:r w:rsidRPr="00A71EA8">
        <w:rPr>
          <w:b w:val="0"/>
        </w:rPr>
        <w:t xml:space="preserve">El artículo </w:t>
      </w:r>
      <w:r>
        <w:rPr>
          <w:b w:val="0"/>
        </w:rPr>
        <w:t>17</w:t>
      </w:r>
      <w:r w:rsidRPr="00A71EA8">
        <w:rPr>
          <w:b w:val="0"/>
        </w:rPr>
        <w:t xml:space="preserve"> de la Resolución </w:t>
      </w:r>
      <w:r w:rsidR="00C86E92">
        <w:rPr>
          <w:b w:val="0"/>
        </w:rPr>
        <w:t>CREG 025 de 2021</w:t>
      </w:r>
      <w:r w:rsidRPr="00A71EA8">
        <w:rPr>
          <w:b w:val="0"/>
        </w:rPr>
        <w:t xml:space="preserve"> quedará así:</w:t>
      </w:r>
    </w:p>
    <w:p w14:paraId="0CD1B58E" w14:textId="77777777" w:rsidR="004730C9" w:rsidRPr="00196698" w:rsidRDefault="004730C9" w:rsidP="00723E6C">
      <w:pPr>
        <w:pStyle w:val="Artculo"/>
        <w:numPr>
          <w:ilvl w:val="0"/>
          <w:numId w:val="0"/>
        </w:numPr>
        <w:spacing w:before="120" w:after="120"/>
        <w:ind w:left="425"/>
        <w:outlineLvl w:val="2"/>
        <w:rPr>
          <w:b w:val="0"/>
          <w:i/>
          <w:iCs/>
          <w:sz w:val="22"/>
          <w:szCs w:val="22"/>
        </w:rPr>
      </w:pPr>
      <w:r w:rsidRPr="00196698">
        <w:rPr>
          <w:bCs/>
          <w:i/>
          <w:iCs/>
          <w:sz w:val="22"/>
          <w:szCs w:val="22"/>
        </w:rPr>
        <w:t>Artículo 17. Senda de reducción de pérdidas</w:t>
      </w:r>
      <w:r w:rsidRPr="00196698">
        <w:rPr>
          <w:b w:val="0"/>
          <w:i/>
          <w:iCs/>
          <w:sz w:val="22"/>
          <w:szCs w:val="22"/>
        </w:rPr>
        <w:t>. El índice de pérdidas totales del mercado al inicio del plan, IPT</w:t>
      </w:r>
      <w:r w:rsidRPr="00196698">
        <w:rPr>
          <w:b w:val="0"/>
          <w:i/>
          <w:iCs/>
          <w:sz w:val="22"/>
          <w:szCs w:val="22"/>
          <w:vertAlign w:val="subscript"/>
        </w:rPr>
        <w:t>j,0</w:t>
      </w:r>
      <w:r w:rsidRPr="00196698">
        <w:rPr>
          <w:b w:val="0"/>
          <w:i/>
          <w:iCs/>
          <w:sz w:val="22"/>
          <w:szCs w:val="22"/>
        </w:rPr>
        <w:t>, y e</w:t>
      </w:r>
      <w:r w:rsidRPr="00196698">
        <w:rPr>
          <w:b w:val="0"/>
          <w:bCs/>
          <w:i/>
          <w:iCs/>
          <w:sz w:val="22"/>
          <w:szCs w:val="22"/>
        </w:rPr>
        <w:t xml:space="preserve">l índice de pérdidas totales al final de la senda </w:t>
      </w:r>
      <w:r w:rsidRPr="00196698">
        <w:rPr>
          <w:b w:val="0"/>
          <w:i/>
          <w:iCs/>
          <w:sz w:val="22"/>
          <w:szCs w:val="22"/>
        </w:rPr>
        <w:t xml:space="preserve">son los siguientes: </w:t>
      </w:r>
    </w:p>
    <w:p w14:paraId="642EB3B4" w14:textId="77777777" w:rsidR="004730C9" w:rsidRPr="00B0124E" w:rsidRDefault="004730C9" w:rsidP="004730C9">
      <w:pPr>
        <w:ind w:left="567"/>
        <w:jc w:val="center"/>
        <w:rPr>
          <w:i/>
          <w:iCs/>
          <w:sz w:val="20"/>
          <w:szCs w:val="20"/>
        </w:rPr>
      </w:pPr>
      <w:bookmarkStart w:id="10" w:name="_Ref65588548"/>
      <w:r w:rsidRPr="00B0124E">
        <w:rPr>
          <w:i/>
          <w:iCs/>
          <w:sz w:val="20"/>
          <w:szCs w:val="20"/>
        </w:rPr>
        <w:t xml:space="preserve">Tabla </w:t>
      </w:r>
      <w:bookmarkEnd w:id="10"/>
      <w:r w:rsidRPr="00B0124E">
        <w:rPr>
          <w:i/>
          <w:iCs/>
          <w:sz w:val="20"/>
          <w:szCs w:val="20"/>
        </w:rPr>
        <w:t xml:space="preserve">21 Índices de referencia para la senda de reducción de pérdidas </w:t>
      </w:r>
    </w:p>
    <w:tbl>
      <w:tblPr>
        <w:tblW w:w="3880" w:type="dxa"/>
        <w:jc w:val="center"/>
        <w:tblCellMar>
          <w:left w:w="70" w:type="dxa"/>
          <w:right w:w="70" w:type="dxa"/>
        </w:tblCellMar>
        <w:tblLook w:val="04A0" w:firstRow="1" w:lastRow="0" w:firstColumn="1" w:lastColumn="0" w:noHBand="0" w:noVBand="1"/>
      </w:tblPr>
      <w:tblGrid>
        <w:gridCol w:w="1900"/>
        <w:gridCol w:w="1980"/>
      </w:tblGrid>
      <w:tr w:rsidR="004730C9" w:rsidRPr="00196698" w14:paraId="2ECDEE46" w14:textId="77777777" w:rsidTr="00E92758">
        <w:trPr>
          <w:trHeight w:val="255"/>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B0EAE8" w14:textId="77777777" w:rsidR="004730C9" w:rsidRPr="00196698" w:rsidRDefault="004730C9" w:rsidP="001F4481">
            <w:pPr>
              <w:spacing w:before="0" w:after="0"/>
              <w:jc w:val="center"/>
              <w:rPr>
                <w:rFonts w:cs="Arial"/>
                <w:b/>
                <w:bCs/>
                <w:sz w:val="18"/>
                <w:szCs w:val="18"/>
                <w:lang w:val="es-CO" w:eastAsia="es-CO"/>
              </w:rPr>
            </w:pPr>
            <w:r w:rsidRPr="00196698">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1430CA4F" w14:textId="77777777" w:rsidR="004730C9" w:rsidRPr="00196698" w:rsidRDefault="004730C9" w:rsidP="001F4481">
            <w:pPr>
              <w:spacing w:before="0" w:after="0"/>
              <w:jc w:val="center"/>
              <w:rPr>
                <w:rFonts w:cs="Arial"/>
                <w:b/>
                <w:bCs/>
                <w:sz w:val="18"/>
                <w:szCs w:val="18"/>
                <w:lang w:val="es-CO" w:eastAsia="es-CO"/>
              </w:rPr>
            </w:pPr>
            <w:r w:rsidRPr="00196698">
              <w:rPr>
                <w:rFonts w:cs="Arial"/>
                <w:b/>
                <w:bCs/>
                <w:sz w:val="18"/>
                <w:szCs w:val="18"/>
                <w:lang w:val="es-CO" w:eastAsia="es-CO"/>
              </w:rPr>
              <w:t>Valor</w:t>
            </w:r>
          </w:p>
        </w:tc>
      </w:tr>
      <w:tr w:rsidR="004730C9" w:rsidRPr="00196698" w14:paraId="4225C628" w14:textId="77777777" w:rsidTr="001F4481">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2D3AC866" w14:textId="77777777" w:rsidR="004730C9" w:rsidRPr="00196698" w:rsidRDefault="004730C9" w:rsidP="001F4481">
            <w:pPr>
              <w:spacing w:before="0" w:after="0"/>
              <w:jc w:val="center"/>
              <w:rPr>
                <w:rFonts w:cs="Arial"/>
                <w:i/>
                <w:iCs/>
                <w:sz w:val="18"/>
                <w:szCs w:val="18"/>
                <w:lang w:val="es-CO" w:eastAsia="es-CO"/>
              </w:rPr>
            </w:pPr>
            <w:r w:rsidRPr="00196698">
              <w:rPr>
                <w:rFonts w:cs="Arial"/>
                <w:i/>
                <w:iCs/>
                <w:sz w:val="18"/>
                <w:szCs w:val="18"/>
                <w:lang w:val="es-CO" w:eastAsia="es-CO"/>
              </w:rPr>
              <w:t>IPT</w:t>
            </w:r>
            <w:r w:rsidRPr="00196698">
              <w:rPr>
                <w:rFonts w:cs="Arial"/>
                <w:i/>
                <w:iCs/>
                <w:sz w:val="18"/>
                <w:szCs w:val="18"/>
                <w:vertAlign w:val="subscript"/>
                <w:lang w:val="es-CO" w:eastAsia="es-CO"/>
              </w:rPr>
              <w:t>j,0</w:t>
            </w:r>
          </w:p>
        </w:tc>
        <w:tc>
          <w:tcPr>
            <w:tcW w:w="1980" w:type="dxa"/>
            <w:tcBorders>
              <w:top w:val="nil"/>
              <w:left w:val="nil"/>
              <w:bottom w:val="single" w:sz="4" w:space="0" w:color="auto"/>
              <w:right w:val="single" w:sz="4" w:space="0" w:color="auto"/>
            </w:tcBorders>
            <w:shd w:val="clear" w:color="auto" w:fill="auto"/>
            <w:noWrap/>
            <w:vAlign w:val="center"/>
            <w:hideMark/>
          </w:tcPr>
          <w:p w14:paraId="4326CA25" w14:textId="0EBA405B" w:rsidR="004730C9" w:rsidRPr="00196698" w:rsidRDefault="004730C9" w:rsidP="001F4481">
            <w:pPr>
              <w:spacing w:before="0" w:after="0"/>
              <w:jc w:val="right"/>
              <w:rPr>
                <w:rFonts w:cs="Arial"/>
                <w:sz w:val="18"/>
                <w:szCs w:val="18"/>
                <w:lang w:val="es-CO" w:eastAsia="es-CO"/>
              </w:rPr>
            </w:pPr>
            <w:r w:rsidRPr="00196698">
              <w:rPr>
                <w:rFonts w:cs="Arial"/>
                <w:sz w:val="18"/>
                <w:szCs w:val="18"/>
                <w:lang w:val="es-CO" w:eastAsia="es-CO"/>
              </w:rPr>
              <w:t>2</w:t>
            </w:r>
            <w:r w:rsidR="00776095">
              <w:rPr>
                <w:rFonts w:cs="Arial"/>
                <w:sz w:val="18"/>
                <w:szCs w:val="18"/>
                <w:lang w:val="es-CO" w:eastAsia="es-CO"/>
              </w:rPr>
              <w:t>5</w:t>
            </w:r>
            <w:r w:rsidRPr="00196698">
              <w:rPr>
                <w:rFonts w:cs="Arial"/>
                <w:sz w:val="18"/>
                <w:szCs w:val="18"/>
                <w:lang w:val="es-CO" w:eastAsia="es-CO"/>
              </w:rPr>
              <w:t>,</w:t>
            </w:r>
            <w:r w:rsidR="00776095">
              <w:rPr>
                <w:rFonts w:cs="Arial"/>
                <w:sz w:val="18"/>
                <w:szCs w:val="18"/>
                <w:lang w:val="es-CO" w:eastAsia="es-CO"/>
              </w:rPr>
              <w:t>46</w:t>
            </w:r>
            <w:r w:rsidRPr="00196698">
              <w:rPr>
                <w:rFonts w:cs="Arial"/>
                <w:sz w:val="18"/>
                <w:szCs w:val="18"/>
                <w:lang w:val="es-CO" w:eastAsia="es-CO"/>
              </w:rPr>
              <w:t>%</w:t>
            </w:r>
          </w:p>
        </w:tc>
      </w:tr>
      <w:tr w:rsidR="004730C9" w:rsidRPr="00196698" w14:paraId="1379ACF8" w14:textId="77777777" w:rsidTr="001F4481">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3E2FC8C5" w14:textId="77777777" w:rsidR="004730C9" w:rsidRPr="00196698" w:rsidRDefault="004730C9" w:rsidP="001F4481">
            <w:pPr>
              <w:spacing w:before="0" w:after="0"/>
              <w:jc w:val="center"/>
              <w:rPr>
                <w:rFonts w:cs="Arial"/>
                <w:i/>
                <w:iCs/>
                <w:sz w:val="18"/>
                <w:szCs w:val="18"/>
                <w:lang w:val="es-CO" w:eastAsia="es-CO"/>
              </w:rPr>
            </w:pPr>
            <w:r w:rsidRPr="00196698">
              <w:rPr>
                <w:rFonts w:cs="Arial"/>
                <w:i/>
                <w:iCs/>
                <w:sz w:val="18"/>
                <w:szCs w:val="18"/>
                <w:lang w:val="es-CO" w:eastAsia="es-CO"/>
              </w:rPr>
              <w:t>IPTS</w:t>
            </w:r>
            <w:r w:rsidRPr="00196698">
              <w:rPr>
                <w:rFonts w:cs="Arial"/>
                <w:i/>
                <w:iCs/>
                <w:sz w:val="18"/>
                <w:szCs w:val="18"/>
                <w:vertAlign w:val="subscript"/>
                <w:lang w:val="es-CO" w:eastAsia="es-CO"/>
              </w:rPr>
              <w:t>j,10</w:t>
            </w:r>
          </w:p>
        </w:tc>
        <w:tc>
          <w:tcPr>
            <w:tcW w:w="1980" w:type="dxa"/>
            <w:tcBorders>
              <w:top w:val="nil"/>
              <w:left w:val="nil"/>
              <w:bottom w:val="single" w:sz="4" w:space="0" w:color="auto"/>
              <w:right w:val="single" w:sz="4" w:space="0" w:color="auto"/>
            </w:tcBorders>
            <w:shd w:val="clear" w:color="auto" w:fill="auto"/>
            <w:noWrap/>
            <w:vAlign w:val="center"/>
            <w:hideMark/>
          </w:tcPr>
          <w:p w14:paraId="4A35F80B" w14:textId="61163E7B" w:rsidR="004730C9" w:rsidRPr="00196698" w:rsidRDefault="004730C9" w:rsidP="001F4481">
            <w:pPr>
              <w:spacing w:before="0" w:after="0"/>
              <w:jc w:val="right"/>
              <w:rPr>
                <w:rFonts w:cs="Arial"/>
                <w:sz w:val="18"/>
                <w:szCs w:val="18"/>
                <w:lang w:val="es-CO" w:eastAsia="es-CO"/>
              </w:rPr>
            </w:pPr>
            <w:r w:rsidRPr="00196698">
              <w:rPr>
                <w:rFonts w:cs="Arial"/>
                <w:sz w:val="18"/>
                <w:szCs w:val="18"/>
                <w:lang w:val="es-CO" w:eastAsia="es-CO"/>
              </w:rPr>
              <w:t>1</w:t>
            </w:r>
            <w:r w:rsidR="00776095">
              <w:rPr>
                <w:rFonts w:cs="Arial"/>
                <w:sz w:val="18"/>
                <w:szCs w:val="18"/>
                <w:lang w:val="es-CO" w:eastAsia="es-CO"/>
              </w:rPr>
              <w:t>3</w:t>
            </w:r>
            <w:r w:rsidRPr="00196698">
              <w:rPr>
                <w:rFonts w:cs="Arial"/>
                <w:sz w:val="18"/>
                <w:szCs w:val="18"/>
                <w:lang w:val="es-CO" w:eastAsia="es-CO"/>
              </w:rPr>
              <w:t>.</w:t>
            </w:r>
            <w:r w:rsidR="00776095">
              <w:rPr>
                <w:rFonts w:cs="Arial"/>
                <w:sz w:val="18"/>
                <w:szCs w:val="18"/>
                <w:lang w:val="es-CO" w:eastAsia="es-CO"/>
              </w:rPr>
              <w:t>57</w:t>
            </w:r>
            <w:r w:rsidRPr="00196698">
              <w:rPr>
                <w:rFonts w:cs="Arial"/>
                <w:sz w:val="18"/>
                <w:szCs w:val="18"/>
                <w:lang w:val="es-CO" w:eastAsia="es-CO"/>
              </w:rPr>
              <w:t>%</w:t>
            </w:r>
          </w:p>
        </w:tc>
      </w:tr>
    </w:tbl>
    <w:p w14:paraId="3DED59F2" w14:textId="422DA226" w:rsidR="004730C9" w:rsidRPr="000C23A9" w:rsidRDefault="004730C9" w:rsidP="004730C9">
      <w:pPr>
        <w:pStyle w:val="Artculo"/>
        <w:ind w:left="0"/>
        <w:outlineLvl w:val="2"/>
        <w:rPr>
          <w:b w:val="0"/>
        </w:rPr>
      </w:pPr>
      <w:r>
        <w:t xml:space="preserve">Modificar el artículo 18 de la Resolución </w:t>
      </w:r>
      <w:r w:rsidR="00C86E92">
        <w:t>CREG 025 de 2021</w:t>
      </w:r>
      <w:r>
        <w:t xml:space="preserve">. </w:t>
      </w:r>
      <w:r w:rsidRPr="00A71EA8">
        <w:rPr>
          <w:b w:val="0"/>
        </w:rPr>
        <w:t xml:space="preserve">El artículo </w:t>
      </w:r>
      <w:r>
        <w:rPr>
          <w:b w:val="0"/>
        </w:rPr>
        <w:t>18</w:t>
      </w:r>
      <w:r w:rsidRPr="00A71EA8">
        <w:rPr>
          <w:b w:val="0"/>
        </w:rPr>
        <w:t xml:space="preserve"> de la Resolución </w:t>
      </w:r>
      <w:r w:rsidR="00C86E92">
        <w:rPr>
          <w:b w:val="0"/>
        </w:rPr>
        <w:t>CREG 025 de 2021</w:t>
      </w:r>
      <w:r w:rsidRPr="00A71EA8">
        <w:rPr>
          <w:b w:val="0"/>
        </w:rPr>
        <w:t xml:space="preserve"> quedará así:</w:t>
      </w:r>
    </w:p>
    <w:p w14:paraId="55A06710" w14:textId="77777777" w:rsidR="004730C9" w:rsidRPr="00196698" w:rsidRDefault="004730C9" w:rsidP="00723E6C">
      <w:pPr>
        <w:pStyle w:val="Artculo"/>
        <w:numPr>
          <w:ilvl w:val="0"/>
          <w:numId w:val="0"/>
        </w:numPr>
        <w:spacing w:before="120" w:after="120"/>
        <w:ind w:left="425"/>
        <w:outlineLvl w:val="2"/>
        <w:rPr>
          <w:b w:val="0"/>
          <w:i/>
          <w:iCs/>
          <w:sz w:val="22"/>
          <w:szCs w:val="22"/>
        </w:rPr>
      </w:pPr>
      <w:r w:rsidRPr="00196698">
        <w:rPr>
          <w:i/>
          <w:iCs/>
          <w:sz w:val="22"/>
          <w:szCs w:val="22"/>
        </w:rPr>
        <w:t xml:space="preserve">Artículo 18. Costo anual del plan de gestión de pérdidas. </w:t>
      </w:r>
      <w:r w:rsidRPr="00196698">
        <w:rPr>
          <w:b w:val="0"/>
          <w:i/>
          <w:iCs/>
          <w:sz w:val="22"/>
          <w:szCs w:val="22"/>
        </w:rPr>
        <w:t>El costo anual del plan de gestión de pérdidas, CAP</w:t>
      </w:r>
      <w:r w:rsidRPr="00196698">
        <w:rPr>
          <w:b w:val="0"/>
          <w:i/>
          <w:iCs/>
          <w:sz w:val="22"/>
          <w:szCs w:val="22"/>
          <w:vertAlign w:val="subscript"/>
        </w:rPr>
        <w:t>j</w:t>
      </w:r>
      <w:r w:rsidRPr="00196698">
        <w:rPr>
          <w:b w:val="0"/>
          <w:i/>
          <w:iCs/>
          <w:sz w:val="22"/>
          <w:szCs w:val="22"/>
        </w:rPr>
        <w:t>, es el siguiente:</w:t>
      </w:r>
    </w:p>
    <w:p w14:paraId="059EBBF7" w14:textId="56BD74ED" w:rsidR="004730C9" w:rsidRDefault="004730C9" w:rsidP="004730C9">
      <w:pPr>
        <w:pStyle w:val="Descripcin"/>
        <w:ind w:left="567"/>
        <w:rPr>
          <w:i/>
          <w:iCs/>
          <w:sz w:val="20"/>
          <w:szCs w:val="18"/>
        </w:rPr>
      </w:pPr>
      <w:r w:rsidRPr="00B0124E">
        <w:rPr>
          <w:i/>
          <w:iCs/>
          <w:sz w:val="20"/>
          <w:szCs w:val="18"/>
        </w:rPr>
        <w:t>Tabla 22 Costo anual del plan de gestión de pérdidas</w:t>
      </w:r>
    </w:p>
    <w:tbl>
      <w:tblPr>
        <w:tblW w:w="3580" w:type="dxa"/>
        <w:jc w:val="center"/>
        <w:tblCellMar>
          <w:left w:w="70" w:type="dxa"/>
          <w:right w:w="70" w:type="dxa"/>
        </w:tblCellMar>
        <w:tblLook w:val="04A0" w:firstRow="1" w:lastRow="0" w:firstColumn="1" w:lastColumn="0" w:noHBand="0" w:noVBand="1"/>
      </w:tblPr>
      <w:tblGrid>
        <w:gridCol w:w="1600"/>
        <w:gridCol w:w="1980"/>
      </w:tblGrid>
      <w:tr w:rsidR="00D07691" w:rsidRPr="00D07691" w14:paraId="7F519E81" w14:textId="77777777" w:rsidTr="00E92758">
        <w:trPr>
          <w:trHeight w:val="480"/>
          <w:tblHeader/>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E00197" w14:textId="77777777" w:rsidR="00D07691" w:rsidRPr="00D07691" w:rsidRDefault="00D07691" w:rsidP="00D07691">
            <w:pPr>
              <w:spacing w:before="0" w:after="0"/>
              <w:jc w:val="center"/>
              <w:rPr>
                <w:rFonts w:cs="Arial"/>
                <w:b/>
                <w:bCs/>
                <w:sz w:val="18"/>
                <w:szCs w:val="18"/>
                <w:lang w:val="es-CO" w:eastAsia="es-CO"/>
              </w:rPr>
            </w:pPr>
            <w:r w:rsidRPr="00D07691">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14:paraId="25A9D4B3" w14:textId="77777777" w:rsidR="00D07691" w:rsidRPr="00D07691" w:rsidRDefault="00D07691" w:rsidP="00D07691">
            <w:pPr>
              <w:spacing w:before="0" w:after="0"/>
              <w:jc w:val="center"/>
              <w:rPr>
                <w:rFonts w:cs="Arial"/>
                <w:b/>
                <w:bCs/>
                <w:sz w:val="18"/>
                <w:szCs w:val="18"/>
                <w:lang w:val="es-CO" w:eastAsia="es-CO"/>
              </w:rPr>
            </w:pPr>
            <w:r w:rsidRPr="00D07691">
              <w:rPr>
                <w:rFonts w:cs="Arial"/>
                <w:b/>
                <w:bCs/>
                <w:sz w:val="18"/>
                <w:szCs w:val="18"/>
                <w:lang w:val="es-CO" w:eastAsia="es-CO"/>
              </w:rPr>
              <w:t>Pesos de diciembre de 2017</w:t>
            </w:r>
          </w:p>
        </w:tc>
      </w:tr>
      <w:tr w:rsidR="00D07691" w:rsidRPr="00D07691" w14:paraId="2BE73E35" w14:textId="77777777" w:rsidTr="00D07691">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793AC601" w14:textId="77777777" w:rsidR="00D07691" w:rsidRPr="00D07691" w:rsidRDefault="00D07691" w:rsidP="00D07691">
            <w:pPr>
              <w:spacing w:before="0" w:after="0"/>
              <w:jc w:val="center"/>
              <w:rPr>
                <w:rFonts w:cs="Arial"/>
                <w:i/>
                <w:iCs/>
                <w:sz w:val="18"/>
                <w:szCs w:val="18"/>
                <w:lang w:val="es-CO" w:eastAsia="es-CO"/>
              </w:rPr>
            </w:pPr>
            <w:r w:rsidRPr="00D07691">
              <w:rPr>
                <w:rFonts w:cs="Arial"/>
                <w:i/>
                <w:iCs/>
                <w:sz w:val="18"/>
                <w:szCs w:val="18"/>
                <w:lang w:val="es-CO" w:eastAsia="es-CO"/>
              </w:rPr>
              <w:t>CAP</w:t>
            </w:r>
            <w:r w:rsidRPr="00D07691">
              <w:rPr>
                <w:rFonts w:cs="Arial"/>
                <w:i/>
                <w:iCs/>
                <w:sz w:val="18"/>
                <w:szCs w:val="18"/>
                <w:vertAlign w:val="subscript"/>
                <w:lang w:val="es-CO" w:eastAsia="es-CO"/>
              </w:rPr>
              <w:t>j</w:t>
            </w:r>
          </w:p>
        </w:tc>
        <w:tc>
          <w:tcPr>
            <w:tcW w:w="1980" w:type="dxa"/>
            <w:tcBorders>
              <w:top w:val="nil"/>
              <w:left w:val="nil"/>
              <w:bottom w:val="single" w:sz="4" w:space="0" w:color="auto"/>
              <w:right w:val="single" w:sz="4" w:space="0" w:color="auto"/>
            </w:tcBorders>
            <w:shd w:val="clear" w:color="auto" w:fill="auto"/>
            <w:noWrap/>
            <w:vAlign w:val="center"/>
            <w:hideMark/>
          </w:tcPr>
          <w:p w14:paraId="5ECAFA0A" w14:textId="77777777" w:rsidR="00D07691" w:rsidRPr="00D07691" w:rsidRDefault="00D07691" w:rsidP="00D07691">
            <w:pPr>
              <w:spacing w:before="0" w:after="0"/>
              <w:jc w:val="right"/>
              <w:rPr>
                <w:rFonts w:cs="Arial"/>
                <w:sz w:val="18"/>
                <w:szCs w:val="18"/>
                <w:lang w:val="es-CO" w:eastAsia="es-CO"/>
              </w:rPr>
            </w:pPr>
            <w:r w:rsidRPr="00D07691">
              <w:rPr>
                <w:rFonts w:cs="Arial"/>
                <w:sz w:val="18"/>
                <w:szCs w:val="18"/>
                <w:lang w:val="es-CO" w:eastAsia="es-CO"/>
              </w:rPr>
              <w:t>90.911.753.943</w:t>
            </w:r>
          </w:p>
        </w:tc>
      </w:tr>
    </w:tbl>
    <w:p w14:paraId="178F0F8C" w14:textId="2F6FA53E" w:rsidR="004730C9" w:rsidRPr="000C23A9" w:rsidRDefault="004730C9" w:rsidP="004730C9">
      <w:pPr>
        <w:pStyle w:val="Artculo"/>
        <w:ind w:left="0"/>
        <w:outlineLvl w:val="2"/>
        <w:rPr>
          <w:b w:val="0"/>
        </w:rPr>
      </w:pPr>
      <w:r>
        <w:t xml:space="preserve">Modificar el artículo 19 de la Resolución </w:t>
      </w:r>
      <w:r w:rsidR="00C86E92">
        <w:t>CREG 025 de 2021</w:t>
      </w:r>
      <w:r>
        <w:t xml:space="preserve">. </w:t>
      </w:r>
      <w:r w:rsidRPr="00A71EA8">
        <w:rPr>
          <w:b w:val="0"/>
        </w:rPr>
        <w:t xml:space="preserve">El artículo </w:t>
      </w:r>
      <w:r>
        <w:rPr>
          <w:b w:val="0"/>
        </w:rPr>
        <w:t>19</w:t>
      </w:r>
      <w:r w:rsidRPr="00A71EA8">
        <w:rPr>
          <w:b w:val="0"/>
        </w:rPr>
        <w:t xml:space="preserve"> de la Resolución </w:t>
      </w:r>
      <w:r w:rsidR="00C86E92">
        <w:rPr>
          <w:b w:val="0"/>
        </w:rPr>
        <w:t>CREG 025 de 2021</w:t>
      </w:r>
      <w:r w:rsidRPr="00A71EA8">
        <w:rPr>
          <w:b w:val="0"/>
        </w:rPr>
        <w:t xml:space="preserve"> quedará así:</w:t>
      </w:r>
    </w:p>
    <w:p w14:paraId="6654321E" w14:textId="77777777" w:rsidR="004730C9" w:rsidRPr="00196698" w:rsidRDefault="004730C9" w:rsidP="00723E6C">
      <w:pPr>
        <w:pStyle w:val="Artculo"/>
        <w:numPr>
          <w:ilvl w:val="0"/>
          <w:numId w:val="0"/>
        </w:numPr>
        <w:spacing w:before="120" w:after="120"/>
        <w:ind w:left="425"/>
        <w:outlineLvl w:val="2"/>
        <w:rPr>
          <w:b w:val="0"/>
          <w:i/>
          <w:iCs/>
          <w:sz w:val="22"/>
          <w:szCs w:val="22"/>
        </w:rPr>
      </w:pPr>
      <w:r w:rsidRPr="00196698">
        <w:rPr>
          <w:i/>
          <w:iCs/>
          <w:sz w:val="22"/>
          <w:szCs w:val="22"/>
        </w:rPr>
        <w:t xml:space="preserve">Artículo 19 Costo de las inversiones en activos que no son clasificables como UC. </w:t>
      </w:r>
      <w:r w:rsidRPr="00196698">
        <w:rPr>
          <w:b w:val="0"/>
          <w:i/>
          <w:iCs/>
          <w:sz w:val="22"/>
          <w:szCs w:val="22"/>
        </w:rPr>
        <w:t>El costo de las inversiones en activos que no son clasificables como unidades constructivas, INVNUC</w:t>
      </w:r>
      <w:r w:rsidRPr="00196698">
        <w:rPr>
          <w:b w:val="0"/>
          <w:i/>
          <w:iCs/>
          <w:sz w:val="22"/>
          <w:szCs w:val="22"/>
          <w:vertAlign w:val="subscript"/>
        </w:rPr>
        <w:t>j</w:t>
      </w:r>
      <w:r w:rsidRPr="00196698">
        <w:rPr>
          <w:b w:val="0"/>
          <w:i/>
          <w:iCs/>
          <w:sz w:val="22"/>
          <w:szCs w:val="22"/>
        </w:rPr>
        <w:t>, es el siguiente:</w:t>
      </w:r>
    </w:p>
    <w:p w14:paraId="471394F2" w14:textId="04E8EFA9" w:rsidR="004730C9" w:rsidRDefault="004730C9" w:rsidP="004730C9">
      <w:pPr>
        <w:pStyle w:val="Descripcin"/>
        <w:ind w:left="567"/>
        <w:rPr>
          <w:i/>
          <w:iCs/>
          <w:sz w:val="20"/>
          <w:szCs w:val="18"/>
        </w:rPr>
      </w:pPr>
      <w:r w:rsidRPr="00196698">
        <w:rPr>
          <w:i/>
          <w:iCs/>
          <w:sz w:val="20"/>
          <w:szCs w:val="18"/>
        </w:rPr>
        <w:t>Tabla 23 Costo de inversiones en activos no clasificables como UC</w:t>
      </w:r>
    </w:p>
    <w:tbl>
      <w:tblPr>
        <w:tblW w:w="3580" w:type="dxa"/>
        <w:jc w:val="center"/>
        <w:tblCellMar>
          <w:left w:w="70" w:type="dxa"/>
          <w:right w:w="70" w:type="dxa"/>
        </w:tblCellMar>
        <w:tblLook w:val="04A0" w:firstRow="1" w:lastRow="0" w:firstColumn="1" w:lastColumn="0" w:noHBand="0" w:noVBand="1"/>
      </w:tblPr>
      <w:tblGrid>
        <w:gridCol w:w="1600"/>
        <w:gridCol w:w="1980"/>
      </w:tblGrid>
      <w:tr w:rsidR="00D07691" w:rsidRPr="00D07691" w14:paraId="09B11717" w14:textId="77777777" w:rsidTr="00D07691">
        <w:trPr>
          <w:trHeight w:val="480"/>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2E375" w14:textId="77777777" w:rsidR="00D07691" w:rsidRPr="00D07691" w:rsidRDefault="00D07691" w:rsidP="00D07691">
            <w:pPr>
              <w:spacing w:before="0" w:after="0"/>
              <w:jc w:val="center"/>
              <w:rPr>
                <w:rFonts w:cs="Arial"/>
                <w:b/>
                <w:bCs/>
                <w:sz w:val="18"/>
                <w:szCs w:val="18"/>
                <w:lang w:val="es-CO" w:eastAsia="es-CO"/>
              </w:rPr>
            </w:pPr>
            <w:r w:rsidRPr="00D07691">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14:paraId="49FCFE35" w14:textId="77777777" w:rsidR="00D07691" w:rsidRPr="00D07691" w:rsidRDefault="00D07691" w:rsidP="00D07691">
            <w:pPr>
              <w:spacing w:before="0" w:after="0"/>
              <w:jc w:val="center"/>
              <w:rPr>
                <w:rFonts w:cs="Arial"/>
                <w:b/>
                <w:bCs/>
                <w:sz w:val="18"/>
                <w:szCs w:val="18"/>
                <w:lang w:val="es-CO" w:eastAsia="es-CO"/>
              </w:rPr>
            </w:pPr>
            <w:r w:rsidRPr="00D07691">
              <w:rPr>
                <w:rFonts w:cs="Arial"/>
                <w:b/>
                <w:bCs/>
                <w:sz w:val="18"/>
                <w:szCs w:val="18"/>
                <w:lang w:val="es-CO" w:eastAsia="es-CO"/>
              </w:rPr>
              <w:t>Pesos de diciembre de 2017</w:t>
            </w:r>
          </w:p>
        </w:tc>
      </w:tr>
      <w:tr w:rsidR="00D07691" w:rsidRPr="00D07691" w14:paraId="1A9E614B" w14:textId="77777777" w:rsidTr="00D07691">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69CF8D0B" w14:textId="77777777" w:rsidR="00D07691" w:rsidRPr="00D07691" w:rsidRDefault="00D07691" w:rsidP="00D07691">
            <w:pPr>
              <w:spacing w:before="0" w:after="0"/>
              <w:jc w:val="center"/>
              <w:rPr>
                <w:rFonts w:cs="Arial"/>
                <w:i/>
                <w:iCs/>
                <w:sz w:val="18"/>
                <w:szCs w:val="18"/>
                <w:lang w:val="es-CO" w:eastAsia="es-CO"/>
              </w:rPr>
            </w:pPr>
            <w:r w:rsidRPr="00D07691">
              <w:rPr>
                <w:rFonts w:cs="Arial"/>
                <w:i/>
                <w:iCs/>
                <w:sz w:val="18"/>
                <w:szCs w:val="18"/>
                <w:lang w:val="es-CO" w:eastAsia="es-CO"/>
              </w:rPr>
              <w:t>INVNUC</w:t>
            </w:r>
            <w:r w:rsidRPr="00D07691">
              <w:rPr>
                <w:rFonts w:cs="Arial"/>
                <w:i/>
                <w:iCs/>
                <w:sz w:val="18"/>
                <w:szCs w:val="18"/>
                <w:vertAlign w:val="subscript"/>
                <w:lang w:val="es-CO" w:eastAsia="es-CO"/>
              </w:rPr>
              <w:t>j</w:t>
            </w:r>
          </w:p>
        </w:tc>
        <w:tc>
          <w:tcPr>
            <w:tcW w:w="1980" w:type="dxa"/>
            <w:tcBorders>
              <w:top w:val="nil"/>
              <w:left w:val="nil"/>
              <w:bottom w:val="single" w:sz="4" w:space="0" w:color="auto"/>
              <w:right w:val="single" w:sz="4" w:space="0" w:color="auto"/>
            </w:tcBorders>
            <w:shd w:val="clear" w:color="auto" w:fill="auto"/>
            <w:noWrap/>
            <w:vAlign w:val="center"/>
            <w:hideMark/>
          </w:tcPr>
          <w:p w14:paraId="5A62C7F8" w14:textId="77777777" w:rsidR="00D07691" w:rsidRPr="00D07691" w:rsidRDefault="00D07691" w:rsidP="00D07691">
            <w:pPr>
              <w:spacing w:before="0" w:after="0"/>
              <w:jc w:val="right"/>
              <w:rPr>
                <w:rFonts w:cs="Arial"/>
                <w:sz w:val="18"/>
                <w:szCs w:val="18"/>
                <w:lang w:val="es-CO" w:eastAsia="es-CO"/>
              </w:rPr>
            </w:pPr>
            <w:r w:rsidRPr="00D07691">
              <w:rPr>
                <w:rFonts w:cs="Arial"/>
                <w:sz w:val="18"/>
                <w:szCs w:val="18"/>
                <w:lang w:val="es-CO" w:eastAsia="es-CO"/>
              </w:rPr>
              <w:t>582.107.909.812</w:t>
            </w:r>
          </w:p>
        </w:tc>
      </w:tr>
    </w:tbl>
    <w:p w14:paraId="56DD0E64" w14:textId="420AC572" w:rsidR="00793FA6" w:rsidRPr="0019345E" w:rsidRDefault="00F91043" w:rsidP="00C86023">
      <w:pPr>
        <w:pStyle w:val="Artculo"/>
        <w:ind w:left="0"/>
        <w:rPr>
          <w:b w:val="0"/>
        </w:rPr>
      </w:pPr>
      <w:r w:rsidRPr="0019345E">
        <w:rPr>
          <w:b w:val="0"/>
        </w:rPr>
        <w:t xml:space="preserve">La presente </w:t>
      </w:r>
      <w:r w:rsidR="00860944">
        <w:rPr>
          <w:b w:val="0"/>
        </w:rPr>
        <w:t>r</w:t>
      </w:r>
      <w:r w:rsidRPr="0019345E">
        <w:rPr>
          <w:b w:val="0"/>
        </w:rPr>
        <w:t>esolución deberá notificarse a</w:t>
      </w:r>
      <w:r w:rsidR="00DA6916">
        <w:rPr>
          <w:b w:val="0"/>
        </w:rPr>
        <w:t>l representante legal de</w:t>
      </w:r>
      <w:r w:rsidRPr="0019345E">
        <w:rPr>
          <w:b w:val="0"/>
        </w:rPr>
        <w:t xml:space="preserve"> </w:t>
      </w:r>
      <w:r w:rsidR="0019461B" w:rsidRPr="0019461B">
        <w:rPr>
          <w:b w:val="0"/>
          <w:bCs/>
        </w:rPr>
        <w:t xml:space="preserve">la </w:t>
      </w:r>
      <w:r w:rsidR="00860944">
        <w:rPr>
          <w:b w:val="0"/>
          <w:bCs/>
        </w:rPr>
        <w:t xml:space="preserve">empresa </w:t>
      </w:r>
      <w:r w:rsidR="008B69FE" w:rsidRPr="008B69FE">
        <w:rPr>
          <w:b w:val="0"/>
          <w:bCs/>
        </w:rPr>
        <w:t xml:space="preserve">CARIBEMAR DE LA COSTA S.A.S. E.S.P. </w:t>
      </w:r>
      <w:r w:rsidRPr="0019345E">
        <w:rPr>
          <w:b w:val="0"/>
        </w:rPr>
        <w:t xml:space="preserve"> y publicarse en el </w:t>
      </w:r>
      <w:r w:rsidRPr="0019345E">
        <w:rPr>
          <w:b w:val="0"/>
          <w:i/>
        </w:rPr>
        <w:t>Diario Oficial</w:t>
      </w:r>
      <w:r w:rsidRPr="0019345E">
        <w:rPr>
          <w:b w:val="0"/>
        </w:rPr>
        <w:t xml:space="preserve">. </w:t>
      </w:r>
      <w:r w:rsidR="00DB77DF" w:rsidRPr="0019345E">
        <w:rPr>
          <w:b w:val="0"/>
        </w:rPr>
        <w:t xml:space="preserve">Contra lo dispuesto en este acto no procede </w:t>
      </w:r>
      <w:r w:rsidR="00DB77DF" w:rsidRPr="0019345E">
        <w:rPr>
          <w:b w:val="0"/>
          <w:bCs/>
          <w:lang w:val="es-CO"/>
        </w:rPr>
        <w:t>recurso alguno, toda vez que se entienden agotados todos los recursos que por ley son obligatorios.</w:t>
      </w:r>
    </w:p>
    <w:p w14:paraId="509827C2" w14:textId="5B504651" w:rsidR="001067D3" w:rsidRPr="00BF69C9" w:rsidRDefault="00585CF8" w:rsidP="008B69FE">
      <w:pPr>
        <w:pStyle w:val="Artculo"/>
        <w:numPr>
          <w:ilvl w:val="0"/>
          <w:numId w:val="0"/>
        </w:numPr>
        <w:spacing w:before="480" w:after="480"/>
        <w:jc w:val="center"/>
        <w:rPr>
          <w:b w:val="0"/>
        </w:rPr>
      </w:pPr>
      <w:r>
        <w:t>NOTIF</w:t>
      </w:r>
      <w:r w:rsidR="00157B49">
        <w:t>Í</w:t>
      </w:r>
      <w:r>
        <w:t xml:space="preserve">QUESE, </w:t>
      </w:r>
      <w:r w:rsidR="001067D3" w:rsidRPr="00BF69C9">
        <w:t>PUBLÍQUESE Y CÚMPLASE</w:t>
      </w:r>
    </w:p>
    <w:p w14:paraId="6AA84D0C" w14:textId="70DF6E79" w:rsidR="007C127E" w:rsidRPr="006D1CB3" w:rsidRDefault="003343FE" w:rsidP="00344B9B">
      <w:pPr>
        <w:spacing w:before="240"/>
        <w:rPr>
          <w:b/>
          <w:bCs/>
        </w:rPr>
      </w:pPr>
      <w:r w:rsidRPr="00BF69C9">
        <w:t xml:space="preserve">Dado en Bogotá D.C., </w:t>
      </w:r>
      <w:r w:rsidR="006D1CB3" w:rsidRPr="006D1CB3">
        <w:rPr>
          <w:b/>
          <w:bCs/>
        </w:rPr>
        <w:t>24 JUN. 2021</w:t>
      </w:r>
    </w:p>
    <w:p w14:paraId="55A0C0EA" w14:textId="6052E21B" w:rsidR="003343FE" w:rsidRDefault="003343FE" w:rsidP="007C127E"/>
    <w:p w14:paraId="66B922DD" w14:textId="27E8395B" w:rsidR="0019461B" w:rsidRDefault="0019461B" w:rsidP="007C127E"/>
    <w:p w14:paraId="12ED1CEC" w14:textId="77777777" w:rsidR="00D62571" w:rsidRDefault="00D62571" w:rsidP="007C127E"/>
    <w:tbl>
      <w:tblPr>
        <w:tblW w:w="9356" w:type="dxa"/>
        <w:jc w:val="center"/>
        <w:tblCellSpacing w:w="0" w:type="dxa"/>
        <w:tblCellMar>
          <w:left w:w="0" w:type="dxa"/>
          <w:right w:w="0" w:type="dxa"/>
        </w:tblCellMar>
        <w:tblLook w:val="04A0" w:firstRow="1" w:lastRow="0" w:firstColumn="1" w:lastColumn="0" w:noHBand="0" w:noVBand="1"/>
      </w:tblPr>
      <w:tblGrid>
        <w:gridCol w:w="4395"/>
        <w:gridCol w:w="4961"/>
      </w:tblGrid>
      <w:tr w:rsidR="00950BFC" w:rsidRPr="00BF69C9" w14:paraId="0364671F" w14:textId="77777777" w:rsidTr="008E2080">
        <w:trPr>
          <w:tblCellSpacing w:w="0" w:type="dxa"/>
          <w:jc w:val="center"/>
        </w:trPr>
        <w:tc>
          <w:tcPr>
            <w:tcW w:w="4395" w:type="dxa"/>
          </w:tcPr>
          <w:p w14:paraId="65DE2AD7" w14:textId="2995A5D7" w:rsidR="00950BFC" w:rsidRPr="00BF69C9" w:rsidRDefault="00BA3D71" w:rsidP="00894B89">
            <w:pPr>
              <w:spacing w:before="0" w:after="0"/>
              <w:ind w:left="66"/>
              <w:jc w:val="center"/>
              <w:rPr>
                <w:rFonts w:cs="Arial"/>
                <w:b/>
              </w:rPr>
            </w:pPr>
            <w:r>
              <w:rPr>
                <w:rFonts w:cs="Arial"/>
                <w:b/>
              </w:rPr>
              <w:t>MIGUEL LOTERO ROBLEDO</w:t>
            </w:r>
          </w:p>
        </w:tc>
        <w:tc>
          <w:tcPr>
            <w:tcW w:w="4961" w:type="dxa"/>
          </w:tcPr>
          <w:p w14:paraId="171E6063" w14:textId="273E75A1" w:rsidR="00950BFC" w:rsidRPr="00BF69C9" w:rsidRDefault="00586135" w:rsidP="00DE7B7E">
            <w:pPr>
              <w:spacing w:before="0" w:after="0"/>
              <w:ind w:left="69"/>
              <w:jc w:val="center"/>
              <w:rPr>
                <w:rFonts w:cs="Arial"/>
                <w:b/>
              </w:rPr>
            </w:pPr>
            <w:r>
              <w:rPr>
                <w:rFonts w:cs="Arial"/>
                <w:b/>
              </w:rPr>
              <w:t xml:space="preserve">JORGE </w:t>
            </w:r>
            <w:r w:rsidR="008E2080">
              <w:rPr>
                <w:rFonts w:cs="Arial"/>
                <w:b/>
              </w:rPr>
              <w:t xml:space="preserve">ALBERTO </w:t>
            </w:r>
            <w:r>
              <w:rPr>
                <w:rFonts w:cs="Arial"/>
                <w:b/>
              </w:rPr>
              <w:t>VALENCIA MARÍN</w:t>
            </w:r>
          </w:p>
        </w:tc>
      </w:tr>
      <w:tr w:rsidR="00950BFC" w:rsidRPr="00BF69C9" w14:paraId="2768DC86" w14:textId="77777777" w:rsidTr="008E2080">
        <w:trPr>
          <w:tblCellSpacing w:w="0" w:type="dxa"/>
          <w:jc w:val="center"/>
        </w:trPr>
        <w:tc>
          <w:tcPr>
            <w:tcW w:w="4395" w:type="dxa"/>
            <w:hideMark/>
          </w:tcPr>
          <w:p w14:paraId="3DD4C9BB" w14:textId="71676DB2" w:rsidR="00950BFC" w:rsidRPr="00BF69C9" w:rsidRDefault="00BA3D71" w:rsidP="00894B89">
            <w:pPr>
              <w:spacing w:before="0" w:after="0"/>
              <w:ind w:left="66"/>
              <w:jc w:val="center"/>
              <w:rPr>
                <w:rFonts w:eastAsia="Arial Unicode MS" w:cs="Arial"/>
                <w:color w:val="000000"/>
              </w:rPr>
            </w:pPr>
            <w:r>
              <w:rPr>
                <w:rFonts w:cs="Arial"/>
              </w:rPr>
              <w:t>Vicem</w:t>
            </w:r>
            <w:r w:rsidR="00950BFC" w:rsidRPr="00BF69C9">
              <w:rPr>
                <w:rFonts w:cs="Arial"/>
              </w:rPr>
              <w:t>inistr</w:t>
            </w:r>
            <w:r w:rsidR="00D85092">
              <w:rPr>
                <w:rFonts w:cs="Arial"/>
              </w:rPr>
              <w:t>o</w:t>
            </w:r>
            <w:r w:rsidR="00950BFC" w:rsidRPr="00BF69C9">
              <w:rPr>
                <w:rFonts w:cs="Arial"/>
              </w:rPr>
              <w:t xml:space="preserve"> de </w:t>
            </w:r>
            <w:r w:rsidR="00D62571">
              <w:rPr>
                <w:rFonts w:cs="Arial"/>
              </w:rPr>
              <w:t>E</w:t>
            </w:r>
            <w:r>
              <w:rPr>
                <w:rFonts w:cs="Arial"/>
              </w:rPr>
              <w:t xml:space="preserve">nergía, </w:t>
            </w:r>
            <w:r w:rsidR="000364AC">
              <w:rPr>
                <w:rFonts w:cs="Arial"/>
              </w:rPr>
              <w:t xml:space="preserve">delegado del Ministro de </w:t>
            </w:r>
            <w:r w:rsidR="00950BFC" w:rsidRPr="00BF69C9">
              <w:rPr>
                <w:rFonts w:cs="Arial"/>
              </w:rPr>
              <w:t>Minas y Energía</w:t>
            </w:r>
          </w:p>
        </w:tc>
        <w:tc>
          <w:tcPr>
            <w:tcW w:w="4961" w:type="dxa"/>
            <w:hideMark/>
          </w:tcPr>
          <w:p w14:paraId="274BF0FD" w14:textId="77777777" w:rsidR="00950BFC" w:rsidRPr="00BF69C9" w:rsidRDefault="00950BFC" w:rsidP="004237FF">
            <w:pPr>
              <w:spacing w:before="0" w:after="0"/>
              <w:jc w:val="center"/>
              <w:rPr>
                <w:rFonts w:eastAsia="Arial Unicode MS" w:cs="Arial"/>
                <w:color w:val="000000"/>
              </w:rPr>
            </w:pPr>
            <w:r w:rsidRPr="00BF69C9">
              <w:rPr>
                <w:rFonts w:cs="Arial"/>
              </w:rPr>
              <w:t xml:space="preserve">Director </w:t>
            </w:r>
            <w:r w:rsidR="004237FF" w:rsidRPr="00BF69C9">
              <w:rPr>
                <w:rFonts w:cs="Arial"/>
              </w:rPr>
              <w:t xml:space="preserve">Ejecutivo </w:t>
            </w:r>
          </w:p>
        </w:tc>
      </w:tr>
      <w:tr w:rsidR="00950BFC" w:rsidRPr="00CF2A2D" w14:paraId="027EDF92" w14:textId="77777777" w:rsidTr="008E2080">
        <w:trPr>
          <w:tblCellSpacing w:w="0" w:type="dxa"/>
          <w:jc w:val="center"/>
        </w:trPr>
        <w:tc>
          <w:tcPr>
            <w:tcW w:w="4395" w:type="dxa"/>
            <w:hideMark/>
          </w:tcPr>
          <w:p w14:paraId="7CE0C682" w14:textId="77777777" w:rsidR="00950BFC" w:rsidRPr="00CF2A2D" w:rsidRDefault="00950BFC" w:rsidP="00894B89">
            <w:pPr>
              <w:spacing w:before="0" w:after="0"/>
              <w:ind w:left="66"/>
              <w:jc w:val="center"/>
              <w:rPr>
                <w:rFonts w:eastAsia="Arial Unicode MS" w:cs="Arial"/>
                <w:color w:val="000000"/>
              </w:rPr>
            </w:pPr>
            <w:r w:rsidRPr="00BF69C9">
              <w:rPr>
                <w:rFonts w:cs="Arial"/>
              </w:rPr>
              <w:t>Presidente</w:t>
            </w:r>
          </w:p>
        </w:tc>
        <w:tc>
          <w:tcPr>
            <w:tcW w:w="4961" w:type="dxa"/>
          </w:tcPr>
          <w:p w14:paraId="562C7484" w14:textId="77777777" w:rsidR="00950BFC" w:rsidRPr="00CF2A2D" w:rsidRDefault="00950BFC" w:rsidP="00894B89">
            <w:pPr>
              <w:spacing w:before="0" w:after="0"/>
              <w:jc w:val="center"/>
              <w:rPr>
                <w:rFonts w:eastAsia="Arial Unicode MS" w:cs="Arial"/>
                <w:color w:val="000000"/>
              </w:rPr>
            </w:pPr>
          </w:p>
        </w:tc>
      </w:tr>
    </w:tbl>
    <w:p w14:paraId="5853A1EE" w14:textId="77777777" w:rsidR="00950BFC" w:rsidRPr="00CF2A2D" w:rsidRDefault="00950BFC" w:rsidP="00847A87">
      <w:pPr>
        <w:spacing w:before="0" w:after="0"/>
        <w:rPr>
          <w:b/>
        </w:rPr>
      </w:pPr>
    </w:p>
    <w:sectPr w:rsidR="00950BFC" w:rsidRPr="00CF2A2D" w:rsidSect="00C17D3E">
      <w:headerReference w:type="default" r:id="rId11"/>
      <w:headerReference w:type="first" r:id="rId12"/>
      <w:type w:val="continuous"/>
      <w:pgSz w:w="12242" w:h="18722" w:code="123"/>
      <w:pgMar w:top="2408" w:right="1185"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6665D" w14:textId="77777777" w:rsidR="008A4F3A" w:rsidRDefault="008A4F3A">
      <w:r>
        <w:separator/>
      </w:r>
    </w:p>
    <w:p w14:paraId="4871D1B4" w14:textId="77777777" w:rsidR="008A4F3A" w:rsidRDefault="008A4F3A"/>
    <w:p w14:paraId="5186D103" w14:textId="77777777" w:rsidR="008A4F3A" w:rsidRDefault="008A4F3A" w:rsidP="00C851C0"/>
  </w:endnote>
  <w:endnote w:type="continuationSeparator" w:id="0">
    <w:p w14:paraId="652EB1B4" w14:textId="77777777" w:rsidR="008A4F3A" w:rsidRDefault="008A4F3A">
      <w:r>
        <w:continuationSeparator/>
      </w:r>
    </w:p>
    <w:p w14:paraId="4B64422C" w14:textId="77777777" w:rsidR="008A4F3A" w:rsidRDefault="008A4F3A"/>
    <w:p w14:paraId="604B6E85" w14:textId="77777777" w:rsidR="008A4F3A" w:rsidRDefault="008A4F3A"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8B090" w14:textId="77777777" w:rsidR="008A4F3A" w:rsidRDefault="008A4F3A">
      <w:r>
        <w:separator/>
      </w:r>
    </w:p>
    <w:p w14:paraId="293A3D42" w14:textId="77777777" w:rsidR="008A4F3A" w:rsidRDefault="008A4F3A"/>
    <w:p w14:paraId="3A4CE89D" w14:textId="77777777" w:rsidR="008A4F3A" w:rsidRDefault="008A4F3A" w:rsidP="00C851C0"/>
  </w:footnote>
  <w:footnote w:type="continuationSeparator" w:id="0">
    <w:p w14:paraId="0427015A" w14:textId="77777777" w:rsidR="008A4F3A" w:rsidRDefault="008A4F3A">
      <w:r>
        <w:continuationSeparator/>
      </w:r>
    </w:p>
    <w:p w14:paraId="676B8A8C" w14:textId="77777777" w:rsidR="008A4F3A" w:rsidRDefault="008A4F3A"/>
    <w:p w14:paraId="23AF072F" w14:textId="77777777" w:rsidR="008A4F3A" w:rsidRDefault="008A4F3A"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D277" w14:textId="3EE12F1B" w:rsidR="00566C12" w:rsidRPr="002560C5" w:rsidRDefault="00566C12"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No. </w:t>
    </w:r>
    <w:r w:rsidRPr="006D1CB3">
      <w:rPr>
        <w:rFonts w:cs="Arial"/>
        <w:bCs/>
        <w:szCs w:val="24"/>
        <w:u w:val="single"/>
      </w:rPr>
      <w:t xml:space="preserve"> </w:t>
    </w:r>
    <w:r w:rsidR="006D1CB3" w:rsidRPr="006D1CB3">
      <w:rPr>
        <w:rFonts w:cs="Arial"/>
        <w:bCs/>
        <w:szCs w:val="24"/>
        <w:u w:val="single"/>
      </w:rPr>
      <w:t>079</w:t>
    </w:r>
    <w:r w:rsidR="006D1CB3">
      <w:rPr>
        <w:rFonts w:cs="Arial"/>
        <w:b w:val="0"/>
        <w:sz w:val="22"/>
        <w:szCs w:val="22"/>
      </w:rPr>
      <w:t xml:space="preserve"> </w:t>
    </w:r>
    <w:r w:rsidRPr="002560C5">
      <w:rPr>
        <w:rFonts w:cs="Arial"/>
        <w:b w:val="0"/>
        <w:sz w:val="22"/>
        <w:szCs w:val="22"/>
      </w:rPr>
      <w:tab/>
      <w:t xml:space="preserve">DE </w:t>
    </w:r>
    <w:r w:rsidR="006D1CB3" w:rsidRPr="006D1CB3">
      <w:rPr>
        <w:rFonts w:cs="Arial"/>
        <w:bCs/>
        <w:szCs w:val="24"/>
        <w:u w:val="single"/>
      </w:rPr>
      <w:t>24 JUN. 2021</w:t>
    </w:r>
    <w:r w:rsidR="006D1CB3">
      <w:rPr>
        <w:rFonts w:cs="Arial"/>
        <w:b w:val="0"/>
        <w:sz w:val="22"/>
        <w:szCs w:val="22"/>
      </w:rPr>
      <w:t xml:space="preserve">     </w:t>
    </w:r>
    <w:r w:rsidRPr="002560C5">
      <w:rPr>
        <w:rFonts w:cs="Arial"/>
        <w:b w:val="0"/>
        <w:sz w:val="22"/>
        <w:szCs w:val="22"/>
      </w:rPr>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2</w:t>
    </w:r>
    <w:r w:rsidRPr="002560C5">
      <w:rPr>
        <w:rFonts w:cs="Arial"/>
        <w:b w:val="0"/>
        <w:sz w:val="22"/>
        <w:szCs w:val="22"/>
      </w:rPr>
      <w:fldChar w:fldCharType="end"/>
    </w:r>
    <w:r w:rsidRPr="002560C5">
      <w:rPr>
        <w:rFonts w:cs="Arial"/>
        <w:b w:val="0"/>
        <w:sz w:val="22"/>
        <w:szCs w:val="22"/>
      </w:rPr>
      <w:t>/</w:t>
    </w:r>
    <w:r w:rsidR="00BB77CD">
      <w:fldChar w:fldCharType="begin"/>
    </w:r>
    <w:r w:rsidR="00BB77CD">
      <w:instrText xml:space="preserve"> NUMPAGES  \* MERGEFORMAT </w:instrText>
    </w:r>
    <w:r w:rsidR="00BB77CD">
      <w:fldChar w:fldCharType="separate"/>
    </w:r>
    <w:r w:rsidRPr="005851B8">
      <w:rPr>
        <w:rFonts w:cs="Arial"/>
        <w:b w:val="0"/>
        <w:noProof/>
        <w:sz w:val="22"/>
        <w:szCs w:val="22"/>
      </w:rPr>
      <w:t>14</w:t>
    </w:r>
    <w:r w:rsidR="00BB77CD">
      <w:rPr>
        <w:rFonts w:cs="Arial"/>
        <w:b w:val="0"/>
        <w:noProof/>
        <w:sz w:val="22"/>
        <w:szCs w:val="22"/>
      </w:rPr>
      <w:fldChar w:fldCharType="end"/>
    </w:r>
  </w:p>
  <w:p w14:paraId="5EEBDD92" w14:textId="77777777" w:rsidR="00566C12" w:rsidRDefault="00566C12"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00F492FC" wp14:editId="4CD2CD71">
              <wp:simplePos x="0" y="0"/>
              <wp:positionH relativeFrom="column">
                <wp:posOffset>-118110</wp:posOffset>
              </wp:positionH>
              <wp:positionV relativeFrom="paragraph">
                <wp:posOffset>138429</wp:posOffset>
              </wp:positionV>
              <wp:extent cx="6267450" cy="10258425"/>
              <wp:effectExtent l="0" t="0" r="19050" b="2857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2584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1F1A7" id="Rectangle 1" o:spid="_x0000_s1026" style="position:absolute;margin-left:-9.3pt;margin-top:10.9pt;width:493.5pt;height:80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" filled="f" strokeweight="1.5pt"/>
          </w:pict>
        </mc:Fallback>
      </mc:AlternateContent>
    </w:r>
  </w:p>
  <w:p w14:paraId="19A008AD" w14:textId="3325A4AF" w:rsidR="00566C12" w:rsidRPr="00F30572" w:rsidRDefault="00FE775A" w:rsidP="00FE775A">
    <w:pPr>
      <w:pBdr>
        <w:bottom w:val="single" w:sz="4" w:space="1" w:color="auto"/>
      </w:pBdr>
      <w:rPr>
        <w:sz w:val="22"/>
        <w:szCs w:val="22"/>
      </w:rPr>
    </w:pPr>
    <w:r w:rsidRPr="00FE775A">
      <w:rPr>
        <w:sz w:val="22"/>
        <w:szCs w:val="22"/>
      </w:rPr>
      <w:t>Por la cual se resuelve el recurso de reposición interpuesto por CARIBEMAR DE LA COSTA S.A.S. E.S.P. contra la Resolución CREG 025 de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2E89" w14:textId="77777777" w:rsidR="00566C12" w:rsidRDefault="00566C12" w:rsidP="000B7990">
    <w:pPr>
      <w:pStyle w:val="Encabezado"/>
      <w:jc w:val="center"/>
      <w:rPr>
        <w:rFonts w:ascii="Arial" w:hAnsi="Arial" w:cs="Arial"/>
        <w:spacing w:val="20"/>
        <w:sz w:val="20"/>
      </w:rPr>
    </w:pPr>
    <w:r>
      <w:rPr>
        <w:rFonts w:ascii="Arial" w:hAnsi="Arial" w:cs="Arial"/>
        <w:spacing w:val="20"/>
        <w:sz w:val="20"/>
      </w:rPr>
      <w:t>República de Colombia</w:t>
    </w:r>
  </w:p>
  <w:p w14:paraId="6ADC23F8" w14:textId="77777777" w:rsidR="00566C12" w:rsidRDefault="00566C12">
    <w:pPr>
      <w:pStyle w:val="Encabezado"/>
      <w:jc w:val="center"/>
      <w:rPr>
        <w:rFonts w:ascii="Arial" w:hAnsi="Arial" w:cs="Arial"/>
        <w:spacing w:val="20"/>
        <w:sz w:val="20"/>
      </w:rPr>
    </w:pPr>
  </w:p>
  <w:p w14:paraId="1A5CD802" w14:textId="77777777" w:rsidR="00566C12" w:rsidRDefault="00566C12"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A199B1E" wp14:editId="501C9116">
              <wp:simplePos x="0" y="0"/>
              <wp:positionH relativeFrom="column">
                <wp:posOffset>-99061</wp:posOffset>
              </wp:positionH>
              <wp:positionV relativeFrom="paragraph">
                <wp:posOffset>257810</wp:posOffset>
              </wp:positionV>
              <wp:extent cx="6219825" cy="983932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34B66" id="Rectangle 2" o:spid="_x0000_s1026" style="position:absolute;margin-left:-7.8pt;margin-top:20.3pt;width:489.7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4FF673B"/>
    <w:multiLevelType w:val="hybridMultilevel"/>
    <w:tmpl w:val="05B0A530"/>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9716D81"/>
    <w:multiLevelType w:val="hybridMultilevel"/>
    <w:tmpl w:val="ACFA71DC"/>
    <w:lvl w:ilvl="0" w:tplc="B7FA99B4">
      <w:start w:val="1"/>
      <w:numFmt w:val="decimal"/>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5" w15:restartNumberingAfterBreak="0">
    <w:nsid w:val="0C973196"/>
    <w:multiLevelType w:val="hybridMultilevel"/>
    <w:tmpl w:val="FB883EF0"/>
    <w:lvl w:ilvl="0" w:tplc="240A0005">
      <w:start w:val="1"/>
      <w:numFmt w:val="bullet"/>
      <w:lvlText w:val=""/>
      <w:lvlJc w:val="left"/>
      <w:pPr>
        <w:ind w:left="1571" w:hanging="360"/>
      </w:pPr>
      <w:rPr>
        <w:rFonts w:ascii="Wingdings" w:hAnsi="Wingdings"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6" w15:restartNumberingAfterBreak="0">
    <w:nsid w:val="0CDA396C"/>
    <w:multiLevelType w:val="hybridMultilevel"/>
    <w:tmpl w:val="E47AA87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2F44159"/>
    <w:multiLevelType w:val="multilevel"/>
    <w:tmpl w:val="B75A6A9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rPr>
    </w:lvl>
    <w:lvl w:ilvl="2">
      <w:start w:val="1"/>
      <w:numFmt w:val="decimal"/>
      <w:lvlText w:val="%1.%2.%3"/>
      <w:lvlJc w:val="left"/>
      <w:pPr>
        <w:tabs>
          <w:tab w:val="num" w:pos="1430"/>
        </w:tabs>
        <w:ind w:left="1430" w:hanging="720"/>
      </w:pPr>
      <w:rPr>
        <w:b/>
      </w:rPr>
    </w:lvl>
    <w:lvl w:ilvl="3">
      <w:start w:val="1"/>
      <w:numFmt w:val="decimal"/>
      <w:lvlText w:val="%1.%2.%3.%4"/>
      <w:lvlJc w:val="left"/>
      <w:pPr>
        <w:tabs>
          <w:tab w:val="num" w:pos="1005"/>
        </w:tabs>
        <w:ind w:left="1005" w:hanging="864"/>
      </w:pPr>
      <w:rPr>
        <w:color w:val="000000" w:themeColor="text1"/>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771718D"/>
    <w:multiLevelType w:val="hybridMultilevel"/>
    <w:tmpl w:val="DC0C4B7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7B94C6C"/>
    <w:multiLevelType w:val="hybridMultilevel"/>
    <w:tmpl w:val="1DA0D6A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1A76486F"/>
    <w:multiLevelType w:val="hybridMultilevel"/>
    <w:tmpl w:val="ACFA71DC"/>
    <w:lvl w:ilvl="0" w:tplc="B7FA99B4">
      <w:start w:val="1"/>
      <w:numFmt w:val="decimal"/>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2"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3" w15:restartNumberingAfterBreak="0">
    <w:nsid w:val="20353698"/>
    <w:multiLevelType w:val="hybridMultilevel"/>
    <w:tmpl w:val="3740DA68"/>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20E37A2"/>
    <w:multiLevelType w:val="hybridMultilevel"/>
    <w:tmpl w:val="ACFA71DC"/>
    <w:lvl w:ilvl="0" w:tplc="B7FA99B4">
      <w:start w:val="1"/>
      <w:numFmt w:val="decimal"/>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5"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6" w15:restartNumberingAfterBreak="0">
    <w:nsid w:val="2F534D2B"/>
    <w:multiLevelType w:val="hybridMultilevel"/>
    <w:tmpl w:val="69B81BD4"/>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3C65DF2"/>
    <w:multiLevelType w:val="hybridMultilevel"/>
    <w:tmpl w:val="67E2DE8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7CF351C"/>
    <w:multiLevelType w:val="hybridMultilevel"/>
    <w:tmpl w:val="8024711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21" w15:restartNumberingAfterBreak="0">
    <w:nsid w:val="4330416C"/>
    <w:multiLevelType w:val="hybridMultilevel"/>
    <w:tmpl w:val="75D01730"/>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3C7643A"/>
    <w:multiLevelType w:val="multilevel"/>
    <w:tmpl w:val="A896EDA8"/>
    <w:lvl w:ilvl="0">
      <w:start w:val="2"/>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F372F0B"/>
    <w:multiLevelType w:val="multilevel"/>
    <w:tmpl w:val="2A6CDC6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none"/>
      <w:lvlText w:val=""/>
      <w:lvlJc w:val="left"/>
      <w:pPr>
        <w:tabs>
          <w:tab w:val="num" w:pos="360"/>
        </w:tabs>
        <w:ind w:left="0" w:firstLine="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5043737D"/>
    <w:multiLevelType w:val="hybridMultilevel"/>
    <w:tmpl w:val="9050F9A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0C602BD"/>
    <w:multiLevelType w:val="hybridMultilevel"/>
    <w:tmpl w:val="997EE44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1957547"/>
    <w:multiLevelType w:val="multilevel"/>
    <w:tmpl w:val="43C40B72"/>
    <w:lvl w:ilvl="0">
      <w:start w:val="3"/>
      <w:numFmt w:val="decimal"/>
      <w:lvlText w:val="%1"/>
      <w:lvlJc w:val="left"/>
      <w:pPr>
        <w:ind w:left="885" w:hanging="885"/>
      </w:pPr>
      <w:rPr>
        <w:rFonts w:hint="default"/>
      </w:rPr>
    </w:lvl>
    <w:lvl w:ilvl="1">
      <w:start w:val="3"/>
      <w:numFmt w:val="decimal"/>
      <w:lvlText w:val="%1.%2"/>
      <w:lvlJc w:val="left"/>
      <w:pPr>
        <w:ind w:left="885" w:hanging="88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2357" w:hanging="1080"/>
      </w:pPr>
      <w:rPr>
        <w:rFonts w:hint="default"/>
        <w:i/>
        <w:iCs/>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556C4DE9"/>
    <w:multiLevelType w:val="hybridMultilevel"/>
    <w:tmpl w:val="ACFA71DC"/>
    <w:lvl w:ilvl="0" w:tplc="B7FA99B4">
      <w:start w:val="1"/>
      <w:numFmt w:val="decimal"/>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9"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6DD02025"/>
    <w:multiLevelType w:val="hybridMultilevel"/>
    <w:tmpl w:val="ACFA71DC"/>
    <w:lvl w:ilvl="0" w:tplc="B7FA99B4">
      <w:start w:val="1"/>
      <w:numFmt w:val="decimal"/>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3" w15:restartNumberingAfterBreak="0">
    <w:nsid w:val="6FE85773"/>
    <w:multiLevelType w:val="hybridMultilevel"/>
    <w:tmpl w:val="ACFA71DC"/>
    <w:lvl w:ilvl="0" w:tplc="B7FA99B4">
      <w:start w:val="1"/>
      <w:numFmt w:val="decimal"/>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4"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DBC64BA"/>
    <w:multiLevelType w:val="hybridMultilevel"/>
    <w:tmpl w:val="7CC65BB8"/>
    <w:lvl w:ilvl="0" w:tplc="240A0005">
      <w:start w:val="1"/>
      <w:numFmt w:val="bullet"/>
      <w:lvlText w:val=""/>
      <w:lvlJc w:val="left"/>
      <w:pPr>
        <w:ind w:left="360" w:hanging="360"/>
      </w:pPr>
      <w:rPr>
        <w:rFonts w:ascii="Wingdings" w:hAnsi="Wingdings" w:hint="default"/>
      </w:rPr>
    </w:lvl>
    <w:lvl w:ilvl="1" w:tplc="240A0019">
      <w:start w:val="1"/>
      <w:numFmt w:val="lowerLetter"/>
      <w:lvlText w:val="%2."/>
      <w:lvlJc w:val="left"/>
      <w:pPr>
        <w:ind w:left="1080" w:hanging="360"/>
      </w:pPr>
      <w:rPr>
        <w:rFont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15"/>
  </w:num>
  <w:num w:numId="3">
    <w:abstractNumId w:val="29"/>
  </w:num>
  <w:num w:numId="4">
    <w:abstractNumId w:val="24"/>
  </w:num>
  <w:num w:numId="5">
    <w:abstractNumId w:val="31"/>
  </w:num>
  <w:num w:numId="6">
    <w:abstractNumId w:val="17"/>
  </w:num>
  <w:num w:numId="7">
    <w:abstractNumId w:val="34"/>
  </w:num>
  <w:num w:numId="8">
    <w:abstractNumId w:val="8"/>
  </w:num>
  <w:num w:numId="9">
    <w:abstractNumId w:val="2"/>
  </w:num>
  <w:num w:numId="10">
    <w:abstractNumId w:val="32"/>
  </w:num>
  <w:num w:numId="11">
    <w:abstractNumId w:val="7"/>
  </w:num>
  <w:num w:numId="12">
    <w:abstractNumId w:val="10"/>
  </w:num>
  <w:num w:numId="13">
    <w:abstractNumId w:val="18"/>
  </w:num>
  <w:num w:numId="14">
    <w:abstractNumId w:val="27"/>
  </w:num>
  <w:num w:numId="15">
    <w:abstractNumId w:val="21"/>
  </w:num>
  <w:num w:numId="16">
    <w:abstractNumId w:val="9"/>
  </w:num>
  <w:num w:numId="17">
    <w:abstractNumId w:val="26"/>
  </w:num>
  <w:num w:numId="18">
    <w:abstractNumId w:val="6"/>
  </w:num>
  <w:num w:numId="19">
    <w:abstractNumId w:val="4"/>
  </w:num>
  <w:num w:numId="20">
    <w:abstractNumId w:val="33"/>
  </w:num>
  <w:num w:numId="21">
    <w:abstractNumId w:val="14"/>
  </w:num>
  <w:num w:numId="22">
    <w:abstractNumId w:val="16"/>
  </w:num>
  <w:num w:numId="23">
    <w:abstractNumId w:val="11"/>
  </w:num>
  <w:num w:numId="24">
    <w:abstractNumId w:val="23"/>
  </w:num>
  <w:num w:numId="25">
    <w:abstractNumId w:val="3"/>
  </w:num>
  <w:num w:numId="26">
    <w:abstractNumId w:val="22"/>
  </w:num>
  <w:num w:numId="27">
    <w:abstractNumId w:val="31"/>
  </w:num>
  <w:num w:numId="28">
    <w:abstractNumId w:val="5"/>
  </w:num>
  <w:num w:numId="29">
    <w:abstractNumId w:val="35"/>
  </w:num>
  <w:num w:numId="30">
    <w:abstractNumId w:val="13"/>
  </w:num>
  <w:num w:numId="31">
    <w:abstractNumId w:val="28"/>
  </w:num>
  <w:num w:numId="32">
    <w:abstractNumId w:val="19"/>
  </w:num>
  <w:num w:numId="33">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198"/>
    <w:rsid w:val="000002C5"/>
    <w:rsid w:val="0000141F"/>
    <w:rsid w:val="000014A8"/>
    <w:rsid w:val="0000191D"/>
    <w:rsid w:val="000020E0"/>
    <w:rsid w:val="0000215F"/>
    <w:rsid w:val="000023DF"/>
    <w:rsid w:val="00003049"/>
    <w:rsid w:val="00005326"/>
    <w:rsid w:val="000055A9"/>
    <w:rsid w:val="000056FB"/>
    <w:rsid w:val="00006585"/>
    <w:rsid w:val="00006AE2"/>
    <w:rsid w:val="00006EF5"/>
    <w:rsid w:val="0000762D"/>
    <w:rsid w:val="000076A1"/>
    <w:rsid w:val="0001209B"/>
    <w:rsid w:val="00012259"/>
    <w:rsid w:val="0001368F"/>
    <w:rsid w:val="00015F4C"/>
    <w:rsid w:val="000162EE"/>
    <w:rsid w:val="00016B85"/>
    <w:rsid w:val="00016F42"/>
    <w:rsid w:val="00017396"/>
    <w:rsid w:val="000203BE"/>
    <w:rsid w:val="00020991"/>
    <w:rsid w:val="0002117B"/>
    <w:rsid w:val="00021AB8"/>
    <w:rsid w:val="00022832"/>
    <w:rsid w:val="00023841"/>
    <w:rsid w:val="00023CC3"/>
    <w:rsid w:val="00024B72"/>
    <w:rsid w:val="00024EEB"/>
    <w:rsid w:val="00025383"/>
    <w:rsid w:val="0002591D"/>
    <w:rsid w:val="00025D05"/>
    <w:rsid w:val="000268D6"/>
    <w:rsid w:val="00027C0A"/>
    <w:rsid w:val="00027C0E"/>
    <w:rsid w:val="000303FE"/>
    <w:rsid w:val="00031CB6"/>
    <w:rsid w:val="00032C8E"/>
    <w:rsid w:val="000338C8"/>
    <w:rsid w:val="00033D75"/>
    <w:rsid w:val="00034669"/>
    <w:rsid w:val="00034F65"/>
    <w:rsid w:val="0003547A"/>
    <w:rsid w:val="0003562B"/>
    <w:rsid w:val="0003568E"/>
    <w:rsid w:val="000356FD"/>
    <w:rsid w:val="00035DAC"/>
    <w:rsid w:val="000364AC"/>
    <w:rsid w:val="0003695A"/>
    <w:rsid w:val="00037C2F"/>
    <w:rsid w:val="00040250"/>
    <w:rsid w:val="000408EC"/>
    <w:rsid w:val="00040DE8"/>
    <w:rsid w:val="00041C27"/>
    <w:rsid w:val="00042A98"/>
    <w:rsid w:val="000432E2"/>
    <w:rsid w:val="00044203"/>
    <w:rsid w:val="000446EC"/>
    <w:rsid w:val="00045094"/>
    <w:rsid w:val="00045D3D"/>
    <w:rsid w:val="00046B5A"/>
    <w:rsid w:val="00047000"/>
    <w:rsid w:val="0005171B"/>
    <w:rsid w:val="00051D1F"/>
    <w:rsid w:val="000536E8"/>
    <w:rsid w:val="00053BE6"/>
    <w:rsid w:val="00054233"/>
    <w:rsid w:val="00055040"/>
    <w:rsid w:val="00055984"/>
    <w:rsid w:val="00056ECE"/>
    <w:rsid w:val="0005705F"/>
    <w:rsid w:val="0005740C"/>
    <w:rsid w:val="00060DCE"/>
    <w:rsid w:val="000620D1"/>
    <w:rsid w:val="000627E5"/>
    <w:rsid w:val="00063454"/>
    <w:rsid w:val="00063657"/>
    <w:rsid w:val="00064F07"/>
    <w:rsid w:val="00065D0A"/>
    <w:rsid w:val="00067977"/>
    <w:rsid w:val="000701D3"/>
    <w:rsid w:val="000703B1"/>
    <w:rsid w:val="00070AC1"/>
    <w:rsid w:val="0007409E"/>
    <w:rsid w:val="00076325"/>
    <w:rsid w:val="00076680"/>
    <w:rsid w:val="000767A0"/>
    <w:rsid w:val="00076A1D"/>
    <w:rsid w:val="000771FB"/>
    <w:rsid w:val="0007724C"/>
    <w:rsid w:val="0008073E"/>
    <w:rsid w:val="000808A5"/>
    <w:rsid w:val="0008115D"/>
    <w:rsid w:val="00081335"/>
    <w:rsid w:val="000813B3"/>
    <w:rsid w:val="000821D9"/>
    <w:rsid w:val="0008296E"/>
    <w:rsid w:val="00082B34"/>
    <w:rsid w:val="00082FE9"/>
    <w:rsid w:val="000831AC"/>
    <w:rsid w:val="00083364"/>
    <w:rsid w:val="000837A5"/>
    <w:rsid w:val="00083AA8"/>
    <w:rsid w:val="00084F74"/>
    <w:rsid w:val="000857D1"/>
    <w:rsid w:val="00085C94"/>
    <w:rsid w:val="0008751B"/>
    <w:rsid w:val="0008776A"/>
    <w:rsid w:val="0009104E"/>
    <w:rsid w:val="0009196C"/>
    <w:rsid w:val="00091CDB"/>
    <w:rsid w:val="000931FF"/>
    <w:rsid w:val="000936B5"/>
    <w:rsid w:val="000957BC"/>
    <w:rsid w:val="00095EA2"/>
    <w:rsid w:val="000A0B0B"/>
    <w:rsid w:val="000A1108"/>
    <w:rsid w:val="000A11B8"/>
    <w:rsid w:val="000A1319"/>
    <w:rsid w:val="000A189D"/>
    <w:rsid w:val="000A19AC"/>
    <w:rsid w:val="000A31B6"/>
    <w:rsid w:val="000A38CC"/>
    <w:rsid w:val="000A5B7A"/>
    <w:rsid w:val="000B26C1"/>
    <w:rsid w:val="000B2EC9"/>
    <w:rsid w:val="000B3688"/>
    <w:rsid w:val="000B49BE"/>
    <w:rsid w:val="000B5566"/>
    <w:rsid w:val="000B5EF3"/>
    <w:rsid w:val="000B653C"/>
    <w:rsid w:val="000B65BD"/>
    <w:rsid w:val="000B7990"/>
    <w:rsid w:val="000C06AF"/>
    <w:rsid w:val="000C1519"/>
    <w:rsid w:val="000C1951"/>
    <w:rsid w:val="000C1DE0"/>
    <w:rsid w:val="000C2165"/>
    <w:rsid w:val="000C23A9"/>
    <w:rsid w:val="000C266A"/>
    <w:rsid w:val="000C4F5C"/>
    <w:rsid w:val="000C5DF4"/>
    <w:rsid w:val="000C5F9C"/>
    <w:rsid w:val="000C64D6"/>
    <w:rsid w:val="000C6881"/>
    <w:rsid w:val="000C743D"/>
    <w:rsid w:val="000C784A"/>
    <w:rsid w:val="000C7F17"/>
    <w:rsid w:val="000D06CB"/>
    <w:rsid w:val="000D1E36"/>
    <w:rsid w:val="000D2040"/>
    <w:rsid w:val="000D26F8"/>
    <w:rsid w:val="000D2A00"/>
    <w:rsid w:val="000D36AF"/>
    <w:rsid w:val="000D3884"/>
    <w:rsid w:val="000D3A7D"/>
    <w:rsid w:val="000D3FC2"/>
    <w:rsid w:val="000D5201"/>
    <w:rsid w:val="000D5C79"/>
    <w:rsid w:val="000E1309"/>
    <w:rsid w:val="000E1C36"/>
    <w:rsid w:val="000E272B"/>
    <w:rsid w:val="000E2A42"/>
    <w:rsid w:val="000E2ECD"/>
    <w:rsid w:val="000E3D26"/>
    <w:rsid w:val="000E41DA"/>
    <w:rsid w:val="000E461D"/>
    <w:rsid w:val="000E5CC4"/>
    <w:rsid w:val="000F30B5"/>
    <w:rsid w:val="000F32D0"/>
    <w:rsid w:val="000F3A75"/>
    <w:rsid w:val="000F4223"/>
    <w:rsid w:val="000F4409"/>
    <w:rsid w:val="000F4463"/>
    <w:rsid w:val="000F47C4"/>
    <w:rsid w:val="000F4D0F"/>
    <w:rsid w:val="000F5392"/>
    <w:rsid w:val="000F563E"/>
    <w:rsid w:val="000F68AA"/>
    <w:rsid w:val="000F69EC"/>
    <w:rsid w:val="000F7AE9"/>
    <w:rsid w:val="000F7C81"/>
    <w:rsid w:val="0010087D"/>
    <w:rsid w:val="0010101F"/>
    <w:rsid w:val="00101F35"/>
    <w:rsid w:val="0010333D"/>
    <w:rsid w:val="00103A88"/>
    <w:rsid w:val="00105E02"/>
    <w:rsid w:val="0010658E"/>
    <w:rsid w:val="00106654"/>
    <w:rsid w:val="001067D3"/>
    <w:rsid w:val="00106B99"/>
    <w:rsid w:val="00107BE0"/>
    <w:rsid w:val="001106AF"/>
    <w:rsid w:val="001129C7"/>
    <w:rsid w:val="00112F16"/>
    <w:rsid w:val="0011457A"/>
    <w:rsid w:val="001147FF"/>
    <w:rsid w:val="001167F7"/>
    <w:rsid w:val="001177E6"/>
    <w:rsid w:val="00117CC3"/>
    <w:rsid w:val="00121CA0"/>
    <w:rsid w:val="00125916"/>
    <w:rsid w:val="001264C4"/>
    <w:rsid w:val="00126763"/>
    <w:rsid w:val="00126B7F"/>
    <w:rsid w:val="0012783F"/>
    <w:rsid w:val="00130964"/>
    <w:rsid w:val="00130A47"/>
    <w:rsid w:val="00130D85"/>
    <w:rsid w:val="00132D4E"/>
    <w:rsid w:val="00132FDE"/>
    <w:rsid w:val="00132FE3"/>
    <w:rsid w:val="001333FC"/>
    <w:rsid w:val="0013384D"/>
    <w:rsid w:val="001338E9"/>
    <w:rsid w:val="00133EC9"/>
    <w:rsid w:val="0013526C"/>
    <w:rsid w:val="00135C1F"/>
    <w:rsid w:val="00136F57"/>
    <w:rsid w:val="001405C6"/>
    <w:rsid w:val="0014064C"/>
    <w:rsid w:val="0014070B"/>
    <w:rsid w:val="00141013"/>
    <w:rsid w:val="00142021"/>
    <w:rsid w:val="0014208F"/>
    <w:rsid w:val="0014220A"/>
    <w:rsid w:val="0014256F"/>
    <w:rsid w:val="0014363D"/>
    <w:rsid w:val="00144681"/>
    <w:rsid w:val="0014514F"/>
    <w:rsid w:val="00145736"/>
    <w:rsid w:val="001459D6"/>
    <w:rsid w:val="001459FB"/>
    <w:rsid w:val="0014778F"/>
    <w:rsid w:val="001478B5"/>
    <w:rsid w:val="00151A0F"/>
    <w:rsid w:val="001520CC"/>
    <w:rsid w:val="0015228B"/>
    <w:rsid w:val="00152D9A"/>
    <w:rsid w:val="00152E0C"/>
    <w:rsid w:val="0015338C"/>
    <w:rsid w:val="001541F3"/>
    <w:rsid w:val="00154D0C"/>
    <w:rsid w:val="00155408"/>
    <w:rsid w:val="001560A7"/>
    <w:rsid w:val="00156A4D"/>
    <w:rsid w:val="00157972"/>
    <w:rsid w:val="00157B49"/>
    <w:rsid w:val="00157E62"/>
    <w:rsid w:val="00160BCF"/>
    <w:rsid w:val="00161084"/>
    <w:rsid w:val="00164E00"/>
    <w:rsid w:val="00166AA9"/>
    <w:rsid w:val="00166B53"/>
    <w:rsid w:val="001710F9"/>
    <w:rsid w:val="00171B59"/>
    <w:rsid w:val="001762DD"/>
    <w:rsid w:val="00177652"/>
    <w:rsid w:val="001778BC"/>
    <w:rsid w:val="00177C51"/>
    <w:rsid w:val="00177CFC"/>
    <w:rsid w:val="00177D48"/>
    <w:rsid w:val="00177E96"/>
    <w:rsid w:val="0018241F"/>
    <w:rsid w:val="001827DF"/>
    <w:rsid w:val="00182E70"/>
    <w:rsid w:val="00184170"/>
    <w:rsid w:val="00185F79"/>
    <w:rsid w:val="001876F9"/>
    <w:rsid w:val="001879E3"/>
    <w:rsid w:val="00190C2D"/>
    <w:rsid w:val="00192CBF"/>
    <w:rsid w:val="00192FF1"/>
    <w:rsid w:val="0019345E"/>
    <w:rsid w:val="0019354C"/>
    <w:rsid w:val="001943A1"/>
    <w:rsid w:val="0019461B"/>
    <w:rsid w:val="00194947"/>
    <w:rsid w:val="001949D2"/>
    <w:rsid w:val="00194C52"/>
    <w:rsid w:val="0019667F"/>
    <w:rsid w:val="00196D8C"/>
    <w:rsid w:val="00197F32"/>
    <w:rsid w:val="001A0F6F"/>
    <w:rsid w:val="001A1422"/>
    <w:rsid w:val="001A2B6E"/>
    <w:rsid w:val="001A3643"/>
    <w:rsid w:val="001A39D5"/>
    <w:rsid w:val="001A42B8"/>
    <w:rsid w:val="001A44FC"/>
    <w:rsid w:val="001A5F1B"/>
    <w:rsid w:val="001A6488"/>
    <w:rsid w:val="001A7613"/>
    <w:rsid w:val="001B03F7"/>
    <w:rsid w:val="001B05A4"/>
    <w:rsid w:val="001B17F4"/>
    <w:rsid w:val="001B1C22"/>
    <w:rsid w:val="001B34C6"/>
    <w:rsid w:val="001B3984"/>
    <w:rsid w:val="001B3D78"/>
    <w:rsid w:val="001B4E01"/>
    <w:rsid w:val="001B50BA"/>
    <w:rsid w:val="001C06CE"/>
    <w:rsid w:val="001C083E"/>
    <w:rsid w:val="001C0C42"/>
    <w:rsid w:val="001C2018"/>
    <w:rsid w:val="001C2FEE"/>
    <w:rsid w:val="001C36F4"/>
    <w:rsid w:val="001C3877"/>
    <w:rsid w:val="001C4A3C"/>
    <w:rsid w:val="001D04FC"/>
    <w:rsid w:val="001D0772"/>
    <w:rsid w:val="001D2EA9"/>
    <w:rsid w:val="001D31E0"/>
    <w:rsid w:val="001D3333"/>
    <w:rsid w:val="001D4A1A"/>
    <w:rsid w:val="001D516B"/>
    <w:rsid w:val="001D5FA1"/>
    <w:rsid w:val="001D7832"/>
    <w:rsid w:val="001E0A4F"/>
    <w:rsid w:val="001E1023"/>
    <w:rsid w:val="001E3911"/>
    <w:rsid w:val="001E42F7"/>
    <w:rsid w:val="001E485E"/>
    <w:rsid w:val="001E55E0"/>
    <w:rsid w:val="001E692F"/>
    <w:rsid w:val="001E6D6C"/>
    <w:rsid w:val="001E6EA9"/>
    <w:rsid w:val="001E7513"/>
    <w:rsid w:val="001F0461"/>
    <w:rsid w:val="001F08A8"/>
    <w:rsid w:val="001F1310"/>
    <w:rsid w:val="001F277A"/>
    <w:rsid w:val="001F27C5"/>
    <w:rsid w:val="001F2C5B"/>
    <w:rsid w:val="001F2FD8"/>
    <w:rsid w:val="001F4256"/>
    <w:rsid w:val="001F455D"/>
    <w:rsid w:val="001F5AFE"/>
    <w:rsid w:val="001F6D53"/>
    <w:rsid w:val="001F780F"/>
    <w:rsid w:val="00200922"/>
    <w:rsid w:val="002012D8"/>
    <w:rsid w:val="002015A0"/>
    <w:rsid w:val="002029FA"/>
    <w:rsid w:val="002038CE"/>
    <w:rsid w:val="002039D6"/>
    <w:rsid w:val="002040C1"/>
    <w:rsid w:val="00204D82"/>
    <w:rsid w:val="0020533E"/>
    <w:rsid w:val="00206B97"/>
    <w:rsid w:val="00207D99"/>
    <w:rsid w:val="00210DC1"/>
    <w:rsid w:val="0021157A"/>
    <w:rsid w:val="00211D34"/>
    <w:rsid w:val="00212AEB"/>
    <w:rsid w:val="002131D7"/>
    <w:rsid w:val="002133FA"/>
    <w:rsid w:val="00214328"/>
    <w:rsid w:val="00214F04"/>
    <w:rsid w:val="00215F30"/>
    <w:rsid w:val="002162DB"/>
    <w:rsid w:val="002166E7"/>
    <w:rsid w:val="00216E62"/>
    <w:rsid w:val="00217D47"/>
    <w:rsid w:val="00220E35"/>
    <w:rsid w:val="00223E50"/>
    <w:rsid w:val="0022483E"/>
    <w:rsid w:val="00224FC9"/>
    <w:rsid w:val="00225F70"/>
    <w:rsid w:val="00227061"/>
    <w:rsid w:val="00227D53"/>
    <w:rsid w:val="00227E1E"/>
    <w:rsid w:val="00227F71"/>
    <w:rsid w:val="00230985"/>
    <w:rsid w:val="0023338E"/>
    <w:rsid w:val="002347A2"/>
    <w:rsid w:val="002352B9"/>
    <w:rsid w:val="0023598E"/>
    <w:rsid w:val="0023621E"/>
    <w:rsid w:val="002367F5"/>
    <w:rsid w:val="00237EDC"/>
    <w:rsid w:val="00240640"/>
    <w:rsid w:val="00242A95"/>
    <w:rsid w:val="00242D27"/>
    <w:rsid w:val="00242F2B"/>
    <w:rsid w:val="002433FA"/>
    <w:rsid w:val="002436B9"/>
    <w:rsid w:val="00243761"/>
    <w:rsid w:val="00243A0A"/>
    <w:rsid w:val="002444FF"/>
    <w:rsid w:val="00244646"/>
    <w:rsid w:val="002452F2"/>
    <w:rsid w:val="00245E5D"/>
    <w:rsid w:val="00246D05"/>
    <w:rsid w:val="0025525F"/>
    <w:rsid w:val="00255649"/>
    <w:rsid w:val="00255960"/>
    <w:rsid w:val="00255DFE"/>
    <w:rsid w:val="002560C5"/>
    <w:rsid w:val="00256DBC"/>
    <w:rsid w:val="00256EA4"/>
    <w:rsid w:val="002571C8"/>
    <w:rsid w:val="002578B3"/>
    <w:rsid w:val="002578EA"/>
    <w:rsid w:val="002579DC"/>
    <w:rsid w:val="00257A41"/>
    <w:rsid w:val="002603B0"/>
    <w:rsid w:val="00260906"/>
    <w:rsid w:val="002613C6"/>
    <w:rsid w:val="00261CF7"/>
    <w:rsid w:val="00262248"/>
    <w:rsid w:val="0026282C"/>
    <w:rsid w:val="00262AEC"/>
    <w:rsid w:val="002631B1"/>
    <w:rsid w:val="00264F14"/>
    <w:rsid w:val="0026521A"/>
    <w:rsid w:val="002654BA"/>
    <w:rsid w:val="002657E2"/>
    <w:rsid w:val="00266CD6"/>
    <w:rsid w:val="002673AC"/>
    <w:rsid w:val="00267811"/>
    <w:rsid w:val="00267B60"/>
    <w:rsid w:val="00270C4A"/>
    <w:rsid w:val="00270E86"/>
    <w:rsid w:val="00271781"/>
    <w:rsid w:val="00271C36"/>
    <w:rsid w:val="0027278C"/>
    <w:rsid w:val="00273484"/>
    <w:rsid w:val="002739BD"/>
    <w:rsid w:val="00274A6F"/>
    <w:rsid w:val="00274C95"/>
    <w:rsid w:val="00275DAB"/>
    <w:rsid w:val="00276059"/>
    <w:rsid w:val="00280F65"/>
    <w:rsid w:val="002821BE"/>
    <w:rsid w:val="002836A1"/>
    <w:rsid w:val="002836E2"/>
    <w:rsid w:val="00284AE6"/>
    <w:rsid w:val="00284DD0"/>
    <w:rsid w:val="00285AEF"/>
    <w:rsid w:val="0028662C"/>
    <w:rsid w:val="002903C0"/>
    <w:rsid w:val="002903D1"/>
    <w:rsid w:val="00291726"/>
    <w:rsid w:val="002922A7"/>
    <w:rsid w:val="00292FE9"/>
    <w:rsid w:val="002936B2"/>
    <w:rsid w:val="00293D0C"/>
    <w:rsid w:val="0029534B"/>
    <w:rsid w:val="00295582"/>
    <w:rsid w:val="00295857"/>
    <w:rsid w:val="00295ACD"/>
    <w:rsid w:val="0029698E"/>
    <w:rsid w:val="002A101D"/>
    <w:rsid w:val="002A1E50"/>
    <w:rsid w:val="002A503F"/>
    <w:rsid w:val="002A51EF"/>
    <w:rsid w:val="002A6480"/>
    <w:rsid w:val="002A6CEB"/>
    <w:rsid w:val="002A782A"/>
    <w:rsid w:val="002A7D62"/>
    <w:rsid w:val="002B0922"/>
    <w:rsid w:val="002B0AAA"/>
    <w:rsid w:val="002B1021"/>
    <w:rsid w:val="002B11E2"/>
    <w:rsid w:val="002B24B8"/>
    <w:rsid w:val="002B5E3C"/>
    <w:rsid w:val="002B71B1"/>
    <w:rsid w:val="002B73B1"/>
    <w:rsid w:val="002C01FA"/>
    <w:rsid w:val="002C04F0"/>
    <w:rsid w:val="002C0713"/>
    <w:rsid w:val="002C0860"/>
    <w:rsid w:val="002C0DCD"/>
    <w:rsid w:val="002C3488"/>
    <w:rsid w:val="002C4170"/>
    <w:rsid w:val="002C5023"/>
    <w:rsid w:val="002C51F2"/>
    <w:rsid w:val="002C5612"/>
    <w:rsid w:val="002C7252"/>
    <w:rsid w:val="002D04DA"/>
    <w:rsid w:val="002D3602"/>
    <w:rsid w:val="002D3AE9"/>
    <w:rsid w:val="002D3CE7"/>
    <w:rsid w:val="002D4510"/>
    <w:rsid w:val="002D7D6C"/>
    <w:rsid w:val="002E09F5"/>
    <w:rsid w:val="002E1770"/>
    <w:rsid w:val="002E1AF2"/>
    <w:rsid w:val="002E1F65"/>
    <w:rsid w:val="002E635C"/>
    <w:rsid w:val="002E6544"/>
    <w:rsid w:val="002E7997"/>
    <w:rsid w:val="002F026E"/>
    <w:rsid w:val="002F0734"/>
    <w:rsid w:val="002F0A4C"/>
    <w:rsid w:val="002F22EB"/>
    <w:rsid w:val="002F3712"/>
    <w:rsid w:val="002F44A8"/>
    <w:rsid w:val="002F45E2"/>
    <w:rsid w:val="002F46E7"/>
    <w:rsid w:val="002F72DB"/>
    <w:rsid w:val="002F75C0"/>
    <w:rsid w:val="002F7B19"/>
    <w:rsid w:val="003008A1"/>
    <w:rsid w:val="00302EFB"/>
    <w:rsid w:val="0030336F"/>
    <w:rsid w:val="00303BEA"/>
    <w:rsid w:val="003040BE"/>
    <w:rsid w:val="00304BEA"/>
    <w:rsid w:val="0030641B"/>
    <w:rsid w:val="00307E9C"/>
    <w:rsid w:val="00307F8B"/>
    <w:rsid w:val="00307F96"/>
    <w:rsid w:val="003101DA"/>
    <w:rsid w:val="003107DC"/>
    <w:rsid w:val="003111C3"/>
    <w:rsid w:val="00311C94"/>
    <w:rsid w:val="00312443"/>
    <w:rsid w:val="00312DDD"/>
    <w:rsid w:val="0031391C"/>
    <w:rsid w:val="00313B84"/>
    <w:rsid w:val="00313FBD"/>
    <w:rsid w:val="00314757"/>
    <w:rsid w:val="0031547B"/>
    <w:rsid w:val="00315689"/>
    <w:rsid w:val="00315CD0"/>
    <w:rsid w:val="003163BC"/>
    <w:rsid w:val="00316BB2"/>
    <w:rsid w:val="00317410"/>
    <w:rsid w:val="00320F7F"/>
    <w:rsid w:val="003211CE"/>
    <w:rsid w:val="0032190A"/>
    <w:rsid w:val="00321B6E"/>
    <w:rsid w:val="00322010"/>
    <w:rsid w:val="003225F9"/>
    <w:rsid w:val="003246CB"/>
    <w:rsid w:val="00325B3C"/>
    <w:rsid w:val="0032714E"/>
    <w:rsid w:val="00327412"/>
    <w:rsid w:val="00327443"/>
    <w:rsid w:val="00330AB2"/>
    <w:rsid w:val="00330E17"/>
    <w:rsid w:val="00331421"/>
    <w:rsid w:val="00331431"/>
    <w:rsid w:val="00331C8C"/>
    <w:rsid w:val="003340E9"/>
    <w:rsid w:val="003343C8"/>
    <w:rsid w:val="003343FE"/>
    <w:rsid w:val="003344C3"/>
    <w:rsid w:val="0033564E"/>
    <w:rsid w:val="00335934"/>
    <w:rsid w:val="0033593E"/>
    <w:rsid w:val="00335EAC"/>
    <w:rsid w:val="0033715F"/>
    <w:rsid w:val="003373A2"/>
    <w:rsid w:val="00337971"/>
    <w:rsid w:val="00337C84"/>
    <w:rsid w:val="00340976"/>
    <w:rsid w:val="00340ADB"/>
    <w:rsid w:val="00340DAF"/>
    <w:rsid w:val="00341ABC"/>
    <w:rsid w:val="00344B9B"/>
    <w:rsid w:val="003461B1"/>
    <w:rsid w:val="003473A2"/>
    <w:rsid w:val="00350A8C"/>
    <w:rsid w:val="00350DE4"/>
    <w:rsid w:val="00351E6B"/>
    <w:rsid w:val="00352680"/>
    <w:rsid w:val="00352C2F"/>
    <w:rsid w:val="0035403A"/>
    <w:rsid w:val="00355FF3"/>
    <w:rsid w:val="00357A92"/>
    <w:rsid w:val="003606A3"/>
    <w:rsid w:val="003614BE"/>
    <w:rsid w:val="00361EF5"/>
    <w:rsid w:val="00363463"/>
    <w:rsid w:val="0036394B"/>
    <w:rsid w:val="003646C3"/>
    <w:rsid w:val="00366AC7"/>
    <w:rsid w:val="00366DB6"/>
    <w:rsid w:val="00367001"/>
    <w:rsid w:val="003671B0"/>
    <w:rsid w:val="0036724C"/>
    <w:rsid w:val="00367619"/>
    <w:rsid w:val="0036763F"/>
    <w:rsid w:val="00370325"/>
    <w:rsid w:val="003706AD"/>
    <w:rsid w:val="003709B5"/>
    <w:rsid w:val="00371431"/>
    <w:rsid w:val="0037156B"/>
    <w:rsid w:val="003717C4"/>
    <w:rsid w:val="003735E3"/>
    <w:rsid w:val="003742B8"/>
    <w:rsid w:val="00374855"/>
    <w:rsid w:val="0037566A"/>
    <w:rsid w:val="003759C2"/>
    <w:rsid w:val="0037710B"/>
    <w:rsid w:val="00377FCD"/>
    <w:rsid w:val="00380F32"/>
    <w:rsid w:val="00381AAD"/>
    <w:rsid w:val="00382F05"/>
    <w:rsid w:val="00383A88"/>
    <w:rsid w:val="00383AB4"/>
    <w:rsid w:val="00383E1F"/>
    <w:rsid w:val="00384BFB"/>
    <w:rsid w:val="00384E11"/>
    <w:rsid w:val="00385A73"/>
    <w:rsid w:val="00386A9A"/>
    <w:rsid w:val="00386E4B"/>
    <w:rsid w:val="00387A1C"/>
    <w:rsid w:val="00387C27"/>
    <w:rsid w:val="00387CD9"/>
    <w:rsid w:val="003900B8"/>
    <w:rsid w:val="003908A1"/>
    <w:rsid w:val="00390FE4"/>
    <w:rsid w:val="0039127D"/>
    <w:rsid w:val="0039149C"/>
    <w:rsid w:val="0039155D"/>
    <w:rsid w:val="0039172F"/>
    <w:rsid w:val="003919F1"/>
    <w:rsid w:val="003923CF"/>
    <w:rsid w:val="0039240B"/>
    <w:rsid w:val="003927EE"/>
    <w:rsid w:val="00392E48"/>
    <w:rsid w:val="003936AA"/>
    <w:rsid w:val="00393854"/>
    <w:rsid w:val="00393F9F"/>
    <w:rsid w:val="00396389"/>
    <w:rsid w:val="0039666B"/>
    <w:rsid w:val="00396A68"/>
    <w:rsid w:val="003971DA"/>
    <w:rsid w:val="00397365"/>
    <w:rsid w:val="00397DA6"/>
    <w:rsid w:val="003A0389"/>
    <w:rsid w:val="003A05F4"/>
    <w:rsid w:val="003A09A2"/>
    <w:rsid w:val="003A1451"/>
    <w:rsid w:val="003A1A65"/>
    <w:rsid w:val="003A31F6"/>
    <w:rsid w:val="003A3A6C"/>
    <w:rsid w:val="003A3E98"/>
    <w:rsid w:val="003A4D67"/>
    <w:rsid w:val="003A6FE1"/>
    <w:rsid w:val="003A7F4E"/>
    <w:rsid w:val="003B07F4"/>
    <w:rsid w:val="003B1627"/>
    <w:rsid w:val="003B2C98"/>
    <w:rsid w:val="003B3CE0"/>
    <w:rsid w:val="003B3EF0"/>
    <w:rsid w:val="003B4485"/>
    <w:rsid w:val="003B534A"/>
    <w:rsid w:val="003B5531"/>
    <w:rsid w:val="003B5A66"/>
    <w:rsid w:val="003B718A"/>
    <w:rsid w:val="003B79D4"/>
    <w:rsid w:val="003B7A86"/>
    <w:rsid w:val="003B7AE8"/>
    <w:rsid w:val="003C0474"/>
    <w:rsid w:val="003C156A"/>
    <w:rsid w:val="003C242C"/>
    <w:rsid w:val="003C3447"/>
    <w:rsid w:val="003C4072"/>
    <w:rsid w:val="003C5E2C"/>
    <w:rsid w:val="003C6579"/>
    <w:rsid w:val="003C6E0D"/>
    <w:rsid w:val="003C7E68"/>
    <w:rsid w:val="003C7FA6"/>
    <w:rsid w:val="003D0607"/>
    <w:rsid w:val="003D076C"/>
    <w:rsid w:val="003D1367"/>
    <w:rsid w:val="003D160E"/>
    <w:rsid w:val="003D1FD8"/>
    <w:rsid w:val="003D34F9"/>
    <w:rsid w:val="003D38E3"/>
    <w:rsid w:val="003D6335"/>
    <w:rsid w:val="003D63E6"/>
    <w:rsid w:val="003D68CE"/>
    <w:rsid w:val="003D7344"/>
    <w:rsid w:val="003E01CE"/>
    <w:rsid w:val="003E0745"/>
    <w:rsid w:val="003E1A9F"/>
    <w:rsid w:val="003E3442"/>
    <w:rsid w:val="003E489D"/>
    <w:rsid w:val="003E5626"/>
    <w:rsid w:val="003E5A4D"/>
    <w:rsid w:val="003E5FCF"/>
    <w:rsid w:val="003E7112"/>
    <w:rsid w:val="003E7120"/>
    <w:rsid w:val="003E7817"/>
    <w:rsid w:val="003E7875"/>
    <w:rsid w:val="003E78B5"/>
    <w:rsid w:val="003F06BB"/>
    <w:rsid w:val="003F1778"/>
    <w:rsid w:val="003F22FF"/>
    <w:rsid w:val="003F3E09"/>
    <w:rsid w:val="003F3F29"/>
    <w:rsid w:val="003F4709"/>
    <w:rsid w:val="003F54A4"/>
    <w:rsid w:val="003F70F2"/>
    <w:rsid w:val="003F71DF"/>
    <w:rsid w:val="003F72BA"/>
    <w:rsid w:val="003F77E3"/>
    <w:rsid w:val="003F7F62"/>
    <w:rsid w:val="003F7F77"/>
    <w:rsid w:val="00400A3D"/>
    <w:rsid w:val="004010BC"/>
    <w:rsid w:val="00401992"/>
    <w:rsid w:val="0040199C"/>
    <w:rsid w:val="00402750"/>
    <w:rsid w:val="00402C03"/>
    <w:rsid w:val="00404BFF"/>
    <w:rsid w:val="00405029"/>
    <w:rsid w:val="00405433"/>
    <w:rsid w:val="0040566D"/>
    <w:rsid w:val="00406D0D"/>
    <w:rsid w:val="00407515"/>
    <w:rsid w:val="0040781C"/>
    <w:rsid w:val="0040783A"/>
    <w:rsid w:val="00407A25"/>
    <w:rsid w:val="00410552"/>
    <w:rsid w:val="00412D3E"/>
    <w:rsid w:val="00413448"/>
    <w:rsid w:val="004135D1"/>
    <w:rsid w:val="004151D9"/>
    <w:rsid w:val="0041597A"/>
    <w:rsid w:val="00415BAB"/>
    <w:rsid w:val="00415ED2"/>
    <w:rsid w:val="00417358"/>
    <w:rsid w:val="00417EC4"/>
    <w:rsid w:val="0042068C"/>
    <w:rsid w:val="00423679"/>
    <w:rsid w:val="004237FF"/>
    <w:rsid w:val="004255DF"/>
    <w:rsid w:val="00425A70"/>
    <w:rsid w:val="00425E93"/>
    <w:rsid w:val="00425F7D"/>
    <w:rsid w:val="00426BDE"/>
    <w:rsid w:val="004272FF"/>
    <w:rsid w:val="00427550"/>
    <w:rsid w:val="004302BF"/>
    <w:rsid w:val="00432822"/>
    <w:rsid w:val="004329CC"/>
    <w:rsid w:val="00436359"/>
    <w:rsid w:val="004403F9"/>
    <w:rsid w:val="00440567"/>
    <w:rsid w:val="00440575"/>
    <w:rsid w:val="00440840"/>
    <w:rsid w:val="00440DC7"/>
    <w:rsid w:val="004414C2"/>
    <w:rsid w:val="00441C8E"/>
    <w:rsid w:val="00441FD9"/>
    <w:rsid w:val="004429D9"/>
    <w:rsid w:val="00442C5B"/>
    <w:rsid w:val="0044318E"/>
    <w:rsid w:val="00443B35"/>
    <w:rsid w:val="004457D6"/>
    <w:rsid w:val="00446813"/>
    <w:rsid w:val="00446BEE"/>
    <w:rsid w:val="00446C55"/>
    <w:rsid w:val="0045002C"/>
    <w:rsid w:val="0045009B"/>
    <w:rsid w:val="004508F2"/>
    <w:rsid w:val="00450A9D"/>
    <w:rsid w:val="00451303"/>
    <w:rsid w:val="0045178C"/>
    <w:rsid w:val="00452577"/>
    <w:rsid w:val="004526AC"/>
    <w:rsid w:val="0045293D"/>
    <w:rsid w:val="00453055"/>
    <w:rsid w:val="0045463B"/>
    <w:rsid w:val="004557E4"/>
    <w:rsid w:val="00455DAE"/>
    <w:rsid w:val="00455E26"/>
    <w:rsid w:val="00456622"/>
    <w:rsid w:val="00460C2D"/>
    <w:rsid w:val="00461362"/>
    <w:rsid w:val="0046146A"/>
    <w:rsid w:val="00461628"/>
    <w:rsid w:val="00461D9A"/>
    <w:rsid w:val="004629A8"/>
    <w:rsid w:val="00463268"/>
    <w:rsid w:val="00466988"/>
    <w:rsid w:val="00470634"/>
    <w:rsid w:val="0047092D"/>
    <w:rsid w:val="0047122B"/>
    <w:rsid w:val="004717DD"/>
    <w:rsid w:val="00472125"/>
    <w:rsid w:val="00472B74"/>
    <w:rsid w:val="004730C9"/>
    <w:rsid w:val="0047365B"/>
    <w:rsid w:val="00473B7A"/>
    <w:rsid w:val="00474922"/>
    <w:rsid w:val="00475A5D"/>
    <w:rsid w:val="004771D9"/>
    <w:rsid w:val="00481F5D"/>
    <w:rsid w:val="0048216C"/>
    <w:rsid w:val="004821BC"/>
    <w:rsid w:val="004829F6"/>
    <w:rsid w:val="00482D44"/>
    <w:rsid w:val="004836D4"/>
    <w:rsid w:val="00483D96"/>
    <w:rsid w:val="00485CA3"/>
    <w:rsid w:val="00485DBF"/>
    <w:rsid w:val="00486441"/>
    <w:rsid w:val="004907D8"/>
    <w:rsid w:val="00490CC9"/>
    <w:rsid w:val="00492C4A"/>
    <w:rsid w:val="00493A74"/>
    <w:rsid w:val="00495EFD"/>
    <w:rsid w:val="004960E9"/>
    <w:rsid w:val="00497384"/>
    <w:rsid w:val="00497DC9"/>
    <w:rsid w:val="004A11FA"/>
    <w:rsid w:val="004A221B"/>
    <w:rsid w:val="004A2E88"/>
    <w:rsid w:val="004A3BDC"/>
    <w:rsid w:val="004A5305"/>
    <w:rsid w:val="004A6144"/>
    <w:rsid w:val="004A6D92"/>
    <w:rsid w:val="004B01D3"/>
    <w:rsid w:val="004B132B"/>
    <w:rsid w:val="004B13C6"/>
    <w:rsid w:val="004B41C9"/>
    <w:rsid w:val="004B5A72"/>
    <w:rsid w:val="004B68F4"/>
    <w:rsid w:val="004B7FAF"/>
    <w:rsid w:val="004C0257"/>
    <w:rsid w:val="004C0564"/>
    <w:rsid w:val="004C05BC"/>
    <w:rsid w:val="004C3072"/>
    <w:rsid w:val="004C415D"/>
    <w:rsid w:val="004C44A7"/>
    <w:rsid w:val="004C485A"/>
    <w:rsid w:val="004C5DCB"/>
    <w:rsid w:val="004C687E"/>
    <w:rsid w:val="004D040D"/>
    <w:rsid w:val="004D182B"/>
    <w:rsid w:val="004D1B6F"/>
    <w:rsid w:val="004D1DC2"/>
    <w:rsid w:val="004D355C"/>
    <w:rsid w:val="004D4B8C"/>
    <w:rsid w:val="004D5A3A"/>
    <w:rsid w:val="004D678C"/>
    <w:rsid w:val="004D6BC4"/>
    <w:rsid w:val="004D72B2"/>
    <w:rsid w:val="004D7634"/>
    <w:rsid w:val="004E1214"/>
    <w:rsid w:val="004E196A"/>
    <w:rsid w:val="004E410F"/>
    <w:rsid w:val="004E55D4"/>
    <w:rsid w:val="004E5EAA"/>
    <w:rsid w:val="004E611A"/>
    <w:rsid w:val="004E617B"/>
    <w:rsid w:val="004E650C"/>
    <w:rsid w:val="004F0852"/>
    <w:rsid w:val="004F165C"/>
    <w:rsid w:val="004F177E"/>
    <w:rsid w:val="004F17CA"/>
    <w:rsid w:val="004F339F"/>
    <w:rsid w:val="004F373D"/>
    <w:rsid w:val="004F3DF8"/>
    <w:rsid w:val="004F5343"/>
    <w:rsid w:val="004F5F72"/>
    <w:rsid w:val="004F6360"/>
    <w:rsid w:val="004F6460"/>
    <w:rsid w:val="005010CF"/>
    <w:rsid w:val="00501AAD"/>
    <w:rsid w:val="00501B46"/>
    <w:rsid w:val="00503B34"/>
    <w:rsid w:val="005044C6"/>
    <w:rsid w:val="00505138"/>
    <w:rsid w:val="00505FC9"/>
    <w:rsid w:val="00506AFF"/>
    <w:rsid w:val="00506E54"/>
    <w:rsid w:val="00506EFF"/>
    <w:rsid w:val="00507DC6"/>
    <w:rsid w:val="0051095E"/>
    <w:rsid w:val="00512094"/>
    <w:rsid w:val="0051288E"/>
    <w:rsid w:val="00513117"/>
    <w:rsid w:val="00513332"/>
    <w:rsid w:val="005145AE"/>
    <w:rsid w:val="00515D56"/>
    <w:rsid w:val="0051635B"/>
    <w:rsid w:val="00516E25"/>
    <w:rsid w:val="00516E64"/>
    <w:rsid w:val="00517400"/>
    <w:rsid w:val="00517BCE"/>
    <w:rsid w:val="00517ECD"/>
    <w:rsid w:val="00521271"/>
    <w:rsid w:val="00521367"/>
    <w:rsid w:val="0052144F"/>
    <w:rsid w:val="00521637"/>
    <w:rsid w:val="00523188"/>
    <w:rsid w:val="00523A96"/>
    <w:rsid w:val="0052525C"/>
    <w:rsid w:val="00525389"/>
    <w:rsid w:val="00525697"/>
    <w:rsid w:val="00525AEE"/>
    <w:rsid w:val="00526A6A"/>
    <w:rsid w:val="00526C8C"/>
    <w:rsid w:val="0052720E"/>
    <w:rsid w:val="0052725A"/>
    <w:rsid w:val="005300D3"/>
    <w:rsid w:val="0053058C"/>
    <w:rsid w:val="0053133C"/>
    <w:rsid w:val="0053520D"/>
    <w:rsid w:val="00536925"/>
    <w:rsid w:val="0054109E"/>
    <w:rsid w:val="00542A10"/>
    <w:rsid w:val="00543038"/>
    <w:rsid w:val="005439F7"/>
    <w:rsid w:val="00543B0C"/>
    <w:rsid w:val="00544F82"/>
    <w:rsid w:val="00545317"/>
    <w:rsid w:val="00545DA9"/>
    <w:rsid w:val="005460E7"/>
    <w:rsid w:val="00546568"/>
    <w:rsid w:val="00546CD5"/>
    <w:rsid w:val="0054716E"/>
    <w:rsid w:val="005509D2"/>
    <w:rsid w:val="00551609"/>
    <w:rsid w:val="00551C12"/>
    <w:rsid w:val="005520BF"/>
    <w:rsid w:val="0055296B"/>
    <w:rsid w:val="005532D5"/>
    <w:rsid w:val="0055403E"/>
    <w:rsid w:val="00554C96"/>
    <w:rsid w:val="005556FC"/>
    <w:rsid w:val="00555BA6"/>
    <w:rsid w:val="00555F0E"/>
    <w:rsid w:val="0055691A"/>
    <w:rsid w:val="00557262"/>
    <w:rsid w:val="00560A68"/>
    <w:rsid w:val="005628C1"/>
    <w:rsid w:val="00563C43"/>
    <w:rsid w:val="00563E79"/>
    <w:rsid w:val="0056428B"/>
    <w:rsid w:val="00564B67"/>
    <w:rsid w:val="00564B8B"/>
    <w:rsid w:val="00564EDF"/>
    <w:rsid w:val="0056570C"/>
    <w:rsid w:val="00566685"/>
    <w:rsid w:val="0056668A"/>
    <w:rsid w:val="00566C12"/>
    <w:rsid w:val="005673AC"/>
    <w:rsid w:val="00570CC7"/>
    <w:rsid w:val="005711EC"/>
    <w:rsid w:val="005714A3"/>
    <w:rsid w:val="00571C46"/>
    <w:rsid w:val="00571D26"/>
    <w:rsid w:val="00574008"/>
    <w:rsid w:val="005750F5"/>
    <w:rsid w:val="00577185"/>
    <w:rsid w:val="0058059D"/>
    <w:rsid w:val="005843A4"/>
    <w:rsid w:val="005851B8"/>
    <w:rsid w:val="00585CF8"/>
    <w:rsid w:val="00585EEC"/>
    <w:rsid w:val="00586135"/>
    <w:rsid w:val="00586CF2"/>
    <w:rsid w:val="00590B8B"/>
    <w:rsid w:val="00590FA3"/>
    <w:rsid w:val="005912D1"/>
    <w:rsid w:val="0059145D"/>
    <w:rsid w:val="00593C4F"/>
    <w:rsid w:val="005943AA"/>
    <w:rsid w:val="005946A8"/>
    <w:rsid w:val="00594821"/>
    <w:rsid w:val="00595129"/>
    <w:rsid w:val="0059537B"/>
    <w:rsid w:val="00597A57"/>
    <w:rsid w:val="005A01FB"/>
    <w:rsid w:val="005A0DB4"/>
    <w:rsid w:val="005A0E0C"/>
    <w:rsid w:val="005A2771"/>
    <w:rsid w:val="005A32ED"/>
    <w:rsid w:val="005A35ED"/>
    <w:rsid w:val="005A3E1C"/>
    <w:rsid w:val="005A4407"/>
    <w:rsid w:val="005A4E7B"/>
    <w:rsid w:val="005A59EF"/>
    <w:rsid w:val="005A5B8B"/>
    <w:rsid w:val="005A5DF6"/>
    <w:rsid w:val="005A648D"/>
    <w:rsid w:val="005A6D6D"/>
    <w:rsid w:val="005A7385"/>
    <w:rsid w:val="005B1C7E"/>
    <w:rsid w:val="005B2098"/>
    <w:rsid w:val="005B20F7"/>
    <w:rsid w:val="005B3F79"/>
    <w:rsid w:val="005B6CB3"/>
    <w:rsid w:val="005B6E70"/>
    <w:rsid w:val="005C00E9"/>
    <w:rsid w:val="005C0F45"/>
    <w:rsid w:val="005C1C67"/>
    <w:rsid w:val="005C2146"/>
    <w:rsid w:val="005C2813"/>
    <w:rsid w:val="005C36C6"/>
    <w:rsid w:val="005C3BAA"/>
    <w:rsid w:val="005C51B8"/>
    <w:rsid w:val="005C6976"/>
    <w:rsid w:val="005C772C"/>
    <w:rsid w:val="005C7781"/>
    <w:rsid w:val="005D0A73"/>
    <w:rsid w:val="005D1C05"/>
    <w:rsid w:val="005D1DE8"/>
    <w:rsid w:val="005D3126"/>
    <w:rsid w:val="005D352F"/>
    <w:rsid w:val="005D533D"/>
    <w:rsid w:val="005D5BC6"/>
    <w:rsid w:val="005D5F64"/>
    <w:rsid w:val="005D7530"/>
    <w:rsid w:val="005E2B7C"/>
    <w:rsid w:val="005E3DB5"/>
    <w:rsid w:val="005E4914"/>
    <w:rsid w:val="005E535C"/>
    <w:rsid w:val="005E6234"/>
    <w:rsid w:val="005F023D"/>
    <w:rsid w:val="005F2160"/>
    <w:rsid w:val="005F3244"/>
    <w:rsid w:val="005F3416"/>
    <w:rsid w:val="005F3538"/>
    <w:rsid w:val="005F39BD"/>
    <w:rsid w:val="005F39CA"/>
    <w:rsid w:val="005F4D0C"/>
    <w:rsid w:val="005F502F"/>
    <w:rsid w:val="005F526D"/>
    <w:rsid w:val="005F6F41"/>
    <w:rsid w:val="005F7013"/>
    <w:rsid w:val="00601487"/>
    <w:rsid w:val="00601DDF"/>
    <w:rsid w:val="00601F10"/>
    <w:rsid w:val="00602457"/>
    <w:rsid w:val="00602C53"/>
    <w:rsid w:val="0060532A"/>
    <w:rsid w:val="00605DA0"/>
    <w:rsid w:val="00605DA7"/>
    <w:rsid w:val="006102A4"/>
    <w:rsid w:val="00610A14"/>
    <w:rsid w:val="0061112B"/>
    <w:rsid w:val="0061198C"/>
    <w:rsid w:val="00611B5C"/>
    <w:rsid w:val="006140AF"/>
    <w:rsid w:val="00614138"/>
    <w:rsid w:val="00614509"/>
    <w:rsid w:val="0061581B"/>
    <w:rsid w:val="006166B9"/>
    <w:rsid w:val="00616B17"/>
    <w:rsid w:val="00620164"/>
    <w:rsid w:val="006203E4"/>
    <w:rsid w:val="00620DCF"/>
    <w:rsid w:val="00620F71"/>
    <w:rsid w:val="00621736"/>
    <w:rsid w:val="00622D5C"/>
    <w:rsid w:val="00623032"/>
    <w:rsid w:val="006236DF"/>
    <w:rsid w:val="00624AF6"/>
    <w:rsid w:val="006259EB"/>
    <w:rsid w:val="00625BCF"/>
    <w:rsid w:val="00625D9F"/>
    <w:rsid w:val="00625DC6"/>
    <w:rsid w:val="006263B4"/>
    <w:rsid w:val="006270D6"/>
    <w:rsid w:val="0062729D"/>
    <w:rsid w:val="00627335"/>
    <w:rsid w:val="006310C9"/>
    <w:rsid w:val="00631D91"/>
    <w:rsid w:val="006327E7"/>
    <w:rsid w:val="00632871"/>
    <w:rsid w:val="006351E5"/>
    <w:rsid w:val="00635B22"/>
    <w:rsid w:val="00635B25"/>
    <w:rsid w:val="00636835"/>
    <w:rsid w:val="00637F1B"/>
    <w:rsid w:val="006400D5"/>
    <w:rsid w:val="006402E5"/>
    <w:rsid w:val="0064057A"/>
    <w:rsid w:val="006412C6"/>
    <w:rsid w:val="00641554"/>
    <w:rsid w:val="0064343E"/>
    <w:rsid w:val="00643719"/>
    <w:rsid w:val="0064391D"/>
    <w:rsid w:val="00644E86"/>
    <w:rsid w:val="006456FE"/>
    <w:rsid w:val="00645BF9"/>
    <w:rsid w:val="00645ED6"/>
    <w:rsid w:val="0064648A"/>
    <w:rsid w:val="00646756"/>
    <w:rsid w:val="006508AB"/>
    <w:rsid w:val="00650D7D"/>
    <w:rsid w:val="00651154"/>
    <w:rsid w:val="006516F4"/>
    <w:rsid w:val="00651821"/>
    <w:rsid w:val="00651BBF"/>
    <w:rsid w:val="00651C8E"/>
    <w:rsid w:val="006528E5"/>
    <w:rsid w:val="00652979"/>
    <w:rsid w:val="00652BEB"/>
    <w:rsid w:val="00653410"/>
    <w:rsid w:val="00653A5C"/>
    <w:rsid w:val="00654384"/>
    <w:rsid w:val="00657B06"/>
    <w:rsid w:val="00660AF7"/>
    <w:rsid w:val="00661763"/>
    <w:rsid w:val="006622B2"/>
    <w:rsid w:val="00663B7D"/>
    <w:rsid w:val="00665B7D"/>
    <w:rsid w:val="00666A1D"/>
    <w:rsid w:val="006675CD"/>
    <w:rsid w:val="00667AD5"/>
    <w:rsid w:val="00667BDF"/>
    <w:rsid w:val="00667C7D"/>
    <w:rsid w:val="0067184C"/>
    <w:rsid w:val="0067238D"/>
    <w:rsid w:val="00672517"/>
    <w:rsid w:val="006740B2"/>
    <w:rsid w:val="00674313"/>
    <w:rsid w:val="006747D5"/>
    <w:rsid w:val="00675985"/>
    <w:rsid w:val="00676724"/>
    <w:rsid w:val="00677E6A"/>
    <w:rsid w:val="00680BFA"/>
    <w:rsid w:val="00682A2F"/>
    <w:rsid w:val="0068360C"/>
    <w:rsid w:val="00683EB3"/>
    <w:rsid w:val="00684578"/>
    <w:rsid w:val="00684D9B"/>
    <w:rsid w:val="0068510A"/>
    <w:rsid w:val="00685BCB"/>
    <w:rsid w:val="006860FB"/>
    <w:rsid w:val="00686317"/>
    <w:rsid w:val="00690CEF"/>
    <w:rsid w:val="006918A8"/>
    <w:rsid w:val="00692345"/>
    <w:rsid w:val="0069245B"/>
    <w:rsid w:val="00694071"/>
    <w:rsid w:val="006947FF"/>
    <w:rsid w:val="006948FC"/>
    <w:rsid w:val="00694E6C"/>
    <w:rsid w:val="00697556"/>
    <w:rsid w:val="006978F7"/>
    <w:rsid w:val="006A1CA8"/>
    <w:rsid w:val="006A1EB6"/>
    <w:rsid w:val="006A2A23"/>
    <w:rsid w:val="006A2EDF"/>
    <w:rsid w:val="006A31E8"/>
    <w:rsid w:val="006A3E2A"/>
    <w:rsid w:val="006A4993"/>
    <w:rsid w:val="006A4BBD"/>
    <w:rsid w:val="006A5EB3"/>
    <w:rsid w:val="006A616B"/>
    <w:rsid w:val="006A72C7"/>
    <w:rsid w:val="006B0670"/>
    <w:rsid w:val="006B1054"/>
    <w:rsid w:val="006B1A05"/>
    <w:rsid w:val="006B1FDF"/>
    <w:rsid w:val="006B3D1D"/>
    <w:rsid w:val="006B3FBE"/>
    <w:rsid w:val="006B4081"/>
    <w:rsid w:val="006B4647"/>
    <w:rsid w:val="006B4C2B"/>
    <w:rsid w:val="006B5DFE"/>
    <w:rsid w:val="006B6139"/>
    <w:rsid w:val="006B6194"/>
    <w:rsid w:val="006B661E"/>
    <w:rsid w:val="006B6D47"/>
    <w:rsid w:val="006B7078"/>
    <w:rsid w:val="006B719A"/>
    <w:rsid w:val="006C077F"/>
    <w:rsid w:val="006C153F"/>
    <w:rsid w:val="006C1FD7"/>
    <w:rsid w:val="006C39C5"/>
    <w:rsid w:val="006C3E16"/>
    <w:rsid w:val="006C4912"/>
    <w:rsid w:val="006C5AFE"/>
    <w:rsid w:val="006C5F0F"/>
    <w:rsid w:val="006C7715"/>
    <w:rsid w:val="006C7AF6"/>
    <w:rsid w:val="006C7EED"/>
    <w:rsid w:val="006C7F6B"/>
    <w:rsid w:val="006D1CB3"/>
    <w:rsid w:val="006D1ED8"/>
    <w:rsid w:val="006D2747"/>
    <w:rsid w:val="006D30B1"/>
    <w:rsid w:val="006D5E04"/>
    <w:rsid w:val="006D7E34"/>
    <w:rsid w:val="006E0A54"/>
    <w:rsid w:val="006E155D"/>
    <w:rsid w:val="006E1EEA"/>
    <w:rsid w:val="006E38F5"/>
    <w:rsid w:val="006E4298"/>
    <w:rsid w:val="006E4C15"/>
    <w:rsid w:val="006E523F"/>
    <w:rsid w:val="006E5FC3"/>
    <w:rsid w:val="006F2302"/>
    <w:rsid w:val="006F268E"/>
    <w:rsid w:val="006F2EC8"/>
    <w:rsid w:val="006F33A3"/>
    <w:rsid w:val="006F3970"/>
    <w:rsid w:val="006F4824"/>
    <w:rsid w:val="006F51FB"/>
    <w:rsid w:val="006F56D0"/>
    <w:rsid w:val="006F5E13"/>
    <w:rsid w:val="006F625C"/>
    <w:rsid w:val="006F6886"/>
    <w:rsid w:val="006F6BF3"/>
    <w:rsid w:val="006F6D95"/>
    <w:rsid w:val="006F7CFE"/>
    <w:rsid w:val="007018C5"/>
    <w:rsid w:val="007022AC"/>
    <w:rsid w:val="00702937"/>
    <w:rsid w:val="00702EFF"/>
    <w:rsid w:val="00703B48"/>
    <w:rsid w:val="00703F67"/>
    <w:rsid w:val="00705BF0"/>
    <w:rsid w:val="00705E23"/>
    <w:rsid w:val="00705F85"/>
    <w:rsid w:val="00706179"/>
    <w:rsid w:val="00706F13"/>
    <w:rsid w:val="00706FF6"/>
    <w:rsid w:val="007072E8"/>
    <w:rsid w:val="007076F9"/>
    <w:rsid w:val="007076FB"/>
    <w:rsid w:val="00707ED5"/>
    <w:rsid w:val="00710CBC"/>
    <w:rsid w:val="00710FF1"/>
    <w:rsid w:val="00711E2F"/>
    <w:rsid w:val="007127EF"/>
    <w:rsid w:val="007134B4"/>
    <w:rsid w:val="00714A31"/>
    <w:rsid w:val="00714FD3"/>
    <w:rsid w:val="0071618D"/>
    <w:rsid w:val="0071638C"/>
    <w:rsid w:val="00720AE2"/>
    <w:rsid w:val="00720E2E"/>
    <w:rsid w:val="0072116F"/>
    <w:rsid w:val="00721534"/>
    <w:rsid w:val="00721A52"/>
    <w:rsid w:val="00721D5B"/>
    <w:rsid w:val="00722B3D"/>
    <w:rsid w:val="00723714"/>
    <w:rsid w:val="00723CF0"/>
    <w:rsid w:val="00723E6C"/>
    <w:rsid w:val="0072463D"/>
    <w:rsid w:val="00724792"/>
    <w:rsid w:val="00724A10"/>
    <w:rsid w:val="00724C58"/>
    <w:rsid w:val="00725FA4"/>
    <w:rsid w:val="007275E4"/>
    <w:rsid w:val="00727B2C"/>
    <w:rsid w:val="00732B59"/>
    <w:rsid w:val="00732E0B"/>
    <w:rsid w:val="00732FDC"/>
    <w:rsid w:val="0073309A"/>
    <w:rsid w:val="00733DD7"/>
    <w:rsid w:val="007340CC"/>
    <w:rsid w:val="00734187"/>
    <w:rsid w:val="00734C73"/>
    <w:rsid w:val="007351C6"/>
    <w:rsid w:val="00736B70"/>
    <w:rsid w:val="00740446"/>
    <w:rsid w:val="00742009"/>
    <w:rsid w:val="007438A9"/>
    <w:rsid w:val="00743E7F"/>
    <w:rsid w:val="0074491E"/>
    <w:rsid w:val="00745C85"/>
    <w:rsid w:val="00746724"/>
    <w:rsid w:val="00746E56"/>
    <w:rsid w:val="007511E4"/>
    <w:rsid w:val="0075578E"/>
    <w:rsid w:val="00756ABB"/>
    <w:rsid w:val="007602F3"/>
    <w:rsid w:val="007605AC"/>
    <w:rsid w:val="0076163F"/>
    <w:rsid w:val="0076247A"/>
    <w:rsid w:val="00762FB0"/>
    <w:rsid w:val="00763175"/>
    <w:rsid w:val="00763381"/>
    <w:rsid w:val="007640AB"/>
    <w:rsid w:val="007654F3"/>
    <w:rsid w:val="0076625D"/>
    <w:rsid w:val="00767391"/>
    <w:rsid w:val="007705CD"/>
    <w:rsid w:val="00771B7C"/>
    <w:rsid w:val="00772B72"/>
    <w:rsid w:val="00774ABE"/>
    <w:rsid w:val="00774E3B"/>
    <w:rsid w:val="00775964"/>
    <w:rsid w:val="00776095"/>
    <w:rsid w:val="0077639F"/>
    <w:rsid w:val="007765FE"/>
    <w:rsid w:val="007766B3"/>
    <w:rsid w:val="00777163"/>
    <w:rsid w:val="00781E1A"/>
    <w:rsid w:val="007823E3"/>
    <w:rsid w:val="00785678"/>
    <w:rsid w:val="00787E5A"/>
    <w:rsid w:val="00790375"/>
    <w:rsid w:val="007910F2"/>
    <w:rsid w:val="007914FE"/>
    <w:rsid w:val="007928B7"/>
    <w:rsid w:val="00793623"/>
    <w:rsid w:val="007939E2"/>
    <w:rsid w:val="00793C5D"/>
    <w:rsid w:val="00793FA6"/>
    <w:rsid w:val="00794E2E"/>
    <w:rsid w:val="00795373"/>
    <w:rsid w:val="00795BFB"/>
    <w:rsid w:val="00797DBC"/>
    <w:rsid w:val="007A060C"/>
    <w:rsid w:val="007A1FE8"/>
    <w:rsid w:val="007A5379"/>
    <w:rsid w:val="007A5E57"/>
    <w:rsid w:val="007B0FAC"/>
    <w:rsid w:val="007B100F"/>
    <w:rsid w:val="007B1CF5"/>
    <w:rsid w:val="007B2760"/>
    <w:rsid w:val="007B53E9"/>
    <w:rsid w:val="007B564B"/>
    <w:rsid w:val="007B5CF2"/>
    <w:rsid w:val="007B5F8C"/>
    <w:rsid w:val="007B6903"/>
    <w:rsid w:val="007B6C0B"/>
    <w:rsid w:val="007B71EE"/>
    <w:rsid w:val="007B73FC"/>
    <w:rsid w:val="007B77CE"/>
    <w:rsid w:val="007B7ACF"/>
    <w:rsid w:val="007C0A8E"/>
    <w:rsid w:val="007C127E"/>
    <w:rsid w:val="007C1B10"/>
    <w:rsid w:val="007C2407"/>
    <w:rsid w:val="007C378B"/>
    <w:rsid w:val="007C585E"/>
    <w:rsid w:val="007C5B24"/>
    <w:rsid w:val="007C6290"/>
    <w:rsid w:val="007C679C"/>
    <w:rsid w:val="007C79E3"/>
    <w:rsid w:val="007D073E"/>
    <w:rsid w:val="007D1D55"/>
    <w:rsid w:val="007D4665"/>
    <w:rsid w:val="007D49D7"/>
    <w:rsid w:val="007D688D"/>
    <w:rsid w:val="007D69D2"/>
    <w:rsid w:val="007D6B92"/>
    <w:rsid w:val="007E09A4"/>
    <w:rsid w:val="007E1112"/>
    <w:rsid w:val="007E2283"/>
    <w:rsid w:val="007E27DA"/>
    <w:rsid w:val="007E3430"/>
    <w:rsid w:val="007E3D47"/>
    <w:rsid w:val="007E4A8E"/>
    <w:rsid w:val="007E53C7"/>
    <w:rsid w:val="007E5792"/>
    <w:rsid w:val="007E5AC9"/>
    <w:rsid w:val="007E5B81"/>
    <w:rsid w:val="007E66B1"/>
    <w:rsid w:val="007E6772"/>
    <w:rsid w:val="007E70EB"/>
    <w:rsid w:val="007E71A4"/>
    <w:rsid w:val="007E72CE"/>
    <w:rsid w:val="007E7529"/>
    <w:rsid w:val="007E7A97"/>
    <w:rsid w:val="007F1280"/>
    <w:rsid w:val="007F54DB"/>
    <w:rsid w:val="007F5A68"/>
    <w:rsid w:val="007F6527"/>
    <w:rsid w:val="007F6598"/>
    <w:rsid w:val="007F6C99"/>
    <w:rsid w:val="007F7C1B"/>
    <w:rsid w:val="00800D21"/>
    <w:rsid w:val="00801F33"/>
    <w:rsid w:val="00802E44"/>
    <w:rsid w:val="00803071"/>
    <w:rsid w:val="0080401E"/>
    <w:rsid w:val="008042C8"/>
    <w:rsid w:val="008043BB"/>
    <w:rsid w:val="00804D2E"/>
    <w:rsid w:val="00804D6F"/>
    <w:rsid w:val="00804DE5"/>
    <w:rsid w:val="0080638E"/>
    <w:rsid w:val="00806C01"/>
    <w:rsid w:val="00810456"/>
    <w:rsid w:val="008109A6"/>
    <w:rsid w:val="00810A93"/>
    <w:rsid w:val="00811D3E"/>
    <w:rsid w:val="00812BAE"/>
    <w:rsid w:val="008148CC"/>
    <w:rsid w:val="00815B09"/>
    <w:rsid w:val="008167FC"/>
    <w:rsid w:val="00817731"/>
    <w:rsid w:val="008211A4"/>
    <w:rsid w:val="00821257"/>
    <w:rsid w:val="00821986"/>
    <w:rsid w:val="008221CC"/>
    <w:rsid w:val="0082264D"/>
    <w:rsid w:val="00822961"/>
    <w:rsid w:val="0082304A"/>
    <w:rsid w:val="0082311D"/>
    <w:rsid w:val="008237CA"/>
    <w:rsid w:val="008251BC"/>
    <w:rsid w:val="00826E96"/>
    <w:rsid w:val="008276D9"/>
    <w:rsid w:val="00827DCB"/>
    <w:rsid w:val="00830FF0"/>
    <w:rsid w:val="0083140E"/>
    <w:rsid w:val="0083169C"/>
    <w:rsid w:val="008318F6"/>
    <w:rsid w:val="00831A7D"/>
    <w:rsid w:val="008324DF"/>
    <w:rsid w:val="00832A68"/>
    <w:rsid w:val="00834EFB"/>
    <w:rsid w:val="008356CA"/>
    <w:rsid w:val="00836BE3"/>
    <w:rsid w:val="00837AD4"/>
    <w:rsid w:val="008405D2"/>
    <w:rsid w:val="00841C6A"/>
    <w:rsid w:val="00841D80"/>
    <w:rsid w:val="00842049"/>
    <w:rsid w:val="00842644"/>
    <w:rsid w:val="00842BF3"/>
    <w:rsid w:val="00843734"/>
    <w:rsid w:val="00843DAD"/>
    <w:rsid w:val="00845BAD"/>
    <w:rsid w:val="0084642E"/>
    <w:rsid w:val="0084690C"/>
    <w:rsid w:val="0084693A"/>
    <w:rsid w:val="00847A87"/>
    <w:rsid w:val="0085094C"/>
    <w:rsid w:val="00850F2F"/>
    <w:rsid w:val="008511DC"/>
    <w:rsid w:val="008516F1"/>
    <w:rsid w:val="00851B06"/>
    <w:rsid w:val="00852ACA"/>
    <w:rsid w:val="0085369E"/>
    <w:rsid w:val="00854203"/>
    <w:rsid w:val="008556FC"/>
    <w:rsid w:val="0085640E"/>
    <w:rsid w:val="008567D4"/>
    <w:rsid w:val="0085773A"/>
    <w:rsid w:val="00860944"/>
    <w:rsid w:val="00861829"/>
    <w:rsid w:val="008625B3"/>
    <w:rsid w:val="00862E48"/>
    <w:rsid w:val="00863A37"/>
    <w:rsid w:val="00863AB8"/>
    <w:rsid w:val="00864C35"/>
    <w:rsid w:val="00864F48"/>
    <w:rsid w:val="00865C16"/>
    <w:rsid w:val="00870417"/>
    <w:rsid w:val="0087131E"/>
    <w:rsid w:val="0087143B"/>
    <w:rsid w:val="00871A0E"/>
    <w:rsid w:val="00872617"/>
    <w:rsid w:val="00873150"/>
    <w:rsid w:val="00873E50"/>
    <w:rsid w:val="00873F4F"/>
    <w:rsid w:val="00873FF9"/>
    <w:rsid w:val="00874329"/>
    <w:rsid w:val="00874613"/>
    <w:rsid w:val="00875B5E"/>
    <w:rsid w:val="00876557"/>
    <w:rsid w:val="0087657D"/>
    <w:rsid w:val="0087730D"/>
    <w:rsid w:val="008807D5"/>
    <w:rsid w:val="00880832"/>
    <w:rsid w:val="00881A25"/>
    <w:rsid w:val="00881D1E"/>
    <w:rsid w:val="0088369F"/>
    <w:rsid w:val="008836A4"/>
    <w:rsid w:val="00884D80"/>
    <w:rsid w:val="00886047"/>
    <w:rsid w:val="00886D19"/>
    <w:rsid w:val="00886EE1"/>
    <w:rsid w:val="0088727D"/>
    <w:rsid w:val="00887F31"/>
    <w:rsid w:val="008902C7"/>
    <w:rsid w:val="0089291A"/>
    <w:rsid w:val="00892A07"/>
    <w:rsid w:val="00892F2C"/>
    <w:rsid w:val="0089340F"/>
    <w:rsid w:val="008944D2"/>
    <w:rsid w:val="00894B89"/>
    <w:rsid w:val="00895326"/>
    <w:rsid w:val="00896F62"/>
    <w:rsid w:val="0089779F"/>
    <w:rsid w:val="00897C27"/>
    <w:rsid w:val="00897C75"/>
    <w:rsid w:val="008A0F70"/>
    <w:rsid w:val="008A1221"/>
    <w:rsid w:val="008A1461"/>
    <w:rsid w:val="008A1EDB"/>
    <w:rsid w:val="008A2565"/>
    <w:rsid w:val="008A3CD8"/>
    <w:rsid w:val="008A4148"/>
    <w:rsid w:val="008A4BD9"/>
    <w:rsid w:val="008A4F3A"/>
    <w:rsid w:val="008A6101"/>
    <w:rsid w:val="008A66C8"/>
    <w:rsid w:val="008A6BE9"/>
    <w:rsid w:val="008A74B4"/>
    <w:rsid w:val="008A7669"/>
    <w:rsid w:val="008B1869"/>
    <w:rsid w:val="008B18CD"/>
    <w:rsid w:val="008B21A6"/>
    <w:rsid w:val="008B220B"/>
    <w:rsid w:val="008B2CEF"/>
    <w:rsid w:val="008B2EAF"/>
    <w:rsid w:val="008B3AEF"/>
    <w:rsid w:val="008B3DAA"/>
    <w:rsid w:val="008B502D"/>
    <w:rsid w:val="008B61E5"/>
    <w:rsid w:val="008B6760"/>
    <w:rsid w:val="008B69FE"/>
    <w:rsid w:val="008B6CFD"/>
    <w:rsid w:val="008B7358"/>
    <w:rsid w:val="008C066D"/>
    <w:rsid w:val="008C1097"/>
    <w:rsid w:val="008C1130"/>
    <w:rsid w:val="008C1914"/>
    <w:rsid w:val="008C1DEE"/>
    <w:rsid w:val="008C3591"/>
    <w:rsid w:val="008C38AB"/>
    <w:rsid w:val="008C5419"/>
    <w:rsid w:val="008C54CC"/>
    <w:rsid w:val="008C6406"/>
    <w:rsid w:val="008C6D97"/>
    <w:rsid w:val="008C6F1F"/>
    <w:rsid w:val="008C7A5E"/>
    <w:rsid w:val="008C7A64"/>
    <w:rsid w:val="008C7ED8"/>
    <w:rsid w:val="008D01AC"/>
    <w:rsid w:val="008D0647"/>
    <w:rsid w:val="008D13D1"/>
    <w:rsid w:val="008D18E6"/>
    <w:rsid w:val="008D1DC5"/>
    <w:rsid w:val="008D2C6D"/>
    <w:rsid w:val="008D3144"/>
    <w:rsid w:val="008D3613"/>
    <w:rsid w:val="008D3E90"/>
    <w:rsid w:val="008D4375"/>
    <w:rsid w:val="008D466D"/>
    <w:rsid w:val="008D6D03"/>
    <w:rsid w:val="008D7023"/>
    <w:rsid w:val="008D7A9B"/>
    <w:rsid w:val="008E0060"/>
    <w:rsid w:val="008E0F2A"/>
    <w:rsid w:val="008E121C"/>
    <w:rsid w:val="008E1E53"/>
    <w:rsid w:val="008E2080"/>
    <w:rsid w:val="008E2DD8"/>
    <w:rsid w:val="008E4655"/>
    <w:rsid w:val="008E4AFF"/>
    <w:rsid w:val="008E4F4C"/>
    <w:rsid w:val="008E57B9"/>
    <w:rsid w:val="008E5E7B"/>
    <w:rsid w:val="008E6687"/>
    <w:rsid w:val="008E6D31"/>
    <w:rsid w:val="008E7091"/>
    <w:rsid w:val="008E76AC"/>
    <w:rsid w:val="008E76D4"/>
    <w:rsid w:val="008F03AC"/>
    <w:rsid w:val="008F09C6"/>
    <w:rsid w:val="008F1341"/>
    <w:rsid w:val="008F1EB1"/>
    <w:rsid w:val="008F1FDC"/>
    <w:rsid w:val="008F21F6"/>
    <w:rsid w:val="008F2EB0"/>
    <w:rsid w:val="008F3E80"/>
    <w:rsid w:val="008F44D5"/>
    <w:rsid w:val="008F63A8"/>
    <w:rsid w:val="008F6FA2"/>
    <w:rsid w:val="008F70D7"/>
    <w:rsid w:val="008F72E0"/>
    <w:rsid w:val="008F7664"/>
    <w:rsid w:val="008F76EA"/>
    <w:rsid w:val="00900D5E"/>
    <w:rsid w:val="00900E75"/>
    <w:rsid w:val="00901457"/>
    <w:rsid w:val="00901DFC"/>
    <w:rsid w:val="00901EFD"/>
    <w:rsid w:val="00902F64"/>
    <w:rsid w:val="00903386"/>
    <w:rsid w:val="009049C5"/>
    <w:rsid w:val="00904A12"/>
    <w:rsid w:val="00906A2D"/>
    <w:rsid w:val="009073C2"/>
    <w:rsid w:val="009076AD"/>
    <w:rsid w:val="009113F1"/>
    <w:rsid w:val="00911F4D"/>
    <w:rsid w:val="009124D7"/>
    <w:rsid w:val="0091359D"/>
    <w:rsid w:val="009144FF"/>
    <w:rsid w:val="00914F06"/>
    <w:rsid w:val="00917201"/>
    <w:rsid w:val="00917367"/>
    <w:rsid w:val="00920663"/>
    <w:rsid w:val="00920CF6"/>
    <w:rsid w:val="00921834"/>
    <w:rsid w:val="00923B14"/>
    <w:rsid w:val="0092537D"/>
    <w:rsid w:val="00925993"/>
    <w:rsid w:val="00926475"/>
    <w:rsid w:val="00926D40"/>
    <w:rsid w:val="00927EC6"/>
    <w:rsid w:val="00930543"/>
    <w:rsid w:val="009307CF"/>
    <w:rsid w:val="00931ADD"/>
    <w:rsid w:val="00931E01"/>
    <w:rsid w:val="0093297A"/>
    <w:rsid w:val="00932B77"/>
    <w:rsid w:val="00933935"/>
    <w:rsid w:val="00935218"/>
    <w:rsid w:val="00935D17"/>
    <w:rsid w:val="00936488"/>
    <w:rsid w:val="009364F2"/>
    <w:rsid w:val="00940606"/>
    <w:rsid w:val="00940768"/>
    <w:rsid w:val="009410AA"/>
    <w:rsid w:val="0094147E"/>
    <w:rsid w:val="009420DA"/>
    <w:rsid w:val="00942327"/>
    <w:rsid w:val="009427D5"/>
    <w:rsid w:val="0094299F"/>
    <w:rsid w:val="00943072"/>
    <w:rsid w:val="00943CA7"/>
    <w:rsid w:val="00944E53"/>
    <w:rsid w:val="0094513B"/>
    <w:rsid w:val="009454E9"/>
    <w:rsid w:val="0094621B"/>
    <w:rsid w:val="00950BFC"/>
    <w:rsid w:val="0095183F"/>
    <w:rsid w:val="00951925"/>
    <w:rsid w:val="00951AF0"/>
    <w:rsid w:val="00951F79"/>
    <w:rsid w:val="009524E2"/>
    <w:rsid w:val="00952953"/>
    <w:rsid w:val="009529A6"/>
    <w:rsid w:val="009536C2"/>
    <w:rsid w:val="00954404"/>
    <w:rsid w:val="00954C36"/>
    <w:rsid w:val="00954EB1"/>
    <w:rsid w:val="00955F64"/>
    <w:rsid w:val="009561C0"/>
    <w:rsid w:val="00957503"/>
    <w:rsid w:val="0096041E"/>
    <w:rsid w:val="00961195"/>
    <w:rsid w:val="00961EAC"/>
    <w:rsid w:val="0096279C"/>
    <w:rsid w:val="0096342A"/>
    <w:rsid w:val="00964BE8"/>
    <w:rsid w:val="0096528C"/>
    <w:rsid w:val="00967498"/>
    <w:rsid w:val="009703FA"/>
    <w:rsid w:val="00970D42"/>
    <w:rsid w:val="00971B12"/>
    <w:rsid w:val="00971CC1"/>
    <w:rsid w:val="009733BB"/>
    <w:rsid w:val="0097499D"/>
    <w:rsid w:val="00974AB5"/>
    <w:rsid w:val="00974F63"/>
    <w:rsid w:val="00975624"/>
    <w:rsid w:val="00976368"/>
    <w:rsid w:val="00976EC7"/>
    <w:rsid w:val="00976FD7"/>
    <w:rsid w:val="009801C9"/>
    <w:rsid w:val="009820D7"/>
    <w:rsid w:val="00982701"/>
    <w:rsid w:val="0098286E"/>
    <w:rsid w:val="00982A7B"/>
    <w:rsid w:val="00982E74"/>
    <w:rsid w:val="00982FE1"/>
    <w:rsid w:val="0098368D"/>
    <w:rsid w:val="009843A8"/>
    <w:rsid w:val="009844C9"/>
    <w:rsid w:val="00984C3F"/>
    <w:rsid w:val="009851BF"/>
    <w:rsid w:val="009851CD"/>
    <w:rsid w:val="00986A5E"/>
    <w:rsid w:val="00986E5B"/>
    <w:rsid w:val="0098706D"/>
    <w:rsid w:val="0098709A"/>
    <w:rsid w:val="0098739E"/>
    <w:rsid w:val="0098764A"/>
    <w:rsid w:val="009902A9"/>
    <w:rsid w:val="00990CE8"/>
    <w:rsid w:val="009917B1"/>
    <w:rsid w:val="00991B54"/>
    <w:rsid w:val="0099314D"/>
    <w:rsid w:val="009935FB"/>
    <w:rsid w:val="009938CA"/>
    <w:rsid w:val="00996465"/>
    <w:rsid w:val="00996E66"/>
    <w:rsid w:val="009971F5"/>
    <w:rsid w:val="00997985"/>
    <w:rsid w:val="009979D6"/>
    <w:rsid w:val="00997E69"/>
    <w:rsid w:val="009A0187"/>
    <w:rsid w:val="009A0748"/>
    <w:rsid w:val="009A075B"/>
    <w:rsid w:val="009A231A"/>
    <w:rsid w:val="009A235E"/>
    <w:rsid w:val="009A3649"/>
    <w:rsid w:val="009A3C4E"/>
    <w:rsid w:val="009A3CC4"/>
    <w:rsid w:val="009A3DAA"/>
    <w:rsid w:val="009A4D1C"/>
    <w:rsid w:val="009A4F41"/>
    <w:rsid w:val="009A5320"/>
    <w:rsid w:val="009A53C6"/>
    <w:rsid w:val="009B079A"/>
    <w:rsid w:val="009B1328"/>
    <w:rsid w:val="009B2383"/>
    <w:rsid w:val="009B283D"/>
    <w:rsid w:val="009B2BC1"/>
    <w:rsid w:val="009B303D"/>
    <w:rsid w:val="009B33F6"/>
    <w:rsid w:val="009B45B2"/>
    <w:rsid w:val="009B4CB8"/>
    <w:rsid w:val="009B4F8D"/>
    <w:rsid w:val="009B52B2"/>
    <w:rsid w:val="009B5752"/>
    <w:rsid w:val="009B57F5"/>
    <w:rsid w:val="009B5878"/>
    <w:rsid w:val="009C0BED"/>
    <w:rsid w:val="009C152D"/>
    <w:rsid w:val="009C15AD"/>
    <w:rsid w:val="009C167B"/>
    <w:rsid w:val="009C17D3"/>
    <w:rsid w:val="009C1933"/>
    <w:rsid w:val="009C2AF0"/>
    <w:rsid w:val="009C3DB8"/>
    <w:rsid w:val="009C422B"/>
    <w:rsid w:val="009C4A7A"/>
    <w:rsid w:val="009C51C4"/>
    <w:rsid w:val="009C6CAA"/>
    <w:rsid w:val="009C6FF8"/>
    <w:rsid w:val="009C71DA"/>
    <w:rsid w:val="009C7500"/>
    <w:rsid w:val="009C7987"/>
    <w:rsid w:val="009C7F29"/>
    <w:rsid w:val="009D02EA"/>
    <w:rsid w:val="009D0F79"/>
    <w:rsid w:val="009D137F"/>
    <w:rsid w:val="009D191F"/>
    <w:rsid w:val="009D1F4D"/>
    <w:rsid w:val="009D28E9"/>
    <w:rsid w:val="009D28F7"/>
    <w:rsid w:val="009D2A09"/>
    <w:rsid w:val="009D38E8"/>
    <w:rsid w:val="009D4248"/>
    <w:rsid w:val="009D4626"/>
    <w:rsid w:val="009D5457"/>
    <w:rsid w:val="009D5565"/>
    <w:rsid w:val="009D75F9"/>
    <w:rsid w:val="009E06C2"/>
    <w:rsid w:val="009E07DF"/>
    <w:rsid w:val="009E0A18"/>
    <w:rsid w:val="009E1320"/>
    <w:rsid w:val="009E1EB8"/>
    <w:rsid w:val="009E3023"/>
    <w:rsid w:val="009E3D1C"/>
    <w:rsid w:val="009E459C"/>
    <w:rsid w:val="009E5113"/>
    <w:rsid w:val="009E5521"/>
    <w:rsid w:val="009E5968"/>
    <w:rsid w:val="009E5BC5"/>
    <w:rsid w:val="009E6D28"/>
    <w:rsid w:val="009E725C"/>
    <w:rsid w:val="009E7922"/>
    <w:rsid w:val="009F0489"/>
    <w:rsid w:val="009F10FD"/>
    <w:rsid w:val="009F15BD"/>
    <w:rsid w:val="009F252B"/>
    <w:rsid w:val="009F457C"/>
    <w:rsid w:val="009F47F4"/>
    <w:rsid w:val="009F4A54"/>
    <w:rsid w:val="009F4BEC"/>
    <w:rsid w:val="009F4F37"/>
    <w:rsid w:val="009F553B"/>
    <w:rsid w:val="009F5874"/>
    <w:rsid w:val="009F59FE"/>
    <w:rsid w:val="009F7EE2"/>
    <w:rsid w:val="00A02886"/>
    <w:rsid w:val="00A043FB"/>
    <w:rsid w:val="00A045AB"/>
    <w:rsid w:val="00A04D18"/>
    <w:rsid w:val="00A0515F"/>
    <w:rsid w:val="00A0606B"/>
    <w:rsid w:val="00A061FC"/>
    <w:rsid w:val="00A06C25"/>
    <w:rsid w:val="00A0708C"/>
    <w:rsid w:val="00A07643"/>
    <w:rsid w:val="00A07CC1"/>
    <w:rsid w:val="00A10393"/>
    <w:rsid w:val="00A10857"/>
    <w:rsid w:val="00A10F17"/>
    <w:rsid w:val="00A11576"/>
    <w:rsid w:val="00A12211"/>
    <w:rsid w:val="00A122C5"/>
    <w:rsid w:val="00A144D4"/>
    <w:rsid w:val="00A169DC"/>
    <w:rsid w:val="00A16ECA"/>
    <w:rsid w:val="00A1772B"/>
    <w:rsid w:val="00A17E05"/>
    <w:rsid w:val="00A22024"/>
    <w:rsid w:val="00A2261B"/>
    <w:rsid w:val="00A23DA6"/>
    <w:rsid w:val="00A240CB"/>
    <w:rsid w:val="00A242DE"/>
    <w:rsid w:val="00A2447F"/>
    <w:rsid w:val="00A2482E"/>
    <w:rsid w:val="00A24CB4"/>
    <w:rsid w:val="00A258EC"/>
    <w:rsid w:val="00A25FD7"/>
    <w:rsid w:val="00A263AC"/>
    <w:rsid w:val="00A26AF4"/>
    <w:rsid w:val="00A26DEA"/>
    <w:rsid w:val="00A27683"/>
    <w:rsid w:val="00A33941"/>
    <w:rsid w:val="00A366F9"/>
    <w:rsid w:val="00A37064"/>
    <w:rsid w:val="00A371A8"/>
    <w:rsid w:val="00A3773C"/>
    <w:rsid w:val="00A37CC4"/>
    <w:rsid w:val="00A40669"/>
    <w:rsid w:val="00A406BE"/>
    <w:rsid w:val="00A40880"/>
    <w:rsid w:val="00A43041"/>
    <w:rsid w:val="00A43AFF"/>
    <w:rsid w:val="00A44EEE"/>
    <w:rsid w:val="00A454E3"/>
    <w:rsid w:val="00A458BF"/>
    <w:rsid w:val="00A46303"/>
    <w:rsid w:val="00A47016"/>
    <w:rsid w:val="00A50F78"/>
    <w:rsid w:val="00A51DA4"/>
    <w:rsid w:val="00A52D39"/>
    <w:rsid w:val="00A532D3"/>
    <w:rsid w:val="00A537A1"/>
    <w:rsid w:val="00A5449F"/>
    <w:rsid w:val="00A54624"/>
    <w:rsid w:val="00A60C76"/>
    <w:rsid w:val="00A60F91"/>
    <w:rsid w:val="00A61324"/>
    <w:rsid w:val="00A619C0"/>
    <w:rsid w:val="00A61A67"/>
    <w:rsid w:val="00A62CF6"/>
    <w:rsid w:val="00A6411B"/>
    <w:rsid w:val="00A645DF"/>
    <w:rsid w:val="00A6492A"/>
    <w:rsid w:val="00A65095"/>
    <w:rsid w:val="00A65194"/>
    <w:rsid w:val="00A66313"/>
    <w:rsid w:val="00A66D81"/>
    <w:rsid w:val="00A7075A"/>
    <w:rsid w:val="00A7111B"/>
    <w:rsid w:val="00A71EA8"/>
    <w:rsid w:val="00A731C3"/>
    <w:rsid w:val="00A73303"/>
    <w:rsid w:val="00A74AD1"/>
    <w:rsid w:val="00A7793A"/>
    <w:rsid w:val="00A77C02"/>
    <w:rsid w:val="00A80C05"/>
    <w:rsid w:val="00A80C7B"/>
    <w:rsid w:val="00A82091"/>
    <w:rsid w:val="00A827B5"/>
    <w:rsid w:val="00A83A71"/>
    <w:rsid w:val="00A83B99"/>
    <w:rsid w:val="00A83EE1"/>
    <w:rsid w:val="00A8497A"/>
    <w:rsid w:val="00A85C52"/>
    <w:rsid w:val="00A85FD1"/>
    <w:rsid w:val="00A90A5A"/>
    <w:rsid w:val="00A92EDA"/>
    <w:rsid w:val="00A9330A"/>
    <w:rsid w:val="00A95099"/>
    <w:rsid w:val="00A956C0"/>
    <w:rsid w:val="00A96638"/>
    <w:rsid w:val="00AA0D94"/>
    <w:rsid w:val="00AA0FA8"/>
    <w:rsid w:val="00AA2290"/>
    <w:rsid w:val="00AA2722"/>
    <w:rsid w:val="00AA289B"/>
    <w:rsid w:val="00AA3E64"/>
    <w:rsid w:val="00AA4CC7"/>
    <w:rsid w:val="00AA4D04"/>
    <w:rsid w:val="00AA535A"/>
    <w:rsid w:val="00AA583A"/>
    <w:rsid w:val="00AA5E8E"/>
    <w:rsid w:val="00AA7048"/>
    <w:rsid w:val="00AB0281"/>
    <w:rsid w:val="00AB0EB1"/>
    <w:rsid w:val="00AB163A"/>
    <w:rsid w:val="00AB18E6"/>
    <w:rsid w:val="00AB1AF2"/>
    <w:rsid w:val="00AB225B"/>
    <w:rsid w:val="00AB2BAD"/>
    <w:rsid w:val="00AB3B00"/>
    <w:rsid w:val="00AB3CF4"/>
    <w:rsid w:val="00AB46ED"/>
    <w:rsid w:val="00AB566F"/>
    <w:rsid w:val="00AB604C"/>
    <w:rsid w:val="00AB6CA7"/>
    <w:rsid w:val="00AB6D57"/>
    <w:rsid w:val="00AB6D86"/>
    <w:rsid w:val="00AB6DD5"/>
    <w:rsid w:val="00AC0BD4"/>
    <w:rsid w:val="00AC104B"/>
    <w:rsid w:val="00AC1F33"/>
    <w:rsid w:val="00AC3B82"/>
    <w:rsid w:val="00AC3EF0"/>
    <w:rsid w:val="00AC422F"/>
    <w:rsid w:val="00AC45AE"/>
    <w:rsid w:val="00AC5050"/>
    <w:rsid w:val="00AD01E4"/>
    <w:rsid w:val="00AD0858"/>
    <w:rsid w:val="00AD17E6"/>
    <w:rsid w:val="00AD4D6E"/>
    <w:rsid w:val="00AD5743"/>
    <w:rsid w:val="00AD744F"/>
    <w:rsid w:val="00AD7D7C"/>
    <w:rsid w:val="00AE02E3"/>
    <w:rsid w:val="00AE06DD"/>
    <w:rsid w:val="00AE1231"/>
    <w:rsid w:val="00AE168C"/>
    <w:rsid w:val="00AE1C98"/>
    <w:rsid w:val="00AE262D"/>
    <w:rsid w:val="00AE2B11"/>
    <w:rsid w:val="00AE2F80"/>
    <w:rsid w:val="00AE4F77"/>
    <w:rsid w:val="00AE5145"/>
    <w:rsid w:val="00AE7340"/>
    <w:rsid w:val="00AF038D"/>
    <w:rsid w:val="00AF0BB5"/>
    <w:rsid w:val="00AF0C52"/>
    <w:rsid w:val="00AF1BBD"/>
    <w:rsid w:val="00AF246E"/>
    <w:rsid w:val="00AF29D5"/>
    <w:rsid w:val="00AF4CDE"/>
    <w:rsid w:val="00AF5249"/>
    <w:rsid w:val="00AF53F4"/>
    <w:rsid w:val="00AF55D4"/>
    <w:rsid w:val="00AF7159"/>
    <w:rsid w:val="00AF794B"/>
    <w:rsid w:val="00B0124E"/>
    <w:rsid w:val="00B0236E"/>
    <w:rsid w:val="00B03139"/>
    <w:rsid w:val="00B03620"/>
    <w:rsid w:val="00B0472F"/>
    <w:rsid w:val="00B04948"/>
    <w:rsid w:val="00B05249"/>
    <w:rsid w:val="00B052C2"/>
    <w:rsid w:val="00B05633"/>
    <w:rsid w:val="00B05C2E"/>
    <w:rsid w:val="00B06FFE"/>
    <w:rsid w:val="00B077F9"/>
    <w:rsid w:val="00B10207"/>
    <w:rsid w:val="00B11EAF"/>
    <w:rsid w:val="00B11EE2"/>
    <w:rsid w:val="00B13BDD"/>
    <w:rsid w:val="00B141E7"/>
    <w:rsid w:val="00B14213"/>
    <w:rsid w:val="00B15349"/>
    <w:rsid w:val="00B16417"/>
    <w:rsid w:val="00B16B69"/>
    <w:rsid w:val="00B17A8F"/>
    <w:rsid w:val="00B17D1F"/>
    <w:rsid w:val="00B20839"/>
    <w:rsid w:val="00B2421A"/>
    <w:rsid w:val="00B2435A"/>
    <w:rsid w:val="00B24CD2"/>
    <w:rsid w:val="00B25B86"/>
    <w:rsid w:val="00B26197"/>
    <w:rsid w:val="00B26280"/>
    <w:rsid w:val="00B265A1"/>
    <w:rsid w:val="00B26626"/>
    <w:rsid w:val="00B3100B"/>
    <w:rsid w:val="00B31665"/>
    <w:rsid w:val="00B3194B"/>
    <w:rsid w:val="00B31D3C"/>
    <w:rsid w:val="00B3344F"/>
    <w:rsid w:val="00B3461A"/>
    <w:rsid w:val="00B3466A"/>
    <w:rsid w:val="00B351B4"/>
    <w:rsid w:val="00B351FA"/>
    <w:rsid w:val="00B35960"/>
    <w:rsid w:val="00B36664"/>
    <w:rsid w:val="00B3773D"/>
    <w:rsid w:val="00B40D0D"/>
    <w:rsid w:val="00B41DF4"/>
    <w:rsid w:val="00B4232B"/>
    <w:rsid w:val="00B42917"/>
    <w:rsid w:val="00B42993"/>
    <w:rsid w:val="00B43325"/>
    <w:rsid w:val="00B43898"/>
    <w:rsid w:val="00B45A6D"/>
    <w:rsid w:val="00B4654C"/>
    <w:rsid w:val="00B46BCA"/>
    <w:rsid w:val="00B47528"/>
    <w:rsid w:val="00B478AA"/>
    <w:rsid w:val="00B52415"/>
    <w:rsid w:val="00B5293D"/>
    <w:rsid w:val="00B554FE"/>
    <w:rsid w:val="00B55692"/>
    <w:rsid w:val="00B56028"/>
    <w:rsid w:val="00B565C7"/>
    <w:rsid w:val="00B56D7B"/>
    <w:rsid w:val="00B5711A"/>
    <w:rsid w:val="00B57D8C"/>
    <w:rsid w:val="00B600A4"/>
    <w:rsid w:val="00B600FD"/>
    <w:rsid w:val="00B601FD"/>
    <w:rsid w:val="00B61D64"/>
    <w:rsid w:val="00B64F3D"/>
    <w:rsid w:val="00B65F61"/>
    <w:rsid w:val="00B665CD"/>
    <w:rsid w:val="00B6735F"/>
    <w:rsid w:val="00B710D7"/>
    <w:rsid w:val="00B72E5C"/>
    <w:rsid w:val="00B74125"/>
    <w:rsid w:val="00B744B8"/>
    <w:rsid w:val="00B749E9"/>
    <w:rsid w:val="00B754FA"/>
    <w:rsid w:val="00B75663"/>
    <w:rsid w:val="00B76A1F"/>
    <w:rsid w:val="00B76A8B"/>
    <w:rsid w:val="00B77035"/>
    <w:rsid w:val="00B77482"/>
    <w:rsid w:val="00B77CD0"/>
    <w:rsid w:val="00B80A4C"/>
    <w:rsid w:val="00B80A53"/>
    <w:rsid w:val="00B80A8F"/>
    <w:rsid w:val="00B8131D"/>
    <w:rsid w:val="00B825C2"/>
    <w:rsid w:val="00B82619"/>
    <w:rsid w:val="00B82883"/>
    <w:rsid w:val="00B82DE0"/>
    <w:rsid w:val="00B83517"/>
    <w:rsid w:val="00B83CA6"/>
    <w:rsid w:val="00B83F64"/>
    <w:rsid w:val="00B84993"/>
    <w:rsid w:val="00B84C00"/>
    <w:rsid w:val="00B85325"/>
    <w:rsid w:val="00B85425"/>
    <w:rsid w:val="00B85FD4"/>
    <w:rsid w:val="00B87806"/>
    <w:rsid w:val="00B87EC9"/>
    <w:rsid w:val="00B90941"/>
    <w:rsid w:val="00B91386"/>
    <w:rsid w:val="00B91F5D"/>
    <w:rsid w:val="00B93640"/>
    <w:rsid w:val="00B93B69"/>
    <w:rsid w:val="00B93FF5"/>
    <w:rsid w:val="00B94740"/>
    <w:rsid w:val="00B94C9E"/>
    <w:rsid w:val="00B94D33"/>
    <w:rsid w:val="00B96F77"/>
    <w:rsid w:val="00BA070B"/>
    <w:rsid w:val="00BA13ED"/>
    <w:rsid w:val="00BA2E21"/>
    <w:rsid w:val="00BA3864"/>
    <w:rsid w:val="00BA3D71"/>
    <w:rsid w:val="00BA4149"/>
    <w:rsid w:val="00BA4427"/>
    <w:rsid w:val="00BA5137"/>
    <w:rsid w:val="00BA5C68"/>
    <w:rsid w:val="00BA7F12"/>
    <w:rsid w:val="00BB4C02"/>
    <w:rsid w:val="00BB5474"/>
    <w:rsid w:val="00BB6133"/>
    <w:rsid w:val="00BB6691"/>
    <w:rsid w:val="00BB6A96"/>
    <w:rsid w:val="00BB751A"/>
    <w:rsid w:val="00BB77CD"/>
    <w:rsid w:val="00BC24A1"/>
    <w:rsid w:val="00BC38FD"/>
    <w:rsid w:val="00BC3C53"/>
    <w:rsid w:val="00BC3F04"/>
    <w:rsid w:val="00BC4487"/>
    <w:rsid w:val="00BC4C9E"/>
    <w:rsid w:val="00BC58DA"/>
    <w:rsid w:val="00BC5BEC"/>
    <w:rsid w:val="00BC72FD"/>
    <w:rsid w:val="00BD1F61"/>
    <w:rsid w:val="00BD23A7"/>
    <w:rsid w:val="00BD28F0"/>
    <w:rsid w:val="00BD30D2"/>
    <w:rsid w:val="00BD3EB5"/>
    <w:rsid w:val="00BD524F"/>
    <w:rsid w:val="00BD5F33"/>
    <w:rsid w:val="00BD6191"/>
    <w:rsid w:val="00BD681A"/>
    <w:rsid w:val="00BD7269"/>
    <w:rsid w:val="00BD72C1"/>
    <w:rsid w:val="00BE064B"/>
    <w:rsid w:val="00BE2586"/>
    <w:rsid w:val="00BE3D60"/>
    <w:rsid w:val="00BE479B"/>
    <w:rsid w:val="00BE4A70"/>
    <w:rsid w:val="00BE511F"/>
    <w:rsid w:val="00BE52B5"/>
    <w:rsid w:val="00BE6240"/>
    <w:rsid w:val="00BE6451"/>
    <w:rsid w:val="00BE6D1B"/>
    <w:rsid w:val="00BE6FCB"/>
    <w:rsid w:val="00BF2DF6"/>
    <w:rsid w:val="00BF316F"/>
    <w:rsid w:val="00BF3373"/>
    <w:rsid w:val="00BF350D"/>
    <w:rsid w:val="00BF4A8F"/>
    <w:rsid w:val="00BF4C2F"/>
    <w:rsid w:val="00BF5767"/>
    <w:rsid w:val="00BF5A0E"/>
    <w:rsid w:val="00BF69C9"/>
    <w:rsid w:val="00BF737C"/>
    <w:rsid w:val="00BF7706"/>
    <w:rsid w:val="00BF7F5D"/>
    <w:rsid w:val="00C002A2"/>
    <w:rsid w:val="00C00DFC"/>
    <w:rsid w:val="00C01D40"/>
    <w:rsid w:val="00C01DF8"/>
    <w:rsid w:val="00C02231"/>
    <w:rsid w:val="00C02BA1"/>
    <w:rsid w:val="00C02D7C"/>
    <w:rsid w:val="00C030AB"/>
    <w:rsid w:val="00C034CB"/>
    <w:rsid w:val="00C03C77"/>
    <w:rsid w:val="00C03D13"/>
    <w:rsid w:val="00C04886"/>
    <w:rsid w:val="00C0509B"/>
    <w:rsid w:val="00C051A8"/>
    <w:rsid w:val="00C054BC"/>
    <w:rsid w:val="00C059D0"/>
    <w:rsid w:val="00C05CE5"/>
    <w:rsid w:val="00C06851"/>
    <w:rsid w:val="00C07859"/>
    <w:rsid w:val="00C07D28"/>
    <w:rsid w:val="00C10433"/>
    <w:rsid w:val="00C110FD"/>
    <w:rsid w:val="00C1142D"/>
    <w:rsid w:val="00C11AE9"/>
    <w:rsid w:val="00C11B7D"/>
    <w:rsid w:val="00C11F53"/>
    <w:rsid w:val="00C12F3B"/>
    <w:rsid w:val="00C14033"/>
    <w:rsid w:val="00C14CCE"/>
    <w:rsid w:val="00C14D0B"/>
    <w:rsid w:val="00C158D4"/>
    <w:rsid w:val="00C161C4"/>
    <w:rsid w:val="00C1640B"/>
    <w:rsid w:val="00C16479"/>
    <w:rsid w:val="00C170C2"/>
    <w:rsid w:val="00C17547"/>
    <w:rsid w:val="00C17897"/>
    <w:rsid w:val="00C17D3E"/>
    <w:rsid w:val="00C17F23"/>
    <w:rsid w:val="00C202E9"/>
    <w:rsid w:val="00C2199B"/>
    <w:rsid w:val="00C21A7C"/>
    <w:rsid w:val="00C22ACF"/>
    <w:rsid w:val="00C23256"/>
    <w:rsid w:val="00C23D5E"/>
    <w:rsid w:val="00C24D55"/>
    <w:rsid w:val="00C2650A"/>
    <w:rsid w:val="00C273C7"/>
    <w:rsid w:val="00C30D93"/>
    <w:rsid w:val="00C312D2"/>
    <w:rsid w:val="00C3136D"/>
    <w:rsid w:val="00C32B95"/>
    <w:rsid w:val="00C32CD4"/>
    <w:rsid w:val="00C32EF4"/>
    <w:rsid w:val="00C356AB"/>
    <w:rsid w:val="00C357DB"/>
    <w:rsid w:val="00C35E0A"/>
    <w:rsid w:val="00C36017"/>
    <w:rsid w:val="00C362A6"/>
    <w:rsid w:val="00C367C9"/>
    <w:rsid w:val="00C368B1"/>
    <w:rsid w:val="00C36AE6"/>
    <w:rsid w:val="00C40052"/>
    <w:rsid w:val="00C409D5"/>
    <w:rsid w:val="00C43195"/>
    <w:rsid w:val="00C435C3"/>
    <w:rsid w:val="00C43912"/>
    <w:rsid w:val="00C43FAE"/>
    <w:rsid w:val="00C441C5"/>
    <w:rsid w:val="00C4460E"/>
    <w:rsid w:val="00C44B9B"/>
    <w:rsid w:val="00C44CC9"/>
    <w:rsid w:val="00C44E5F"/>
    <w:rsid w:val="00C45493"/>
    <w:rsid w:val="00C46B05"/>
    <w:rsid w:val="00C4722C"/>
    <w:rsid w:val="00C47E5D"/>
    <w:rsid w:val="00C50334"/>
    <w:rsid w:val="00C51595"/>
    <w:rsid w:val="00C51666"/>
    <w:rsid w:val="00C51B7C"/>
    <w:rsid w:val="00C52727"/>
    <w:rsid w:val="00C5769C"/>
    <w:rsid w:val="00C60C51"/>
    <w:rsid w:val="00C6131D"/>
    <w:rsid w:val="00C61B63"/>
    <w:rsid w:val="00C61E0D"/>
    <w:rsid w:val="00C6234B"/>
    <w:rsid w:val="00C63EAE"/>
    <w:rsid w:val="00C649B7"/>
    <w:rsid w:val="00C656EE"/>
    <w:rsid w:val="00C7000E"/>
    <w:rsid w:val="00C70E01"/>
    <w:rsid w:val="00C72398"/>
    <w:rsid w:val="00C73260"/>
    <w:rsid w:val="00C74B5F"/>
    <w:rsid w:val="00C7540C"/>
    <w:rsid w:val="00C7629F"/>
    <w:rsid w:val="00C766DB"/>
    <w:rsid w:val="00C76A06"/>
    <w:rsid w:val="00C771BE"/>
    <w:rsid w:val="00C812A7"/>
    <w:rsid w:val="00C823AC"/>
    <w:rsid w:val="00C83796"/>
    <w:rsid w:val="00C83DE3"/>
    <w:rsid w:val="00C83EBF"/>
    <w:rsid w:val="00C83FA4"/>
    <w:rsid w:val="00C851C0"/>
    <w:rsid w:val="00C856E8"/>
    <w:rsid w:val="00C85990"/>
    <w:rsid w:val="00C86023"/>
    <w:rsid w:val="00C8661B"/>
    <w:rsid w:val="00C868C6"/>
    <w:rsid w:val="00C86E92"/>
    <w:rsid w:val="00C872CF"/>
    <w:rsid w:val="00C87F56"/>
    <w:rsid w:val="00C92DD1"/>
    <w:rsid w:val="00C939C5"/>
    <w:rsid w:val="00C93C63"/>
    <w:rsid w:val="00C9465E"/>
    <w:rsid w:val="00C94B9E"/>
    <w:rsid w:val="00C95040"/>
    <w:rsid w:val="00C9528B"/>
    <w:rsid w:val="00C95C54"/>
    <w:rsid w:val="00C9652E"/>
    <w:rsid w:val="00C96974"/>
    <w:rsid w:val="00C97581"/>
    <w:rsid w:val="00C979BF"/>
    <w:rsid w:val="00CA03C8"/>
    <w:rsid w:val="00CA04DF"/>
    <w:rsid w:val="00CA0630"/>
    <w:rsid w:val="00CA0DFD"/>
    <w:rsid w:val="00CA0F17"/>
    <w:rsid w:val="00CA139A"/>
    <w:rsid w:val="00CA19FA"/>
    <w:rsid w:val="00CA2899"/>
    <w:rsid w:val="00CA3A3D"/>
    <w:rsid w:val="00CA3AA6"/>
    <w:rsid w:val="00CA3EF3"/>
    <w:rsid w:val="00CA4880"/>
    <w:rsid w:val="00CA4F3A"/>
    <w:rsid w:val="00CA51FC"/>
    <w:rsid w:val="00CA555C"/>
    <w:rsid w:val="00CA55CE"/>
    <w:rsid w:val="00CA77FB"/>
    <w:rsid w:val="00CA793D"/>
    <w:rsid w:val="00CA7942"/>
    <w:rsid w:val="00CB026C"/>
    <w:rsid w:val="00CB0C67"/>
    <w:rsid w:val="00CB12E8"/>
    <w:rsid w:val="00CB169F"/>
    <w:rsid w:val="00CB2886"/>
    <w:rsid w:val="00CB3293"/>
    <w:rsid w:val="00CB379B"/>
    <w:rsid w:val="00CB3BF4"/>
    <w:rsid w:val="00CB4074"/>
    <w:rsid w:val="00CB454A"/>
    <w:rsid w:val="00CB4F88"/>
    <w:rsid w:val="00CB5DD0"/>
    <w:rsid w:val="00CB6324"/>
    <w:rsid w:val="00CB6810"/>
    <w:rsid w:val="00CB7813"/>
    <w:rsid w:val="00CC06BA"/>
    <w:rsid w:val="00CC269A"/>
    <w:rsid w:val="00CC4551"/>
    <w:rsid w:val="00CC4757"/>
    <w:rsid w:val="00CC4AD9"/>
    <w:rsid w:val="00CC51D4"/>
    <w:rsid w:val="00CC5367"/>
    <w:rsid w:val="00CC5633"/>
    <w:rsid w:val="00CC65DA"/>
    <w:rsid w:val="00CC6C62"/>
    <w:rsid w:val="00CD1043"/>
    <w:rsid w:val="00CD13F3"/>
    <w:rsid w:val="00CD14B9"/>
    <w:rsid w:val="00CD1962"/>
    <w:rsid w:val="00CD46B3"/>
    <w:rsid w:val="00CD692C"/>
    <w:rsid w:val="00CD6C8C"/>
    <w:rsid w:val="00CD7B7C"/>
    <w:rsid w:val="00CE02A6"/>
    <w:rsid w:val="00CE11CC"/>
    <w:rsid w:val="00CE18A4"/>
    <w:rsid w:val="00CE2AA7"/>
    <w:rsid w:val="00CE31D4"/>
    <w:rsid w:val="00CE4916"/>
    <w:rsid w:val="00CE5AA0"/>
    <w:rsid w:val="00CE5F1D"/>
    <w:rsid w:val="00CF0103"/>
    <w:rsid w:val="00CF0740"/>
    <w:rsid w:val="00CF0A42"/>
    <w:rsid w:val="00CF174F"/>
    <w:rsid w:val="00CF18AF"/>
    <w:rsid w:val="00CF18FA"/>
    <w:rsid w:val="00CF21B9"/>
    <w:rsid w:val="00CF2A2D"/>
    <w:rsid w:val="00CF3182"/>
    <w:rsid w:val="00CF5BD1"/>
    <w:rsid w:val="00CF6BF9"/>
    <w:rsid w:val="00CF75DD"/>
    <w:rsid w:val="00D00748"/>
    <w:rsid w:val="00D02A5C"/>
    <w:rsid w:val="00D0307D"/>
    <w:rsid w:val="00D03745"/>
    <w:rsid w:val="00D03800"/>
    <w:rsid w:val="00D065D3"/>
    <w:rsid w:val="00D06B96"/>
    <w:rsid w:val="00D07691"/>
    <w:rsid w:val="00D109CE"/>
    <w:rsid w:val="00D10C65"/>
    <w:rsid w:val="00D10DD2"/>
    <w:rsid w:val="00D11C4B"/>
    <w:rsid w:val="00D12AEC"/>
    <w:rsid w:val="00D13799"/>
    <w:rsid w:val="00D14142"/>
    <w:rsid w:val="00D14C94"/>
    <w:rsid w:val="00D1712E"/>
    <w:rsid w:val="00D20068"/>
    <w:rsid w:val="00D20C48"/>
    <w:rsid w:val="00D215E1"/>
    <w:rsid w:val="00D21DF3"/>
    <w:rsid w:val="00D220B4"/>
    <w:rsid w:val="00D231C8"/>
    <w:rsid w:val="00D256FA"/>
    <w:rsid w:val="00D25E16"/>
    <w:rsid w:val="00D25F2C"/>
    <w:rsid w:val="00D26D63"/>
    <w:rsid w:val="00D26F4A"/>
    <w:rsid w:val="00D27672"/>
    <w:rsid w:val="00D27F49"/>
    <w:rsid w:val="00D30CE1"/>
    <w:rsid w:val="00D31C4A"/>
    <w:rsid w:val="00D32F94"/>
    <w:rsid w:val="00D3421B"/>
    <w:rsid w:val="00D342A6"/>
    <w:rsid w:val="00D343C4"/>
    <w:rsid w:val="00D34440"/>
    <w:rsid w:val="00D3458A"/>
    <w:rsid w:val="00D34FC6"/>
    <w:rsid w:val="00D35A33"/>
    <w:rsid w:val="00D361C8"/>
    <w:rsid w:val="00D3636B"/>
    <w:rsid w:val="00D36A6A"/>
    <w:rsid w:val="00D37634"/>
    <w:rsid w:val="00D400F9"/>
    <w:rsid w:val="00D41024"/>
    <w:rsid w:val="00D428AA"/>
    <w:rsid w:val="00D443BE"/>
    <w:rsid w:val="00D45CA6"/>
    <w:rsid w:val="00D464BF"/>
    <w:rsid w:val="00D46635"/>
    <w:rsid w:val="00D46EAD"/>
    <w:rsid w:val="00D524B1"/>
    <w:rsid w:val="00D52BDB"/>
    <w:rsid w:val="00D5356B"/>
    <w:rsid w:val="00D53B3D"/>
    <w:rsid w:val="00D53E26"/>
    <w:rsid w:val="00D553D3"/>
    <w:rsid w:val="00D557EE"/>
    <w:rsid w:val="00D57074"/>
    <w:rsid w:val="00D57E87"/>
    <w:rsid w:val="00D60EE3"/>
    <w:rsid w:val="00D60EE7"/>
    <w:rsid w:val="00D62571"/>
    <w:rsid w:val="00D62F75"/>
    <w:rsid w:val="00D630BE"/>
    <w:rsid w:val="00D6322D"/>
    <w:rsid w:val="00D65850"/>
    <w:rsid w:val="00D65A49"/>
    <w:rsid w:val="00D65EBE"/>
    <w:rsid w:val="00D70E31"/>
    <w:rsid w:val="00D711B2"/>
    <w:rsid w:val="00D72DA3"/>
    <w:rsid w:val="00D755F8"/>
    <w:rsid w:val="00D76752"/>
    <w:rsid w:val="00D77688"/>
    <w:rsid w:val="00D77B9E"/>
    <w:rsid w:val="00D80C9F"/>
    <w:rsid w:val="00D82487"/>
    <w:rsid w:val="00D829B1"/>
    <w:rsid w:val="00D8377A"/>
    <w:rsid w:val="00D839D1"/>
    <w:rsid w:val="00D84D15"/>
    <w:rsid w:val="00D85092"/>
    <w:rsid w:val="00D85297"/>
    <w:rsid w:val="00D85B77"/>
    <w:rsid w:val="00D87054"/>
    <w:rsid w:val="00D87308"/>
    <w:rsid w:val="00D87FDD"/>
    <w:rsid w:val="00D9080F"/>
    <w:rsid w:val="00D91E04"/>
    <w:rsid w:val="00D931A3"/>
    <w:rsid w:val="00D93884"/>
    <w:rsid w:val="00D94CCE"/>
    <w:rsid w:val="00D95055"/>
    <w:rsid w:val="00D95AA4"/>
    <w:rsid w:val="00D95BBB"/>
    <w:rsid w:val="00D964EE"/>
    <w:rsid w:val="00D979E4"/>
    <w:rsid w:val="00DA0339"/>
    <w:rsid w:val="00DA0B14"/>
    <w:rsid w:val="00DA2076"/>
    <w:rsid w:val="00DA416E"/>
    <w:rsid w:val="00DA4D4B"/>
    <w:rsid w:val="00DA504E"/>
    <w:rsid w:val="00DA59D4"/>
    <w:rsid w:val="00DA5ADC"/>
    <w:rsid w:val="00DA61BD"/>
    <w:rsid w:val="00DA653F"/>
    <w:rsid w:val="00DA6916"/>
    <w:rsid w:val="00DA6EF0"/>
    <w:rsid w:val="00DA78EC"/>
    <w:rsid w:val="00DA7CAD"/>
    <w:rsid w:val="00DB020A"/>
    <w:rsid w:val="00DB182C"/>
    <w:rsid w:val="00DB2582"/>
    <w:rsid w:val="00DB390F"/>
    <w:rsid w:val="00DB457B"/>
    <w:rsid w:val="00DB5402"/>
    <w:rsid w:val="00DB62A2"/>
    <w:rsid w:val="00DB77DF"/>
    <w:rsid w:val="00DC02C0"/>
    <w:rsid w:val="00DC0F46"/>
    <w:rsid w:val="00DC1AB9"/>
    <w:rsid w:val="00DC22D8"/>
    <w:rsid w:val="00DC292D"/>
    <w:rsid w:val="00DC2DB9"/>
    <w:rsid w:val="00DC30E6"/>
    <w:rsid w:val="00DC32A9"/>
    <w:rsid w:val="00DC3445"/>
    <w:rsid w:val="00DC3683"/>
    <w:rsid w:val="00DC3BD1"/>
    <w:rsid w:val="00DC4047"/>
    <w:rsid w:val="00DC4BB6"/>
    <w:rsid w:val="00DC5A3D"/>
    <w:rsid w:val="00DC61DA"/>
    <w:rsid w:val="00DC756E"/>
    <w:rsid w:val="00DC7B09"/>
    <w:rsid w:val="00DD096C"/>
    <w:rsid w:val="00DD236B"/>
    <w:rsid w:val="00DD3302"/>
    <w:rsid w:val="00DD3943"/>
    <w:rsid w:val="00DD3EF5"/>
    <w:rsid w:val="00DD4248"/>
    <w:rsid w:val="00DD4707"/>
    <w:rsid w:val="00DD4F0E"/>
    <w:rsid w:val="00DD54ED"/>
    <w:rsid w:val="00DD5F22"/>
    <w:rsid w:val="00DD6933"/>
    <w:rsid w:val="00DD763B"/>
    <w:rsid w:val="00DE0C49"/>
    <w:rsid w:val="00DE0DD9"/>
    <w:rsid w:val="00DE1D45"/>
    <w:rsid w:val="00DE2C11"/>
    <w:rsid w:val="00DE3611"/>
    <w:rsid w:val="00DE3D6D"/>
    <w:rsid w:val="00DE4095"/>
    <w:rsid w:val="00DE481D"/>
    <w:rsid w:val="00DE4ACD"/>
    <w:rsid w:val="00DE74ED"/>
    <w:rsid w:val="00DE7A52"/>
    <w:rsid w:val="00DE7B7E"/>
    <w:rsid w:val="00DF004C"/>
    <w:rsid w:val="00DF090C"/>
    <w:rsid w:val="00DF0931"/>
    <w:rsid w:val="00DF0BF0"/>
    <w:rsid w:val="00DF0D16"/>
    <w:rsid w:val="00DF1CB4"/>
    <w:rsid w:val="00DF3CA2"/>
    <w:rsid w:val="00DF5747"/>
    <w:rsid w:val="00DF6A7B"/>
    <w:rsid w:val="00DF71DC"/>
    <w:rsid w:val="00DF753B"/>
    <w:rsid w:val="00DF7651"/>
    <w:rsid w:val="00DF781C"/>
    <w:rsid w:val="00DF78A4"/>
    <w:rsid w:val="00DF7E9D"/>
    <w:rsid w:val="00E002F6"/>
    <w:rsid w:val="00E01375"/>
    <w:rsid w:val="00E01463"/>
    <w:rsid w:val="00E01A6B"/>
    <w:rsid w:val="00E02991"/>
    <w:rsid w:val="00E03B99"/>
    <w:rsid w:val="00E04F2F"/>
    <w:rsid w:val="00E052C8"/>
    <w:rsid w:val="00E053BA"/>
    <w:rsid w:val="00E05E0A"/>
    <w:rsid w:val="00E060BE"/>
    <w:rsid w:val="00E062E2"/>
    <w:rsid w:val="00E10452"/>
    <w:rsid w:val="00E10E29"/>
    <w:rsid w:val="00E10E38"/>
    <w:rsid w:val="00E10E98"/>
    <w:rsid w:val="00E11EAD"/>
    <w:rsid w:val="00E1320F"/>
    <w:rsid w:val="00E16AAC"/>
    <w:rsid w:val="00E21AF5"/>
    <w:rsid w:val="00E24036"/>
    <w:rsid w:val="00E240E2"/>
    <w:rsid w:val="00E24857"/>
    <w:rsid w:val="00E24D4E"/>
    <w:rsid w:val="00E25479"/>
    <w:rsid w:val="00E26F95"/>
    <w:rsid w:val="00E27608"/>
    <w:rsid w:val="00E3092E"/>
    <w:rsid w:val="00E3419F"/>
    <w:rsid w:val="00E348B6"/>
    <w:rsid w:val="00E35613"/>
    <w:rsid w:val="00E361BF"/>
    <w:rsid w:val="00E36456"/>
    <w:rsid w:val="00E3651B"/>
    <w:rsid w:val="00E36F41"/>
    <w:rsid w:val="00E37D9F"/>
    <w:rsid w:val="00E40697"/>
    <w:rsid w:val="00E40B05"/>
    <w:rsid w:val="00E4302C"/>
    <w:rsid w:val="00E442C8"/>
    <w:rsid w:val="00E44594"/>
    <w:rsid w:val="00E44D6B"/>
    <w:rsid w:val="00E45320"/>
    <w:rsid w:val="00E474A8"/>
    <w:rsid w:val="00E47A98"/>
    <w:rsid w:val="00E512DA"/>
    <w:rsid w:val="00E521C9"/>
    <w:rsid w:val="00E534CF"/>
    <w:rsid w:val="00E538D3"/>
    <w:rsid w:val="00E553F7"/>
    <w:rsid w:val="00E56D4F"/>
    <w:rsid w:val="00E57794"/>
    <w:rsid w:val="00E609EA"/>
    <w:rsid w:val="00E613E8"/>
    <w:rsid w:val="00E61918"/>
    <w:rsid w:val="00E62B27"/>
    <w:rsid w:val="00E65533"/>
    <w:rsid w:val="00E65535"/>
    <w:rsid w:val="00E65927"/>
    <w:rsid w:val="00E66A24"/>
    <w:rsid w:val="00E66EF8"/>
    <w:rsid w:val="00E6757C"/>
    <w:rsid w:val="00E70347"/>
    <w:rsid w:val="00E70525"/>
    <w:rsid w:val="00E71517"/>
    <w:rsid w:val="00E719F5"/>
    <w:rsid w:val="00E72226"/>
    <w:rsid w:val="00E72EDC"/>
    <w:rsid w:val="00E73CF4"/>
    <w:rsid w:val="00E76552"/>
    <w:rsid w:val="00E770BB"/>
    <w:rsid w:val="00E77C52"/>
    <w:rsid w:val="00E80AA0"/>
    <w:rsid w:val="00E81AA5"/>
    <w:rsid w:val="00E81CB4"/>
    <w:rsid w:val="00E8226C"/>
    <w:rsid w:val="00E82A33"/>
    <w:rsid w:val="00E82D75"/>
    <w:rsid w:val="00E8393E"/>
    <w:rsid w:val="00E83DD8"/>
    <w:rsid w:val="00E83F58"/>
    <w:rsid w:val="00E8548B"/>
    <w:rsid w:val="00E8585B"/>
    <w:rsid w:val="00E85C1F"/>
    <w:rsid w:val="00E86C55"/>
    <w:rsid w:val="00E87CCE"/>
    <w:rsid w:val="00E87F41"/>
    <w:rsid w:val="00E90E21"/>
    <w:rsid w:val="00E90F09"/>
    <w:rsid w:val="00E92758"/>
    <w:rsid w:val="00E92880"/>
    <w:rsid w:val="00E92D2E"/>
    <w:rsid w:val="00E92FFA"/>
    <w:rsid w:val="00E9330F"/>
    <w:rsid w:val="00E93E5E"/>
    <w:rsid w:val="00E94BB7"/>
    <w:rsid w:val="00E95049"/>
    <w:rsid w:val="00E95321"/>
    <w:rsid w:val="00E95572"/>
    <w:rsid w:val="00E959C0"/>
    <w:rsid w:val="00E97071"/>
    <w:rsid w:val="00E97083"/>
    <w:rsid w:val="00E973B0"/>
    <w:rsid w:val="00E977BE"/>
    <w:rsid w:val="00EA20BE"/>
    <w:rsid w:val="00EA2675"/>
    <w:rsid w:val="00EA3193"/>
    <w:rsid w:val="00EA396E"/>
    <w:rsid w:val="00EA3F15"/>
    <w:rsid w:val="00EA5C47"/>
    <w:rsid w:val="00EA5CB1"/>
    <w:rsid w:val="00EA5F40"/>
    <w:rsid w:val="00EA69C9"/>
    <w:rsid w:val="00EA7235"/>
    <w:rsid w:val="00EA7847"/>
    <w:rsid w:val="00EA7BB7"/>
    <w:rsid w:val="00EA7C02"/>
    <w:rsid w:val="00EB16F4"/>
    <w:rsid w:val="00EB29E1"/>
    <w:rsid w:val="00EB2AD3"/>
    <w:rsid w:val="00EB2B1F"/>
    <w:rsid w:val="00EB2F92"/>
    <w:rsid w:val="00EB3439"/>
    <w:rsid w:val="00EB352A"/>
    <w:rsid w:val="00EB3569"/>
    <w:rsid w:val="00EB3D1E"/>
    <w:rsid w:val="00EB432F"/>
    <w:rsid w:val="00EB4C2F"/>
    <w:rsid w:val="00EB5054"/>
    <w:rsid w:val="00EB6E9E"/>
    <w:rsid w:val="00EB716F"/>
    <w:rsid w:val="00EC0085"/>
    <w:rsid w:val="00EC24EC"/>
    <w:rsid w:val="00EC2AFB"/>
    <w:rsid w:val="00EC4FD7"/>
    <w:rsid w:val="00EC5748"/>
    <w:rsid w:val="00EC5A4B"/>
    <w:rsid w:val="00EC688C"/>
    <w:rsid w:val="00EC7659"/>
    <w:rsid w:val="00ED00E6"/>
    <w:rsid w:val="00ED0150"/>
    <w:rsid w:val="00ED0D19"/>
    <w:rsid w:val="00ED130C"/>
    <w:rsid w:val="00ED2AFF"/>
    <w:rsid w:val="00ED2DCF"/>
    <w:rsid w:val="00ED3DCD"/>
    <w:rsid w:val="00ED5D82"/>
    <w:rsid w:val="00ED5FF2"/>
    <w:rsid w:val="00ED74F3"/>
    <w:rsid w:val="00ED7DB3"/>
    <w:rsid w:val="00EE14D6"/>
    <w:rsid w:val="00EE1951"/>
    <w:rsid w:val="00EE259D"/>
    <w:rsid w:val="00EE2CA1"/>
    <w:rsid w:val="00EE2E6E"/>
    <w:rsid w:val="00EE36B2"/>
    <w:rsid w:val="00EE3FCD"/>
    <w:rsid w:val="00EE45EA"/>
    <w:rsid w:val="00EE4E97"/>
    <w:rsid w:val="00EE4FE4"/>
    <w:rsid w:val="00EE5E86"/>
    <w:rsid w:val="00EE5FCC"/>
    <w:rsid w:val="00EE62C0"/>
    <w:rsid w:val="00EE64AA"/>
    <w:rsid w:val="00EE76C0"/>
    <w:rsid w:val="00EF3279"/>
    <w:rsid w:val="00EF5E35"/>
    <w:rsid w:val="00EF6391"/>
    <w:rsid w:val="00EF6ADA"/>
    <w:rsid w:val="00EF70B1"/>
    <w:rsid w:val="00F0030B"/>
    <w:rsid w:val="00F0035C"/>
    <w:rsid w:val="00F00B67"/>
    <w:rsid w:val="00F00C64"/>
    <w:rsid w:val="00F00C90"/>
    <w:rsid w:val="00F01EB4"/>
    <w:rsid w:val="00F029B1"/>
    <w:rsid w:val="00F02C0E"/>
    <w:rsid w:val="00F044B6"/>
    <w:rsid w:val="00F04810"/>
    <w:rsid w:val="00F04C88"/>
    <w:rsid w:val="00F04F0D"/>
    <w:rsid w:val="00F0759E"/>
    <w:rsid w:val="00F07B90"/>
    <w:rsid w:val="00F11188"/>
    <w:rsid w:val="00F119EF"/>
    <w:rsid w:val="00F121B6"/>
    <w:rsid w:val="00F13E43"/>
    <w:rsid w:val="00F144BE"/>
    <w:rsid w:val="00F16A43"/>
    <w:rsid w:val="00F178D8"/>
    <w:rsid w:val="00F17914"/>
    <w:rsid w:val="00F17B18"/>
    <w:rsid w:val="00F205A2"/>
    <w:rsid w:val="00F219B9"/>
    <w:rsid w:val="00F224BD"/>
    <w:rsid w:val="00F231C2"/>
    <w:rsid w:val="00F2375C"/>
    <w:rsid w:val="00F23E4C"/>
    <w:rsid w:val="00F246AE"/>
    <w:rsid w:val="00F24CB4"/>
    <w:rsid w:val="00F25A7F"/>
    <w:rsid w:val="00F25FBE"/>
    <w:rsid w:val="00F270E9"/>
    <w:rsid w:val="00F2718C"/>
    <w:rsid w:val="00F30041"/>
    <w:rsid w:val="00F304FE"/>
    <w:rsid w:val="00F30572"/>
    <w:rsid w:val="00F30829"/>
    <w:rsid w:val="00F3147E"/>
    <w:rsid w:val="00F3199B"/>
    <w:rsid w:val="00F320B2"/>
    <w:rsid w:val="00F335D7"/>
    <w:rsid w:val="00F35F07"/>
    <w:rsid w:val="00F36702"/>
    <w:rsid w:val="00F37A1B"/>
    <w:rsid w:val="00F40882"/>
    <w:rsid w:val="00F46780"/>
    <w:rsid w:val="00F50305"/>
    <w:rsid w:val="00F50AC4"/>
    <w:rsid w:val="00F51218"/>
    <w:rsid w:val="00F516D1"/>
    <w:rsid w:val="00F51A86"/>
    <w:rsid w:val="00F51C53"/>
    <w:rsid w:val="00F52701"/>
    <w:rsid w:val="00F532BA"/>
    <w:rsid w:val="00F54493"/>
    <w:rsid w:val="00F5566F"/>
    <w:rsid w:val="00F559EF"/>
    <w:rsid w:val="00F55A19"/>
    <w:rsid w:val="00F56125"/>
    <w:rsid w:val="00F564F9"/>
    <w:rsid w:val="00F57709"/>
    <w:rsid w:val="00F57CCB"/>
    <w:rsid w:val="00F600D4"/>
    <w:rsid w:val="00F6205E"/>
    <w:rsid w:val="00F6297F"/>
    <w:rsid w:val="00F62A1B"/>
    <w:rsid w:val="00F63FF5"/>
    <w:rsid w:val="00F64373"/>
    <w:rsid w:val="00F66930"/>
    <w:rsid w:val="00F678DC"/>
    <w:rsid w:val="00F70043"/>
    <w:rsid w:val="00F72B25"/>
    <w:rsid w:val="00F73E95"/>
    <w:rsid w:val="00F74C38"/>
    <w:rsid w:val="00F75B8D"/>
    <w:rsid w:val="00F75FF9"/>
    <w:rsid w:val="00F7693A"/>
    <w:rsid w:val="00F76BB6"/>
    <w:rsid w:val="00F76C1D"/>
    <w:rsid w:val="00F7760D"/>
    <w:rsid w:val="00F77B04"/>
    <w:rsid w:val="00F77B98"/>
    <w:rsid w:val="00F77D2D"/>
    <w:rsid w:val="00F800C1"/>
    <w:rsid w:val="00F80317"/>
    <w:rsid w:val="00F821A3"/>
    <w:rsid w:val="00F82C05"/>
    <w:rsid w:val="00F82D5C"/>
    <w:rsid w:val="00F84552"/>
    <w:rsid w:val="00F84999"/>
    <w:rsid w:val="00F84C8C"/>
    <w:rsid w:val="00F86162"/>
    <w:rsid w:val="00F87F6A"/>
    <w:rsid w:val="00F91043"/>
    <w:rsid w:val="00F91C11"/>
    <w:rsid w:val="00F9246F"/>
    <w:rsid w:val="00F9309A"/>
    <w:rsid w:val="00F9314A"/>
    <w:rsid w:val="00F940B2"/>
    <w:rsid w:val="00F9422A"/>
    <w:rsid w:val="00F94902"/>
    <w:rsid w:val="00F95AF6"/>
    <w:rsid w:val="00F95D08"/>
    <w:rsid w:val="00F9742E"/>
    <w:rsid w:val="00FA0E96"/>
    <w:rsid w:val="00FA1462"/>
    <w:rsid w:val="00FA3C61"/>
    <w:rsid w:val="00FA45B8"/>
    <w:rsid w:val="00FA5BD7"/>
    <w:rsid w:val="00FA75EC"/>
    <w:rsid w:val="00FB19E8"/>
    <w:rsid w:val="00FB1DA9"/>
    <w:rsid w:val="00FB24A5"/>
    <w:rsid w:val="00FB2A38"/>
    <w:rsid w:val="00FB2CA8"/>
    <w:rsid w:val="00FB387F"/>
    <w:rsid w:val="00FB397E"/>
    <w:rsid w:val="00FB3B0F"/>
    <w:rsid w:val="00FB41DE"/>
    <w:rsid w:val="00FB5CA9"/>
    <w:rsid w:val="00FB5EC8"/>
    <w:rsid w:val="00FB5FC2"/>
    <w:rsid w:val="00FB61D1"/>
    <w:rsid w:val="00FB67F1"/>
    <w:rsid w:val="00FB6C27"/>
    <w:rsid w:val="00FB7A02"/>
    <w:rsid w:val="00FB7F50"/>
    <w:rsid w:val="00FC0F7A"/>
    <w:rsid w:val="00FC3165"/>
    <w:rsid w:val="00FC4A62"/>
    <w:rsid w:val="00FC4B39"/>
    <w:rsid w:val="00FC4BFD"/>
    <w:rsid w:val="00FC524D"/>
    <w:rsid w:val="00FC5798"/>
    <w:rsid w:val="00FC58EF"/>
    <w:rsid w:val="00FC5ADC"/>
    <w:rsid w:val="00FC5FE4"/>
    <w:rsid w:val="00FC64D4"/>
    <w:rsid w:val="00FC783B"/>
    <w:rsid w:val="00FC786D"/>
    <w:rsid w:val="00FC7CAB"/>
    <w:rsid w:val="00FD0D49"/>
    <w:rsid w:val="00FD1049"/>
    <w:rsid w:val="00FD1785"/>
    <w:rsid w:val="00FD2D52"/>
    <w:rsid w:val="00FD30C0"/>
    <w:rsid w:val="00FD33DF"/>
    <w:rsid w:val="00FD3CBE"/>
    <w:rsid w:val="00FD5320"/>
    <w:rsid w:val="00FD69A5"/>
    <w:rsid w:val="00FD7AA3"/>
    <w:rsid w:val="00FE304A"/>
    <w:rsid w:val="00FE38A0"/>
    <w:rsid w:val="00FE39D7"/>
    <w:rsid w:val="00FE460F"/>
    <w:rsid w:val="00FE4A21"/>
    <w:rsid w:val="00FE4ECD"/>
    <w:rsid w:val="00FE6089"/>
    <w:rsid w:val="00FE6205"/>
    <w:rsid w:val="00FE771C"/>
    <w:rsid w:val="00FE775A"/>
    <w:rsid w:val="00FE7EAA"/>
    <w:rsid w:val="00FF0A41"/>
    <w:rsid w:val="00FF2292"/>
    <w:rsid w:val="00FF2D46"/>
    <w:rsid w:val="00FF4689"/>
    <w:rsid w:val="00FF4760"/>
    <w:rsid w:val="00FF4827"/>
    <w:rsid w:val="00FF67D7"/>
    <w:rsid w:val="00FF75C5"/>
    <w:rsid w:val="00FF7802"/>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065278"/>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BCE"/>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aliases w:val="Neg"/>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aliases w:val="titulo 3,Liste 1,Bullets,References,Lista vistosa - Énfasis 11,Bolita,BOLA,BOLADEF,Antes de enumeración,Párrafo de lista2,Suntítulo 4,Bullet,lista numerada,Subtítulo 4,titulo 4,Fluvial1,Párrafo numerado,Titulo 4,lp1"/>
    <w:basedOn w:val="Normal"/>
    <w:link w:val="PrrafodelistaCar"/>
    <w:uiPriority w:val="34"/>
    <w:qFormat/>
    <w:rsid w:val="00BF5A0E"/>
    <w:pPr>
      <w:numPr>
        <w:numId w:val="5"/>
      </w:numPr>
      <w:spacing w:before="240" w:after="240"/>
    </w:pPr>
    <w:rPr>
      <w:szCs w:val="20"/>
      <w:lang w:val="es-CO"/>
    </w:rPr>
  </w:style>
  <w:style w:type="character" w:customStyle="1" w:styleId="PrrafodelistaCar">
    <w:name w:val="Párrafo de lista Car"/>
    <w:aliases w:val="titulo 3 Car,Liste 1 Car,Bullets Car,References Car,Lista vistosa - Énfasis 11 Car,Bolita Car,BOLA Car,BOLADEF Car,Antes de enumeración Car,Párrafo de lista2 Car,Suntítulo 4 Car,Bullet Car,lista numerada Car,Subtítulo 4 Car,lp1 Car"/>
    <w:link w:val="Prrafodelista"/>
    <w:qFormat/>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aliases w:val="Neg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EA3193"/>
    <w:pPr>
      <w:keepNext/>
      <w:widowControl w:val="0"/>
      <w:adjustRightInd w:val="0"/>
      <w:spacing w:before="60" w:line="360" w:lineRule="atLeast"/>
      <w:jc w:val="center"/>
      <w:textAlignment w:val="baseline"/>
    </w:pPr>
    <w:rPr>
      <w:sz w:val="22"/>
      <w:szCs w:val="20"/>
    </w:rPr>
  </w:style>
  <w:style w:type="character" w:customStyle="1" w:styleId="DescripcinCar">
    <w:name w:val="Descripción Car"/>
    <w:link w:val="Descripcin"/>
    <w:uiPriority w:val="35"/>
    <w:rsid w:val="00EA3193"/>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table" w:customStyle="1" w:styleId="TableGrid">
    <w:name w:val="TableGrid"/>
    <w:rsid w:val="00083364"/>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customStyle="1" w:styleId="Sangra2">
    <w:name w:val="Sangría 2"/>
    <w:basedOn w:val="Normal"/>
    <w:rsid w:val="00B91386"/>
    <w:pPr>
      <w:spacing w:before="0" w:after="0" w:line="240" w:lineRule="exact"/>
      <w:ind w:left="907"/>
    </w:pPr>
    <w:rPr>
      <w:rFonts w:ascii="Arial" w:hAnsi="Arial"/>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9775">
      <w:bodyDiv w:val="1"/>
      <w:marLeft w:val="0"/>
      <w:marRight w:val="0"/>
      <w:marTop w:val="0"/>
      <w:marBottom w:val="0"/>
      <w:divBdr>
        <w:top w:val="none" w:sz="0" w:space="0" w:color="auto"/>
        <w:left w:val="none" w:sz="0" w:space="0" w:color="auto"/>
        <w:bottom w:val="none" w:sz="0" w:space="0" w:color="auto"/>
        <w:right w:val="none" w:sz="0" w:space="0" w:color="auto"/>
      </w:divBdr>
    </w:div>
    <w:div w:id="29383089">
      <w:bodyDiv w:val="1"/>
      <w:marLeft w:val="0"/>
      <w:marRight w:val="0"/>
      <w:marTop w:val="0"/>
      <w:marBottom w:val="0"/>
      <w:divBdr>
        <w:top w:val="none" w:sz="0" w:space="0" w:color="auto"/>
        <w:left w:val="none" w:sz="0" w:space="0" w:color="auto"/>
        <w:bottom w:val="none" w:sz="0" w:space="0" w:color="auto"/>
        <w:right w:val="none" w:sz="0" w:space="0" w:color="auto"/>
      </w:divBdr>
    </w:div>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523124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73210883">
      <w:bodyDiv w:val="1"/>
      <w:marLeft w:val="0"/>
      <w:marRight w:val="0"/>
      <w:marTop w:val="0"/>
      <w:marBottom w:val="0"/>
      <w:divBdr>
        <w:top w:val="none" w:sz="0" w:space="0" w:color="auto"/>
        <w:left w:val="none" w:sz="0" w:space="0" w:color="auto"/>
        <w:bottom w:val="none" w:sz="0" w:space="0" w:color="auto"/>
        <w:right w:val="none" w:sz="0" w:space="0" w:color="auto"/>
      </w:divBdr>
    </w:div>
    <w:div w:id="88284017">
      <w:bodyDiv w:val="1"/>
      <w:marLeft w:val="0"/>
      <w:marRight w:val="0"/>
      <w:marTop w:val="0"/>
      <w:marBottom w:val="0"/>
      <w:divBdr>
        <w:top w:val="none" w:sz="0" w:space="0" w:color="auto"/>
        <w:left w:val="none" w:sz="0" w:space="0" w:color="auto"/>
        <w:bottom w:val="none" w:sz="0" w:space="0" w:color="auto"/>
        <w:right w:val="none" w:sz="0" w:space="0" w:color="auto"/>
      </w:divBdr>
    </w:div>
    <w:div w:id="89551333">
      <w:bodyDiv w:val="1"/>
      <w:marLeft w:val="0"/>
      <w:marRight w:val="0"/>
      <w:marTop w:val="0"/>
      <w:marBottom w:val="0"/>
      <w:divBdr>
        <w:top w:val="none" w:sz="0" w:space="0" w:color="auto"/>
        <w:left w:val="none" w:sz="0" w:space="0" w:color="auto"/>
        <w:bottom w:val="none" w:sz="0" w:space="0" w:color="auto"/>
        <w:right w:val="none" w:sz="0" w:space="0" w:color="auto"/>
      </w:divBdr>
    </w:div>
    <w:div w:id="107429200">
      <w:bodyDiv w:val="1"/>
      <w:marLeft w:val="0"/>
      <w:marRight w:val="0"/>
      <w:marTop w:val="0"/>
      <w:marBottom w:val="0"/>
      <w:divBdr>
        <w:top w:val="none" w:sz="0" w:space="0" w:color="auto"/>
        <w:left w:val="none" w:sz="0" w:space="0" w:color="auto"/>
        <w:bottom w:val="none" w:sz="0" w:space="0" w:color="auto"/>
        <w:right w:val="none" w:sz="0" w:space="0" w:color="auto"/>
      </w:divBdr>
    </w:div>
    <w:div w:id="111630589">
      <w:bodyDiv w:val="1"/>
      <w:marLeft w:val="0"/>
      <w:marRight w:val="0"/>
      <w:marTop w:val="0"/>
      <w:marBottom w:val="0"/>
      <w:divBdr>
        <w:top w:val="none" w:sz="0" w:space="0" w:color="auto"/>
        <w:left w:val="none" w:sz="0" w:space="0" w:color="auto"/>
        <w:bottom w:val="none" w:sz="0" w:space="0" w:color="auto"/>
        <w:right w:val="none" w:sz="0" w:space="0" w:color="auto"/>
      </w:divBdr>
    </w:div>
    <w:div w:id="11687354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29246450">
      <w:bodyDiv w:val="1"/>
      <w:marLeft w:val="0"/>
      <w:marRight w:val="0"/>
      <w:marTop w:val="0"/>
      <w:marBottom w:val="0"/>
      <w:divBdr>
        <w:top w:val="none" w:sz="0" w:space="0" w:color="auto"/>
        <w:left w:val="none" w:sz="0" w:space="0" w:color="auto"/>
        <w:bottom w:val="none" w:sz="0" w:space="0" w:color="auto"/>
        <w:right w:val="none" w:sz="0" w:space="0" w:color="auto"/>
      </w:divBdr>
    </w:div>
    <w:div w:id="147720134">
      <w:bodyDiv w:val="1"/>
      <w:marLeft w:val="0"/>
      <w:marRight w:val="0"/>
      <w:marTop w:val="0"/>
      <w:marBottom w:val="0"/>
      <w:divBdr>
        <w:top w:val="none" w:sz="0" w:space="0" w:color="auto"/>
        <w:left w:val="none" w:sz="0" w:space="0" w:color="auto"/>
        <w:bottom w:val="none" w:sz="0" w:space="0" w:color="auto"/>
        <w:right w:val="none" w:sz="0" w:space="0" w:color="auto"/>
      </w:divBdr>
    </w:div>
    <w:div w:id="238950968">
      <w:bodyDiv w:val="1"/>
      <w:marLeft w:val="0"/>
      <w:marRight w:val="0"/>
      <w:marTop w:val="0"/>
      <w:marBottom w:val="0"/>
      <w:divBdr>
        <w:top w:val="none" w:sz="0" w:space="0" w:color="auto"/>
        <w:left w:val="none" w:sz="0" w:space="0" w:color="auto"/>
        <w:bottom w:val="none" w:sz="0" w:space="0" w:color="auto"/>
        <w:right w:val="none" w:sz="0" w:space="0" w:color="auto"/>
      </w:divBdr>
    </w:div>
    <w:div w:id="268318514">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10526366">
      <w:bodyDiv w:val="1"/>
      <w:marLeft w:val="0"/>
      <w:marRight w:val="0"/>
      <w:marTop w:val="0"/>
      <w:marBottom w:val="0"/>
      <w:divBdr>
        <w:top w:val="none" w:sz="0" w:space="0" w:color="auto"/>
        <w:left w:val="none" w:sz="0" w:space="0" w:color="auto"/>
        <w:bottom w:val="none" w:sz="0" w:space="0" w:color="auto"/>
        <w:right w:val="none" w:sz="0" w:space="0" w:color="auto"/>
      </w:divBdr>
    </w:div>
    <w:div w:id="322901597">
      <w:bodyDiv w:val="1"/>
      <w:marLeft w:val="0"/>
      <w:marRight w:val="0"/>
      <w:marTop w:val="0"/>
      <w:marBottom w:val="0"/>
      <w:divBdr>
        <w:top w:val="none" w:sz="0" w:space="0" w:color="auto"/>
        <w:left w:val="none" w:sz="0" w:space="0" w:color="auto"/>
        <w:bottom w:val="none" w:sz="0" w:space="0" w:color="auto"/>
        <w:right w:val="none" w:sz="0" w:space="0" w:color="auto"/>
      </w:divBdr>
    </w:div>
    <w:div w:id="333648246">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70226779">
      <w:bodyDiv w:val="1"/>
      <w:marLeft w:val="0"/>
      <w:marRight w:val="0"/>
      <w:marTop w:val="0"/>
      <w:marBottom w:val="0"/>
      <w:divBdr>
        <w:top w:val="none" w:sz="0" w:space="0" w:color="auto"/>
        <w:left w:val="none" w:sz="0" w:space="0" w:color="auto"/>
        <w:bottom w:val="none" w:sz="0" w:space="0" w:color="auto"/>
        <w:right w:val="none" w:sz="0" w:space="0" w:color="auto"/>
      </w:divBdr>
    </w:div>
    <w:div w:id="377972074">
      <w:bodyDiv w:val="1"/>
      <w:marLeft w:val="0"/>
      <w:marRight w:val="0"/>
      <w:marTop w:val="0"/>
      <w:marBottom w:val="0"/>
      <w:divBdr>
        <w:top w:val="none" w:sz="0" w:space="0" w:color="auto"/>
        <w:left w:val="none" w:sz="0" w:space="0" w:color="auto"/>
        <w:bottom w:val="none" w:sz="0" w:space="0" w:color="auto"/>
        <w:right w:val="none" w:sz="0" w:space="0" w:color="auto"/>
      </w:divBdr>
    </w:div>
    <w:div w:id="382754730">
      <w:bodyDiv w:val="1"/>
      <w:marLeft w:val="0"/>
      <w:marRight w:val="0"/>
      <w:marTop w:val="0"/>
      <w:marBottom w:val="0"/>
      <w:divBdr>
        <w:top w:val="none" w:sz="0" w:space="0" w:color="auto"/>
        <w:left w:val="none" w:sz="0" w:space="0" w:color="auto"/>
        <w:bottom w:val="none" w:sz="0" w:space="0" w:color="auto"/>
        <w:right w:val="none" w:sz="0" w:space="0" w:color="auto"/>
      </w:divBdr>
    </w:div>
    <w:div w:id="392243700">
      <w:bodyDiv w:val="1"/>
      <w:marLeft w:val="0"/>
      <w:marRight w:val="0"/>
      <w:marTop w:val="0"/>
      <w:marBottom w:val="0"/>
      <w:divBdr>
        <w:top w:val="none" w:sz="0" w:space="0" w:color="auto"/>
        <w:left w:val="none" w:sz="0" w:space="0" w:color="auto"/>
        <w:bottom w:val="none" w:sz="0" w:space="0" w:color="auto"/>
        <w:right w:val="none" w:sz="0" w:space="0" w:color="auto"/>
      </w:divBdr>
    </w:div>
    <w:div w:id="400494169">
      <w:bodyDiv w:val="1"/>
      <w:marLeft w:val="0"/>
      <w:marRight w:val="0"/>
      <w:marTop w:val="0"/>
      <w:marBottom w:val="0"/>
      <w:divBdr>
        <w:top w:val="none" w:sz="0" w:space="0" w:color="auto"/>
        <w:left w:val="none" w:sz="0" w:space="0" w:color="auto"/>
        <w:bottom w:val="none" w:sz="0" w:space="0" w:color="auto"/>
        <w:right w:val="none" w:sz="0" w:space="0" w:color="auto"/>
      </w:divBdr>
    </w:div>
    <w:div w:id="427116603">
      <w:bodyDiv w:val="1"/>
      <w:marLeft w:val="0"/>
      <w:marRight w:val="0"/>
      <w:marTop w:val="0"/>
      <w:marBottom w:val="0"/>
      <w:divBdr>
        <w:top w:val="none" w:sz="0" w:space="0" w:color="auto"/>
        <w:left w:val="none" w:sz="0" w:space="0" w:color="auto"/>
        <w:bottom w:val="none" w:sz="0" w:space="0" w:color="auto"/>
        <w:right w:val="none" w:sz="0" w:space="0" w:color="auto"/>
      </w:divBdr>
    </w:div>
    <w:div w:id="43158509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61846107">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487333539">
      <w:bodyDiv w:val="1"/>
      <w:marLeft w:val="0"/>
      <w:marRight w:val="0"/>
      <w:marTop w:val="0"/>
      <w:marBottom w:val="0"/>
      <w:divBdr>
        <w:top w:val="none" w:sz="0" w:space="0" w:color="auto"/>
        <w:left w:val="none" w:sz="0" w:space="0" w:color="auto"/>
        <w:bottom w:val="none" w:sz="0" w:space="0" w:color="auto"/>
        <w:right w:val="none" w:sz="0" w:space="0" w:color="auto"/>
      </w:divBdr>
    </w:div>
    <w:div w:id="586810604">
      <w:bodyDiv w:val="1"/>
      <w:marLeft w:val="0"/>
      <w:marRight w:val="0"/>
      <w:marTop w:val="0"/>
      <w:marBottom w:val="0"/>
      <w:divBdr>
        <w:top w:val="none" w:sz="0" w:space="0" w:color="auto"/>
        <w:left w:val="none" w:sz="0" w:space="0" w:color="auto"/>
        <w:bottom w:val="none" w:sz="0" w:space="0" w:color="auto"/>
        <w:right w:val="none" w:sz="0" w:space="0" w:color="auto"/>
      </w:divBdr>
    </w:div>
    <w:div w:id="594900339">
      <w:bodyDiv w:val="1"/>
      <w:marLeft w:val="0"/>
      <w:marRight w:val="0"/>
      <w:marTop w:val="0"/>
      <w:marBottom w:val="0"/>
      <w:divBdr>
        <w:top w:val="none" w:sz="0" w:space="0" w:color="auto"/>
        <w:left w:val="none" w:sz="0" w:space="0" w:color="auto"/>
        <w:bottom w:val="none" w:sz="0" w:space="0" w:color="auto"/>
        <w:right w:val="none" w:sz="0" w:space="0" w:color="auto"/>
      </w:divBdr>
    </w:div>
    <w:div w:id="608202783">
      <w:bodyDiv w:val="1"/>
      <w:marLeft w:val="0"/>
      <w:marRight w:val="0"/>
      <w:marTop w:val="0"/>
      <w:marBottom w:val="0"/>
      <w:divBdr>
        <w:top w:val="none" w:sz="0" w:space="0" w:color="auto"/>
        <w:left w:val="none" w:sz="0" w:space="0" w:color="auto"/>
        <w:bottom w:val="none" w:sz="0" w:space="0" w:color="auto"/>
        <w:right w:val="none" w:sz="0" w:space="0" w:color="auto"/>
      </w:divBdr>
    </w:div>
    <w:div w:id="612202267">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49020719">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21174900">
      <w:bodyDiv w:val="1"/>
      <w:marLeft w:val="0"/>
      <w:marRight w:val="0"/>
      <w:marTop w:val="0"/>
      <w:marBottom w:val="0"/>
      <w:divBdr>
        <w:top w:val="none" w:sz="0" w:space="0" w:color="auto"/>
        <w:left w:val="none" w:sz="0" w:space="0" w:color="auto"/>
        <w:bottom w:val="none" w:sz="0" w:space="0" w:color="auto"/>
        <w:right w:val="none" w:sz="0" w:space="0" w:color="auto"/>
      </w:divBdr>
    </w:div>
    <w:div w:id="722368585">
      <w:bodyDiv w:val="1"/>
      <w:marLeft w:val="0"/>
      <w:marRight w:val="0"/>
      <w:marTop w:val="0"/>
      <w:marBottom w:val="0"/>
      <w:divBdr>
        <w:top w:val="none" w:sz="0" w:space="0" w:color="auto"/>
        <w:left w:val="none" w:sz="0" w:space="0" w:color="auto"/>
        <w:bottom w:val="none" w:sz="0" w:space="0" w:color="auto"/>
        <w:right w:val="none" w:sz="0" w:space="0" w:color="auto"/>
      </w:divBdr>
    </w:div>
    <w:div w:id="752430565">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06052124">
      <w:bodyDiv w:val="1"/>
      <w:marLeft w:val="0"/>
      <w:marRight w:val="0"/>
      <w:marTop w:val="0"/>
      <w:marBottom w:val="0"/>
      <w:divBdr>
        <w:top w:val="none" w:sz="0" w:space="0" w:color="auto"/>
        <w:left w:val="none" w:sz="0" w:space="0" w:color="auto"/>
        <w:bottom w:val="none" w:sz="0" w:space="0" w:color="auto"/>
        <w:right w:val="none" w:sz="0" w:space="0" w:color="auto"/>
      </w:divBdr>
    </w:div>
    <w:div w:id="829951809">
      <w:bodyDiv w:val="1"/>
      <w:marLeft w:val="0"/>
      <w:marRight w:val="0"/>
      <w:marTop w:val="0"/>
      <w:marBottom w:val="0"/>
      <w:divBdr>
        <w:top w:val="none" w:sz="0" w:space="0" w:color="auto"/>
        <w:left w:val="none" w:sz="0" w:space="0" w:color="auto"/>
        <w:bottom w:val="none" w:sz="0" w:space="0" w:color="auto"/>
        <w:right w:val="none" w:sz="0" w:space="0" w:color="auto"/>
      </w:divBdr>
    </w:div>
    <w:div w:id="831871909">
      <w:bodyDiv w:val="1"/>
      <w:marLeft w:val="0"/>
      <w:marRight w:val="0"/>
      <w:marTop w:val="0"/>
      <w:marBottom w:val="0"/>
      <w:divBdr>
        <w:top w:val="none" w:sz="0" w:space="0" w:color="auto"/>
        <w:left w:val="none" w:sz="0" w:space="0" w:color="auto"/>
        <w:bottom w:val="none" w:sz="0" w:space="0" w:color="auto"/>
        <w:right w:val="none" w:sz="0" w:space="0" w:color="auto"/>
      </w:divBdr>
    </w:div>
    <w:div w:id="844788115">
      <w:bodyDiv w:val="1"/>
      <w:marLeft w:val="0"/>
      <w:marRight w:val="0"/>
      <w:marTop w:val="0"/>
      <w:marBottom w:val="0"/>
      <w:divBdr>
        <w:top w:val="none" w:sz="0" w:space="0" w:color="auto"/>
        <w:left w:val="none" w:sz="0" w:space="0" w:color="auto"/>
        <w:bottom w:val="none" w:sz="0" w:space="0" w:color="auto"/>
        <w:right w:val="none" w:sz="0" w:space="0" w:color="auto"/>
      </w:divBdr>
    </w:div>
    <w:div w:id="853611635">
      <w:bodyDiv w:val="1"/>
      <w:marLeft w:val="0"/>
      <w:marRight w:val="0"/>
      <w:marTop w:val="0"/>
      <w:marBottom w:val="0"/>
      <w:divBdr>
        <w:top w:val="none" w:sz="0" w:space="0" w:color="auto"/>
        <w:left w:val="none" w:sz="0" w:space="0" w:color="auto"/>
        <w:bottom w:val="none" w:sz="0" w:space="0" w:color="auto"/>
        <w:right w:val="none" w:sz="0" w:space="0" w:color="auto"/>
      </w:divBdr>
    </w:div>
    <w:div w:id="859902884">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896476354">
      <w:bodyDiv w:val="1"/>
      <w:marLeft w:val="0"/>
      <w:marRight w:val="0"/>
      <w:marTop w:val="0"/>
      <w:marBottom w:val="0"/>
      <w:divBdr>
        <w:top w:val="none" w:sz="0" w:space="0" w:color="auto"/>
        <w:left w:val="none" w:sz="0" w:space="0" w:color="auto"/>
        <w:bottom w:val="none" w:sz="0" w:space="0" w:color="auto"/>
        <w:right w:val="none" w:sz="0" w:space="0" w:color="auto"/>
      </w:divBdr>
    </w:div>
    <w:div w:id="898980986">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04148101">
      <w:bodyDiv w:val="1"/>
      <w:marLeft w:val="0"/>
      <w:marRight w:val="0"/>
      <w:marTop w:val="0"/>
      <w:marBottom w:val="0"/>
      <w:divBdr>
        <w:top w:val="none" w:sz="0" w:space="0" w:color="auto"/>
        <w:left w:val="none" w:sz="0" w:space="0" w:color="auto"/>
        <w:bottom w:val="none" w:sz="0" w:space="0" w:color="auto"/>
        <w:right w:val="none" w:sz="0" w:space="0" w:color="auto"/>
      </w:divBdr>
    </w:div>
    <w:div w:id="924647645">
      <w:bodyDiv w:val="1"/>
      <w:marLeft w:val="0"/>
      <w:marRight w:val="0"/>
      <w:marTop w:val="0"/>
      <w:marBottom w:val="0"/>
      <w:divBdr>
        <w:top w:val="none" w:sz="0" w:space="0" w:color="auto"/>
        <w:left w:val="none" w:sz="0" w:space="0" w:color="auto"/>
        <w:bottom w:val="none" w:sz="0" w:space="0" w:color="auto"/>
        <w:right w:val="none" w:sz="0" w:space="0" w:color="auto"/>
      </w:divBdr>
    </w:div>
    <w:div w:id="957683391">
      <w:bodyDiv w:val="1"/>
      <w:marLeft w:val="0"/>
      <w:marRight w:val="0"/>
      <w:marTop w:val="0"/>
      <w:marBottom w:val="0"/>
      <w:divBdr>
        <w:top w:val="none" w:sz="0" w:space="0" w:color="auto"/>
        <w:left w:val="none" w:sz="0" w:space="0" w:color="auto"/>
        <w:bottom w:val="none" w:sz="0" w:space="0" w:color="auto"/>
        <w:right w:val="none" w:sz="0" w:space="0" w:color="auto"/>
      </w:divBdr>
    </w:div>
    <w:div w:id="963538057">
      <w:bodyDiv w:val="1"/>
      <w:marLeft w:val="0"/>
      <w:marRight w:val="0"/>
      <w:marTop w:val="0"/>
      <w:marBottom w:val="0"/>
      <w:divBdr>
        <w:top w:val="none" w:sz="0" w:space="0" w:color="auto"/>
        <w:left w:val="none" w:sz="0" w:space="0" w:color="auto"/>
        <w:bottom w:val="none" w:sz="0" w:space="0" w:color="auto"/>
        <w:right w:val="none" w:sz="0" w:space="0" w:color="auto"/>
      </w:divBdr>
    </w:div>
    <w:div w:id="1034961950">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64641827">
      <w:bodyDiv w:val="1"/>
      <w:marLeft w:val="0"/>
      <w:marRight w:val="0"/>
      <w:marTop w:val="0"/>
      <w:marBottom w:val="0"/>
      <w:divBdr>
        <w:top w:val="none" w:sz="0" w:space="0" w:color="auto"/>
        <w:left w:val="none" w:sz="0" w:space="0" w:color="auto"/>
        <w:bottom w:val="none" w:sz="0" w:space="0" w:color="auto"/>
        <w:right w:val="none" w:sz="0" w:space="0" w:color="auto"/>
      </w:divBdr>
    </w:div>
    <w:div w:id="107185482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083406632">
      <w:bodyDiv w:val="1"/>
      <w:marLeft w:val="0"/>
      <w:marRight w:val="0"/>
      <w:marTop w:val="0"/>
      <w:marBottom w:val="0"/>
      <w:divBdr>
        <w:top w:val="none" w:sz="0" w:space="0" w:color="auto"/>
        <w:left w:val="none" w:sz="0" w:space="0" w:color="auto"/>
        <w:bottom w:val="none" w:sz="0" w:space="0" w:color="auto"/>
        <w:right w:val="none" w:sz="0" w:space="0" w:color="auto"/>
      </w:divBdr>
    </w:div>
    <w:div w:id="1084839398">
      <w:bodyDiv w:val="1"/>
      <w:marLeft w:val="0"/>
      <w:marRight w:val="0"/>
      <w:marTop w:val="0"/>
      <w:marBottom w:val="0"/>
      <w:divBdr>
        <w:top w:val="none" w:sz="0" w:space="0" w:color="auto"/>
        <w:left w:val="none" w:sz="0" w:space="0" w:color="auto"/>
        <w:bottom w:val="none" w:sz="0" w:space="0" w:color="auto"/>
        <w:right w:val="none" w:sz="0" w:space="0" w:color="auto"/>
      </w:divBdr>
    </w:div>
    <w:div w:id="1096708611">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25007490">
      <w:bodyDiv w:val="1"/>
      <w:marLeft w:val="0"/>
      <w:marRight w:val="0"/>
      <w:marTop w:val="0"/>
      <w:marBottom w:val="0"/>
      <w:divBdr>
        <w:top w:val="none" w:sz="0" w:space="0" w:color="auto"/>
        <w:left w:val="none" w:sz="0" w:space="0" w:color="auto"/>
        <w:bottom w:val="none" w:sz="0" w:space="0" w:color="auto"/>
        <w:right w:val="none" w:sz="0" w:space="0" w:color="auto"/>
      </w:divBdr>
    </w:div>
    <w:div w:id="1131023213">
      <w:bodyDiv w:val="1"/>
      <w:marLeft w:val="0"/>
      <w:marRight w:val="0"/>
      <w:marTop w:val="0"/>
      <w:marBottom w:val="0"/>
      <w:divBdr>
        <w:top w:val="none" w:sz="0" w:space="0" w:color="auto"/>
        <w:left w:val="none" w:sz="0" w:space="0" w:color="auto"/>
        <w:bottom w:val="none" w:sz="0" w:space="0" w:color="auto"/>
        <w:right w:val="none" w:sz="0" w:space="0" w:color="auto"/>
      </w:divBdr>
    </w:div>
    <w:div w:id="1141311129">
      <w:bodyDiv w:val="1"/>
      <w:marLeft w:val="0"/>
      <w:marRight w:val="0"/>
      <w:marTop w:val="0"/>
      <w:marBottom w:val="0"/>
      <w:divBdr>
        <w:top w:val="none" w:sz="0" w:space="0" w:color="auto"/>
        <w:left w:val="none" w:sz="0" w:space="0" w:color="auto"/>
        <w:bottom w:val="none" w:sz="0" w:space="0" w:color="auto"/>
        <w:right w:val="none" w:sz="0" w:space="0" w:color="auto"/>
      </w:divBdr>
    </w:div>
    <w:div w:id="1156191512">
      <w:bodyDiv w:val="1"/>
      <w:marLeft w:val="0"/>
      <w:marRight w:val="0"/>
      <w:marTop w:val="0"/>
      <w:marBottom w:val="0"/>
      <w:divBdr>
        <w:top w:val="none" w:sz="0" w:space="0" w:color="auto"/>
        <w:left w:val="none" w:sz="0" w:space="0" w:color="auto"/>
        <w:bottom w:val="none" w:sz="0" w:space="0" w:color="auto"/>
        <w:right w:val="none" w:sz="0" w:space="0" w:color="auto"/>
      </w:divBdr>
    </w:div>
    <w:div w:id="1174685814">
      <w:bodyDiv w:val="1"/>
      <w:marLeft w:val="0"/>
      <w:marRight w:val="0"/>
      <w:marTop w:val="0"/>
      <w:marBottom w:val="0"/>
      <w:divBdr>
        <w:top w:val="none" w:sz="0" w:space="0" w:color="auto"/>
        <w:left w:val="none" w:sz="0" w:space="0" w:color="auto"/>
        <w:bottom w:val="none" w:sz="0" w:space="0" w:color="auto"/>
        <w:right w:val="none" w:sz="0" w:space="0" w:color="auto"/>
      </w:divBdr>
    </w:div>
    <w:div w:id="1217204893">
      <w:bodyDiv w:val="1"/>
      <w:marLeft w:val="0"/>
      <w:marRight w:val="0"/>
      <w:marTop w:val="0"/>
      <w:marBottom w:val="0"/>
      <w:divBdr>
        <w:top w:val="none" w:sz="0" w:space="0" w:color="auto"/>
        <w:left w:val="none" w:sz="0" w:space="0" w:color="auto"/>
        <w:bottom w:val="none" w:sz="0" w:space="0" w:color="auto"/>
        <w:right w:val="none" w:sz="0" w:space="0" w:color="auto"/>
      </w:divBdr>
    </w:div>
    <w:div w:id="1231311318">
      <w:bodyDiv w:val="1"/>
      <w:marLeft w:val="0"/>
      <w:marRight w:val="0"/>
      <w:marTop w:val="0"/>
      <w:marBottom w:val="0"/>
      <w:divBdr>
        <w:top w:val="none" w:sz="0" w:space="0" w:color="auto"/>
        <w:left w:val="none" w:sz="0" w:space="0" w:color="auto"/>
        <w:bottom w:val="none" w:sz="0" w:space="0" w:color="auto"/>
        <w:right w:val="none" w:sz="0" w:space="0" w:color="auto"/>
      </w:divBdr>
    </w:div>
    <w:div w:id="1245650984">
      <w:bodyDiv w:val="1"/>
      <w:marLeft w:val="0"/>
      <w:marRight w:val="0"/>
      <w:marTop w:val="0"/>
      <w:marBottom w:val="0"/>
      <w:divBdr>
        <w:top w:val="none" w:sz="0" w:space="0" w:color="auto"/>
        <w:left w:val="none" w:sz="0" w:space="0" w:color="auto"/>
        <w:bottom w:val="none" w:sz="0" w:space="0" w:color="auto"/>
        <w:right w:val="none" w:sz="0" w:space="0" w:color="auto"/>
      </w:divBdr>
    </w:div>
    <w:div w:id="1256010693">
      <w:bodyDiv w:val="1"/>
      <w:marLeft w:val="0"/>
      <w:marRight w:val="0"/>
      <w:marTop w:val="0"/>
      <w:marBottom w:val="0"/>
      <w:divBdr>
        <w:top w:val="none" w:sz="0" w:space="0" w:color="auto"/>
        <w:left w:val="none" w:sz="0" w:space="0" w:color="auto"/>
        <w:bottom w:val="none" w:sz="0" w:space="0" w:color="auto"/>
        <w:right w:val="none" w:sz="0" w:space="0" w:color="auto"/>
      </w:divBdr>
    </w:div>
    <w:div w:id="1267421864">
      <w:bodyDiv w:val="1"/>
      <w:marLeft w:val="0"/>
      <w:marRight w:val="0"/>
      <w:marTop w:val="0"/>
      <w:marBottom w:val="0"/>
      <w:divBdr>
        <w:top w:val="none" w:sz="0" w:space="0" w:color="auto"/>
        <w:left w:val="none" w:sz="0" w:space="0" w:color="auto"/>
        <w:bottom w:val="none" w:sz="0" w:space="0" w:color="auto"/>
        <w:right w:val="none" w:sz="0" w:space="0" w:color="auto"/>
      </w:divBdr>
    </w:div>
    <w:div w:id="1288857518">
      <w:bodyDiv w:val="1"/>
      <w:marLeft w:val="0"/>
      <w:marRight w:val="0"/>
      <w:marTop w:val="0"/>
      <w:marBottom w:val="0"/>
      <w:divBdr>
        <w:top w:val="none" w:sz="0" w:space="0" w:color="auto"/>
        <w:left w:val="none" w:sz="0" w:space="0" w:color="auto"/>
        <w:bottom w:val="none" w:sz="0" w:space="0" w:color="auto"/>
        <w:right w:val="none" w:sz="0" w:space="0" w:color="auto"/>
      </w:divBdr>
    </w:div>
    <w:div w:id="1301689085">
      <w:bodyDiv w:val="1"/>
      <w:marLeft w:val="0"/>
      <w:marRight w:val="0"/>
      <w:marTop w:val="0"/>
      <w:marBottom w:val="0"/>
      <w:divBdr>
        <w:top w:val="none" w:sz="0" w:space="0" w:color="auto"/>
        <w:left w:val="none" w:sz="0" w:space="0" w:color="auto"/>
        <w:bottom w:val="none" w:sz="0" w:space="0" w:color="auto"/>
        <w:right w:val="none" w:sz="0" w:space="0" w:color="auto"/>
      </w:divBdr>
    </w:div>
    <w:div w:id="1322467264">
      <w:bodyDiv w:val="1"/>
      <w:marLeft w:val="0"/>
      <w:marRight w:val="0"/>
      <w:marTop w:val="0"/>
      <w:marBottom w:val="0"/>
      <w:divBdr>
        <w:top w:val="none" w:sz="0" w:space="0" w:color="auto"/>
        <w:left w:val="none" w:sz="0" w:space="0" w:color="auto"/>
        <w:bottom w:val="none" w:sz="0" w:space="0" w:color="auto"/>
        <w:right w:val="none" w:sz="0" w:space="0" w:color="auto"/>
      </w:divBdr>
    </w:div>
    <w:div w:id="1349481738">
      <w:bodyDiv w:val="1"/>
      <w:marLeft w:val="0"/>
      <w:marRight w:val="0"/>
      <w:marTop w:val="0"/>
      <w:marBottom w:val="0"/>
      <w:divBdr>
        <w:top w:val="none" w:sz="0" w:space="0" w:color="auto"/>
        <w:left w:val="none" w:sz="0" w:space="0" w:color="auto"/>
        <w:bottom w:val="none" w:sz="0" w:space="0" w:color="auto"/>
        <w:right w:val="none" w:sz="0" w:space="0" w:color="auto"/>
      </w:divBdr>
    </w:div>
    <w:div w:id="1354720323">
      <w:bodyDiv w:val="1"/>
      <w:marLeft w:val="0"/>
      <w:marRight w:val="0"/>
      <w:marTop w:val="0"/>
      <w:marBottom w:val="0"/>
      <w:divBdr>
        <w:top w:val="none" w:sz="0" w:space="0" w:color="auto"/>
        <w:left w:val="none" w:sz="0" w:space="0" w:color="auto"/>
        <w:bottom w:val="none" w:sz="0" w:space="0" w:color="auto"/>
        <w:right w:val="none" w:sz="0" w:space="0" w:color="auto"/>
      </w:divBdr>
    </w:div>
    <w:div w:id="1361707811">
      <w:bodyDiv w:val="1"/>
      <w:marLeft w:val="0"/>
      <w:marRight w:val="0"/>
      <w:marTop w:val="0"/>
      <w:marBottom w:val="0"/>
      <w:divBdr>
        <w:top w:val="none" w:sz="0" w:space="0" w:color="auto"/>
        <w:left w:val="none" w:sz="0" w:space="0" w:color="auto"/>
        <w:bottom w:val="none" w:sz="0" w:space="0" w:color="auto"/>
        <w:right w:val="none" w:sz="0" w:space="0" w:color="auto"/>
      </w:divBdr>
    </w:div>
    <w:div w:id="1364209788">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69454853">
      <w:bodyDiv w:val="1"/>
      <w:marLeft w:val="0"/>
      <w:marRight w:val="0"/>
      <w:marTop w:val="0"/>
      <w:marBottom w:val="0"/>
      <w:divBdr>
        <w:top w:val="none" w:sz="0" w:space="0" w:color="auto"/>
        <w:left w:val="none" w:sz="0" w:space="0" w:color="auto"/>
        <w:bottom w:val="none" w:sz="0" w:space="0" w:color="auto"/>
        <w:right w:val="none" w:sz="0" w:space="0" w:color="auto"/>
      </w:divBdr>
    </w:div>
    <w:div w:id="1373068379">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2903734">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07221684">
      <w:bodyDiv w:val="1"/>
      <w:marLeft w:val="0"/>
      <w:marRight w:val="0"/>
      <w:marTop w:val="0"/>
      <w:marBottom w:val="0"/>
      <w:divBdr>
        <w:top w:val="none" w:sz="0" w:space="0" w:color="auto"/>
        <w:left w:val="none" w:sz="0" w:space="0" w:color="auto"/>
        <w:bottom w:val="none" w:sz="0" w:space="0" w:color="auto"/>
        <w:right w:val="none" w:sz="0" w:space="0" w:color="auto"/>
      </w:divBdr>
    </w:div>
    <w:div w:id="1418164874">
      <w:bodyDiv w:val="1"/>
      <w:marLeft w:val="0"/>
      <w:marRight w:val="0"/>
      <w:marTop w:val="0"/>
      <w:marBottom w:val="0"/>
      <w:divBdr>
        <w:top w:val="none" w:sz="0" w:space="0" w:color="auto"/>
        <w:left w:val="none" w:sz="0" w:space="0" w:color="auto"/>
        <w:bottom w:val="none" w:sz="0" w:space="0" w:color="auto"/>
        <w:right w:val="none" w:sz="0" w:space="0" w:color="auto"/>
      </w:divBdr>
    </w:div>
    <w:div w:id="1419984495">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29235172">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52937934">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490555357">
      <w:bodyDiv w:val="1"/>
      <w:marLeft w:val="0"/>
      <w:marRight w:val="0"/>
      <w:marTop w:val="0"/>
      <w:marBottom w:val="0"/>
      <w:divBdr>
        <w:top w:val="none" w:sz="0" w:space="0" w:color="auto"/>
        <w:left w:val="none" w:sz="0" w:space="0" w:color="auto"/>
        <w:bottom w:val="none" w:sz="0" w:space="0" w:color="auto"/>
        <w:right w:val="none" w:sz="0" w:space="0" w:color="auto"/>
      </w:divBdr>
    </w:div>
    <w:div w:id="1494881137">
      <w:bodyDiv w:val="1"/>
      <w:marLeft w:val="0"/>
      <w:marRight w:val="0"/>
      <w:marTop w:val="0"/>
      <w:marBottom w:val="0"/>
      <w:divBdr>
        <w:top w:val="none" w:sz="0" w:space="0" w:color="auto"/>
        <w:left w:val="none" w:sz="0" w:space="0" w:color="auto"/>
        <w:bottom w:val="none" w:sz="0" w:space="0" w:color="auto"/>
        <w:right w:val="none" w:sz="0" w:space="0" w:color="auto"/>
      </w:divBdr>
    </w:div>
    <w:div w:id="1504080858">
      <w:bodyDiv w:val="1"/>
      <w:marLeft w:val="0"/>
      <w:marRight w:val="0"/>
      <w:marTop w:val="0"/>
      <w:marBottom w:val="0"/>
      <w:divBdr>
        <w:top w:val="none" w:sz="0" w:space="0" w:color="auto"/>
        <w:left w:val="none" w:sz="0" w:space="0" w:color="auto"/>
        <w:bottom w:val="none" w:sz="0" w:space="0" w:color="auto"/>
        <w:right w:val="none" w:sz="0" w:space="0" w:color="auto"/>
      </w:divBdr>
    </w:div>
    <w:div w:id="1508666064">
      <w:bodyDiv w:val="1"/>
      <w:marLeft w:val="0"/>
      <w:marRight w:val="0"/>
      <w:marTop w:val="0"/>
      <w:marBottom w:val="0"/>
      <w:divBdr>
        <w:top w:val="none" w:sz="0" w:space="0" w:color="auto"/>
        <w:left w:val="none" w:sz="0" w:space="0" w:color="auto"/>
        <w:bottom w:val="none" w:sz="0" w:space="0" w:color="auto"/>
        <w:right w:val="none" w:sz="0" w:space="0" w:color="auto"/>
      </w:divBdr>
    </w:div>
    <w:div w:id="1514497023">
      <w:bodyDiv w:val="1"/>
      <w:marLeft w:val="0"/>
      <w:marRight w:val="0"/>
      <w:marTop w:val="0"/>
      <w:marBottom w:val="0"/>
      <w:divBdr>
        <w:top w:val="none" w:sz="0" w:space="0" w:color="auto"/>
        <w:left w:val="none" w:sz="0" w:space="0" w:color="auto"/>
        <w:bottom w:val="none" w:sz="0" w:space="0" w:color="auto"/>
        <w:right w:val="none" w:sz="0" w:space="0" w:color="auto"/>
      </w:divBdr>
    </w:div>
    <w:div w:id="1516647554">
      <w:bodyDiv w:val="1"/>
      <w:marLeft w:val="0"/>
      <w:marRight w:val="0"/>
      <w:marTop w:val="0"/>
      <w:marBottom w:val="0"/>
      <w:divBdr>
        <w:top w:val="none" w:sz="0" w:space="0" w:color="auto"/>
        <w:left w:val="none" w:sz="0" w:space="0" w:color="auto"/>
        <w:bottom w:val="none" w:sz="0" w:space="0" w:color="auto"/>
        <w:right w:val="none" w:sz="0" w:space="0" w:color="auto"/>
      </w:divBdr>
    </w:div>
    <w:div w:id="1517228367">
      <w:bodyDiv w:val="1"/>
      <w:marLeft w:val="0"/>
      <w:marRight w:val="0"/>
      <w:marTop w:val="0"/>
      <w:marBottom w:val="0"/>
      <w:divBdr>
        <w:top w:val="none" w:sz="0" w:space="0" w:color="auto"/>
        <w:left w:val="none" w:sz="0" w:space="0" w:color="auto"/>
        <w:bottom w:val="none" w:sz="0" w:space="0" w:color="auto"/>
        <w:right w:val="none" w:sz="0" w:space="0" w:color="auto"/>
      </w:divBdr>
    </w:div>
    <w:div w:id="1554582249">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6472508">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51012580">
      <w:bodyDiv w:val="1"/>
      <w:marLeft w:val="0"/>
      <w:marRight w:val="0"/>
      <w:marTop w:val="0"/>
      <w:marBottom w:val="0"/>
      <w:divBdr>
        <w:top w:val="none" w:sz="0" w:space="0" w:color="auto"/>
        <w:left w:val="none" w:sz="0" w:space="0" w:color="auto"/>
        <w:bottom w:val="none" w:sz="0" w:space="0" w:color="auto"/>
        <w:right w:val="none" w:sz="0" w:space="0" w:color="auto"/>
      </w:divBdr>
    </w:div>
    <w:div w:id="1658147558">
      <w:bodyDiv w:val="1"/>
      <w:marLeft w:val="0"/>
      <w:marRight w:val="0"/>
      <w:marTop w:val="0"/>
      <w:marBottom w:val="0"/>
      <w:divBdr>
        <w:top w:val="none" w:sz="0" w:space="0" w:color="auto"/>
        <w:left w:val="none" w:sz="0" w:space="0" w:color="auto"/>
        <w:bottom w:val="none" w:sz="0" w:space="0" w:color="auto"/>
        <w:right w:val="none" w:sz="0" w:space="0" w:color="auto"/>
      </w:divBdr>
    </w:div>
    <w:div w:id="1700427000">
      <w:bodyDiv w:val="1"/>
      <w:marLeft w:val="0"/>
      <w:marRight w:val="0"/>
      <w:marTop w:val="0"/>
      <w:marBottom w:val="0"/>
      <w:divBdr>
        <w:top w:val="none" w:sz="0" w:space="0" w:color="auto"/>
        <w:left w:val="none" w:sz="0" w:space="0" w:color="auto"/>
        <w:bottom w:val="none" w:sz="0" w:space="0" w:color="auto"/>
        <w:right w:val="none" w:sz="0" w:space="0" w:color="auto"/>
      </w:divBdr>
    </w:div>
    <w:div w:id="1744984013">
      <w:bodyDiv w:val="1"/>
      <w:marLeft w:val="0"/>
      <w:marRight w:val="0"/>
      <w:marTop w:val="0"/>
      <w:marBottom w:val="0"/>
      <w:divBdr>
        <w:top w:val="none" w:sz="0" w:space="0" w:color="auto"/>
        <w:left w:val="none" w:sz="0" w:space="0" w:color="auto"/>
        <w:bottom w:val="none" w:sz="0" w:space="0" w:color="auto"/>
        <w:right w:val="none" w:sz="0" w:space="0" w:color="auto"/>
      </w:divBdr>
    </w:div>
    <w:div w:id="1780173818">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15297179">
      <w:bodyDiv w:val="1"/>
      <w:marLeft w:val="0"/>
      <w:marRight w:val="0"/>
      <w:marTop w:val="0"/>
      <w:marBottom w:val="0"/>
      <w:divBdr>
        <w:top w:val="none" w:sz="0" w:space="0" w:color="auto"/>
        <w:left w:val="none" w:sz="0" w:space="0" w:color="auto"/>
        <w:bottom w:val="none" w:sz="0" w:space="0" w:color="auto"/>
        <w:right w:val="none" w:sz="0" w:space="0" w:color="auto"/>
      </w:divBdr>
    </w:div>
    <w:div w:id="1816407559">
      <w:bodyDiv w:val="1"/>
      <w:marLeft w:val="0"/>
      <w:marRight w:val="0"/>
      <w:marTop w:val="0"/>
      <w:marBottom w:val="0"/>
      <w:divBdr>
        <w:top w:val="none" w:sz="0" w:space="0" w:color="auto"/>
        <w:left w:val="none" w:sz="0" w:space="0" w:color="auto"/>
        <w:bottom w:val="none" w:sz="0" w:space="0" w:color="auto"/>
        <w:right w:val="none" w:sz="0" w:space="0" w:color="auto"/>
      </w:divBdr>
    </w:div>
    <w:div w:id="1822768514">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1431772">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72188496">
      <w:bodyDiv w:val="1"/>
      <w:marLeft w:val="0"/>
      <w:marRight w:val="0"/>
      <w:marTop w:val="0"/>
      <w:marBottom w:val="0"/>
      <w:divBdr>
        <w:top w:val="none" w:sz="0" w:space="0" w:color="auto"/>
        <w:left w:val="none" w:sz="0" w:space="0" w:color="auto"/>
        <w:bottom w:val="none" w:sz="0" w:space="0" w:color="auto"/>
        <w:right w:val="none" w:sz="0" w:space="0" w:color="auto"/>
      </w:divBdr>
    </w:div>
    <w:div w:id="1918247027">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28924919">
      <w:bodyDiv w:val="1"/>
      <w:marLeft w:val="0"/>
      <w:marRight w:val="0"/>
      <w:marTop w:val="0"/>
      <w:marBottom w:val="0"/>
      <w:divBdr>
        <w:top w:val="none" w:sz="0" w:space="0" w:color="auto"/>
        <w:left w:val="none" w:sz="0" w:space="0" w:color="auto"/>
        <w:bottom w:val="none" w:sz="0" w:space="0" w:color="auto"/>
        <w:right w:val="none" w:sz="0" w:space="0" w:color="auto"/>
      </w:divBdr>
    </w:div>
    <w:div w:id="1935085194">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37665933">
      <w:bodyDiv w:val="1"/>
      <w:marLeft w:val="0"/>
      <w:marRight w:val="0"/>
      <w:marTop w:val="0"/>
      <w:marBottom w:val="0"/>
      <w:divBdr>
        <w:top w:val="none" w:sz="0" w:space="0" w:color="auto"/>
        <w:left w:val="none" w:sz="0" w:space="0" w:color="auto"/>
        <w:bottom w:val="none" w:sz="0" w:space="0" w:color="auto"/>
        <w:right w:val="none" w:sz="0" w:space="0" w:color="auto"/>
      </w:divBdr>
    </w:div>
    <w:div w:id="1953322482">
      <w:bodyDiv w:val="1"/>
      <w:marLeft w:val="0"/>
      <w:marRight w:val="0"/>
      <w:marTop w:val="0"/>
      <w:marBottom w:val="0"/>
      <w:divBdr>
        <w:top w:val="none" w:sz="0" w:space="0" w:color="auto"/>
        <w:left w:val="none" w:sz="0" w:space="0" w:color="auto"/>
        <w:bottom w:val="none" w:sz="0" w:space="0" w:color="auto"/>
        <w:right w:val="none" w:sz="0" w:space="0" w:color="auto"/>
      </w:divBdr>
    </w:div>
    <w:div w:id="1955207694">
      <w:bodyDiv w:val="1"/>
      <w:marLeft w:val="0"/>
      <w:marRight w:val="0"/>
      <w:marTop w:val="0"/>
      <w:marBottom w:val="0"/>
      <w:divBdr>
        <w:top w:val="none" w:sz="0" w:space="0" w:color="auto"/>
        <w:left w:val="none" w:sz="0" w:space="0" w:color="auto"/>
        <w:bottom w:val="none" w:sz="0" w:space="0" w:color="auto"/>
        <w:right w:val="none" w:sz="0" w:space="0" w:color="auto"/>
      </w:divBdr>
    </w:div>
    <w:div w:id="1966963339">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03239655">
      <w:bodyDiv w:val="1"/>
      <w:marLeft w:val="0"/>
      <w:marRight w:val="0"/>
      <w:marTop w:val="0"/>
      <w:marBottom w:val="0"/>
      <w:divBdr>
        <w:top w:val="none" w:sz="0" w:space="0" w:color="auto"/>
        <w:left w:val="none" w:sz="0" w:space="0" w:color="auto"/>
        <w:bottom w:val="none" w:sz="0" w:space="0" w:color="auto"/>
        <w:right w:val="none" w:sz="0" w:space="0" w:color="auto"/>
      </w:divBdr>
    </w:div>
    <w:div w:id="2015261265">
      <w:bodyDiv w:val="1"/>
      <w:marLeft w:val="0"/>
      <w:marRight w:val="0"/>
      <w:marTop w:val="0"/>
      <w:marBottom w:val="0"/>
      <w:divBdr>
        <w:top w:val="none" w:sz="0" w:space="0" w:color="auto"/>
        <w:left w:val="none" w:sz="0" w:space="0" w:color="auto"/>
        <w:bottom w:val="none" w:sz="0" w:space="0" w:color="auto"/>
        <w:right w:val="none" w:sz="0" w:space="0" w:color="auto"/>
      </w:divBdr>
    </w:div>
    <w:div w:id="2030838830">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63090557">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06417483">
      <w:bodyDiv w:val="1"/>
      <w:marLeft w:val="0"/>
      <w:marRight w:val="0"/>
      <w:marTop w:val="0"/>
      <w:marBottom w:val="0"/>
      <w:divBdr>
        <w:top w:val="none" w:sz="0" w:space="0" w:color="auto"/>
        <w:left w:val="none" w:sz="0" w:space="0" w:color="auto"/>
        <w:bottom w:val="none" w:sz="0" w:space="0" w:color="auto"/>
        <w:right w:val="none" w:sz="0" w:space="0" w:color="auto"/>
      </w:divBdr>
    </w:div>
    <w:div w:id="2112974150">
      <w:bodyDiv w:val="1"/>
      <w:marLeft w:val="0"/>
      <w:marRight w:val="0"/>
      <w:marTop w:val="0"/>
      <w:marBottom w:val="0"/>
      <w:divBdr>
        <w:top w:val="none" w:sz="0" w:space="0" w:color="auto"/>
        <w:left w:val="none" w:sz="0" w:space="0" w:color="auto"/>
        <w:bottom w:val="none" w:sz="0" w:space="0" w:color="auto"/>
        <w:right w:val="none" w:sz="0" w:space="0" w:color="auto"/>
      </w:divBdr>
    </w:div>
    <w:div w:id="212966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90A8D-A098-4031-A172-D4D05DE3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2</Pages>
  <Words>15866</Words>
  <Characters>87264</Characters>
  <Application>Microsoft Office Word</Application>
  <DocSecurity>0</DocSecurity>
  <Lines>727</Lines>
  <Paragraphs>205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102925</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2021-06-26T00:05:00Z</cp:lastPrinted>
  <dcterms:created xsi:type="dcterms:W3CDTF">2021-06-29T15:53:00Z</dcterms:created>
  <dcterms:modified xsi:type="dcterms:W3CDTF">2021-06-29T15:53:00Z</dcterms:modified>
</cp:coreProperties>
</file>