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037F1" w14:textId="77777777" w:rsidR="002A6A86" w:rsidRPr="00AD5771" w:rsidRDefault="00D57AFF" w:rsidP="002A6A86">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4EFF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2.4pt;margin-top:-52.6pt;width:52.5pt;height:48.75pt;z-index:251660288;mso-wrap-edited:f" fillcolor="#0c9">
            <v:imagedata r:id="rId11" o:title=""/>
          </v:shape>
          <o:OLEObject Type="Embed" ProgID="PBrush" ShapeID="_x0000_s1028" DrawAspect="Content" ObjectID="_1659874825" r:id="rId12"/>
        </w:object>
      </w:r>
    </w:p>
    <w:p w14:paraId="723F1B39" w14:textId="77777777" w:rsidR="002A6A86" w:rsidRPr="00AD5771" w:rsidRDefault="002A6A86" w:rsidP="002A6A86">
      <w:pPr>
        <w:pStyle w:val="Ttulo4"/>
        <w:tabs>
          <w:tab w:val="left" w:pos="0"/>
          <w:tab w:val="right" w:pos="9356"/>
        </w:tabs>
        <w:ind w:left="0"/>
        <w:rPr>
          <w:rFonts w:ascii="Bookman Old Style" w:hAnsi="Bookman Old Style"/>
          <w:noProof/>
          <w:sz w:val="24"/>
          <w:szCs w:val="24"/>
          <w:lang w:val="es-ES"/>
        </w:rPr>
      </w:pPr>
      <w:r w:rsidRPr="00AD5771">
        <w:rPr>
          <w:rFonts w:ascii="Bookman Old Style" w:hAnsi="Bookman Old Style"/>
          <w:sz w:val="24"/>
          <w:szCs w:val="24"/>
        </w:rPr>
        <w:t>Ministerio de Minas y Energía</w:t>
      </w:r>
    </w:p>
    <w:p w14:paraId="7A045184" w14:textId="77777777" w:rsidR="002A6A86" w:rsidRPr="00AD5771" w:rsidRDefault="002A6A86" w:rsidP="002A6A86">
      <w:pPr>
        <w:rPr>
          <w:rFonts w:ascii="Bookman Old Style" w:hAnsi="Bookman Old Style"/>
        </w:rPr>
      </w:pPr>
    </w:p>
    <w:p w14:paraId="12B81FE1" w14:textId="77777777" w:rsidR="002A6A86" w:rsidRPr="00AD5771" w:rsidRDefault="002A6A86" w:rsidP="002A6A86">
      <w:pPr>
        <w:pStyle w:val="Ttulo3"/>
        <w:tabs>
          <w:tab w:val="left" w:pos="0"/>
          <w:tab w:val="right" w:pos="9356"/>
        </w:tabs>
        <w:ind w:left="0"/>
        <w:rPr>
          <w:rFonts w:ascii="Bookman Old Style" w:hAnsi="Bookman Old Style" w:cs="Arial"/>
          <w:spacing w:val="20"/>
          <w:szCs w:val="24"/>
        </w:rPr>
      </w:pPr>
      <w:r w:rsidRPr="00AD5771">
        <w:rPr>
          <w:rFonts w:ascii="Bookman Old Style" w:hAnsi="Bookman Old Style" w:cs="Arial"/>
          <w:spacing w:val="20"/>
          <w:szCs w:val="24"/>
        </w:rPr>
        <w:t>COMISIÓN DE REGULACIÓN DE ENERGÍA Y GAS</w:t>
      </w:r>
    </w:p>
    <w:p w14:paraId="3CABB602" w14:textId="26486CEA" w:rsidR="002A6A86" w:rsidRDefault="002A6A86" w:rsidP="002A6A86">
      <w:pPr>
        <w:pStyle w:val="Ttulo5"/>
        <w:tabs>
          <w:tab w:val="left" w:pos="0"/>
          <w:tab w:val="right" w:pos="9356"/>
        </w:tabs>
        <w:ind w:left="0"/>
        <w:rPr>
          <w:rFonts w:ascii="Bookman Old Style" w:hAnsi="Bookman Old Style"/>
          <w:sz w:val="24"/>
          <w:szCs w:val="24"/>
        </w:rPr>
      </w:pPr>
    </w:p>
    <w:p w14:paraId="43871A2F" w14:textId="77777777" w:rsidR="00036187" w:rsidRPr="00036187" w:rsidRDefault="00036187" w:rsidP="00036187">
      <w:pPr>
        <w:rPr>
          <w:lang w:val="es-ES_tradnl"/>
        </w:rPr>
      </w:pPr>
    </w:p>
    <w:p w14:paraId="22723834" w14:textId="1470BDCE" w:rsidR="002A6A86" w:rsidRPr="00AD5771" w:rsidRDefault="002A6A86" w:rsidP="002A6A86">
      <w:pPr>
        <w:pStyle w:val="Ttulo5"/>
        <w:tabs>
          <w:tab w:val="left" w:pos="0"/>
          <w:tab w:val="right" w:pos="9356"/>
        </w:tabs>
        <w:ind w:left="0"/>
        <w:rPr>
          <w:rFonts w:ascii="Bookman Old Style" w:hAnsi="Bookman Old Style"/>
          <w:sz w:val="24"/>
          <w:szCs w:val="24"/>
        </w:rPr>
      </w:pPr>
      <w:r w:rsidRPr="00AD5771">
        <w:rPr>
          <w:rFonts w:ascii="Bookman Old Style" w:hAnsi="Bookman Old Style"/>
          <w:sz w:val="24"/>
          <w:szCs w:val="24"/>
        </w:rPr>
        <w:t xml:space="preserve">RESOLUCIÓN </w:t>
      </w:r>
      <w:proofErr w:type="gramStart"/>
      <w:r w:rsidRPr="00AD5771">
        <w:rPr>
          <w:rFonts w:ascii="Bookman Old Style" w:hAnsi="Bookman Old Style"/>
          <w:sz w:val="24"/>
          <w:szCs w:val="24"/>
        </w:rPr>
        <w:t>No</w:t>
      </w:r>
      <w:r w:rsidRPr="00036187">
        <w:rPr>
          <w:rFonts w:ascii="Bookman Old Style" w:hAnsi="Bookman Old Style"/>
          <w:sz w:val="24"/>
          <w:szCs w:val="24"/>
        </w:rPr>
        <w:t xml:space="preserve">.  </w:t>
      </w:r>
      <w:r w:rsidR="00CF7B29" w:rsidRPr="00CF7B29">
        <w:rPr>
          <w:rFonts w:ascii="Bookman Old Style" w:hAnsi="Bookman Old Style"/>
          <w:sz w:val="32"/>
          <w:szCs w:val="32"/>
        </w:rPr>
        <w:t>162</w:t>
      </w:r>
      <w:proofErr w:type="gramEnd"/>
      <w:r w:rsidRPr="00AD5771">
        <w:rPr>
          <w:rFonts w:ascii="Bookman Old Style" w:hAnsi="Bookman Old Style"/>
          <w:sz w:val="24"/>
          <w:szCs w:val="24"/>
        </w:rPr>
        <w:t xml:space="preserve">  DE 2020</w:t>
      </w:r>
    </w:p>
    <w:p w14:paraId="12E2F5B1" w14:textId="77777777" w:rsidR="002A6A86" w:rsidRPr="00AD5771" w:rsidRDefault="002A6A86" w:rsidP="002A6A86">
      <w:pPr>
        <w:tabs>
          <w:tab w:val="left" w:pos="0"/>
          <w:tab w:val="right" w:pos="9356"/>
        </w:tabs>
        <w:ind w:left="0"/>
        <w:jc w:val="center"/>
        <w:rPr>
          <w:rFonts w:ascii="Bookman Old Style" w:hAnsi="Bookman Old Style" w:cs="Arial"/>
          <w:b/>
          <w:snapToGrid w:val="0"/>
          <w:color w:val="000000"/>
          <w:lang w:val="es-ES_tradnl"/>
        </w:rPr>
      </w:pPr>
    </w:p>
    <w:p w14:paraId="27F82FC4" w14:textId="56B72037" w:rsidR="002A6A86" w:rsidRDefault="002A6A86" w:rsidP="002A6A86">
      <w:pPr>
        <w:pStyle w:val="Ttulo3"/>
        <w:tabs>
          <w:tab w:val="left" w:pos="0"/>
          <w:tab w:val="right" w:pos="9356"/>
        </w:tabs>
        <w:ind w:left="0"/>
        <w:rPr>
          <w:rFonts w:ascii="Bookman Old Style" w:hAnsi="Bookman Old Style"/>
          <w:b w:val="0"/>
          <w:szCs w:val="24"/>
        </w:rPr>
      </w:pPr>
      <w:r w:rsidRPr="00AD5771">
        <w:rPr>
          <w:rFonts w:ascii="Bookman Old Style" w:hAnsi="Bookman Old Style"/>
          <w:b w:val="0"/>
          <w:szCs w:val="24"/>
        </w:rPr>
        <w:t>(</w:t>
      </w:r>
      <w:r w:rsidR="00CF7B29" w:rsidRPr="00CF7B29">
        <w:rPr>
          <w:rFonts w:ascii="Bookman Old Style" w:hAnsi="Bookman Old Style"/>
          <w:bCs/>
          <w:sz w:val="32"/>
          <w:szCs w:val="32"/>
        </w:rPr>
        <w:t xml:space="preserve">24 </w:t>
      </w:r>
      <w:r w:rsidR="00E779C1" w:rsidRPr="00CF7B29">
        <w:rPr>
          <w:rFonts w:ascii="Bookman Old Style" w:hAnsi="Bookman Old Style"/>
          <w:bCs/>
          <w:sz w:val="32"/>
          <w:szCs w:val="32"/>
        </w:rPr>
        <w:t>AGO</w:t>
      </w:r>
      <w:r w:rsidR="00CF7B29" w:rsidRPr="00CF7B29">
        <w:rPr>
          <w:rFonts w:ascii="Bookman Old Style" w:hAnsi="Bookman Old Style"/>
          <w:bCs/>
          <w:sz w:val="32"/>
          <w:szCs w:val="32"/>
        </w:rPr>
        <w:t>.</w:t>
      </w:r>
      <w:r w:rsidRPr="00CF7B29">
        <w:rPr>
          <w:rFonts w:ascii="Bookman Old Style" w:hAnsi="Bookman Old Style"/>
          <w:bCs/>
          <w:sz w:val="32"/>
          <w:szCs w:val="32"/>
        </w:rPr>
        <w:t xml:space="preserve"> 2020</w:t>
      </w:r>
      <w:r w:rsidRPr="00AD5771">
        <w:rPr>
          <w:rFonts w:ascii="Bookman Old Style" w:hAnsi="Bookman Old Style"/>
          <w:b w:val="0"/>
          <w:szCs w:val="24"/>
        </w:rPr>
        <w:t>)</w:t>
      </w:r>
    </w:p>
    <w:p w14:paraId="2B8BAD6F" w14:textId="77777777" w:rsidR="000E26C3" w:rsidRPr="000E26C3" w:rsidRDefault="000E26C3" w:rsidP="000E26C3">
      <w:pPr>
        <w:rPr>
          <w:lang w:val="es-ES_tradnl"/>
        </w:rPr>
      </w:pPr>
    </w:p>
    <w:p w14:paraId="774D28F9" w14:textId="77777777" w:rsidR="002A6A86" w:rsidRPr="00AD5771" w:rsidRDefault="002A6A86" w:rsidP="002A6A86">
      <w:pPr>
        <w:ind w:left="0"/>
        <w:rPr>
          <w:rFonts w:ascii="Bookman Old Style" w:hAnsi="Bookman Old Style"/>
          <w:bCs/>
          <w:lang w:val="es-CO"/>
        </w:rPr>
      </w:pPr>
    </w:p>
    <w:p w14:paraId="52970E21" w14:textId="06B851FC" w:rsidR="007062D4" w:rsidRPr="00FF7FA0" w:rsidRDefault="007062D4" w:rsidP="00FF7FA0">
      <w:pPr>
        <w:ind w:left="0" w:right="51"/>
        <w:jc w:val="both"/>
        <w:rPr>
          <w:rFonts w:ascii="Bookman Old Style" w:hAnsi="Bookman Old Style"/>
          <w:b/>
          <w:i/>
          <w:iCs/>
        </w:rPr>
      </w:pPr>
      <w:r>
        <w:rPr>
          <w:rFonts w:ascii="Bookman Old Style" w:hAnsi="Bookman Old Style"/>
          <w:bCs/>
          <w:lang w:val="es-CO"/>
        </w:rPr>
        <w:t xml:space="preserve">Por la cual </w:t>
      </w:r>
      <w:r w:rsidRPr="00445B8C">
        <w:rPr>
          <w:rFonts w:ascii="Bookman Old Style" w:hAnsi="Bookman Old Style"/>
          <w:bCs/>
          <w:lang w:val="es-CO"/>
        </w:rPr>
        <w:t>se ordena hacer público un proyecto de resolución</w:t>
      </w:r>
      <w:r>
        <w:rPr>
          <w:rFonts w:ascii="Bookman Old Style" w:hAnsi="Bookman Old Style"/>
          <w:bCs/>
          <w:lang w:val="es-CO"/>
        </w:rPr>
        <w:t xml:space="preserve"> </w:t>
      </w:r>
      <w:r w:rsidRPr="00FF7FA0">
        <w:rPr>
          <w:rFonts w:ascii="Bookman Old Style" w:hAnsi="Bookman Old Style"/>
          <w:bCs/>
          <w:i/>
          <w:iCs/>
          <w:lang w:val="es-CO"/>
        </w:rPr>
        <w:t>“</w:t>
      </w:r>
      <w:r w:rsidRPr="00FF7FA0">
        <w:rPr>
          <w:rFonts w:ascii="Bookman Old Style" w:hAnsi="Bookman Old Style" w:cs="Arial"/>
          <w:i/>
          <w:iCs/>
        </w:rPr>
        <w:t>Por la cual se adoptan medidas transitorias en relación con la aplicación</w:t>
      </w:r>
      <w:r w:rsidR="00FF7FA0" w:rsidRPr="00FF7FA0">
        <w:rPr>
          <w:rFonts w:ascii="Bookman Old Style" w:hAnsi="Bookman Old Style" w:cs="Arial"/>
          <w:i/>
          <w:iCs/>
        </w:rPr>
        <w:t xml:space="preserve"> </w:t>
      </w:r>
      <w:r w:rsidR="00FF7FA0">
        <w:rPr>
          <w:rFonts w:ascii="Bookman Old Style" w:hAnsi="Bookman Old Style" w:cs="Arial"/>
          <w:i/>
          <w:iCs/>
        </w:rPr>
        <w:t>por parte de los</w:t>
      </w:r>
      <w:r w:rsidR="00FF7FA0" w:rsidRPr="00FF7FA0">
        <w:rPr>
          <w:rFonts w:ascii="Bookman Old Style" w:hAnsi="Bookman Old Style" w:cs="Arial"/>
          <w:i/>
          <w:iCs/>
        </w:rPr>
        <w:t xml:space="preserve"> comercializadores de gas para uso domiciliario distribuido por red de tuberías</w:t>
      </w:r>
      <w:r w:rsidRPr="00FF7FA0">
        <w:rPr>
          <w:rFonts w:ascii="Bookman Old Style" w:hAnsi="Bookman Old Style" w:cs="Arial"/>
          <w:i/>
          <w:iCs/>
        </w:rPr>
        <w:t xml:space="preserve"> del incremento al porcentaje de subsidios establecido en la Resolución MME </w:t>
      </w:r>
      <w:r w:rsidR="002825A2">
        <w:rPr>
          <w:rFonts w:ascii="Bookman Old Style" w:hAnsi="Bookman Old Style" w:cs="Arial"/>
          <w:i/>
          <w:iCs/>
        </w:rPr>
        <w:t>4</w:t>
      </w:r>
      <w:r w:rsidRPr="00FF7FA0">
        <w:rPr>
          <w:rFonts w:ascii="Bookman Old Style" w:hAnsi="Bookman Old Style" w:cs="Arial"/>
          <w:i/>
          <w:iCs/>
        </w:rPr>
        <w:t xml:space="preserve">0236 de 2020 para los usuarios de los estratos 1 y 2 del servicio de Gas Combustible” </w:t>
      </w:r>
    </w:p>
    <w:p w14:paraId="19597501" w14:textId="0805F2B1" w:rsidR="007062D4" w:rsidRPr="00445B8C" w:rsidRDefault="007062D4" w:rsidP="007062D4">
      <w:pPr>
        <w:ind w:left="0"/>
        <w:jc w:val="center"/>
        <w:rPr>
          <w:rFonts w:ascii="Bookman Old Style" w:hAnsi="Bookman Old Style"/>
          <w:bCs/>
          <w:i/>
          <w:iCs/>
          <w:lang w:val="es-CO"/>
        </w:rPr>
      </w:pPr>
    </w:p>
    <w:p w14:paraId="1832532C" w14:textId="77777777" w:rsidR="007062D4" w:rsidRDefault="007062D4" w:rsidP="007062D4">
      <w:pPr>
        <w:ind w:right="51"/>
        <w:jc w:val="center"/>
        <w:rPr>
          <w:rFonts w:ascii="Bookman Old Style" w:eastAsia="Bookman Old Style" w:hAnsi="Bookman Old Style" w:cs="Bookman Old Style"/>
          <w:b/>
        </w:rPr>
      </w:pPr>
    </w:p>
    <w:p w14:paraId="5DAD7C59" w14:textId="77777777" w:rsidR="007062D4" w:rsidRDefault="007062D4" w:rsidP="007062D4">
      <w:pPr>
        <w:ind w:right="51"/>
        <w:jc w:val="center"/>
        <w:rPr>
          <w:rFonts w:ascii="Bookman Old Style" w:eastAsia="Bookman Old Style" w:hAnsi="Bookman Old Style" w:cs="Bookman Old Style"/>
          <w:b/>
        </w:rPr>
      </w:pPr>
      <w:r>
        <w:rPr>
          <w:rFonts w:ascii="Bookman Old Style" w:eastAsia="Bookman Old Style" w:hAnsi="Bookman Old Style" w:cs="Bookman Old Style"/>
          <w:b/>
        </w:rPr>
        <w:t>LA COMISIÓN DE REGULACIÓN DE ENERGÍA Y GAS</w:t>
      </w:r>
    </w:p>
    <w:p w14:paraId="63885977" w14:textId="77777777" w:rsidR="007062D4" w:rsidRDefault="007062D4" w:rsidP="007062D4">
      <w:pPr>
        <w:ind w:left="0" w:right="51"/>
        <w:rPr>
          <w:rFonts w:ascii="Bookman Old Style" w:eastAsia="Bookman Old Style" w:hAnsi="Bookman Old Style" w:cs="Bookman Old Style"/>
        </w:rPr>
      </w:pPr>
    </w:p>
    <w:p w14:paraId="00DD2318" w14:textId="77777777" w:rsidR="007062D4" w:rsidRDefault="007062D4" w:rsidP="007062D4">
      <w:pPr>
        <w:ind w:left="0" w:right="51"/>
        <w:rPr>
          <w:rFonts w:ascii="Bookman Old Style" w:eastAsia="Bookman Old Style" w:hAnsi="Bookman Old Style" w:cs="Bookman Old Style"/>
        </w:rPr>
      </w:pPr>
    </w:p>
    <w:p w14:paraId="3E9802AC" w14:textId="77777777" w:rsidR="007062D4" w:rsidRDefault="007062D4" w:rsidP="007062D4">
      <w:pPr>
        <w:ind w:left="0"/>
        <w:jc w:val="center"/>
        <w:rPr>
          <w:rFonts w:ascii="Bookman Old Style" w:eastAsia="Bookman Old Style" w:hAnsi="Bookman Old Style" w:cs="Bookman Old Style"/>
        </w:rPr>
      </w:pPr>
      <w:r>
        <w:rPr>
          <w:rFonts w:ascii="Bookman Old Style" w:eastAsia="Bookman Old Style" w:hAnsi="Bookman Old Style" w:cs="Bookman Old Style"/>
        </w:rPr>
        <w:t>En ejercicio de sus atribuciones constitucionales y legales, en especial las conferidas por las Leyes 142 y 143 de 1994, y en desarrollo de los Decretos 1524 y 2253 de 1994, 1260 de 2013; y,</w:t>
      </w:r>
    </w:p>
    <w:p w14:paraId="68AB47BD" w14:textId="77777777" w:rsidR="007062D4" w:rsidRDefault="007062D4" w:rsidP="007062D4">
      <w:pPr>
        <w:ind w:right="51"/>
        <w:rPr>
          <w:rFonts w:ascii="Bookman Old Style" w:eastAsia="Bookman Old Style" w:hAnsi="Bookman Old Style" w:cs="Bookman Old Style"/>
        </w:rPr>
      </w:pPr>
    </w:p>
    <w:p w14:paraId="0DEC1F5D" w14:textId="77777777" w:rsidR="007062D4" w:rsidRDefault="007062D4" w:rsidP="007062D4">
      <w:pPr>
        <w:ind w:right="51"/>
        <w:rPr>
          <w:rFonts w:ascii="Bookman Old Style" w:eastAsia="Bookman Old Style" w:hAnsi="Bookman Old Style" w:cs="Bookman Old Style"/>
        </w:rPr>
      </w:pPr>
    </w:p>
    <w:p w14:paraId="367BF65F" w14:textId="77777777" w:rsidR="007062D4" w:rsidRDefault="007062D4" w:rsidP="007062D4">
      <w:pPr>
        <w:ind w:left="0" w:right="51"/>
        <w:jc w:val="center"/>
        <w:rPr>
          <w:rFonts w:ascii="Bookman Old Style" w:eastAsia="Bookman Old Style" w:hAnsi="Bookman Old Style" w:cs="Bookman Old Style"/>
          <w:b/>
        </w:rPr>
      </w:pPr>
      <w:r>
        <w:rPr>
          <w:rFonts w:ascii="Bookman Old Style" w:eastAsia="Bookman Old Style" w:hAnsi="Bookman Old Style" w:cs="Bookman Old Style"/>
          <w:b/>
        </w:rPr>
        <w:t>C O N S I D E R A N D O   Q U E:</w:t>
      </w:r>
    </w:p>
    <w:p w14:paraId="4CA76E35" w14:textId="77777777" w:rsidR="007062D4" w:rsidRDefault="007062D4" w:rsidP="007062D4">
      <w:pPr>
        <w:ind w:right="51"/>
        <w:jc w:val="center"/>
        <w:rPr>
          <w:rFonts w:ascii="Bookman Old Style" w:eastAsia="Bookman Old Style" w:hAnsi="Bookman Old Style" w:cs="Bookman Old Style"/>
          <w:b/>
        </w:rPr>
      </w:pPr>
    </w:p>
    <w:p w14:paraId="4E3BBCF9" w14:textId="77777777" w:rsidR="007062D4" w:rsidRDefault="007062D4" w:rsidP="007062D4">
      <w:pPr>
        <w:widowControl w:val="0"/>
        <w:tabs>
          <w:tab w:val="left" w:pos="0"/>
        </w:tabs>
        <w:ind w:left="0"/>
        <w:jc w:val="both"/>
        <w:rPr>
          <w:rFonts w:ascii="Bookman Old Style" w:eastAsia="Bookman Old Style" w:hAnsi="Bookman Old Style" w:cs="Bookman Old Style"/>
        </w:rPr>
      </w:pPr>
    </w:p>
    <w:p w14:paraId="64CD6E80" w14:textId="77777777" w:rsidR="007062D4" w:rsidRDefault="007062D4" w:rsidP="007062D4">
      <w:pPr>
        <w:widowControl w:val="0"/>
        <w:tabs>
          <w:tab w:val="left" w:pos="0"/>
        </w:tabs>
        <w:ind w:left="0"/>
        <w:jc w:val="both"/>
        <w:rPr>
          <w:rFonts w:ascii="Bookman Old Style" w:eastAsia="Bookman Old Style" w:hAnsi="Bookman Old Style" w:cs="Bookman Old Style"/>
        </w:rPr>
      </w:pPr>
      <w:r>
        <w:rPr>
          <w:rFonts w:ascii="Bookman Old Style" w:eastAsia="Bookman Old Style" w:hAnsi="Bookman Old Style" w:cs="Bookman Old Style"/>
        </w:rPr>
        <w:t>Conforme a lo dispuesto por el Artículo 8 del Código de Procedimiento Administrativo y de lo Contencioso Administrativo, así como lo establecido en el Decreto 2696 de 2004, el cual ha sido compilado por el Decreto 1074 de 2015, y en el Artículo 33 de la Resolución CREG 039 de 2017, la Comisión debe hacer públicos, en su página web, todos los proyectos de resolución de carácter general que pretenda adoptar.</w:t>
      </w:r>
    </w:p>
    <w:p w14:paraId="381520BB" w14:textId="77777777" w:rsidR="007062D4" w:rsidRDefault="007062D4" w:rsidP="007062D4">
      <w:pPr>
        <w:tabs>
          <w:tab w:val="left" w:pos="0"/>
        </w:tabs>
        <w:ind w:left="0"/>
        <w:jc w:val="both"/>
        <w:rPr>
          <w:rFonts w:ascii="Bookman Old Style" w:eastAsia="Bookman Old Style" w:hAnsi="Bookman Old Style" w:cs="Bookman Old Style"/>
        </w:rPr>
      </w:pPr>
    </w:p>
    <w:p w14:paraId="0C3F5600" w14:textId="418C2321" w:rsidR="007062D4" w:rsidRPr="001E7CD6" w:rsidRDefault="007062D4" w:rsidP="007062D4">
      <w:pPr>
        <w:ind w:left="0"/>
        <w:jc w:val="both"/>
        <w:rPr>
          <w:rFonts w:ascii="Bookman Old Style" w:hAnsi="Bookman Old Style" w:cs="Arial"/>
          <w:b/>
          <w:i/>
          <w:iCs/>
        </w:rPr>
      </w:pPr>
      <w:r>
        <w:rPr>
          <w:rFonts w:ascii="Bookman Old Style" w:eastAsia="Bookman Old Style" w:hAnsi="Bookman Old Style" w:cs="Bookman Old Style"/>
        </w:rPr>
        <w:t xml:space="preserve">La Comisión de Regulación de Energía y Gas, en su Sesión </w:t>
      </w:r>
      <w:proofErr w:type="spellStart"/>
      <w:r>
        <w:rPr>
          <w:rFonts w:ascii="Bookman Old Style" w:eastAsia="Bookman Old Style" w:hAnsi="Bookman Old Style" w:cs="Bookman Old Style"/>
        </w:rPr>
        <w:t>N</w:t>
      </w:r>
      <w:r w:rsidR="00D737C3">
        <w:rPr>
          <w:rFonts w:ascii="Bookman Old Style" w:eastAsia="Bookman Old Style" w:hAnsi="Bookman Old Style" w:cs="Bookman Old Style"/>
        </w:rPr>
        <w:t>°</w:t>
      </w:r>
      <w:proofErr w:type="spellEnd"/>
      <w:r w:rsidRPr="00E473D6">
        <w:rPr>
          <w:rFonts w:ascii="Bookman Old Style" w:eastAsia="Bookman Old Style" w:hAnsi="Bookman Old Style" w:cs="Bookman Old Style"/>
        </w:rPr>
        <w:t xml:space="preserve">. </w:t>
      </w:r>
      <w:r w:rsidR="00DF70DE">
        <w:rPr>
          <w:rFonts w:ascii="Bookman Old Style" w:eastAsia="Bookman Old Style" w:hAnsi="Bookman Old Style" w:cs="Bookman Old Style"/>
        </w:rPr>
        <w:t xml:space="preserve">1041 </w:t>
      </w:r>
      <w:r w:rsidRPr="002C720E">
        <w:rPr>
          <w:rFonts w:ascii="Bookman Old Style" w:eastAsia="Bookman Old Style" w:hAnsi="Bookman Old Style" w:cs="Bookman Old Style"/>
        </w:rPr>
        <w:t xml:space="preserve">del </w:t>
      </w:r>
      <w:r w:rsidR="00FF7FA0">
        <w:rPr>
          <w:rFonts w:ascii="Bookman Old Style" w:eastAsia="Bookman Old Style" w:hAnsi="Bookman Old Style" w:cs="Bookman Old Style"/>
        </w:rPr>
        <w:t>24</w:t>
      </w:r>
      <w:r>
        <w:rPr>
          <w:rFonts w:ascii="Bookman Old Style" w:eastAsia="Bookman Old Style" w:hAnsi="Bookman Old Style" w:cs="Bookman Old Style"/>
        </w:rPr>
        <w:t xml:space="preserve"> </w:t>
      </w:r>
      <w:r w:rsidRPr="002C720E">
        <w:rPr>
          <w:rFonts w:ascii="Bookman Old Style" w:eastAsia="Bookman Old Style" w:hAnsi="Bookman Old Style" w:cs="Bookman Old Style"/>
        </w:rPr>
        <w:t>de</w:t>
      </w:r>
      <w:r>
        <w:rPr>
          <w:rFonts w:ascii="Bookman Old Style" w:eastAsia="Bookman Old Style" w:hAnsi="Bookman Old Style" w:cs="Bookman Old Style"/>
        </w:rPr>
        <w:t xml:space="preserve"> </w:t>
      </w:r>
      <w:r w:rsidR="00FF7FA0">
        <w:rPr>
          <w:rFonts w:ascii="Bookman Old Style" w:eastAsia="Bookman Old Style" w:hAnsi="Bookman Old Style" w:cs="Bookman Old Style"/>
        </w:rPr>
        <w:t>agosto</w:t>
      </w:r>
      <w:r>
        <w:rPr>
          <w:rFonts w:ascii="Bookman Old Style" w:eastAsia="Bookman Old Style" w:hAnsi="Bookman Old Style" w:cs="Bookman Old Style"/>
        </w:rPr>
        <w:t xml:space="preserve"> de 2020, aprobó hacer público el proyecto de resolución </w:t>
      </w:r>
      <w:r w:rsidR="00FF7FA0" w:rsidRPr="00FF7FA0">
        <w:rPr>
          <w:rFonts w:ascii="Bookman Old Style" w:hAnsi="Bookman Old Style"/>
          <w:bCs/>
          <w:i/>
          <w:iCs/>
          <w:lang w:val="es-CO"/>
        </w:rPr>
        <w:t>“</w:t>
      </w:r>
      <w:r w:rsidR="00FF7FA0" w:rsidRPr="00FF7FA0">
        <w:rPr>
          <w:rFonts w:ascii="Bookman Old Style" w:hAnsi="Bookman Old Style" w:cs="Arial"/>
          <w:i/>
          <w:iCs/>
        </w:rPr>
        <w:t xml:space="preserve">Por la cual se adoptan medidas transitorias en relación con la aplicación </w:t>
      </w:r>
      <w:r w:rsidR="00FF7FA0">
        <w:rPr>
          <w:rFonts w:ascii="Bookman Old Style" w:hAnsi="Bookman Old Style" w:cs="Arial"/>
          <w:i/>
          <w:iCs/>
        </w:rPr>
        <w:t>por parte de los</w:t>
      </w:r>
      <w:r w:rsidR="00FF7FA0" w:rsidRPr="00FF7FA0">
        <w:rPr>
          <w:rFonts w:ascii="Bookman Old Style" w:hAnsi="Bookman Old Style" w:cs="Arial"/>
          <w:i/>
          <w:iCs/>
        </w:rPr>
        <w:t xml:space="preserve"> comercializadores de gas para uso domiciliario distribuido por red de tuberías del incremento al porcentaje de subsidios establecido en la Resolución MME </w:t>
      </w:r>
      <w:r w:rsidR="002825A2">
        <w:rPr>
          <w:rFonts w:ascii="Bookman Old Style" w:hAnsi="Bookman Old Style" w:cs="Arial"/>
          <w:i/>
          <w:iCs/>
        </w:rPr>
        <w:t>4</w:t>
      </w:r>
      <w:r w:rsidR="00FF7FA0" w:rsidRPr="00FF7FA0">
        <w:rPr>
          <w:rFonts w:ascii="Bookman Old Style" w:hAnsi="Bookman Old Style" w:cs="Arial"/>
          <w:i/>
          <w:iCs/>
        </w:rPr>
        <w:t>0236 de 2020 para los usuarios de los estratos 1 y 2 del servicio de Gas Combustible”</w:t>
      </w:r>
    </w:p>
    <w:p w14:paraId="0F0B5ABC" w14:textId="77777777" w:rsidR="00036187" w:rsidRDefault="00036187" w:rsidP="007062D4">
      <w:pPr>
        <w:ind w:left="0"/>
        <w:jc w:val="center"/>
        <w:rPr>
          <w:rFonts w:ascii="Bookman Old Style" w:eastAsia="Bookman Old Style" w:hAnsi="Bookman Old Style" w:cs="Bookman Old Style"/>
          <w:b/>
        </w:rPr>
      </w:pPr>
    </w:p>
    <w:p w14:paraId="6B2A5F63" w14:textId="77777777" w:rsidR="00FF7FA0" w:rsidRDefault="00FF7FA0" w:rsidP="007062D4">
      <w:pPr>
        <w:ind w:left="0"/>
        <w:jc w:val="center"/>
        <w:rPr>
          <w:rFonts w:ascii="Bookman Old Style" w:eastAsia="Bookman Old Style" w:hAnsi="Bookman Old Style" w:cs="Bookman Old Style"/>
          <w:b/>
        </w:rPr>
      </w:pPr>
    </w:p>
    <w:p w14:paraId="790F45C0" w14:textId="7A6AB839" w:rsidR="007062D4" w:rsidRDefault="007062D4" w:rsidP="007062D4">
      <w:pPr>
        <w:ind w:left="0"/>
        <w:jc w:val="center"/>
        <w:rPr>
          <w:rFonts w:ascii="Bookman Old Style" w:eastAsia="Bookman Old Style" w:hAnsi="Bookman Old Style" w:cs="Bookman Old Style"/>
        </w:rPr>
      </w:pPr>
      <w:r>
        <w:rPr>
          <w:rFonts w:ascii="Bookman Old Style" w:eastAsia="Bookman Old Style" w:hAnsi="Bookman Old Style" w:cs="Bookman Old Style"/>
          <w:b/>
        </w:rPr>
        <w:t>R E S U E L V E:</w:t>
      </w:r>
    </w:p>
    <w:p w14:paraId="59F3D561" w14:textId="77777777" w:rsidR="007062D4" w:rsidRDefault="007062D4" w:rsidP="007062D4">
      <w:pPr>
        <w:jc w:val="center"/>
        <w:rPr>
          <w:rFonts w:ascii="Bookman Old Style" w:eastAsia="Bookman Old Style" w:hAnsi="Bookman Old Style" w:cs="Bookman Old Style"/>
        </w:rPr>
      </w:pPr>
    </w:p>
    <w:p w14:paraId="7A4DC32D" w14:textId="77777777" w:rsidR="007062D4" w:rsidRDefault="007062D4" w:rsidP="007062D4">
      <w:pPr>
        <w:jc w:val="center"/>
        <w:rPr>
          <w:rFonts w:ascii="Bookman Old Style" w:eastAsia="Bookman Old Style" w:hAnsi="Bookman Old Style" w:cs="Bookman Old Style"/>
        </w:rPr>
      </w:pPr>
    </w:p>
    <w:p w14:paraId="1445867E" w14:textId="2080FB39" w:rsidR="007062D4" w:rsidRDefault="007062D4" w:rsidP="007062D4">
      <w:pPr>
        <w:ind w:left="0"/>
        <w:jc w:val="both"/>
        <w:rPr>
          <w:rFonts w:ascii="Bookman Old Style" w:eastAsia="Bookman Old Style" w:hAnsi="Bookman Old Style" w:cs="Bookman Old Style"/>
          <w:i/>
          <w:iCs/>
        </w:rPr>
      </w:pPr>
      <w:r>
        <w:rPr>
          <w:rFonts w:ascii="Bookman Old Style" w:eastAsia="Bookman Old Style" w:hAnsi="Bookman Old Style" w:cs="Bookman Old Style"/>
          <w:b/>
        </w:rPr>
        <w:t>ARTÍCULO 1.</w:t>
      </w:r>
      <w:r>
        <w:rPr>
          <w:rFonts w:ascii="Bookman Old Style" w:eastAsia="Bookman Old Style" w:hAnsi="Bookman Old Style" w:cs="Bookman Old Style"/>
        </w:rPr>
        <w:t xml:space="preserve"> Hágase público el proyecto de resolución </w:t>
      </w:r>
      <w:r w:rsidR="00FF7FA0" w:rsidRPr="00FF7FA0">
        <w:rPr>
          <w:rFonts w:ascii="Bookman Old Style" w:hAnsi="Bookman Old Style"/>
          <w:bCs/>
          <w:i/>
          <w:iCs/>
          <w:lang w:val="es-CO"/>
        </w:rPr>
        <w:t>“</w:t>
      </w:r>
      <w:r w:rsidR="00FF7FA0" w:rsidRPr="00FF7FA0">
        <w:rPr>
          <w:rFonts w:ascii="Bookman Old Style" w:hAnsi="Bookman Old Style" w:cs="Arial"/>
          <w:i/>
          <w:iCs/>
        </w:rPr>
        <w:t xml:space="preserve">Por la cual se adoptan medidas transitorias en relación con la aplicación </w:t>
      </w:r>
      <w:r w:rsidR="00FF7FA0">
        <w:rPr>
          <w:rFonts w:ascii="Bookman Old Style" w:hAnsi="Bookman Old Style" w:cs="Arial"/>
          <w:i/>
          <w:iCs/>
        </w:rPr>
        <w:t>por parte de los</w:t>
      </w:r>
      <w:r w:rsidR="00FF7FA0" w:rsidRPr="00FF7FA0">
        <w:rPr>
          <w:rFonts w:ascii="Bookman Old Style" w:hAnsi="Bookman Old Style" w:cs="Arial"/>
          <w:i/>
          <w:iCs/>
        </w:rPr>
        <w:t xml:space="preserve"> comercializadores de gas para uso domiciliario distribuido por red de tuberías del </w:t>
      </w:r>
      <w:r w:rsidR="00FF7FA0" w:rsidRPr="00FF7FA0">
        <w:rPr>
          <w:rFonts w:ascii="Bookman Old Style" w:hAnsi="Bookman Old Style" w:cs="Arial"/>
          <w:i/>
          <w:iCs/>
        </w:rPr>
        <w:lastRenderedPageBreak/>
        <w:t xml:space="preserve">incremento al porcentaje de subsidios establecido en la Resolución MME </w:t>
      </w:r>
      <w:r w:rsidR="002825A2">
        <w:rPr>
          <w:rFonts w:ascii="Bookman Old Style" w:hAnsi="Bookman Old Style" w:cs="Arial"/>
          <w:i/>
          <w:iCs/>
        </w:rPr>
        <w:t>4</w:t>
      </w:r>
      <w:r w:rsidR="00FF7FA0" w:rsidRPr="00FF7FA0">
        <w:rPr>
          <w:rFonts w:ascii="Bookman Old Style" w:hAnsi="Bookman Old Style" w:cs="Arial"/>
          <w:i/>
          <w:iCs/>
        </w:rPr>
        <w:t>0236 de 2020 para los usuarios de los estratos 1 y 2 del servicio de Gas Combustible”</w:t>
      </w:r>
    </w:p>
    <w:p w14:paraId="61BE277F" w14:textId="77777777" w:rsidR="00036187" w:rsidRPr="00445B8C" w:rsidRDefault="00036187" w:rsidP="007062D4">
      <w:pPr>
        <w:ind w:left="0"/>
        <w:jc w:val="both"/>
        <w:rPr>
          <w:rFonts w:ascii="Bookman Old Style" w:hAnsi="Bookman Old Style" w:cs="Arial"/>
          <w:b/>
          <w:i/>
          <w:iCs/>
        </w:rPr>
      </w:pPr>
    </w:p>
    <w:p w14:paraId="4A454E0A" w14:textId="77777777" w:rsidR="007062D4" w:rsidRDefault="007062D4" w:rsidP="007062D4">
      <w:pPr>
        <w:tabs>
          <w:tab w:val="left" w:pos="0"/>
        </w:tabs>
        <w:ind w:left="0" w:right="45"/>
        <w:jc w:val="both"/>
        <w:rPr>
          <w:rFonts w:ascii="Bookman Old Style" w:eastAsia="Bookman Old Style" w:hAnsi="Bookman Old Style" w:cs="Bookman Old Style"/>
        </w:rPr>
      </w:pPr>
      <w:r>
        <w:rPr>
          <w:rFonts w:ascii="Bookman Old Style" w:eastAsia="Bookman Old Style" w:hAnsi="Bookman Old Style" w:cs="Bookman Old Style"/>
          <w:b/>
        </w:rPr>
        <w:t>ARTÍCULO 2.</w:t>
      </w:r>
      <w:r>
        <w:rPr>
          <w:rFonts w:ascii="Bookman Old Style" w:eastAsia="Bookman Old Style" w:hAnsi="Bookman Old Style" w:cs="Bookman Old Style"/>
        </w:rPr>
        <w:t xml:space="preserve"> Se invita a los agentes, usuarios, autoridades competentes, a la Superintendencia de Servicios Públicos Domiciliarios y a la Superintendencia de Industria y Comercio, para que dentro de las </w:t>
      </w:r>
      <w:r w:rsidRPr="00C94DEC">
        <w:rPr>
          <w:rFonts w:ascii="Bookman Old Style" w:eastAsia="Bookman Old Style" w:hAnsi="Bookman Old Style" w:cs="Bookman Old Style"/>
        </w:rPr>
        <w:t>veinticuatro (24) horas siguientes</w:t>
      </w:r>
      <w:r>
        <w:rPr>
          <w:rFonts w:ascii="Bookman Old Style" w:eastAsia="Bookman Old Style" w:hAnsi="Bookman Old Style" w:cs="Bookman Old Style"/>
        </w:rPr>
        <w:t xml:space="preserve"> a la publicación de la presente Resolución en la página </w:t>
      </w:r>
      <w:r>
        <w:rPr>
          <w:rFonts w:ascii="Bookman Old Style" w:eastAsia="Bookman Old Style" w:hAnsi="Bookman Old Style" w:cs="Bookman Old Style"/>
          <w:i/>
        </w:rPr>
        <w:t>web</w:t>
      </w:r>
      <w:r>
        <w:rPr>
          <w:rFonts w:ascii="Bookman Old Style" w:eastAsia="Bookman Old Style" w:hAnsi="Bookman Old Style" w:cs="Bookman Old Style"/>
        </w:rPr>
        <w:t xml:space="preserve"> de la Comisión de Regulación de Energía y Gas, CREG, remitan sus observaciones o sugerencias sobre el proyecto de resolución de que trata el Artículo anterior. </w:t>
      </w:r>
    </w:p>
    <w:p w14:paraId="5FCFAD4C" w14:textId="77777777" w:rsidR="007062D4" w:rsidRDefault="007062D4" w:rsidP="007062D4">
      <w:pPr>
        <w:tabs>
          <w:tab w:val="left" w:pos="0"/>
        </w:tabs>
        <w:ind w:left="0" w:right="45"/>
        <w:jc w:val="both"/>
        <w:rPr>
          <w:rFonts w:ascii="Bookman Old Style" w:eastAsia="Bookman Old Style" w:hAnsi="Bookman Old Style" w:cs="Bookman Old Style"/>
        </w:rPr>
      </w:pPr>
    </w:p>
    <w:p w14:paraId="3D382A61" w14:textId="77777777" w:rsidR="007062D4" w:rsidRDefault="007062D4" w:rsidP="007062D4">
      <w:pPr>
        <w:tabs>
          <w:tab w:val="left" w:pos="0"/>
        </w:tabs>
        <w:ind w:left="0" w:right="47"/>
        <w:jc w:val="both"/>
        <w:rPr>
          <w:rFonts w:ascii="Bookman Old Style" w:eastAsia="Bookman Old Style" w:hAnsi="Bookman Old Style" w:cs="Bookman Old Style"/>
        </w:rPr>
      </w:pPr>
      <w:r>
        <w:rPr>
          <w:rFonts w:ascii="Bookman Old Style" w:eastAsia="Bookman Old Style" w:hAnsi="Bookman Old Style" w:cs="Bookman Old Style"/>
          <w:b/>
        </w:rPr>
        <w:t>ARTÍCULO 3.</w:t>
      </w:r>
      <w:r>
        <w:rPr>
          <w:rFonts w:ascii="Bookman Old Style" w:eastAsia="Bookman Old Style" w:hAnsi="Bookman Old Style" w:cs="Bookman Old Style"/>
        </w:rPr>
        <w:t xml:space="preserve"> Los interesados podrán dirigir al Director Ejecutivo de la Comisión de Regulación de Energía y Gas las observaciones y sugerencias al correo electrónico </w:t>
      </w:r>
      <w:hyperlink r:id="rId13" w:history="1">
        <w:r w:rsidRPr="00DA77E7">
          <w:rPr>
            <w:rStyle w:val="Hipervnculo"/>
            <w:rFonts w:ascii="Bookman Old Style" w:eastAsia="Bookman Old Style" w:hAnsi="Bookman Old Style" w:cs="Bookman Old Style"/>
          </w:rPr>
          <w:t>creg@creg.gov.co</w:t>
        </w:r>
      </w:hyperlink>
      <w:r>
        <w:rPr>
          <w:rFonts w:ascii="Bookman Old Style" w:eastAsia="Bookman Old Style" w:hAnsi="Bookman Old Style" w:cs="Bookman Old Style"/>
        </w:rPr>
        <w:t>.</w:t>
      </w:r>
    </w:p>
    <w:p w14:paraId="2EBEA90D" w14:textId="77777777" w:rsidR="007062D4" w:rsidRDefault="007062D4" w:rsidP="007062D4">
      <w:pPr>
        <w:tabs>
          <w:tab w:val="left" w:pos="0"/>
        </w:tabs>
        <w:ind w:left="0" w:right="47"/>
        <w:jc w:val="both"/>
        <w:rPr>
          <w:rFonts w:ascii="Bookman Old Style" w:eastAsia="Bookman Old Style" w:hAnsi="Bookman Old Style" w:cs="Bookman Old Style"/>
        </w:rPr>
      </w:pPr>
    </w:p>
    <w:p w14:paraId="63681B15" w14:textId="77777777" w:rsidR="007062D4" w:rsidRDefault="007062D4" w:rsidP="007062D4">
      <w:pPr>
        <w:tabs>
          <w:tab w:val="left" w:pos="0"/>
        </w:tabs>
        <w:ind w:left="0" w:right="47"/>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 </w:t>
      </w:r>
      <w:r>
        <w:rPr>
          <w:rFonts w:ascii="Bookman Old Style" w:eastAsia="Bookman Old Style" w:hAnsi="Bookman Old Style" w:cs="Bookman Old Style"/>
        </w:rPr>
        <w:t>La presente resolución no deroga ni modifica disposiciones vigentes por tratarse de un acto de trámite.</w:t>
      </w:r>
    </w:p>
    <w:p w14:paraId="2BE3D9C9" w14:textId="77777777" w:rsidR="007062D4" w:rsidRDefault="007062D4" w:rsidP="007062D4">
      <w:pPr>
        <w:rPr>
          <w:rFonts w:ascii="Bookman Old Style" w:eastAsia="Bookman Old Style" w:hAnsi="Bookman Old Style" w:cs="Bookman Old Style"/>
        </w:rPr>
      </w:pPr>
    </w:p>
    <w:p w14:paraId="5F26AFBC" w14:textId="77777777" w:rsidR="007062D4" w:rsidRDefault="007062D4" w:rsidP="007062D4">
      <w:pPr>
        <w:rPr>
          <w:rFonts w:ascii="Bookman Old Style" w:eastAsia="Bookman Old Style" w:hAnsi="Bookman Old Style" w:cs="Bookman Old Style"/>
        </w:rPr>
      </w:pPr>
    </w:p>
    <w:p w14:paraId="6A30B695" w14:textId="77777777" w:rsidR="007062D4" w:rsidRDefault="007062D4" w:rsidP="007062D4">
      <w:pPr>
        <w:jc w:val="center"/>
        <w:rPr>
          <w:rFonts w:ascii="Bookman Old Style" w:eastAsia="Bookman Old Style" w:hAnsi="Bookman Old Style" w:cs="Bookman Old Style"/>
          <w:b/>
        </w:rPr>
      </w:pPr>
      <w:r>
        <w:rPr>
          <w:rFonts w:ascii="Bookman Old Style" w:eastAsia="Bookman Old Style" w:hAnsi="Bookman Old Style" w:cs="Bookman Old Style"/>
          <w:b/>
        </w:rPr>
        <w:t>PUBLÍQUESE Y CÚMPLASE</w:t>
      </w:r>
    </w:p>
    <w:p w14:paraId="69D9528F" w14:textId="77777777" w:rsidR="007062D4" w:rsidRDefault="007062D4" w:rsidP="007062D4">
      <w:pPr>
        <w:ind w:left="0"/>
        <w:rPr>
          <w:rFonts w:ascii="Bookman Old Style" w:eastAsia="Bookman Old Style" w:hAnsi="Bookman Old Style" w:cs="Bookman Old Style"/>
        </w:rPr>
      </w:pPr>
    </w:p>
    <w:p w14:paraId="51412F62" w14:textId="516B7EEB" w:rsidR="007062D4" w:rsidRPr="002C720E" w:rsidRDefault="007062D4" w:rsidP="007062D4">
      <w:pPr>
        <w:ind w:left="0"/>
        <w:rPr>
          <w:rFonts w:ascii="Bookman Old Style" w:eastAsia="Bookman Old Style" w:hAnsi="Bookman Old Style" w:cs="Bookman Old Style"/>
          <w:b/>
          <w:bCs/>
        </w:rPr>
      </w:pPr>
      <w:r>
        <w:rPr>
          <w:rFonts w:ascii="Bookman Old Style" w:eastAsia="Bookman Old Style" w:hAnsi="Bookman Old Style" w:cs="Bookman Old Style"/>
        </w:rPr>
        <w:t xml:space="preserve">Dada en Bogotá, D.C., </w:t>
      </w:r>
      <w:r w:rsidR="00CF7B29">
        <w:rPr>
          <w:rFonts w:ascii="Bookman Old Style" w:eastAsia="Bookman Old Style" w:hAnsi="Bookman Old Style" w:cs="Bookman Old Style"/>
        </w:rPr>
        <w:t>24 AGO.2020</w:t>
      </w:r>
    </w:p>
    <w:p w14:paraId="4CC3B0F8" w14:textId="77777777" w:rsidR="007062D4" w:rsidRDefault="007062D4" w:rsidP="007062D4">
      <w:pPr>
        <w:ind w:left="0"/>
        <w:rPr>
          <w:rFonts w:ascii="Bookman Old Style" w:eastAsia="Bookman Old Style" w:hAnsi="Bookman Old Style" w:cs="Bookman Old Style"/>
        </w:rPr>
      </w:pPr>
    </w:p>
    <w:p w14:paraId="6629D031" w14:textId="4431395A" w:rsidR="002A6A86" w:rsidRDefault="002A6A86" w:rsidP="002A6A86">
      <w:pPr>
        <w:tabs>
          <w:tab w:val="left" w:pos="0"/>
          <w:tab w:val="right" w:pos="9356"/>
        </w:tabs>
        <w:ind w:left="0"/>
        <w:jc w:val="center"/>
        <w:rPr>
          <w:rFonts w:ascii="Bookman Old Style" w:hAnsi="Bookman Old Style"/>
          <w:lang w:val="es-ES_tradnl"/>
        </w:rPr>
      </w:pPr>
    </w:p>
    <w:p w14:paraId="2F721A12" w14:textId="77777777" w:rsidR="007062D4" w:rsidRDefault="007062D4" w:rsidP="002A6A86">
      <w:pPr>
        <w:tabs>
          <w:tab w:val="left" w:pos="0"/>
          <w:tab w:val="right" w:pos="9356"/>
        </w:tabs>
        <w:ind w:left="0"/>
        <w:jc w:val="center"/>
        <w:rPr>
          <w:rFonts w:ascii="Bookman Old Style" w:hAnsi="Bookman Old Style"/>
          <w:lang w:val="es-ES_tradnl"/>
        </w:rPr>
      </w:pPr>
    </w:p>
    <w:p w14:paraId="76BF0134" w14:textId="23F0D0D8" w:rsidR="007062D4" w:rsidRDefault="007062D4" w:rsidP="002A6A86">
      <w:pPr>
        <w:tabs>
          <w:tab w:val="left" w:pos="0"/>
          <w:tab w:val="right" w:pos="9356"/>
        </w:tabs>
        <w:ind w:left="0"/>
        <w:jc w:val="center"/>
        <w:rPr>
          <w:rFonts w:ascii="Bookman Old Style" w:hAnsi="Bookman Old Style"/>
          <w:lang w:val="es-ES_tradnl"/>
        </w:rPr>
      </w:pPr>
    </w:p>
    <w:p w14:paraId="6888AF48" w14:textId="77777777" w:rsidR="00CF7B29" w:rsidRDefault="00CF7B29" w:rsidP="002A6A86">
      <w:pPr>
        <w:tabs>
          <w:tab w:val="left" w:pos="0"/>
          <w:tab w:val="right" w:pos="9356"/>
        </w:tabs>
        <w:ind w:left="0"/>
        <w:jc w:val="center"/>
        <w:rPr>
          <w:rFonts w:ascii="Bookman Old Style" w:hAnsi="Bookman Old Style"/>
          <w:lang w:val="es-ES_tradnl"/>
        </w:rPr>
      </w:pPr>
    </w:p>
    <w:p w14:paraId="561CA9B3" w14:textId="24A72041" w:rsidR="007062D4" w:rsidRDefault="007062D4" w:rsidP="002A6A86">
      <w:pPr>
        <w:tabs>
          <w:tab w:val="left" w:pos="0"/>
          <w:tab w:val="right" w:pos="9356"/>
        </w:tabs>
        <w:ind w:left="0"/>
        <w:jc w:val="center"/>
        <w:rPr>
          <w:rFonts w:ascii="Bookman Old Style" w:hAnsi="Bookman Old Style"/>
          <w:lang w:val="es-ES_tradnl"/>
        </w:rPr>
      </w:pPr>
    </w:p>
    <w:tbl>
      <w:tblPr>
        <w:tblW w:w="5396" w:type="pct"/>
        <w:jc w:val="center"/>
        <w:tblCellMar>
          <w:left w:w="70" w:type="dxa"/>
          <w:right w:w="70" w:type="dxa"/>
        </w:tblCellMar>
        <w:tblLook w:val="04A0" w:firstRow="1" w:lastRow="0" w:firstColumn="1" w:lastColumn="0" w:noHBand="0" w:noVBand="1"/>
      </w:tblPr>
      <w:tblGrid>
        <w:gridCol w:w="4935"/>
        <w:gridCol w:w="5162"/>
      </w:tblGrid>
      <w:tr w:rsidR="007062D4" w:rsidRPr="00AD5771" w14:paraId="384BBDCA" w14:textId="77777777" w:rsidTr="00796720">
        <w:trPr>
          <w:trHeight w:val="355"/>
          <w:jc w:val="center"/>
        </w:trPr>
        <w:tc>
          <w:tcPr>
            <w:tcW w:w="2444" w:type="pct"/>
            <w:hideMark/>
          </w:tcPr>
          <w:p w14:paraId="54A3E52F" w14:textId="77777777" w:rsidR="007062D4" w:rsidRPr="00AD5771" w:rsidRDefault="007062D4" w:rsidP="00796720">
            <w:pPr>
              <w:ind w:left="0"/>
              <w:jc w:val="center"/>
              <w:rPr>
                <w:rFonts w:ascii="Bookman Old Style" w:hAnsi="Bookman Old Style" w:cs="Arial"/>
                <w:b/>
                <w:spacing w:val="-3"/>
                <w:lang w:val="es-ES_tradnl"/>
              </w:rPr>
            </w:pPr>
            <w:r w:rsidRPr="009B2D9B">
              <w:rPr>
                <w:rFonts w:ascii="Bookman Old Style" w:hAnsi="Bookman Old Style" w:cs="Arial"/>
                <w:b/>
              </w:rPr>
              <w:t>DIEGO MESA PUYO</w:t>
            </w:r>
            <w:r w:rsidRPr="00AD5771">
              <w:rPr>
                <w:rFonts w:ascii="Bookman Old Style" w:hAnsi="Bookman Old Style" w:cs="Arial"/>
                <w:b/>
                <w:spacing w:val="-3"/>
              </w:rPr>
              <w:t xml:space="preserve">  </w:t>
            </w:r>
          </w:p>
        </w:tc>
        <w:tc>
          <w:tcPr>
            <w:tcW w:w="2556" w:type="pct"/>
            <w:hideMark/>
          </w:tcPr>
          <w:p w14:paraId="2E9C2BDE" w14:textId="77777777" w:rsidR="007062D4" w:rsidRPr="00AD5771" w:rsidRDefault="007062D4" w:rsidP="00796720">
            <w:pPr>
              <w:ind w:left="0" w:right="-66"/>
              <w:jc w:val="center"/>
              <w:rPr>
                <w:rFonts w:ascii="Bookman Old Style" w:hAnsi="Bookman Old Style" w:cs="Arial"/>
                <w:b/>
                <w:spacing w:val="-3"/>
                <w:lang w:val="es-ES_tradnl"/>
              </w:rPr>
            </w:pPr>
            <w:r w:rsidRPr="00AD5771">
              <w:rPr>
                <w:rFonts w:ascii="Bookman Old Style" w:hAnsi="Bookman Old Style" w:cs="Arial"/>
                <w:b/>
                <w:spacing w:val="-3"/>
                <w:lang w:val="es-ES_tradnl"/>
              </w:rPr>
              <w:t>JORGE ALBERTO VALENCIA MARÍN</w:t>
            </w:r>
          </w:p>
        </w:tc>
      </w:tr>
      <w:tr w:rsidR="007062D4" w:rsidRPr="00211435" w14:paraId="500AAA39" w14:textId="77777777" w:rsidTr="00796720">
        <w:trPr>
          <w:trHeight w:val="673"/>
          <w:jc w:val="center"/>
        </w:trPr>
        <w:tc>
          <w:tcPr>
            <w:tcW w:w="2444" w:type="pct"/>
            <w:hideMark/>
          </w:tcPr>
          <w:p w14:paraId="4CBCB590" w14:textId="77777777" w:rsidR="007062D4" w:rsidRPr="00AD5771" w:rsidRDefault="007062D4" w:rsidP="00796720">
            <w:pPr>
              <w:ind w:left="0"/>
              <w:jc w:val="center"/>
              <w:rPr>
                <w:rFonts w:ascii="Bookman Old Style" w:hAnsi="Bookman Old Style" w:cs="Arial"/>
                <w:spacing w:val="-3"/>
              </w:rPr>
            </w:pPr>
            <w:r w:rsidRPr="00AD5771">
              <w:rPr>
                <w:rFonts w:ascii="Bookman Old Style" w:hAnsi="Bookman Old Style" w:cs="Arial"/>
                <w:spacing w:val="-3"/>
              </w:rPr>
              <w:t>Ministr</w:t>
            </w:r>
            <w:r>
              <w:rPr>
                <w:rFonts w:ascii="Bookman Old Style" w:hAnsi="Bookman Old Style" w:cs="Arial"/>
                <w:spacing w:val="-3"/>
              </w:rPr>
              <w:t>o</w:t>
            </w:r>
            <w:r w:rsidRPr="00AD5771">
              <w:rPr>
                <w:rFonts w:ascii="Bookman Old Style" w:hAnsi="Bookman Old Style" w:cs="Arial"/>
                <w:spacing w:val="-3"/>
              </w:rPr>
              <w:t xml:space="preserve"> de Minas y Energía</w:t>
            </w:r>
          </w:p>
          <w:p w14:paraId="7E8E4494" w14:textId="77777777" w:rsidR="007062D4" w:rsidRPr="00AD5771" w:rsidRDefault="007062D4" w:rsidP="00796720">
            <w:pPr>
              <w:ind w:left="0"/>
              <w:jc w:val="center"/>
              <w:rPr>
                <w:rFonts w:ascii="Bookman Old Style" w:hAnsi="Bookman Old Style" w:cs="Arial"/>
                <w:spacing w:val="-3"/>
                <w:lang w:val="es-ES_tradnl"/>
              </w:rPr>
            </w:pPr>
            <w:r w:rsidRPr="00AD5771">
              <w:rPr>
                <w:rFonts w:ascii="Bookman Old Style" w:hAnsi="Bookman Old Style" w:cs="Arial"/>
                <w:spacing w:val="-3"/>
              </w:rPr>
              <w:t>Presidente</w:t>
            </w:r>
          </w:p>
        </w:tc>
        <w:tc>
          <w:tcPr>
            <w:tcW w:w="2556" w:type="pct"/>
            <w:hideMark/>
          </w:tcPr>
          <w:p w14:paraId="32E9D7DB" w14:textId="77777777" w:rsidR="007062D4" w:rsidRPr="00211435" w:rsidRDefault="007062D4" w:rsidP="00796720">
            <w:pPr>
              <w:ind w:left="0"/>
              <w:jc w:val="center"/>
              <w:rPr>
                <w:rFonts w:ascii="Bookman Old Style" w:hAnsi="Bookman Old Style" w:cs="Arial"/>
                <w:spacing w:val="-3"/>
                <w:lang w:val="es-ES_tradnl"/>
              </w:rPr>
            </w:pPr>
            <w:r w:rsidRPr="00AD5771">
              <w:rPr>
                <w:rFonts w:ascii="Bookman Old Style" w:hAnsi="Bookman Old Style" w:cs="Arial"/>
                <w:spacing w:val="-3"/>
                <w:lang w:val="es-ES_tradnl"/>
              </w:rPr>
              <w:t>Director Ejecutivo</w:t>
            </w:r>
          </w:p>
        </w:tc>
      </w:tr>
    </w:tbl>
    <w:p w14:paraId="3A8D2A7E" w14:textId="77777777" w:rsidR="007062D4" w:rsidRDefault="007062D4" w:rsidP="002A6A86">
      <w:pPr>
        <w:tabs>
          <w:tab w:val="left" w:pos="0"/>
          <w:tab w:val="right" w:pos="9356"/>
        </w:tabs>
        <w:ind w:left="0"/>
        <w:jc w:val="center"/>
        <w:rPr>
          <w:rFonts w:ascii="Bookman Old Style" w:hAnsi="Bookman Old Style"/>
          <w:lang w:val="es-ES_tradnl"/>
        </w:rPr>
      </w:pPr>
    </w:p>
    <w:p w14:paraId="05837D55" w14:textId="206BE0C6" w:rsidR="007062D4" w:rsidRDefault="007062D4" w:rsidP="002A6A86">
      <w:pPr>
        <w:tabs>
          <w:tab w:val="left" w:pos="0"/>
          <w:tab w:val="right" w:pos="9356"/>
        </w:tabs>
        <w:ind w:left="0"/>
        <w:jc w:val="center"/>
        <w:rPr>
          <w:rFonts w:ascii="Bookman Old Style" w:hAnsi="Bookman Old Style"/>
          <w:lang w:val="es-ES_tradnl"/>
        </w:rPr>
      </w:pPr>
    </w:p>
    <w:p w14:paraId="659ADCED" w14:textId="011A5781" w:rsidR="007062D4" w:rsidRDefault="007062D4" w:rsidP="002A6A86">
      <w:pPr>
        <w:tabs>
          <w:tab w:val="left" w:pos="0"/>
          <w:tab w:val="right" w:pos="9356"/>
        </w:tabs>
        <w:ind w:left="0"/>
        <w:jc w:val="center"/>
        <w:rPr>
          <w:rFonts w:ascii="Bookman Old Style" w:hAnsi="Bookman Old Style"/>
          <w:lang w:val="es-ES_tradnl"/>
        </w:rPr>
      </w:pPr>
    </w:p>
    <w:p w14:paraId="6A9B9673" w14:textId="6DE7A885" w:rsidR="007062D4" w:rsidRDefault="007062D4" w:rsidP="002A6A86">
      <w:pPr>
        <w:tabs>
          <w:tab w:val="left" w:pos="0"/>
          <w:tab w:val="right" w:pos="9356"/>
        </w:tabs>
        <w:ind w:left="0"/>
        <w:jc w:val="center"/>
        <w:rPr>
          <w:rFonts w:ascii="Bookman Old Style" w:hAnsi="Bookman Old Style"/>
          <w:lang w:val="es-ES_tradnl"/>
        </w:rPr>
      </w:pPr>
    </w:p>
    <w:p w14:paraId="6B38ED73" w14:textId="01FA4DCA" w:rsidR="007062D4" w:rsidRDefault="007062D4" w:rsidP="002A6A86">
      <w:pPr>
        <w:tabs>
          <w:tab w:val="left" w:pos="0"/>
          <w:tab w:val="right" w:pos="9356"/>
        </w:tabs>
        <w:ind w:left="0"/>
        <w:jc w:val="center"/>
        <w:rPr>
          <w:rFonts w:ascii="Bookman Old Style" w:hAnsi="Bookman Old Style"/>
          <w:lang w:val="es-ES_tradnl"/>
        </w:rPr>
      </w:pPr>
    </w:p>
    <w:p w14:paraId="7A86FF58" w14:textId="27FEBF52" w:rsidR="007062D4" w:rsidRDefault="007062D4" w:rsidP="002A6A86">
      <w:pPr>
        <w:tabs>
          <w:tab w:val="left" w:pos="0"/>
          <w:tab w:val="right" w:pos="9356"/>
        </w:tabs>
        <w:ind w:left="0"/>
        <w:jc w:val="center"/>
        <w:rPr>
          <w:rFonts w:ascii="Bookman Old Style" w:hAnsi="Bookman Old Style"/>
          <w:lang w:val="es-ES_tradnl"/>
        </w:rPr>
      </w:pPr>
    </w:p>
    <w:p w14:paraId="72FE6A01" w14:textId="25359191" w:rsidR="007062D4" w:rsidRDefault="007062D4" w:rsidP="002A6A86">
      <w:pPr>
        <w:tabs>
          <w:tab w:val="left" w:pos="0"/>
          <w:tab w:val="right" w:pos="9356"/>
        </w:tabs>
        <w:ind w:left="0"/>
        <w:jc w:val="center"/>
        <w:rPr>
          <w:rFonts w:ascii="Bookman Old Style" w:hAnsi="Bookman Old Style"/>
          <w:lang w:val="es-ES_tradnl"/>
        </w:rPr>
      </w:pPr>
    </w:p>
    <w:p w14:paraId="131E1C0E" w14:textId="0526F74B" w:rsidR="007062D4" w:rsidRDefault="007062D4" w:rsidP="002A6A86">
      <w:pPr>
        <w:tabs>
          <w:tab w:val="left" w:pos="0"/>
          <w:tab w:val="right" w:pos="9356"/>
        </w:tabs>
        <w:ind w:left="0"/>
        <w:jc w:val="center"/>
        <w:rPr>
          <w:rFonts w:ascii="Bookman Old Style" w:hAnsi="Bookman Old Style"/>
          <w:lang w:val="es-ES_tradnl"/>
        </w:rPr>
      </w:pPr>
    </w:p>
    <w:p w14:paraId="42E9A02F" w14:textId="17B2FDCC" w:rsidR="007062D4" w:rsidRDefault="007062D4" w:rsidP="002A6A86">
      <w:pPr>
        <w:tabs>
          <w:tab w:val="left" w:pos="0"/>
          <w:tab w:val="right" w:pos="9356"/>
        </w:tabs>
        <w:ind w:left="0"/>
        <w:jc w:val="center"/>
        <w:rPr>
          <w:rFonts w:ascii="Bookman Old Style" w:hAnsi="Bookman Old Style"/>
          <w:lang w:val="es-ES_tradnl"/>
        </w:rPr>
      </w:pPr>
    </w:p>
    <w:p w14:paraId="48BF42F7" w14:textId="6C78DEFC" w:rsidR="007062D4" w:rsidRDefault="007062D4" w:rsidP="002A6A86">
      <w:pPr>
        <w:tabs>
          <w:tab w:val="left" w:pos="0"/>
          <w:tab w:val="right" w:pos="9356"/>
        </w:tabs>
        <w:ind w:left="0"/>
        <w:jc w:val="center"/>
        <w:rPr>
          <w:rFonts w:ascii="Bookman Old Style" w:hAnsi="Bookman Old Style"/>
          <w:lang w:val="es-ES_tradnl"/>
        </w:rPr>
      </w:pPr>
    </w:p>
    <w:p w14:paraId="740F60E8" w14:textId="0D058BC3" w:rsidR="007062D4" w:rsidRDefault="007062D4" w:rsidP="002A6A86">
      <w:pPr>
        <w:tabs>
          <w:tab w:val="left" w:pos="0"/>
          <w:tab w:val="right" w:pos="9356"/>
        </w:tabs>
        <w:ind w:left="0"/>
        <w:jc w:val="center"/>
        <w:rPr>
          <w:rFonts w:ascii="Bookman Old Style" w:hAnsi="Bookman Old Style"/>
          <w:lang w:val="es-ES_tradnl"/>
        </w:rPr>
      </w:pPr>
    </w:p>
    <w:p w14:paraId="28CF6579" w14:textId="37749E30" w:rsidR="007062D4" w:rsidRDefault="007062D4" w:rsidP="002A6A86">
      <w:pPr>
        <w:tabs>
          <w:tab w:val="left" w:pos="0"/>
          <w:tab w:val="right" w:pos="9356"/>
        </w:tabs>
        <w:ind w:left="0"/>
        <w:jc w:val="center"/>
        <w:rPr>
          <w:rFonts w:ascii="Bookman Old Style" w:hAnsi="Bookman Old Style"/>
          <w:lang w:val="es-ES_tradnl"/>
        </w:rPr>
      </w:pPr>
    </w:p>
    <w:p w14:paraId="0FE55901" w14:textId="6C942C5D" w:rsidR="007062D4" w:rsidRDefault="007062D4" w:rsidP="002A6A86">
      <w:pPr>
        <w:tabs>
          <w:tab w:val="left" w:pos="0"/>
          <w:tab w:val="right" w:pos="9356"/>
        </w:tabs>
        <w:ind w:left="0"/>
        <w:jc w:val="center"/>
        <w:rPr>
          <w:rFonts w:ascii="Bookman Old Style" w:hAnsi="Bookman Old Style"/>
          <w:lang w:val="es-ES_tradnl"/>
        </w:rPr>
      </w:pPr>
    </w:p>
    <w:p w14:paraId="0B76E40C" w14:textId="6B17685D" w:rsidR="007062D4" w:rsidRDefault="007062D4" w:rsidP="002A6A86">
      <w:pPr>
        <w:tabs>
          <w:tab w:val="left" w:pos="0"/>
          <w:tab w:val="right" w:pos="9356"/>
        </w:tabs>
        <w:ind w:left="0"/>
        <w:jc w:val="center"/>
        <w:rPr>
          <w:rFonts w:ascii="Bookman Old Style" w:hAnsi="Bookman Old Style"/>
          <w:lang w:val="es-ES_tradnl"/>
        </w:rPr>
      </w:pPr>
    </w:p>
    <w:p w14:paraId="7C0BA6FA" w14:textId="6611B3F0" w:rsidR="007062D4" w:rsidRDefault="007062D4" w:rsidP="002A6A86">
      <w:pPr>
        <w:tabs>
          <w:tab w:val="left" w:pos="0"/>
          <w:tab w:val="right" w:pos="9356"/>
        </w:tabs>
        <w:ind w:left="0"/>
        <w:jc w:val="center"/>
        <w:rPr>
          <w:rFonts w:ascii="Bookman Old Style" w:hAnsi="Bookman Old Style"/>
          <w:lang w:val="es-ES_tradnl"/>
        </w:rPr>
      </w:pPr>
    </w:p>
    <w:p w14:paraId="5030E669" w14:textId="7F043D61" w:rsidR="007062D4" w:rsidRDefault="007062D4" w:rsidP="002A6A86">
      <w:pPr>
        <w:tabs>
          <w:tab w:val="left" w:pos="0"/>
          <w:tab w:val="right" w:pos="9356"/>
        </w:tabs>
        <w:ind w:left="0"/>
        <w:jc w:val="center"/>
        <w:rPr>
          <w:rFonts w:ascii="Bookman Old Style" w:hAnsi="Bookman Old Style"/>
          <w:lang w:val="es-ES_tradnl"/>
        </w:rPr>
      </w:pPr>
    </w:p>
    <w:p w14:paraId="60B3C060" w14:textId="6AE812BE" w:rsidR="007062D4" w:rsidRDefault="007062D4" w:rsidP="002A6A86">
      <w:pPr>
        <w:tabs>
          <w:tab w:val="left" w:pos="0"/>
          <w:tab w:val="right" w:pos="9356"/>
        </w:tabs>
        <w:ind w:left="0"/>
        <w:jc w:val="center"/>
        <w:rPr>
          <w:rFonts w:ascii="Bookman Old Style" w:hAnsi="Bookman Old Style"/>
          <w:lang w:val="es-ES_tradnl"/>
        </w:rPr>
      </w:pPr>
    </w:p>
    <w:p w14:paraId="6423E421" w14:textId="4FF3AF69" w:rsidR="007062D4" w:rsidRDefault="007062D4" w:rsidP="002A6A86">
      <w:pPr>
        <w:tabs>
          <w:tab w:val="left" w:pos="0"/>
          <w:tab w:val="right" w:pos="9356"/>
        </w:tabs>
        <w:ind w:left="0"/>
        <w:jc w:val="center"/>
        <w:rPr>
          <w:rFonts w:ascii="Bookman Old Style" w:hAnsi="Bookman Old Style"/>
          <w:lang w:val="es-ES_tradnl"/>
        </w:rPr>
      </w:pPr>
    </w:p>
    <w:p w14:paraId="529D3EC9" w14:textId="757E9795" w:rsidR="007062D4" w:rsidRDefault="007062D4" w:rsidP="002A6A86">
      <w:pPr>
        <w:tabs>
          <w:tab w:val="left" w:pos="0"/>
          <w:tab w:val="right" w:pos="9356"/>
        </w:tabs>
        <w:ind w:left="0"/>
        <w:jc w:val="center"/>
        <w:rPr>
          <w:rFonts w:ascii="Bookman Old Style" w:hAnsi="Bookman Old Style"/>
          <w:lang w:val="es-ES_tradnl"/>
        </w:rPr>
      </w:pPr>
    </w:p>
    <w:p w14:paraId="148A24EB" w14:textId="53BDDBBC" w:rsidR="007062D4" w:rsidRDefault="007062D4" w:rsidP="002A6A86">
      <w:pPr>
        <w:tabs>
          <w:tab w:val="left" w:pos="0"/>
          <w:tab w:val="right" w:pos="9356"/>
        </w:tabs>
        <w:ind w:left="0"/>
        <w:jc w:val="center"/>
        <w:rPr>
          <w:rFonts w:ascii="Bookman Old Style" w:hAnsi="Bookman Old Style"/>
          <w:lang w:val="es-ES_tradnl"/>
        </w:rPr>
      </w:pPr>
    </w:p>
    <w:p w14:paraId="35A3AB64" w14:textId="77777777" w:rsidR="00227544" w:rsidRDefault="00227544" w:rsidP="002A6A86">
      <w:pPr>
        <w:tabs>
          <w:tab w:val="left" w:pos="0"/>
          <w:tab w:val="right" w:pos="9356"/>
        </w:tabs>
        <w:ind w:left="0"/>
        <w:jc w:val="center"/>
        <w:rPr>
          <w:rFonts w:ascii="Bookman Old Style" w:hAnsi="Bookman Old Style"/>
          <w:lang w:val="es-ES_tradnl"/>
        </w:rPr>
      </w:pPr>
    </w:p>
    <w:p w14:paraId="4DE73A64" w14:textId="77777777" w:rsidR="007062D4" w:rsidRDefault="007062D4" w:rsidP="007062D4">
      <w:pPr>
        <w:ind w:left="0" w:right="51"/>
        <w:jc w:val="center"/>
        <w:rPr>
          <w:rFonts w:ascii="Bookman Old Style" w:hAnsi="Bookman Old Style"/>
          <w:b/>
        </w:rPr>
      </w:pPr>
      <w:r>
        <w:rPr>
          <w:rFonts w:ascii="Bookman Old Style" w:hAnsi="Bookman Old Style"/>
          <w:b/>
        </w:rPr>
        <w:t>PROYECTO DE RESOLUCIÓN</w:t>
      </w:r>
    </w:p>
    <w:p w14:paraId="392A2C34" w14:textId="77777777" w:rsidR="00036187" w:rsidRPr="00AD5771" w:rsidRDefault="00036187" w:rsidP="002A6A86">
      <w:pPr>
        <w:tabs>
          <w:tab w:val="left" w:pos="0"/>
          <w:tab w:val="right" w:pos="9356"/>
        </w:tabs>
        <w:ind w:left="0"/>
        <w:jc w:val="center"/>
        <w:rPr>
          <w:rFonts w:ascii="Bookman Old Style" w:hAnsi="Bookman Old Style"/>
          <w:lang w:val="es-ES_tradnl"/>
        </w:rPr>
      </w:pPr>
    </w:p>
    <w:p w14:paraId="053704A5" w14:textId="7E3064C9" w:rsidR="00FF7FA0" w:rsidRPr="00FF7FA0" w:rsidRDefault="00FF7FA0" w:rsidP="00FF7FA0">
      <w:pPr>
        <w:ind w:left="0"/>
        <w:jc w:val="both"/>
        <w:rPr>
          <w:rFonts w:ascii="Bookman Old Style" w:hAnsi="Bookman Old Style"/>
          <w:bCs/>
        </w:rPr>
      </w:pPr>
      <w:r w:rsidRPr="00FF7FA0">
        <w:rPr>
          <w:rFonts w:ascii="Bookman Old Style" w:hAnsi="Bookman Old Style"/>
          <w:bCs/>
        </w:rPr>
        <w:t xml:space="preserve">Por la cual se adoptan medidas transitorias en relación con la aplicación por parte de los comercializadores de gas para uso domiciliario distribuido por red de tuberías del incremento al porcentaje de subsidios establecido en la Resolución MME </w:t>
      </w:r>
      <w:r w:rsidR="00905596">
        <w:rPr>
          <w:rFonts w:ascii="Bookman Old Style" w:hAnsi="Bookman Old Style"/>
          <w:bCs/>
        </w:rPr>
        <w:t>4</w:t>
      </w:r>
      <w:r w:rsidRPr="00FF7FA0">
        <w:rPr>
          <w:rFonts w:ascii="Bookman Old Style" w:hAnsi="Bookman Old Style"/>
          <w:bCs/>
        </w:rPr>
        <w:t>0236 de 2020 para los usuarios de los estratos 1 y 2 del servicio de Gas Combustible.</w:t>
      </w:r>
    </w:p>
    <w:p w14:paraId="37AC70AA" w14:textId="77777777" w:rsidR="002A6A86" w:rsidRPr="00AD5771" w:rsidRDefault="002A6A86" w:rsidP="002A6A86">
      <w:pPr>
        <w:ind w:right="51"/>
        <w:jc w:val="center"/>
        <w:rPr>
          <w:rFonts w:ascii="Bookman Old Style" w:hAnsi="Bookman Old Style"/>
          <w:b/>
        </w:rPr>
      </w:pPr>
    </w:p>
    <w:p w14:paraId="6D6AEBEB" w14:textId="77777777" w:rsidR="002A6A86" w:rsidRPr="00AD5771" w:rsidRDefault="002A6A86" w:rsidP="002A6A86">
      <w:pPr>
        <w:ind w:right="51"/>
        <w:jc w:val="center"/>
        <w:rPr>
          <w:rFonts w:ascii="Bookman Old Style" w:hAnsi="Bookman Old Style"/>
          <w:b/>
        </w:rPr>
      </w:pPr>
    </w:p>
    <w:p w14:paraId="39E97F1F" w14:textId="77777777" w:rsidR="002A6A86" w:rsidRPr="00AD5771" w:rsidRDefault="002A6A86" w:rsidP="002A6A86">
      <w:pPr>
        <w:ind w:left="0" w:right="51"/>
        <w:jc w:val="center"/>
        <w:rPr>
          <w:rFonts w:ascii="Bookman Old Style" w:hAnsi="Bookman Old Style"/>
          <w:b/>
        </w:rPr>
      </w:pPr>
      <w:r w:rsidRPr="00AD5771">
        <w:rPr>
          <w:rFonts w:ascii="Bookman Old Style" w:hAnsi="Bookman Old Style"/>
          <w:b/>
        </w:rPr>
        <w:t>LA COMISIÓN DE REGULACIÓN DE ENERGÍA Y GAS</w:t>
      </w:r>
    </w:p>
    <w:p w14:paraId="4DBE9FB4" w14:textId="7EBA7BF8" w:rsidR="002A6A86" w:rsidRDefault="002A6A86" w:rsidP="002A6A86">
      <w:pPr>
        <w:ind w:left="0" w:right="51"/>
        <w:rPr>
          <w:rFonts w:ascii="Bookman Old Style" w:hAnsi="Bookman Old Style"/>
        </w:rPr>
      </w:pPr>
    </w:p>
    <w:p w14:paraId="5332DB65" w14:textId="77777777" w:rsidR="00FA0E4E" w:rsidRPr="00AD5771" w:rsidRDefault="00FA0E4E" w:rsidP="002A6A86">
      <w:pPr>
        <w:ind w:left="0" w:right="51"/>
        <w:rPr>
          <w:rFonts w:ascii="Bookman Old Style" w:hAnsi="Bookman Old Style"/>
        </w:rPr>
      </w:pPr>
    </w:p>
    <w:p w14:paraId="7DB279B6" w14:textId="4EB71645" w:rsidR="00CD0A2C" w:rsidRDefault="00CD0A2C" w:rsidP="00CD0A2C">
      <w:pPr>
        <w:ind w:left="0"/>
        <w:jc w:val="both"/>
        <w:rPr>
          <w:rFonts w:ascii="Bookman Old Style" w:eastAsia="Bookman Old Style" w:hAnsi="Bookman Old Style" w:cs="Bookman Old Style"/>
        </w:rPr>
      </w:pPr>
      <w:r>
        <w:rPr>
          <w:rFonts w:ascii="Bookman Old Style" w:eastAsia="Bookman Old Style" w:hAnsi="Bookman Old Style" w:cs="Bookman Old Style"/>
        </w:rPr>
        <w:t>En ejercicio de sus atribuciones constitucionales y legales, en especial las conferidas por las Leyes 142 y 143 de 1994, y en desarrollo de los Decretos 1524 y 2253 de 1994, 1260 de 2013; y,</w:t>
      </w:r>
    </w:p>
    <w:p w14:paraId="336EAF9F" w14:textId="77777777" w:rsidR="002A6A86" w:rsidRPr="00AD5771" w:rsidRDefault="002A6A86" w:rsidP="002A6A86">
      <w:pPr>
        <w:ind w:right="51"/>
        <w:jc w:val="center"/>
        <w:rPr>
          <w:rFonts w:ascii="Bookman Old Style" w:hAnsi="Bookman Old Style"/>
          <w:b/>
        </w:rPr>
      </w:pPr>
    </w:p>
    <w:p w14:paraId="3854301E" w14:textId="77777777" w:rsidR="002A6A86" w:rsidRPr="00AD5771" w:rsidRDefault="002A6A86" w:rsidP="002A6A86">
      <w:pPr>
        <w:ind w:right="51"/>
        <w:jc w:val="center"/>
        <w:rPr>
          <w:rFonts w:ascii="Bookman Old Style" w:hAnsi="Bookman Old Style"/>
          <w:b/>
        </w:rPr>
      </w:pPr>
    </w:p>
    <w:p w14:paraId="10C6C212" w14:textId="77617A65" w:rsidR="002A6A86" w:rsidRDefault="002A6A86" w:rsidP="002A6A86">
      <w:pPr>
        <w:ind w:left="0" w:right="51"/>
        <w:jc w:val="center"/>
        <w:rPr>
          <w:rFonts w:ascii="Bookman Old Style" w:hAnsi="Bookman Old Style"/>
          <w:b/>
        </w:rPr>
      </w:pPr>
      <w:r w:rsidRPr="00AD5771">
        <w:rPr>
          <w:rFonts w:ascii="Bookman Old Style" w:hAnsi="Bookman Old Style"/>
          <w:b/>
        </w:rPr>
        <w:t>C O N S I D E R A N D O   Q U E:</w:t>
      </w:r>
    </w:p>
    <w:p w14:paraId="71A16B73" w14:textId="77777777" w:rsidR="000B6B13" w:rsidRDefault="000B6B13" w:rsidP="002A6A86">
      <w:pPr>
        <w:ind w:left="0" w:right="51"/>
        <w:jc w:val="center"/>
        <w:rPr>
          <w:rFonts w:ascii="Bookman Old Style" w:hAnsi="Bookman Old Style"/>
          <w:b/>
        </w:rPr>
      </w:pPr>
    </w:p>
    <w:p w14:paraId="72E3961E" w14:textId="301D4A70" w:rsidR="006E43A3" w:rsidRDefault="006E43A3" w:rsidP="002A6A86">
      <w:pPr>
        <w:ind w:left="0" w:right="51"/>
        <w:jc w:val="center"/>
        <w:rPr>
          <w:rFonts w:ascii="Bookman Old Style" w:hAnsi="Bookman Old Style"/>
          <w:b/>
        </w:rPr>
      </w:pPr>
    </w:p>
    <w:p w14:paraId="143B0AC7" w14:textId="642F3EEE" w:rsidR="00F0130F" w:rsidRDefault="00F0130F" w:rsidP="003E2790">
      <w:pPr>
        <w:ind w:left="0"/>
        <w:jc w:val="both"/>
        <w:rPr>
          <w:rFonts w:ascii="Bookman Old Style" w:eastAsia="Bookman Old Style" w:hAnsi="Bookman Old Style" w:cs="Bookman Old Style"/>
        </w:rPr>
      </w:pPr>
      <w:r>
        <w:rPr>
          <w:rFonts w:ascii="Bookman Old Style" w:eastAsia="Bookman Old Style" w:hAnsi="Bookman Old Style" w:cs="Bookman Old Style"/>
        </w:rPr>
        <w:t>El Artículo 3 de la Ley 1117 de 2006</w:t>
      </w:r>
      <w:r w:rsidR="00594607">
        <w:rPr>
          <w:rFonts w:ascii="Bookman Old Style" w:eastAsia="Bookman Old Style" w:hAnsi="Bookman Old Style" w:cs="Bookman Old Style"/>
        </w:rPr>
        <w:t>,</w:t>
      </w:r>
      <w:r w:rsidR="000B6B13">
        <w:rPr>
          <w:rFonts w:ascii="Bookman Old Style" w:eastAsia="Bookman Old Style" w:hAnsi="Bookman Old Style" w:cs="Bookman Old Style"/>
        </w:rPr>
        <w:t xml:space="preserve"> </w:t>
      </w:r>
      <w:r w:rsidR="0013068E">
        <w:rPr>
          <w:rFonts w:ascii="Bookman Old Style" w:eastAsia="Bookman Old Style" w:hAnsi="Bookman Old Style" w:cs="Bookman Old Style"/>
        </w:rPr>
        <w:t xml:space="preserve">cuya vigencia ha sido prorrogada </w:t>
      </w:r>
      <w:r w:rsidR="00840BC4" w:rsidRPr="00840BC4">
        <w:rPr>
          <w:rFonts w:ascii="Bookman Old Style" w:eastAsia="Bookman Old Style" w:hAnsi="Bookman Old Style" w:cs="Bookman Old Style"/>
        </w:rPr>
        <w:t xml:space="preserve">por el </w:t>
      </w:r>
      <w:r w:rsidR="0013068E">
        <w:rPr>
          <w:rFonts w:ascii="Bookman Old Style" w:eastAsia="Bookman Old Style" w:hAnsi="Bookman Old Style" w:cs="Bookman Old Style"/>
        </w:rPr>
        <w:t>A</w:t>
      </w:r>
      <w:r w:rsidR="00840BC4" w:rsidRPr="00840BC4">
        <w:rPr>
          <w:rFonts w:ascii="Bookman Old Style" w:eastAsia="Bookman Old Style" w:hAnsi="Bookman Old Style" w:cs="Bookman Old Style"/>
        </w:rPr>
        <w:t>rtículo 1</w:t>
      </w:r>
      <w:r w:rsidR="0013068E">
        <w:rPr>
          <w:rFonts w:ascii="Bookman Old Style" w:eastAsia="Bookman Old Style" w:hAnsi="Bookman Old Style" w:cs="Bookman Old Style"/>
        </w:rPr>
        <w:t>°</w:t>
      </w:r>
      <w:r w:rsidR="00840BC4" w:rsidRPr="00840BC4">
        <w:rPr>
          <w:rFonts w:ascii="Bookman Old Style" w:eastAsia="Bookman Old Style" w:hAnsi="Bookman Old Style" w:cs="Bookman Old Style"/>
        </w:rPr>
        <w:t xml:space="preserve"> de la Ley 1428 de 2010, el </w:t>
      </w:r>
      <w:r w:rsidR="0013068E">
        <w:rPr>
          <w:rFonts w:ascii="Bookman Old Style" w:eastAsia="Bookman Old Style" w:hAnsi="Bookman Old Style" w:cs="Bookman Old Style"/>
        </w:rPr>
        <w:t>A</w:t>
      </w:r>
      <w:r w:rsidR="00840BC4" w:rsidRPr="00840BC4">
        <w:rPr>
          <w:rFonts w:ascii="Bookman Old Style" w:eastAsia="Bookman Old Style" w:hAnsi="Bookman Old Style" w:cs="Bookman Old Style"/>
        </w:rPr>
        <w:t xml:space="preserve">rtículo 76 de la Ley 1739 de 2014, el </w:t>
      </w:r>
      <w:r w:rsidR="0013068E">
        <w:rPr>
          <w:rFonts w:ascii="Bookman Old Style" w:eastAsia="Bookman Old Style" w:hAnsi="Bookman Old Style" w:cs="Bookman Old Style"/>
        </w:rPr>
        <w:t>A</w:t>
      </w:r>
      <w:r w:rsidR="00840BC4" w:rsidRPr="00840BC4">
        <w:rPr>
          <w:rFonts w:ascii="Bookman Old Style" w:eastAsia="Bookman Old Style" w:hAnsi="Bookman Old Style" w:cs="Bookman Old Style"/>
        </w:rPr>
        <w:t xml:space="preserve">rtículo 17 de la Ley 1753 de 2015 y el </w:t>
      </w:r>
      <w:r w:rsidR="0013068E">
        <w:rPr>
          <w:rFonts w:ascii="Bookman Old Style" w:eastAsia="Bookman Old Style" w:hAnsi="Bookman Old Style" w:cs="Bookman Old Style"/>
        </w:rPr>
        <w:t>A</w:t>
      </w:r>
      <w:r w:rsidR="00840BC4" w:rsidRPr="00840BC4">
        <w:rPr>
          <w:rFonts w:ascii="Bookman Old Style" w:eastAsia="Bookman Old Style" w:hAnsi="Bookman Old Style" w:cs="Bookman Old Style"/>
        </w:rPr>
        <w:t xml:space="preserve">rtículo 297 la </w:t>
      </w:r>
      <w:r w:rsidR="0013068E">
        <w:rPr>
          <w:rFonts w:ascii="Bookman Old Style" w:eastAsia="Bookman Old Style" w:hAnsi="Bookman Old Style" w:cs="Bookman Old Style"/>
        </w:rPr>
        <w:t>L</w:t>
      </w:r>
      <w:r w:rsidR="00840BC4" w:rsidRPr="00840BC4">
        <w:rPr>
          <w:rFonts w:ascii="Bookman Old Style" w:eastAsia="Bookman Old Style" w:hAnsi="Bookman Old Style" w:cs="Bookman Old Style"/>
        </w:rPr>
        <w:t>ey 1955 de 2019</w:t>
      </w:r>
      <w:r w:rsidR="0013068E">
        <w:rPr>
          <w:rFonts w:ascii="Bookman Old Style" w:eastAsia="Bookman Old Style" w:hAnsi="Bookman Old Style" w:cs="Bookman Old Style"/>
        </w:rPr>
        <w:t>,</w:t>
      </w:r>
      <w:r w:rsidR="000B6B13">
        <w:rPr>
          <w:rFonts w:ascii="Bookman Old Style" w:eastAsia="Bookman Old Style" w:hAnsi="Bookman Old Style" w:cs="Bookman Old Style"/>
        </w:rPr>
        <w:t xml:space="preserve"> prevé sobre la aplicación de subsidios que:</w:t>
      </w:r>
    </w:p>
    <w:p w14:paraId="14F7D48E" w14:textId="31693B47" w:rsidR="000B6B13" w:rsidRDefault="000B6B13" w:rsidP="003E2790">
      <w:pPr>
        <w:ind w:left="0"/>
        <w:jc w:val="both"/>
        <w:rPr>
          <w:rFonts w:ascii="Bookman Old Style" w:eastAsia="Bookman Old Style" w:hAnsi="Bookman Old Style" w:cs="Bookman Old Style"/>
        </w:rPr>
      </w:pPr>
    </w:p>
    <w:p w14:paraId="189E2D10" w14:textId="61EA976C" w:rsidR="000B6B13" w:rsidRPr="000B6B13" w:rsidRDefault="000B6B13" w:rsidP="00594607">
      <w:pPr>
        <w:ind w:left="284"/>
        <w:jc w:val="both"/>
        <w:rPr>
          <w:rFonts w:ascii="Bookman Old Style" w:eastAsia="Bookman Old Style" w:hAnsi="Bookman Old Style" w:cs="Bookman Old Style"/>
          <w:i/>
          <w:iCs/>
          <w:sz w:val="20"/>
          <w:szCs w:val="20"/>
        </w:rPr>
      </w:pPr>
      <w:r w:rsidRPr="000B6B13">
        <w:rPr>
          <w:rFonts w:ascii="Bookman Old Style" w:eastAsia="Bookman Old Style" w:hAnsi="Bookman Old Style" w:cs="Bookman Old Style"/>
          <w:i/>
          <w:iCs/>
          <w:sz w:val="20"/>
          <w:szCs w:val="20"/>
        </w:rPr>
        <w:t>“La aplicación de subsidios al costo de prestación del servicio público domiciliario de energía eléctrica y de gas combustible para uso domiciliario distribuido por red de tuberías de los usuarios pertenecientes a los estratos socioeconómicos 1 y 2 a partir del m es de enero de 2011 hasta diciembre de 2014, deberá hacerse de tal forma que el incremento tarifario a estos usuarios en relación con su s consumos básicos o de subsistencia corresponda en cada mes como máximo a la variación del Índice de Precios al Consumidor, sin embargo, en ningún caso el porcentaje del subsidio será superior al 60% del costo de la prestación del servicio para el estrato 1 y al 50% de este para el estrato 2.</w:t>
      </w:r>
    </w:p>
    <w:p w14:paraId="28EFFBED" w14:textId="77777777" w:rsidR="000B6B13" w:rsidRPr="000B6B13" w:rsidRDefault="000B6B13" w:rsidP="00594607">
      <w:pPr>
        <w:ind w:left="284"/>
        <w:jc w:val="both"/>
        <w:rPr>
          <w:rFonts w:ascii="Bookman Old Style" w:eastAsia="Bookman Old Style" w:hAnsi="Bookman Old Style" w:cs="Bookman Old Style"/>
          <w:i/>
          <w:iCs/>
          <w:sz w:val="20"/>
          <w:szCs w:val="20"/>
        </w:rPr>
      </w:pPr>
    </w:p>
    <w:p w14:paraId="5D43E094" w14:textId="1EC80A99" w:rsidR="000B6B13" w:rsidRPr="000B6B13" w:rsidRDefault="000B6B13" w:rsidP="00594607">
      <w:pPr>
        <w:ind w:left="284"/>
        <w:jc w:val="both"/>
        <w:rPr>
          <w:rFonts w:ascii="Bookman Old Style" w:eastAsia="Bookman Old Style" w:hAnsi="Bookman Old Style" w:cs="Bookman Old Style"/>
          <w:i/>
          <w:iCs/>
          <w:sz w:val="20"/>
          <w:szCs w:val="20"/>
        </w:rPr>
      </w:pPr>
      <w:r w:rsidRPr="000B6B13">
        <w:rPr>
          <w:rFonts w:ascii="Bookman Old Style" w:eastAsia="Bookman Old Style" w:hAnsi="Bookman Old Style" w:cs="Bookman Old Style"/>
          <w:i/>
          <w:iCs/>
          <w:sz w:val="20"/>
          <w:szCs w:val="20"/>
        </w:rPr>
        <w:t>Los porcentajes máximos establecidos en el presente artículo no aplicarán para</w:t>
      </w:r>
      <w:r>
        <w:rPr>
          <w:rFonts w:ascii="Bookman Old Style" w:eastAsia="Bookman Old Style" w:hAnsi="Bookman Old Style" w:cs="Bookman Old Style"/>
          <w:i/>
          <w:iCs/>
          <w:sz w:val="20"/>
          <w:szCs w:val="20"/>
        </w:rPr>
        <w:t xml:space="preserve"> </w:t>
      </w:r>
      <w:r w:rsidRPr="000B6B13">
        <w:rPr>
          <w:rFonts w:ascii="Bookman Old Style" w:eastAsia="Bookman Old Style" w:hAnsi="Bookman Old Style" w:cs="Bookman Old Style"/>
          <w:i/>
          <w:iCs/>
          <w:sz w:val="20"/>
          <w:szCs w:val="20"/>
        </w:rPr>
        <w:t>el servicio de energía eléctrica de las zonas no interconectadas.</w:t>
      </w:r>
    </w:p>
    <w:p w14:paraId="24502310" w14:textId="77777777" w:rsidR="000B6B13" w:rsidRPr="000B6B13" w:rsidRDefault="000B6B13" w:rsidP="00594607">
      <w:pPr>
        <w:ind w:left="284"/>
        <w:jc w:val="both"/>
        <w:rPr>
          <w:rFonts w:ascii="Bookman Old Style" w:eastAsia="Bookman Old Style" w:hAnsi="Bookman Old Style" w:cs="Bookman Old Style"/>
          <w:i/>
          <w:iCs/>
          <w:sz w:val="20"/>
          <w:szCs w:val="20"/>
        </w:rPr>
      </w:pPr>
    </w:p>
    <w:p w14:paraId="1B5E3F03" w14:textId="602CB009" w:rsidR="000B6B13" w:rsidRDefault="000B6B13" w:rsidP="00594607">
      <w:pPr>
        <w:ind w:left="284"/>
        <w:jc w:val="both"/>
        <w:rPr>
          <w:rFonts w:ascii="Bookman Old Style" w:eastAsia="Bookman Old Style" w:hAnsi="Bookman Old Style" w:cs="Bookman Old Style"/>
        </w:rPr>
      </w:pPr>
      <w:r w:rsidRPr="000B6B13">
        <w:rPr>
          <w:rFonts w:ascii="Bookman Old Style" w:eastAsia="Bookman Old Style" w:hAnsi="Bookman Old Style" w:cs="Bookman Old Style"/>
          <w:i/>
          <w:iCs/>
          <w:sz w:val="20"/>
          <w:szCs w:val="20"/>
        </w:rPr>
        <w:t>La Comisión de Regulación de Energía y Gas, CREG, ajustará la regulación para</w:t>
      </w:r>
      <w:r>
        <w:rPr>
          <w:rFonts w:ascii="Bookman Old Style" w:eastAsia="Bookman Old Style" w:hAnsi="Bookman Old Style" w:cs="Bookman Old Style"/>
          <w:i/>
          <w:iCs/>
          <w:sz w:val="20"/>
          <w:szCs w:val="20"/>
        </w:rPr>
        <w:t xml:space="preserve"> </w:t>
      </w:r>
      <w:r w:rsidRPr="000B6B13">
        <w:rPr>
          <w:rFonts w:ascii="Bookman Old Style" w:eastAsia="Bookman Old Style" w:hAnsi="Bookman Old Style" w:cs="Bookman Old Style"/>
          <w:i/>
          <w:iCs/>
          <w:sz w:val="20"/>
          <w:szCs w:val="20"/>
        </w:rPr>
        <w:t>incorporar lo dispuesto en este artículo a más tardar el 31 de diciembre de 2010.</w:t>
      </w:r>
      <w:r>
        <w:rPr>
          <w:rFonts w:ascii="Bookman Old Style" w:eastAsia="Bookman Old Style" w:hAnsi="Bookman Old Style" w:cs="Bookman Old Style"/>
          <w:i/>
          <w:iCs/>
          <w:sz w:val="20"/>
          <w:szCs w:val="20"/>
        </w:rPr>
        <w:t xml:space="preserve"> </w:t>
      </w:r>
      <w:r w:rsidRPr="000B6B13">
        <w:rPr>
          <w:rFonts w:ascii="Bookman Old Style" w:eastAsia="Bookman Old Style" w:hAnsi="Bookman Old Style" w:cs="Bookman Old Style"/>
          <w:i/>
          <w:iCs/>
          <w:sz w:val="20"/>
          <w:szCs w:val="20"/>
        </w:rPr>
        <w:t>Este subsidio podrá ser cubierto con recursos de los Fondos de Solidaridad, aportes de la Nación y/o de las Entidades Territoriales.</w:t>
      </w:r>
      <w:r>
        <w:rPr>
          <w:rFonts w:ascii="Bookman Old Style" w:eastAsia="Bookman Old Style" w:hAnsi="Bookman Old Style" w:cs="Bookman Old Style"/>
          <w:i/>
          <w:iCs/>
          <w:sz w:val="20"/>
          <w:szCs w:val="20"/>
        </w:rPr>
        <w:t>”</w:t>
      </w:r>
      <w:r w:rsidRPr="000B6B13">
        <w:rPr>
          <w:rFonts w:ascii="Bookman Old Style" w:eastAsia="Bookman Old Style" w:hAnsi="Bookman Old Style" w:cs="Bookman Old Style"/>
        </w:rPr>
        <w:cr/>
      </w:r>
    </w:p>
    <w:p w14:paraId="15583728" w14:textId="28FFC12C" w:rsidR="000B6B13" w:rsidRDefault="000B6B13" w:rsidP="002D0CEA">
      <w:pPr>
        <w:ind w:left="0"/>
        <w:jc w:val="both"/>
        <w:rPr>
          <w:rFonts w:ascii="Bookman Old Style" w:eastAsia="Bookman Old Style" w:hAnsi="Bookman Old Style" w:cs="Bookman Old Style"/>
        </w:rPr>
      </w:pPr>
      <w:r>
        <w:rPr>
          <w:rFonts w:ascii="Bookman Old Style" w:eastAsia="Bookman Old Style" w:hAnsi="Bookman Old Style" w:cs="Bookman Old Style"/>
        </w:rPr>
        <w:t xml:space="preserve">Mediante Resolución CREG 186 de 2010, </w:t>
      </w:r>
      <w:r w:rsidR="00BB4298">
        <w:rPr>
          <w:rFonts w:ascii="Bookman Old Style" w:eastAsia="Bookman Old Style" w:hAnsi="Bookman Old Style" w:cs="Bookman Old Style"/>
        </w:rPr>
        <w:t xml:space="preserve">se efectuaron </w:t>
      </w:r>
      <w:r w:rsidR="00BB4298" w:rsidRPr="00BB4298">
        <w:rPr>
          <w:rFonts w:ascii="Bookman Old Style" w:eastAsia="Bookman Old Style" w:hAnsi="Bookman Old Style" w:cs="Bookman Old Style"/>
        </w:rPr>
        <w:t>los ajustes a</w:t>
      </w:r>
      <w:r w:rsidR="00BB4298">
        <w:rPr>
          <w:rFonts w:ascii="Bookman Old Style" w:eastAsia="Bookman Old Style" w:hAnsi="Bookman Old Style" w:cs="Bookman Old Style"/>
        </w:rPr>
        <w:t xml:space="preserve"> </w:t>
      </w:r>
      <w:r w:rsidR="00BB4298" w:rsidRPr="00BB4298">
        <w:rPr>
          <w:rFonts w:ascii="Bookman Old Style" w:eastAsia="Bookman Old Style" w:hAnsi="Bookman Old Style" w:cs="Bookman Old Style"/>
        </w:rPr>
        <w:t xml:space="preserve">la regulación vigente para incorporar lo dispuesto en el </w:t>
      </w:r>
      <w:r w:rsidR="00BB4298">
        <w:rPr>
          <w:rFonts w:ascii="Bookman Old Style" w:eastAsia="Bookman Old Style" w:hAnsi="Bookman Old Style" w:cs="Bookman Old Style"/>
        </w:rPr>
        <w:t>A</w:t>
      </w:r>
      <w:r w:rsidR="00BB4298" w:rsidRPr="00BB4298">
        <w:rPr>
          <w:rFonts w:ascii="Bookman Old Style" w:eastAsia="Bookman Old Style" w:hAnsi="Bookman Old Style" w:cs="Bookman Old Style"/>
        </w:rPr>
        <w:t>rtículo 1 de la Ley</w:t>
      </w:r>
      <w:r w:rsidR="00BB4298">
        <w:rPr>
          <w:rFonts w:ascii="Bookman Old Style" w:eastAsia="Bookman Old Style" w:hAnsi="Bookman Old Style" w:cs="Bookman Old Style"/>
        </w:rPr>
        <w:t xml:space="preserve"> </w:t>
      </w:r>
      <w:r w:rsidR="00BB4298" w:rsidRPr="00BB4298">
        <w:rPr>
          <w:rFonts w:ascii="Bookman Old Style" w:eastAsia="Bookman Old Style" w:hAnsi="Bookman Old Style" w:cs="Bookman Old Style"/>
        </w:rPr>
        <w:t>1428 de 2010</w:t>
      </w:r>
      <w:r w:rsidR="00BB4298">
        <w:rPr>
          <w:rFonts w:ascii="Bookman Old Style" w:eastAsia="Bookman Old Style" w:hAnsi="Bookman Old Style" w:cs="Bookman Old Style"/>
        </w:rPr>
        <w:t xml:space="preserve">, en orden a </w:t>
      </w:r>
      <w:r w:rsidR="00BB4298" w:rsidRPr="00BB4298">
        <w:rPr>
          <w:rFonts w:ascii="Bookman Old Style" w:eastAsia="Bookman Old Style" w:hAnsi="Bookman Old Style" w:cs="Bookman Old Style"/>
        </w:rPr>
        <w:t>instrumentar, desde el punto de vista del régimen tarifario, el otorgamiento de</w:t>
      </w:r>
      <w:r w:rsidR="00BB4298">
        <w:rPr>
          <w:rFonts w:ascii="Bookman Old Style" w:eastAsia="Bookman Old Style" w:hAnsi="Bookman Old Style" w:cs="Bookman Old Style"/>
        </w:rPr>
        <w:t xml:space="preserve"> </w:t>
      </w:r>
      <w:r w:rsidR="00BB4298" w:rsidRPr="00BB4298">
        <w:rPr>
          <w:rFonts w:ascii="Bookman Old Style" w:eastAsia="Bookman Old Style" w:hAnsi="Bookman Old Style" w:cs="Bookman Old Style"/>
        </w:rPr>
        <w:t>los subsidios previstos en la citada ley, p</w:t>
      </w:r>
      <w:r w:rsidR="00BB4298">
        <w:rPr>
          <w:rFonts w:ascii="Bookman Old Style" w:eastAsia="Bookman Old Style" w:hAnsi="Bookman Old Style" w:cs="Bookman Old Style"/>
        </w:rPr>
        <w:t>a</w:t>
      </w:r>
      <w:r w:rsidR="00BB4298" w:rsidRPr="00BB4298">
        <w:rPr>
          <w:rFonts w:ascii="Bookman Old Style" w:eastAsia="Bookman Old Style" w:hAnsi="Bookman Old Style" w:cs="Bookman Old Style"/>
        </w:rPr>
        <w:t>ra los usuarios de los estratos</w:t>
      </w:r>
      <w:r w:rsidR="00BB4298">
        <w:rPr>
          <w:rFonts w:ascii="Bookman Old Style" w:eastAsia="Bookman Old Style" w:hAnsi="Bookman Old Style" w:cs="Bookman Old Style"/>
        </w:rPr>
        <w:t xml:space="preserve"> </w:t>
      </w:r>
      <w:r w:rsidR="00BB4298" w:rsidRPr="00BB4298">
        <w:rPr>
          <w:rFonts w:ascii="Bookman Old Style" w:eastAsia="Bookman Old Style" w:hAnsi="Bookman Old Style" w:cs="Bookman Old Style"/>
        </w:rPr>
        <w:t>socioeconómicos 1 y 2 de los servicios públicos domiciliarios de energía</w:t>
      </w:r>
      <w:r w:rsidR="00BB4298">
        <w:rPr>
          <w:rFonts w:ascii="Bookman Old Style" w:eastAsia="Bookman Old Style" w:hAnsi="Bookman Old Style" w:cs="Bookman Old Style"/>
        </w:rPr>
        <w:t xml:space="preserve"> </w:t>
      </w:r>
      <w:r w:rsidR="00BB4298" w:rsidRPr="00BB4298">
        <w:rPr>
          <w:rFonts w:ascii="Bookman Old Style" w:eastAsia="Bookman Old Style" w:hAnsi="Bookman Old Style" w:cs="Bookman Old Style"/>
        </w:rPr>
        <w:t>eléctrica y de gas combustible por red de tubería</w:t>
      </w:r>
      <w:r w:rsidR="00E35675">
        <w:rPr>
          <w:rFonts w:ascii="Bookman Old Style" w:eastAsia="Bookman Old Style" w:hAnsi="Bookman Old Style" w:cs="Bookman Old Style"/>
        </w:rPr>
        <w:t xml:space="preserve">; estableciendo en el Artículo 3 el </w:t>
      </w:r>
      <w:r w:rsidR="00E35675" w:rsidRPr="00E35675">
        <w:rPr>
          <w:rFonts w:ascii="Bookman Old Style" w:eastAsia="Bookman Old Style" w:hAnsi="Bookman Old Style" w:cs="Bookman Old Style"/>
          <w:i/>
          <w:iCs/>
        </w:rPr>
        <w:t>“Cálculo del porcentaje de subsidio”</w:t>
      </w:r>
      <w:r w:rsidR="00E35675">
        <w:rPr>
          <w:rFonts w:ascii="Bookman Old Style" w:eastAsia="Bookman Old Style" w:hAnsi="Bookman Old Style" w:cs="Bookman Old Style"/>
        </w:rPr>
        <w:t>, en el Artículo 4 el “</w:t>
      </w:r>
      <w:r w:rsidR="00E35675" w:rsidRPr="00E35675">
        <w:rPr>
          <w:rFonts w:ascii="Bookman Old Style" w:eastAsia="Bookman Old Style" w:hAnsi="Bookman Old Style" w:cs="Bookman Old Style"/>
          <w:i/>
          <w:iCs/>
        </w:rPr>
        <w:t>Límite Máximo de Subsidio</w:t>
      </w:r>
      <w:r w:rsidR="00E35675">
        <w:rPr>
          <w:rFonts w:ascii="Bookman Old Style" w:eastAsia="Bookman Old Style" w:hAnsi="Bookman Old Style" w:cs="Bookman Old Style"/>
          <w:i/>
          <w:iCs/>
        </w:rPr>
        <w:t>”</w:t>
      </w:r>
      <w:r w:rsidR="00E35675">
        <w:rPr>
          <w:rFonts w:ascii="Bookman Old Style" w:eastAsia="Bookman Old Style" w:hAnsi="Bookman Old Style" w:cs="Bookman Old Style"/>
        </w:rPr>
        <w:t>, en el Artículo 6 la “</w:t>
      </w:r>
      <w:r w:rsidR="00E35675" w:rsidRPr="00E35675">
        <w:rPr>
          <w:rFonts w:ascii="Bookman Old Style" w:eastAsia="Bookman Old Style" w:hAnsi="Bookman Old Style" w:cs="Bookman Old Style"/>
          <w:i/>
          <w:iCs/>
        </w:rPr>
        <w:t xml:space="preserve">Verificación del Límite Máximo de </w:t>
      </w:r>
      <w:r w:rsidR="00E35675" w:rsidRPr="00E35675">
        <w:rPr>
          <w:rFonts w:ascii="Bookman Old Style" w:eastAsia="Bookman Old Style" w:hAnsi="Bookman Old Style" w:cs="Bookman Old Style"/>
          <w:i/>
          <w:iCs/>
        </w:rPr>
        <w:lastRenderedPageBreak/>
        <w:t>Subsidio</w:t>
      </w:r>
      <w:r w:rsidR="00E35675">
        <w:rPr>
          <w:rFonts w:ascii="Bookman Old Style" w:eastAsia="Bookman Old Style" w:hAnsi="Bookman Old Style" w:cs="Bookman Old Style"/>
          <w:i/>
          <w:iCs/>
        </w:rPr>
        <w:t>”</w:t>
      </w:r>
      <w:r w:rsidR="002D0CEA">
        <w:rPr>
          <w:rFonts w:ascii="Bookman Old Style" w:eastAsia="Bookman Old Style" w:hAnsi="Bookman Old Style" w:cs="Bookman Old Style"/>
          <w:i/>
          <w:iCs/>
        </w:rPr>
        <w:t xml:space="preserve">; </w:t>
      </w:r>
      <w:r w:rsidR="002D0CEA" w:rsidRPr="00612C0C">
        <w:rPr>
          <w:rFonts w:ascii="Bookman Old Style" w:eastAsia="Bookman Old Style" w:hAnsi="Bookman Old Style" w:cs="Bookman Old Style"/>
        </w:rPr>
        <w:t>y, en el Artículo 7</w:t>
      </w:r>
      <w:r w:rsidR="00612C0C">
        <w:rPr>
          <w:rFonts w:ascii="Bookman Old Style" w:eastAsia="Bookman Old Style" w:hAnsi="Bookman Old Style" w:cs="Bookman Old Style"/>
        </w:rPr>
        <w:t>, modificado transitoriamente por el Artículo 1 de la Resolución CREG 104 de 2020,</w:t>
      </w:r>
      <w:r w:rsidR="002D0CEA">
        <w:rPr>
          <w:rFonts w:ascii="Bookman Old Style" w:eastAsia="Bookman Old Style" w:hAnsi="Bookman Old Style" w:cs="Bookman Old Style"/>
          <w:i/>
          <w:iCs/>
        </w:rPr>
        <w:t xml:space="preserve"> el “</w:t>
      </w:r>
      <w:r w:rsidR="002D0CEA" w:rsidRPr="002D0CEA">
        <w:rPr>
          <w:rFonts w:ascii="Bookman Old Style" w:eastAsia="Bookman Old Style" w:hAnsi="Bookman Old Style" w:cs="Bookman Old Style"/>
          <w:i/>
          <w:iCs/>
        </w:rPr>
        <w:t>Cálculo mensual de la Tarifa del consumo de subsistencia para los</w:t>
      </w:r>
      <w:r w:rsidR="002D0CEA">
        <w:rPr>
          <w:rFonts w:ascii="Bookman Old Style" w:eastAsia="Bookman Old Style" w:hAnsi="Bookman Old Style" w:cs="Bookman Old Style"/>
          <w:i/>
          <w:iCs/>
        </w:rPr>
        <w:t xml:space="preserve"> </w:t>
      </w:r>
      <w:r w:rsidR="002D0CEA" w:rsidRPr="002D0CEA">
        <w:rPr>
          <w:rFonts w:ascii="Bookman Old Style" w:eastAsia="Bookman Old Style" w:hAnsi="Bookman Old Style" w:cs="Bookman Old Style"/>
          <w:i/>
          <w:iCs/>
        </w:rPr>
        <w:t>usuarios de estrato 1 y 2.</w:t>
      </w:r>
      <w:r w:rsidR="002D0CEA">
        <w:rPr>
          <w:rFonts w:ascii="Bookman Old Style" w:eastAsia="Bookman Old Style" w:hAnsi="Bookman Old Style" w:cs="Bookman Old Style"/>
          <w:i/>
          <w:iCs/>
        </w:rPr>
        <w:t>”</w:t>
      </w:r>
    </w:p>
    <w:p w14:paraId="171FBC7E" w14:textId="77777777" w:rsidR="000B6B13" w:rsidRDefault="000B6B13" w:rsidP="003E2790">
      <w:pPr>
        <w:ind w:left="0"/>
        <w:jc w:val="both"/>
        <w:rPr>
          <w:rFonts w:ascii="Bookman Old Style" w:eastAsia="Bookman Old Style" w:hAnsi="Bookman Old Style" w:cs="Bookman Old Style"/>
        </w:rPr>
      </w:pPr>
    </w:p>
    <w:p w14:paraId="74838F2A" w14:textId="7FC00005" w:rsidR="00F0130F" w:rsidRDefault="00F0130F" w:rsidP="00F0130F">
      <w:pPr>
        <w:ind w:left="0"/>
        <w:jc w:val="both"/>
        <w:rPr>
          <w:rFonts w:ascii="Bookman Old Style" w:eastAsia="Bookman Old Style" w:hAnsi="Bookman Old Style" w:cs="Bookman Old Style"/>
        </w:rPr>
      </w:pPr>
      <w:r>
        <w:rPr>
          <w:rFonts w:ascii="Bookman Old Style" w:eastAsia="Bookman Old Style" w:hAnsi="Bookman Old Style" w:cs="Bookman Old Style"/>
        </w:rPr>
        <w:t xml:space="preserve">El Gobierno Nacional </w:t>
      </w:r>
      <w:r w:rsidR="006E43A3">
        <w:rPr>
          <w:rFonts w:ascii="Bookman Old Style" w:eastAsia="Bookman Old Style" w:hAnsi="Bookman Old Style" w:cs="Bookman Old Style"/>
        </w:rPr>
        <w:t>mediante Decreto 637 del 06 de mayo de 2020 declaró un Estado de Emergencia Económica, Social y Ambiental en todo el territorio nacional</w:t>
      </w:r>
      <w:r>
        <w:rPr>
          <w:rFonts w:ascii="Bookman Old Style" w:eastAsia="Bookman Old Style" w:hAnsi="Bookman Old Style" w:cs="Bookman Old Style"/>
        </w:rPr>
        <w:t xml:space="preserve"> considerando, entre otros, que</w:t>
      </w:r>
    </w:p>
    <w:p w14:paraId="198E98B9" w14:textId="77777777" w:rsidR="00F0130F" w:rsidRDefault="00F0130F" w:rsidP="00F0130F">
      <w:pPr>
        <w:ind w:left="0"/>
        <w:jc w:val="both"/>
        <w:rPr>
          <w:rFonts w:ascii="Bookman Old Style" w:eastAsia="Bookman Old Style" w:hAnsi="Bookman Old Style" w:cs="Bookman Old Style"/>
        </w:rPr>
      </w:pPr>
    </w:p>
    <w:p w14:paraId="7870C80D" w14:textId="2A821E5F" w:rsidR="00F0130F" w:rsidRPr="00F0130F" w:rsidRDefault="00F0130F" w:rsidP="00594607">
      <w:pPr>
        <w:ind w:left="284"/>
        <w:jc w:val="both"/>
        <w:rPr>
          <w:rFonts w:ascii="Bookman Old Style" w:eastAsia="Bookman Old Style" w:hAnsi="Bookman Old Style" w:cs="Bookman Old Style"/>
          <w:i/>
          <w:iCs/>
          <w:sz w:val="20"/>
          <w:szCs w:val="20"/>
        </w:rPr>
      </w:pPr>
      <w:r w:rsidRPr="00F0130F">
        <w:rPr>
          <w:rFonts w:ascii="Bookman Old Style" w:eastAsia="Bookman Old Style" w:hAnsi="Bookman Old Style" w:cs="Bookman Old Style"/>
          <w:i/>
          <w:iCs/>
          <w:sz w:val="20"/>
          <w:szCs w:val="20"/>
        </w:rPr>
        <w:t>“En el sector minero - energético se hace necesario adoptar medidas que busquen entre otras, garantizar la prestación efectiva del servicio dándole cumplimiento al principio de solidaridad, generar equilibrios ante las cargas y efectos derivados de la pandemia del nuevo coronavirus COVID -19 para los distintos agentes de la cadena productiva y para los usuarios, hacer más eficientes y sostenibles los mecanismos, costos y tarifas asociados a la prestación de los servicios públicos y a las actividades del sector minero - energético, así como establecer mecanismos de priorización, reducción, reestructuración y racionalización en trámites, procedimientos y procesos que permitan mitigar los impactos de la emergencia en relación con los servicios y proyectos asociados a dicho sector.</w:t>
      </w:r>
      <w:r>
        <w:rPr>
          <w:rFonts w:ascii="Bookman Old Style" w:eastAsia="Bookman Old Style" w:hAnsi="Bookman Old Style" w:cs="Bookman Old Style"/>
          <w:i/>
          <w:iCs/>
          <w:sz w:val="20"/>
          <w:szCs w:val="20"/>
        </w:rPr>
        <w:t>”</w:t>
      </w:r>
      <w:r w:rsidRPr="00F0130F">
        <w:rPr>
          <w:rFonts w:ascii="Bookman Old Style" w:eastAsia="Bookman Old Style" w:hAnsi="Bookman Old Style" w:cs="Bookman Old Style"/>
          <w:i/>
          <w:iCs/>
          <w:sz w:val="20"/>
          <w:szCs w:val="20"/>
        </w:rPr>
        <w:t xml:space="preserve">  </w:t>
      </w:r>
    </w:p>
    <w:p w14:paraId="301BF1BF" w14:textId="77777777" w:rsidR="00F0130F" w:rsidRPr="00F0130F" w:rsidRDefault="00F0130F" w:rsidP="00F0130F">
      <w:pPr>
        <w:ind w:left="0"/>
        <w:jc w:val="both"/>
        <w:rPr>
          <w:rFonts w:ascii="Bookman Old Style" w:eastAsia="Bookman Old Style" w:hAnsi="Bookman Old Style" w:cs="Bookman Old Style"/>
        </w:rPr>
      </w:pPr>
    </w:p>
    <w:p w14:paraId="03CB1BEA" w14:textId="3677B5FE" w:rsidR="00A26185" w:rsidRDefault="00F0130F" w:rsidP="00F0130F">
      <w:pPr>
        <w:ind w:left="0"/>
        <w:jc w:val="both"/>
        <w:rPr>
          <w:rFonts w:ascii="Bookman Old Style" w:hAnsi="Bookman Old Style"/>
        </w:rPr>
      </w:pPr>
      <w:r>
        <w:rPr>
          <w:rFonts w:ascii="Bookman Old Style" w:eastAsia="Bookman Old Style" w:hAnsi="Bookman Old Style" w:cs="Bookman Old Style"/>
        </w:rPr>
        <w:t>E</w:t>
      </w:r>
      <w:r w:rsidR="008B6D91">
        <w:rPr>
          <w:rFonts w:ascii="Bookman Old Style" w:eastAsia="Bookman Old Style" w:hAnsi="Bookman Old Style" w:cs="Bookman Old Style"/>
        </w:rPr>
        <w:t>l</w:t>
      </w:r>
      <w:r>
        <w:rPr>
          <w:rFonts w:ascii="Bookman Old Style" w:eastAsia="Bookman Old Style" w:hAnsi="Bookman Old Style" w:cs="Bookman Old Style"/>
        </w:rPr>
        <w:t xml:space="preserve"> </w:t>
      </w:r>
      <w:r w:rsidR="003B2677">
        <w:rPr>
          <w:rFonts w:ascii="Bookman Old Style" w:eastAsia="Bookman Old Style" w:hAnsi="Bookman Old Style" w:cs="Bookman Old Style"/>
        </w:rPr>
        <w:t xml:space="preserve">Gobierno Nacional </w:t>
      </w:r>
      <w:r>
        <w:rPr>
          <w:rFonts w:ascii="Bookman Old Style" w:eastAsia="Bookman Old Style" w:hAnsi="Bookman Old Style" w:cs="Bookman Old Style"/>
        </w:rPr>
        <w:t xml:space="preserve">expidió el </w:t>
      </w:r>
      <w:r w:rsidR="00A26185" w:rsidRPr="00E01967">
        <w:rPr>
          <w:rFonts w:ascii="Bookman Old Style" w:hAnsi="Bookman Old Style"/>
        </w:rPr>
        <w:t>Decreto 798 del 4 de junio de 2020</w:t>
      </w:r>
      <w:r w:rsidR="00A26185">
        <w:rPr>
          <w:rFonts w:ascii="Bookman Old Style" w:hAnsi="Bookman Old Style"/>
        </w:rPr>
        <w:t xml:space="preserve">, </w:t>
      </w:r>
      <w:r w:rsidR="00A26185" w:rsidRPr="00086B54">
        <w:rPr>
          <w:rFonts w:ascii="Bookman Old Style" w:hAnsi="Bookman Old Style"/>
          <w:i/>
          <w:iCs/>
        </w:rPr>
        <w:t xml:space="preserve">"Por el cual se adoptan medidas para el sector minero-energético en el marco del Estado de Emergencia Económica, Social y Ecológica ordenada mediante Decreto 637 del 6 de mayo de 2020", </w:t>
      </w:r>
      <w:r w:rsidR="00A26185">
        <w:rPr>
          <w:rFonts w:ascii="Bookman Old Style" w:hAnsi="Bookman Old Style"/>
        </w:rPr>
        <w:t xml:space="preserve">en cuyo </w:t>
      </w:r>
      <w:r w:rsidR="00A26185" w:rsidRPr="00E01967">
        <w:rPr>
          <w:rFonts w:ascii="Bookman Old Style" w:hAnsi="Bookman Old Style"/>
        </w:rPr>
        <w:t xml:space="preserve">Artículo 10 </w:t>
      </w:r>
      <w:r w:rsidR="00A26185">
        <w:rPr>
          <w:rFonts w:ascii="Bookman Old Style" w:hAnsi="Bookman Old Style"/>
        </w:rPr>
        <w:t>estableció lo siguiente:</w:t>
      </w:r>
    </w:p>
    <w:p w14:paraId="21FA852D" w14:textId="0582EF5C" w:rsidR="00A26185" w:rsidRDefault="00A26185" w:rsidP="00594607">
      <w:pPr>
        <w:spacing w:before="240" w:after="240"/>
        <w:ind w:left="284"/>
        <w:jc w:val="both"/>
        <w:rPr>
          <w:rFonts w:ascii="Bookman Old Style" w:hAnsi="Bookman Old Style"/>
          <w:i/>
          <w:iCs/>
          <w:sz w:val="22"/>
          <w:szCs w:val="22"/>
          <w:lang w:val="es-CO" w:eastAsia="en-US"/>
        </w:rPr>
      </w:pPr>
      <w:r w:rsidRPr="00086B54">
        <w:rPr>
          <w:rFonts w:ascii="Bookman Old Style" w:hAnsi="Bookman Old Style"/>
          <w:b/>
          <w:bCs/>
          <w:i/>
          <w:iCs/>
          <w:sz w:val="22"/>
          <w:szCs w:val="22"/>
          <w:lang w:val="es-CO" w:eastAsia="en-US"/>
        </w:rPr>
        <w:t>“</w:t>
      </w:r>
      <w:r w:rsidR="00F0130F">
        <w:rPr>
          <w:rFonts w:ascii="Bookman Old Style" w:hAnsi="Bookman Old Style"/>
          <w:b/>
          <w:bCs/>
          <w:i/>
          <w:iCs/>
          <w:sz w:val="22"/>
          <w:szCs w:val="22"/>
          <w:lang w:val="es-CO" w:eastAsia="en-US"/>
        </w:rPr>
        <w:t xml:space="preserve">ARTÍCULO 10. </w:t>
      </w:r>
      <w:r w:rsidRPr="00086B54">
        <w:rPr>
          <w:rFonts w:ascii="Bookman Old Style" w:hAnsi="Bookman Old Style"/>
          <w:b/>
          <w:bCs/>
          <w:i/>
          <w:iCs/>
          <w:sz w:val="22"/>
          <w:szCs w:val="22"/>
          <w:lang w:val="es-CO" w:eastAsia="en-US"/>
        </w:rPr>
        <w:t>Destinación de recursos del desarrollo de infraestructura de gas natural para la atención de subsidios.</w:t>
      </w:r>
      <w:r w:rsidRPr="00086B54">
        <w:rPr>
          <w:rFonts w:ascii="Bookman Old Style" w:hAnsi="Bookman Old Style"/>
          <w:i/>
          <w:iCs/>
          <w:sz w:val="22"/>
          <w:szCs w:val="22"/>
          <w:lang w:val="es-CO" w:eastAsia="en-US"/>
        </w:rPr>
        <w:t xml:space="preserve"> Durante la vigencia de la Emergencia Sanitaria declarada por el Ministerio de Salud y Protección Social, con ocasión de la pandemia derivada del Coronavirus COVID - 19, se podrán destinar los recursos disponibles del Fondo Especial Cuota de Fomento de Gas Natural, para financiar las acometidas internas y medidores de los proyectos de infraestructura financiados a través de dicho Fondo, y, para subsidiar hasta la totalidad del costo de la prestación.</w:t>
      </w:r>
    </w:p>
    <w:p w14:paraId="22D3C66C" w14:textId="77777777" w:rsidR="00A26185" w:rsidRDefault="00A26185" w:rsidP="00594607">
      <w:pPr>
        <w:spacing w:before="240" w:after="240"/>
        <w:ind w:left="284"/>
        <w:jc w:val="both"/>
        <w:rPr>
          <w:rFonts w:ascii="Bookman Old Style" w:hAnsi="Bookman Old Style"/>
          <w:i/>
          <w:iCs/>
          <w:sz w:val="22"/>
          <w:szCs w:val="22"/>
        </w:rPr>
      </w:pPr>
      <w:r w:rsidRPr="00086B54">
        <w:rPr>
          <w:rFonts w:ascii="Bookman Old Style" w:hAnsi="Bookman Old Style"/>
          <w:i/>
          <w:iCs/>
          <w:sz w:val="22"/>
          <w:szCs w:val="22"/>
          <w:lang w:val="es-CO" w:eastAsia="en-US"/>
        </w:rPr>
        <w:t>El subsidio del costo de la prestación del servicio de gas combustible, que exceda aquellos porcentajes fijados por el artículo 297 de la Ley 1955 de 2019, serán atendidos con recursos del Fondo Especial Cuota de Fomento de Gas Natural, hasta el monto que se presupueste para tal fin.</w:t>
      </w:r>
      <w:r w:rsidRPr="00086B54">
        <w:rPr>
          <w:rFonts w:ascii="Bookman Old Style" w:hAnsi="Bookman Old Style"/>
          <w:i/>
          <w:iCs/>
          <w:sz w:val="22"/>
          <w:szCs w:val="22"/>
        </w:rPr>
        <w:t>”</w:t>
      </w:r>
    </w:p>
    <w:p w14:paraId="316FE41E" w14:textId="70D5B657" w:rsidR="00A26185" w:rsidRDefault="00A26185" w:rsidP="00A26185">
      <w:pPr>
        <w:spacing w:before="240" w:after="240"/>
        <w:ind w:left="0"/>
        <w:jc w:val="both"/>
        <w:rPr>
          <w:rFonts w:ascii="Bookman Old Style" w:hAnsi="Bookman Old Style"/>
        </w:rPr>
      </w:pPr>
      <w:r>
        <w:rPr>
          <w:rFonts w:ascii="Bookman Old Style" w:hAnsi="Bookman Old Style"/>
        </w:rPr>
        <w:t xml:space="preserve">Mediante la Resolución </w:t>
      </w:r>
      <w:proofErr w:type="spellStart"/>
      <w:r>
        <w:rPr>
          <w:rFonts w:ascii="Bookman Old Style" w:hAnsi="Bookman Old Style"/>
        </w:rPr>
        <w:t>N°</w:t>
      </w:r>
      <w:proofErr w:type="spellEnd"/>
      <w:r>
        <w:rPr>
          <w:rFonts w:ascii="Bookman Old Style" w:hAnsi="Bookman Old Style"/>
        </w:rPr>
        <w:t xml:space="preserve"> 40236 del 14 de agosto de 2020</w:t>
      </w:r>
      <w:r w:rsidR="00C94DEC">
        <w:rPr>
          <w:rFonts w:ascii="Bookman Old Style" w:hAnsi="Bookman Old Style"/>
        </w:rPr>
        <w:t xml:space="preserve">, publicada en el Diario Oficial </w:t>
      </w:r>
      <w:proofErr w:type="spellStart"/>
      <w:r w:rsidR="00C94DEC">
        <w:rPr>
          <w:rFonts w:ascii="Bookman Old Style" w:hAnsi="Bookman Old Style"/>
        </w:rPr>
        <w:t>N°</w:t>
      </w:r>
      <w:proofErr w:type="spellEnd"/>
      <w:r w:rsidR="00C94DEC">
        <w:rPr>
          <w:rFonts w:ascii="Bookman Old Style" w:hAnsi="Bookman Old Style"/>
        </w:rPr>
        <w:t xml:space="preserve"> 51.410</w:t>
      </w:r>
      <w:r>
        <w:rPr>
          <w:rFonts w:ascii="Bookman Old Style" w:hAnsi="Bookman Old Style"/>
        </w:rPr>
        <w:t xml:space="preserve"> </w:t>
      </w:r>
      <w:r w:rsidR="00C94DEC">
        <w:rPr>
          <w:rFonts w:ascii="Bookman Old Style" w:hAnsi="Bookman Old Style"/>
        </w:rPr>
        <w:t xml:space="preserve">del 18 de agosto de 2020, </w:t>
      </w:r>
      <w:r>
        <w:rPr>
          <w:rFonts w:ascii="Bookman Old Style" w:hAnsi="Bookman Old Style"/>
        </w:rPr>
        <w:t xml:space="preserve">el Ministerio de Minas y Energía reglamentó el Artículo 10 del </w:t>
      </w:r>
      <w:r w:rsidR="008B6D91">
        <w:rPr>
          <w:rFonts w:ascii="Bookman Old Style" w:hAnsi="Bookman Old Style"/>
        </w:rPr>
        <w:t>D</w:t>
      </w:r>
      <w:r>
        <w:rPr>
          <w:rFonts w:ascii="Bookman Old Style" w:hAnsi="Bookman Old Style"/>
        </w:rPr>
        <w:t xml:space="preserve">ecreto 798 de 2020, en los siguientes términos:  </w:t>
      </w:r>
    </w:p>
    <w:p w14:paraId="41BE9C76" w14:textId="5588597A" w:rsidR="00D13DE7" w:rsidRPr="007C32E4" w:rsidRDefault="00D13DE7" w:rsidP="00594607">
      <w:pPr>
        <w:spacing w:before="240" w:after="240"/>
        <w:ind w:left="284"/>
        <w:jc w:val="both"/>
        <w:rPr>
          <w:rFonts w:ascii="Bookman Old Style" w:hAnsi="Bookman Old Style"/>
          <w:i/>
          <w:iCs/>
          <w:sz w:val="22"/>
          <w:szCs w:val="22"/>
        </w:rPr>
      </w:pPr>
      <w:r w:rsidRPr="007C32E4">
        <w:rPr>
          <w:rFonts w:ascii="Bookman Old Style" w:hAnsi="Bookman Old Style"/>
          <w:i/>
          <w:iCs/>
          <w:sz w:val="22"/>
          <w:szCs w:val="22"/>
        </w:rPr>
        <w:t>“</w:t>
      </w:r>
      <w:r w:rsidRPr="007C32E4">
        <w:rPr>
          <w:rFonts w:ascii="Bookman Old Style" w:hAnsi="Bookman Old Style"/>
          <w:b/>
          <w:bCs/>
          <w:i/>
          <w:iCs/>
          <w:sz w:val="22"/>
          <w:szCs w:val="22"/>
        </w:rPr>
        <w:t>Artículo 1. Aplicación de subsidios.</w:t>
      </w:r>
      <w:r w:rsidRPr="007C32E4">
        <w:rPr>
          <w:rFonts w:ascii="Bookman Old Style" w:hAnsi="Bookman Old Style"/>
          <w:i/>
          <w:iCs/>
          <w:sz w:val="22"/>
          <w:szCs w:val="22"/>
        </w:rPr>
        <w:t xml:space="preserve"> Los comercializadores de gas para uso domiciliario distribuido por red de tuberías deberán otorgar un incremento de 10 puntos porcentuales al porcentaje de subsidio que actualmente reciben los usuarios de los estratos 1 y 2, sobre el consumo básico o de subsistencia del Costo Unitario Equivalente de Prestación del Servicio (</w:t>
      </w:r>
      <w:proofErr w:type="spellStart"/>
      <w:r w:rsidRPr="007C32E4">
        <w:rPr>
          <w:rFonts w:ascii="Bookman Old Style" w:hAnsi="Bookman Old Style"/>
          <w:i/>
          <w:iCs/>
          <w:sz w:val="22"/>
          <w:szCs w:val="22"/>
        </w:rPr>
        <w:t>CuEq</w:t>
      </w:r>
      <w:proofErr w:type="spellEnd"/>
      <w:r w:rsidRPr="007C32E4">
        <w:rPr>
          <w:rFonts w:ascii="Bookman Old Style" w:hAnsi="Bookman Old Style"/>
          <w:i/>
          <w:iCs/>
          <w:sz w:val="22"/>
          <w:szCs w:val="22"/>
        </w:rPr>
        <w:t>), definido en la Resolución CREG 186 DE 2020.</w:t>
      </w:r>
    </w:p>
    <w:p w14:paraId="6ADD9355" w14:textId="1DD3DEF5" w:rsidR="00D13DE7" w:rsidRPr="007C32E4" w:rsidRDefault="00D13DE7" w:rsidP="00594607">
      <w:pPr>
        <w:spacing w:before="240" w:after="240"/>
        <w:ind w:left="284"/>
        <w:jc w:val="both"/>
        <w:rPr>
          <w:rFonts w:ascii="Bookman Old Style" w:hAnsi="Bookman Old Style"/>
          <w:i/>
          <w:iCs/>
          <w:sz w:val="22"/>
          <w:szCs w:val="22"/>
        </w:rPr>
      </w:pPr>
      <w:r w:rsidRPr="007C32E4">
        <w:rPr>
          <w:rFonts w:ascii="Bookman Old Style" w:hAnsi="Bookman Old Style"/>
          <w:i/>
          <w:iCs/>
          <w:sz w:val="22"/>
          <w:szCs w:val="22"/>
        </w:rPr>
        <w:t xml:space="preserve">La aplicación de este subsidio adicional se efectuará durante la Emergencia Sanitaria declarada por el Ministerio de Salud y Protección Social con ocasión de la pandemia derivada del Coronavirus COVID-19 y máximo para el ciclo de facturación en curso y el siguiente a la </w:t>
      </w:r>
      <w:proofErr w:type="gramStart"/>
      <w:r w:rsidRPr="007C32E4">
        <w:rPr>
          <w:rFonts w:ascii="Bookman Old Style" w:hAnsi="Bookman Old Style"/>
          <w:i/>
          <w:iCs/>
          <w:sz w:val="22"/>
          <w:szCs w:val="22"/>
        </w:rPr>
        <w:t>entrada en vigencia</w:t>
      </w:r>
      <w:proofErr w:type="gramEnd"/>
      <w:r w:rsidRPr="007C32E4">
        <w:rPr>
          <w:rFonts w:ascii="Bookman Old Style" w:hAnsi="Bookman Old Style"/>
          <w:i/>
          <w:iCs/>
          <w:sz w:val="22"/>
          <w:szCs w:val="22"/>
        </w:rPr>
        <w:t xml:space="preserve"> de la presente resolución, de forma tal que todos los usuarios perciban el beneficio para el consumo de dos períodos de facturación.</w:t>
      </w:r>
    </w:p>
    <w:p w14:paraId="641D0BFB" w14:textId="4F35CD92" w:rsidR="00D13DE7" w:rsidRDefault="00D13DE7" w:rsidP="00594607">
      <w:pPr>
        <w:spacing w:before="240" w:after="240"/>
        <w:ind w:left="284"/>
        <w:jc w:val="both"/>
        <w:rPr>
          <w:rFonts w:ascii="Bookman Old Style" w:hAnsi="Bookman Old Style"/>
          <w:i/>
          <w:iCs/>
          <w:sz w:val="22"/>
          <w:szCs w:val="22"/>
        </w:rPr>
      </w:pPr>
      <w:r w:rsidRPr="007C32E4">
        <w:rPr>
          <w:rFonts w:ascii="Bookman Old Style" w:hAnsi="Bookman Old Style"/>
          <w:i/>
          <w:iCs/>
          <w:sz w:val="22"/>
          <w:szCs w:val="22"/>
        </w:rPr>
        <w:lastRenderedPageBreak/>
        <w:t>La aplicación podrá ser prorrogable si así lo determina el Ministerio de Minas y Energía mediante acto administrativo separado, siempre y cuando se mantenga la vigencia de la mencionada Emergencia Económica.</w:t>
      </w:r>
    </w:p>
    <w:p w14:paraId="5E1C3839" w14:textId="495F987A" w:rsidR="007C32E4" w:rsidRPr="007C32E4" w:rsidRDefault="007C32E4" w:rsidP="00594607">
      <w:pPr>
        <w:spacing w:before="240" w:after="240"/>
        <w:ind w:left="284"/>
        <w:jc w:val="both"/>
        <w:rPr>
          <w:rFonts w:ascii="Bookman Old Style" w:hAnsi="Bookman Old Style"/>
          <w:i/>
          <w:iCs/>
          <w:sz w:val="22"/>
          <w:szCs w:val="22"/>
        </w:rPr>
      </w:pPr>
      <w:r>
        <w:rPr>
          <w:rFonts w:ascii="Bookman Old Style" w:hAnsi="Bookman Old Style"/>
          <w:i/>
          <w:iCs/>
          <w:sz w:val="22"/>
          <w:szCs w:val="22"/>
        </w:rPr>
        <w:t>(…)”</w:t>
      </w:r>
    </w:p>
    <w:p w14:paraId="778883F1" w14:textId="761C72CF" w:rsidR="00B51F59" w:rsidRDefault="00B51F59" w:rsidP="002D0CEA">
      <w:pPr>
        <w:spacing w:before="240" w:after="240"/>
        <w:ind w:left="0"/>
        <w:jc w:val="both"/>
        <w:rPr>
          <w:rFonts w:ascii="Bookman Old Style" w:hAnsi="Bookman Old Style"/>
        </w:rPr>
      </w:pPr>
      <w:r>
        <w:rPr>
          <w:rFonts w:ascii="Bookman Old Style" w:hAnsi="Bookman Old Style"/>
          <w:lang w:val="es-CO" w:eastAsia="en-US"/>
        </w:rPr>
        <w:t>Así las cosas, s</w:t>
      </w:r>
      <w:r w:rsidR="00CC2AFD">
        <w:rPr>
          <w:rFonts w:ascii="Bookman Old Style" w:hAnsi="Bookman Old Style"/>
          <w:lang w:val="es-CO" w:eastAsia="en-US"/>
        </w:rPr>
        <w:t xml:space="preserve">e hace necesario </w:t>
      </w:r>
      <w:r w:rsidR="007062D4">
        <w:rPr>
          <w:rFonts w:ascii="Bookman Old Style" w:hAnsi="Bookman Old Style"/>
          <w:lang w:val="es-CO" w:eastAsia="en-US"/>
        </w:rPr>
        <w:t>instrumentar</w:t>
      </w:r>
      <w:r w:rsidR="00594607">
        <w:rPr>
          <w:rFonts w:ascii="Bookman Old Style" w:hAnsi="Bookman Old Style"/>
          <w:lang w:val="es-CO" w:eastAsia="en-US"/>
        </w:rPr>
        <w:t>,</w:t>
      </w:r>
      <w:r w:rsidR="007062D4">
        <w:rPr>
          <w:rFonts w:ascii="Bookman Old Style" w:hAnsi="Bookman Old Style"/>
          <w:lang w:val="es-CO" w:eastAsia="en-US"/>
        </w:rPr>
        <w:t xml:space="preserve"> desde el punto de vista del régimen tarifario</w:t>
      </w:r>
      <w:r w:rsidR="00594607">
        <w:rPr>
          <w:rFonts w:ascii="Bookman Old Style" w:hAnsi="Bookman Old Style"/>
          <w:lang w:val="es-CO" w:eastAsia="en-US"/>
        </w:rPr>
        <w:t>,</w:t>
      </w:r>
      <w:r w:rsidR="007062D4">
        <w:rPr>
          <w:rFonts w:ascii="Bookman Old Style" w:hAnsi="Bookman Old Style"/>
          <w:lang w:val="es-CO" w:eastAsia="en-US"/>
        </w:rPr>
        <w:t xml:space="preserve"> el otorgamiento del incremento </w:t>
      </w:r>
      <w:r w:rsidR="00CC2AFD">
        <w:rPr>
          <w:rFonts w:ascii="Bookman Old Style" w:hAnsi="Bookman Old Style"/>
        </w:rPr>
        <w:t>al porcentaje de subsidios establecido en el Artículo 1 de la Resolución No. 40236 del Ministerio de Minas y Energía</w:t>
      </w:r>
      <w:r w:rsidR="002D0CEA">
        <w:rPr>
          <w:rFonts w:ascii="Bookman Old Style" w:hAnsi="Bookman Old Style"/>
        </w:rPr>
        <w:t>.</w:t>
      </w:r>
    </w:p>
    <w:p w14:paraId="3FFB6372" w14:textId="12B46377" w:rsidR="00B51F59" w:rsidRDefault="00B51F59" w:rsidP="00B51F59">
      <w:pPr>
        <w:adjustRightInd w:val="0"/>
        <w:spacing w:before="240" w:after="240"/>
        <w:ind w:left="0"/>
        <w:jc w:val="both"/>
        <w:textAlignment w:val="baseline"/>
        <w:rPr>
          <w:rFonts w:ascii="Bookman Old Style" w:hAnsi="Bookman Old Style" w:cs="Arial"/>
          <w:i/>
          <w:iCs/>
        </w:rPr>
      </w:pPr>
      <w:r w:rsidRPr="00F66125">
        <w:rPr>
          <w:rFonts w:ascii="Bookman Old Style" w:hAnsi="Bookman Old Style" w:cs="Arial"/>
        </w:rPr>
        <w:t xml:space="preserve">Conforme a lo establecido en Artículo 2.2.2.30.4 del Decreto 1074 de 2015, no se requerirá informar a la Superintendencia de Industria y Comercio sobre un proyecto de regulación </w:t>
      </w:r>
      <w:r w:rsidRPr="00F66125">
        <w:rPr>
          <w:rFonts w:ascii="Bookman Old Style" w:hAnsi="Bookman Old Style" w:cs="Arial"/>
          <w:i/>
          <w:iCs/>
        </w:rPr>
        <w:t xml:space="preserve">“Cuando el acto tenga origen en hechos imprevisibles a partir de los cuales resulte necesario adoptar una medida transitoria con el fin de: («) garantizar la seguridad en el suministro de un bien o servicio público esencial, sea o no domiciliario.” </w:t>
      </w:r>
    </w:p>
    <w:p w14:paraId="2C553A9D" w14:textId="6CF84379" w:rsidR="00B51F59" w:rsidRDefault="00B51F59" w:rsidP="00B51F59">
      <w:pPr>
        <w:spacing w:before="240" w:after="240"/>
        <w:ind w:left="0"/>
        <w:jc w:val="both"/>
        <w:rPr>
          <w:rFonts w:ascii="Bookman Old Style" w:hAnsi="Bookman Old Style"/>
        </w:rPr>
      </w:pPr>
      <w:r w:rsidRPr="00F66125">
        <w:rPr>
          <w:rFonts w:ascii="Bookman Old Style" w:hAnsi="Bookman Old Style" w:cs="Arial"/>
        </w:rPr>
        <w:t xml:space="preserve">La Comisión de Regulación de Energía y Gas, en su sesión No. </w:t>
      </w:r>
      <w:r>
        <w:rPr>
          <w:rFonts w:ascii="Bookman Old Style" w:hAnsi="Bookman Old Style" w:cs="Arial"/>
        </w:rPr>
        <w:t xml:space="preserve">XX </w:t>
      </w:r>
      <w:r w:rsidRPr="00F66125">
        <w:rPr>
          <w:rFonts w:ascii="Bookman Old Style" w:hAnsi="Bookman Old Style" w:cs="Arial"/>
        </w:rPr>
        <w:t xml:space="preserve">del </w:t>
      </w:r>
      <w:r w:rsidR="00FF7FA0">
        <w:rPr>
          <w:rFonts w:ascii="Bookman Old Style" w:hAnsi="Bookman Old Style" w:cs="Arial"/>
        </w:rPr>
        <w:t>24</w:t>
      </w:r>
      <w:r w:rsidRPr="00F66125">
        <w:rPr>
          <w:rFonts w:ascii="Bookman Old Style" w:hAnsi="Bookman Old Style" w:cs="Arial"/>
        </w:rPr>
        <w:t xml:space="preserve"> de </w:t>
      </w:r>
      <w:r w:rsidR="00FF7FA0">
        <w:rPr>
          <w:rFonts w:ascii="Bookman Old Style" w:hAnsi="Bookman Old Style" w:cs="Arial"/>
        </w:rPr>
        <w:t xml:space="preserve">agosto </w:t>
      </w:r>
      <w:r w:rsidRPr="00F66125">
        <w:rPr>
          <w:rFonts w:ascii="Bookman Old Style" w:hAnsi="Bookman Old Style" w:cs="Arial"/>
        </w:rPr>
        <w:t>de 2020, acordó expedir la presente Resolución.</w:t>
      </w:r>
    </w:p>
    <w:p w14:paraId="517FA722" w14:textId="5CB6660F" w:rsidR="002A6A86" w:rsidRDefault="002A6A86" w:rsidP="002A6A86">
      <w:pPr>
        <w:spacing w:before="240" w:after="240"/>
        <w:ind w:left="0"/>
        <w:jc w:val="both"/>
        <w:rPr>
          <w:rFonts w:ascii="Bookman Old Style" w:hAnsi="Bookman Old Style"/>
        </w:rPr>
      </w:pPr>
      <w:r w:rsidRPr="00AD5771">
        <w:rPr>
          <w:rFonts w:ascii="Bookman Old Style" w:hAnsi="Bookman Old Style"/>
        </w:rPr>
        <w:t xml:space="preserve">En consecuencia, </w:t>
      </w:r>
    </w:p>
    <w:p w14:paraId="293BB698" w14:textId="77777777" w:rsidR="002A6A86" w:rsidRDefault="002A6A86" w:rsidP="002A6A86">
      <w:pPr>
        <w:suppressAutoHyphens/>
        <w:ind w:left="0"/>
        <w:jc w:val="center"/>
        <w:rPr>
          <w:rFonts w:ascii="Bookman Old Style" w:hAnsi="Bookman Old Style"/>
          <w:b/>
          <w:spacing w:val="-3"/>
        </w:rPr>
      </w:pPr>
    </w:p>
    <w:p w14:paraId="72D8B504" w14:textId="77777777" w:rsidR="002A6A86" w:rsidRPr="00AD5771" w:rsidRDefault="002A6A86" w:rsidP="002A6A86">
      <w:pPr>
        <w:suppressAutoHyphens/>
        <w:ind w:left="0"/>
        <w:jc w:val="center"/>
        <w:rPr>
          <w:rFonts w:ascii="Bookman Old Style" w:hAnsi="Bookman Old Style"/>
          <w:b/>
          <w:spacing w:val="-3"/>
        </w:rPr>
      </w:pPr>
      <w:r w:rsidRPr="00AD5771">
        <w:rPr>
          <w:rFonts w:ascii="Bookman Old Style" w:hAnsi="Bookman Old Style"/>
          <w:b/>
          <w:spacing w:val="-3"/>
        </w:rPr>
        <w:t>R E S U E L V E:</w:t>
      </w:r>
    </w:p>
    <w:p w14:paraId="7EA54572" w14:textId="77777777" w:rsidR="002A6A86" w:rsidRDefault="002A6A86" w:rsidP="002A6A86">
      <w:pPr>
        <w:widowControl w:val="0"/>
        <w:adjustRightInd w:val="0"/>
        <w:ind w:left="0"/>
        <w:jc w:val="both"/>
        <w:textAlignment w:val="baseline"/>
        <w:rPr>
          <w:rFonts w:ascii="Bookman Old Style" w:hAnsi="Bookman Old Style"/>
          <w:b/>
          <w:sz w:val="22"/>
          <w:szCs w:val="22"/>
        </w:rPr>
      </w:pPr>
    </w:p>
    <w:p w14:paraId="2566354E" w14:textId="77777777" w:rsidR="002A6A86" w:rsidRDefault="002A6A86" w:rsidP="002A6A86">
      <w:pPr>
        <w:widowControl w:val="0"/>
        <w:adjustRightInd w:val="0"/>
        <w:ind w:left="0"/>
        <w:jc w:val="both"/>
        <w:textAlignment w:val="baseline"/>
        <w:rPr>
          <w:rFonts w:ascii="Bookman Old Style" w:hAnsi="Bookman Old Style"/>
          <w:b/>
          <w:sz w:val="22"/>
          <w:szCs w:val="22"/>
        </w:rPr>
      </w:pPr>
    </w:p>
    <w:p w14:paraId="1C29B1B8" w14:textId="1D2AD177" w:rsidR="00A26185" w:rsidRDefault="002A6A86" w:rsidP="006C3D8E">
      <w:pPr>
        <w:pStyle w:val="Prrafodelista"/>
        <w:ind w:left="0"/>
        <w:jc w:val="both"/>
        <w:outlineLvl w:val="0"/>
        <w:rPr>
          <w:rFonts w:ascii="Bookman Old Style" w:hAnsi="Bookman Old Style"/>
          <w:sz w:val="24"/>
          <w:szCs w:val="24"/>
          <w:lang w:val="es-ES"/>
        </w:rPr>
      </w:pPr>
      <w:r w:rsidRPr="00AD5771">
        <w:rPr>
          <w:rFonts w:ascii="Bookman Old Style" w:hAnsi="Bookman Old Style"/>
          <w:b/>
          <w:bCs/>
          <w:sz w:val="24"/>
          <w:szCs w:val="24"/>
          <w:lang w:val="es-ES"/>
        </w:rPr>
        <w:t>ARTÍCULO 1.</w:t>
      </w:r>
      <w:r w:rsidR="00E779C1">
        <w:rPr>
          <w:rFonts w:ascii="Bookman Old Style" w:hAnsi="Bookman Old Style"/>
          <w:sz w:val="24"/>
          <w:szCs w:val="24"/>
          <w:lang w:val="es-ES"/>
        </w:rPr>
        <w:t xml:space="preserve"> Para </w:t>
      </w:r>
      <w:r w:rsidR="006C3D8E">
        <w:rPr>
          <w:rFonts w:ascii="Bookman Old Style" w:hAnsi="Bookman Old Style"/>
          <w:sz w:val="24"/>
          <w:szCs w:val="24"/>
          <w:lang w:val="es-ES"/>
        </w:rPr>
        <w:t xml:space="preserve">efectos de la aplicación del incremento al porcentaje de subsidio </w:t>
      </w:r>
      <w:r w:rsidR="006B2333">
        <w:rPr>
          <w:rFonts w:ascii="Bookman Old Style" w:hAnsi="Bookman Old Style"/>
          <w:sz w:val="24"/>
          <w:szCs w:val="24"/>
          <w:lang w:val="es-ES"/>
        </w:rPr>
        <w:t xml:space="preserve">establecido </w:t>
      </w:r>
      <w:r w:rsidR="00CE2F76">
        <w:rPr>
          <w:rFonts w:ascii="Bookman Old Style" w:hAnsi="Bookman Old Style"/>
          <w:sz w:val="24"/>
          <w:szCs w:val="24"/>
          <w:lang w:val="es-ES"/>
        </w:rPr>
        <w:t>en el Artículo 1 de la Resolución No. 40236 de 2020 del Ministerio de Minas y Energía</w:t>
      </w:r>
      <w:r w:rsidR="006C3D8E">
        <w:rPr>
          <w:rFonts w:ascii="Bookman Old Style" w:hAnsi="Bookman Old Style"/>
          <w:sz w:val="24"/>
          <w:szCs w:val="24"/>
          <w:lang w:val="es-ES"/>
        </w:rPr>
        <w:t xml:space="preserve"> en la facturación de los usuarios de los Estratos 1 y 2 del servicio de gas distribuido por red de tuberías</w:t>
      </w:r>
      <w:r w:rsidR="00CE2F76">
        <w:rPr>
          <w:rFonts w:ascii="Bookman Old Style" w:hAnsi="Bookman Old Style"/>
          <w:sz w:val="24"/>
          <w:szCs w:val="24"/>
          <w:lang w:val="es-ES"/>
        </w:rPr>
        <w:t xml:space="preserve">, los comercializadores </w:t>
      </w:r>
      <w:r w:rsidR="006C3D8E">
        <w:rPr>
          <w:rFonts w:ascii="Bookman Old Style" w:hAnsi="Bookman Old Style"/>
          <w:sz w:val="24"/>
          <w:szCs w:val="24"/>
          <w:lang w:val="es-ES"/>
        </w:rPr>
        <w:t xml:space="preserve"> d</w:t>
      </w:r>
      <w:r w:rsidR="00CE2F76">
        <w:rPr>
          <w:rFonts w:ascii="Bookman Old Style" w:hAnsi="Bookman Old Style"/>
          <w:sz w:val="24"/>
          <w:szCs w:val="24"/>
          <w:lang w:val="es-ES"/>
        </w:rPr>
        <w:t xml:space="preserve">eberán adicionar diez puntos porcentuales (10%) al porcentaje de subsidio obtenido </w:t>
      </w:r>
      <w:r w:rsidR="00986FBD">
        <w:rPr>
          <w:rFonts w:ascii="Bookman Old Style" w:hAnsi="Bookman Old Style"/>
          <w:sz w:val="24"/>
          <w:szCs w:val="24"/>
          <w:lang w:val="es-ES"/>
        </w:rPr>
        <w:t xml:space="preserve">para </w:t>
      </w:r>
      <w:bookmarkStart w:id="0" w:name="_Hlk49234128"/>
      <w:r w:rsidR="00813D82" w:rsidRPr="00A01F42">
        <w:rPr>
          <w:rFonts w:ascii="Bookman Old Style" w:hAnsi="Bookman Old Style"/>
          <w:sz w:val="24"/>
          <w:szCs w:val="24"/>
          <w:lang w:val="es-ES"/>
        </w:rPr>
        <w:t>el ciclo de facturación en curso</w:t>
      </w:r>
      <w:r w:rsidR="00813D82" w:rsidRPr="44BC2140">
        <w:rPr>
          <w:rFonts w:ascii="Bookman Old Style" w:hAnsi="Bookman Old Style"/>
          <w:sz w:val="24"/>
          <w:szCs w:val="24"/>
          <w:lang w:val="es-ES"/>
        </w:rPr>
        <w:t xml:space="preserve"> desde la vigencia de la Resolución MME 40236 de </w:t>
      </w:r>
      <w:r w:rsidR="00813D82" w:rsidRPr="00D577F0">
        <w:rPr>
          <w:rFonts w:ascii="Bookman Old Style" w:hAnsi="Bookman Old Style"/>
          <w:sz w:val="24"/>
          <w:szCs w:val="24"/>
          <w:lang w:val="es-ES"/>
        </w:rPr>
        <w:t>2020</w:t>
      </w:r>
      <w:r w:rsidR="00D577F0" w:rsidRPr="00D577F0">
        <w:rPr>
          <w:rFonts w:ascii="Bookman Old Style" w:hAnsi="Bookman Old Style"/>
          <w:sz w:val="24"/>
          <w:szCs w:val="24"/>
          <w:lang w:val="es-ES"/>
        </w:rPr>
        <w:t xml:space="preserve"> y aplicará para los demás ciclos de facturación durante su vigencia</w:t>
      </w:r>
      <w:r w:rsidR="00813D82" w:rsidRPr="00D577F0">
        <w:rPr>
          <w:rFonts w:ascii="Bookman Old Style" w:hAnsi="Bookman Old Style"/>
          <w:sz w:val="24"/>
          <w:szCs w:val="24"/>
          <w:lang w:val="es-ES"/>
        </w:rPr>
        <w:t>,</w:t>
      </w:r>
      <w:r w:rsidR="00813D82" w:rsidRPr="44BC2140">
        <w:rPr>
          <w:rFonts w:ascii="Bookman Old Style" w:hAnsi="Bookman Old Style"/>
          <w:sz w:val="24"/>
          <w:szCs w:val="24"/>
          <w:lang w:val="es-ES"/>
        </w:rPr>
        <w:t xml:space="preserve"> en los términos </w:t>
      </w:r>
      <w:r w:rsidR="00A01F42">
        <w:rPr>
          <w:rFonts w:ascii="Bookman Old Style" w:hAnsi="Bookman Old Style"/>
          <w:sz w:val="24"/>
          <w:szCs w:val="24"/>
          <w:lang w:val="es-ES"/>
        </w:rPr>
        <w:t xml:space="preserve">allí </w:t>
      </w:r>
      <w:r w:rsidR="00813D82" w:rsidRPr="44BC2140">
        <w:rPr>
          <w:rFonts w:ascii="Bookman Old Style" w:hAnsi="Bookman Old Style"/>
          <w:sz w:val="24"/>
          <w:szCs w:val="24"/>
          <w:lang w:val="es-ES"/>
        </w:rPr>
        <w:t>indicados</w:t>
      </w:r>
      <w:r w:rsidR="00133C8E">
        <w:rPr>
          <w:rFonts w:ascii="Bookman Old Style" w:hAnsi="Bookman Old Style"/>
          <w:sz w:val="24"/>
          <w:szCs w:val="24"/>
          <w:lang w:val="es-ES"/>
        </w:rPr>
        <w:t>,</w:t>
      </w:r>
      <w:r w:rsidR="00813D82" w:rsidRPr="44BC2140">
        <w:rPr>
          <w:rFonts w:ascii="Bookman Old Style" w:hAnsi="Bookman Old Style"/>
          <w:sz w:val="24"/>
          <w:szCs w:val="24"/>
          <w:lang w:val="es-ES"/>
        </w:rPr>
        <w:t xml:space="preserve"> </w:t>
      </w:r>
      <w:bookmarkEnd w:id="0"/>
      <w:r w:rsidR="006B2333">
        <w:rPr>
          <w:rFonts w:ascii="Bookman Old Style" w:hAnsi="Bookman Old Style"/>
          <w:sz w:val="24"/>
          <w:szCs w:val="24"/>
          <w:lang w:val="es-ES"/>
        </w:rPr>
        <w:t xml:space="preserve">procediendo a efectuar el cálculo del porcentaje de subsidio conforme a lo previsto en </w:t>
      </w:r>
      <w:r w:rsidR="00CE2F76">
        <w:rPr>
          <w:rFonts w:ascii="Bookman Old Style" w:hAnsi="Bookman Old Style"/>
          <w:sz w:val="24"/>
          <w:szCs w:val="24"/>
          <w:lang w:val="es-ES"/>
        </w:rPr>
        <w:t>los Artículos 3°, 4°, 6° y 7° de la Resolución CREG 186 de 2010</w:t>
      </w:r>
      <w:r w:rsidR="00594607">
        <w:rPr>
          <w:rFonts w:ascii="Bookman Old Style" w:hAnsi="Bookman Old Style"/>
          <w:sz w:val="24"/>
          <w:szCs w:val="24"/>
          <w:lang w:val="es-ES"/>
        </w:rPr>
        <w:t>,</w:t>
      </w:r>
      <w:r w:rsidR="00CE2F76">
        <w:rPr>
          <w:rFonts w:ascii="Bookman Old Style" w:hAnsi="Bookman Old Style"/>
          <w:sz w:val="24"/>
          <w:szCs w:val="24"/>
          <w:lang w:val="es-ES"/>
        </w:rPr>
        <w:t xml:space="preserve"> modificada por las Resoluciones CREG 186 de 2013 y 104 de 2020</w:t>
      </w:r>
      <w:r w:rsidR="006B2333">
        <w:rPr>
          <w:rFonts w:ascii="Bookman Old Style" w:hAnsi="Bookman Old Style"/>
          <w:sz w:val="24"/>
          <w:szCs w:val="24"/>
          <w:lang w:val="es-ES"/>
        </w:rPr>
        <w:t>.</w:t>
      </w:r>
      <w:r w:rsidR="00A26185">
        <w:rPr>
          <w:rFonts w:ascii="Bookman Old Style" w:hAnsi="Bookman Old Style"/>
          <w:sz w:val="24"/>
          <w:szCs w:val="24"/>
          <w:lang w:val="es-ES"/>
        </w:rPr>
        <w:t xml:space="preserve"> </w:t>
      </w:r>
    </w:p>
    <w:p w14:paraId="58662584" w14:textId="77777777" w:rsidR="004A36CB" w:rsidRDefault="004A36CB" w:rsidP="00E779C1">
      <w:pPr>
        <w:pStyle w:val="Prrafodelista"/>
        <w:ind w:left="0"/>
        <w:jc w:val="both"/>
        <w:outlineLvl w:val="0"/>
        <w:rPr>
          <w:rFonts w:ascii="Bookman Old Style" w:hAnsi="Bookman Old Style"/>
          <w:sz w:val="24"/>
          <w:szCs w:val="24"/>
          <w:lang w:val="es-ES"/>
        </w:rPr>
      </w:pPr>
    </w:p>
    <w:p w14:paraId="61BA2B4B" w14:textId="4F8335CC" w:rsidR="004A36CB" w:rsidRDefault="004A36CB" w:rsidP="004A36CB">
      <w:pPr>
        <w:pStyle w:val="Prrafodelista"/>
        <w:ind w:left="0"/>
        <w:jc w:val="both"/>
        <w:outlineLvl w:val="0"/>
        <w:rPr>
          <w:rFonts w:ascii="Bookman Old Style" w:hAnsi="Bookman Old Style"/>
          <w:sz w:val="24"/>
          <w:szCs w:val="24"/>
          <w:lang w:val="es-ES"/>
        </w:rPr>
      </w:pPr>
      <w:r>
        <w:rPr>
          <w:rFonts w:ascii="Bookman Old Style" w:hAnsi="Bookman Old Style"/>
          <w:sz w:val="24"/>
          <w:szCs w:val="24"/>
          <w:lang w:val="es-ES"/>
        </w:rPr>
        <w:t>En el caso de nuevos mercados de comercialización, cuya primera facturación se produzca dentro del término de vigencia del incremento al porcentaje de subsidios establecido en el Artículo 1 de la Resolución No. 40236 del Ministerio de Minas y Energía, se deberán adicionar diez puntos porcentuales (10%) a los porcentajes establecidos en el Artículo 5° de la Resolución CREG 186 de 2010</w:t>
      </w:r>
      <w:r w:rsidR="00594607">
        <w:rPr>
          <w:rFonts w:ascii="Bookman Old Style" w:hAnsi="Bookman Old Style"/>
          <w:sz w:val="24"/>
          <w:szCs w:val="24"/>
          <w:lang w:val="es-ES"/>
        </w:rPr>
        <w:t>,</w:t>
      </w:r>
      <w:r>
        <w:rPr>
          <w:rFonts w:ascii="Bookman Old Style" w:hAnsi="Bookman Old Style"/>
          <w:sz w:val="24"/>
          <w:szCs w:val="24"/>
          <w:lang w:val="es-ES"/>
        </w:rPr>
        <w:t xml:space="preserve"> modificada por las Resoluciones CREG 186 de 2013 y 104 de 2020. </w:t>
      </w:r>
    </w:p>
    <w:p w14:paraId="14D92700" w14:textId="4A451C94" w:rsidR="00286086" w:rsidRDefault="001658C5" w:rsidP="00E779C1">
      <w:pPr>
        <w:pStyle w:val="Prrafodelista"/>
        <w:ind w:left="0"/>
        <w:jc w:val="both"/>
        <w:outlineLvl w:val="0"/>
        <w:rPr>
          <w:rFonts w:ascii="Bookman Old Style" w:hAnsi="Bookman Old Style"/>
          <w:sz w:val="24"/>
          <w:szCs w:val="24"/>
          <w:lang w:val="es-ES"/>
        </w:rPr>
      </w:pPr>
      <w:r>
        <w:rPr>
          <w:rFonts w:ascii="Bookman Old Style" w:hAnsi="Bookman Old Style"/>
          <w:sz w:val="24"/>
          <w:szCs w:val="24"/>
          <w:lang w:val="es-ES"/>
        </w:rPr>
        <w:t xml:space="preserve"> </w:t>
      </w:r>
    </w:p>
    <w:p w14:paraId="1A11A613" w14:textId="6A313DC5" w:rsidR="00286086" w:rsidRDefault="00286086" w:rsidP="00E779C1">
      <w:pPr>
        <w:pStyle w:val="Prrafodelista"/>
        <w:ind w:left="0"/>
        <w:jc w:val="both"/>
        <w:outlineLvl w:val="0"/>
        <w:rPr>
          <w:rFonts w:ascii="Bookman Old Style" w:hAnsi="Bookman Old Style"/>
          <w:sz w:val="24"/>
          <w:szCs w:val="24"/>
          <w:lang w:val="es-ES"/>
        </w:rPr>
      </w:pPr>
      <w:r>
        <w:rPr>
          <w:rFonts w:ascii="Bookman Old Style" w:hAnsi="Bookman Old Style"/>
          <w:sz w:val="24"/>
          <w:szCs w:val="24"/>
          <w:lang w:val="es-ES"/>
        </w:rPr>
        <w:t xml:space="preserve">El porcentaje de subsidio así obtenido </w:t>
      </w:r>
      <w:r w:rsidR="00A26185">
        <w:rPr>
          <w:rFonts w:ascii="Bookman Old Style" w:hAnsi="Bookman Old Style"/>
          <w:sz w:val="24"/>
          <w:szCs w:val="24"/>
          <w:lang w:val="es-ES"/>
        </w:rPr>
        <w:t xml:space="preserve">se deberá utilizar </w:t>
      </w:r>
      <w:r>
        <w:rPr>
          <w:rFonts w:ascii="Bookman Old Style" w:hAnsi="Bookman Old Style"/>
          <w:sz w:val="24"/>
          <w:szCs w:val="24"/>
          <w:lang w:val="es-ES"/>
        </w:rPr>
        <w:t xml:space="preserve">para calcular la tarifa a cobrar a los usuarios </w:t>
      </w:r>
      <w:r w:rsidR="00A26185">
        <w:rPr>
          <w:rFonts w:ascii="Bookman Old Style" w:hAnsi="Bookman Old Style"/>
          <w:sz w:val="24"/>
          <w:szCs w:val="24"/>
          <w:lang w:val="es-ES"/>
        </w:rPr>
        <w:t>de los estratos 1 y 2</w:t>
      </w:r>
      <w:r w:rsidR="00A37651">
        <w:rPr>
          <w:rFonts w:ascii="Bookman Old Style" w:hAnsi="Bookman Old Style"/>
          <w:sz w:val="24"/>
          <w:szCs w:val="24"/>
          <w:lang w:val="es-ES"/>
        </w:rPr>
        <w:t>,</w:t>
      </w:r>
      <w:r w:rsidR="00A26185">
        <w:rPr>
          <w:rFonts w:ascii="Bookman Old Style" w:hAnsi="Bookman Old Style"/>
          <w:sz w:val="24"/>
          <w:szCs w:val="24"/>
          <w:lang w:val="es-ES"/>
        </w:rPr>
        <w:t xml:space="preserve"> </w:t>
      </w:r>
      <w:r w:rsidR="006B2333">
        <w:rPr>
          <w:rFonts w:ascii="Bookman Old Style" w:hAnsi="Bookman Old Style"/>
          <w:sz w:val="24"/>
          <w:szCs w:val="24"/>
          <w:lang w:val="es-ES"/>
        </w:rPr>
        <w:t xml:space="preserve">beneficiarios </w:t>
      </w:r>
      <w:r w:rsidR="00347B14">
        <w:rPr>
          <w:rFonts w:ascii="Bookman Old Style" w:hAnsi="Bookman Old Style"/>
          <w:sz w:val="24"/>
          <w:szCs w:val="24"/>
          <w:lang w:val="es-ES"/>
        </w:rPr>
        <w:t xml:space="preserve">del </w:t>
      </w:r>
      <w:r w:rsidR="006B2333">
        <w:rPr>
          <w:rFonts w:ascii="Bookman Old Style" w:hAnsi="Bookman Old Style"/>
          <w:sz w:val="24"/>
          <w:szCs w:val="24"/>
          <w:lang w:val="es-ES"/>
        </w:rPr>
        <w:t xml:space="preserve">incremento al </w:t>
      </w:r>
      <w:r w:rsidR="00CE375A">
        <w:rPr>
          <w:rFonts w:ascii="Bookman Old Style" w:hAnsi="Bookman Old Style"/>
          <w:sz w:val="24"/>
          <w:szCs w:val="24"/>
          <w:lang w:val="es-ES"/>
        </w:rPr>
        <w:t>subsidio establecido en el Artículo 1 de la Resolución No. 40236 de 2020 del Ministerio de Minas y Energía</w:t>
      </w:r>
      <w:r w:rsidR="00347B14">
        <w:rPr>
          <w:rFonts w:ascii="Bookman Old Style" w:hAnsi="Bookman Old Style"/>
          <w:sz w:val="24"/>
          <w:szCs w:val="24"/>
          <w:lang w:val="es-ES"/>
        </w:rPr>
        <w:t xml:space="preserve">, </w:t>
      </w:r>
      <w:r>
        <w:rPr>
          <w:rFonts w:ascii="Bookman Old Style" w:hAnsi="Bookman Old Style"/>
          <w:sz w:val="24"/>
          <w:szCs w:val="24"/>
          <w:lang w:val="es-ES"/>
        </w:rPr>
        <w:t xml:space="preserve">a partir del </w:t>
      </w:r>
      <w:r w:rsidR="00233AF9">
        <w:rPr>
          <w:rFonts w:ascii="Bookman Old Style" w:hAnsi="Bookman Old Style"/>
          <w:sz w:val="24"/>
          <w:szCs w:val="24"/>
          <w:lang w:val="es-ES"/>
        </w:rPr>
        <w:t xml:space="preserve">Costo Equivalente de Prestación del </w:t>
      </w:r>
      <w:r w:rsidR="00233AF9">
        <w:rPr>
          <w:rFonts w:ascii="Bookman Old Style" w:hAnsi="Bookman Old Style"/>
          <w:sz w:val="24"/>
          <w:szCs w:val="24"/>
          <w:lang w:val="es-ES"/>
        </w:rPr>
        <w:lastRenderedPageBreak/>
        <w:t>Servicio</w:t>
      </w:r>
      <w:r>
        <w:rPr>
          <w:rFonts w:ascii="Bookman Old Style" w:hAnsi="Bookman Old Style"/>
          <w:sz w:val="24"/>
          <w:szCs w:val="24"/>
          <w:lang w:val="es-ES"/>
        </w:rPr>
        <w:t xml:space="preserve"> del mes de cálculo, en cada uno de los períodos de facturación del subsidio determinado</w:t>
      </w:r>
      <w:r w:rsidR="00B81344">
        <w:rPr>
          <w:rFonts w:ascii="Bookman Old Style" w:hAnsi="Bookman Old Style"/>
          <w:sz w:val="24"/>
          <w:szCs w:val="24"/>
          <w:lang w:val="es-ES"/>
        </w:rPr>
        <w:t>s</w:t>
      </w:r>
      <w:r>
        <w:rPr>
          <w:rFonts w:ascii="Bookman Old Style" w:hAnsi="Bookman Old Style"/>
          <w:sz w:val="24"/>
          <w:szCs w:val="24"/>
          <w:lang w:val="es-ES"/>
        </w:rPr>
        <w:t xml:space="preserve"> por el Ministerio.</w:t>
      </w:r>
    </w:p>
    <w:p w14:paraId="052A5587" w14:textId="64D450CC" w:rsidR="006B2333" w:rsidRDefault="001658C5" w:rsidP="006B2333">
      <w:pPr>
        <w:pStyle w:val="Prrafodelista"/>
        <w:ind w:left="0"/>
        <w:jc w:val="both"/>
        <w:outlineLvl w:val="0"/>
        <w:rPr>
          <w:rFonts w:ascii="Bookman Old Style" w:hAnsi="Bookman Old Style"/>
          <w:sz w:val="24"/>
          <w:szCs w:val="24"/>
          <w:lang w:val="es-ES"/>
        </w:rPr>
      </w:pPr>
      <w:r w:rsidRPr="001658C5">
        <w:rPr>
          <w:rFonts w:ascii="Bookman Old Style" w:hAnsi="Bookman Old Style"/>
          <w:b/>
          <w:bCs/>
          <w:sz w:val="24"/>
          <w:szCs w:val="24"/>
          <w:lang w:val="es-ES"/>
        </w:rPr>
        <w:t>PARÁGRAFO.</w:t>
      </w:r>
      <w:r>
        <w:rPr>
          <w:rFonts w:ascii="Bookman Old Style" w:hAnsi="Bookman Old Style"/>
          <w:sz w:val="24"/>
          <w:szCs w:val="24"/>
          <w:lang w:val="es-ES"/>
        </w:rPr>
        <w:t xml:space="preserve"> Los porcentajes así calculados se mantendrán constantes por el término de </w:t>
      </w:r>
      <w:r w:rsidR="00A26185">
        <w:rPr>
          <w:rFonts w:ascii="Bookman Old Style" w:hAnsi="Bookman Old Style"/>
          <w:sz w:val="24"/>
          <w:szCs w:val="24"/>
          <w:lang w:val="es-ES"/>
        </w:rPr>
        <w:t xml:space="preserve">vigencia </w:t>
      </w:r>
      <w:r w:rsidR="006B2333">
        <w:rPr>
          <w:rFonts w:ascii="Bookman Old Style" w:hAnsi="Bookman Old Style"/>
          <w:sz w:val="24"/>
          <w:szCs w:val="24"/>
          <w:lang w:val="es-ES"/>
        </w:rPr>
        <w:t>del incremento al porcentaje de subsidios establecido en el Artículo 1 de la Resolución No. 40236 del Ministerio de Minas y Energía.</w:t>
      </w:r>
    </w:p>
    <w:p w14:paraId="5CA8E933" w14:textId="219913AA" w:rsidR="00DF70DE" w:rsidRPr="00AD5771" w:rsidRDefault="00DF70DE" w:rsidP="002A6A86">
      <w:pPr>
        <w:pStyle w:val="Prrafodelista"/>
        <w:ind w:left="0"/>
        <w:jc w:val="both"/>
        <w:outlineLvl w:val="0"/>
        <w:rPr>
          <w:rFonts w:ascii="Bookman Old Style" w:hAnsi="Bookman Old Style"/>
          <w:sz w:val="24"/>
          <w:szCs w:val="24"/>
          <w:lang w:val="es-ES"/>
        </w:rPr>
      </w:pPr>
    </w:p>
    <w:p w14:paraId="11D182A4" w14:textId="33DBEF9E" w:rsidR="00347B14" w:rsidRDefault="002A6A86" w:rsidP="00E779C1">
      <w:pPr>
        <w:pStyle w:val="Prrafodelista"/>
        <w:ind w:left="0"/>
        <w:jc w:val="both"/>
        <w:outlineLvl w:val="0"/>
        <w:rPr>
          <w:rFonts w:ascii="Bookman Old Style" w:hAnsi="Bookman Old Style"/>
          <w:sz w:val="24"/>
          <w:szCs w:val="24"/>
          <w:lang w:val="es-ES"/>
        </w:rPr>
      </w:pPr>
      <w:r w:rsidRPr="00AD5771">
        <w:rPr>
          <w:rFonts w:ascii="Bookman Old Style" w:hAnsi="Bookman Old Style"/>
          <w:b/>
          <w:bCs/>
          <w:sz w:val="24"/>
          <w:szCs w:val="24"/>
          <w:lang w:val="es-ES"/>
        </w:rPr>
        <w:t xml:space="preserve">ARTÍCULO </w:t>
      </w:r>
      <w:r w:rsidR="00FF7FA0">
        <w:rPr>
          <w:rFonts w:ascii="Bookman Old Style" w:hAnsi="Bookman Old Style"/>
          <w:b/>
          <w:bCs/>
          <w:sz w:val="24"/>
          <w:szCs w:val="24"/>
          <w:lang w:val="es-ES"/>
        </w:rPr>
        <w:t>2</w:t>
      </w:r>
      <w:r w:rsidRPr="00AD5771">
        <w:rPr>
          <w:rFonts w:ascii="Bookman Old Style" w:hAnsi="Bookman Old Style"/>
          <w:b/>
          <w:bCs/>
          <w:sz w:val="24"/>
          <w:szCs w:val="24"/>
          <w:lang w:val="es-ES"/>
        </w:rPr>
        <w:t>.</w:t>
      </w:r>
      <w:r w:rsidR="001658C5">
        <w:rPr>
          <w:rFonts w:ascii="Bookman Old Style" w:hAnsi="Bookman Old Style"/>
          <w:b/>
          <w:bCs/>
          <w:sz w:val="24"/>
          <w:szCs w:val="24"/>
          <w:lang w:val="es-ES"/>
        </w:rPr>
        <w:t xml:space="preserve"> </w:t>
      </w:r>
      <w:r w:rsidR="001658C5" w:rsidRPr="001658C5">
        <w:rPr>
          <w:rFonts w:ascii="Bookman Old Style" w:hAnsi="Bookman Old Style"/>
          <w:sz w:val="24"/>
          <w:szCs w:val="24"/>
          <w:lang w:val="es-ES"/>
        </w:rPr>
        <w:t xml:space="preserve">En </w:t>
      </w:r>
      <w:r w:rsidR="001658C5">
        <w:rPr>
          <w:rFonts w:ascii="Bookman Old Style" w:hAnsi="Bookman Old Style"/>
          <w:sz w:val="24"/>
          <w:szCs w:val="24"/>
          <w:lang w:val="es-ES"/>
        </w:rPr>
        <w:t xml:space="preserve">la facturación </w:t>
      </w:r>
      <w:r w:rsidR="001658C5" w:rsidRPr="001658C5">
        <w:rPr>
          <w:rFonts w:ascii="Bookman Old Style" w:hAnsi="Bookman Old Style"/>
          <w:sz w:val="24"/>
          <w:szCs w:val="24"/>
          <w:lang w:val="es-ES"/>
        </w:rPr>
        <w:t xml:space="preserve">siguiente al término </w:t>
      </w:r>
      <w:r w:rsidR="00347B14">
        <w:rPr>
          <w:rFonts w:ascii="Bookman Old Style" w:hAnsi="Bookman Old Style"/>
          <w:sz w:val="24"/>
          <w:szCs w:val="24"/>
          <w:lang w:val="es-ES"/>
        </w:rPr>
        <w:t>de vigencia del incremento del porcentaje de</w:t>
      </w:r>
      <w:r w:rsidR="00347B14" w:rsidRPr="001658C5">
        <w:rPr>
          <w:rFonts w:ascii="Bookman Old Style" w:hAnsi="Bookman Old Style"/>
          <w:sz w:val="24"/>
          <w:szCs w:val="24"/>
          <w:lang w:val="es-ES"/>
        </w:rPr>
        <w:t xml:space="preserve"> </w:t>
      </w:r>
      <w:r w:rsidR="001658C5" w:rsidRPr="001658C5">
        <w:rPr>
          <w:rFonts w:ascii="Bookman Old Style" w:hAnsi="Bookman Old Style"/>
          <w:sz w:val="24"/>
          <w:szCs w:val="24"/>
          <w:lang w:val="es-ES"/>
        </w:rPr>
        <w:t xml:space="preserve">subsidios establecidos en el Artículo 1 de la Resolución No. 40236 del Ministerio de Minas y Energía, </w:t>
      </w:r>
      <w:r w:rsidR="001658C5">
        <w:rPr>
          <w:rFonts w:ascii="Bookman Old Style" w:hAnsi="Bookman Old Style"/>
          <w:sz w:val="24"/>
          <w:szCs w:val="24"/>
          <w:lang w:val="es-ES"/>
        </w:rPr>
        <w:t xml:space="preserve">los comercializadores de gas calcularán </w:t>
      </w:r>
      <w:r w:rsidR="00286086">
        <w:rPr>
          <w:rFonts w:ascii="Bookman Old Style" w:hAnsi="Bookman Old Style"/>
          <w:sz w:val="24"/>
          <w:szCs w:val="24"/>
          <w:lang w:val="es-ES"/>
        </w:rPr>
        <w:t xml:space="preserve">la tarifa a los usuarios </w:t>
      </w:r>
      <w:r w:rsidR="002C5E9D">
        <w:rPr>
          <w:rFonts w:ascii="Bookman Old Style" w:hAnsi="Bookman Old Style"/>
          <w:sz w:val="24"/>
          <w:szCs w:val="24"/>
          <w:lang w:val="es-ES"/>
        </w:rPr>
        <w:t>aplicando al costo de prestación del servicio</w:t>
      </w:r>
      <w:r w:rsidR="00594607">
        <w:rPr>
          <w:rFonts w:ascii="Bookman Old Style" w:hAnsi="Bookman Old Style"/>
          <w:sz w:val="24"/>
          <w:szCs w:val="24"/>
          <w:lang w:val="es-ES"/>
        </w:rPr>
        <w:t>,</w:t>
      </w:r>
      <w:r w:rsidR="002C5E9D">
        <w:rPr>
          <w:rFonts w:ascii="Bookman Old Style" w:hAnsi="Bookman Old Style"/>
          <w:sz w:val="24"/>
          <w:szCs w:val="24"/>
          <w:lang w:val="es-ES"/>
        </w:rPr>
        <w:t xml:space="preserve"> el valor del porcentaje de subsidios aplicado en el mes anterior, reducido en diez puntos porcentuales (10%) y, en las siguientes facturas se seguirá aplicando el procedimiento de cálculo de las tarifas establecido </w:t>
      </w:r>
      <w:r w:rsidR="001658C5" w:rsidRPr="00A01F42">
        <w:rPr>
          <w:rFonts w:ascii="Bookman Old Style" w:hAnsi="Bookman Old Style"/>
          <w:sz w:val="24"/>
          <w:szCs w:val="24"/>
          <w:lang w:val="es-ES"/>
        </w:rPr>
        <w:t xml:space="preserve">en </w:t>
      </w:r>
      <w:r w:rsidR="000E67EA" w:rsidRPr="00A01F42">
        <w:rPr>
          <w:rFonts w:ascii="Bookman Old Style" w:hAnsi="Bookman Old Style"/>
          <w:sz w:val="24"/>
          <w:szCs w:val="24"/>
          <w:lang w:val="es-ES"/>
        </w:rPr>
        <w:t>los Artículos 3°, 4°, 6° y 7° de la Resolución CREG 186 de 201</w:t>
      </w:r>
      <w:r w:rsidR="002211AB" w:rsidRPr="00A01F42">
        <w:rPr>
          <w:rFonts w:ascii="Bookman Old Style" w:hAnsi="Bookman Old Style"/>
          <w:sz w:val="24"/>
          <w:szCs w:val="24"/>
          <w:lang w:val="es-ES"/>
        </w:rPr>
        <w:t>0</w:t>
      </w:r>
      <w:r w:rsidR="00A01F42">
        <w:rPr>
          <w:rFonts w:ascii="Bookman Old Style" w:hAnsi="Bookman Old Style"/>
          <w:sz w:val="24"/>
          <w:szCs w:val="24"/>
          <w:lang w:val="es-ES"/>
        </w:rPr>
        <w:t>,</w:t>
      </w:r>
      <w:r w:rsidR="000E67EA">
        <w:rPr>
          <w:rFonts w:ascii="Bookman Old Style" w:hAnsi="Bookman Old Style"/>
          <w:sz w:val="24"/>
          <w:szCs w:val="24"/>
          <w:lang w:val="es-ES"/>
        </w:rPr>
        <w:t xml:space="preserve"> modificada por las Resoluciones CREG 186 de 2013 y 104 de 2020. </w:t>
      </w:r>
    </w:p>
    <w:p w14:paraId="2B71272B" w14:textId="77777777" w:rsidR="00347B14" w:rsidRDefault="00347B14" w:rsidP="00E779C1">
      <w:pPr>
        <w:pStyle w:val="Prrafodelista"/>
        <w:ind w:left="0"/>
        <w:jc w:val="both"/>
        <w:outlineLvl w:val="0"/>
        <w:rPr>
          <w:rFonts w:ascii="Bookman Old Style" w:hAnsi="Bookman Old Style"/>
          <w:sz w:val="24"/>
          <w:szCs w:val="24"/>
          <w:lang w:val="es-ES"/>
        </w:rPr>
      </w:pPr>
    </w:p>
    <w:p w14:paraId="1C1CA2B0" w14:textId="31E89366" w:rsidR="00986FBD" w:rsidRPr="00AD5771" w:rsidRDefault="00986FBD" w:rsidP="002A6A86">
      <w:pPr>
        <w:pStyle w:val="Prrafodelista"/>
        <w:ind w:left="0"/>
        <w:jc w:val="both"/>
        <w:rPr>
          <w:rFonts w:ascii="Bookman Old Style" w:hAnsi="Bookman Old Style"/>
          <w:sz w:val="24"/>
          <w:szCs w:val="24"/>
          <w:lang w:val="es-ES"/>
        </w:rPr>
      </w:pPr>
      <w:r w:rsidRPr="001658C5">
        <w:rPr>
          <w:rFonts w:ascii="Bookman Old Style" w:hAnsi="Bookman Old Style"/>
          <w:b/>
          <w:bCs/>
          <w:sz w:val="24"/>
          <w:szCs w:val="24"/>
          <w:lang w:val="es-ES"/>
        </w:rPr>
        <w:t>PARÁGRAFO.</w:t>
      </w:r>
      <w:r>
        <w:rPr>
          <w:rFonts w:ascii="Bookman Old Style" w:hAnsi="Bookman Old Style"/>
          <w:sz w:val="24"/>
          <w:szCs w:val="24"/>
          <w:lang w:val="es-ES"/>
        </w:rPr>
        <w:t xml:space="preserve"> En el caso de los mercados de comercialización que hubiesen aplicado los subsidios de acuerdo con el </w:t>
      </w:r>
      <w:r w:rsidR="00813D82">
        <w:rPr>
          <w:rFonts w:ascii="Bookman Old Style" w:hAnsi="Bookman Old Style"/>
          <w:sz w:val="24"/>
          <w:szCs w:val="24"/>
          <w:lang w:val="es-ES"/>
        </w:rPr>
        <w:t xml:space="preserve">inciso segundo del </w:t>
      </w:r>
      <w:r>
        <w:rPr>
          <w:rFonts w:ascii="Bookman Old Style" w:hAnsi="Bookman Old Style"/>
          <w:sz w:val="24"/>
          <w:szCs w:val="24"/>
          <w:lang w:val="es-ES"/>
        </w:rPr>
        <w:t xml:space="preserve">Artículo </w:t>
      </w:r>
      <w:r w:rsidR="00813D82">
        <w:rPr>
          <w:rFonts w:ascii="Bookman Old Style" w:hAnsi="Bookman Old Style"/>
          <w:sz w:val="24"/>
          <w:szCs w:val="24"/>
          <w:lang w:val="es-ES"/>
        </w:rPr>
        <w:t>1</w:t>
      </w:r>
      <w:r w:rsidR="007655A3">
        <w:rPr>
          <w:rFonts w:ascii="Bookman Old Style" w:hAnsi="Bookman Old Style"/>
          <w:sz w:val="24"/>
          <w:szCs w:val="24"/>
          <w:lang w:val="es-ES"/>
        </w:rPr>
        <w:t xml:space="preserve"> </w:t>
      </w:r>
      <w:r w:rsidR="00347B14">
        <w:rPr>
          <w:rFonts w:ascii="Bookman Old Style" w:hAnsi="Bookman Old Style"/>
          <w:sz w:val="24"/>
          <w:szCs w:val="24"/>
          <w:lang w:val="es-ES"/>
        </w:rPr>
        <w:t>de la presente Resolución</w:t>
      </w:r>
      <w:r>
        <w:rPr>
          <w:rFonts w:ascii="Bookman Old Style" w:hAnsi="Bookman Old Style"/>
          <w:sz w:val="24"/>
          <w:szCs w:val="24"/>
          <w:lang w:val="es-ES"/>
        </w:rPr>
        <w:t>, el porcentaje de subsidio a aplicar e</w:t>
      </w:r>
      <w:r w:rsidRPr="001658C5">
        <w:rPr>
          <w:rFonts w:ascii="Bookman Old Style" w:hAnsi="Bookman Old Style"/>
          <w:sz w:val="24"/>
          <w:szCs w:val="24"/>
          <w:lang w:val="es-ES"/>
        </w:rPr>
        <w:t xml:space="preserve">n </w:t>
      </w:r>
      <w:r>
        <w:rPr>
          <w:rFonts w:ascii="Bookman Old Style" w:hAnsi="Bookman Old Style"/>
          <w:sz w:val="24"/>
          <w:szCs w:val="24"/>
          <w:lang w:val="es-ES"/>
        </w:rPr>
        <w:t xml:space="preserve">la facturación </w:t>
      </w:r>
      <w:r w:rsidRPr="001658C5">
        <w:rPr>
          <w:rFonts w:ascii="Bookman Old Style" w:hAnsi="Bookman Old Style"/>
          <w:sz w:val="24"/>
          <w:szCs w:val="24"/>
          <w:lang w:val="es-ES"/>
        </w:rPr>
        <w:t xml:space="preserve">siguiente al término de </w:t>
      </w:r>
      <w:r w:rsidR="00347B14">
        <w:rPr>
          <w:rFonts w:ascii="Bookman Old Style" w:hAnsi="Bookman Old Style"/>
          <w:sz w:val="24"/>
          <w:szCs w:val="24"/>
          <w:lang w:val="es-ES"/>
        </w:rPr>
        <w:t xml:space="preserve">vigencia del incremento al porcentaje </w:t>
      </w:r>
      <w:r w:rsidRPr="001658C5">
        <w:rPr>
          <w:rFonts w:ascii="Bookman Old Style" w:hAnsi="Bookman Old Style"/>
          <w:sz w:val="24"/>
          <w:szCs w:val="24"/>
          <w:lang w:val="es-ES"/>
        </w:rPr>
        <w:t>de  subsidios establecido en el Artículo 1 de la Resolución No. 40236 del Ministerio de Minas y Energía</w:t>
      </w:r>
      <w:r>
        <w:rPr>
          <w:rFonts w:ascii="Bookman Old Style" w:hAnsi="Bookman Old Style"/>
          <w:sz w:val="24"/>
          <w:szCs w:val="24"/>
          <w:lang w:val="es-ES"/>
        </w:rPr>
        <w:t>, deberá ser el mismo del contemplado en el Artículo 5° de la Resolución CREG 186 de 2010</w:t>
      </w:r>
      <w:r w:rsidR="00A01F42">
        <w:rPr>
          <w:rFonts w:ascii="Bookman Old Style" w:hAnsi="Bookman Old Style"/>
          <w:sz w:val="24"/>
          <w:szCs w:val="24"/>
          <w:lang w:val="es-ES"/>
        </w:rPr>
        <w:t>,</w:t>
      </w:r>
      <w:r>
        <w:rPr>
          <w:rFonts w:ascii="Bookman Old Style" w:hAnsi="Bookman Old Style"/>
          <w:sz w:val="24"/>
          <w:szCs w:val="24"/>
          <w:lang w:val="es-ES"/>
        </w:rPr>
        <w:t xml:space="preserve"> modificada por las Resoluciones CREG 186 de 2013 y 104 de 2020. </w:t>
      </w:r>
    </w:p>
    <w:p w14:paraId="7E41690E" w14:textId="570741DC" w:rsidR="002A6A86" w:rsidRDefault="002A6A86" w:rsidP="002A6A86">
      <w:pPr>
        <w:pStyle w:val="Prrafodelista"/>
        <w:ind w:left="0"/>
        <w:jc w:val="both"/>
        <w:rPr>
          <w:rFonts w:ascii="Bookman Old Style" w:hAnsi="Bookman Old Style"/>
          <w:b/>
          <w:bCs/>
          <w:sz w:val="22"/>
          <w:szCs w:val="22"/>
          <w:lang w:val="es-ES"/>
        </w:rPr>
      </w:pPr>
    </w:p>
    <w:p w14:paraId="4C768A2F" w14:textId="77777777" w:rsidR="00DF70DE" w:rsidRPr="003A19AA" w:rsidRDefault="00DF70DE" w:rsidP="002A6A86">
      <w:pPr>
        <w:pStyle w:val="Prrafodelista"/>
        <w:ind w:left="0"/>
        <w:jc w:val="both"/>
        <w:rPr>
          <w:rFonts w:ascii="Bookman Old Style" w:hAnsi="Bookman Old Style"/>
          <w:b/>
          <w:bCs/>
          <w:sz w:val="22"/>
          <w:szCs w:val="22"/>
          <w:lang w:val="es-ES"/>
        </w:rPr>
      </w:pPr>
    </w:p>
    <w:p w14:paraId="2E684C3A" w14:textId="426B76DD" w:rsidR="002A6A86" w:rsidRPr="00AD5771" w:rsidRDefault="002A6A86" w:rsidP="002A6A86">
      <w:pPr>
        <w:pStyle w:val="Ttulo1"/>
        <w:ind w:left="0"/>
        <w:jc w:val="both"/>
        <w:rPr>
          <w:rFonts w:ascii="Bookman Old Style" w:hAnsi="Bookman Old Style"/>
          <w:szCs w:val="24"/>
        </w:rPr>
      </w:pPr>
      <w:r w:rsidRPr="00AD5771">
        <w:rPr>
          <w:rFonts w:ascii="Bookman Old Style" w:hAnsi="Bookman Old Style"/>
          <w:szCs w:val="24"/>
        </w:rPr>
        <w:t xml:space="preserve">ARTÍCULO </w:t>
      </w:r>
      <w:r w:rsidR="00FF7FA0">
        <w:rPr>
          <w:rFonts w:ascii="Bookman Old Style" w:hAnsi="Bookman Old Style"/>
          <w:szCs w:val="24"/>
        </w:rPr>
        <w:t>3</w:t>
      </w:r>
      <w:r w:rsidRPr="00AD5771">
        <w:rPr>
          <w:rFonts w:ascii="Bookman Old Style" w:hAnsi="Bookman Old Style"/>
          <w:szCs w:val="24"/>
        </w:rPr>
        <w:t xml:space="preserve">. Vigencia de la Presente Resolución.  </w:t>
      </w:r>
      <w:r w:rsidRPr="00AD5771">
        <w:rPr>
          <w:rFonts w:ascii="Bookman Old Style" w:hAnsi="Bookman Old Style"/>
          <w:b w:val="0"/>
          <w:bCs/>
          <w:szCs w:val="24"/>
        </w:rPr>
        <w:t xml:space="preserve">La presente resolución rige a partir de la fecha de su publicación en el </w:t>
      </w:r>
      <w:r w:rsidRPr="00AD5771">
        <w:rPr>
          <w:rFonts w:ascii="Bookman Old Style" w:hAnsi="Bookman Old Style"/>
          <w:b w:val="0"/>
          <w:bCs/>
          <w:i/>
          <w:szCs w:val="24"/>
        </w:rPr>
        <w:t>Diario Oficial.</w:t>
      </w:r>
    </w:p>
    <w:p w14:paraId="72411692" w14:textId="77777777" w:rsidR="002A6A86" w:rsidRDefault="002A6A86" w:rsidP="002A6A86">
      <w:pPr>
        <w:autoSpaceDE w:val="0"/>
        <w:autoSpaceDN w:val="0"/>
        <w:adjustRightInd w:val="0"/>
        <w:ind w:left="0"/>
        <w:jc w:val="both"/>
        <w:rPr>
          <w:rFonts w:ascii="Bookman Old Style" w:hAnsi="Bookman Old Style"/>
          <w:color w:val="000000"/>
        </w:rPr>
      </w:pPr>
    </w:p>
    <w:p w14:paraId="5196F2A6" w14:textId="3CE171CF" w:rsidR="002A6A86" w:rsidRDefault="002A6A86" w:rsidP="002A6A86">
      <w:pPr>
        <w:tabs>
          <w:tab w:val="left" w:pos="1843"/>
        </w:tabs>
        <w:ind w:left="0"/>
        <w:jc w:val="center"/>
        <w:rPr>
          <w:rFonts w:ascii="Bookman Old Style" w:hAnsi="Bookman Old Style"/>
          <w:b/>
        </w:rPr>
      </w:pPr>
      <w:r w:rsidRPr="00AD5771">
        <w:rPr>
          <w:rFonts w:ascii="Bookman Old Style" w:hAnsi="Bookman Old Style"/>
          <w:b/>
        </w:rPr>
        <w:t>PUBLÍQUESE Y CÚMPLASE</w:t>
      </w:r>
    </w:p>
    <w:p w14:paraId="26E7B9F3" w14:textId="77777777" w:rsidR="002A6A86" w:rsidRPr="003A19AA" w:rsidRDefault="002A6A86" w:rsidP="002A6A86">
      <w:pPr>
        <w:autoSpaceDE w:val="0"/>
        <w:autoSpaceDN w:val="0"/>
        <w:adjustRightInd w:val="0"/>
        <w:ind w:left="0"/>
        <w:jc w:val="both"/>
        <w:rPr>
          <w:rFonts w:ascii="Bookman Old Style" w:hAnsi="Bookman Old Style"/>
          <w:color w:val="000000"/>
          <w:sz w:val="22"/>
          <w:szCs w:val="22"/>
        </w:rPr>
      </w:pPr>
    </w:p>
    <w:p w14:paraId="70891D1B" w14:textId="6D39C768" w:rsidR="002A6A86" w:rsidRPr="00A01F42" w:rsidRDefault="00A01F42" w:rsidP="002A6A86">
      <w:pPr>
        <w:ind w:left="0"/>
        <w:rPr>
          <w:rFonts w:ascii="Bookman Old Style" w:hAnsi="Bookman Old Style" w:cs="Arial"/>
          <w:color w:val="000000" w:themeColor="text1"/>
          <w:lang w:eastAsia="es-CO"/>
        </w:rPr>
      </w:pPr>
      <w:r w:rsidRPr="00A01F42">
        <w:rPr>
          <w:rFonts w:ascii="Bookman Old Style" w:hAnsi="Bookman Old Style" w:cs="Arial"/>
          <w:color w:val="000000" w:themeColor="text1"/>
          <w:lang w:eastAsia="es-CO"/>
        </w:rPr>
        <w:t>Firmas del Proyecto,</w:t>
      </w:r>
    </w:p>
    <w:p w14:paraId="572E8354" w14:textId="77777777" w:rsidR="002A6A86" w:rsidRPr="00AD5771" w:rsidRDefault="002A6A86" w:rsidP="002A6A86">
      <w:pPr>
        <w:ind w:left="0"/>
        <w:rPr>
          <w:rFonts w:ascii="Bookman Old Style" w:hAnsi="Bookman Old Style" w:cs="Arial"/>
          <w:color w:val="000000" w:themeColor="text1"/>
          <w:lang w:eastAsia="es-CO"/>
        </w:rPr>
      </w:pPr>
    </w:p>
    <w:p w14:paraId="2E71045C" w14:textId="77777777" w:rsidR="002A6A86" w:rsidRDefault="002A6A86" w:rsidP="002A6A86">
      <w:pPr>
        <w:autoSpaceDE w:val="0"/>
        <w:autoSpaceDN w:val="0"/>
        <w:adjustRightInd w:val="0"/>
        <w:ind w:left="0"/>
        <w:jc w:val="both"/>
        <w:rPr>
          <w:rFonts w:ascii="Bookman Old Style" w:hAnsi="Bookman Old Style"/>
          <w:color w:val="000000"/>
        </w:rPr>
      </w:pPr>
    </w:p>
    <w:p w14:paraId="40C104E7" w14:textId="5CA3D166" w:rsidR="002A6A86" w:rsidRDefault="002A6A86" w:rsidP="002A6A86">
      <w:pPr>
        <w:autoSpaceDE w:val="0"/>
        <w:autoSpaceDN w:val="0"/>
        <w:adjustRightInd w:val="0"/>
        <w:ind w:left="0"/>
        <w:jc w:val="both"/>
        <w:rPr>
          <w:rFonts w:ascii="Bookman Old Style" w:hAnsi="Bookman Old Style"/>
          <w:color w:val="000000"/>
        </w:rPr>
      </w:pPr>
    </w:p>
    <w:p w14:paraId="13A51032" w14:textId="3E6B1559" w:rsidR="00A01F42" w:rsidRDefault="00A01F42" w:rsidP="002A6A86">
      <w:pPr>
        <w:autoSpaceDE w:val="0"/>
        <w:autoSpaceDN w:val="0"/>
        <w:adjustRightInd w:val="0"/>
        <w:ind w:left="0"/>
        <w:jc w:val="both"/>
        <w:rPr>
          <w:rFonts w:ascii="Bookman Old Style" w:hAnsi="Bookman Old Style"/>
          <w:color w:val="000000"/>
        </w:rPr>
      </w:pPr>
    </w:p>
    <w:p w14:paraId="2D1EC03D" w14:textId="77777777" w:rsidR="00A01F42" w:rsidRDefault="00A01F42" w:rsidP="002A6A86">
      <w:pPr>
        <w:autoSpaceDE w:val="0"/>
        <w:autoSpaceDN w:val="0"/>
        <w:adjustRightInd w:val="0"/>
        <w:ind w:left="0"/>
        <w:jc w:val="both"/>
        <w:rPr>
          <w:rFonts w:ascii="Bookman Old Style" w:hAnsi="Bookman Old Style"/>
          <w:color w:val="000000"/>
        </w:rPr>
      </w:pPr>
    </w:p>
    <w:p w14:paraId="47E5F6B2" w14:textId="77777777" w:rsidR="002A6A86" w:rsidRPr="00AD5771" w:rsidRDefault="002A6A86" w:rsidP="002A6A86">
      <w:pPr>
        <w:autoSpaceDE w:val="0"/>
        <w:autoSpaceDN w:val="0"/>
        <w:adjustRightInd w:val="0"/>
        <w:ind w:left="0"/>
        <w:jc w:val="both"/>
        <w:rPr>
          <w:rFonts w:ascii="Bookman Old Style" w:hAnsi="Bookman Old Style"/>
          <w:color w:val="000000"/>
        </w:rPr>
      </w:pPr>
    </w:p>
    <w:tbl>
      <w:tblPr>
        <w:tblW w:w="5396" w:type="pct"/>
        <w:jc w:val="center"/>
        <w:tblCellMar>
          <w:left w:w="70" w:type="dxa"/>
          <w:right w:w="70" w:type="dxa"/>
        </w:tblCellMar>
        <w:tblLook w:val="04A0" w:firstRow="1" w:lastRow="0" w:firstColumn="1" w:lastColumn="0" w:noHBand="0" w:noVBand="1"/>
      </w:tblPr>
      <w:tblGrid>
        <w:gridCol w:w="4935"/>
        <w:gridCol w:w="5162"/>
      </w:tblGrid>
      <w:tr w:rsidR="002A6A86" w:rsidRPr="00CF7B29" w14:paraId="284623FF" w14:textId="77777777" w:rsidTr="001428E1">
        <w:trPr>
          <w:trHeight w:val="355"/>
          <w:jc w:val="center"/>
        </w:trPr>
        <w:tc>
          <w:tcPr>
            <w:tcW w:w="2444" w:type="pct"/>
            <w:hideMark/>
          </w:tcPr>
          <w:p w14:paraId="5C35F044" w14:textId="1F1ABC31" w:rsidR="002A6A86" w:rsidRPr="00CF7B29" w:rsidRDefault="008251D1" w:rsidP="001428E1">
            <w:pPr>
              <w:ind w:left="0"/>
              <w:jc w:val="center"/>
              <w:rPr>
                <w:rFonts w:ascii="Bookman Old Style" w:hAnsi="Bookman Old Style" w:cs="Arial"/>
                <w:b/>
                <w:spacing w:val="-3"/>
                <w:lang w:val="es-ES_tradnl"/>
              </w:rPr>
            </w:pPr>
            <w:r w:rsidRPr="00CF7B29">
              <w:rPr>
                <w:rFonts w:ascii="Bookman Old Style" w:hAnsi="Bookman Old Style" w:cs="Arial"/>
                <w:b/>
              </w:rPr>
              <w:t>DIEGO MESA PUYO</w:t>
            </w:r>
            <w:r w:rsidR="002A6A86" w:rsidRPr="00CF7B29">
              <w:rPr>
                <w:rFonts w:ascii="Bookman Old Style" w:hAnsi="Bookman Old Style" w:cs="Arial"/>
                <w:b/>
                <w:spacing w:val="-3"/>
              </w:rPr>
              <w:t xml:space="preserve">  </w:t>
            </w:r>
          </w:p>
        </w:tc>
        <w:tc>
          <w:tcPr>
            <w:tcW w:w="2556" w:type="pct"/>
            <w:hideMark/>
          </w:tcPr>
          <w:p w14:paraId="1C4F463C" w14:textId="77777777" w:rsidR="002A6A86" w:rsidRPr="00CF7B29" w:rsidRDefault="002A6A86" w:rsidP="001428E1">
            <w:pPr>
              <w:ind w:left="0" w:right="-66"/>
              <w:jc w:val="center"/>
              <w:rPr>
                <w:rFonts w:ascii="Bookman Old Style" w:hAnsi="Bookman Old Style" w:cs="Arial"/>
                <w:b/>
                <w:spacing w:val="-3"/>
                <w:lang w:val="es-ES_tradnl"/>
              </w:rPr>
            </w:pPr>
            <w:r w:rsidRPr="00CF7B29">
              <w:rPr>
                <w:rFonts w:ascii="Bookman Old Style" w:hAnsi="Bookman Old Style" w:cs="Arial"/>
                <w:b/>
                <w:spacing w:val="-3"/>
                <w:lang w:val="es-ES_tradnl"/>
              </w:rPr>
              <w:t>JORGE ALBERTO VALENCIA MARÍN</w:t>
            </w:r>
          </w:p>
        </w:tc>
      </w:tr>
      <w:tr w:rsidR="002A6A86" w:rsidRPr="00211435" w14:paraId="757E0117" w14:textId="77777777" w:rsidTr="001428E1">
        <w:trPr>
          <w:trHeight w:val="673"/>
          <w:jc w:val="center"/>
        </w:trPr>
        <w:tc>
          <w:tcPr>
            <w:tcW w:w="2444" w:type="pct"/>
            <w:hideMark/>
          </w:tcPr>
          <w:p w14:paraId="25DFA9F5" w14:textId="31F90EAA" w:rsidR="002A6A86" w:rsidRPr="00CF7B29" w:rsidRDefault="002A6A86" w:rsidP="001428E1">
            <w:pPr>
              <w:ind w:left="0"/>
              <w:jc w:val="center"/>
              <w:rPr>
                <w:rFonts w:ascii="Bookman Old Style" w:hAnsi="Bookman Old Style" w:cs="Arial"/>
                <w:spacing w:val="-3"/>
              </w:rPr>
            </w:pPr>
            <w:r w:rsidRPr="00CF7B29">
              <w:rPr>
                <w:rFonts w:ascii="Bookman Old Style" w:hAnsi="Bookman Old Style" w:cs="Arial"/>
                <w:spacing w:val="-3"/>
              </w:rPr>
              <w:t>Ministr</w:t>
            </w:r>
            <w:r w:rsidR="008251D1" w:rsidRPr="00CF7B29">
              <w:rPr>
                <w:rFonts w:ascii="Bookman Old Style" w:hAnsi="Bookman Old Style" w:cs="Arial"/>
                <w:spacing w:val="-3"/>
              </w:rPr>
              <w:t>o</w:t>
            </w:r>
            <w:r w:rsidRPr="00CF7B29">
              <w:rPr>
                <w:rFonts w:ascii="Bookman Old Style" w:hAnsi="Bookman Old Style" w:cs="Arial"/>
                <w:spacing w:val="-3"/>
              </w:rPr>
              <w:t xml:space="preserve"> de Minas y Energía</w:t>
            </w:r>
          </w:p>
          <w:p w14:paraId="1087D7F3" w14:textId="77777777" w:rsidR="002A6A86" w:rsidRPr="00CF7B29" w:rsidRDefault="002A6A86" w:rsidP="001428E1">
            <w:pPr>
              <w:ind w:left="0"/>
              <w:jc w:val="center"/>
              <w:rPr>
                <w:rFonts w:ascii="Bookman Old Style" w:hAnsi="Bookman Old Style" w:cs="Arial"/>
                <w:spacing w:val="-3"/>
                <w:lang w:val="es-ES_tradnl"/>
              </w:rPr>
            </w:pPr>
            <w:r w:rsidRPr="00CF7B29">
              <w:rPr>
                <w:rFonts w:ascii="Bookman Old Style" w:hAnsi="Bookman Old Style" w:cs="Arial"/>
                <w:spacing w:val="-3"/>
              </w:rPr>
              <w:t>Presidente</w:t>
            </w:r>
          </w:p>
        </w:tc>
        <w:tc>
          <w:tcPr>
            <w:tcW w:w="2556" w:type="pct"/>
            <w:hideMark/>
          </w:tcPr>
          <w:p w14:paraId="467444BE" w14:textId="77777777" w:rsidR="002A6A86" w:rsidRPr="00211435" w:rsidRDefault="002A6A86" w:rsidP="001428E1">
            <w:pPr>
              <w:ind w:left="0"/>
              <w:jc w:val="center"/>
              <w:rPr>
                <w:rFonts w:ascii="Bookman Old Style" w:hAnsi="Bookman Old Style" w:cs="Arial"/>
                <w:spacing w:val="-3"/>
                <w:lang w:val="es-ES_tradnl"/>
              </w:rPr>
            </w:pPr>
            <w:r w:rsidRPr="00CF7B29">
              <w:rPr>
                <w:rFonts w:ascii="Bookman Old Style" w:hAnsi="Bookman Old Style" w:cs="Arial"/>
                <w:spacing w:val="-3"/>
                <w:lang w:val="es-ES_tradnl"/>
              </w:rPr>
              <w:t>Director Ejecutivo</w:t>
            </w:r>
          </w:p>
        </w:tc>
      </w:tr>
    </w:tbl>
    <w:p w14:paraId="7DFCC7E9" w14:textId="77777777" w:rsidR="002A6A86" w:rsidRPr="001C235C" w:rsidRDefault="002A6A86" w:rsidP="002A6A86">
      <w:pPr>
        <w:ind w:left="0"/>
        <w:rPr>
          <w:rFonts w:ascii="Bookman Old Style" w:hAnsi="Bookman Old Style" w:cs="Arial"/>
        </w:rPr>
      </w:pPr>
    </w:p>
    <w:p w14:paraId="1533B13E" w14:textId="77777777" w:rsidR="00E31B35" w:rsidRPr="001C235C" w:rsidRDefault="00E31B35" w:rsidP="003A19AA">
      <w:pPr>
        <w:ind w:left="0"/>
        <w:rPr>
          <w:rFonts w:ascii="Bookman Old Style" w:hAnsi="Bookman Old Style" w:cs="Arial"/>
        </w:rPr>
      </w:pPr>
    </w:p>
    <w:sectPr w:rsidR="00E31B35" w:rsidRPr="001C235C"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8EC66" w14:textId="77777777" w:rsidR="00813C73" w:rsidRDefault="00813C73">
      <w:r>
        <w:separator/>
      </w:r>
    </w:p>
  </w:endnote>
  <w:endnote w:type="continuationSeparator" w:id="0">
    <w:p w14:paraId="1EF21ECC" w14:textId="77777777" w:rsidR="00813C73" w:rsidRDefault="00813C73">
      <w:r>
        <w:continuationSeparator/>
      </w:r>
    </w:p>
  </w:endnote>
  <w:endnote w:type="continuationNotice" w:id="1">
    <w:p w14:paraId="54D315AB" w14:textId="77777777" w:rsidR="00813C73" w:rsidRDefault="00813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BEB87" w14:textId="77777777" w:rsidR="00813C73" w:rsidRDefault="00813C73">
      <w:r>
        <w:separator/>
      </w:r>
    </w:p>
  </w:footnote>
  <w:footnote w:type="continuationSeparator" w:id="0">
    <w:p w14:paraId="658B5178" w14:textId="77777777" w:rsidR="00813C73" w:rsidRDefault="00813C73">
      <w:r>
        <w:continuationSeparator/>
      </w:r>
    </w:p>
  </w:footnote>
  <w:footnote w:type="continuationNotice" w:id="1">
    <w:p w14:paraId="1079E755" w14:textId="77777777" w:rsidR="00813C73" w:rsidRDefault="00813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8BBB8" w14:textId="77777777" w:rsidR="00967374" w:rsidRDefault="00967374" w:rsidP="00CF7B29">
    <w:pPr>
      <w:pStyle w:val="Ttulo1"/>
      <w:ind w:left="0" w:right="6"/>
      <w:jc w:val="left"/>
      <w:rPr>
        <w:rFonts w:ascii="Bookman Old Style" w:hAnsi="Bookman Old Style" w:cs="Arial"/>
        <w:b w:val="0"/>
        <w:sz w:val="22"/>
        <w:szCs w:val="22"/>
      </w:rPr>
    </w:pPr>
  </w:p>
  <w:p w14:paraId="77D67B39" w14:textId="19C2B4EA" w:rsidR="00967374" w:rsidRPr="00951F79" w:rsidRDefault="0096737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Pr="00E104BE">
      <w:rPr>
        <w:rFonts w:ascii="Bookman Old Style" w:hAnsi="Bookman Old Style" w:cs="Arial"/>
        <w:b w:val="0"/>
        <w:szCs w:val="24"/>
      </w:rPr>
      <w:t>.</w:t>
    </w:r>
    <w:r w:rsidRPr="00E104BE">
      <w:rPr>
        <w:rFonts w:ascii="Bookman Old Style" w:hAnsi="Bookman Old Style" w:cs="Arial"/>
        <w:bCs/>
        <w:szCs w:val="24"/>
        <w:u w:val="single"/>
      </w:rPr>
      <w:t xml:space="preserve">   </w:t>
    </w:r>
    <w:proofErr w:type="gramEnd"/>
    <w:r w:rsidRPr="00E104BE">
      <w:rPr>
        <w:rFonts w:ascii="Bookman Old Style" w:hAnsi="Bookman Old Style" w:cs="Arial"/>
        <w:bCs/>
        <w:szCs w:val="24"/>
        <w:u w:val="single"/>
      </w:rPr>
      <w:t xml:space="preserve"> </w:t>
    </w:r>
    <w:r w:rsidR="00CF7B29">
      <w:rPr>
        <w:rFonts w:ascii="Bookman Old Style" w:hAnsi="Bookman Old Style" w:cs="Arial"/>
        <w:bCs/>
        <w:szCs w:val="24"/>
        <w:u w:val="single"/>
      </w:rPr>
      <w:t xml:space="preserve">162  </w:t>
    </w:r>
    <w:r w:rsidRPr="00E104BE">
      <w:rPr>
        <w:rFonts w:ascii="Bookman Old Style" w:hAnsi="Bookman Old Style" w:cs="Arial"/>
        <w:bCs/>
        <w:sz w:val="22"/>
        <w:szCs w:val="22"/>
        <w:u w:val="single"/>
      </w:rPr>
      <w:t xml:space="preserve"> </w:t>
    </w:r>
    <w:r w:rsidRPr="00E104BE">
      <w:rPr>
        <w:rFonts w:ascii="Bookman Old Style" w:hAnsi="Bookman Old Style" w:cs="Arial"/>
        <w:b w:val="0"/>
        <w:sz w:val="22"/>
        <w:szCs w:val="22"/>
      </w:rPr>
      <w:t xml:space="preserve"> </w:t>
    </w:r>
    <w:r>
      <w:rPr>
        <w:rFonts w:ascii="Bookman Old Style" w:hAnsi="Bookman Old Style" w:cs="Arial"/>
        <w:b w:val="0"/>
        <w:sz w:val="22"/>
        <w:szCs w:val="22"/>
      </w:rPr>
      <w:t xml:space="preserve"> DE   </w:t>
    </w:r>
    <w:r w:rsidR="00CF7B29">
      <w:rPr>
        <w:rFonts w:ascii="Bookman Old Style" w:hAnsi="Bookman Old Style" w:cs="Arial"/>
        <w:bCs/>
        <w:szCs w:val="24"/>
        <w:u w:val="single"/>
      </w:rPr>
      <w:t>24</w:t>
    </w:r>
    <w:r w:rsidR="00E779C1">
      <w:rPr>
        <w:rFonts w:ascii="Bookman Old Style" w:hAnsi="Bookman Old Style" w:cs="Arial"/>
        <w:bCs/>
        <w:szCs w:val="24"/>
        <w:u w:val="single"/>
      </w:rPr>
      <w:t xml:space="preserve"> DE AGO</w:t>
    </w:r>
    <w:r w:rsidRPr="00E104BE">
      <w:rPr>
        <w:rFonts w:ascii="Bookman Old Style" w:hAnsi="Bookman Old Style" w:cs="Arial"/>
        <w:bCs/>
        <w:szCs w:val="24"/>
        <w:u w:val="single"/>
      </w:rPr>
      <w:t xml:space="preserve"> 2020</w:t>
    </w:r>
    <w:r>
      <w:rPr>
        <w:rFonts w:ascii="Bookman Old Style" w:hAnsi="Bookman Old Style" w:cs="Arial"/>
        <w:b w:val="0"/>
        <w:sz w:val="22"/>
        <w:szCs w:val="22"/>
      </w:rPr>
      <w:t xml:space="preserve">     </w:t>
    </w:r>
    <w:r w:rsidR="006B2333">
      <w:rPr>
        <w:rFonts w:ascii="Bookman Old Style" w:hAnsi="Bookman Old Style" w:cs="Arial"/>
        <w:b w:val="0"/>
        <w:sz w:val="22"/>
        <w:szCs w:val="22"/>
      </w:rPr>
      <w:tab/>
    </w:r>
    <w:r w:rsidR="00D737C3">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33C8E">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57AFF">
      <w:fldChar w:fldCharType="begin"/>
    </w:r>
    <w:r w:rsidR="00D57AFF">
      <w:instrText>NUMPAGES  \* MERGEFORMAT</w:instrText>
    </w:r>
    <w:r w:rsidR="00D57AFF">
      <w:fldChar w:fldCharType="separate"/>
    </w:r>
    <w:r w:rsidR="00133C8E" w:rsidRPr="00133C8E">
      <w:rPr>
        <w:rFonts w:ascii="Bookman Old Style" w:hAnsi="Bookman Old Style" w:cs="Arial"/>
        <w:b w:val="0"/>
        <w:noProof/>
        <w:sz w:val="22"/>
        <w:szCs w:val="22"/>
      </w:rPr>
      <w:t>6</w:t>
    </w:r>
    <w:r w:rsidR="00D57AFF">
      <w:rPr>
        <w:rFonts w:ascii="Bookman Old Style" w:hAnsi="Bookman Old Style" w:cs="Arial"/>
        <w:b w:val="0"/>
        <w:noProof/>
        <w:sz w:val="22"/>
        <w:szCs w:val="22"/>
      </w:rPr>
      <w:fldChar w:fldCharType="end"/>
    </w:r>
  </w:p>
  <w:p w14:paraId="7A4243CC" w14:textId="77777777" w:rsidR="00967374" w:rsidRDefault="0096737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6A421" id="Rectangle 1" o:spid="_x0000_s1026"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" filled="f" strokeweight="1.5pt"/>
          </w:pict>
        </mc:Fallback>
      </mc:AlternateContent>
    </w:r>
  </w:p>
  <w:p w14:paraId="56BD8354" w14:textId="1E96AC01" w:rsidR="00967374" w:rsidRDefault="00FF7FA0" w:rsidP="00B31302">
    <w:pPr>
      <w:ind w:left="0"/>
      <w:jc w:val="both"/>
      <w:rPr>
        <w:rFonts w:ascii="Bookman Old Style" w:hAnsi="Bookman Old Style"/>
        <w:bCs/>
        <w:i/>
        <w:iCs/>
        <w:sz w:val="20"/>
        <w:szCs w:val="20"/>
      </w:rPr>
    </w:pPr>
    <w:r w:rsidRPr="00FF7FA0">
      <w:rPr>
        <w:rFonts w:ascii="Bookman Old Style" w:hAnsi="Bookman Old Style"/>
        <w:bCs/>
        <w:sz w:val="20"/>
        <w:szCs w:val="20"/>
      </w:rPr>
      <w:t xml:space="preserve">Por la cual se ordena hacer público un proyecto de </w:t>
    </w:r>
    <w:bookmarkStart w:id="1" w:name="_Hlk49237810"/>
    <w:bookmarkStart w:id="2" w:name="_Hlk49237811"/>
    <w:r w:rsidRPr="00FF7FA0">
      <w:rPr>
        <w:rFonts w:ascii="Bookman Old Style" w:hAnsi="Bookman Old Style"/>
        <w:bCs/>
        <w:sz w:val="20"/>
        <w:szCs w:val="20"/>
      </w:rPr>
      <w:t>resolución</w:t>
    </w:r>
    <w:r w:rsidRPr="00FF7FA0">
      <w:rPr>
        <w:rFonts w:ascii="Bookman Old Style" w:hAnsi="Bookman Old Style"/>
        <w:bCs/>
        <w:i/>
        <w:iCs/>
        <w:sz w:val="20"/>
        <w:szCs w:val="20"/>
      </w:rPr>
      <w:t xml:space="preserve"> “Por la cual se adoptan medidas transitorias en relación con la aplicación por parte de los comercializadores de gas para uso domiciliario distribuido por red de tuberías del incremento al porcentaje de subsidios establecido en la Resolución MME </w:t>
    </w:r>
    <w:r w:rsidR="002825A2">
      <w:rPr>
        <w:rFonts w:ascii="Bookman Old Style" w:hAnsi="Bookman Old Style"/>
        <w:bCs/>
        <w:i/>
        <w:iCs/>
        <w:sz w:val="20"/>
        <w:szCs w:val="20"/>
      </w:rPr>
      <w:t>4</w:t>
    </w:r>
    <w:r w:rsidRPr="00FF7FA0">
      <w:rPr>
        <w:rFonts w:ascii="Bookman Old Style" w:hAnsi="Bookman Old Style"/>
        <w:bCs/>
        <w:i/>
        <w:iCs/>
        <w:sz w:val="20"/>
        <w:szCs w:val="20"/>
      </w:rPr>
      <w:t>0236 de 2020 para los usuarios de los estratos 1 y 2 del servicio de Gas Combustible”</w:t>
    </w:r>
    <w:bookmarkEnd w:id="1"/>
    <w:bookmarkEnd w:id="2"/>
  </w:p>
  <w:p w14:paraId="2D2F3DF2" w14:textId="77777777" w:rsidR="00E21DB1" w:rsidRPr="00FF7FA0" w:rsidRDefault="00E21DB1" w:rsidP="00B31302">
    <w:pPr>
      <w:ind w:left="0"/>
      <w:jc w:val="both"/>
      <w:rPr>
        <w:rFonts w:ascii="Bookman Old Style" w:hAnsi="Bookman Old Style"/>
        <w:bCs/>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41BB8" w14:textId="77777777" w:rsidR="00967374" w:rsidRDefault="00967374"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33854F0" w14:textId="77777777" w:rsidR="00967374" w:rsidRDefault="00967374">
    <w:pPr>
      <w:pStyle w:val="Encabezado"/>
      <w:jc w:val="center"/>
      <w:rPr>
        <w:rFonts w:ascii="Arial" w:hAnsi="Arial" w:cs="Arial"/>
        <w:spacing w:val="20"/>
        <w:sz w:val="20"/>
      </w:rPr>
    </w:pPr>
  </w:p>
  <w:p w14:paraId="731F2EA9" w14:textId="77777777" w:rsidR="00967374" w:rsidRDefault="0096737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FA3A0CB" wp14:editId="035C6597">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DADA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A54A8"/>
    <w:multiLevelType w:val="hybridMultilevel"/>
    <w:tmpl w:val="0B80A7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97738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B412862"/>
    <w:multiLevelType w:val="hybridMultilevel"/>
    <w:tmpl w:val="D6807706"/>
    <w:lvl w:ilvl="0" w:tplc="89E0F3C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2DE00A8"/>
    <w:multiLevelType w:val="hybridMultilevel"/>
    <w:tmpl w:val="C76AA288"/>
    <w:lvl w:ilvl="0" w:tplc="C1B6FB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67057C"/>
    <w:multiLevelType w:val="hybridMultilevel"/>
    <w:tmpl w:val="57803344"/>
    <w:lvl w:ilvl="0" w:tplc="95F43A42">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BC1482B"/>
    <w:multiLevelType w:val="hybridMultilevel"/>
    <w:tmpl w:val="06683888"/>
    <w:lvl w:ilvl="0" w:tplc="CFF2F9A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F145312"/>
    <w:multiLevelType w:val="hybridMultilevel"/>
    <w:tmpl w:val="57803344"/>
    <w:lvl w:ilvl="0" w:tplc="95F43A42">
      <w:start w:val="1"/>
      <w:numFmt w:val="lowerRoman"/>
      <w:lvlText w:val="%1."/>
      <w:lvlJc w:val="left"/>
      <w:pPr>
        <w:ind w:left="851" w:hanging="720"/>
      </w:pPr>
      <w:rPr>
        <w:rFonts w:hint="default"/>
      </w:rPr>
    </w:lvl>
    <w:lvl w:ilvl="1" w:tplc="240A0019" w:tentative="1">
      <w:start w:val="1"/>
      <w:numFmt w:val="lowerLetter"/>
      <w:lvlText w:val="%2."/>
      <w:lvlJc w:val="left"/>
      <w:pPr>
        <w:ind w:left="1211" w:hanging="360"/>
      </w:pPr>
    </w:lvl>
    <w:lvl w:ilvl="2" w:tplc="240A001B" w:tentative="1">
      <w:start w:val="1"/>
      <w:numFmt w:val="lowerRoman"/>
      <w:lvlText w:val="%3."/>
      <w:lvlJc w:val="right"/>
      <w:pPr>
        <w:ind w:left="1931" w:hanging="180"/>
      </w:pPr>
    </w:lvl>
    <w:lvl w:ilvl="3" w:tplc="240A000F" w:tentative="1">
      <w:start w:val="1"/>
      <w:numFmt w:val="decimal"/>
      <w:lvlText w:val="%4."/>
      <w:lvlJc w:val="left"/>
      <w:pPr>
        <w:ind w:left="2651" w:hanging="360"/>
      </w:pPr>
    </w:lvl>
    <w:lvl w:ilvl="4" w:tplc="240A0019" w:tentative="1">
      <w:start w:val="1"/>
      <w:numFmt w:val="lowerLetter"/>
      <w:lvlText w:val="%5."/>
      <w:lvlJc w:val="left"/>
      <w:pPr>
        <w:ind w:left="3371" w:hanging="360"/>
      </w:pPr>
    </w:lvl>
    <w:lvl w:ilvl="5" w:tplc="240A001B" w:tentative="1">
      <w:start w:val="1"/>
      <w:numFmt w:val="lowerRoman"/>
      <w:lvlText w:val="%6."/>
      <w:lvlJc w:val="right"/>
      <w:pPr>
        <w:ind w:left="4091" w:hanging="180"/>
      </w:pPr>
    </w:lvl>
    <w:lvl w:ilvl="6" w:tplc="240A000F" w:tentative="1">
      <w:start w:val="1"/>
      <w:numFmt w:val="decimal"/>
      <w:lvlText w:val="%7."/>
      <w:lvlJc w:val="left"/>
      <w:pPr>
        <w:ind w:left="4811" w:hanging="360"/>
      </w:pPr>
    </w:lvl>
    <w:lvl w:ilvl="7" w:tplc="240A0019" w:tentative="1">
      <w:start w:val="1"/>
      <w:numFmt w:val="lowerLetter"/>
      <w:lvlText w:val="%8."/>
      <w:lvlJc w:val="left"/>
      <w:pPr>
        <w:ind w:left="5531" w:hanging="360"/>
      </w:pPr>
    </w:lvl>
    <w:lvl w:ilvl="8" w:tplc="240A001B" w:tentative="1">
      <w:start w:val="1"/>
      <w:numFmt w:val="lowerRoman"/>
      <w:lvlText w:val="%9."/>
      <w:lvlJc w:val="right"/>
      <w:pPr>
        <w:ind w:left="6251" w:hanging="180"/>
      </w:pPr>
    </w:lvl>
  </w:abstractNum>
  <w:abstractNum w:abstractNumId="12" w15:restartNumberingAfterBreak="0">
    <w:nsid w:val="648D53D4"/>
    <w:multiLevelType w:val="hybridMultilevel"/>
    <w:tmpl w:val="5EC40454"/>
    <w:lvl w:ilvl="0" w:tplc="83CA4AD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4"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15" w15:restartNumberingAfterBreak="0">
    <w:nsid w:val="73A25827"/>
    <w:multiLevelType w:val="hybridMultilevel"/>
    <w:tmpl w:val="32A089AC"/>
    <w:lvl w:ilvl="0" w:tplc="5478DAB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AD5E43"/>
    <w:multiLevelType w:val="hybridMultilevel"/>
    <w:tmpl w:val="5C84B200"/>
    <w:lvl w:ilvl="0" w:tplc="24AEA0C2">
      <w:start w:val="1"/>
      <w:numFmt w:val="lowerLetter"/>
      <w:lvlText w:val="%1)"/>
      <w:lvlJc w:val="left"/>
      <w:pPr>
        <w:ind w:left="1571" w:hanging="360"/>
      </w:pPr>
      <w:rPr>
        <w:b w:val="0"/>
        <w:sz w:val="24"/>
        <w:szCs w:val="24"/>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num w:numId="1">
    <w:abstractNumId w:val="1"/>
  </w:num>
  <w:num w:numId="2">
    <w:abstractNumId w:val="14"/>
  </w:num>
  <w:num w:numId="3">
    <w:abstractNumId w:val="10"/>
  </w:num>
  <w:num w:numId="4">
    <w:abstractNumId w:val="13"/>
  </w:num>
  <w:num w:numId="5">
    <w:abstractNumId w:val="4"/>
  </w:num>
  <w:num w:numId="6">
    <w:abstractNumId w:val="15"/>
  </w:num>
  <w:num w:numId="7">
    <w:abstractNumId w:val="2"/>
  </w:num>
  <w:num w:numId="8">
    <w:abstractNumId w:val="16"/>
  </w:num>
  <w:num w:numId="9">
    <w:abstractNumId w:val="7"/>
  </w:num>
  <w:num w:numId="10">
    <w:abstractNumId w:val="3"/>
  </w:num>
  <w:num w:numId="11">
    <w:abstractNumId w:val="9"/>
  </w:num>
  <w:num w:numId="12">
    <w:abstractNumId w:val="12"/>
  </w:num>
  <w:num w:numId="13">
    <w:abstractNumId w:val="6"/>
  </w:num>
  <w:num w:numId="14">
    <w:abstractNumId w:val="11"/>
  </w:num>
  <w:num w:numId="15">
    <w:abstractNumId w:val="5"/>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Formatting/>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0E9"/>
    <w:rsid w:val="00001656"/>
    <w:rsid w:val="00001EF7"/>
    <w:rsid w:val="00002F35"/>
    <w:rsid w:val="000035D8"/>
    <w:rsid w:val="000043EE"/>
    <w:rsid w:val="00004771"/>
    <w:rsid w:val="000048CF"/>
    <w:rsid w:val="00005474"/>
    <w:rsid w:val="00005E6A"/>
    <w:rsid w:val="000063DB"/>
    <w:rsid w:val="00006AE2"/>
    <w:rsid w:val="000076A1"/>
    <w:rsid w:val="00007FA4"/>
    <w:rsid w:val="00010519"/>
    <w:rsid w:val="000109AB"/>
    <w:rsid w:val="00011554"/>
    <w:rsid w:val="000117E2"/>
    <w:rsid w:val="00012259"/>
    <w:rsid w:val="00012FF5"/>
    <w:rsid w:val="0001308F"/>
    <w:rsid w:val="00014270"/>
    <w:rsid w:val="00014494"/>
    <w:rsid w:val="00015C2D"/>
    <w:rsid w:val="00016485"/>
    <w:rsid w:val="0002016E"/>
    <w:rsid w:val="00022653"/>
    <w:rsid w:val="00022E36"/>
    <w:rsid w:val="00023077"/>
    <w:rsid w:val="0002463B"/>
    <w:rsid w:val="00025383"/>
    <w:rsid w:val="0002594D"/>
    <w:rsid w:val="00026312"/>
    <w:rsid w:val="0002647B"/>
    <w:rsid w:val="000269DB"/>
    <w:rsid w:val="00026A44"/>
    <w:rsid w:val="0002758D"/>
    <w:rsid w:val="00027613"/>
    <w:rsid w:val="00030581"/>
    <w:rsid w:val="0003149D"/>
    <w:rsid w:val="0003357B"/>
    <w:rsid w:val="00036187"/>
    <w:rsid w:val="00036B0C"/>
    <w:rsid w:val="00037645"/>
    <w:rsid w:val="00037BA8"/>
    <w:rsid w:val="00040754"/>
    <w:rsid w:val="00042618"/>
    <w:rsid w:val="000445E9"/>
    <w:rsid w:val="00045D3D"/>
    <w:rsid w:val="00047117"/>
    <w:rsid w:val="00047282"/>
    <w:rsid w:val="000473B1"/>
    <w:rsid w:val="00047884"/>
    <w:rsid w:val="000511CB"/>
    <w:rsid w:val="00051AED"/>
    <w:rsid w:val="000527ED"/>
    <w:rsid w:val="00052B53"/>
    <w:rsid w:val="00054171"/>
    <w:rsid w:val="00054705"/>
    <w:rsid w:val="00055FAF"/>
    <w:rsid w:val="0005731D"/>
    <w:rsid w:val="000603B7"/>
    <w:rsid w:val="000608BF"/>
    <w:rsid w:val="00062672"/>
    <w:rsid w:val="00063657"/>
    <w:rsid w:val="000649D5"/>
    <w:rsid w:val="00064EB3"/>
    <w:rsid w:val="0006623F"/>
    <w:rsid w:val="0006778D"/>
    <w:rsid w:val="000716AF"/>
    <w:rsid w:val="000730F2"/>
    <w:rsid w:val="000752AE"/>
    <w:rsid w:val="00075426"/>
    <w:rsid w:val="00075A0D"/>
    <w:rsid w:val="000761E5"/>
    <w:rsid w:val="00076680"/>
    <w:rsid w:val="0007694F"/>
    <w:rsid w:val="00076A1D"/>
    <w:rsid w:val="000771A6"/>
    <w:rsid w:val="0008073E"/>
    <w:rsid w:val="00080BF2"/>
    <w:rsid w:val="00080C32"/>
    <w:rsid w:val="00080D86"/>
    <w:rsid w:val="00081333"/>
    <w:rsid w:val="00082B6D"/>
    <w:rsid w:val="00083519"/>
    <w:rsid w:val="00083D38"/>
    <w:rsid w:val="00083E01"/>
    <w:rsid w:val="0008471F"/>
    <w:rsid w:val="0008472C"/>
    <w:rsid w:val="00085142"/>
    <w:rsid w:val="00086B54"/>
    <w:rsid w:val="00086FB3"/>
    <w:rsid w:val="00091141"/>
    <w:rsid w:val="00091351"/>
    <w:rsid w:val="00091C7D"/>
    <w:rsid w:val="00091CDB"/>
    <w:rsid w:val="00091D4D"/>
    <w:rsid w:val="00092CFF"/>
    <w:rsid w:val="00096BA8"/>
    <w:rsid w:val="000A0B9D"/>
    <w:rsid w:val="000A19AC"/>
    <w:rsid w:val="000A1F6A"/>
    <w:rsid w:val="000A218C"/>
    <w:rsid w:val="000A2D06"/>
    <w:rsid w:val="000A3257"/>
    <w:rsid w:val="000A6B7C"/>
    <w:rsid w:val="000A70F9"/>
    <w:rsid w:val="000B1B24"/>
    <w:rsid w:val="000B1D81"/>
    <w:rsid w:val="000B238D"/>
    <w:rsid w:val="000B2EC9"/>
    <w:rsid w:val="000B4077"/>
    <w:rsid w:val="000B4520"/>
    <w:rsid w:val="000B4E09"/>
    <w:rsid w:val="000B5008"/>
    <w:rsid w:val="000B5728"/>
    <w:rsid w:val="000B6B13"/>
    <w:rsid w:val="000B6CAE"/>
    <w:rsid w:val="000B7806"/>
    <w:rsid w:val="000C4990"/>
    <w:rsid w:val="000C4F37"/>
    <w:rsid w:val="000C74A5"/>
    <w:rsid w:val="000D006C"/>
    <w:rsid w:val="000D060F"/>
    <w:rsid w:val="000D0AFB"/>
    <w:rsid w:val="000D0D1D"/>
    <w:rsid w:val="000D0EBA"/>
    <w:rsid w:val="000D17DE"/>
    <w:rsid w:val="000D20E0"/>
    <w:rsid w:val="000D26F8"/>
    <w:rsid w:val="000D33F2"/>
    <w:rsid w:val="000D37C0"/>
    <w:rsid w:val="000D50CB"/>
    <w:rsid w:val="000D5E13"/>
    <w:rsid w:val="000E0702"/>
    <w:rsid w:val="000E11E6"/>
    <w:rsid w:val="000E26C3"/>
    <w:rsid w:val="000E3C09"/>
    <w:rsid w:val="000E4E47"/>
    <w:rsid w:val="000E5692"/>
    <w:rsid w:val="000E67EA"/>
    <w:rsid w:val="000E6A42"/>
    <w:rsid w:val="000E7256"/>
    <w:rsid w:val="000F1FCE"/>
    <w:rsid w:val="000F221D"/>
    <w:rsid w:val="000F2FD2"/>
    <w:rsid w:val="000F30CF"/>
    <w:rsid w:val="000F3577"/>
    <w:rsid w:val="000F3BCC"/>
    <w:rsid w:val="000F4A64"/>
    <w:rsid w:val="00100555"/>
    <w:rsid w:val="001013AB"/>
    <w:rsid w:val="001013D8"/>
    <w:rsid w:val="0010187C"/>
    <w:rsid w:val="001025FD"/>
    <w:rsid w:val="00103D45"/>
    <w:rsid w:val="0010551E"/>
    <w:rsid w:val="00105573"/>
    <w:rsid w:val="0010581E"/>
    <w:rsid w:val="00106654"/>
    <w:rsid w:val="0010688D"/>
    <w:rsid w:val="00107F73"/>
    <w:rsid w:val="00110A09"/>
    <w:rsid w:val="00110F99"/>
    <w:rsid w:val="00111009"/>
    <w:rsid w:val="00112EE0"/>
    <w:rsid w:val="0011321D"/>
    <w:rsid w:val="0011571B"/>
    <w:rsid w:val="00116B31"/>
    <w:rsid w:val="001178EE"/>
    <w:rsid w:val="00120BA8"/>
    <w:rsid w:val="00122146"/>
    <w:rsid w:val="00122627"/>
    <w:rsid w:val="00123480"/>
    <w:rsid w:val="00127C86"/>
    <w:rsid w:val="00127D52"/>
    <w:rsid w:val="00127E30"/>
    <w:rsid w:val="00130459"/>
    <w:rsid w:val="0013068E"/>
    <w:rsid w:val="00131CED"/>
    <w:rsid w:val="00132013"/>
    <w:rsid w:val="00133A3E"/>
    <w:rsid w:val="00133C8E"/>
    <w:rsid w:val="0013526C"/>
    <w:rsid w:val="00137A29"/>
    <w:rsid w:val="001405C6"/>
    <w:rsid w:val="00141013"/>
    <w:rsid w:val="0014157E"/>
    <w:rsid w:val="00141700"/>
    <w:rsid w:val="00143390"/>
    <w:rsid w:val="00143FCA"/>
    <w:rsid w:val="00144F38"/>
    <w:rsid w:val="00145ED1"/>
    <w:rsid w:val="0014628D"/>
    <w:rsid w:val="00146C94"/>
    <w:rsid w:val="00147594"/>
    <w:rsid w:val="00147B67"/>
    <w:rsid w:val="00147CBF"/>
    <w:rsid w:val="001504E2"/>
    <w:rsid w:val="00150998"/>
    <w:rsid w:val="0015163E"/>
    <w:rsid w:val="00153E3A"/>
    <w:rsid w:val="00154D44"/>
    <w:rsid w:val="00156522"/>
    <w:rsid w:val="0015758F"/>
    <w:rsid w:val="00161344"/>
    <w:rsid w:val="00161BAA"/>
    <w:rsid w:val="00162D1A"/>
    <w:rsid w:val="00162DB9"/>
    <w:rsid w:val="001658C5"/>
    <w:rsid w:val="00171884"/>
    <w:rsid w:val="00173161"/>
    <w:rsid w:val="00176CAF"/>
    <w:rsid w:val="00178B49"/>
    <w:rsid w:val="00180C55"/>
    <w:rsid w:val="00181A1E"/>
    <w:rsid w:val="00183498"/>
    <w:rsid w:val="00183A0A"/>
    <w:rsid w:val="00183C00"/>
    <w:rsid w:val="00183C16"/>
    <w:rsid w:val="00184352"/>
    <w:rsid w:val="00185268"/>
    <w:rsid w:val="00185559"/>
    <w:rsid w:val="0018688C"/>
    <w:rsid w:val="00186B10"/>
    <w:rsid w:val="001908F1"/>
    <w:rsid w:val="001912B8"/>
    <w:rsid w:val="00191638"/>
    <w:rsid w:val="00191A35"/>
    <w:rsid w:val="00192572"/>
    <w:rsid w:val="00192684"/>
    <w:rsid w:val="00192CBF"/>
    <w:rsid w:val="00192FF1"/>
    <w:rsid w:val="0019385C"/>
    <w:rsid w:val="00193949"/>
    <w:rsid w:val="001945B4"/>
    <w:rsid w:val="001949B5"/>
    <w:rsid w:val="00195AB1"/>
    <w:rsid w:val="0019694D"/>
    <w:rsid w:val="00196E11"/>
    <w:rsid w:val="001A10FD"/>
    <w:rsid w:val="001A1567"/>
    <w:rsid w:val="001A1CBF"/>
    <w:rsid w:val="001A2AFE"/>
    <w:rsid w:val="001A398B"/>
    <w:rsid w:val="001A455B"/>
    <w:rsid w:val="001A4CF2"/>
    <w:rsid w:val="001A581F"/>
    <w:rsid w:val="001A5F1B"/>
    <w:rsid w:val="001A601E"/>
    <w:rsid w:val="001A689E"/>
    <w:rsid w:val="001A6E03"/>
    <w:rsid w:val="001A729F"/>
    <w:rsid w:val="001B0793"/>
    <w:rsid w:val="001B1374"/>
    <w:rsid w:val="001B180B"/>
    <w:rsid w:val="001B1C22"/>
    <w:rsid w:val="001B1F08"/>
    <w:rsid w:val="001B27ED"/>
    <w:rsid w:val="001B34C6"/>
    <w:rsid w:val="001B412E"/>
    <w:rsid w:val="001B433C"/>
    <w:rsid w:val="001B56B2"/>
    <w:rsid w:val="001B598F"/>
    <w:rsid w:val="001B59BB"/>
    <w:rsid w:val="001B5EE8"/>
    <w:rsid w:val="001B5EED"/>
    <w:rsid w:val="001B5FF0"/>
    <w:rsid w:val="001B6DEF"/>
    <w:rsid w:val="001C084D"/>
    <w:rsid w:val="001C0B9B"/>
    <w:rsid w:val="001C0EEF"/>
    <w:rsid w:val="001C1237"/>
    <w:rsid w:val="001C235C"/>
    <w:rsid w:val="001C52BD"/>
    <w:rsid w:val="001C568F"/>
    <w:rsid w:val="001C758B"/>
    <w:rsid w:val="001C7DE4"/>
    <w:rsid w:val="001D1AE4"/>
    <w:rsid w:val="001D6131"/>
    <w:rsid w:val="001D74C6"/>
    <w:rsid w:val="001D7832"/>
    <w:rsid w:val="001E038A"/>
    <w:rsid w:val="001E0C33"/>
    <w:rsid w:val="001E0D96"/>
    <w:rsid w:val="001E1278"/>
    <w:rsid w:val="001E1F89"/>
    <w:rsid w:val="001E240E"/>
    <w:rsid w:val="001E37C0"/>
    <w:rsid w:val="001E4D39"/>
    <w:rsid w:val="001E75DE"/>
    <w:rsid w:val="001F0168"/>
    <w:rsid w:val="001F1574"/>
    <w:rsid w:val="001F3642"/>
    <w:rsid w:val="001F36C9"/>
    <w:rsid w:val="001F370A"/>
    <w:rsid w:val="001F7027"/>
    <w:rsid w:val="00200B64"/>
    <w:rsid w:val="00200F0B"/>
    <w:rsid w:val="00201032"/>
    <w:rsid w:val="002015DF"/>
    <w:rsid w:val="002018EB"/>
    <w:rsid w:val="00202544"/>
    <w:rsid w:val="00203268"/>
    <w:rsid w:val="00203634"/>
    <w:rsid w:val="00203A3B"/>
    <w:rsid w:val="00204390"/>
    <w:rsid w:val="00205578"/>
    <w:rsid w:val="002065F8"/>
    <w:rsid w:val="002068C9"/>
    <w:rsid w:val="0020758C"/>
    <w:rsid w:val="00207EC4"/>
    <w:rsid w:val="00210DC1"/>
    <w:rsid w:val="00211D34"/>
    <w:rsid w:val="0021201B"/>
    <w:rsid w:val="0021285F"/>
    <w:rsid w:val="00212EDC"/>
    <w:rsid w:val="002135CA"/>
    <w:rsid w:val="00214EF0"/>
    <w:rsid w:val="00214F04"/>
    <w:rsid w:val="002156F4"/>
    <w:rsid w:val="00215D17"/>
    <w:rsid w:val="00220021"/>
    <w:rsid w:val="002204A4"/>
    <w:rsid w:val="0022105E"/>
    <w:rsid w:val="002211AB"/>
    <w:rsid w:val="00221574"/>
    <w:rsid w:val="00221E41"/>
    <w:rsid w:val="0022202E"/>
    <w:rsid w:val="00222124"/>
    <w:rsid w:val="00223412"/>
    <w:rsid w:val="002237D9"/>
    <w:rsid w:val="00223B0D"/>
    <w:rsid w:val="00223D38"/>
    <w:rsid w:val="002241B2"/>
    <w:rsid w:val="002256B8"/>
    <w:rsid w:val="002270A7"/>
    <w:rsid w:val="00227544"/>
    <w:rsid w:val="0023022E"/>
    <w:rsid w:val="002317C3"/>
    <w:rsid w:val="002317EE"/>
    <w:rsid w:val="0023219F"/>
    <w:rsid w:val="00232F58"/>
    <w:rsid w:val="00233588"/>
    <w:rsid w:val="00233AF9"/>
    <w:rsid w:val="002352B9"/>
    <w:rsid w:val="002354ED"/>
    <w:rsid w:val="00235914"/>
    <w:rsid w:val="002366D6"/>
    <w:rsid w:val="00237512"/>
    <w:rsid w:val="00237C08"/>
    <w:rsid w:val="00237E66"/>
    <w:rsid w:val="00241A6D"/>
    <w:rsid w:val="00241DFA"/>
    <w:rsid w:val="002434F0"/>
    <w:rsid w:val="00243AAA"/>
    <w:rsid w:val="00245F6D"/>
    <w:rsid w:val="00246C90"/>
    <w:rsid w:val="00247A21"/>
    <w:rsid w:val="002504A4"/>
    <w:rsid w:val="00253178"/>
    <w:rsid w:val="002537CE"/>
    <w:rsid w:val="0025434E"/>
    <w:rsid w:val="00255C97"/>
    <w:rsid w:val="00260C14"/>
    <w:rsid w:val="00260CED"/>
    <w:rsid w:val="002618D1"/>
    <w:rsid w:val="0026251B"/>
    <w:rsid w:val="00263230"/>
    <w:rsid w:val="00263E00"/>
    <w:rsid w:val="002648BB"/>
    <w:rsid w:val="002666AA"/>
    <w:rsid w:val="00266A7A"/>
    <w:rsid w:val="00266CD6"/>
    <w:rsid w:val="0026701E"/>
    <w:rsid w:val="0026736A"/>
    <w:rsid w:val="002673AC"/>
    <w:rsid w:val="00270098"/>
    <w:rsid w:val="00270601"/>
    <w:rsid w:val="0027240A"/>
    <w:rsid w:val="00272789"/>
    <w:rsid w:val="00272BD8"/>
    <w:rsid w:val="0027379C"/>
    <w:rsid w:val="00275DAB"/>
    <w:rsid w:val="002762D0"/>
    <w:rsid w:val="002763EE"/>
    <w:rsid w:val="002763F5"/>
    <w:rsid w:val="0027718C"/>
    <w:rsid w:val="00277C8B"/>
    <w:rsid w:val="002800CC"/>
    <w:rsid w:val="0028036C"/>
    <w:rsid w:val="00280ABD"/>
    <w:rsid w:val="002825A2"/>
    <w:rsid w:val="00282EAF"/>
    <w:rsid w:val="00285C53"/>
    <w:rsid w:val="00286086"/>
    <w:rsid w:val="002862C1"/>
    <w:rsid w:val="002869F5"/>
    <w:rsid w:val="002903C0"/>
    <w:rsid w:val="00291021"/>
    <w:rsid w:val="0029153E"/>
    <w:rsid w:val="00291B2C"/>
    <w:rsid w:val="00291C3D"/>
    <w:rsid w:val="00293CFB"/>
    <w:rsid w:val="0029428B"/>
    <w:rsid w:val="00295E1E"/>
    <w:rsid w:val="00295E5E"/>
    <w:rsid w:val="002969B9"/>
    <w:rsid w:val="002973A3"/>
    <w:rsid w:val="002A0BF4"/>
    <w:rsid w:val="002A10B1"/>
    <w:rsid w:val="002A2813"/>
    <w:rsid w:val="002A2AF4"/>
    <w:rsid w:val="002A2F66"/>
    <w:rsid w:val="002A4B2A"/>
    <w:rsid w:val="002A61B8"/>
    <w:rsid w:val="002A6A86"/>
    <w:rsid w:val="002A6FC1"/>
    <w:rsid w:val="002A782A"/>
    <w:rsid w:val="002B09DB"/>
    <w:rsid w:val="002B11E2"/>
    <w:rsid w:val="002B24B8"/>
    <w:rsid w:val="002B3DD4"/>
    <w:rsid w:val="002B3EB9"/>
    <w:rsid w:val="002B4349"/>
    <w:rsid w:val="002B4581"/>
    <w:rsid w:val="002B546F"/>
    <w:rsid w:val="002C137E"/>
    <w:rsid w:val="002C21BB"/>
    <w:rsid w:val="002C33C3"/>
    <w:rsid w:val="002C3C7B"/>
    <w:rsid w:val="002C3E80"/>
    <w:rsid w:val="002C4682"/>
    <w:rsid w:val="002C5E9D"/>
    <w:rsid w:val="002C5F72"/>
    <w:rsid w:val="002C6127"/>
    <w:rsid w:val="002C6FFB"/>
    <w:rsid w:val="002C7825"/>
    <w:rsid w:val="002C7F8B"/>
    <w:rsid w:val="002D0CEA"/>
    <w:rsid w:val="002D0E07"/>
    <w:rsid w:val="002D1B0D"/>
    <w:rsid w:val="002D1F63"/>
    <w:rsid w:val="002D3AE9"/>
    <w:rsid w:val="002D4510"/>
    <w:rsid w:val="002D5922"/>
    <w:rsid w:val="002D5E61"/>
    <w:rsid w:val="002D6D7C"/>
    <w:rsid w:val="002D7E9A"/>
    <w:rsid w:val="002E1D22"/>
    <w:rsid w:val="002E23CF"/>
    <w:rsid w:val="002E2508"/>
    <w:rsid w:val="002E369D"/>
    <w:rsid w:val="002E458F"/>
    <w:rsid w:val="002E53F0"/>
    <w:rsid w:val="002F0734"/>
    <w:rsid w:val="002F3C7E"/>
    <w:rsid w:val="002F3D0A"/>
    <w:rsid w:val="002F46E7"/>
    <w:rsid w:val="002F49D3"/>
    <w:rsid w:val="002F6A98"/>
    <w:rsid w:val="00300164"/>
    <w:rsid w:val="00300308"/>
    <w:rsid w:val="00300A10"/>
    <w:rsid w:val="00300BB9"/>
    <w:rsid w:val="00301058"/>
    <w:rsid w:val="0030343F"/>
    <w:rsid w:val="003043C8"/>
    <w:rsid w:val="003043DD"/>
    <w:rsid w:val="00305AF1"/>
    <w:rsid w:val="003101DA"/>
    <w:rsid w:val="003111C3"/>
    <w:rsid w:val="00311DF4"/>
    <w:rsid w:val="003120D6"/>
    <w:rsid w:val="00312D43"/>
    <w:rsid w:val="00313E16"/>
    <w:rsid w:val="00314757"/>
    <w:rsid w:val="003163BC"/>
    <w:rsid w:val="003211CE"/>
    <w:rsid w:val="00322AA5"/>
    <w:rsid w:val="003234BA"/>
    <w:rsid w:val="00324CFF"/>
    <w:rsid w:val="00325B53"/>
    <w:rsid w:val="0032644A"/>
    <w:rsid w:val="00326C2D"/>
    <w:rsid w:val="00330A27"/>
    <w:rsid w:val="00331EDB"/>
    <w:rsid w:val="00332625"/>
    <w:rsid w:val="00332942"/>
    <w:rsid w:val="00332984"/>
    <w:rsid w:val="00332B6A"/>
    <w:rsid w:val="00335239"/>
    <w:rsid w:val="0033638F"/>
    <w:rsid w:val="00336820"/>
    <w:rsid w:val="00337CE5"/>
    <w:rsid w:val="0034004D"/>
    <w:rsid w:val="00342717"/>
    <w:rsid w:val="00343051"/>
    <w:rsid w:val="0034478A"/>
    <w:rsid w:val="00344A6F"/>
    <w:rsid w:val="00344AB6"/>
    <w:rsid w:val="00347B14"/>
    <w:rsid w:val="00350A8E"/>
    <w:rsid w:val="00350E3E"/>
    <w:rsid w:val="00353A23"/>
    <w:rsid w:val="00353B2F"/>
    <w:rsid w:val="0035403A"/>
    <w:rsid w:val="00354FAC"/>
    <w:rsid w:val="00355382"/>
    <w:rsid w:val="00356FE0"/>
    <w:rsid w:val="00356FF5"/>
    <w:rsid w:val="00361DB2"/>
    <w:rsid w:val="0036394B"/>
    <w:rsid w:val="00364CDB"/>
    <w:rsid w:val="00366C7F"/>
    <w:rsid w:val="00366CBC"/>
    <w:rsid w:val="00366DB6"/>
    <w:rsid w:val="003677D4"/>
    <w:rsid w:val="003679C8"/>
    <w:rsid w:val="00370099"/>
    <w:rsid w:val="0037021B"/>
    <w:rsid w:val="00370505"/>
    <w:rsid w:val="003709B5"/>
    <w:rsid w:val="003717BB"/>
    <w:rsid w:val="0037270E"/>
    <w:rsid w:val="00372A11"/>
    <w:rsid w:val="00372DC6"/>
    <w:rsid w:val="00372E59"/>
    <w:rsid w:val="00373087"/>
    <w:rsid w:val="003736F3"/>
    <w:rsid w:val="00374414"/>
    <w:rsid w:val="003759C2"/>
    <w:rsid w:val="00375B7E"/>
    <w:rsid w:val="003767C4"/>
    <w:rsid w:val="00376BB2"/>
    <w:rsid w:val="00377A0B"/>
    <w:rsid w:val="00380750"/>
    <w:rsid w:val="00381E12"/>
    <w:rsid w:val="0038485A"/>
    <w:rsid w:val="00385B14"/>
    <w:rsid w:val="003907A2"/>
    <w:rsid w:val="0039082D"/>
    <w:rsid w:val="00391111"/>
    <w:rsid w:val="00391228"/>
    <w:rsid w:val="00391F54"/>
    <w:rsid w:val="0039233D"/>
    <w:rsid w:val="00392E1D"/>
    <w:rsid w:val="0039454B"/>
    <w:rsid w:val="00394CED"/>
    <w:rsid w:val="00396BB0"/>
    <w:rsid w:val="00396F14"/>
    <w:rsid w:val="00397365"/>
    <w:rsid w:val="00397B38"/>
    <w:rsid w:val="00397C85"/>
    <w:rsid w:val="003A1299"/>
    <w:rsid w:val="003A19AA"/>
    <w:rsid w:val="003A2004"/>
    <w:rsid w:val="003A31F6"/>
    <w:rsid w:val="003A3345"/>
    <w:rsid w:val="003A4771"/>
    <w:rsid w:val="003A5A17"/>
    <w:rsid w:val="003A5E28"/>
    <w:rsid w:val="003B0B7C"/>
    <w:rsid w:val="003B0B84"/>
    <w:rsid w:val="003B2677"/>
    <w:rsid w:val="003B30F0"/>
    <w:rsid w:val="003B3891"/>
    <w:rsid w:val="003B54F0"/>
    <w:rsid w:val="003B5A04"/>
    <w:rsid w:val="003B75A3"/>
    <w:rsid w:val="003C18E1"/>
    <w:rsid w:val="003C2B63"/>
    <w:rsid w:val="003C31A8"/>
    <w:rsid w:val="003C3447"/>
    <w:rsid w:val="003C451D"/>
    <w:rsid w:val="003C6FF3"/>
    <w:rsid w:val="003C79B7"/>
    <w:rsid w:val="003D076C"/>
    <w:rsid w:val="003D07DC"/>
    <w:rsid w:val="003D0EA4"/>
    <w:rsid w:val="003D15A7"/>
    <w:rsid w:val="003D15F8"/>
    <w:rsid w:val="003D2879"/>
    <w:rsid w:val="003D30EC"/>
    <w:rsid w:val="003D4327"/>
    <w:rsid w:val="003D4919"/>
    <w:rsid w:val="003D4BC6"/>
    <w:rsid w:val="003D6592"/>
    <w:rsid w:val="003D7A1B"/>
    <w:rsid w:val="003E02CF"/>
    <w:rsid w:val="003E12AA"/>
    <w:rsid w:val="003E172C"/>
    <w:rsid w:val="003E189A"/>
    <w:rsid w:val="003E1DF7"/>
    <w:rsid w:val="003E2790"/>
    <w:rsid w:val="003E3BA0"/>
    <w:rsid w:val="003E54E8"/>
    <w:rsid w:val="003E6355"/>
    <w:rsid w:val="003E67A1"/>
    <w:rsid w:val="003E6E09"/>
    <w:rsid w:val="003E6E66"/>
    <w:rsid w:val="003E75CA"/>
    <w:rsid w:val="003E78B5"/>
    <w:rsid w:val="003E7B06"/>
    <w:rsid w:val="003F0132"/>
    <w:rsid w:val="003F0DF4"/>
    <w:rsid w:val="003F1AA2"/>
    <w:rsid w:val="003F33F9"/>
    <w:rsid w:val="003F3FFC"/>
    <w:rsid w:val="003F4866"/>
    <w:rsid w:val="003F4CCE"/>
    <w:rsid w:val="003F671A"/>
    <w:rsid w:val="0040014E"/>
    <w:rsid w:val="0040374E"/>
    <w:rsid w:val="004059CE"/>
    <w:rsid w:val="00405AFD"/>
    <w:rsid w:val="00407FD0"/>
    <w:rsid w:val="00410CB2"/>
    <w:rsid w:val="00415BAB"/>
    <w:rsid w:val="00415BB4"/>
    <w:rsid w:val="00415ED2"/>
    <w:rsid w:val="00417C22"/>
    <w:rsid w:val="00417D37"/>
    <w:rsid w:val="004200DA"/>
    <w:rsid w:val="0042068C"/>
    <w:rsid w:val="00421E2D"/>
    <w:rsid w:val="00423156"/>
    <w:rsid w:val="00426612"/>
    <w:rsid w:val="00427213"/>
    <w:rsid w:val="004318F0"/>
    <w:rsid w:val="00431B2A"/>
    <w:rsid w:val="0043354A"/>
    <w:rsid w:val="00434C96"/>
    <w:rsid w:val="00435284"/>
    <w:rsid w:val="00435D6E"/>
    <w:rsid w:val="00436E01"/>
    <w:rsid w:val="00436E0D"/>
    <w:rsid w:val="004378A2"/>
    <w:rsid w:val="00437A07"/>
    <w:rsid w:val="004403C4"/>
    <w:rsid w:val="004408E5"/>
    <w:rsid w:val="004422F2"/>
    <w:rsid w:val="004427FD"/>
    <w:rsid w:val="0044318E"/>
    <w:rsid w:val="00443695"/>
    <w:rsid w:val="00443784"/>
    <w:rsid w:val="00443B35"/>
    <w:rsid w:val="004452B2"/>
    <w:rsid w:val="00445531"/>
    <w:rsid w:val="004455B7"/>
    <w:rsid w:val="00446C20"/>
    <w:rsid w:val="004502D2"/>
    <w:rsid w:val="00450796"/>
    <w:rsid w:val="004541F5"/>
    <w:rsid w:val="00456FAD"/>
    <w:rsid w:val="00457215"/>
    <w:rsid w:val="00457A67"/>
    <w:rsid w:val="00460EB9"/>
    <w:rsid w:val="004614CF"/>
    <w:rsid w:val="00461D30"/>
    <w:rsid w:val="00461D98"/>
    <w:rsid w:val="0046253B"/>
    <w:rsid w:val="004654D5"/>
    <w:rsid w:val="00466E77"/>
    <w:rsid w:val="00470C43"/>
    <w:rsid w:val="0047122B"/>
    <w:rsid w:val="00471370"/>
    <w:rsid w:val="00473B7A"/>
    <w:rsid w:val="004750D6"/>
    <w:rsid w:val="0047757C"/>
    <w:rsid w:val="00480F0A"/>
    <w:rsid w:val="00481147"/>
    <w:rsid w:val="004812BD"/>
    <w:rsid w:val="0048203E"/>
    <w:rsid w:val="004820B5"/>
    <w:rsid w:val="004832F5"/>
    <w:rsid w:val="00484AEF"/>
    <w:rsid w:val="00484EEF"/>
    <w:rsid w:val="0048599A"/>
    <w:rsid w:val="004859EB"/>
    <w:rsid w:val="00485AA2"/>
    <w:rsid w:val="00486088"/>
    <w:rsid w:val="00486986"/>
    <w:rsid w:val="00486F16"/>
    <w:rsid w:val="004870CE"/>
    <w:rsid w:val="00487F49"/>
    <w:rsid w:val="004902C5"/>
    <w:rsid w:val="00490E18"/>
    <w:rsid w:val="00491511"/>
    <w:rsid w:val="00493A48"/>
    <w:rsid w:val="00494789"/>
    <w:rsid w:val="0049563A"/>
    <w:rsid w:val="004958CC"/>
    <w:rsid w:val="00495ED8"/>
    <w:rsid w:val="004960E9"/>
    <w:rsid w:val="0049712C"/>
    <w:rsid w:val="00497C5F"/>
    <w:rsid w:val="004A07BA"/>
    <w:rsid w:val="004A1818"/>
    <w:rsid w:val="004A1D11"/>
    <w:rsid w:val="004A212A"/>
    <w:rsid w:val="004A2E88"/>
    <w:rsid w:val="004A2F16"/>
    <w:rsid w:val="004A34A7"/>
    <w:rsid w:val="004A36CB"/>
    <w:rsid w:val="004A5305"/>
    <w:rsid w:val="004A5533"/>
    <w:rsid w:val="004A5F4A"/>
    <w:rsid w:val="004B17EE"/>
    <w:rsid w:val="004B2153"/>
    <w:rsid w:val="004B32B1"/>
    <w:rsid w:val="004B3921"/>
    <w:rsid w:val="004B3A46"/>
    <w:rsid w:val="004B5C3E"/>
    <w:rsid w:val="004B77FC"/>
    <w:rsid w:val="004B78F2"/>
    <w:rsid w:val="004B7C8A"/>
    <w:rsid w:val="004B7F94"/>
    <w:rsid w:val="004C19EA"/>
    <w:rsid w:val="004C1AB9"/>
    <w:rsid w:val="004C43F6"/>
    <w:rsid w:val="004C45DF"/>
    <w:rsid w:val="004C4C1E"/>
    <w:rsid w:val="004C5510"/>
    <w:rsid w:val="004D1779"/>
    <w:rsid w:val="004D4B9F"/>
    <w:rsid w:val="004D51A7"/>
    <w:rsid w:val="004D5B32"/>
    <w:rsid w:val="004D5E7B"/>
    <w:rsid w:val="004D663E"/>
    <w:rsid w:val="004D6ECF"/>
    <w:rsid w:val="004D7634"/>
    <w:rsid w:val="004D76D8"/>
    <w:rsid w:val="004D7A24"/>
    <w:rsid w:val="004E0649"/>
    <w:rsid w:val="004E148F"/>
    <w:rsid w:val="004E1AE0"/>
    <w:rsid w:val="004E32EA"/>
    <w:rsid w:val="004E492A"/>
    <w:rsid w:val="004E5D70"/>
    <w:rsid w:val="004E611A"/>
    <w:rsid w:val="004E67D3"/>
    <w:rsid w:val="004E7073"/>
    <w:rsid w:val="004E7AEF"/>
    <w:rsid w:val="004F2096"/>
    <w:rsid w:val="004F22D3"/>
    <w:rsid w:val="004F240F"/>
    <w:rsid w:val="004F263E"/>
    <w:rsid w:val="004F363A"/>
    <w:rsid w:val="004F3D10"/>
    <w:rsid w:val="004F3E0C"/>
    <w:rsid w:val="004F4993"/>
    <w:rsid w:val="004F4F84"/>
    <w:rsid w:val="004F5711"/>
    <w:rsid w:val="004F6460"/>
    <w:rsid w:val="004F6F00"/>
    <w:rsid w:val="004F791A"/>
    <w:rsid w:val="004F792F"/>
    <w:rsid w:val="004F7F48"/>
    <w:rsid w:val="00500E18"/>
    <w:rsid w:val="005015DE"/>
    <w:rsid w:val="005018F8"/>
    <w:rsid w:val="0050232C"/>
    <w:rsid w:val="005037D4"/>
    <w:rsid w:val="00505754"/>
    <w:rsid w:val="0050592D"/>
    <w:rsid w:val="005066CA"/>
    <w:rsid w:val="005102EF"/>
    <w:rsid w:val="005110EC"/>
    <w:rsid w:val="005117C1"/>
    <w:rsid w:val="005139B0"/>
    <w:rsid w:val="00513EB1"/>
    <w:rsid w:val="00514597"/>
    <w:rsid w:val="00517401"/>
    <w:rsid w:val="00517A67"/>
    <w:rsid w:val="00517D52"/>
    <w:rsid w:val="005204AA"/>
    <w:rsid w:val="0052108A"/>
    <w:rsid w:val="00521492"/>
    <w:rsid w:val="00521DC9"/>
    <w:rsid w:val="005229F5"/>
    <w:rsid w:val="00523C58"/>
    <w:rsid w:val="00523DA5"/>
    <w:rsid w:val="005241FF"/>
    <w:rsid w:val="00524783"/>
    <w:rsid w:val="00524C90"/>
    <w:rsid w:val="00525212"/>
    <w:rsid w:val="00525C64"/>
    <w:rsid w:val="00526385"/>
    <w:rsid w:val="00527258"/>
    <w:rsid w:val="00527DD5"/>
    <w:rsid w:val="005300D3"/>
    <w:rsid w:val="00532AD3"/>
    <w:rsid w:val="005338B8"/>
    <w:rsid w:val="005339F0"/>
    <w:rsid w:val="00533DF5"/>
    <w:rsid w:val="00534785"/>
    <w:rsid w:val="00534BA7"/>
    <w:rsid w:val="00534BF1"/>
    <w:rsid w:val="00540862"/>
    <w:rsid w:val="0054237D"/>
    <w:rsid w:val="00542A10"/>
    <w:rsid w:val="00542D6C"/>
    <w:rsid w:val="00542E84"/>
    <w:rsid w:val="00542E85"/>
    <w:rsid w:val="00544E96"/>
    <w:rsid w:val="00544F82"/>
    <w:rsid w:val="00547C92"/>
    <w:rsid w:val="005509D2"/>
    <w:rsid w:val="005515E3"/>
    <w:rsid w:val="00551C9F"/>
    <w:rsid w:val="00553037"/>
    <w:rsid w:val="005538F6"/>
    <w:rsid w:val="00553993"/>
    <w:rsid w:val="00554BD0"/>
    <w:rsid w:val="00555F63"/>
    <w:rsid w:val="005625B2"/>
    <w:rsid w:val="00564564"/>
    <w:rsid w:val="00564F5C"/>
    <w:rsid w:val="0056744E"/>
    <w:rsid w:val="00567CDA"/>
    <w:rsid w:val="00571051"/>
    <w:rsid w:val="00571A48"/>
    <w:rsid w:val="0057281A"/>
    <w:rsid w:val="00573E5D"/>
    <w:rsid w:val="00574DCD"/>
    <w:rsid w:val="005757EC"/>
    <w:rsid w:val="00575998"/>
    <w:rsid w:val="005763BD"/>
    <w:rsid w:val="00576D67"/>
    <w:rsid w:val="005777EB"/>
    <w:rsid w:val="00577D7A"/>
    <w:rsid w:val="00580784"/>
    <w:rsid w:val="005816D8"/>
    <w:rsid w:val="00581F8D"/>
    <w:rsid w:val="005821F8"/>
    <w:rsid w:val="005831BF"/>
    <w:rsid w:val="00583B2A"/>
    <w:rsid w:val="005848B8"/>
    <w:rsid w:val="0058651A"/>
    <w:rsid w:val="0058689C"/>
    <w:rsid w:val="00592202"/>
    <w:rsid w:val="0059232B"/>
    <w:rsid w:val="005930B7"/>
    <w:rsid w:val="00593C4F"/>
    <w:rsid w:val="00594607"/>
    <w:rsid w:val="005946A8"/>
    <w:rsid w:val="00594B2A"/>
    <w:rsid w:val="00596243"/>
    <w:rsid w:val="00597D50"/>
    <w:rsid w:val="005A040D"/>
    <w:rsid w:val="005A1EB3"/>
    <w:rsid w:val="005A1F1A"/>
    <w:rsid w:val="005A22C3"/>
    <w:rsid w:val="005A243D"/>
    <w:rsid w:val="005A38CC"/>
    <w:rsid w:val="005A4407"/>
    <w:rsid w:val="005A5879"/>
    <w:rsid w:val="005A59EF"/>
    <w:rsid w:val="005A6164"/>
    <w:rsid w:val="005B1C7E"/>
    <w:rsid w:val="005B2029"/>
    <w:rsid w:val="005B3ECE"/>
    <w:rsid w:val="005B61C0"/>
    <w:rsid w:val="005B6B06"/>
    <w:rsid w:val="005B6B09"/>
    <w:rsid w:val="005B6E28"/>
    <w:rsid w:val="005B74A9"/>
    <w:rsid w:val="005B7799"/>
    <w:rsid w:val="005B7983"/>
    <w:rsid w:val="005B7D22"/>
    <w:rsid w:val="005C1C4F"/>
    <w:rsid w:val="005C2CAC"/>
    <w:rsid w:val="005C3535"/>
    <w:rsid w:val="005C3940"/>
    <w:rsid w:val="005C458B"/>
    <w:rsid w:val="005C4DAC"/>
    <w:rsid w:val="005C661F"/>
    <w:rsid w:val="005C6976"/>
    <w:rsid w:val="005C7FF1"/>
    <w:rsid w:val="005D07ED"/>
    <w:rsid w:val="005D1817"/>
    <w:rsid w:val="005D3531"/>
    <w:rsid w:val="005D36A8"/>
    <w:rsid w:val="005D5874"/>
    <w:rsid w:val="005D6207"/>
    <w:rsid w:val="005D6EF1"/>
    <w:rsid w:val="005D7131"/>
    <w:rsid w:val="005E0CD7"/>
    <w:rsid w:val="005E0E2C"/>
    <w:rsid w:val="005E3300"/>
    <w:rsid w:val="005E43BD"/>
    <w:rsid w:val="005E507E"/>
    <w:rsid w:val="005E6C19"/>
    <w:rsid w:val="005F02F0"/>
    <w:rsid w:val="005F0368"/>
    <w:rsid w:val="005F048D"/>
    <w:rsid w:val="005F0E12"/>
    <w:rsid w:val="005F18FA"/>
    <w:rsid w:val="005F1D4B"/>
    <w:rsid w:val="005F31A4"/>
    <w:rsid w:val="005F31BD"/>
    <w:rsid w:val="005F3D8B"/>
    <w:rsid w:val="005F4E77"/>
    <w:rsid w:val="005F5387"/>
    <w:rsid w:val="005F61AC"/>
    <w:rsid w:val="005F6230"/>
    <w:rsid w:val="005F6801"/>
    <w:rsid w:val="005F6946"/>
    <w:rsid w:val="005F6A46"/>
    <w:rsid w:val="005F6F15"/>
    <w:rsid w:val="005F6F41"/>
    <w:rsid w:val="00601B78"/>
    <w:rsid w:val="006020D0"/>
    <w:rsid w:val="00602255"/>
    <w:rsid w:val="00602563"/>
    <w:rsid w:val="00604BAD"/>
    <w:rsid w:val="00605039"/>
    <w:rsid w:val="00605F40"/>
    <w:rsid w:val="00607678"/>
    <w:rsid w:val="00610031"/>
    <w:rsid w:val="00612C0C"/>
    <w:rsid w:val="00613FA5"/>
    <w:rsid w:val="006164D1"/>
    <w:rsid w:val="006202BD"/>
    <w:rsid w:val="00621A20"/>
    <w:rsid w:val="006241DC"/>
    <w:rsid w:val="00624A2F"/>
    <w:rsid w:val="00624EFC"/>
    <w:rsid w:val="00625DC6"/>
    <w:rsid w:val="00626198"/>
    <w:rsid w:val="00627886"/>
    <w:rsid w:val="00632B0D"/>
    <w:rsid w:val="006338EF"/>
    <w:rsid w:val="00633919"/>
    <w:rsid w:val="0063447A"/>
    <w:rsid w:val="00635FAB"/>
    <w:rsid w:val="006373AD"/>
    <w:rsid w:val="00637A2E"/>
    <w:rsid w:val="00640CE8"/>
    <w:rsid w:val="00641D2E"/>
    <w:rsid w:val="00642115"/>
    <w:rsid w:val="006431D7"/>
    <w:rsid w:val="006436F1"/>
    <w:rsid w:val="006438A6"/>
    <w:rsid w:val="0064391D"/>
    <w:rsid w:val="00643DDC"/>
    <w:rsid w:val="00643EED"/>
    <w:rsid w:val="00645760"/>
    <w:rsid w:val="00645D4B"/>
    <w:rsid w:val="006510FE"/>
    <w:rsid w:val="00651334"/>
    <w:rsid w:val="00651821"/>
    <w:rsid w:val="00651E6C"/>
    <w:rsid w:val="0065294B"/>
    <w:rsid w:val="00652C39"/>
    <w:rsid w:val="00654384"/>
    <w:rsid w:val="0065506A"/>
    <w:rsid w:val="0065522C"/>
    <w:rsid w:val="00655465"/>
    <w:rsid w:val="00655ACE"/>
    <w:rsid w:val="00655AF6"/>
    <w:rsid w:val="00656994"/>
    <w:rsid w:val="0065736C"/>
    <w:rsid w:val="0065773B"/>
    <w:rsid w:val="00657E62"/>
    <w:rsid w:val="0066040E"/>
    <w:rsid w:val="00660970"/>
    <w:rsid w:val="006610F6"/>
    <w:rsid w:val="006620D6"/>
    <w:rsid w:val="00662D91"/>
    <w:rsid w:val="00662F8F"/>
    <w:rsid w:val="00663351"/>
    <w:rsid w:val="00663FBB"/>
    <w:rsid w:val="006675CD"/>
    <w:rsid w:val="006703BB"/>
    <w:rsid w:val="0067152D"/>
    <w:rsid w:val="00672116"/>
    <w:rsid w:val="0067268C"/>
    <w:rsid w:val="006731B7"/>
    <w:rsid w:val="006734EE"/>
    <w:rsid w:val="0067359E"/>
    <w:rsid w:val="00673791"/>
    <w:rsid w:val="00674B00"/>
    <w:rsid w:val="00675409"/>
    <w:rsid w:val="00677386"/>
    <w:rsid w:val="0068004C"/>
    <w:rsid w:val="00680D90"/>
    <w:rsid w:val="00681326"/>
    <w:rsid w:val="00681946"/>
    <w:rsid w:val="00681FD3"/>
    <w:rsid w:val="00682B99"/>
    <w:rsid w:val="00683519"/>
    <w:rsid w:val="00684550"/>
    <w:rsid w:val="00684D9B"/>
    <w:rsid w:val="0068510A"/>
    <w:rsid w:val="00685D65"/>
    <w:rsid w:val="006877B2"/>
    <w:rsid w:val="006877EA"/>
    <w:rsid w:val="00687E5A"/>
    <w:rsid w:val="00690993"/>
    <w:rsid w:val="00690C71"/>
    <w:rsid w:val="00691B18"/>
    <w:rsid w:val="00692D56"/>
    <w:rsid w:val="006934AA"/>
    <w:rsid w:val="006945DC"/>
    <w:rsid w:val="00694648"/>
    <w:rsid w:val="006950C1"/>
    <w:rsid w:val="006954B9"/>
    <w:rsid w:val="00697556"/>
    <w:rsid w:val="00697696"/>
    <w:rsid w:val="006A09E2"/>
    <w:rsid w:val="006A0C67"/>
    <w:rsid w:val="006A0E0F"/>
    <w:rsid w:val="006A12DC"/>
    <w:rsid w:val="006A14B0"/>
    <w:rsid w:val="006A3A12"/>
    <w:rsid w:val="006A3B7A"/>
    <w:rsid w:val="006A4BCD"/>
    <w:rsid w:val="006A6451"/>
    <w:rsid w:val="006A75D3"/>
    <w:rsid w:val="006A76F7"/>
    <w:rsid w:val="006B18B9"/>
    <w:rsid w:val="006B2333"/>
    <w:rsid w:val="006B23EE"/>
    <w:rsid w:val="006B32CE"/>
    <w:rsid w:val="006B38B1"/>
    <w:rsid w:val="006B3C5F"/>
    <w:rsid w:val="006B4245"/>
    <w:rsid w:val="006B4647"/>
    <w:rsid w:val="006B4980"/>
    <w:rsid w:val="006B4C2B"/>
    <w:rsid w:val="006B56B6"/>
    <w:rsid w:val="006B5B43"/>
    <w:rsid w:val="006B6194"/>
    <w:rsid w:val="006B6D47"/>
    <w:rsid w:val="006C0768"/>
    <w:rsid w:val="006C126E"/>
    <w:rsid w:val="006C2082"/>
    <w:rsid w:val="006C33A6"/>
    <w:rsid w:val="006C35C8"/>
    <w:rsid w:val="006C3D8E"/>
    <w:rsid w:val="006C4C1C"/>
    <w:rsid w:val="006C5113"/>
    <w:rsid w:val="006C5696"/>
    <w:rsid w:val="006C5AFE"/>
    <w:rsid w:val="006C61FE"/>
    <w:rsid w:val="006C66F1"/>
    <w:rsid w:val="006C6ADE"/>
    <w:rsid w:val="006C6E62"/>
    <w:rsid w:val="006D016C"/>
    <w:rsid w:val="006D1F84"/>
    <w:rsid w:val="006D2226"/>
    <w:rsid w:val="006D237E"/>
    <w:rsid w:val="006D26E6"/>
    <w:rsid w:val="006D27A4"/>
    <w:rsid w:val="006D4807"/>
    <w:rsid w:val="006D51C9"/>
    <w:rsid w:val="006D60AB"/>
    <w:rsid w:val="006D7E6E"/>
    <w:rsid w:val="006E10AD"/>
    <w:rsid w:val="006E1174"/>
    <w:rsid w:val="006E1783"/>
    <w:rsid w:val="006E1D33"/>
    <w:rsid w:val="006E26D3"/>
    <w:rsid w:val="006E3537"/>
    <w:rsid w:val="006E4210"/>
    <w:rsid w:val="006E43A3"/>
    <w:rsid w:val="006E5EA7"/>
    <w:rsid w:val="006E68C7"/>
    <w:rsid w:val="006E6DD1"/>
    <w:rsid w:val="006E78B6"/>
    <w:rsid w:val="006F11C4"/>
    <w:rsid w:val="006F1944"/>
    <w:rsid w:val="006F25B4"/>
    <w:rsid w:val="006F2EC8"/>
    <w:rsid w:val="006F3819"/>
    <w:rsid w:val="006F421C"/>
    <w:rsid w:val="006F49E5"/>
    <w:rsid w:val="006F5F27"/>
    <w:rsid w:val="006F6D95"/>
    <w:rsid w:val="00701080"/>
    <w:rsid w:val="00701E00"/>
    <w:rsid w:val="00701E7C"/>
    <w:rsid w:val="00702D82"/>
    <w:rsid w:val="00702E91"/>
    <w:rsid w:val="007033C9"/>
    <w:rsid w:val="00703B3B"/>
    <w:rsid w:val="00704039"/>
    <w:rsid w:val="0070410C"/>
    <w:rsid w:val="00704121"/>
    <w:rsid w:val="007042FE"/>
    <w:rsid w:val="00704985"/>
    <w:rsid w:val="00704A1A"/>
    <w:rsid w:val="0070601E"/>
    <w:rsid w:val="007062D4"/>
    <w:rsid w:val="00706F13"/>
    <w:rsid w:val="007072E8"/>
    <w:rsid w:val="007104CE"/>
    <w:rsid w:val="00710DF3"/>
    <w:rsid w:val="00710F7F"/>
    <w:rsid w:val="007116B2"/>
    <w:rsid w:val="00712A9E"/>
    <w:rsid w:val="00714D4C"/>
    <w:rsid w:val="00716188"/>
    <w:rsid w:val="0071618D"/>
    <w:rsid w:val="00717076"/>
    <w:rsid w:val="00717775"/>
    <w:rsid w:val="00725641"/>
    <w:rsid w:val="00725FA4"/>
    <w:rsid w:val="00726AB4"/>
    <w:rsid w:val="00727350"/>
    <w:rsid w:val="00734700"/>
    <w:rsid w:val="00734962"/>
    <w:rsid w:val="007355B0"/>
    <w:rsid w:val="00737151"/>
    <w:rsid w:val="0073727F"/>
    <w:rsid w:val="00740446"/>
    <w:rsid w:val="0074099B"/>
    <w:rsid w:val="00740AEF"/>
    <w:rsid w:val="00740EE9"/>
    <w:rsid w:val="0074105A"/>
    <w:rsid w:val="00741461"/>
    <w:rsid w:val="00741B21"/>
    <w:rsid w:val="00741B40"/>
    <w:rsid w:val="007438A9"/>
    <w:rsid w:val="00743F27"/>
    <w:rsid w:val="0074491E"/>
    <w:rsid w:val="00745B0E"/>
    <w:rsid w:val="00746526"/>
    <w:rsid w:val="007476D8"/>
    <w:rsid w:val="00747D4B"/>
    <w:rsid w:val="00751433"/>
    <w:rsid w:val="00751600"/>
    <w:rsid w:val="00752640"/>
    <w:rsid w:val="00752836"/>
    <w:rsid w:val="0075338A"/>
    <w:rsid w:val="00755FE4"/>
    <w:rsid w:val="007561EF"/>
    <w:rsid w:val="00757001"/>
    <w:rsid w:val="00757C5E"/>
    <w:rsid w:val="00761737"/>
    <w:rsid w:val="0076247A"/>
    <w:rsid w:val="007624E3"/>
    <w:rsid w:val="00762EA3"/>
    <w:rsid w:val="007655A3"/>
    <w:rsid w:val="0076569B"/>
    <w:rsid w:val="007659BB"/>
    <w:rsid w:val="00765FD6"/>
    <w:rsid w:val="007663BD"/>
    <w:rsid w:val="00766D58"/>
    <w:rsid w:val="00766D63"/>
    <w:rsid w:val="007677EF"/>
    <w:rsid w:val="00767F75"/>
    <w:rsid w:val="00771D1E"/>
    <w:rsid w:val="0077238E"/>
    <w:rsid w:val="00772D32"/>
    <w:rsid w:val="0077368E"/>
    <w:rsid w:val="00774EC6"/>
    <w:rsid w:val="00775964"/>
    <w:rsid w:val="007765FE"/>
    <w:rsid w:val="00776930"/>
    <w:rsid w:val="00776A00"/>
    <w:rsid w:val="0078019F"/>
    <w:rsid w:val="00781875"/>
    <w:rsid w:val="00782BD6"/>
    <w:rsid w:val="00783991"/>
    <w:rsid w:val="00785A05"/>
    <w:rsid w:val="00785B77"/>
    <w:rsid w:val="0078667F"/>
    <w:rsid w:val="007903DC"/>
    <w:rsid w:val="00790BBF"/>
    <w:rsid w:val="00791572"/>
    <w:rsid w:val="00791718"/>
    <w:rsid w:val="00792B19"/>
    <w:rsid w:val="00793709"/>
    <w:rsid w:val="00793ED7"/>
    <w:rsid w:val="007948D3"/>
    <w:rsid w:val="00794E2E"/>
    <w:rsid w:val="00795211"/>
    <w:rsid w:val="00795BFB"/>
    <w:rsid w:val="007960F0"/>
    <w:rsid w:val="0079668F"/>
    <w:rsid w:val="007A1AC5"/>
    <w:rsid w:val="007A2460"/>
    <w:rsid w:val="007A2673"/>
    <w:rsid w:val="007A2A20"/>
    <w:rsid w:val="007A46DE"/>
    <w:rsid w:val="007A513B"/>
    <w:rsid w:val="007A6646"/>
    <w:rsid w:val="007A710F"/>
    <w:rsid w:val="007B1B48"/>
    <w:rsid w:val="007B1BC1"/>
    <w:rsid w:val="007B2760"/>
    <w:rsid w:val="007B3187"/>
    <w:rsid w:val="007B48B0"/>
    <w:rsid w:val="007B51D6"/>
    <w:rsid w:val="007B52A2"/>
    <w:rsid w:val="007B5396"/>
    <w:rsid w:val="007B594A"/>
    <w:rsid w:val="007C007F"/>
    <w:rsid w:val="007C0365"/>
    <w:rsid w:val="007C16C8"/>
    <w:rsid w:val="007C2446"/>
    <w:rsid w:val="007C27BF"/>
    <w:rsid w:val="007C32E4"/>
    <w:rsid w:val="007C5604"/>
    <w:rsid w:val="007C621C"/>
    <w:rsid w:val="007C650D"/>
    <w:rsid w:val="007C6BF4"/>
    <w:rsid w:val="007C73E0"/>
    <w:rsid w:val="007C7D57"/>
    <w:rsid w:val="007D0878"/>
    <w:rsid w:val="007D0898"/>
    <w:rsid w:val="007D1599"/>
    <w:rsid w:val="007D2D30"/>
    <w:rsid w:val="007D4BA9"/>
    <w:rsid w:val="007D6578"/>
    <w:rsid w:val="007D71A2"/>
    <w:rsid w:val="007D7E2C"/>
    <w:rsid w:val="007E0AAA"/>
    <w:rsid w:val="007E1AAD"/>
    <w:rsid w:val="007E2C27"/>
    <w:rsid w:val="007E30D2"/>
    <w:rsid w:val="007E3735"/>
    <w:rsid w:val="007E49DC"/>
    <w:rsid w:val="007E54AB"/>
    <w:rsid w:val="007E5C1D"/>
    <w:rsid w:val="007E7CF6"/>
    <w:rsid w:val="007F0D5E"/>
    <w:rsid w:val="007F38B2"/>
    <w:rsid w:val="007F4A2E"/>
    <w:rsid w:val="008004E9"/>
    <w:rsid w:val="0080171E"/>
    <w:rsid w:val="008025A6"/>
    <w:rsid w:val="00802F19"/>
    <w:rsid w:val="0080402C"/>
    <w:rsid w:val="00805BF4"/>
    <w:rsid w:val="00805D48"/>
    <w:rsid w:val="00805F1C"/>
    <w:rsid w:val="008061E4"/>
    <w:rsid w:val="0080632D"/>
    <w:rsid w:val="00806628"/>
    <w:rsid w:val="00806C01"/>
    <w:rsid w:val="0080706B"/>
    <w:rsid w:val="008073EC"/>
    <w:rsid w:val="00807AB2"/>
    <w:rsid w:val="008139CF"/>
    <w:rsid w:val="00813AC3"/>
    <w:rsid w:val="00813C73"/>
    <w:rsid w:val="00813D82"/>
    <w:rsid w:val="008148CC"/>
    <w:rsid w:val="00815E5A"/>
    <w:rsid w:val="00817224"/>
    <w:rsid w:val="00817EA6"/>
    <w:rsid w:val="008211A4"/>
    <w:rsid w:val="00821A4A"/>
    <w:rsid w:val="00821B42"/>
    <w:rsid w:val="00822640"/>
    <w:rsid w:val="008234D5"/>
    <w:rsid w:val="00823A4D"/>
    <w:rsid w:val="008251D1"/>
    <w:rsid w:val="00827356"/>
    <w:rsid w:val="00827CFD"/>
    <w:rsid w:val="008304D7"/>
    <w:rsid w:val="00830EE1"/>
    <w:rsid w:val="00832FB1"/>
    <w:rsid w:val="00834778"/>
    <w:rsid w:val="00834C9A"/>
    <w:rsid w:val="008363BA"/>
    <w:rsid w:val="00836545"/>
    <w:rsid w:val="00837105"/>
    <w:rsid w:val="008404C6"/>
    <w:rsid w:val="008406DD"/>
    <w:rsid w:val="00840BC4"/>
    <w:rsid w:val="00840FFB"/>
    <w:rsid w:val="0084130D"/>
    <w:rsid w:val="00841F49"/>
    <w:rsid w:val="00842285"/>
    <w:rsid w:val="00842748"/>
    <w:rsid w:val="00844369"/>
    <w:rsid w:val="00845ACC"/>
    <w:rsid w:val="00845C98"/>
    <w:rsid w:val="0084693A"/>
    <w:rsid w:val="00847868"/>
    <w:rsid w:val="0085009E"/>
    <w:rsid w:val="00850C34"/>
    <w:rsid w:val="008516A2"/>
    <w:rsid w:val="0085498C"/>
    <w:rsid w:val="008554A6"/>
    <w:rsid w:val="00856396"/>
    <w:rsid w:val="00857D42"/>
    <w:rsid w:val="00860D85"/>
    <w:rsid w:val="008632EA"/>
    <w:rsid w:val="00863FB2"/>
    <w:rsid w:val="008642DA"/>
    <w:rsid w:val="0086510C"/>
    <w:rsid w:val="0086751C"/>
    <w:rsid w:val="008702C7"/>
    <w:rsid w:val="00872533"/>
    <w:rsid w:val="00873150"/>
    <w:rsid w:val="00874DB4"/>
    <w:rsid w:val="008755CE"/>
    <w:rsid w:val="0087657D"/>
    <w:rsid w:val="00876804"/>
    <w:rsid w:val="00876E21"/>
    <w:rsid w:val="0087709F"/>
    <w:rsid w:val="00880567"/>
    <w:rsid w:val="008807D5"/>
    <w:rsid w:val="00880832"/>
    <w:rsid w:val="00880B78"/>
    <w:rsid w:val="00881749"/>
    <w:rsid w:val="0088225E"/>
    <w:rsid w:val="008822BC"/>
    <w:rsid w:val="00883A02"/>
    <w:rsid w:val="008854CC"/>
    <w:rsid w:val="008866F1"/>
    <w:rsid w:val="00886AEA"/>
    <w:rsid w:val="00886EE1"/>
    <w:rsid w:val="0088727D"/>
    <w:rsid w:val="00887E6B"/>
    <w:rsid w:val="0089032B"/>
    <w:rsid w:val="008924D0"/>
    <w:rsid w:val="00893FBF"/>
    <w:rsid w:val="008968B0"/>
    <w:rsid w:val="00897055"/>
    <w:rsid w:val="00897C75"/>
    <w:rsid w:val="008A30BC"/>
    <w:rsid w:val="008A3436"/>
    <w:rsid w:val="008A3B76"/>
    <w:rsid w:val="008A410C"/>
    <w:rsid w:val="008A666A"/>
    <w:rsid w:val="008A69B8"/>
    <w:rsid w:val="008A761F"/>
    <w:rsid w:val="008A79C2"/>
    <w:rsid w:val="008B05AF"/>
    <w:rsid w:val="008B395A"/>
    <w:rsid w:val="008B43A5"/>
    <w:rsid w:val="008B4A22"/>
    <w:rsid w:val="008B5A84"/>
    <w:rsid w:val="008B5EEF"/>
    <w:rsid w:val="008B6D91"/>
    <w:rsid w:val="008B7220"/>
    <w:rsid w:val="008B7291"/>
    <w:rsid w:val="008B748F"/>
    <w:rsid w:val="008C1130"/>
    <w:rsid w:val="008C2631"/>
    <w:rsid w:val="008C35D8"/>
    <w:rsid w:val="008C52C6"/>
    <w:rsid w:val="008C6C2D"/>
    <w:rsid w:val="008C6DD6"/>
    <w:rsid w:val="008C73EF"/>
    <w:rsid w:val="008C7DB3"/>
    <w:rsid w:val="008D0B24"/>
    <w:rsid w:val="008D18E6"/>
    <w:rsid w:val="008D4DFB"/>
    <w:rsid w:val="008D7A9B"/>
    <w:rsid w:val="008E0060"/>
    <w:rsid w:val="008E1C89"/>
    <w:rsid w:val="008E2019"/>
    <w:rsid w:val="008E21B5"/>
    <w:rsid w:val="008E2F56"/>
    <w:rsid w:val="008E4652"/>
    <w:rsid w:val="008E4A1F"/>
    <w:rsid w:val="008E4A47"/>
    <w:rsid w:val="008E4DE3"/>
    <w:rsid w:val="008E57C3"/>
    <w:rsid w:val="008E57EC"/>
    <w:rsid w:val="008E6F10"/>
    <w:rsid w:val="008E7091"/>
    <w:rsid w:val="008E70C7"/>
    <w:rsid w:val="008E74CD"/>
    <w:rsid w:val="008E76AC"/>
    <w:rsid w:val="008F1323"/>
    <w:rsid w:val="008F1F2A"/>
    <w:rsid w:val="008F21F6"/>
    <w:rsid w:val="008F42EC"/>
    <w:rsid w:val="008F579A"/>
    <w:rsid w:val="008F5F07"/>
    <w:rsid w:val="008F675E"/>
    <w:rsid w:val="00902196"/>
    <w:rsid w:val="009032F2"/>
    <w:rsid w:val="00905596"/>
    <w:rsid w:val="0090612F"/>
    <w:rsid w:val="009063DD"/>
    <w:rsid w:val="009107C5"/>
    <w:rsid w:val="00910848"/>
    <w:rsid w:val="009108CC"/>
    <w:rsid w:val="00911CF5"/>
    <w:rsid w:val="009128BC"/>
    <w:rsid w:val="009128E9"/>
    <w:rsid w:val="00913869"/>
    <w:rsid w:val="009151C1"/>
    <w:rsid w:val="009154C8"/>
    <w:rsid w:val="00916009"/>
    <w:rsid w:val="009178D0"/>
    <w:rsid w:val="0092089E"/>
    <w:rsid w:val="00921E8D"/>
    <w:rsid w:val="0092224B"/>
    <w:rsid w:val="00923608"/>
    <w:rsid w:val="00924238"/>
    <w:rsid w:val="0092494C"/>
    <w:rsid w:val="009249CE"/>
    <w:rsid w:val="00931A17"/>
    <w:rsid w:val="00931D3B"/>
    <w:rsid w:val="0093302B"/>
    <w:rsid w:val="00936516"/>
    <w:rsid w:val="009379DF"/>
    <w:rsid w:val="009413A7"/>
    <w:rsid w:val="0094161D"/>
    <w:rsid w:val="00943994"/>
    <w:rsid w:val="0094433F"/>
    <w:rsid w:val="009448F4"/>
    <w:rsid w:val="00945047"/>
    <w:rsid w:val="009454A8"/>
    <w:rsid w:val="00946190"/>
    <w:rsid w:val="009462E2"/>
    <w:rsid w:val="00946F3E"/>
    <w:rsid w:val="00946FE4"/>
    <w:rsid w:val="009500E8"/>
    <w:rsid w:val="00950B26"/>
    <w:rsid w:val="00950B5D"/>
    <w:rsid w:val="0095123B"/>
    <w:rsid w:val="00951F79"/>
    <w:rsid w:val="00952EF2"/>
    <w:rsid w:val="009539A0"/>
    <w:rsid w:val="009551F2"/>
    <w:rsid w:val="009567D7"/>
    <w:rsid w:val="00956E00"/>
    <w:rsid w:val="00965B48"/>
    <w:rsid w:val="00966178"/>
    <w:rsid w:val="0096704E"/>
    <w:rsid w:val="00967374"/>
    <w:rsid w:val="00967495"/>
    <w:rsid w:val="00970399"/>
    <w:rsid w:val="0097047D"/>
    <w:rsid w:val="00970CA5"/>
    <w:rsid w:val="00971A08"/>
    <w:rsid w:val="00971C7C"/>
    <w:rsid w:val="00973B5B"/>
    <w:rsid w:val="009746C9"/>
    <w:rsid w:val="00974AB5"/>
    <w:rsid w:val="00974B19"/>
    <w:rsid w:val="00974C77"/>
    <w:rsid w:val="009753F2"/>
    <w:rsid w:val="009766AB"/>
    <w:rsid w:val="009773EA"/>
    <w:rsid w:val="00977C1F"/>
    <w:rsid w:val="0098057F"/>
    <w:rsid w:val="009812F8"/>
    <w:rsid w:val="009835C3"/>
    <w:rsid w:val="00983778"/>
    <w:rsid w:val="0098454D"/>
    <w:rsid w:val="00984CD9"/>
    <w:rsid w:val="00986FBD"/>
    <w:rsid w:val="0098706D"/>
    <w:rsid w:val="00987209"/>
    <w:rsid w:val="00992D74"/>
    <w:rsid w:val="0099322C"/>
    <w:rsid w:val="009935FB"/>
    <w:rsid w:val="009938EE"/>
    <w:rsid w:val="00993E9C"/>
    <w:rsid w:val="00994922"/>
    <w:rsid w:val="00994EBB"/>
    <w:rsid w:val="009A0929"/>
    <w:rsid w:val="009A0D79"/>
    <w:rsid w:val="009A1082"/>
    <w:rsid w:val="009A1B0F"/>
    <w:rsid w:val="009A21D5"/>
    <w:rsid w:val="009A2E35"/>
    <w:rsid w:val="009A3337"/>
    <w:rsid w:val="009A4B1F"/>
    <w:rsid w:val="009A5674"/>
    <w:rsid w:val="009A5887"/>
    <w:rsid w:val="009A635B"/>
    <w:rsid w:val="009A7AB1"/>
    <w:rsid w:val="009B2885"/>
    <w:rsid w:val="009B2F63"/>
    <w:rsid w:val="009B314A"/>
    <w:rsid w:val="009B37D9"/>
    <w:rsid w:val="009B4779"/>
    <w:rsid w:val="009B6B1C"/>
    <w:rsid w:val="009B713D"/>
    <w:rsid w:val="009B72A7"/>
    <w:rsid w:val="009C2E7B"/>
    <w:rsid w:val="009C2ED8"/>
    <w:rsid w:val="009C5A71"/>
    <w:rsid w:val="009C66A8"/>
    <w:rsid w:val="009C7D1E"/>
    <w:rsid w:val="009D06DF"/>
    <w:rsid w:val="009D14CA"/>
    <w:rsid w:val="009D1A93"/>
    <w:rsid w:val="009D39D9"/>
    <w:rsid w:val="009D441B"/>
    <w:rsid w:val="009D6B03"/>
    <w:rsid w:val="009D6F90"/>
    <w:rsid w:val="009E0642"/>
    <w:rsid w:val="009E21BF"/>
    <w:rsid w:val="009E4921"/>
    <w:rsid w:val="009E5F17"/>
    <w:rsid w:val="009E61AB"/>
    <w:rsid w:val="009E7356"/>
    <w:rsid w:val="009F0D52"/>
    <w:rsid w:val="009F1BE8"/>
    <w:rsid w:val="009F4794"/>
    <w:rsid w:val="009F4A54"/>
    <w:rsid w:val="009F4BEC"/>
    <w:rsid w:val="009F4E1B"/>
    <w:rsid w:val="009F5184"/>
    <w:rsid w:val="009F5373"/>
    <w:rsid w:val="009F5874"/>
    <w:rsid w:val="009F6E13"/>
    <w:rsid w:val="009F75E4"/>
    <w:rsid w:val="00A00C00"/>
    <w:rsid w:val="00A015AC"/>
    <w:rsid w:val="00A01A2D"/>
    <w:rsid w:val="00A01F42"/>
    <w:rsid w:val="00A03059"/>
    <w:rsid w:val="00A035F3"/>
    <w:rsid w:val="00A0467C"/>
    <w:rsid w:val="00A051CD"/>
    <w:rsid w:val="00A0609D"/>
    <w:rsid w:val="00A065BB"/>
    <w:rsid w:val="00A06805"/>
    <w:rsid w:val="00A07E39"/>
    <w:rsid w:val="00A109E2"/>
    <w:rsid w:val="00A1246A"/>
    <w:rsid w:val="00A12A97"/>
    <w:rsid w:val="00A12EF8"/>
    <w:rsid w:val="00A137BA"/>
    <w:rsid w:val="00A13876"/>
    <w:rsid w:val="00A14247"/>
    <w:rsid w:val="00A14628"/>
    <w:rsid w:val="00A1517A"/>
    <w:rsid w:val="00A2039F"/>
    <w:rsid w:val="00A20D95"/>
    <w:rsid w:val="00A22357"/>
    <w:rsid w:val="00A25A0A"/>
    <w:rsid w:val="00A25FD7"/>
    <w:rsid w:val="00A26185"/>
    <w:rsid w:val="00A261DF"/>
    <w:rsid w:val="00A27193"/>
    <w:rsid w:val="00A31465"/>
    <w:rsid w:val="00A31570"/>
    <w:rsid w:val="00A322B9"/>
    <w:rsid w:val="00A32BB7"/>
    <w:rsid w:val="00A3385A"/>
    <w:rsid w:val="00A33962"/>
    <w:rsid w:val="00A34069"/>
    <w:rsid w:val="00A34653"/>
    <w:rsid w:val="00A35A30"/>
    <w:rsid w:val="00A368BE"/>
    <w:rsid w:val="00A36DE5"/>
    <w:rsid w:val="00A36F63"/>
    <w:rsid w:val="00A37651"/>
    <w:rsid w:val="00A37F9D"/>
    <w:rsid w:val="00A4030E"/>
    <w:rsid w:val="00A4046F"/>
    <w:rsid w:val="00A4089D"/>
    <w:rsid w:val="00A42225"/>
    <w:rsid w:val="00A42572"/>
    <w:rsid w:val="00A42F26"/>
    <w:rsid w:val="00A43AFF"/>
    <w:rsid w:val="00A43F29"/>
    <w:rsid w:val="00A451D8"/>
    <w:rsid w:val="00A4647C"/>
    <w:rsid w:val="00A47137"/>
    <w:rsid w:val="00A473E8"/>
    <w:rsid w:val="00A504A0"/>
    <w:rsid w:val="00A50BBD"/>
    <w:rsid w:val="00A50ED2"/>
    <w:rsid w:val="00A513EF"/>
    <w:rsid w:val="00A525BB"/>
    <w:rsid w:val="00A5264E"/>
    <w:rsid w:val="00A53527"/>
    <w:rsid w:val="00A53619"/>
    <w:rsid w:val="00A54108"/>
    <w:rsid w:val="00A5585B"/>
    <w:rsid w:val="00A5648C"/>
    <w:rsid w:val="00A569CC"/>
    <w:rsid w:val="00A57188"/>
    <w:rsid w:val="00A5784D"/>
    <w:rsid w:val="00A6199B"/>
    <w:rsid w:val="00A64136"/>
    <w:rsid w:val="00A66E9E"/>
    <w:rsid w:val="00A67275"/>
    <w:rsid w:val="00A7127F"/>
    <w:rsid w:val="00A725B1"/>
    <w:rsid w:val="00A7375B"/>
    <w:rsid w:val="00A73ACE"/>
    <w:rsid w:val="00A748EE"/>
    <w:rsid w:val="00A74EE6"/>
    <w:rsid w:val="00A75B1D"/>
    <w:rsid w:val="00A76393"/>
    <w:rsid w:val="00A764CA"/>
    <w:rsid w:val="00A77888"/>
    <w:rsid w:val="00A7793A"/>
    <w:rsid w:val="00A804F7"/>
    <w:rsid w:val="00A80F17"/>
    <w:rsid w:val="00A80F61"/>
    <w:rsid w:val="00A831C6"/>
    <w:rsid w:val="00A83320"/>
    <w:rsid w:val="00A83461"/>
    <w:rsid w:val="00A84163"/>
    <w:rsid w:val="00A8423E"/>
    <w:rsid w:val="00A849AA"/>
    <w:rsid w:val="00A8643D"/>
    <w:rsid w:val="00A87DCD"/>
    <w:rsid w:val="00A9003C"/>
    <w:rsid w:val="00A90105"/>
    <w:rsid w:val="00A905F6"/>
    <w:rsid w:val="00A90A04"/>
    <w:rsid w:val="00A90D70"/>
    <w:rsid w:val="00A91D4C"/>
    <w:rsid w:val="00A91F05"/>
    <w:rsid w:val="00A91FEB"/>
    <w:rsid w:val="00A93E76"/>
    <w:rsid w:val="00A96FD8"/>
    <w:rsid w:val="00A97D04"/>
    <w:rsid w:val="00AA1840"/>
    <w:rsid w:val="00AA1C91"/>
    <w:rsid w:val="00AA1DDA"/>
    <w:rsid w:val="00AA4BDD"/>
    <w:rsid w:val="00AA4CC7"/>
    <w:rsid w:val="00AA5E8E"/>
    <w:rsid w:val="00AA69FD"/>
    <w:rsid w:val="00AA704B"/>
    <w:rsid w:val="00AA753B"/>
    <w:rsid w:val="00AB05A6"/>
    <w:rsid w:val="00AB0B84"/>
    <w:rsid w:val="00AB1831"/>
    <w:rsid w:val="00AB2BAD"/>
    <w:rsid w:val="00AB400E"/>
    <w:rsid w:val="00AB4C42"/>
    <w:rsid w:val="00AB682D"/>
    <w:rsid w:val="00AB6CA7"/>
    <w:rsid w:val="00AC04DE"/>
    <w:rsid w:val="00AC1219"/>
    <w:rsid w:val="00AC189E"/>
    <w:rsid w:val="00AC1CC4"/>
    <w:rsid w:val="00AC4489"/>
    <w:rsid w:val="00AC5F08"/>
    <w:rsid w:val="00AC6A41"/>
    <w:rsid w:val="00AD01E4"/>
    <w:rsid w:val="00AD0858"/>
    <w:rsid w:val="00AD093F"/>
    <w:rsid w:val="00AD135E"/>
    <w:rsid w:val="00AD1389"/>
    <w:rsid w:val="00AD1802"/>
    <w:rsid w:val="00AD1C1C"/>
    <w:rsid w:val="00AD225B"/>
    <w:rsid w:val="00AD44AB"/>
    <w:rsid w:val="00AD46A3"/>
    <w:rsid w:val="00AD55A9"/>
    <w:rsid w:val="00AD5771"/>
    <w:rsid w:val="00AD67F0"/>
    <w:rsid w:val="00AD6872"/>
    <w:rsid w:val="00AE02E3"/>
    <w:rsid w:val="00AE2321"/>
    <w:rsid w:val="00AE24EC"/>
    <w:rsid w:val="00AE3318"/>
    <w:rsid w:val="00AE47F2"/>
    <w:rsid w:val="00AE502B"/>
    <w:rsid w:val="00AE7340"/>
    <w:rsid w:val="00AE79B5"/>
    <w:rsid w:val="00AF1BBD"/>
    <w:rsid w:val="00AF3513"/>
    <w:rsid w:val="00AF42E2"/>
    <w:rsid w:val="00AF44C9"/>
    <w:rsid w:val="00AF49CF"/>
    <w:rsid w:val="00AF5836"/>
    <w:rsid w:val="00AF595C"/>
    <w:rsid w:val="00AF5D41"/>
    <w:rsid w:val="00AF5F35"/>
    <w:rsid w:val="00AF63B9"/>
    <w:rsid w:val="00AF74EE"/>
    <w:rsid w:val="00AF7F35"/>
    <w:rsid w:val="00B003B0"/>
    <w:rsid w:val="00B004C5"/>
    <w:rsid w:val="00B00B75"/>
    <w:rsid w:val="00B0101A"/>
    <w:rsid w:val="00B011AF"/>
    <w:rsid w:val="00B01335"/>
    <w:rsid w:val="00B01931"/>
    <w:rsid w:val="00B01F2D"/>
    <w:rsid w:val="00B020CD"/>
    <w:rsid w:val="00B042CD"/>
    <w:rsid w:val="00B0506D"/>
    <w:rsid w:val="00B065CA"/>
    <w:rsid w:val="00B07287"/>
    <w:rsid w:val="00B072D7"/>
    <w:rsid w:val="00B10207"/>
    <w:rsid w:val="00B1386E"/>
    <w:rsid w:val="00B141E7"/>
    <w:rsid w:val="00B156F5"/>
    <w:rsid w:val="00B1683F"/>
    <w:rsid w:val="00B20523"/>
    <w:rsid w:val="00B20A8C"/>
    <w:rsid w:val="00B21E13"/>
    <w:rsid w:val="00B22266"/>
    <w:rsid w:val="00B23594"/>
    <w:rsid w:val="00B23A09"/>
    <w:rsid w:val="00B24C79"/>
    <w:rsid w:val="00B25396"/>
    <w:rsid w:val="00B259DC"/>
    <w:rsid w:val="00B3007C"/>
    <w:rsid w:val="00B30245"/>
    <w:rsid w:val="00B30897"/>
    <w:rsid w:val="00B31302"/>
    <w:rsid w:val="00B3298C"/>
    <w:rsid w:val="00B341DC"/>
    <w:rsid w:val="00B34A6C"/>
    <w:rsid w:val="00B34B33"/>
    <w:rsid w:val="00B34CB9"/>
    <w:rsid w:val="00B351B4"/>
    <w:rsid w:val="00B3681A"/>
    <w:rsid w:val="00B36F02"/>
    <w:rsid w:val="00B37680"/>
    <w:rsid w:val="00B3781D"/>
    <w:rsid w:val="00B4132F"/>
    <w:rsid w:val="00B42DEB"/>
    <w:rsid w:val="00B43E02"/>
    <w:rsid w:val="00B46BCA"/>
    <w:rsid w:val="00B472EC"/>
    <w:rsid w:val="00B478AA"/>
    <w:rsid w:val="00B50082"/>
    <w:rsid w:val="00B5102E"/>
    <w:rsid w:val="00B51183"/>
    <w:rsid w:val="00B511E2"/>
    <w:rsid w:val="00B514F6"/>
    <w:rsid w:val="00B51E0F"/>
    <w:rsid w:val="00B51F59"/>
    <w:rsid w:val="00B54996"/>
    <w:rsid w:val="00B56018"/>
    <w:rsid w:val="00B5658C"/>
    <w:rsid w:val="00B56B35"/>
    <w:rsid w:val="00B61B9E"/>
    <w:rsid w:val="00B62AD7"/>
    <w:rsid w:val="00B631E8"/>
    <w:rsid w:val="00B640C0"/>
    <w:rsid w:val="00B6433B"/>
    <w:rsid w:val="00B64FD3"/>
    <w:rsid w:val="00B66E8D"/>
    <w:rsid w:val="00B67C76"/>
    <w:rsid w:val="00B70D32"/>
    <w:rsid w:val="00B731F5"/>
    <w:rsid w:val="00B73501"/>
    <w:rsid w:val="00B73FD1"/>
    <w:rsid w:val="00B73FDC"/>
    <w:rsid w:val="00B745E1"/>
    <w:rsid w:val="00B74A05"/>
    <w:rsid w:val="00B74DCA"/>
    <w:rsid w:val="00B75D08"/>
    <w:rsid w:val="00B7678C"/>
    <w:rsid w:val="00B81344"/>
    <w:rsid w:val="00B83E6E"/>
    <w:rsid w:val="00B87806"/>
    <w:rsid w:val="00B878BC"/>
    <w:rsid w:val="00B87EC9"/>
    <w:rsid w:val="00B908F1"/>
    <w:rsid w:val="00B90C3D"/>
    <w:rsid w:val="00B916E1"/>
    <w:rsid w:val="00B92B29"/>
    <w:rsid w:val="00B93874"/>
    <w:rsid w:val="00B94AAF"/>
    <w:rsid w:val="00B951CA"/>
    <w:rsid w:val="00BA0BD8"/>
    <w:rsid w:val="00BA2408"/>
    <w:rsid w:val="00BA2D9B"/>
    <w:rsid w:val="00BA6974"/>
    <w:rsid w:val="00BB00CF"/>
    <w:rsid w:val="00BB15DC"/>
    <w:rsid w:val="00BB1EC8"/>
    <w:rsid w:val="00BB2358"/>
    <w:rsid w:val="00BB3550"/>
    <w:rsid w:val="00BB4022"/>
    <w:rsid w:val="00BB4298"/>
    <w:rsid w:val="00BB4880"/>
    <w:rsid w:val="00BB60CF"/>
    <w:rsid w:val="00BB7B5E"/>
    <w:rsid w:val="00BB7F7F"/>
    <w:rsid w:val="00BC1CBA"/>
    <w:rsid w:val="00BC366B"/>
    <w:rsid w:val="00BC38FD"/>
    <w:rsid w:val="00BC54D3"/>
    <w:rsid w:val="00BC5758"/>
    <w:rsid w:val="00BC5777"/>
    <w:rsid w:val="00BC6253"/>
    <w:rsid w:val="00BC6348"/>
    <w:rsid w:val="00BC64C1"/>
    <w:rsid w:val="00BC64DA"/>
    <w:rsid w:val="00BC7C0D"/>
    <w:rsid w:val="00BD22F4"/>
    <w:rsid w:val="00BD285A"/>
    <w:rsid w:val="00BD389C"/>
    <w:rsid w:val="00BD55C1"/>
    <w:rsid w:val="00BD7596"/>
    <w:rsid w:val="00BE153C"/>
    <w:rsid w:val="00BE1B2F"/>
    <w:rsid w:val="00BE6F36"/>
    <w:rsid w:val="00BF0CD2"/>
    <w:rsid w:val="00BF2A42"/>
    <w:rsid w:val="00BF3296"/>
    <w:rsid w:val="00BF4041"/>
    <w:rsid w:val="00BF4FA4"/>
    <w:rsid w:val="00BF5887"/>
    <w:rsid w:val="00BF7D74"/>
    <w:rsid w:val="00C0016D"/>
    <w:rsid w:val="00C00624"/>
    <w:rsid w:val="00C0181F"/>
    <w:rsid w:val="00C01BE5"/>
    <w:rsid w:val="00C01CAF"/>
    <w:rsid w:val="00C0236C"/>
    <w:rsid w:val="00C02375"/>
    <w:rsid w:val="00C034CB"/>
    <w:rsid w:val="00C04AC6"/>
    <w:rsid w:val="00C051A8"/>
    <w:rsid w:val="00C054BC"/>
    <w:rsid w:val="00C06052"/>
    <w:rsid w:val="00C06680"/>
    <w:rsid w:val="00C1084B"/>
    <w:rsid w:val="00C10A0B"/>
    <w:rsid w:val="00C10E6B"/>
    <w:rsid w:val="00C13FF4"/>
    <w:rsid w:val="00C1533D"/>
    <w:rsid w:val="00C1540C"/>
    <w:rsid w:val="00C15F8C"/>
    <w:rsid w:val="00C17501"/>
    <w:rsid w:val="00C17897"/>
    <w:rsid w:val="00C17D57"/>
    <w:rsid w:val="00C208F1"/>
    <w:rsid w:val="00C213E2"/>
    <w:rsid w:val="00C21EAB"/>
    <w:rsid w:val="00C227B1"/>
    <w:rsid w:val="00C22AF5"/>
    <w:rsid w:val="00C23DB6"/>
    <w:rsid w:val="00C23F1A"/>
    <w:rsid w:val="00C2422E"/>
    <w:rsid w:val="00C242CC"/>
    <w:rsid w:val="00C246BB"/>
    <w:rsid w:val="00C253C1"/>
    <w:rsid w:val="00C25C94"/>
    <w:rsid w:val="00C25E26"/>
    <w:rsid w:val="00C265E7"/>
    <w:rsid w:val="00C26D7D"/>
    <w:rsid w:val="00C33CD8"/>
    <w:rsid w:val="00C40034"/>
    <w:rsid w:val="00C409D5"/>
    <w:rsid w:val="00C41164"/>
    <w:rsid w:val="00C435C3"/>
    <w:rsid w:val="00C438DF"/>
    <w:rsid w:val="00C44DC4"/>
    <w:rsid w:val="00C44E5F"/>
    <w:rsid w:val="00C45174"/>
    <w:rsid w:val="00C45E34"/>
    <w:rsid w:val="00C46B6E"/>
    <w:rsid w:val="00C47051"/>
    <w:rsid w:val="00C47CFE"/>
    <w:rsid w:val="00C47FF0"/>
    <w:rsid w:val="00C50871"/>
    <w:rsid w:val="00C50EE2"/>
    <w:rsid w:val="00C51A54"/>
    <w:rsid w:val="00C51B7C"/>
    <w:rsid w:val="00C52251"/>
    <w:rsid w:val="00C53FFC"/>
    <w:rsid w:val="00C544CA"/>
    <w:rsid w:val="00C55791"/>
    <w:rsid w:val="00C574E3"/>
    <w:rsid w:val="00C57AF6"/>
    <w:rsid w:val="00C609D2"/>
    <w:rsid w:val="00C60F32"/>
    <w:rsid w:val="00C6234B"/>
    <w:rsid w:val="00C62869"/>
    <w:rsid w:val="00C63789"/>
    <w:rsid w:val="00C63EAE"/>
    <w:rsid w:val="00C70412"/>
    <w:rsid w:val="00C72BEF"/>
    <w:rsid w:val="00C72EA3"/>
    <w:rsid w:val="00C73260"/>
    <w:rsid w:val="00C73325"/>
    <w:rsid w:val="00C73486"/>
    <w:rsid w:val="00C74835"/>
    <w:rsid w:val="00C75645"/>
    <w:rsid w:val="00C75C3A"/>
    <w:rsid w:val="00C761D8"/>
    <w:rsid w:val="00C7629F"/>
    <w:rsid w:val="00C81EEF"/>
    <w:rsid w:val="00C827B5"/>
    <w:rsid w:val="00C82C16"/>
    <w:rsid w:val="00C84023"/>
    <w:rsid w:val="00C8455A"/>
    <w:rsid w:val="00C851D7"/>
    <w:rsid w:val="00C85E73"/>
    <w:rsid w:val="00C8661B"/>
    <w:rsid w:val="00C86F3B"/>
    <w:rsid w:val="00C909F8"/>
    <w:rsid w:val="00C91306"/>
    <w:rsid w:val="00C913F9"/>
    <w:rsid w:val="00C917AF"/>
    <w:rsid w:val="00C918C8"/>
    <w:rsid w:val="00C92565"/>
    <w:rsid w:val="00C92FE8"/>
    <w:rsid w:val="00C936EF"/>
    <w:rsid w:val="00C9488A"/>
    <w:rsid w:val="00C94DEC"/>
    <w:rsid w:val="00C950F6"/>
    <w:rsid w:val="00C95CE1"/>
    <w:rsid w:val="00C96539"/>
    <w:rsid w:val="00C976AF"/>
    <w:rsid w:val="00C9783D"/>
    <w:rsid w:val="00C97994"/>
    <w:rsid w:val="00CA0359"/>
    <w:rsid w:val="00CA03C8"/>
    <w:rsid w:val="00CA139A"/>
    <w:rsid w:val="00CA2899"/>
    <w:rsid w:val="00CA297C"/>
    <w:rsid w:val="00CA2FA2"/>
    <w:rsid w:val="00CA3252"/>
    <w:rsid w:val="00CA33B0"/>
    <w:rsid w:val="00CA3698"/>
    <w:rsid w:val="00CA38E7"/>
    <w:rsid w:val="00CA3A3D"/>
    <w:rsid w:val="00CA3AA6"/>
    <w:rsid w:val="00CA4078"/>
    <w:rsid w:val="00CA4EE6"/>
    <w:rsid w:val="00CA59F7"/>
    <w:rsid w:val="00CA5A98"/>
    <w:rsid w:val="00CA77FB"/>
    <w:rsid w:val="00CA7825"/>
    <w:rsid w:val="00CB0609"/>
    <w:rsid w:val="00CB0A1D"/>
    <w:rsid w:val="00CB1BAD"/>
    <w:rsid w:val="00CB1D8B"/>
    <w:rsid w:val="00CB28F2"/>
    <w:rsid w:val="00CB379B"/>
    <w:rsid w:val="00CB3BFF"/>
    <w:rsid w:val="00CB40D0"/>
    <w:rsid w:val="00CB541F"/>
    <w:rsid w:val="00CB598F"/>
    <w:rsid w:val="00CB5DD0"/>
    <w:rsid w:val="00CB5EF0"/>
    <w:rsid w:val="00CB770B"/>
    <w:rsid w:val="00CB7737"/>
    <w:rsid w:val="00CC1CEE"/>
    <w:rsid w:val="00CC2AFD"/>
    <w:rsid w:val="00CC4C0B"/>
    <w:rsid w:val="00CC51D4"/>
    <w:rsid w:val="00CC5355"/>
    <w:rsid w:val="00CC53FA"/>
    <w:rsid w:val="00CC5D12"/>
    <w:rsid w:val="00CC65A9"/>
    <w:rsid w:val="00CC65DA"/>
    <w:rsid w:val="00CD0A2C"/>
    <w:rsid w:val="00CD1BD9"/>
    <w:rsid w:val="00CD1F3E"/>
    <w:rsid w:val="00CD236F"/>
    <w:rsid w:val="00CD764E"/>
    <w:rsid w:val="00CE0E25"/>
    <w:rsid w:val="00CE2D1F"/>
    <w:rsid w:val="00CE2DCB"/>
    <w:rsid w:val="00CE2F76"/>
    <w:rsid w:val="00CE375A"/>
    <w:rsid w:val="00CF052F"/>
    <w:rsid w:val="00CF1352"/>
    <w:rsid w:val="00CF1FB4"/>
    <w:rsid w:val="00CF21B9"/>
    <w:rsid w:val="00CF2A30"/>
    <w:rsid w:val="00CF3A49"/>
    <w:rsid w:val="00CF447C"/>
    <w:rsid w:val="00CF5241"/>
    <w:rsid w:val="00CF5515"/>
    <w:rsid w:val="00CF620F"/>
    <w:rsid w:val="00CF633C"/>
    <w:rsid w:val="00CF6BF9"/>
    <w:rsid w:val="00CF72DC"/>
    <w:rsid w:val="00CF7481"/>
    <w:rsid w:val="00CF7B29"/>
    <w:rsid w:val="00D00184"/>
    <w:rsid w:val="00D01E90"/>
    <w:rsid w:val="00D01ED5"/>
    <w:rsid w:val="00D026F5"/>
    <w:rsid w:val="00D03800"/>
    <w:rsid w:val="00D0439E"/>
    <w:rsid w:val="00D04C60"/>
    <w:rsid w:val="00D04CD8"/>
    <w:rsid w:val="00D065D3"/>
    <w:rsid w:val="00D07D82"/>
    <w:rsid w:val="00D10EEA"/>
    <w:rsid w:val="00D111EA"/>
    <w:rsid w:val="00D12E3F"/>
    <w:rsid w:val="00D139FD"/>
    <w:rsid w:val="00D13DE7"/>
    <w:rsid w:val="00D14C94"/>
    <w:rsid w:val="00D14FA1"/>
    <w:rsid w:val="00D156BF"/>
    <w:rsid w:val="00D17BF1"/>
    <w:rsid w:val="00D21A37"/>
    <w:rsid w:val="00D22DE3"/>
    <w:rsid w:val="00D23688"/>
    <w:rsid w:val="00D23D6A"/>
    <w:rsid w:val="00D2413F"/>
    <w:rsid w:val="00D24226"/>
    <w:rsid w:val="00D2447E"/>
    <w:rsid w:val="00D24853"/>
    <w:rsid w:val="00D24EC2"/>
    <w:rsid w:val="00D26458"/>
    <w:rsid w:val="00D267E4"/>
    <w:rsid w:val="00D26A3C"/>
    <w:rsid w:val="00D3067D"/>
    <w:rsid w:val="00D32FC6"/>
    <w:rsid w:val="00D33579"/>
    <w:rsid w:val="00D33647"/>
    <w:rsid w:val="00D342A6"/>
    <w:rsid w:val="00D35278"/>
    <w:rsid w:val="00D35785"/>
    <w:rsid w:val="00D35E11"/>
    <w:rsid w:val="00D3697A"/>
    <w:rsid w:val="00D37455"/>
    <w:rsid w:val="00D409E6"/>
    <w:rsid w:val="00D40E76"/>
    <w:rsid w:val="00D40EB5"/>
    <w:rsid w:val="00D427A2"/>
    <w:rsid w:val="00D42C1B"/>
    <w:rsid w:val="00D42C47"/>
    <w:rsid w:val="00D42E24"/>
    <w:rsid w:val="00D42E4C"/>
    <w:rsid w:val="00D441FB"/>
    <w:rsid w:val="00D449EA"/>
    <w:rsid w:val="00D44CF4"/>
    <w:rsid w:val="00D45CA6"/>
    <w:rsid w:val="00D464BF"/>
    <w:rsid w:val="00D51889"/>
    <w:rsid w:val="00D539EC"/>
    <w:rsid w:val="00D53E26"/>
    <w:rsid w:val="00D5451F"/>
    <w:rsid w:val="00D54B38"/>
    <w:rsid w:val="00D54D46"/>
    <w:rsid w:val="00D55292"/>
    <w:rsid w:val="00D555E1"/>
    <w:rsid w:val="00D56EF1"/>
    <w:rsid w:val="00D571C0"/>
    <w:rsid w:val="00D577F0"/>
    <w:rsid w:val="00D57AFF"/>
    <w:rsid w:val="00D57BF7"/>
    <w:rsid w:val="00D6068D"/>
    <w:rsid w:val="00D60903"/>
    <w:rsid w:val="00D613BF"/>
    <w:rsid w:val="00D61509"/>
    <w:rsid w:val="00D6174E"/>
    <w:rsid w:val="00D62447"/>
    <w:rsid w:val="00D6282E"/>
    <w:rsid w:val="00D628F7"/>
    <w:rsid w:val="00D6348E"/>
    <w:rsid w:val="00D6351F"/>
    <w:rsid w:val="00D676B9"/>
    <w:rsid w:val="00D7086D"/>
    <w:rsid w:val="00D71049"/>
    <w:rsid w:val="00D71F2C"/>
    <w:rsid w:val="00D73319"/>
    <w:rsid w:val="00D735AE"/>
    <w:rsid w:val="00D737C3"/>
    <w:rsid w:val="00D740A9"/>
    <w:rsid w:val="00D7558E"/>
    <w:rsid w:val="00D75A5D"/>
    <w:rsid w:val="00D766FB"/>
    <w:rsid w:val="00D776B4"/>
    <w:rsid w:val="00D801B7"/>
    <w:rsid w:val="00D83D83"/>
    <w:rsid w:val="00D841BA"/>
    <w:rsid w:val="00D84F86"/>
    <w:rsid w:val="00D91F26"/>
    <w:rsid w:val="00D9290B"/>
    <w:rsid w:val="00D92E56"/>
    <w:rsid w:val="00D937AF"/>
    <w:rsid w:val="00D93C12"/>
    <w:rsid w:val="00D94F96"/>
    <w:rsid w:val="00D950C0"/>
    <w:rsid w:val="00D95399"/>
    <w:rsid w:val="00D96A48"/>
    <w:rsid w:val="00D97234"/>
    <w:rsid w:val="00D97E89"/>
    <w:rsid w:val="00DA0BFE"/>
    <w:rsid w:val="00DA1291"/>
    <w:rsid w:val="00DA2090"/>
    <w:rsid w:val="00DA35BF"/>
    <w:rsid w:val="00DA57F0"/>
    <w:rsid w:val="00DA5AC9"/>
    <w:rsid w:val="00DA66CE"/>
    <w:rsid w:val="00DA68B5"/>
    <w:rsid w:val="00DA7488"/>
    <w:rsid w:val="00DB182C"/>
    <w:rsid w:val="00DB1CE0"/>
    <w:rsid w:val="00DB22AD"/>
    <w:rsid w:val="00DB2553"/>
    <w:rsid w:val="00DB2694"/>
    <w:rsid w:val="00DB2934"/>
    <w:rsid w:val="00DB2C73"/>
    <w:rsid w:val="00DB2D97"/>
    <w:rsid w:val="00DB346E"/>
    <w:rsid w:val="00DB401C"/>
    <w:rsid w:val="00DB560A"/>
    <w:rsid w:val="00DB56E0"/>
    <w:rsid w:val="00DB729E"/>
    <w:rsid w:val="00DC08AE"/>
    <w:rsid w:val="00DC30F4"/>
    <w:rsid w:val="00DC343B"/>
    <w:rsid w:val="00DC4256"/>
    <w:rsid w:val="00DC4E0B"/>
    <w:rsid w:val="00DC6B1A"/>
    <w:rsid w:val="00DD015E"/>
    <w:rsid w:val="00DD11A2"/>
    <w:rsid w:val="00DD2288"/>
    <w:rsid w:val="00DD25B1"/>
    <w:rsid w:val="00DD3A0B"/>
    <w:rsid w:val="00DD4F0E"/>
    <w:rsid w:val="00DD544C"/>
    <w:rsid w:val="00DD7392"/>
    <w:rsid w:val="00DD7BAB"/>
    <w:rsid w:val="00DE08D8"/>
    <w:rsid w:val="00DE09C5"/>
    <w:rsid w:val="00DE1AB8"/>
    <w:rsid w:val="00DE4AF6"/>
    <w:rsid w:val="00DE60B6"/>
    <w:rsid w:val="00DE7F46"/>
    <w:rsid w:val="00DF0BF0"/>
    <w:rsid w:val="00DF1E6F"/>
    <w:rsid w:val="00DF2889"/>
    <w:rsid w:val="00DF2EC9"/>
    <w:rsid w:val="00DF3CA2"/>
    <w:rsid w:val="00DF5F2F"/>
    <w:rsid w:val="00DF6010"/>
    <w:rsid w:val="00DF70DE"/>
    <w:rsid w:val="00DF7A40"/>
    <w:rsid w:val="00E00987"/>
    <w:rsid w:val="00E00A43"/>
    <w:rsid w:val="00E01463"/>
    <w:rsid w:val="00E01F9B"/>
    <w:rsid w:val="00E024FD"/>
    <w:rsid w:val="00E03603"/>
    <w:rsid w:val="00E036A2"/>
    <w:rsid w:val="00E04D63"/>
    <w:rsid w:val="00E0515E"/>
    <w:rsid w:val="00E05217"/>
    <w:rsid w:val="00E05E0A"/>
    <w:rsid w:val="00E060BE"/>
    <w:rsid w:val="00E06D7B"/>
    <w:rsid w:val="00E0750F"/>
    <w:rsid w:val="00E07E7E"/>
    <w:rsid w:val="00E1018C"/>
    <w:rsid w:val="00E104BE"/>
    <w:rsid w:val="00E105FF"/>
    <w:rsid w:val="00E10E66"/>
    <w:rsid w:val="00E113B3"/>
    <w:rsid w:val="00E131BB"/>
    <w:rsid w:val="00E16139"/>
    <w:rsid w:val="00E169F5"/>
    <w:rsid w:val="00E2062E"/>
    <w:rsid w:val="00E21DB1"/>
    <w:rsid w:val="00E249CF"/>
    <w:rsid w:val="00E2573D"/>
    <w:rsid w:val="00E259CC"/>
    <w:rsid w:val="00E27F42"/>
    <w:rsid w:val="00E302B9"/>
    <w:rsid w:val="00E310E2"/>
    <w:rsid w:val="00E319FC"/>
    <w:rsid w:val="00E31B35"/>
    <w:rsid w:val="00E32119"/>
    <w:rsid w:val="00E32E90"/>
    <w:rsid w:val="00E35675"/>
    <w:rsid w:val="00E37372"/>
    <w:rsid w:val="00E3793D"/>
    <w:rsid w:val="00E40101"/>
    <w:rsid w:val="00E40567"/>
    <w:rsid w:val="00E4103E"/>
    <w:rsid w:val="00E41268"/>
    <w:rsid w:val="00E42D84"/>
    <w:rsid w:val="00E43081"/>
    <w:rsid w:val="00E43564"/>
    <w:rsid w:val="00E44F5D"/>
    <w:rsid w:val="00E45FEE"/>
    <w:rsid w:val="00E466CF"/>
    <w:rsid w:val="00E5089D"/>
    <w:rsid w:val="00E50937"/>
    <w:rsid w:val="00E50F86"/>
    <w:rsid w:val="00E51411"/>
    <w:rsid w:val="00E52A49"/>
    <w:rsid w:val="00E52D90"/>
    <w:rsid w:val="00E534CF"/>
    <w:rsid w:val="00E53D16"/>
    <w:rsid w:val="00E557CC"/>
    <w:rsid w:val="00E55DAB"/>
    <w:rsid w:val="00E567F5"/>
    <w:rsid w:val="00E56D1F"/>
    <w:rsid w:val="00E56DC0"/>
    <w:rsid w:val="00E5761C"/>
    <w:rsid w:val="00E61EA4"/>
    <w:rsid w:val="00E62294"/>
    <w:rsid w:val="00E62320"/>
    <w:rsid w:val="00E62712"/>
    <w:rsid w:val="00E62E3B"/>
    <w:rsid w:val="00E62F45"/>
    <w:rsid w:val="00E63984"/>
    <w:rsid w:val="00E703CE"/>
    <w:rsid w:val="00E70D87"/>
    <w:rsid w:val="00E71942"/>
    <w:rsid w:val="00E71B77"/>
    <w:rsid w:val="00E72D94"/>
    <w:rsid w:val="00E737B9"/>
    <w:rsid w:val="00E7397F"/>
    <w:rsid w:val="00E73C9E"/>
    <w:rsid w:val="00E73E90"/>
    <w:rsid w:val="00E74CDC"/>
    <w:rsid w:val="00E75205"/>
    <w:rsid w:val="00E771A1"/>
    <w:rsid w:val="00E779C1"/>
    <w:rsid w:val="00E80186"/>
    <w:rsid w:val="00E81CB4"/>
    <w:rsid w:val="00E827D8"/>
    <w:rsid w:val="00E856CF"/>
    <w:rsid w:val="00E8585B"/>
    <w:rsid w:val="00E85A17"/>
    <w:rsid w:val="00E86789"/>
    <w:rsid w:val="00E87F41"/>
    <w:rsid w:val="00E90883"/>
    <w:rsid w:val="00E912C1"/>
    <w:rsid w:val="00E9221A"/>
    <w:rsid w:val="00E947A1"/>
    <w:rsid w:val="00E94BC7"/>
    <w:rsid w:val="00E94DC1"/>
    <w:rsid w:val="00E94E6F"/>
    <w:rsid w:val="00E9566E"/>
    <w:rsid w:val="00E96CF9"/>
    <w:rsid w:val="00E9761E"/>
    <w:rsid w:val="00E97758"/>
    <w:rsid w:val="00EA076C"/>
    <w:rsid w:val="00EA1973"/>
    <w:rsid w:val="00EA2513"/>
    <w:rsid w:val="00EA3F15"/>
    <w:rsid w:val="00EA493F"/>
    <w:rsid w:val="00EA4A30"/>
    <w:rsid w:val="00EA6073"/>
    <w:rsid w:val="00EA633B"/>
    <w:rsid w:val="00EA7847"/>
    <w:rsid w:val="00EA7B6E"/>
    <w:rsid w:val="00EB0C9E"/>
    <w:rsid w:val="00EB148E"/>
    <w:rsid w:val="00EB177E"/>
    <w:rsid w:val="00EB18F0"/>
    <w:rsid w:val="00EB2F53"/>
    <w:rsid w:val="00EB34F4"/>
    <w:rsid w:val="00EB350B"/>
    <w:rsid w:val="00EB433E"/>
    <w:rsid w:val="00EB44D9"/>
    <w:rsid w:val="00EB4AC5"/>
    <w:rsid w:val="00EB4C2F"/>
    <w:rsid w:val="00EB53D1"/>
    <w:rsid w:val="00EC082E"/>
    <w:rsid w:val="00EC09D1"/>
    <w:rsid w:val="00EC22BF"/>
    <w:rsid w:val="00EC2D39"/>
    <w:rsid w:val="00EC51A7"/>
    <w:rsid w:val="00EC644F"/>
    <w:rsid w:val="00EC64A8"/>
    <w:rsid w:val="00EC7B65"/>
    <w:rsid w:val="00EC7ECD"/>
    <w:rsid w:val="00ED187D"/>
    <w:rsid w:val="00ED26AD"/>
    <w:rsid w:val="00ED2BC2"/>
    <w:rsid w:val="00ED476B"/>
    <w:rsid w:val="00ED47B3"/>
    <w:rsid w:val="00ED69C3"/>
    <w:rsid w:val="00ED6C47"/>
    <w:rsid w:val="00ED7C1C"/>
    <w:rsid w:val="00EE02B4"/>
    <w:rsid w:val="00EE0ECD"/>
    <w:rsid w:val="00EE125E"/>
    <w:rsid w:val="00EE1426"/>
    <w:rsid w:val="00EE2E6E"/>
    <w:rsid w:val="00EE3F50"/>
    <w:rsid w:val="00EE4E64"/>
    <w:rsid w:val="00EE5CF6"/>
    <w:rsid w:val="00EE62B1"/>
    <w:rsid w:val="00EE6AC0"/>
    <w:rsid w:val="00EE7373"/>
    <w:rsid w:val="00EE782C"/>
    <w:rsid w:val="00EE7CEC"/>
    <w:rsid w:val="00EE7E8D"/>
    <w:rsid w:val="00EF1930"/>
    <w:rsid w:val="00EF2125"/>
    <w:rsid w:val="00EF2272"/>
    <w:rsid w:val="00EF6C88"/>
    <w:rsid w:val="00F00649"/>
    <w:rsid w:val="00F00B87"/>
    <w:rsid w:val="00F010AA"/>
    <w:rsid w:val="00F0130F"/>
    <w:rsid w:val="00F01CB8"/>
    <w:rsid w:val="00F01F36"/>
    <w:rsid w:val="00F02392"/>
    <w:rsid w:val="00F0320D"/>
    <w:rsid w:val="00F0437E"/>
    <w:rsid w:val="00F054BA"/>
    <w:rsid w:val="00F0593B"/>
    <w:rsid w:val="00F06829"/>
    <w:rsid w:val="00F0759E"/>
    <w:rsid w:val="00F0777A"/>
    <w:rsid w:val="00F07944"/>
    <w:rsid w:val="00F10383"/>
    <w:rsid w:val="00F12A11"/>
    <w:rsid w:val="00F137EF"/>
    <w:rsid w:val="00F13C3C"/>
    <w:rsid w:val="00F14797"/>
    <w:rsid w:val="00F154EB"/>
    <w:rsid w:val="00F1595B"/>
    <w:rsid w:val="00F15B30"/>
    <w:rsid w:val="00F16649"/>
    <w:rsid w:val="00F16946"/>
    <w:rsid w:val="00F16A43"/>
    <w:rsid w:val="00F21EA4"/>
    <w:rsid w:val="00F2613A"/>
    <w:rsid w:val="00F26194"/>
    <w:rsid w:val="00F261C9"/>
    <w:rsid w:val="00F31FF2"/>
    <w:rsid w:val="00F32005"/>
    <w:rsid w:val="00F3361C"/>
    <w:rsid w:val="00F35056"/>
    <w:rsid w:val="00F379AE"/>
    <w:rsid w:val="00F37A30"/>
    <w:rsid w:val="00F40B25"/>
    <w:rsid w:val="00F4262C"/>
    <w:rsid w:val="00F42634"/>
    <w:rsid w:val="00F43D58"/>
    <w:rsid w:val="00F44D66"/>
    <w:rsid w:val="00F45699"/>
    <w:rsid w:val="00F45920"/>
    <w:rsid w:val="00F45F8E"/>
    <w:rsid w:val="00F46780"/>
    <w:rsid w:val="00F46F9E"/>
    <w:rsid w:val="00F4702C"/>
    <w:rsid w:val="00F50BAF"/>
    <w:rsid w:val="00F51ACB"/>
    <w:rsid w:val="00F51E4B"/>
    <w:rsid w:val="00F5245B"/>
    <w:rsid w:val="00F528FB"/>
    <w:rsid w:val="00F536EB"/>
    <w:rsid w:val="00F547C1"/>
    <w:rsid w:val="00F560AB"/>
    <w:rsid w:val="00F60D0E"/>
    <w:rsid w:val="00F61222"/>
    <w:rsid w:val="00F6318A"/>
    <w:rsid w:val="00F634AB"/>
    <w:rsid w:val="00F64F29"/>
    <w:rsid w:val="00F65D0B"/>
    <w:rsid w:val="00F71F5B"/>
    <w:rsid w:val="00F75B63"/>
    <w:rsid w:val="00F76B1E"/>
    <w:rsid w:val="00F77D2D"/>
    <w:rsid w:val="00F80182"/>
    <w:rsid w:val="00F8019F"/>
    <w:rsid w:val="00F821A3"/>
    <w:rsid w:val="00F82CC6"/>
    <w:rsid w:val="00F836EF"/>
    <w:rsid w:val="00F83EA8"/>
    <w:rsid w:val="00F84BA0"/>
    <w:rsid w:val="00F84C06"/>
    <w:rsid w:val="00F86F63"/>
    <w:rsid w:val="00F87432"/>
    <w:rsid w:val="00F8770D"/>
    <w:rsid w:val="00F91549"/>
    <w:rsid w:val="00F929BB"/>
    <w:rsid w:val="00F9314A"/>
    <w:rsid w:val="00F939D1"/>
    <w:rsid w:val="00F940B2"/>
    <w:rsid w:val="00F944DE"/>
    <w:rsid w:val="00F96566"/>
    <w:rsid w:val="00F96F81"/>
    <w:rsid w:val="00FA0E4E"/>
    <w:rsid w:val="00FA442D"/>
    <w:rsid w:val="00FA6EEE"/>
    <w:rsid w:val="00FA7C5C"/>
    <w:rsid w:val="00FB0A1B"/>
    <w:rsid w:val="00FB1C41"/>
    <w:rsid w:val="00FB26C1"/>
    <w:rsid w:val="00FB2722"/>
    <w:rsid w:val="00FB382E"/>
    <w:rsid w:val="00FB3E61"/>
    <w:rsid w:val="00FB5910"/>
    <w:rsid w:val="00FC0E03"/>
    <w:rsid w:val="00FC2B3E"/>
    <w:rsid w:val="00FC58EF"/>
    <w:rsid w:val="00FC78BF"/>
    <w:rsid w:val="00FC7B12"/>
    <w:rsid w:val="00FC7C13"/>
    <w:rsid w:val="00FC7DEB"/>
    <w:rsid w:val="00FD1C91"/>
    <w:rsid w:val="00FD1E04"/>
    <w:rsid w:val="00FD1F9A"/>
    <w:rsid w:val="00FD2ACE"/>
    <w:rsid w:val="00FD33DF"/>
    <w:rsid w:val="00FD3669"/>
    <w:rsid w:val="00FD4453"/>
    <w:rsid w:val="00FD460D"/>
    <w:rsid w:val="00FD5CA5"/>
    <w:rsid w:val="00FE02F1"/>
    <w:rsid w:val="00FE0A4C"/>
    <w:rsid w:val="00FE3533"/>
    <w:rsid w:val="00FE39D7"/>
    <w:rsid w:val="00FE3C6F"/>
    <w:rsid w:val="00FE528B"/>
    <w:rsid w:val="00FE704F"/>
    <w:rsid w:val="00FE75EC"/>
    <w:rsid w:val="00FE7EEC"/>
    <w:rsid w:val="00FF1FA2"/>
    <w:rsid w:val="00FF36C4"/>
    <w:rsid w:val="00FF47AB"/>
    <w:rsid w:val="00FF5382"/>
    <w:rsid w:val="00FF7722"/>
    <w:rsid w:val="00FF78B5"/>
    <w:rsid w:val="00FF7FA0"/>
    <w:rsid w:val="016563CE"/>
    <w:rsid w:val="01812944"/>
    <w:rsid w:val="01D159C6"/>
    <w:rsid w:val="02388373"/>
    <w:rsid w:val="024A59B5"/>
    <w:rsid w:val="032E99C2"/>
    <w:rsid w:val="039D9A67"/>
    <w:rsid w:val="04834D17"/>
    <w:rsid w:val="04D0FFC8"/>
    <w:rsid w:val="0573AD3A"/>
    <w:rsid w:val="0598DC7B"/>
    <w:rsid w:val="05E040B2"/>
    <w:rsid w:val="0715ED18"/>
    <w:rsid w:val="07B5B45F"/>
    <w:rsid w:val="0A6D64D8"/>
    <w:rsid w:val="0A9791BD"/>
    <w:rsid w:val="0B7D16A0"/>
    <w:rsid w:val="0BD3C970"/>
    <w:rsid w:val="0C0CB613"/>
    <w:rsid w:val="0C41918B"/>
    <w:rsid w:val="0D0A80A0"/>
    <w:rsid w:val="0E9CAAEB"/>
    <w:rsid w:val="0EA0A7BD"/>
    <w:rsid w:val="0F7874D8"/>
    <w:rsid w:val="0FB04C74"/>
    <w:rsid w:val="0FEF26D8"/>
    <w:rsid w:val="10A5D097"/>
    <w:rsid w:val="111023F1"/>
    <w:rsid w:val="11499AEB"/>
    <w:rsid w:val="123802F2"/>
    <w:rsid w:val="13230507"/>
    <w:rsid w:val="13A6E521"/>
    <w:rsid w:val="13DCBF40"/>
    <w:rsid w:val="13DE4445"/>
    <w:rsid w:val="14553689"/>
    <w:rsid w:val="147703D6"/>
    <w:rsid w:val="14F98F1D"/>
    <w:rsid w:val="14FFA853"/>
    <w:rsid w:val="15B81DB8"/>
    <w:rsid w:val="15C9C504"/>
    <w:rsid w:val="15E4B7AC"/>
    <w:rsid w:val="1620125D"/>
    <w:rsid w:val="16DEB00C"/>
    <w:rsid w:val="170208B6"/>
    <w:rsid w:val="175F2F0F"/>
    <w:rsid w:val="1783FEEA"/>
    <w:rsid w:val="178802D8"/>
    <w:rsid w:val="18B4D7B7"/>
    <w:rsid w:val="18D82ADC"/>
    <w:rsid w:val="1A1DA7D8"/>
    <w:rsid w:val="1B17A799"/>
    <w:rsid w:val="1B5D34CF"/>
    <w:rsid w:val="1B7FAF27"/>
    <w:rsid w:val="1BF436EB"/>
    <w:rsid w:val="1CDD8A38"/>
    <w:rsid w:val="1D65B293"/>
    <w:rsid w:val="1DC6DF49"/>
    <w:rsid w:val="1E1958F7"/>
    <w:rsid w:val="1E7A7A31"/>
    <w:rsid w:val="1E7F74EE"/>
    <w:rsid w:val="1EE2846C"/>
    <w:rsid w:val="1EEBFCDA"/>
    <w:rsid w:val="2042EC07"/>
    <w:rsid w:val="20E6FFDD"/>
    <w:rsid w:val="216DCA62"/>
    <w:rsid w:val="227E7E01"/>
    <w:rsid w:val="23462898"/>
    <w:rsid w:val="2396626A"/>
    <w:rsid w:val="249A63F8"/>
    <w:rsid w:val="261B5A6B"/>
    <w:rsid w:val="26A8AEF3"/>
    <w:rsid w:val="27F79E2B"/>
    <w:rsid w:val="288CF2B3"/>
    <w:rsid w:val="28AE2D1A"/>
    <w:rsid w:val="2993BB05"/>
    <w:rsid w:val="29C6C71C"/>
    <w:rsid w:val="29EF7638"/>
    <w:rsid w:val="2B352E07"/>
    <w:rsid w:val="2BC4A06E"/>
    <w:rsid w:val="2C040813"/>
    <w:rsid w:val="2C68BFBB"/>
    <w:rsid w:val="2C86E530"/>
    <w:rsid w:val="2CE80007"/>
    <w:rsid w:val="2CF168DA"/>
    <w:rsid w:val="2DE09EC1"/>
    <w:rsid w:val="2F053A46"/>
    <w:rsid w:val="2F1914D9"/>
    <w:rsid w:val="2F23BEFF"/>
    <w:rsid w:val="2F269F5F"/>
    <w:rsid w:val="306D1EA3"/>
    <w:rsid w:val="30C410AF"/>
    <w:rsid w:val="30DD1873"/>
    <w:rsid w:val="31325534"/>
    <w:rsid w:val="314FAD03"/>
    <w:rsid w:val="315C67E9"/>
    <w:rsid w:val="3176BF79"/>
    <w:rsid w:val="31D4840D"/>
    <w:rsid w:val="31E9E726"/>
    <w:rsid w:val="32A96F83"/>
    <w:rsid w:val="33557113"/>
    <w:rsid w:val="34953CED"/>
    <w:rsid w:val="34B5FE84"/>
    <w:rsid w:val="35F0F912"/>
    <w:rsid w:val="37092415"/>
    <w:rsid w:val="371612CF"/>
    <w:rsid w:val="378AFFE9"/>
    <w:rsid w:val="37AF3F85"/>
    <w:rsid w:val="38234BCC"/>
    <w:rsid w:val="3A3367ED"/>
    <w:rsid w:val="3B24AEDE"/>
    <w:rsid w:val="3B661561"/>
    <w:rsid w:val="3C0C9C7B"/>
    <w:rsid w:val="3C841F41"/>
    <w:rsid w:val="3C8FCA64"/>
    <w:rsid w:val="3C9BD4F6"/>
    <w:rsid w:val="3CE222F3"/>
    <w:rsid w:val="3D102B35"/>
    <w:rsid w:val="3D16F7CD"/>
    <w:rsid w:val="3D8D8949"/>
    <w:rsid w:val="3E3959CC"/>
    <w:rsid w:val="3E521770"/>
    <w:rsid w:val="3E620FA2"/>
    <w:rsid w:val="3E9ADE82"/>
    <w:rsid w:val="3F9D0A71"/>
    <w:rsid w:val="3FAAA3D1"/>
    <w:rsid w:val="3FF1066F"/>
    <w:rsid w:val="3FF87724"/>
    <w:rsid w:val="405E6806"/>
    <w:rsid w:val="406348A6"/>
    <w:rsid w:val="43153EA4"/>
    <w:rsid w:val="43B0DA48"/>
    <w:rsid w:val="44E867CE"/>
    <w:rsid w:val="45D16B60"/>
    <w:rsid w:val="45F3FD7E"/>
    <w:rsid w:val="4605AF23"/>
    <w:rsid w:val="463F5934"/>
    <w:rsid w:val="466D24E4"/>
    <w:rsid w:val="466E4B76"/>
    <w:rsid w:val="47826535"/>
    <w:rsid w:val="485038A2"/>
    <w:rsid w:val="48AD999B"/>
    <w:rsid w:val="48ADEAFA"/>
    <w:rsid w:val="49363915"/>
    <w:rsid w:val="4951186D"/>
    <w:rsid w:val="4970F7B3"/>
    <w:rsid w:val="49C3F82C"/>
    <w:rsid w:val="4A4CEA7A"/>
    <w:rsid w:val="4ADC395F"/>
    <w:rsid w:val="4B41916B"/>
    <w:rsid w:val="4C8F2072"/>
    <w:rsid w:val="4CD77004"/>
    <w:rsid w:val="4D17CF92"/>
    <w:rsid w:val="4D590474"/>
    <w:rsid w:val="4E857DDF"/>
    <w:rsid w:val="4EE2B976"/>
    <w:rsid w:val="4EF22026"/>
    <w:rsid w:val="4F4D713D"/>
    <w:rsid w:val="4FF06CC1"/>
    <w:rsid w:val="5150522C"/>
    <w:rsid w:val="51ED478D"/>
    <w:rsid w:val="539A119B"/>
    <w:rsid w:val="540C633D"/>
    <w:rsid w:val="54DFE30C"/>
    <w:rsid w:val="54EA4BF2"/>
    <w:rsid w:val="54FCA8D1"/>
    <w:rsid w:val="55B0DFE7"/>
    <w:rsid w:val="568CC7B9"/>
    <w:rsid w:val="576A5D29"/>
    <w:rsid w:val="5786F19B"/>
    <w:rsid w:val="57D6CB80"/>
    <w:rsid w:val="581A39B6"/>
    <w:rsid w:val="58AAE27A"/>
    <w:rsid w:val="58B3F7EA"/>
    <w:rsid w:val="58EAD9B4"/>
    <w:rsid w:val="5933227C"/>
    <w:rsid w:val="5A074F0A"/>
    <w:rsid w:val="5A667DC9"/>
    <w:rsid w:val="5A7F9560"/>
    <w:rsid w:val="5BD36518"/>
    <w:rsid w:val="5C51DF99"/>
    <w:rsid w:val="5CBF9558"/>
    <w:rsid w:val="5D8A558C"/>
    <w:rsid w:val="5DE43586"/>
    <w:rsid w:val="5E191C09"/>
    <w:rsid w:val="5E5D4DC9"/>
    <w:rsid w:val="5EC34954"/>
    <w:rsid w:val="5F0F5F1D"/>
    <w:rsid w:val="5F25710B"/>
    <w:rsid w:val="606D6B4A"/>
    <w:rsid w:val="613700C1"/>
    <w:rsid w:val="6144BFD8"/>
    <w:rsid w:val="6173C728"/>
    <w:rsid w:val="62356123"/>
    <w:rsid w:val="6290375B"/>
    <w:rsid w:val="62C6761B"/>
    <w:rsid w:val="62F4A495"/>
    <w:rsid w:val="62FCB5BB"/>
    <w:rsid w:val="64FF432A"/>
    <w:rsid w:val="65C1BC22"/>
    <w:rsid w:val="65F6D57A"/>
    <w:rsid w:val="663B26AF"/>
    <w:rsid w:val="67122C9D"/>
    <w:rsid w:val="6772595B"/>
    <w:rsid w:val="67C87968"/>
    <w:rsid w:val="69332A60"/>
    <w:rsid w:val="6A37178E"/>
    <w:rsid w:val="6AFC85E3"/>
    <w:rsid w:val="6B244EBE"/>
    <w:rsid w:val="6CBCC454"/>
    <w:rsid w:val="6D4817F6"/>
    <w:rsid w:val="6D548EE0"/>
    <w:rsid w:val="6D76FA09"/>
    <w:rsid w:val="6D99E1E7"/>
    <w:rsid w:val="6E09F30C"/>
    <w:rsid w:val="6EA79526"/>
    <w:rsid w:val="6F09957B"/>
    <w:rsid w:val="7041CB6F"/>
    <w:rsid w:val="704FC11D"/>
    <w:rsid w:val="70609F1D"/>
    <w:rsid w:val="709800D3"/>
    <w:rsid w:val="70A6E64F"/>
    <w:rsid w:val="71289891"/>
    <w:rsid w:val="716B8964"/>
    <w:rsid w:val="71E75829"/>
    <w:rsid w:val="728B8694"/>
    <w:rsid w:val="735E795C"/>
    <w:rsid w:val="737C1FA8"/>
    <w:rsid w:val="747C8DC4"/>
    <w:rsid w:val="74B50CDF"/>
    <w:rsid w:val="74CB1495"/>
    <w:rsid w:val="74CC5C39"/>
    <w:rsid w:val="74FBD2AC"/>
    <w:rsid w:val="75ECE324"/>
    <w:rsid w:val="7637A0B8"/>
    <w:rsid w:val="76391538"/>
    <w:rsid w:val="776970BC"/>
    <w:rsid w:val="7986895C"/>
    <w:rsid w:val="79B57495"/>
    <w:rsid w:val="79E55E98"/>
    <w:rsid w:val="7A0FA538"/>
    <w:rsid w:val="7A55999B"/>
    <w:rsid w:val="7A5A294C"/>
    <w:rsid w:val="7A925F76"/>
    <w:rsid w:val="7B072E3F"/>
    <w:rsid w:val="7B6D1A30"/>
    <w:rsid w:val="7B894BD7"/>
    <w:rsid w:val="7BFF967F"/>
    <w:rsid w:val="7CAC6E82"/>
    <w:rsid w:val="7D137CAE"/>
    <w:rsid w:val="7D5A77D6"/>
    <w:rsid w:val="7D775112"/>
    <w:rsid w:val="7DB59557"/>
    <w:rsid w:val="7DDBD645"/>
    <w:rsid w:val="7E9CFD05"/>
    <w:rsid w:val="7EEAA8B5"/>
    <w:rsid w:val="7EEE8541"/>
    <w:rsid w:val="7F084CDF"/>
    <w:rsid w:val="7F47AF5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50D3E4"/>
  <w15:chartTrackingRefBased/>
  <w15:docId w15:val="{6CFC8118-03C9-4EE4-9DE9-70B54D80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semiHidden/>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203634"/>
    <w:rPr>
      <w:rFonts w:ascii="CG Times" w:hAnsi="CG Times"/>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paragraph" w:customStyle="1" w:styleId="paragraph">
    <w:name w:val="paragraph"/>
    <w:basedOn w:val="Normal"/>
    <w:rsid w:val="002135CA"/>
    <w:pPr>
      <w:spacing w:before="100" w:beforeAutospacing="1" w:after="100" w:afterAutospacing="1"/>
      <w:ind w:left="0"/>
    </w:pPr>
    <w:rPr>
      <w:lang w:val="es-CO" w:eastAsia="es-CO"/>
    </w:r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 w:type="paragraph" w:customStyle="1" w:styleId="Artculo">
    <w:name w:val="Artículo"/>
    <w:basedOn w:val="Normal"/>
    <w:link w:val="ArtculoCar"/>
    <w:qFormat/>
    <w:rsid w:val="003B2677"/>
    <w:pPr>
      <w:numPr>
        <w:numId w:val="16"/>
      </w:numPr>
      <w:spacing w:before="180" w:after="180"/>
      <w:ind w:left="425"/>
      <w:jc w:val="both"/>
    </w:pPr>
    <w:rPr>
      <w:rFonts w:ascii="Bookman Old Style" w:hAnsi="Bookman Old Style" w:cs="Arial"/>
      <w:b/>
    </w:rPr>
  </w:style>
  <w:style w:type="character" w:customStyle="1" w:styleId="ArtculoCar">
    <w:name w:val="Artículo Car"/>
    <w:link w:val="Artculo"/>
    <w:rsid w:val="003B2677"/>
    <w:rPr>
      <w:rFonts w:ascii="Bookman Old Style" w:hAnsi="Bookman Old Style" w:cs="Arial"/>
      <w:b/>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06453004">
      <w:bodyDiv w:val="1"/>
      <w:marLeft w:val="0"/>
      <w:marRight w:val="0"/>
      <w:marTop w:val="0"/>
      <w:marBottom w:val="0"/>
      <w:divBdr>
        <w:top w:val="none" w:sz="0" w:space="0" w:color="auto"/>
        <w:left w:val="none" w:sz="0" w:space="0" w:color="auto"/>
        <w:bottom w:val="none" w:sz="0" w:space="0" w:color="auto"/>
        <w:right w:val="none" w:sz="0" w:space="0" w:color="auto"/>
      </w:divBdr>
    </w:div>
    <w:div w:id="224340834">
      <w:bodyDiv w:val="1"/>
      <w:marLeft w:val="0"/>
      <w:marRight w:val="0"/>
      <w:marTop w:val="0"/>
      <w:marBottom w:val="0"/>
      <w:divBdr>
        <w:top w:val="none" w:sz="0" w:space="0" w:color="auto"/>
        <w:left w:val="none" w:sz="0" w:space="0" w:color="auto"/>
        <w:bottom w:val="none" w:sz="0" w:space="0" w:color="auto"/>
        <w:right w:val="none" w:sz="0" w:space="0" w:color="auto"/>
      </w:divBdr>
      <w:divsChild>
        <w:div w:id="569119842">
          <w:marLeft w:val="547"/>
          <w:marRight w:val="0"/>
          <w:marTop w:val="0"/>
          <w:marBottom w:val="0"/>
          <w:divBdr>
            <w:top w:val="none" w:sz="0" w:space="0" w:color="auto"/>
            <w:left w:val="none" w:sz="0" w:space="0" w:color="auto"/>
            <w:bottom w:val="none" w:sz="0" w:space="0" w:color="auto"/>
            <w:right w:val="none" w:sz="0" w:space="0" w:color="auto"/>
          </w:divBdr>
        </w:div>
      </w:divsChild>
    </w:div>
    <w:div w:id="272253261">
      <w:bodyDiv w:val="1"/>
      <w:marLeft w:val="0"/>
      <w:marRight w:val="0"/>
      <w:marTop w:val="0"/>
      <w:marBottom w:val="0"/>
      <w:divBdr>
        <w:top w:val="none" w:sz="0" w:space="0" w:color="auto"/>
        <w:left w:val="none" w:sz="0" w:space="0" w:color="auto"/>
        <w:bottom w:val="none" w:sz="0" w:space="0" w:color="auto"/>
        <w:right w:val="none" w:sz="0" w:space="0" w:color="auto"/>
      </w:divBdr>
      <w:divsChild>
        <w:div w:id="375351217">
          <w:marLeft w:val="1080"/>
          <w:marRight w:val="0"/>
          <w:marTop w:val="100"/>
          <w:marBottom w:val="0"/>
          <w:divBdr>
            <w:top w:val="none" w:sz="0" w:space="0" w:color="auto"/>
            <w:left w:val="none" w:sz="0" w:space="0" w:color="auto"/>
            <w:bottom w:val="none" w:sz="0" w:space="0" w:color="auto"/>
            <w:right w:val="none" w:sz="0" w:space="0" w:color="auto"/>
          </w:divBdr>
        </w:div>
      </w:divsChild>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337340601">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890922872">
      <w:bodyDiv w:val="1"/>
      <w:marLeft w:val="0"/>
      <w:marRight w:val="0"/>
      <w:marTop w:val="0"/>
      <w:marBottom w:val="0"/>
      <w:divBdr>
        <w:top w:val="none" w:sz="0" w:space="0" w:color="auto"/>
        <w:left w:val="none" w:sz="0" w:space="0" w:color="auto"/>
        <w:bottom w:val="none" w:sz="0" w:space="0" w:color="auto"/>
        <w:right w:val="none" w:sz="0" w:space="0" w:color="auto"/>
      </w:divBdr>
      <w:divsChild>
        <w:div w:id="1226532857">
          <w:marLeft w:val="1080"/>
          <w:marRight w:val="0"/>
          <w:marTop w:val="100"/>
          <w:marBottom w:val="0"/>
          <w:divBdr>
            <w:top w:val="none" w:sz="0" w:space="0" w:color="auto"/>
            <w:left w:val="none" w:sz="0" w:space="0" w:color="auto"/>
            <w:bottom w:val="none" w:sz="0" w:space="0" w:color="auto"/>
            <w:right w:val="none" w:sz="0" w:space="0" w:color="auto"/>
          </w:divBdr>
        </w:div>
      </w:divsChild>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2" ma:contentTypeDescription="Crear nuevo documento." ma:contentTypeScope="" ma:versionID="63c92538b28d5b713d16874c15cb8d52">
  <xsd:schema xmlns:xsd="http://www.w3.org/2001/XMLSchema" xmlns:xs="http://www.w3.org/2001/XMLSchema" xmlns:p="http://schemas.microsoft.com/office/2006/metadata/properties" xmlns:ns2="0f90cc45-9d06-4234-8034-eeec6c0c7cc1" targetNamespace="http://schemas.microsoft.com/office/2006/metadata/properties" ma:root="true" ma:fieldsID="f4593a53156f1345ddb7249d4a7fc36b" ns2:_="">
    <xsd:import namespace="0f90cc45-9d06-4234-8034-eeec6c0c7c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40255-2E2E-4EE3-8CE5-80D98E7A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FA6F5-477B-4042-B261-F6A0F92E9D50}">
  <ds:schemaRefs>
    <ds:schemaRef ds:uri="http://schemas.openxmlformats.org/officeDocument/2006/bibliography"/>
  </ds:schemaRefs>
</ds:datastoreItem>
</file>

<file path=customXml/itemProps3.xml><?xml version="1.0" encoding="utf-8"?>
<ds:datastoreItem xmlns:ds="http://schemas.openxmlformats.org/officeDocument/2006/customXml" ds:itemID="{CE6C3844-5965-4CE7-A8A1-4F05C82905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AAFADF-B7FA-49FD-BE2F-54B9E5B80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2264</Words>
  <Characters>11390</Characters>
  <Application>Microsoft Office Word</Application>
  <DocSecurity>0</DocSecurity>
  <Lines>94</Lines>
  <Paragraphs>27</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        COMISIÓN DE REGULACIÓN DE ENERGÍA Y GAS</vt:lpstr>
      <vt:lpstr>        (XX AGOSTO 2020)</vt:lpstr>
      <vt:lpstr>ARTÍCULO 1. Para efectos de la aplicación del incremento al porcentaje de subsid</vt:lpstr>
      <vt:lpstr/>
      <vt:lpstr>En el caso de nuevos mercados de comercialización, cuya primera facturación se p</vt:lpstr>
      <vt:lpstr/>
      <vt:lpstr>El porcentaje de subsidio así obtenido se deberá utilizar para calcular la tarif</vt:lpstr>
      <vt:lpstr/>
      <vt:lpstr>PARÁGRAFO. Los porcentajes así calculados se mantendrán constantes por el términ</vt:lpstr>
      <vt:lpstr/>
      <vt:lpstr>ARTÍCULO 2. En la facturación siguiente al término de vigencia del incremento de</vt:lpstr>
      <vt:lpstr/>
      <vt:lpstr>ARTÍCULO 3. Vigencia de la Presente Resolución.  La presente resolución rige a p</vt:lpstr>
    </vt:vector>
  </TitlesOfParts>
  <Company>CREG</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2</cp:revision>
  <cp:lastPrinted>2020-08-25T19:27:00Z</cp:lastPrinted>
  <dcterms:created xsi:type="dcterms:W3CDTF">2020-08-25T20:34:00Z</dcterms:created>
  <dcterms:modified xsi:type="dcterms:W3CDTF">2020-08-25T20:34:00Z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