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E060BE" w:rsidRDefault="00000000" w:rsidP="00AA264D">
      <w:pPr>
        <w:pStyle w:val="Encabezado"/>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49.75pt;width:38.35pt;height:39.05pt;z-index:251657728" fillcolor="#0c9">
            <v:imagedata r:id="rId7" o:title=""/>
          </v:shape>
          <o:OLEObject Type="Embed" ProgID="PBrush" ShapeID="_x0000_s2050" DrawAspect="Content" ObjectID="_1746975500" r:id="rId8"/>
        </w:object>
      </w: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42889F84" w:rsidR="00A06511" w:rsidRPr="00E060BE" w:rsidRDefault="0010704E" w:rsidP="00A06511">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w:t>
      </w:r>
      <w:r w:rsidR="00A06511" w:rsidRPr="00E060BE">
        <w:rPr>
          <w:rFonts w:ascii="Bookman Old Style" w:hAnsi="Bookman Old Style"/>
          <w:sz w:val="24"/>
          <w:szCs w:val="24"/>
        </w:rPr>
        <w:t xml:space="preserve">RESOLUCIÓN </w:t>
      </w:r>
      <w:r w:rsidR="00A06511" w:rsidRPr="005D56AC">
        <w:rPr>
          <w:rFonts w:ascii="Bookman Old Style" w:hAnsi="Bookman Old Style"/>
          <w:szCs w:val="28"/>
        </w:rPr>
        <w:t xml:space="preserve">No. </w:t>
      </w:r>
      <w:r w:rsidR="00A06511" w:rsidRPr="005D56AC">
        <w:rPr>
          <w:rFonts w:ascii="Bookman Old Style" w:hAnsi="Bookman Old Style"/>
          <w:szCs w:val="28"/>
        </w:rPr>
        <w:fldChar w:fldCharType="begin"/>
      </w:r>
      <w:r w:rsidR="00A06511" w:rsidRPr="005D56AC">
        <w:rPr>
          <w:rFonts w:ascii="Bookman Old Style" w:hAnsi="Bookman Old Style"/>
          <w:szCs w:val="28"/>
        </w:rPr>
        <w:instrText xml:space="preserve"> MERGEFIELD  NumeroResolucion  \* MERGEFORMAT </w:instrText>
      </w:r>
      <w:r w:rsidR="00A06511" w:rsidRPr="005D56AC">
        <w:rPr>
          <w:rFonts w:ascii="Bookman Old Style" w:hAnsi="Bookman Old Style"/>
          <w:szCs w:val="28"/>
        </w:rPr>
        <w:fldChar w:fldCharType="separate"/>
      </w:r>
      <w:r w:rsidR="00A06511" w:rsidRPr="005D56AC">
        <w:rPr>
          <w:rFonts w:ascii="Bookman Old Style" w:hAnsi="Bookman Old Style"/>
          <w:szCs w:val="28"/>
        </w:rPr>
        <w:t>701 013</w:t>
      </w:r>
      <w:r w:rsidR="00A06511" w:rsidRPr="005D56AC">
        <w:rPr>
          <w:rFonts w:ascii="Bookman Old Style" w:hAnsi="Bookman Old Style"/>
          <w:szCs w:val="28"/>
        </w:rPr>
        <w:fldChar w:fldCharType="end"/>
      </w:r>
      <w:r w:rsidR="00A06511" w:rsidRPr="00E060BE">
        <w:rPr>
          <w:rFonts w:ascii="Bookman Old Style" w:hAnsi="Bookman Old Style"/>
          <w:sz w:val="24"/>
          <w:szCs w:val="24"/>
        </w:rPr>
        <w:t xml:space="preserve"> </w:t>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7C62FD98" w:rsidR="00CA77FB" w:rsidRPr="005D56AC" w:rsidRDefault="005D56AC" w:rsidP="00012259">
      <w:pPr>
        <w:pStyle w:val="Ttulo3"/>
        <w:tabs>
          <w:tab w:val="left" w:pos="0"/>
          <w:tab w:val="right" w:pos="9356"/>
        </w:tabs>
        <w:ind w:left="0"/>
        <w:rPr>
          <w:rFonts w:ascii="Bookman Old Style" w:hAnsi="Bookman Old Style"/>
          <w:b w:val="0"/>
          <w:szCs w:val="24"/>
        </w:rPr>
      </w:pPr>
      <w:r w:rsidRPr="005D56AC">
        <w:rPr>
          <w:rFonts w:ascii="Bookman Old Style" w:hAnsi="Bookman Old Style"/>
          <w:bCs/>
          <w:szCs w:val="24"/>
        </w:rPr>
        <w:t>(26 MAY. 2023</w:t>
      </w:r>
      <w:r w:rsidRPr="005D56AC">
        <w:rPr>
          <w:rFonts w:ascii="Bookman Old Style" w:hAnsi="Bookman Old Style"/>
          <w:b w:val="0"/>
          <w:szCs w:val="24"/>
        </w:rPr>
        <w:t>)</w:t>
      </w:r>
    </w:p>
    <w:p w14:paraId="57D77EBA" w14:textId="3064DE05" w:rsidR="00CA77FB" w:rsidRDefault="00CA77FB" w:rsidP="00012259">
      <w:pPr>
        <w:tabs>
          <w:tab w:val="left" w:pos="0"/>
          <w:tab w:val="right" w:pos="9356"/>
        </w:tabs>
        <w:ind w:left="0"/>
        <w:jc w:val="center"/>
        <w:rPr>
          <w:rFonts w:ascii="Bookman Old Style" w:hAnsi="Bookman Old Style"/>
          <w:lang w:val="es-ES_tradnl"/>
        </w:rPr>
      </w:pPr>
    </w:p>
    <w:p w14:paraId="62B22524" w14:textId="77777777" w:rsidR="0061484C" w:rsidRPr="00E060BE" w:rsidRDefault="0061484C" w:rsidP="00012259">
      <w:pPr>
        <w:tabs>
          <w:tab w:val="left" w:pos="0"/>
          <w:tab w:val="right" w:pos="9356"/>
        </w:tabs>
        <w:ind w:left="0"/>
        <w:jc w:val="center"/>
        <w:rPr>
          <w:rFonts w:ascii="Bookman Old Style" w:hAnsi="Bookman Old Style"/>
          <w:lang w:val="es-ES_tradnl"/>
        </w:rPr>
      </w:pPr>
    </w:p>
    <w:p w14:paraId="054C66F9" w14:textId="3415CDB8" w:rsidR="005D715E" w:rsidRPr="0091532F" w:rsidRDefault="005D715E" w:rsidP="005D715E">
      <w:pPr>
        <w:spacing w:line="259" w:lineRule="auto"/>
        <w:ind w:left="142" w:right="142"/>
        <w:jc w:val="both"/>
        <w:rPr>
          <w:rFonts w:ascii="Bookman Old Style" w:hAnsi="Bookman Old Style"/>
        </w:rPr>
      </w:pPr>
      <w:r w:rsidRPr="001B51F4">
        <w:rPr>
          <w:rFonts w:ascii="Bookman Old Style" w:hAnsi="Bookman Old Style"/>
        </w:rPr>
        <w:t xml:space="preserve">La Comisión de Regulación de Energía y Gas, en su sesión </w:t>
      </w:r>
      <w:r w:rsidR="005753E0">
        <w:rPr>
          <w:rFonts w:ascii="Bookman Old Style" w:hAnsi="Bookman Old Style"/>
        </w:rPr>
        <w:t>1269</w:t>
      </w:r>
      <w:r w:rsidRPr="001B51F4">
        <w:rPr>
          <w:rFonts w:ascii="Bookman Old Style" w:hAnsi="Bookman Old Style"/>
        </w:rPr>
        <w:t xml:space="preserve"> del </w:t>
      </w:r>
      <w:r w:rsidR="005753E0">
        <w:rPr>
          <w:rFonts w:ascii="Bookman Old Style" w:hAnsi="Bookman Old Style"/>
        </w:rPr>
        <w:t>26</w:t>
      </w:r>
      <w:r w:rsidRPr="001B51F4">
        <w:rPr>
          <w:rFonts w:ascii="Bookman Old Style" w:hAnsi="Bookman Old Style"/>
        </w:rPr>
        <w:t xml:space="preserve"> de </w:t>
      </w:r>
      <w:r w:rsidR="005753E0">
        <w:rPr>
          <w:rFonts w:ascii="Bookman Old Style" w:hAnsi="Bookman Old Style"/>
        </w:rPr>
        <w:t>mayo</w:t>
      </w:r>
      <w:r w:rsidRPr="001B51F4">
        <w:rPr>
          <w:rFonts w:ascii="Bookman Old Style" w:hAnsi="Bookman Old Style"/>
        </w:rPr>
        <w:t xml:space="preserve"> de 202</w:t>
      </w:r>
      <w:r>
        <w:rPr>
          <w:rFonts w:ascii="Bookman Old Style" w:hAnsi="Bookman Old Style"/>
        </w:rPr>
        <w:t>3</w:t>
      </w:r>
      <w:r w:rsidRPr="001B51F4">
        <w:rPr>
          <w:rFonts w:ascii="Bookman Old Style" w:hAnsi="Bookman Old Style"/>
        </w:rPr>
        <w:t>, aprobó someter a consulta pública</w:t>
      </w:r>
      <w:r w:rsidRPr="008F328A">
        <w:rPr>
          <w:rFonts w:ascii="Bookman Old Style" w:hAnsi="Bookman Old Style"/>
        </w:rPr>
        <w:t xml:space="preserve"> el presente proyecto de resolución </w:t>
      </w:r>
      <w:r w:rsidRPr="0091532F">
        <w:rPr>
          <w:rFonts w:ascii="Bookman Old Style" w:hAnsi="Bookman Old Style"/>
        </w:rPr>
        <w:t xml:space="preserve">por el término de </w:t>
      </w:r>
      <w:r w:rsidRPr="0051020D">
        <w:rPr>
          <w:rFonts w:ascii="Bookman Old Style" w:hAnsi="Bookman Old Style"/>
        </w:rPr>
        <w:t>dos</w:t>
      </w:r>
      <w:r w:rsidRPr="0091532F">
        <w:rPr>
          <w:rFonts w:ascii="Bookman Old Style" w:hAnsi="Bookman Old Style"/>
        </w:rPr>
        <w:t xml:space="preserve"> días hábiles contados a partir del día siguiente a su publicación en el portal web de la CREG.</w:t>
      </w:r>
    </w:p>
    <w:p w14:paraId="5F1720EB" w14:textId="77777777" w:rsidR="005D715E" w:rsidRPr="0091532F" w:rsidRDefault="005D715E" w:rsidP="005D715E">
      <w:pPr>
        <w:spacing w:line="259" w:lineRule="auto"/>
        <w:ind w:left="142" w:right="142"/>
        <w:jc w:val="both"/>
        <w:rPr>
          <w:rFonts w:ascii="Bookman Old Style" w:hAnsi="Bookman Old Style"/>
        </w:rPr>
      </w:pPr>
    </w:p>
    <w:p w14:paraId="1556B5A2" w14:textId="085905D1" w:rsidR="005D715E" w:rsidRPr="0091532F" w:rsidRDefault="005D715E" w:rsidP="005D715E">
      <w:pPr>
        <w:spacing w:line="259" w:lineRule="auto"/>
        <w:ind w:left="142" w:right="142"/>
        <w:jc w:val="both"/>
        <w:rPr>
          <w:rFonts w:ascii="Bookman Old Style" w:hAnsi="Bookman Old Style"/>
        </w:rPr>
      </w:pPr>
      <w:r w:rsidRPr="0091532F">
        <w:rPr>
          <w:rFonts w:ascii="Bookman Old Style" w:hAnsi="Bookman Old Style"/>
        </w:rPr>
        <w:t xml:space="preserve">Se invita a las empresas, los usuarios las autoridades y demás partes interesadas a presentar sus observaciones y sugerencias dentro del plazo establecido, mediante comunicaciones electrónicas dirigidas al </w:t>
      </w:r>
      <w:proofErr w:type="gramStart"/>
      <w:r w:rsidRPr="0091532F">
        <w:rPr>
          <w:rFonts w:ascii="Bookman Old Style" w:hAnsi="Bookman Old Style"/>
        </w:rPr>
        <w:t>Director Ejecutivo</w:t>
      </w:r>
      <w:proofErr w:type="gramEnd"/>
      <w:r w:rsidRPr="0091532F">
        <w:rPr>
          <w:rFonts w:ascii="Bookman Old Style" w:hAnsi="Bookman Old Style"/>
        </w:rPr>
        <w:t xml:space="preserve"> de la CREG, a la cuenta creg@creg.gov.co, con asunto: “Comentarios sobre la </w:t>
      </w:r>
      <w:r w:rsidR="00F25EC9">
        <w:rPr>
          <w:rFonts w:ascii="Bookman Old Style" w:hAnsi="Bookman Old Style"/>
        </w:rPr>
        <w:t>propuesta de</w:t>
      </w:r>
      <w:r w:rsidR="00785F8C">
        <w:rPr>
          <w:rFonts w:ascii="Bookman Old Style" w:hAnsi="Bookman Old Style"/>
        </w:rPr>
        <w:t xml:space="preserve"> segunda</w:t>
      </w:r>
      <w:r w:rsidR="00F25EC9">
        <w:rPr>
          <w:rFonts w:ascii="Bookman Old Style" w:hAnsi="Bookman Old Style"/>
        </w:rPr>
        <w:t xml:space="preserve"> modificación 2023 del calendario</w:t>
      </w:r>
      <w:r w:rsidR="00785F8C">
        <w:rPr>
          <w:rFonts w:ascii="Bookman Old Style" w:hAnsi="Bookman Old Style"/>
        </w:rPr>
        <w:t xml:space="preserve"> 2023</w:t>
      </w:r>
      <w:r w:rsidR="00F25EC9">
        <w:rPr>
          <w:rFonts w:ascii="Bookman Old Style" w:hAnsi="Bookman Old Style"/>
        </w:rPr>
        <w:t xml:space="preserve"> de asignaciones de capacidad de transporte</w:t>
      </w:r>
      <w:r w:rsidRPr="0091532F">
        <w:rPr>
          <w:rFonts w:ascii="Bookman Old Style" w:hAnsi="Bookman Old Style"/>
        </w:rPr>
        <w:t xml:space="preserve">”, utilizando </w:t>
      </w:r>
      <w:r w:rsidRPr="0051020D">
        <w:rPr>
          <w:rFonts w:ascii="Bookman Old Style" w:hAnsi="Bookman Old Style"/>
        </w:rPr>
        <w:t>el formato anexo.</w:t>
      </w:r>
    </w:p>
    <w:p w14:paraId="3A82CEA9" w14:textId="77777777" w:rsidR="005D715E" w:rsidRPr="0091532F" w:rsidRDefault="005D715E" w:rsidP="005D715E">
      <w:pPr>
        <w:spacing w:line="259" w:lineRule="auto"/>
        <w:ind w:left="142" w:right="142"/>
        <w:jc w:val="both"/>
        <w:rPr>
          <w:rFonts w:ascii="Bookman Old Style" w:hAnsi="Bookman Old Style"/>
        </w:rPr>
      </w:pPr>
    </w:p>
    <w:p w14:paraId="473EF5D2" w14:textId="77777777" w:rsidR="005D715E" w:rsidRPr="0091532F" w:rsidRDefault="005D715E" w:rsidP="005D715E">
      <w:pPr>
        <w:spacing w:line="259" w:lineRule="auto"/>
        <w:ind w:left="142" w:right="142"/>
        <w:jc w:val="both"/>
        <w:rPr>
          <w:rFonts w:ascii="Bookman Old Style" w:hAnsi="Bookman Old Style"/>
        </w:rPr>
      </w:pPr>
      <w:r w:rsidRPr="0091532F">
        <w:rPr>
          <w:rFonts w:ascii="Bookman Old Style" w:hAnsi="Bookman Old Style"/>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55695D9E" w14:textId="77777777" w:rsidR="005D715E" w:rsidRDefault="005D715E" w:rsidP="0061484C">
      <w:pPr>
        <w:spacing w:after="120"/>
        <w:ind w:left="0"/>
        <w:jc w:val="center"/>
        <w:rPr>
          <w:rFonts w:ascii="Bookman Old Style" w:hAnsi="Bookman Old Style" w:cs="Arial"/>
          <w:b/>
          <w:color w:val="000000"/>
        </w:rPr>
      </w:pPr>
    </w:p>
    <w:p w14:paraId="7CA8D553" w14:textId="3906327C" w:rsidR="005D715E" w:rsidRPr="00717AFB" w:rsidRDefault="005D715E" w:rsidP="0061484C">
      <w:pPr>
        <w:ind w:left="0"/>
        <w:jc w:val="center"/>
        <w:rPr>
          <w:rFonts w:ascii="Bookman Old Style" w:hAnsi="Bookman Old Style" w:cs="Arial"/>
          <w:color w:val="000000" w:themeColor="text1"/>
          <w:lang w:eastAsia="es-CO"/>
        </w:rPr>
      </w:pPr>
      <w:bookmarkStart w:id="0" w:name="_Hlk97746723"/>
      <w:bookmarkStart w:id="1" w:name="_Hlk122534081"/>
      <w:r>
        <w:rPr>
          <w:rFonts w:ascii="Bookman Old Style" w:hAnsi="Bookman Old Style" w:cs="Arial"/>
          <w:b/>
          <w:color w:val="000000" w:themeColor="text1"/>
          <w:lang w:eastAsia="es-CO"/>
        </w:rPr>
        <w:t>PROYECTO DE RESOLUCIÓN</w:t>
      </w:r>
    </w:p>
    <w:p w14:paraId="4639588E" w14:textId="77777777" w:rsidR="005D715E" w:rsidRDefault="005D715E" w:rsidP="0061484C">
      <w:pPr>
        <w:tabs>
          <w:tab w:val="left" w:pos="284"/>
        </w:tabs>
        <w:ind w:left="0"/>
        <w:jc w:val="center"/>
        <w:rPr>
          <w:rFonts w:ascii="Bookman Old Style" w:hAnsi="Bookman Old Style" w:cs="Arial"/>
          <w:color w:val="000000"/>
        </w:rPr>
      </w:pPr>
    </w:p>
    <w:p w14:paraId="2107177B" w14:textId="37957368" w:rsidR="005D715E" w:rsidRPr="00902AFC" w:rsidRDefault="005D715E" w:rsidP="0061484C">
      <w:pPr>
        <w:ind w:left="0"/>
        <w:jc w:val="center"/>
        <w:rPr>
          <w:rFonts w:ascii="Bookman Old Style" w:hAnsi="Bookman Old Style" w:cs="Arial"/>
          <w:color w:val="000000"/>
        </w:rPr>
      </w:pPr>
      <w:r w:rsidRPr="00E30F97">
        <w:rPr>
          <w:rFonts w:ascii="Bookman Old Style" w:hAnsi="Bookman Old Style" w:cs="Arial"/>
          <w:color w:val="000000"/>
        </w:rPr>
        <w:t xml:space="preserve">Por la cual se </w:t>
      </w:r>
      <w:bookmarkEnd w:id="0"/>
      <w:bookmarkEnd w:id="1"/>
      <w:r w:rsidRPr="0091532F">
        <w:rPr>
          <w:rFonts w:ascii="Bookman Old Style" w:hAnsi="Bookman Old Style" w:cs="Arial"/>
          <w:color w:val="000000"/>
        </w:rPr>
        <w:t xml:space="preserve">modifica </w:t>
      </w:r>
      <w:r w:rsidR="0061484C" w:rsidRPr="0091532F">
        <w:rPr>
          <w:rFonts w:ascii="Bookman Old Style" w:hAnsi="Bookman Old Style" w:cs="Arial"/>
          <w:color w:val="000000"/>
        </w:rPr>
        <w:t xml:space="preserve">para </w:t>
      </w:r>
      <w:r w:rsidR="0061484C">
        <w:rPr>
          <w:rFonts w:ascii="Bookman Old Style" w:hAnsi="Bookman Old Style" w:cs="Arial"/>
          <w:color w:val="000000"/>
        </w:rPr>
        <w:t>el</w:t>
      </w:r>
      <w:r w:rsidR="0061484C" w:rsidRPr="0091532F">
        <w:rPr>
          <w:rFonts w:ascii="Bookman Old Style" w:hAnsi="Bookman Old Style" w:cs="Arial"/>
          <w:color w:val="000000"/>
        </w:rPr>
        <w:t xml:space="preserve"> año 202</w:t>
      </w:r>
      <w:r w:rsidR="0061484C">
        <w:rPr>
          <w:rFonts w:ascii="Bookman Old Style" w:hAnsi="Bookman Old Style" w:cs="Arial"/>
          <w:color w:val="000000"/>
        </w:rPr>
        <w:t xml:space="preserve">3 </w:t>
      </w:r>
      <w:r w:rsidRPr="0091532F">
        <w:rPr>
          <w:rFonts w:ascii="Bookman Old Style" w:hAnsi="Bookman Old Style" w:cs="Arial"/>
          <w:color w:val="000000"/>
        </w:rPr>
        <w:t>el cronograma de asignación de capacidad de transporte</w:t>
      </w:r>
      <w:r>
        <w:rPr>
          <w:rFonts w:ascii="Bookman Old Style" w:hAnsi="Bookman Old Style" w:cs="Arial"/>
          <w:color w:val="000000"/>
        </w:rPr>
        <w:t xml:space="preserve"> establecido en </w:t>
      </w:r>
      <w:r w:rsidRPr="0091532F">
        <w:rPr>
          <w:rFonts w:ascii="Bookman Old Style" w:hAnsi="Bookman Old Style" w:cs="Arial"/>
          <w:color w:val="000000"/>
        </w:rPr>
        <w:t xml:space="preserve">la Resolución CREG 075 de 2021 </w:t>
      </w:r>
      <w:r>
        <w:rPr>
          <w:rFonts w:ascii="Bookman Old Style" w:hAnsi="Bookman Old Style" w:cs="Arial"/>
          <w:color w:val="000000"/>
        </w:rPr>
        <w:t xml:space="preserve">para los </w:t>
      </w:r>
      <w:r w:rsidRPr="0091532F">
        <w:rPr>
          <w:rFonts w:ascii="Bookman Old Style" w:hAnsi="Bookman Old Style" w:cs="Arial"/>
          <w:color w:val="000000"/>
        </w:rPr>
        <w:t>proyectos clase 1</w:t>
      </w:r>
      <w:r>
        <w:rPr>
          <w:rFonts w:ascii="Bookman Old Style" w:hAnsi="Bookman Old Style" w:cs="Arial"/>
          <w:color w:val="000000"/>
        </w:rPr>
        <w:t xml:space="preserve"> </w:t>
      </w:r>
      <w:r w:rsidRPr="005D715E">
        <w:rPr>
          <w:rFonts w:ascii="Bookman Old Style" w:hAnsi="Bookman Old Style" w:cs="Arial"/>
          <w:color w:val="000000"/>
        </w:rPr>
        <w:t>de conexión de generación y de cogeneración al SIN</w:t>
      </w:r>
    </w:p>
    <w:p w14:paraId="281C7FA2" w14:textId="77777777" w:rsidR="005D715E" w:rsidRPr="0020003F" w:rsidRDefault="005D715E" w:rsidP="0061484C">
      <w:pPr>
        <w:ind w:left="0"/>
        <w:jc w:val="center"/>
        <w:rPr>
          <w:rFonts w:ascii="Bookman Old Style" w:hAnsi="Bookman Old Style" w:cs="Arial"/>
          <w:b/>
          <w:color w:val="000000"/>
          <w:sz w:val="20"/>
          <w:szCs w:val="20"/>
        </w:rPr>
      </w:pPr>
    </w:p>
    <w:p w14:paraId="68593B4C" w14:textId="77777777" w:rsidR="005D715E" w:rsidRPr="00717AFB" w:rsidRDefault="005D715E" w:rsidP="0061484C">
      <w:pPr>
        <w:ind w:left="0"/>
        <w:jc w:val="center"/>
        <w:rPr>
          <w:rFonts w:ascii="Bookman Old Style" w:hAnsi="Bookman Old Style" w:cs="Arial"/>
          <w:color w:val="000000"/>
        </w:rPr>
      </w:pPr>
    </w:p>
    <w:p w14:paraId="4244BD75" w14:textId="77777777" w:rsidR="005D715E" w:rsidRPr="00717AFB" w:rsidRDefault="005D715E" w:rsidP="0061484C">
      <w:pPr>
        <w:ind w:left="0"/>
        <w:jc w:val="center"/>
        <w:rPr>
          <w:rFonts w:ascii="Bookman Old Style" w:hAnsi="Bookman Old Style" w:cs="Arial"/>
          <w:color w:val="000000" w:themeColor="text1"/>
          <w:lang w:eastAsia="es-CO"/>
        </w:rPr>
      </w:pPr>
      <w:r w:rsidRPr="00717AFB">
        <w:rPr>
          <w:rFonts w:ascii="Bookman Old Style" w:hAnsi="Bookman Old Style" w:cs="Arial"/>
          <w:b/>
          <w:color w:val="000000" w:themeColor="text1"/>
          <w:lang w:eastAsia="es-CO"/>
        </w:rPr>
        <w:t>LA COMISIÓN DE REGULACIÓN DE ENERGÍA Y GAS</w:t>
      </w:r>
    </w:p>
    <w:p w14:paraId="424DBF59" w14:textId="77777777" w:rsidR="005D715E" w:rsidRDefault="005D715E" w:rsidP="0061484C">
      <w:pPr>
        <w:ind w:left="0"/>
        <w:jc w:val="center"/>
        <w:rPr>
          <w:rFonts w:ascii="Bookman Old Style" w:hAnsi="Bookman Old Style" w:cs="Arial"/>
          <w:color w:val="000000"/>
        </w:rPr>
      </w:pPr>
    </w:p>
    <w:p w14:paraId="4C465659" w14:textId="77777777" w:rsidR="005D715E" w:rsidRPr="00717AFB" w:rsidRDefault="005D715E" w:rsidP="005D715E">
      <w:pPr>
        <w:tabs>
          <w:tab w:val="left" w:pos="142"/>
        </w:tabs>
        <w:ind w:left="142"/>
        <w:jc w:val="center"/>
        <w:rPr>
          <w:rFonts w:ascii="Bookman Old Style" w:hAnsi="Bookman Old Style" w:cs="Arial"/>
          <w:color w:val="000000"/>
        </w:rPr>
      </w:pPr>
      <w:r w:rsidRPr="00060697">
        <w:rPr>
          <w:rFonts w:ascii="Bookman Old Style" w:hAnsi="Bookman Old Style" w:cs="Arial"/>
          <w:color w:val="000000"/>
        </w:rPr>
        <w:t xml:space="preserve">En ejercicio de sus atribuciones constitucionales y legales, en especial las conferidas por las Leyes 142 y 143 de 1994, y en desarrollo de los Decretos 1524 y 2253 de 1994, y </w:t>
      </w:r>
      <w:r>
        <w:rPr>
          <w:rFonts w:ascii="Bookman Old Style" w:hAnsi="Bookman Old Style" w:cs="Arial"/>
          <w:color w:val="000000"/>
        </w:rPr>
        <w:t xml:space="preserve">el </w:t>
      </w:r>
      <w:r w:rsidRPr="00060697">
        <w:rPr>
          <w:rFonts w:ascii="Bookman Old Style" w:hAnsi="Bookman Old Style" w:cs="Arial"/>
          <w:color w:val="000000"/>
        </w:rPr>
        <w:t>Decreto 1260 de 2013</w:t>
      </w:r>
    </w:p>
    <w:p w14:paraId="416B633B" w14:textId="77777777" w:rsidR="005D715E" w:rsidRDefault="005D715E" w:rsidP="0061484C">
      <w:pPr>
        <w:ind w:left="0"/>
        <w:jc w:val="center"/>
        <w:rPr>
          <w:rFonts w:ascii="Bookman Old Style" w:hAnsi="Bookman Old Style" w:cs="Arial"/>
          <w:color w:val="000000"/>
        </w:rPr>
      </w:pPr>
    </w:p>
    <w:p w14:paraId="2E302563" w14:textId="77777777" w:rsidR="005D715E" w:rsidRPr="00717AFB" w:rsidRDefault="005D715E" w:rsidP="0061484C">
      <w:pPr>
        <w:ind w:left="0"/>
        <w:jc w:val="center"/>
        <w:rPr>
          <w:rFonts w:ascii="Bookman Old Style" w:hAnsi="Bookman Old Style" w:cs="Arial"/>
          <w:color w:val="000000"/>
        </w:rPr>
      </w:pPr>
    </w:p>
    <w:p w14:paraId="081704DC" w14:textId="77777777" w:rsidR="005D715E" w:rsidRDefault="005D715E" w:rsidP="0061484C">
      <w:pPr>
        <w:ind w:left="0"/>
        <w:jc w:val="center"/>
        <w:rPr>
          <w:rFonts w:ascii="Bookman Old Style" w:hAnsi="Bookman Old Style" w:cs="Arial"/>
          <w:b/>
          <w:color w:val="000000"/>
        </w:rPr>
      </w:pPr>
      <w:r w:rsidRPr="00717AFB">
        <w:rPr>
          <w:rFonts w:ascii="Bookman Old Style" w:hAnsi="Bookman Old Style" w:cs="Arial"/>
          <w:b/>
          <w:color w:val="000000"/>
        </w:rPr>
        <w:t>C O N S I D E R A N D O</w:t>
      </w:r>
      <w:r>
        <w:rPr>
          <w:rFonts w:ascii="Bookman Old Style" w:hAnsi="Bookman Old Style" w:cs="Arial"/>
          <w:b/>
          <w:color w:val="000000"/>
        </w:rPr>
        <w:t xml:space="preserve">   </w:t>
      </w:r>
      <w:r w:rsidRPr="00717AFB">
        <w:rPr>
          <w:rFonts w:ascii="Bookman Old Style" w:hAnsi="Bookman Old Style" w:cs="Arial"/>
          <w:b/>
          <w:color w:val="000000"/>
        </w:rPr>
        <w:t>Q U E:</w:t>
      </w:r>
    </w:p>
    <w:p w14:paraId="762220BE" w14:textId="77777777" w:rsidR="005D715E" w:rsidRPr="00717AFB" w:rsidRDefault="005D715E" w:rsidP="005D715E">
      <w:pPr>
        <w:jc w:val="center"/>
        <w:rPr>
          <w:rFonts w:ascii="Bookman Old Style" w:hAnsi="Bookman Old Style" w:cs="Arial"/>
          <w:b/>
          <w:color w:val="000000"/>
        </w:rPr>
      </w:pPr>
    </w:p>
    <w:p w14:paraId="73DAF3FD" w14:textId="77777777" w:rsidR="005D715E" w:rsidRPr="004E6C13" w:rsidRDefault="005D715E" w:rsidP="005D715E">
      <w:pPr>
        <w:spacing w:before="120" w:after="120"/>
        <w:ind w:left="142"/>
        <w:jc w:val="both"/>
        <w:rPr>
          <w:rFonts w:ascii="Bookman Old Style" w:hAnsi="Bookman Old Style" w:cs="Arial"/>
          <w:bCs/>
        </w:rPr>
      </w:pPr>
      <w:r w:rsidRPr="004E6C13">
        <w:rPr>
          <w:rFonts w:ascii="Bookman Old Style" w:hAnsi="Bookman Old Style" w:cs="Arial"/>
          <w:bCs/>
        </w:rPr>
        <w:t>De conformidad con el artículo 20 de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31CF2C3E" w14:textId="0E5C574F" w:rsidR="005D715E" w:rsidRDefault="005D715E" w:rsidP="005D715E">
      <w:pPr>
        <w:spacing w:before="120" w:after="120"/>
        <w:ind w:left="142"/>
        <w:jc w:val="both"/>
        <w:rPr>
          <w:rFonts w:ascii="Bookman Old Style" w:hAnsi="Bookman Old Style" w:cs="Arial"/>
          <w:bCs/>
        </w:rPr>
      </w:pPr>
      <w:r w:rsidRPr="004E6C13">
        <w:rPr>
          <w:rFonts w:ascii="Bookman Old Style" w:hAnsi="Bookman Old Style" w:cs="Arial"/>
          <w:bCs/>
        </w:rPr>
        <w:lastRenderedPageBreak/>
        <w:t>El artículo 18 de la Ley 143 de 1994 ordena que la CREG debe desarrollar el marco regulatorio que incentive la inversión en expansión de la capacidad de generación y transmisión del Sistema Interconectado Nacional por parte de inversionistas estratégicos y establecer esquemas que promuevan la entrada de nueva capacidad de generación y transmisión.</w:t>
      </w:r>
    </w:p>
    <w:p w14:paraId="73E11FC3" w14:textId="77777777" w:rsidR="005D715E" w:rsidRDefault="005D715E" w:rsidP="005D715E">
      <w:pPr>
        <w:spacing w:before="120" w:after="120"/>
        <w:ind w:left="142"/>
        <w:jc w:val="both"/>
        <w:rPr>
          <w:rFonts w:ascii="Bookman Old Style" w:hAnsi="Bookman Old Style" w:cs="Arial"/>
          <w:bCs/>
          <w:i/>
          <w:iCs/>
        </w:rPr>
      </w:pPr>
      <w:r w:rsidRPr="00922F7A">
        <w:rPr>
          <w:rFonts w:ascii="Bookman Old Style" w:hAnsi="Bookman Old Style" w:cs="Arial"/>
          <w:bCs/>
        </w:rPr>
        <w:t xml:space="preserve">Mediante la Resolución CREG 075 de 2021 se definieron </w:t>
      </w:r>
      <w:r w:rsidRPr="00922F7A">
        <w:rPr>
          <w:rFonts w:ascii="Bookman Old Style" w:hAnsi="Bookman Old Style" w:cs="Arial"/>
          <w:bCs/>
          <w:i/>
          <w:iCs/>
        </w:rPr>
        <w:t xml:space="preserve">“las disposiciones y procedimientos para la asignación de capacidad de transporte en el Sistema Interconectado Nacional”. </w:t>
      </w:r>
    </w:p>
    <w:p w14:paraId="1E8C627E" w14:textId="77777777" w:rsidR="005D715E" w:rsidRDefault="005D715E" w:rsidP="005D715E">
      <w:pPr>
        <w:spacing w:before="120" w:after="120"/>
        <w:ind w:left="142"/>
        <w:jc w:val="both"/>
        <w:rPr>
          <w:rFonts w:ascii="Bookman Old Style" w:hAnsi="Bookman Old Style" w:cs="Arial"/>
          <w:bCs/>
        </w:rPr>
      </w:pPr>
      <w:r>
        <w:rPr>
          <w:rFonts w:ascii="Bookman Old Style" w:hAnsi="Bookman Old Style" w:cs="Arial"/>
          <w:bCs/>
        </w:rPr>
        <w:t>En el artículo 2 de la Resolución CREG 075 de 2021 se definen los p</w:t>
      </w:r>
      <w:r w:rsidRPr="00CC399C">
        <w:rPr>
          <w:rFonts w:ascii="Bookman Old Style" w:hAnsi="Bookman Old Style" w:cs="Arial"/>
          <w:bCs/>
        </w:rPr>
        <w:t>royecto</w:t>
      </w:r>
      <w:r>
        <w:rPr>
          <w:rFonts w:ascii="Bookman Old Style" w:hAnsi="Bookman Old Style" w:cs="Arial"/>
          <w:bCs/>
        </w:rPr>
        <w:t>s</w:t>
      </w:r>
      <w:r w:rsidRPr="00CC399C">
        <w:rPr>
          <w:rFonts w:ascii="Bookman Old Style" w:hAnsi="Bookman Old Style" w:cs="Arial"/>
          <w:bCs/>
        </w:rPr>
        <w:t xml:space="preserve"> clase 1</w:t>
      </w:r>
      <w:r>
        <w:rPr>
          <w:rFonts w:ascii="Bookman Old Style" w:hAnsi="Bookman Old Style" w:cs="Arial"/>
          <w:bCs/>
        </w:rPr>
        <w:t xml:space="preserve"> como los </w:t>
      </w:r>
      <w:r w:rsidRPr="00CC399C">
        <w:rPr>
          <w:rFonts w:ascii="Bookman Old Style" w:hAnsi="Bookman Old Style" w:cs="Arial"/>
          <w:bCs/>
          <w:i/>
          <w:iCs/>
        </w:rPr>
        <w:t>“proyectos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Pr>
          <w:rFonts w:ascii="Bookman Old Style" w:hAnsi="Bookman Old Style" w:cs="Arial"/>
          <w:bCs/>
        </w:rPr>
        <w:t>.</w:t>
      </w:r>
    </w:p>
    <w:p w14:paraId="0AAB4FEC" w14:textId="77777777" w:rsidR="005D715E" w:rsidRPr="00EE2EB6" w:rsidRDefault="005D715E" w:rsidP="005D715E">
      <w:pPr>
        <w:spacing w:before="120" w:after="120"/>
        <w:ind w:left="142"/>
        <w:jc w:val="both"/>
        <w:rPr>
          <w:rFonts w:ascii="Bookman Old Style" w:hAnsi="Bookman Old Style" w:cs="Arial"/>
          <w:bCs/>
        </w:rPr>
      </w:pPr>
      <w:r>
        <w:rPr>
          <w:rFonts w:ascii="Bookman Old Style" w:hAnsi="Bookman Old Style" w:cs="Arial"/>
          <w:bCs/>
        </w:rPr>
        <w:t>En el capítulo II de la Resolución CREG 075 de 2021 se establecieron las reglas para la asignación de capacidad de transporte de proyectos clase 1.</w:t>
      </w:r>
    </w:p>
    <w:p w14:paraId="6925C389" w14:textId="77777777" w:rsidR="005D715E" w:rsidRDefault="005D715E" w:rsidP="005D715E">
      <w:pPr>
        <w:spacing w:before="120" w:after="120"/>
        <w:ind w:left="142"/>
        <w:jc w:val="both"/>
        <w:rPr>
          <w:rFonts w:ascii="Bookman Old Style" w:hAnsi="Bookman Old Style" w:cs="Arial"/>
          <w:bCs/>
        </w:rPr>
      </w:pPr>
      <w:r>
        <w:rPr>
          <w:rFonts w:ascii="Bookman Old Style" w:hAnsi="Bookman Old Style" w:cs="Arial"/>
          <w:bCs/>
        </w:rPr>
        <w:t>En el capítulo III de la Resolución CREG 075 de 2021 se establecieron las reglas para el otorgamiento de garantías para la reserva de la capacidad de transporte asignada a los proyectos clase 1.</w:t>
      </w:r>
    </w:p>
    <w:p w14:paraId="68CB3E73" w14:textId="77777777" w:rsidR="005D715E" w:rsidRDefault="005D715E" w:rsidP="005D715E">
      <w:pPr>
        <w:spacing w:before="120" w:after="120"/>
        <w:ind w:left="142"/>
        <w:jc w:val="both"/>
        <w:rPr>
          <w:rFonts w:ascii="Bookman Old Style" w:hAnsi="Bookman Old Style" w:cs="Arial"/>
          <w:bCs/>
        </w:rPr>
      </w:pPr>
      <w:r>
        <w:rPr>
          <w:rFonts w:ascii="Bookman Old Style" w:hAnsi="Bookman Old Style" w:cs="Arial"/>
          <w:bCs/>
        </w:rPr>
        <w:t>En el capítulo IV de la Resolución CREG 075 de 2021 se establecieron las reglas para el seguimiento de la ejecución de los proyectos clase 1 y las reglas para la liberación de la capacidad asignada en caso de incumplimiento.</w:t>
      </w:r>
    </w:p>
    <w:p w14:paraId="5827C041" w14:textId="77777777" w:rsidR="005D715E" w:rsidRPr="00655C8A" w:rsidRDefault="005D715E" w:rsidP="005D715E">
      <w:pPr>
        <w:spacing w:before="120" w:after="120"/>
        <w:ind w:left="142"/>
        <w:jc w:val="both"/>
        <w:rPr>
          <w:rFonts w:ascii="Bookman Old Style" w:hAnsi="Bookman Old Style" w:cs="Arial"/>
          <w:bCs/>
        </w:rPr>
      </w:pPr>
      <w:r>
        <w:rPr>
          <w:rFonts w:ascii="Bookman Old Style" w:hAnsi="Bookman Old Style" w:cs="Arial"/>
          <w:bCs/>
        </w:rPr>
        <w:t xml:space="preserve">El artículo 4 de la Resolución CREG 075 de 2021 estableció que </w:t>
      </w:r>
      <w:r w:rsidRPr="00655C8A">
        <w:rPr>
          <w:rFonts w:ascii="Bookman Old Style" w:hAnsi="Bookman Old Style" w:cs="Arial"/>
          <w:bCs/>
          <w:i/>
          <w:iCs/>
        </w:rPr>
        <w:t>“La Unidad de Planeación Minero Energética, UPME, será la responsable de recibir y resolver las solicitudes de asignación de capacidad de transporte en el SIN de los proyectos clase 1”</w:t>
      </w:r>
      <w:r>
        <w:rPr>
          <w:rFonts w:ascii="Bookman Old Style" w:hAnsi="Bookman Old Style" w:cs="Arial"/>
          <w:bCs/>
        </w:rPr>
        <w:t>.</w:t>
      </w:r>
    </w:p>
    <w:p w14:paraId="08076ED5" w14:textId="77777777" w:rsidR="005D715E" w:rsidRPr="00922F7A" w:rsidRDefault="005D715E" w:rsidP="005D715E">
      <w:pPr>
        <w:spacing w:before="120" w:after="120"/>
        <w:ind w:left="142"/>
        <w:jc w:val="both"/>
        <w:rPr>
          <w:rFonts w:ascii="Bookman Old Style" w:hAnsi="Bookman Old Style" w:cs="Arial"/>
          <w:bCs/>
        </w:rPr>
      </w:pPr>
      <w:r w:rsidRPr="00922F7A">
        <w:rPr>
          <w:rFonts w:ascii="Bookman Old Style" w:hAnsi="Bookman Old Style" w:cs="Arial"/>
          <w:bCs/>
        </w:rPr>
        <w:t xml:space="preserve">El artículo 9 de la Resolución CREG 075 de 2021 estableció que </w:t>
      </w:r>
      <w:r w:rsidRPr="00922F7A">
        <w:rPr>
          <w:rFonts w:ascii="Bookman Old Style" w:hAnsi="Bookman Old Style" w:cs="Arial"/>
          <w:bCs/>
          <w:i/>
          <w:iCs/>
        </w:rPr>
        <w:t>“cada año calendario, el responsable de la asignación de capacidad de transporte estudiará las solicitudes que sean radicadas, a través de la ventanilla única, hasta el 31 de marzo de ese año. Las solicitudes radicadas con posterioridad a esta fecha serán estudiadas en los análisis del siguiente año calendario”.</w:t>
      </w:r>
    </w:p>
    <w:p w14:paraId="2033A677" w14:textId="77777777" w:rsidR="005D715E" w:rsidRPr="00922F7A" w:rsidRDefault="005D715E" w:rsidP="005D715E">
      <w:pPr>
        <w:spacing w:before="120" w:after="120"/>
        <w:ind w:left="142"/>
        <w:jc w:val="both"/>
        <w:rPr>
          <w:rFonts w:ascii="Bookman Old Style" w:hAnsi="Bookman Old Style" w:cs="Arial"/>
          <w:bCs/>
        </w:rPr>
      </w:pPr>
      <w:r w:rsidRPr="00922F7A">
        <w:rPr>
          <w:rFonts w:ascii="Bookman Old Style" w:hAnsi="Bookman Old Style" w:cs="Arial"/>
          <w:bCs/>
        </w:rPr>
        <w:t>En el artículo 11 de la Resolución CREG 075 de 2021 se establecieron las disposiciones relacionadas con el procedimiento para la asignación de capacidad de transporte, dentro de las cuales se encuentran las siguientes:</w:t>
      </w:r>
    </w:p>
    <w:p w14:paraId="7885E8D6" w14:textId="77777777" w:rsidR="005D715E" w:rsidRPr="00E30F97" w:rsidRDefault="005D715E" w:rsidP="0061484C">
      <w:pPr>
        <w:spacing w:after="120"/>
        <w:ind w:left="426"/>
        <w:jc w:val="both"/>
        <w:rPr>
          <w:rFonts w:ascii="Bookman Old Style" w:hAnsi="Bookman Old Style"/>
          <w:i/>
          <w:iCs/>
        </w:rPr>
      </w:pPr>
      <w:r w:rsidRPr="00E30F97">
        <w:rPr>
          <w:rFonts w:ascii="Bookman Old Style" w:hAnsi="Bookman Old Style"/>
          <w:i/>
          <w:iCs/>
        </w:rPr>
        <w:t>“Para efectos de aplicar el procedimiento, el responsable de la asignación de capacidad de transporte, con base en los resultados de sus análisis, y considerando la fecha y hora de la radicación formal de las solicitudes, deberá otorgar una posición a los proyectos clase 1 en alguna de las siguientes filas:</w:t>
      </w:r>
    </w:p>
    <w:p w14:paraId="44425021" w14:textId="77777777" w:rsidR="005D715E" w:rsidRPr="00E30F97" w:rsidRDefault="005D715E" w:rsidP="0061484C">
      <w:pPr>
        <w:numPr>
          <w:ilvl w:val="0"/>
          <w:numId w:val="24"/>
        </w:numPr>
        <w:spacing w:before="120" w:after="120"/>
        <w:ind w:left="993" w:hanging="567"/>
        <w:jc w:val="both"/>
        <w:rPr>
          <w:rFonts w:ascii="Bookman Old Style" w:hAnsi="Bookman Old Style"/>
          <w:i/>
          <w:iCs/>
          <w:szCs w:val="20"/>
        </w:rPr>
      </w:pPr>
      <w:r w:rsidRPr="00E30F97">
        <w:rPr>
          <w:rFonts w:ascii="Bookman Old Style" w:hAnsi="Bookman Old Style"/>
          <w:i/>
          <w:iCs/>
          <w:szCs w:val="20"/>
        </w:rPr>
        <w:t>Fila 1, formada por proyectos que requieran obras de expansión en el SIN.</w:t>
      </w:r>
    </w:p>
    <w:p w14:paraId="3F08DB87" w14:textId="77777777" w:rsidR="005D715E" w:rsidRPr="00E30F97" w:rsidRDefault="005D715E" w:rsidP="0061484C">
      <w:pPr>
        <w:numPr>
          <w:ilvl w:val="0"/>
          <w:numId w:val="24"/>
        </w:numPr>
        <w:spacing w:before="120" w:after="120"/>
        <w:ind w:left="993" w:hanging="567"/>
        <w:jc w:val="both"/>
        <w:rPr>
          <w:rFonts w:ascii="Bookman Old Style" w:hAnsi="Bookman Old Style"/>
          <w:i/>
          <w:iCs/>
          <w:szCs w:val="20"/>
        </w:rPr>
      </w:pPr>
      <w:r w:rsidRPr="00E30F97">
        <w:rPr>
          <w:rFonts w:ascii="Bookman Old Style" w:hAnsi="Bookman Old Style"/>
          <w:i/>
          <w:iCs/>
          <w:szCs w:val="20"/>
        </w:rPr>
        <w:t>Fila 2, formada por proyectos que no requieren obras de expansión en el SIN.</w:t>
      </w:r>
    </w:p>
    <w:p w14:paraId="51DAA634" w14:textId="77777777" w:rsidR="005D715E" w:rsidRPr="00E30F97" w:rsidRDefault="005D715E" w:rsidP="0061484C">
      <w:pPr>
        <w:spacing w:after="120"/>
        <w:ind w:left="426"/>
        <w:jc w:val="both"/>
        <w:rPr>
          <w:rFonts w:ascii="Bookman Old Style" w:hAnsi="Bookman Old Style"/>
          <w:i/>
          <w:iCs/>
        </w:rPr>
      </w:pPr>
      <w:r w:rsidRPr="00E30F97">
        <w:rPr>
          <w:rFonts w:ascii="Bookman Old Style" w:hAnsi="Bookman Old Style"/>
          <w:i/>
          <w:iCs/>
        </w:rPr>
        <w:t>La posición asignada a cada proyecto deberá ser publicada en la ventanilla única a más tardar el 30 de septiembre del respectivo año calendario.</w:t>
      </w:r>
    </w:p>
    <w:p w14:paraId="4C2702C4" w14:textId="77777777" w:rsidR="005D715E" w:rsidRPr="00F743F6" w:rsidRDefault="005D715E" w:rsidP="0061484C">
      <w:pPr>
        <w:spacing w:after="120"/>
        <w:ind w:left="426"/>
        <w:jc w:val="both"/>
        <w:rPr>
          <w:rFonts w:ascii="Bookman Old Style" w:hAnsi="Bookman Old Style"/>
          <w:i/>
          <w:iCs/>
        </w:rPr>
      </w:pPr>
      <w:r w:rsidRPr="00F743F6">
        <w:rPr>
          <w:rFonts w:ascii="Bookman Old Style" w:hAnsi="Bookman Old Style"/>
          <w:i/>
          <w:iCs/>
        </w:rPr>
        <w:t xml:space="preserve">Los conceptos de conexión para proyectos en la fila 1 serán emitidos a más tardar el 20 de diciembre del respectivo año calendario, identificando el </w:t>
      </w:r>
      <w:r w:rsidRPr="00F743F6">
        <w:rPr>
          <w:rFonts w:ascii="Bookman Old Style" w:hAnsi="Bookman Old Style"/>
          <w:i/>
          <w:iCs/>
        </w:rPr>
        <w:lastRenderedPageBreak/>
        <w:t>proyecto de expansión requerido para la conexión del proyecto al sistema, y los conceptos de conexión para proyectos en la fila 2 serán emitidos a más tardar el 31 de octubre del mismo año”.</w:t>
      </w:r>
    </w:p>
    <w:p w14:paraId="0FA1E5EF" w14:textId="364225EF" w:rsidR="005D715E" w:rsidRDefault="005D715E" w:rsidP="005D715E">
      <w:pPr>
        <w:spacing w:before="120" w:after="120"/>
        <w:ind w:left="142"/>
        <w:jc w:val="both"/>
        <w:rPr>
          <w:rFonts w:ascii="Bookman Old Style" w:hAnsi="Bookman Old Style" w:cs="Arial"/>
          <w:bCs/>
        </w:rPr>
      </w:pPr>
      <w:r>
        <w:rPr>
          <w:rFonts w:ascii="Bookman Old Style" w:hAnsi="Bookman Old Style" w:cs="Arial"/>
          <w:bCs/>
        </w:rPr>
        <w:t>Mediante</w:t>
      </w:r>
      <w:r w:rsidRPr="00E30F97">
        <w:rPr>
          <w:rFonts w:ascii="Bookman Old Style" w:hAnsi="Bookman Old Style" w:cs="Arial"/>
          <w:bCs/>
        </w:rPr>
        <w:t xml:space="preserve"> la Resolución CREG </w:t>
      </w:r>
      <w:r>
        <w:rPr>
          <w:rFonts w:ascii="Bookman Old Style" w:hAnsi="Bookman Old Style" w:cs="Arial"/>
          <w:bCs/>
        </w:rPr>
        <w:t>101 010</w:t>
      </w:r>
      <w:r w:rsidRPr="00E30F97">
        <w:rPr>
          <w:rFonts w:ascii="Bookman Old Style" w:hAnsi="Bookman Old Style" w:cs="Arial"/>
          <w:bCs/>
        </w:rPr>
        <w:t xml:space="preserve"> de 202</w:t>
      </w:r>
      <w:r>
        <w:rPr>
          <w:rFonts w:ascii="Bookman Old Style" w:hAnsi="Bookman Old Style" w:cs="Arial"/>
          <w:bCs/>
        </w:rPr>
        <w:t>2</w:t>
      </w:r>
      <w:r w:rsidRPr="00E30F97">
        <w:rPr>
          <w:rFonts w:ascii="Bookman Old Style" w:hAnsi="Bookman Old Style" w:cs="Arial"/>
          <w:bCs/>
        </w:rPr>
        <w:t xml:space="preserve"> se </w:t>
      </w:r>
      <w:r>
        <w:rPr>
          <w:rFonts w:ascii="Bookman Old Style" w:hAnsi="Bookman Old Style" w:cs="Arial"/>
          <w:bCs/>
        </w:rPr>
        <w:t>modificó</w:t>
      </w:r>
      <w:r w:rsidRPr="00E30F97">
        <w:rPr>
          <w:rFonts w:ascii="Bookman Old Style" w:hAnsi="Bookman Old Style" w:cs="Arial"/>
          <w:bCs/>
        </w:rPr>
        <w:t xml:space="preserve"> </w:t>
      </w:r>
      <w:r w:rsidRPr="00E30F97">
        <w:rPr>
          <w:rFonts w:ascii="Bookman Old Style" w:hAnsi="Bookman Old Style" w:cs="Arial"/>
          <w:bCs/>
          <w:i/>
          <w:iCs/>
        </w:rPr>
        <w:t>“</w:t>
      </w:r>
      <w:r w:rsidRPr="00711ADD">
        <w:rPr>
          <w:rFonts w:ascii="Bookman Old Style" w:hAnsi="Bookman Old Style" w:cs="Arial"/>
          <w:bCs/>
          <w:i/>
          <w:iCs/>
        </w:rPr>
        <w:t>para el año 2022 el cronograma de asignación de capacidad de transporte de proyectos clase 1 de que trata la Resolución CREG 075 de 2021</w:t>
      </w:r>
      <w:r w:rsidRPr="00E30F97">
        <w:rPr>
          <w:rFonts w:ascii="Bookman Old Style" w:hAnsi="Bookman Old Style" w:cs="Arial"/>
          <w:bCs/>
          <w:i/>
          <w:iCs/>
        </w:rPr>
        <w:t>”</w:t>
      </w:r>
      <w:r>
        <w:rPr>
          <w:rFonts w:ascii="Bookman Old Style" w:hAnsi="Bookman Old Style" w:cs="Arial"/>
          <w:bCs/>
        </w:rPr>
        <w:t xml:space="preserve">, debido a </w:t>
      </w:r>
      <w:r w:rsidRPr="000E1AA0">
        <w:rPr>
          <w:rFonts w:ascii="Bookman Old Style" w:hAnsi="Bookman Old Style" w:cs="Arial"/>
          <w:bCs/>
        </w:rPr>
        <w:t>los retrasos presentados en la recepción de las propuestas de la información necesaria para estudios de conexión y disponibilidad de espacio físico, y de contenido y características de los estudios</w:t>
      </w:r>
      <w:r>
        <w:rPr>
          <w:rFonts w:ascii="Bookman Old Style" w:hAnsi="Bookman Old Style" w:cs="Arial"/>
          <w:bCs/>
        </w:rPr>
        <w:t>,</w:t>
      </w:r>
      <w:r w:rsidRPr="000E1AA0">
        <w:rPr>
          <w:rFonts w:ascii="Bookman Old Style" w:hAnsi="Bookman Old Style" w:cs="Arial"/>
          <w:bCs/>
        </w:rPr>
        <w:t xml:space="preserve"> </w:t>
      </w:r>
      <w:r w:rsidR="003F4EFB">
        <w:rPr>
          <w:rFonts w:ascii="Bookman Old Style" w:hAnsi="Bookman Old Style" w:cs="Arial"/>
          <w:bCs/>
        </w:rPr>
        <w:t xml:space="preserve">que </w:t>
      </w:r>
      <w:r w:rsidRPr="000E1AA0">
        <w:rPr>
          <w:rFonts w:ascii="Bookman Old Style" w:hAnsi="Bookman Old Style" w:cs="Arial"/>
          <w:bCs/>
        </w:rPr>
        <w:t xml:space="preserve">no </w:t>
      </w:r>
      <w:r>
        <w:rPr>
          <w:rFonts w:ascii="Bookman Old Style" w:hAnsi="Bookman Old Style" w:cs="Arial"/>
          <w:bCs/>
        </w:rPr>
        <w:t>permitían</w:t>
      </w:r>
      <w:r w:rsidRPr="000E1AA0">
        <w:rPr>
          <w:rFonts w:ascii="Bookman Old Style" w:hAnsi="Bookman Old Style" w:cs="Arial"/>
          <w:bCs/>
        </w:rPr>
        <w:t xml:space="preserve"> cumplir los plazos definidos para las demás actividades.</w:t>
      </w:r>
    </w:p>
    <w:p w14:paraId="50FEB54D" w14:textId="22B620E9" w:rsidR="005D715E" w:rsidRPr="00922F7A" w:rsidRDefault="005D715E" w:rsidP="005D715E">
      <w:pPr>
        <w:spacing w:before="120" w:after="120"/>
        <w:ind w:left="142"/>
        <w:jc w:val="both"/>
        <w:rPr>
          <w:rFonts w:ascii="Bookman Old Style" w:hAnsi="Bookman Old Style" w:cs="Arial"/>
          <w:bCs/>
        </w:rPr>
      </w:pPr>
      <w:r>
        <w:rPr>
          <w:rFonts w:ascii="Bookman Old Style" w:hAnsi="Bookman Old Style" w:cs="Arial"/>
          <w:bCs/>
        </w:rPr>
        <w:t xml:space="preserve">Mediante la Resolución CREG 101 035 de 2022, se modificaron algunos de los plazos establecidos en </w:t>
      </w:r>
      <w:r w:rsidRPr="00E30F97">
        <w:rPr>
          <w:rFonts w:ascii="Bookman Old Style" w:hAnsi="Bookman Old Style" w:cs="Arial"/>
          <w:bCs/>
        </w:rPr>
        <w:t xml:space="preserve">la Resolución CREG </w:t>
      </w:r>
      <w:r>
        <w:rPr>
          <w:rFonts w:ascii="Bookman Old Style" w:hAnsi="Bookman Old Style" w:cs="Arial"/>
          <w:bCs/>
        </w:rPr>
        <w:t>101 010</w:t>
      </w:r>
      <w:r w:rsidRPr="00E30F97">
        <w:rPr>
          <w:rFonts w:ascii="Bookman Old Style" w:hAnsi="Bookman Old Style" w:cs="Arial"/>
          <w:bCs/>
        </w:rPr>
        <w:t xml:space="preserve"> de 202</w:t>
      </w:r>
      <w:r>
        <w:rPr>
          <w:rFonts w:ascii="Bookman Old Style" w:hAnsi="Bookman Old Style" w:cs="Arial"/>
          <w:bCs/>
        </w:rPr>
        <w:t>2, con base en la solicitud hecha por la UPME</w:t>
      </w:r>
      <w:r w:rsidR="003F4EFB">
        <w:rPr>
          <w:rFonts w:ascii="Bookman Old Style" w:hAnsi="Bookman Old Style" w:cs="Arial"/>
          <w:bCs/>
        </w:rPr>
        <w:t xml:space="preserve">, mediante comunicación </w:t>
      </w:r>
      <w:r w:rsidR="003F4EFB" w:rsidRPr="003F4EFB">
        <w:rPr>
          <w:rFonts w:ascii="Bookman Old Style" w:hAnsi="Bookman Old Style" w:cs="Arial"/>
          <w:bCs/>
        </w:rPr>
        <w:t>E2022015428</w:t>
      </w:r>
      <w:r w:rsidR="003F4EFB">
        <w:rPr>
          <w:rFonts w:ascii="Bookman Old Style" w:hAnsi="Bookman Old Style" w:cs="Arial"/>
          <w:bCs/>
        </w:rPr>
        <w:t xml:space="preserve"> del 15 de diciembre de 2022</w:t>
      </w:r>
      <w:r>
        <w:rPr>
          <w:rFonts w:ascii="Bookman Old Style" w:hAnsi="Bookman Old Style" w:cs="Arial"/>
          <w:bCs/>
        </w:rPr>
        <w:t>, fundamentada en el alto número de solicitudes de asignación de capacidad de transporte radicadas en el calendario del año 2022.</w:t>
      </w:r>
      <w:r w:rsidRPr="00E30F97">
        <w:rPr>
          <w:rFonts w:ascii="Bookman Old Style" w:hAnsi="Bookman Old Style" w:cs="Arial"/>
          <w:bCs/>
        </w:rPr>
        <w:t xml:space="preserve"> </w:t>
      </w:r>
    </w:p>
    <w:p w14:paraId="567E1CA5" w14:textId="365BDACB" w:rsidR="005D715E" w:rsidRDefault="005D715E" w:rsidP="005D715E">
      <w:pPr>
        <w:spacing w:before="120" w:after="120"/>
        <w:ind w:left="142"/>
        <w:jc w:val="both"/>
        <w:rPr>
          <w:rFonts w:ascii="Bookman Old Style" w:hAnsi="Bookman Old Style" w:cs="Arial"/>
          <w:bCs/>
        </w:rPr>
      </w:pPr>
      <w:r>
        <w:rPr>
          <w:rFonts w:ascii="Bookman Old Style" w:hAnsi="Bookman Old Style" w:cs="Arial"/>
          <w:bCs/>
        </w:rPr>
        <w:t xml:space="preserve">Los ajustes al cronograma </w:t>
      </w:r>
      <w:r w:rsidR="0010704E">
        <w:rPr>
          <w:rFonts w:ascii="Bookman Old Style" w:hAnsi="Bookman Old Style" w:cs="Arial"/>
          <w:bCs/>
        </w:rPr>
        <w:t xml:space="preserve">de </w:t>
      </w:r>
      <w:r>
        <w:rPr>
          <w:rFonts w:ascii="Bookman Old Style" w:hAnsi="Bookman Old Style" w:cs="Arial"/>
          <w:bCs/>
        </w:rPr>
        <w:t xml:space="preserve">asignaciones de capacidad de transporte del año 2022 hicieron necesario modificar, mediante la Resolución CREG 101 011 de 2023, el cronograma de asignaciones de capacidad de transporte para el año 2023 debido a que el aplazamiento en la expedición de los conceptos de conexión de los proyectos presentados durante el año 2022 afectó los plazos establecidos en el cronograma anual de la Resolución CREG 075 de 2021. </w:t>
      </w:r>
    </w:p>
    <w:p w14:paraId="43584D90" w14:textId="77777777" w:rsidR="005D715E" w:rsidRDefault="005D715E" w:rsidP="005D715E">
      <w:pPr>
        <w:spacing w:before="120" w:after="120"/>
        <w:ind w:left="142"/>
        <w:jc w:val="both"/>
        <w:rPr>
          <w:rFonts w:ascii="Bookman Old Style" w:hAnsi="Bookman Old Style" w:cs="Arial"/>
          <w:bCs/>
        </w:rPr>
      </w:pPr>
      <w:r w:rsidRPr="00C17425">
        <w:rPr>
          <w:rFonts w:ascii="Bookman Old Style" w:hAnsi="Bookman Old Style" w:cs="Arial"/>
          <w:bCs/>
        </w:rPr>
        <w:t xml:space="preserve">Mediante </w:t>
      </w:r>
      <w:r>
        <w:rPr>
          <w:rFonts w:ascii="Bookman Old Style" w:hAnsi="Bookman Old Style" w:cs="Arial"/>
          <w:bCs/>
        </w:rPr>
        <w:t xml:space="preserve">la </w:t>
      </w:r>
      <w:r w:rsidRPr="00C17425">
        <w:rPr>
          <w:rFonts w:ascii="Bookman Old Style" w:hAnsi="Bookman Old Style" w:cs="Arial"/>
          <w:bCs/>
        </w:rPr>
        <w:t xml:space="preserve">comunicación </w:t>
      </w:r>
      <w:r>
        <w:rPr>
          <w:rFonts w:ascii="Bookman Old Style" w:hAnsi="Bookman Old Style" w:cs="Arial"/>
          <w:bCs/>
        </w:rPr>
        <w:t xml:space="preserve">E2023009989 </w:t>
      </w:r>
      <w:r w:rsidRPr="00C17425">
        <w:rPr>
          <w:rFonts w:ascii="Bookman Old Style" w:hAnsi="Bookman Old Style" w:cs="Arial"/>
          <w:bCs/>
        </w:rPr>
        <w:t>del 3 de mayo de 2023, S</w:t>
      </w:r>
      <w:r>
        <w:rPr>
          <w:rFonts w:ascii="Bookman Old Style" w:hAnsi="Bookman Old Style" w:cs="Arial"/>
          <w:bCs/>
        </w:rPr>
        <w:t>ER</w:t>
      </w:r>
      <w:r w:rsidRPr="00C17425">
        <w:rPr>
          <w:rFonts w:ascii="Bookman Old Style" w:hAnsi="Bookman Old Style" w:cs="Arial"/>
          <w:bCs/>
        </w:rPr>
        <w:t xml:space="preserve"> Colombia señala</w:t>
      </w:r>
      <w:r>
        <w:rPr>
          <w:rFonts w:ascii="Bookman Old Style" w:hAnsi="Bookman Old Style" w:cs="Arial"/>
          <w:bCs/>
        </w:rPr>
        <w:t xml:space="preserve"> diferentes</w:t>
      </w:r>
      <w:r w:rsidRPr="00C17425">
        <w:rPr>
          <w:rFonts w:ascii="Bookman Old Style" w:hAnsi="Bookman Old Style" w:cs="Arial"/>
          <w:bCs/>
        </w:rPr>
        <w:t xml:space="preserve"> aspectos a revisar </w:t>
      </w:r>
      <w:r>
        <w:rPr>
          <w:rFonts w:ascii="Bookman Old Style" w:hAnsi="Bookman Old Style" w:cs="Arial"/>
          <w:bCs/>
        </w:rPr>
        <w:t>con respecto a</w:t>
      </w:r>
      <w:r w:rsidRPr="00C17425">
        <w:rPr>
          <w:rFonts w:ascii="Bookman Old Style" w:hAnsi="Bookman Old Style" w:cs="Arial"/>
          <w:bCs/>
        </w:rPr>
        <w:t xml:space="preserve">l </w:t>
      </w:r>
      <w:r>
        <w:rPr>
          <w:rFonts w:ascii="Bookman Old Style" w:hAnsi="Bookman Old Style" w:cs="Arial"/>
          <w:bCs/>
        </w:rPr>
        <w:t>procedimiento</w:t>
      </w:r>
      <w:r w:rsidRPr="00C17425">
        <w:rPr>
          <w:rFonts w:ascii="Bookman Old Style" w:hAnsi="Bookman Old Style" w:cs="Arial"/>
          <w:bCs/>
        </w:rPr>
        <w:t xml:space="preserve"> de asignación de capacidad de transporte</w:t>
      </w:r>
      <w:r>
        <w:rPr>
          <w:rFonts w:ascii="Bookman Old Style" w:hAnsi="Bookman Old Style" w:cs="Arial"/>
          <w:bCs/>
        </w:rPr>
        <w:t>, con base en los resultados de las asignaciones del año 2022</w:t>
      </w:r>
      <w:r w:rsidRPr="00C17425">
        <w:rPr>
          <w:rFonts w:ascii="Bookman Old Style" w:hAnsi="Bookman Old Style" w:cs="Arial"/>
          <w:bCs/>
        </w:rPr>
        <w:t xml:space="preserve"> y </w:t>
      </w:r>
      <w:r>
        <w:rPr>
          <w:rFonts w:ascii="Bookman Old Style" w:hAnsi="Bookman Old Style" w:cs="Arial"/>
          <w:bCs/>
        </w:rPr>
        <w:t>solicita</w:t>
      </w:r>
      <w:r w:rsidRPr="00C17425">
        <w:rPr>
          <w:rFonts w:ascii="Bookman Old Style" w:hAnsi="Bookman Old Style" w:cs="Arial"/>
          <w:bCs/>
        </w:rPr>
        <w:t xml:space="preserve"> aplazar</w:t>
      </w:r>
      <w:r>
        <w:rPr>
          <w:rFonts w:ascii="Bookman Old Style" w:hAnsi="Bookman Old Style" w:cs="Arial"/>
          <w:bCs/>
        </w:rPr>
        <w:t xml:space="preserve"> de nuevo</w:t>
      </w:r>
      <w:r w:rsidRPr="00C17425">
        <w:rPr>
          <w:rFonts w:ascii="Bookman Old Style" w:hAnsi="Bookman Old Style" w:cs="Arial"/>
          <w:bCs/>
        </w:rPr>
        <w:t xml:space="preserve"> la fecha de radicación de solicitudes del calendario 2023.</w:t>
      </w:r>
    </w:p>
    <w:p w14:paraId="2DA4595E" w14:textId="27FD4DC8" w:rsidR="005D715E" w:rsidRDefault="005D715E" w:rsidP="005D715E">
      <w:pPr>
        <w:spacing w:before="120" w:after="120"/>
        <w:ind w:left="142"/>
        <w:jc w:val="both"/>
        <w:rPr>
          <w:rFonts w:ascii="Bookman Old Style" w:hAnsi="Bookman Old Style" w:cs="Arial"/>
          <w:bCs/>
        </w:rPr>
      </w:pPr>
      <w:r w:rsidRPr="00C17425">
        <w:rPr>
          <w:rFonts w:ascii="Bookman Old Style" w:hAnsi="Bookman Old Style" w:cs="Arial"/>
          <w:bCs/>
        </w:rPr>
        <w:t>El 16 de mayo de 2023 se realizó una reunión entre el M</w:t>
      </w:r>
      <w:r w:rsidR="0010704E">
        <w:rPr>
          <w:rFonts w:ascii="Bookman Old Style" w:hAnsi="Bookman Old Style" w:cs="Arial"/>
          <w:bCs/>
        </w:rPr>
        <w:t xml:space="preserve">inisterio de </w:t>
      </w:r>
      <w:r w:rsidRPr="00C17425">
        <w:rPr>
          <w:rFonts w:ascii="Bookman Old Style" w:hAnsi="Bookman Old Style" w:cs="Arial"/>
          <w:bCs/>
        </w:rPr>
        <w:t>M</w:t>
      </w:r>
      <w:r w:rsidR="0010704E">
        <w:rPr>
          <w:rFonts w:ascii="Bookman Old Style" w:hAnsi="Bookman Old Style" w:cs="Arial"/>
          <w:bCs/>
        </w:rPr>
        <w:t xml:space="preserve">inas y </w:t>
      </w:r>
      <w:r w:rsidRPr="00C17425">
        <w:rPr>
          <w:rFonts w:ascii="Bookman Old Style" w:hAnsi="Bookman Old Style" w:cs="Arial"/>
          <w:bCs/>
        </w:rPr>
        <w:t>E</w:t>
      </w:r>
      <w:r w:rsidR="0010704E">
        <w:rPr>
          <w:rFonts w:ascii="Bookman Old Style" w:hAnsi="Bookman Old Style" w:cs="Arial"/>
          <w:bCs/>
        </w:rPr>
        <w:t>nergía</w:t>
      </w:r>
      <w:r w:rsidRPr="00C17425">
        <w:rPr>
          <w:rFonts w:ascii="Bookman Old Style" w:hAnsi="Bookman Old Style" w:cs="Arial"/>
          <w:bCs/>
        </w:rPr>
        <w:t>, la U</w:t>
      </w:r>
      <w:r w:rsidR="004123E9">
        <w:rPr>
          <w:rFonts w:ascii="Bookman Old Style" w:hAnsi="Bookman Old Style" w:cs="Arial"/>
          <w:bCs/>
        </w:rPr>
        <w:t xml:space="preserve">nidad de </w:t>
      </w:r>
      <w:r w:rsidRPr="00C17425">
        <w:rPr>
          <w:rFonts w:ascii="Bookman Old Style" w:hAnsi="Bookman Old Style" w:cs="Arial"/>
          <w:bCs/>
        </w:rPr>
        <w:t>P</w:t>
      </w:r>
      <w:r w:rsidR="004123E9">
        <w:rPr>
          <w:rFonts w:ascii="Bookman Old Style" w:hAnsi="Bookman Old Style" w:cs="Arial"/>
          <w:bCs/>
        </w:rPr>
        <w:t xml:space="preserve">laneación </w:t>
      </w:r>
      <w:r w:rsidRPr="00C17425">
        <w:rPr>
          <w:rFonts w:ascii="Bookman Old Style" w:hAnsi="Bookman Old Style" w:cs="Arial"/>
          <w:bCs/>
        </w:rPr>
        <w:t>M</w:t>
      </w:r>
      <w:r w:rsidR="004123E9">
        <w:rPr>
          <w:rFonts w:ascii="Bookman Old Style" w:hAnsi="Bookman Old Style" w:cs="Arial"/>
          <w:bCs/>
        </w:rPr>
        <w:t xml:space="preserve">inero </w:t>
      </w:r>
      <w:r w:rsidRPr="00C17425">
        <w:rPr>
          <w:rFonts w:ascii="Bookman Old Style" w:hAnsi="Bookman Old Style" w:cs="Arial"/>
          <w:bCs/>
        </w:rPr>
        <w:t>E</w:t>
      </w:r>
      <w:r w:rsidR="004123E9">
        <w:rPr>
          <w:rFonts w:ascii="Bookman Old Style" w:hAnsi="Bookman Old Style" w:cs="Arial"/>
          <w:bCs/>
        </w:rPr>
        <w:t>nergética</w:t>
      </w:r>
      <w:r w:rsidRPr="00C17425">
        <w:rPr>
          <w:rFonts w:ascii="Bookman Old Style" w:hAnsi="Bookman Old Style" w:cs="Arial"/>
          <w:bCs/>
        </w:rPr>
        <w:t xml:space="preserve"> y la C</w:t>
      </w:r>
      <w:r w:rsidR="004123E9">
        <w:rPr>
          <w:rFonts w:ascii="Bookman Old Style" w:hAnsi="Bookman Old Style" w:cs="Arial"/>
          <w:bCs/>
        </w:rPr>
        <w:t xml:space="preserve">omisión de Regulación de Energía y Gas, </w:t>
      </w:r>
      <w:r w:rsidRPr="00C17425">
        <w:rPr>
          <w:rFonts w:ascii="Bookman Old Style" w:hAnsi="Bookman Old Style" w:cs="Arial"/>
          <w:bCs/>
        </w:rPr>
        <w:t>en la que se solicitó a la Comisión revisar la posibilidad de ajuste de</w:t>
      </w:r>
      <w:r w:rsidR="004123E9">
        <w:rPr>
          <w:rFonts w:ascii="Bookman Old Style" w:hAnsi="Bookman Old Style" w:cs="Arial"/>
          <w:bCs/>
        </w:rPr>
        <w:t>l</w:t>
      </w:r>
      <w:r w:rsidRPr="00C17425">
        <w:rPr>
          <w:rFonts w:ascii="Bookman Old Style" w:hAnsi="Bookman Old Style" w:cs="Arial"/>
          <w:bCs/>
        </w:rPr>
        <w:t xml:space="preserve"> calendario 2023, con base en la solicitud de S</w:t>
      </w:r>
      <w:r>
        <w:rPr>
          <w:rFonts w:ascii="Bookman Old Style" w:hAnsi="Bookman Old Style" w:cs="Arial"/>
          <w:bCs/>
        </w:rPr>
        <w:t>ER</w:t>
      </w:r>
      <w:r w:rsidRPr="00C17425">
        <w:rPr>
          <w:rFonts w:ascii="Bookman Old Style" w:hAnsi="Bookman Old Style" w:cs="Arial"/>
          <w:bCs/>
        </w:rPr>
        <w:t xml:space="preserve"> Colombia.</w:t>
      </w:r>
    </w:p>
    <w:p w14:paraId="15052CA4" w14:textId="77777777" w:rsidR="005D715E" w:rsidRDefault="005D715E" w:rsidP="005D715E">
      <w:pPr>
        <w:spacing w:before="120" w:after="120"/>
        <w:ind w:left="142"/>
        <w:jc w:val="both"/>
        <w:rPr>
          <w:rFonts w:ascii="Bookman Old Style" w:hAnsi="Bookman Old Style" w:cs="Arial"/>
          <w:bCs/>
        </w:rPr>
      </w:pPr>
      <w:r w:rsidRPr="00C17425">
        <w:rPr>
          <w:rFonts w:ascii="Bookman Old Style" w:hAnsi="Bookman Old Style" w:cs="Arial"/>
          <w:bCs/>
        </w:rPr>
        <w:t xml:space="preserve">Mediante comunicación </w:t>
      </w:r>
      <w:r>
        <w:rPr>
          <w:rFonts w:ascii="Bookman Old Style" w:hAnsi="Bookman Old Style" w:cs="Arial"/>
          <w:bCs/>
        </w:rPr>
        <w:t xml:space="preserve">E2023008483 </w:t>
      </w:r>
      <w:r w:rsidRPr="00C17425">
        <w:rPr>
          <w:rFonts w:ascii="Bookman Old Style" w:hAnsi="Bookman Old Style" w:cs="Arial"/>
          <w:bCs/>
        </w:rPr>
        <w:t>del 18 de mayo de 2023</w:t>
      </w:r>
      <w:r>
        <w:rPr>
          <w:rFonts w:ascii="Bookman Old Style" w:hAnsi="Bookman Old Style" w:cs="Arial"/>
          <w:bCs/>
        </w:rPr>
        <w:t>,</w:t>
      </w:r>
      <w:r w:rsidRPr="00C17425">
        <w:rPr>
          <w:rFonts w:ascii="Bookman Old Style" w:hAnsi="Bookman Old Style" w:cs="Arial"/>
          <w:bCs/>
        </w:rPr>
        <w:t xml:space="preserve"> la UPME solicitó modificar el calendario </w:t>
      </w:r>
      <w:r>
        <w:rPr>
          <w:rFonts w:ascii="Bookman Old Style" w:hAnsi="Bookman Old Style" w:cs="Arial"/>
          <w:bCs/>
        </w:rPr>
        <w:t xml:space="preserve">de asignaciones de capacidad del año </w:t>
      </w:r>
      <w:r w:rsidRPr="00C17425">
        <w:rPr>
          <w:rFonts w:ascii="Bookman Old Style" w:hAnsi="Bookman Old Style" w:cs="Arial"/>
          <w:bCs/>
        </w:rPr>
        <w:t>2023, aplazando tanto la fecha de radicación de solicitudes como los plazos de emisión de conceptos de conexión.</w:t>
      </w:r>
    </w:p>
    <w:p w14:paraId="028E399E" w14:textId="77777777" w:rsidR="005D715E" w:rsidRDefault="005D715E" w:rsidP="00AA264D">
      <w:pPr>
        <w:spacing w:before="120"/>
        <w:ind w:left="142"/>
        <w:jc w:val="both"/>
        <w:rPr>
          <w:rFonts w:ascii="Bookman Old Style" w:hAnsi="Bookman Old Style" w:cs="Arial"/>
          <w:bCs/>
        </w:rPr>
      </w:pPr>
      <w:r>
        <w:rPr>
          <w:rFonts w:ascii="Bookman Old Style" w:hAnsi="Bookman Old Style" w:cs="Arial"/>
          <w:bCs/>
        </w:rPr>
        <w:t xml:space="preserve">Con base en el análisis hecho por la Comisión con respecto a las comunicaciones y solicitudes recibidas, se considera conveniente modificar </w:t>
      </w:r>
      <w:r w:rsidRPr="003F4EFB">
        <w:rPr>
          <w:rFonts w:ascii="Bookman Old Style" w:hAnsi="Bookman Old Style" w:cs="Arial"/>
          <w:bCs/>
        </w:rPr>
        <w:t>el cronograma de asignación de capacidad de transporte del año 2023 para los proyectos clase 1 de conexión de generación y de cogeneración al SIN y establecer reglas acerca del siguiente ciclo de asignaciones.</w:t>
      </w:r>
    </w:p>
    <w:p w14:paraId="2545120E" w14:textId="77777777" w:rsidR="005D715E" w:rsidRDefault="005D715E" w:rsidP="0061484C">
      <w:pPr>
        <w:ind w:left="0" w:right="-142"/>
        <w:jc w:val="center"/>
        <w:rPr>
          <w:rFonts w:ascii="Bookman Old Style" w:hAnsi="Bookman Old Style" w:cs="Arial"/>
          <w:color w:val="000000"/>
        </w:rPr>
      </w:pPr>
    </w:p>
    <w:p w14:paraId="3EEC3434" w14:textId="77777777" w:rsidR="0061484C" w:rsidRPr="00964A38" w:rsidRDefault="0061484C" w:rsidP="0061484C">
      <w:pPr>
        <w:ind w:left="0" w:right="-142"/>
        <w:jc w:val="center"/>
        <w:rPr>
          <w:rFonts w:ascii="Bookman Old Style" w:hAnsi="Bookman Old Style" w:cs="Arial"/>
          <w:color w:val="000000"/>
        </w:rPr>
      </w:pPr>
    </w:p>
    <w:p w14:paraId="65D26AA5" w14:textId="77777777" w:rsidR="005D715E" w:rsidRDefault="005D715E" w:rsidP="0061484C">
      <w:pPr>
        <w:keepNext/>
        <w:tabs>
          <w:tab w:val="center" w:pos="4678"/>
        </w:tabs>
        <w:ind w:left="0"/>
        <w:jc w:val="both"/>
        <w:rPr>
          <w:rFonts w:ascii="Bookman Old Style" w:hAnsi="Bookman Old Style"/>
          <w:b/>
        </w:rPr>
      </w:pPr>
      <w:r w:rsidRPr="00E30F97">
        <w:rPr>
          <w:rFonts w:ascii="Bookman Old Style" w:hAnsi="Bookman Old Style"/>
          <w:spacing w:val="-3"/>
        </w:rPr>
        <w:tab/>
      </w:r>
      <w:r w:rsidRPr="00E30F97">
        <w:rPr>
          <w:rFonts w:ascii="Bookman Old Style" w:hAnsi="Bookman Old Style"/>
          <w:b/>
        </w:rPr>
        <w:t>RESUELVE:</w:t>
      </w:r>
    </w:p>
    <w:p w14:paraId="18D3545B" w14:textId="4893C519" w:rsidR="0061484C" w:rsidRDefault="0061484C" w:rsidP="0061484C">
      <w:pPr>
        <w:keepNext/>
        <w:tabs>
          <w:tab w:val="center" w:pos="4678"/>
        </w:tabs>
        <w:ind w:left="0"/>
        <w:jc w:val="both"/>
        <w:rPr>
          <w:rFonts w:ascii="Bookman Old Style" w:hAnsi="Bookman Old Style"/>
          <w:b/>
        </w:rPr>
      </w:pPr>
    </w:p>
    <w:p w14:paraId="6C7C26EE" w14:textId="77777777" w:rsidR="005D715E" w:rsidRDefault="005D715E" w:rsidP="0061484C">
      <w:pPr>
        <w:numPr>
          <w:ilvl w:val="0"/>
          <w:numId w:val="7"/>
        </w:numPr>
        <w:tabs>
          <w:tab w:val="left" w:pos="1701"/>
          <w:tab w:val="num" w:pos="2150"/>
        </w:tabs>
        <w:spacing w:before="120" w:after="240"/>
        <w:ind w:left="142"/>
        <w:jc w:val="both"/>
        <w:rPr>
          <w:rFonts w:ascii="Bookman Old Style" w:hAnsi="Bookman Old Style" w:cs="Arial"/>
        </w:rPr>
      </w:pPr>
      <w:bookmarkStart w:id="2" w:name="_Ref98939091"/>
      <w:r>
        <w:rPr>
          <w:rFonts w:ascii="Bookman Old Style" w:hAnsi="Bookman Old Style" w:cs="Arial"/>
        </w:rPr>
        <w:t>Los plazos del calendario de asignaciones de capacidad de transporte para el año 2023, para los proyectos clase 1 de</w:t>
      </w:r>
      <w:r w:rsidRPr="00F52AF5">
        <w:rPr>
          <w:rFonts w:ascii="Bookman Old Style" w:hAnsi="Bookman Old Style" w:cs="Arial"/>
        </w:rPr>
        <w:t xml:space="preserve"> conexión</w:t>
      </w:r>
      <w:r>
        <w:rPr>
          <w:rFonts w:ascii="Bookman Old Style" w:hAnsi="Bookman Old Style" w:cs="Arial"/>
        </w:rPr>
        <w:t xml:space="preserve"> </w:t>
      </w:r>
      <w:r w:rsidRPr="00F52AF5">
        <w:rPr>
          <w:rFonts w:ascii="Bookman Old Style" w:hAnsi="Bookman Old Style" w:cs="Arial"/>
        </w:rPr>
        <w:t>de generación</w:t>
      </w:r>
      <w:r>
        <w:rPr>
          <w:rFonts w:ascii="Bookman Old Style" w:hAnsi="Bookman Old Style" w:cs="Arial"/>
        </w:rPr>
        <w:t xml:space="preserve"> y de</w:t>
      </w:r>
      <w:r w:rsidRPr="00F52AF5">
        <w:rPr>
          <w:rFonts w:ascii="Bookman Old Style" w:hAnsi="Bookman Old Style" w:cs="Arial"/>
        </w:rPr>
        <w:t xml:space="preserve"> cogeneración al SIN</w:t>
      </w:r>
      <w:r>
        <w:rPr>
          <w:rFonts w:ascii="Bookman Old Style" w:hAnsi="Bookman Old Style" w:cs="Arial"/>
        </w:rPr>
        <w:t>, serán los siguientes:</w:t>
      </w:r>
    </w:p>
    <w:p w14:paraId="71EE5F2F" w14:textId="77777777" w:rsidR="005D715E" w:rsidRPr="00E97E26" w:rsidRDefault="005D715E" w:rsidP="0061484C">
      <w:pPr>
        <w:pStyle w:val="Prrafodelista"/>
        <w:numPr>
          <w:ilvl w:val="0"/>
          <w:numId w:val="25"/>
        </w:numPr>
        <w:tabs>
          <w:tab w:val="left" w:pos="1701"/>
          <w:tab w:val="num" w:pos="2150"/>
        </w:tabs>
        <w:spacing w:before="120" w:after="24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lastRenderedPageBreak/>
        <w:t>Radicación de las solicitudes de asignación de capacidad de transporte, hasta el 6 de octubre de 2023.</w:t>
      </w:r>
    </w:p>
    <w:p w14:paraId="60C68F79" w14:textId="77777777" w:rsidR="005D715E" w:rsidRPr="00E97E26" w:rsidRDefault="005D715E" w:rsidP="0061484C">
      <w:pPr>
        <w:pStyle w:val="Prrafodelista"/>
        <w:numPr>
          <w:ilvl w:val="0"/>
          <w:numId w:val="25"/>
        </w:numPr>
        <w:tabs>
          <w:tab w:val="left" w:pos="1701"/>
          <w:tab w:val="num" w:pos="2150"/>
        </w:tabs>
        <w:spacing w:before="120" w:after="24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t>Publicación de posición asignada a cada proyecto en las filas 1 y 2, hasta el 5 de abril de 2024.</w:t>
      </w:r>
    </w:p>
    <w:p w14:paraId="3C7B0979" w14:textId="77777777" w:rsidR="005D715E" w:rsidRPr="00E97E26" w:rsidRDefault="005D715E" w:rsidP="0061484C">
      <w:pPr>
        <w:pStyle w:val="Prrafodelista"/>
        <w:numPr>
          <w:ilvl w:val="0"/>
          <w:numId w:val="25"/>
        </w:numPr>
        <w:tabs>
          <w:tab w:val="left" w:pos="1701"/>
          <w:tab w:val="num" w:pos="2150"/>
        </w:tabs>
        <w:spacing w:before="120" w:after="24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t>Emisión de conceptos para proyectos asignados a la fila 2, hasta el 6 de mayo de 2024.</w:t>
      </w:r>
    </w:p>
    <w:p w14:paraId="57272BBD" w14:textId="77777777" w:rsidR="005D715E" w:rsidRPr="00E97E26" w:rsidRDefault="005D715E" w:rsidP="0061484C">
      <w:pPr>
        <w:pStyle w:val="Prrafodelista"/>
        <w:numPr>
          <w:ilvl w:val="0"/>
          <w:numId w:val="25"/>
        </w:numPr>
        <w:tabs>
          <w:tab w:val="left" w:pos="1701"/>
          <w:tab w:val="num" w:pos="2150"/>
        </w:tabs>
        <w:spacing w:before="120" w:after="24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t>Emisión de conceptos para proyectos asignados a la fila 1, hasta el 5 de julio de 2024.</w:t>
      </w:r>
    </w:p>
    <w:bookmarkEnd w:id="2"/>
    <w:p w14:paraId="14C5E820" w14:textId="77777777" w:rsidR="005D715E" w:rsidRPr="008C0718" w:rsidRDefault="005D715E" w:rsidP="0061484C">
      <w:pPr>
        <w:numPr>
          <w:ilvl w:val="0"/>
          <w:numId w:val="7"/>
        </w:numPr>
        <w:tabs>
          <w:tab w:val="left" w:pos="1701"/>
          <w:tab w:val="num" w:pos="2150"/>
        </w:tabs>
        <w:spacing w:before="120" w:after="240"/>
        <w:ind w:left="142"/>
        <w:jc w:val="both"/>
        <w:rPr>
          <w:rFonts w:ascii="Bookman Old Style" w:hAnsi="Bookman Old Style" w:cs="Arial"/>
        </w:rPr>
      </w:pPr>
      <w:r w:rsidRPr="008C0718">
        <w:rPr>
          <w:rFonts w:ascii="Bookman Old Style" w:hAnsi="Bookman Old Style" w:cs="Arial"/>
        </w:rPr>
        <w:t>Las solicitudes de asignación</w:t>
      </w:r>
      <w:r>
        <w:rPr>
          <w:rFonts w:ascii="Bookman Old Style" w:hAnsi="Bookman Old Style" w:cs="Arial"/>
        </w:rPr>
        <w:t xml:space="preserve"> de capacidad de transporte</w:t>
      </w:r>
      <w:r w:rsidRPr="008C0718">
        <w:rPr>
          <w:rFonts w:ascii="Bookman Old Style" w:hAnsi="Bookman Old Style" w:cs="Arial"/>
        </w:rPr>
        <w:t xml:space="preserve"> radicadas a partir del </w:t>
      </w:r>
      <w:r>
        <w:rPr>
          <w:rFonts w:ascii="Bookman Old Style" w:hAnsi="Bookman Old Style" w:cs="Arial"/>
        </w:rPr>
        <w:t>7</w:t>
      </w:r>
      <w:r w:rsidRPr="008C0718">
        <w:rPr>
          <w:rFonts w:ascii="Bookman Old Style" w:hAnsi="Bookman Old Style" w:cs="Arial"/>
        </w:rPr>
        <w:t xml:space="preserve"> de octubre de 2023 y hasta el 31 de marzo de 2025 se tramitarán a partir de esta última fecha y con base en l</w:t>
      </w:r>
      <w:r>
        <w:rPr>
          <w:rFonts w:ascii="Bookman Old Style" w:hAnsi="Bookman Old Style" w:cs="Arial"/>
        </w:rPr>
        <w:t>o</w:t>
      </w:r>
      <w:r w:rsidRPr="008C0718">
        <w:rPr>
          <w:rFonts w:ascii="Bookman Old Style" w:hAnsi="Bookman Old Style" w:cs="Arial"/>
        </w:rPr>
        <w:t xml:space="preserve">s </w:t>
      </w:r>
      <w:r>
        <w:rPr>
          <w:rFonts w:ascii="Bookman Old Style" w:hAnsi="Bookman Old Style" w:cs="Arial"/>
        </w:rPr>
        <w:t xml:space="preserve">plazos </w:t>
      </w:r>
      <w:r w:rsidRPr="008C0718">
        <w:rPr>
          <w:rFonts w:ascii="Bookman Old Style" w:hAnsi="Bookman Old Style" w:cs="Arial"/>
        </w:rPr>
        <w:t xml:space="preserve">de la Resolución CREG 075 de 2021. Por tanto, </w:t>
      </w:r>
      <w:r>
        <w:rPr>
          <w:rFonts w:ascii="Bookman Old Style" w:hAnsi="Bookman Old Style" w:cs="Arial"/>
        </w:rPr>
        <w:t>e</w:t>
      </w:r>
      <w:r w:rsidRPr="008C0718">
        <w:rPr>
          <w:rFonts w:ascii="Bookman Old Style" w:hAnsi="Bookman Old Style" w:cs="Arial"/>
        </w:rPr>
        <w:t>n el año calendario 2024 no se realizará proceso de asignación de capacidad de transporte de proyectos clase 1 de conexión de generación y de cogeneración al SIN.</w:t>
      </w:r>
    </w:p>
    <w:p w14:paraId="0766CDC6" w14:textId="77777777" w:rsidR="005D715E" w:rsidRDefault="005D715E" w:rsidP="001E2992">
      <w:pPr>
        <w:numPr>
          <w:ilvl w:val="0"/>
          <w:numId w:val="7"/>
        </w:numPr>
        <w:tabs>
          <w:tab w:val="left" w:pos="1701"/>
          <w:tab w:val="num" w:pos="2150"/>
        </w:tabs>
        <w:spacing w:before="120" w:after="120"/>
        <w:ind w:left="142"/>
        <w:jc w:val="both"/>
        <w:rPr>
          <w:rFonts w:ascii="Bookman Old Style" w:hAnsi="Bookman Old Style" w:cs="Arial"/>
        </w:rPr>
      </w:pPr>
      <w:r w:rsidRPr="00E30F97">
        <w:rPr>
          <w:rFonts w:ascii="Bookman Old Style" w:hAnsi="Bookman Old Style" w:cs="Arial"/>
          <w:b/>
          <w:bCs/>
        </w:rPr>
        <w:t>Vigencia y derogatorias.</w:t>
      </w:r>
      <w:r w:rsidRPr="00E30F97">
        <w:rPr>
          <w:rFonts w:ascii="Bookman Old Style" w:hAnsi="Bookman Old Style" w:cs="Arial"/>
        </w:rPr>
        <w:t xml:space="preserve"> La presente resolución rige a partir de su publicación en el </w:t>
      </w:r>
      <w:r w:rsidRPr="003F0F63">
        <w:rPr>
          <w:rFonts w:ascii="Bookman Old Style" w:hAnsi="Bookman Old Style" w:cs="Arial"/>
          <w:i/>
          <w:iCs/>
        </w:rPr>
        <w:t>Diario Oficial</w:t>
      </w:r>
      <w:r>
        <w:rPr>
          <w:rFonts w:ascii="Bookman Old Style" w:hAnsi="Bookman Old Style" w:cs="Arial"/>
          <w:i/>
          <w:iCs/>
        </w:rPr>
        <w:t xml:space="preserve"> </w:t>
      </w:r>
      <w:r w:rsidRPr="000F04CD">
        <w:rPr>
          <w:rFonts w:ascii="Bookman Old Style" w:hAnsi="Bookman Old Style" w:cs="Arial"/>
        </w:rPr>
        <w:t>y deroga la Resolución 101 011 de 2023</w:t>
      </w:r>
      <w:r w:rsidRPr="00E30F97">
        <w:rPr>
          <w:rFonts w:ascii="Bookman Old Style" w:hAnsi="Bookman Old Style" w:cs="Arial"/>
        </w:rPr>
        <w:t>.</w:t>
      </w:r>
      <w:r>
        <w:rPr>
          <w:rFonts w:ascii="Bookman Old Style" w:hAnsi="Bookman Old Style" w:cs="Arial"/>
        </w:rPr>
        <w:t xml:space="preserve"> </w:t>
      </w:r>
    </w:p>
    <w:p w14:paraId="0DF0D69C" w14:textId="77777777" w:rsidR="005D715E" w:rsidRDefault="005D715E" w:rsidP="005D715E">
      <w:pPr>
        <w:ind w:right="-142"/>
        <w:jc w:val="center"/>
        <w:rPr>
          <w:rFonts w:ascii="Bookman Old Style" w:hAnsi="Bookman Old Style" w:cs="Arial"/>
          <w:color w:val="000000"/>
        </w:rPr>
      </w:pPr>
    </w:p>
    <w:p w14:paraId="1AD11B26" w14:textId="77777777" w:rsidR="001E2992" w:rsidRPr="00075394" w:rsidRDefault="001E2992" w:rsidP="005D715E">
      <w:pPr>
        <w:ind w:right="-142"/>
        <w:jc w:val="center"/>
        <w:rPr>
          <w:rFonts w:ascii="Bookman Old Style" w:hAnsi="Bookman Old Style" w:cs="Arial"/>
          <w:color w:val="000000"/>
        </w:rPr>
      </w:pPr>
    </w:p>
    <w:p w14:paraId="6B65E28E" w14:textId="77777777" w:rsidR="005D715E" w:rsidRDefault="005D715E" w:rsidP="005D715E">
      <w:pPr>
        <w:pStyle w:val="Estilo5"/>
        <w:keepNext w:val="0"/>
        <w:widowControl w:val="0"/>
        <w:numPr>
          <w:ilvl w:val="0"/>
          <w:numId w:val="0"/>
        </w:numPr>
        <w:tabs>
          <w:tab w:val="left" w:pos="1560"/>
        </w:tabs>
        <w:spacing w:before="0" w:after="0"/>
        <w:ind w:left="142"/>
        <w:jc w:val="center"/>
        <w:rPr>
          <w:rFonts w:ascii="Bookman Old Style" w:hAnsi="Bookman Old Style" w:cs="Arial"/>
          <w:color w:val="000000"/>
          <w:spacing w:val="-4"/>
          <w:sz w:val="24"/>
          <w:szCs w:val="24"/>
        </w:rPr>
      </w:pPr>
      <w:r>
        <w:rPr>
          <w:rFonts w:ascii="Bookman Old Style" w:hAnsi="Bookman Old Style" w:cs="Arial"/>
          <w:color w:val="000000"/>
          <w:spacing w:val="-4"/>
          <w:sz w:val="24"/>
          <w:szCs w:val="24"/>
        </w:rPr>
        <w:t>PUBLÍQUESE Y CÚMPLASE</w:t>
      </w:r>
    </w:p>
    <w:p w14:paraId="185A0E4A" w14:textId="73F47C2B" w:rsidR="00E060BE" w:rsidRPr="00E060BE" w:rsidRDefault="00E060BE" w:rsidP="005D715E">
      <w:pPr>
        <w:ind w:left="0"/>
        <w:jc w:val="center"/>
        <w:rPr>
          <w:rFonts w:ascii="Bookman Old Style" w:hAnsi="Bookman Old Style" w:cs="Arial"/>
        </w:rPr>
      </w:pPr>
    </w:p>
    <w:sectPr w:rsidR="00E060BE" w:rsidRPr="00E060BE"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4A9D" w14:textId="77777777" w:rsidR="00542071" w:rsidRDefault="00542071">
      <w:r>
        <w:separator/>
      </w:r>
    </w:p>
  </w:endnote>
  <w:endnote w:type="continuationSeparator" w:id="0">
    <w:p w14:paraId="1F540702" w14:textId="77777777" w:rsidR="00542071" w:rsidRDefault="0054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F4EA" w14:textId="77777777" w:rsidR="00542071" w:rsidRDefault="00542071">
      <w:r>
        <w:separator/>
      </w:r>
    </w:p>
  </w:footnote>
  <w:footnote w:type="continuationSeparator" w:id="0">
    <w:p w14:paraId="76CE045A" w14:textId="77777777" w:rsidR="00542071" w:rsidRDefault="0054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3D6810EA" w:rsidR="0087657D" w:rsidRPr="00951F79" w:rsidRDefault="005D715E"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725FA4" w:rsidRPr="00654384">
      <w:rPr>
        <w:rFonts w:ascii="Bookman Old Style" w:hAnsi="Bookman Old Style" w:cs="Arial"/>
        <w:b w:val="0"/>
        <w:sz w:val="22"/>
        <w:szCs w:val="22"/>
      </w:rPr>
      <w:t xml:space="preserve">RESOLUCIÓN </w:t>
    </w:r>
    <w:r w:rsidR="005D56AC" w:rsidRPr="005D56AC">
      <w:rPr>
        <w:rFonts w:ascii="Bookman Old Style" w:hAnsi="Bookman Old Style" w:cs="Arial"/>
        <w:b w:val="0"/>
        <w:sz w:val="22"/>
        <w:szCs w:val="22"/>
      </w:rPr>
      <w:t xml:space="preserve">No. </w:t>
    </w:r>
    <w:r w:rsidR="005D56AC" w:rsidRPr="005D56AC">
      <w:rPr>
        <w:rFonts w:ascii="Bookman Old Style" w:hAnsi="Bookman Old Style" w:cs="Arial"/>
        <w:bCs/>
        <w:sz w:val="22"/>
        <w:szCs w:val="22"/>
        <w:u w:val="single"/>
      </w:rPr>
      <w:t xml:space="preserve">701 </w:t>
    </w:r>
    <w:proofErr w:type="gramStart"/>
    <w:r w:rsidR="005D56AC" w:rsidRPr="005D56AC">
      <w:rPr>
        <w:rFonts w:ascii="Bookman Old Style" w:hAnsi="Bookman Old Style" w:cs="Arial"/>
        <w:bCs/>
        <w:sz w:val="22"/>
        <w:szCs w:val="22"/>
        <w:u w:val="single"/>
      </w:rPr>
      <w:t>013</w:t>
    </w:r>
    <w:r w:rsidR="005D56AC">
      <w:rPr>
        <w:rFonts w:ascii="Bookman Old Style" w:hAnsi="Bookman Old Style" w:cs="Arial"/>
        <w:bCs/>
        <w:sz w:val="22"/>
        <w:szCs w:val="22"/>
        <w:u w:val="single"/>
      </w:rPr>
      <w:t xml:space="preserve"> </w:t>
    </w:r>
    <w:r w:rsidR="005D56AC">
      <w:rPr>
        <w:rFonts w:ascii="Bookman Old Style" w:hAnsi="Bookman Old Style" w:cs="Arial"/>
        <w:b w:val="0"/>
        <w:sz w:val="22"/>
        <w:szCs w:val="22"/>
      </w:rPr>
      <w:t xml:space="preserve"> </w:t>
    </w:r>
    <w:r w:rsidR="00886EE1" w:rsidRPr="005D56AC">
      <w:rPr>
        <w:rFonts w:ascii="Bookman Old Style" w:hAnsi="Bookman Old Style" w:cs="Arial"/>
        <w:b w:val="0"/>
        <w:sz w:val="22"/>
        <w:szCs w:val="22"/>
      </w:rPr>
      <w:t>DE</w:t>
    </w:r>
    <w:proofErr w:type="gramEnd"/>
    <w:r w:rsidR="000D26F8" w:rsidRPr="005D56AC">
      <w:rPr>
        <w:rFonts w:ascii="Bookman Old Style" w:hAnsi="Bookman Old Style" w:cs="Arial"/>
        <w:b w:val="0"/>
        <w:sz w:val="22"/>
        <w:szCs w:val="22"/>
      </w:rPr>
      <w:t xml:space="preserve"> </w:t>
    </w:r>
    <w:r w:rsidR="005D56AC">
      <w:rPr>
        <w:rFonts w:ascii="Bookman Old Style" w:hAnsi="Bookman Old Style" w:cs="Arial"/>
        <w:b w:val="0"/>
        <w:sz w:val="22"/>
        <w:szCs w:val="22"/>
      </w:rPr>
      <w:t xml:space="preserve">  </w:t>
    </w:r>
    <w:r w:rsidR="005D56AC" w:rsidRPr="005D56AC">
      <w:rPr>
        <w:rFonts w:ascii="Bookman Old Style" w:hAnsi="Bookman Old Style" w:cs="Arial"/>
        <w:bCs/>
        <w:sz w:val="22"/>
        <w:szCs w:val="22"/>
        <w:u w:val="single"/>
      </w:rPr>
      <w:t>26 MAY. 2023</w:t>
    </w:r>
    <w:r w:rsidR="005D56AC">
      <w:rPr>
        <w:rFonts w:ascii="Bookman Old Style" w:hAnsi="Bookman Old Style" w:cs="Arial"/>
        <w:b w:val="0"/>
        <w:sz w:val="22"/>
        <w:szCs w:val="22"/>
      </w:rPr>
      <w:tab/>
    </w:r>
    <w:r w:rsidR="003D076C">
      <w:rPr>
        <w:rFonts w:ascii="Bookman Old Style" w:hAnsi="Bookman Old Style" w:cs="Arial"/>
        <w:b w:val="0"/>
        <w:sz w:val="22"/>
        <w:szCs w:val="22"/>
      </w:rPr>
      <w:tab/>
    </w:r>
    <w:r w:rsidR="00725FA4"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00725FA4"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0B7CB8B" w14:textId="40415E6E" w:rsidR="00045D3D" w:rsidRDefault="00045D3D" w:rsidP="00045D3D">
    <w:pPr>
      <w:ind w:left="0"/>
      <w:jc w:val="both"/>
      <w:rPr>
        <w:rFonts w:ascii="Bookman Old Style" w:hAnsi="Bookman Old Style"/>
        <w:sz w:val="22"/>
        <w:szCs w:val="22"/>
      </w:rPr>
    </w:pPr>
  </w:p>
  <w:p w14:paraId="2815CDFA" w14:textId="77777777" w:rsidR="0061484C" w:rsidRPr="00045D3D" w:rsidRDefault="0061484C" w:rsidP="0061484C">
    <w:pPr>
      <w:pBdr>
        <w:bottom w:val="single" w:sz="4" w:space="2" w:color="auto"/>
      </w:pBdr>
      <w:ind w:left="0"/>
      <w:jc w:val="both"/>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F4B5C3A" w:rsidR="00725FA4" w:rsidRDefault="00725FA4" w:rsidP="0061484C">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61484C">
    <w:pPr>
      <w:pStyle w:val="Encabezado"/>
      <w:ind w:left="0"/>
      <w:jc w:val="center"/>
      <w:rPr>
        <w:rFonts w:ascii="Arial" w:hAnsi="Arial" w:cs="Arial"/>
        <w:spacing w:val="20"/>
        <w:sz w:val="20"/>
      </w:rPr>
    </w:pPr>
  </w:p>
  <w:p w14:paraId="367D4456" w14:textId="76DA3229" w:rsidR="00725FA4" w:rsidRDefault="00DF16F5" w:rsidP="0061484C">
    <w:pPr>
      <w:pStyle w:val="Encabezado"/>
      <w:ind w:left="0"/>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7FD1BF8"/>
    <w:multiLevelType w:val="hybridMultilevel"/>
    <w:tmpl w:val="3A461224"/>
    <w:lvl w:ilvl="0" w:tplc="240A0017">
      <w:start w:val="1"/>
      <w:numFmt w:val="lowerLetter"/>
      <w:lvlText w:val="%1)"/>
      <w:lvlJc w:val="left"/>
      <w:pPr>
        <w:ind w:left="802" w:hanging="360"/>
      </w:pPr>
    </w:lvl>
    <w:lvl w:ilvl="1" w:tplc="240A0019" w:tentative="1">
      <w:start w:val="1"/>
      <w:numFmt w:val="lowerLetter"/>
      <w:lvlText w:val="%2."/>
      <w:lvlJc w:val="left"/>
      <w:pPr>
        <w:ind w:left="1522" w:hanging="360"/>
      </w:pPr>
    </w:lvl>
    <w:lvl w:ilvl="2" w:tplc="240A001B" w:tentative="1">
      <w:start w:val="1"/>
      <w:numFmt w:val="lowerRoman"/>
      <w:lvlText w:val="%3."/>
      <w:lvlJc w:val="right"/>
      <w:pPr>
        <w:ind w:left="2242" w:hanging="180"/>
      </w:pPr>
    </w:lvl>
    <w:lvl w:ilvl="3" w:tplc="240A000F" w:tentative="1">
      <w:start w:val="1"/>
      <w:numFmt w:val="decimal"/>
      <w:lvlText w:val="%4."/>
      <w:lvlJc w:val="left"/>
      <w:pPr>
        <w:ind w:left="2962" w:hanging="360"/>
      </w:pPr>
    </w:lvl>
    <w:lvl w:ilvl="4" w:tplc="240A0019" w:tentative="1">
      <w:start w:val="1"/>
      <w:numFmt w:val="lowerLetter"/>
      <w:lvlText w:val="%5."/>
      <w:lvlJc w:val="left"/>
      <w:pPr>
        <w:ind w:left="3682" w:hanging="360"/>
      </w:pPr>
    </w:lvl>
    <w:lvl w:ilvl="5" w:tplc="240A001B" w:tentative="1">
      <w:start w:val="1"/>
      <w:numFmt w:val="lowerRoman"/>
      <w:lvlText w:val="%6."/>
      <w:lvlJc w:val="right"/>
      <w:pPr>
        <w:ind w:left="4402" w:hanging="180"/>
      </w:pPr>
    </w:lvl>
    <w:lvl w:ilvl="6" w:tplc="240A000F" w:tentative="1">
      <w:start w:val="1"/>
      <w:numFmt w:val="decimal"/>
      <w:lvlText w:val="%7."/>
      <w:lvlJc w:val="left"/>
      <w:pPr>
        <w:ind w:left="5122" w:hanging="360"/>
      </w:pPr>
    </w:lvl>
    <w:lvl w:ilvl="7" w:tplc="240A0019" w:tentative="1">
      <w:start w:val="1"/>
      <w:numFmt w:val="lowerLetter"/>
      <w:lvlText w:val="%8."/>
      <w:lvlJc w:val="left"/>
      <w:pPr>
        <w:ind w:left="5842" w:hanging="360"/>
      </w:pPr>
    </w:lvl>
    <w:lvl w:ilvl="8" w:tplc="240A001B" w:tentative="1">
      <w:start w:val="1"/>
      <w:numFmt w:val="lowerRoman"/>
      <w:lvlText w:val="%9."/>
      <w:lvlJc w:val="right"/>
      <w:pPr>
        <w:ind w:left="6562"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C77DE"/>
    <w:multiLevelType w:val="hybridMultilevel"/>
    <w:tmpl w:val="BCAA69EC"/>
    <w:lvl w:ilvl="0" w:tplc="240A0017">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1"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3"/>
  </w:num>
  <w:num w:numId="2" w16cid:durableId="1497382030">
    <w:abstractNumId w:val="6"/>
  </w:num>
  <w:num w:numId="3" w16cid:durableId="1643658739">
    <w:abstractNumId w:val="23"/>
  </w:num>
  <w:num w:numId="4" w16cid:durableId="1416053916">
    <w:abstractNumId w:val="8"/>
  </w:num>
  <w:num w:numId="5" w16cid:durableId="1460681335">
    <w:abstractNumId w:val="17"/>
  </w:num>
  <w:num w:numId="6" w16cid:durableId="432214895">
    <w:abstractNumId w:val="4"/>
  </w:num>
  <w:num w:numId="7" w16cid:durableId="845751384">
    <w:abstractNumId w:val="3"/>
  </w:num>
  <w:num w:numId="8" w16cid:durableId="29301030">
    <w:abstractNumId w:val="19"/>
  </w:num>
  <w:num w:numId="9" w16cid:durableId="2003662021">
    <w:abstractNumId w:val="18"/>
  </w:num>
  <w:num w:numId="10" w16cid:durableId="2014674860">
    <w:abstractNumId w:val="14"/>
  </w:num>
  <w:num w:numId="11" w16cid:durableId="958032325">
    <w:abstractNumId w:val="24"/>
  </w:num>
  <w:num w:numId="12" w16cid:durableId="1838691975">
    <w:abstractNumId w:val="22"/>
  </w:num>
  <w:num w:numId="13" w16cid:durableId="273679532">
    <w:abstractNumId w:val="12"/>
  </w:num>
  <w:num w:numId="14" w16cid:durableId="2070683866">
    <w:abstractNumId w:val="2"/>
  </w:num>
  <w:num w:numId="15" w16cid:durableId="1975476040">
    <w:abstractNumId w:val="15"/>
  </w:num>
  <w:num w:numId="16" w16cid:durableId="83963299">
    <w:abstractNumId w:val="1"/>
  </w:num>
  <w:num w:numId="17" w16cid:durableId="353533871">
    <w:abstractNumId w:val="11"/>
  </w:num>
  <w:num w:numId="18" w16cid:durableId="788664195">
    <w:abstractNumId w:val="0"/>
  </w:num>
  <w:num w:numId="19" w16cid:durableId="1454788596">
    <w:abstractNumId w:val="21"/>
  </w:num>
  <w:num w:numId="20" w16cid:durableId="1999069271">
    <w:abstractNumId w:val="16"/>
  </w:num>
  <w:num w:numId="21" w16cid:durableId="1075667280">
    <w:abstractNumId w:val="9"/>
  </w:num>
  <w:num w:numId="22" w16cid:durableId="40371620">
    <w:abstractNumId w:val="10"/>
  </w:num>
  <w:num w:numId="23" w16cid:durableId="378669939">
    <w:abstractNumId w:val="20"/>
  </w:num>
  <w:num w:numId="24" w16cid:durableId="1527794553">
    <w:abstractNumId w:val="5"/>
  </w:num>
  <w:num w:numId="25" w16cid:durableId="719522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63657"/>
    <w:rsid w:val="00076680"/>
    <w:rsid w:val="00076A1D"/>
    <w:rsid w:val="0008073E"/>
    <w:rsid w:val="00091CDB"/>
    <w:rsid w:val="000A19AC"/>
    <w:rsid w:val="000A1C36"/>
    <w:rsid w:val="000B2EC9"/>
    <w:rsid w:val="000D26F8"/>
    <w:rsid w:val="000F41F4"/>
    <w:rsid w:val="00106654"/>
    <w:rsid w:val="0010704E"/>
    <w:rsid w:val="0013526C"/>
    <w:rsid w:val="001405C6"/>
    <w:rsid w:val="00141013"/>
    <w:rsid w:val="00192CBF"/>
    <w:rsid w:val="00192FF1"/>
    <w:rsid w:val="001A5F1B"/>
    <w:rsid w:val="001B1C22"/>
    <w:rsid w:val="001B34C6"/>
    <w:rsid w:val="001D7832"/>
    <w:rsid w:val="001E2992"/>
    <w:rsid w:val="00210DC1"/>
    <w:rsid w:val="00211D34"/>
    <w:rsid w:val="00214F04"/>
    <w:rsid w:val="002352B9"/>
    <w:rsid w:val="00266CD6"/>
    <w:rsid w:val="002673AC"/>
    <w:rsid w:val="00275DAB"/>
    <w:rsid w:val="002903C0"/>
    <w:rsid w:val="002A782A"/>
    <w:rsid w:val="002B11E2"/>
    <w:rsid w:val="002B24B8"/>
    <w:rsid w:val="002D3AE9"/>
    <w:rsid w:val="002D4510"/>
    <w:rsid w:val="002F0734"/>
    <w:rsid w:val="002F175F"/>
    <w:rsid w:val="002F46E7"/>
    <w:rsid w:val="003101DA"/>
    <w:rsid w:val="003111C3"/>
    <w:rsid w:val="00314757"/>
    <w:rsid w:val="003163BC"/>
    <w:rsid w:val="003211CE"/>
    <w:rsid w:val="0035403A"/>
    <w:rsid w:val="0036394B"/>
    <w:rsid w:val="00366DB6"/>
    <w:rsid w:val="003709B5"/>
    <w:rsid w:val="003759C2"/>
    <w:rsid w:val="00397365"/>
    <w:rsid w:val="003A31F6"/>
    <w:rsid w:val="003C3447"/>
    <w:rsid w:val="003D076C"/>
    <w:rsid w:val="003E78B5"/>
    <w:rsid w:val="003F4EFB"/>
    <w:rsid w:val="004123E9"/>
    <w:rsid w:val="00415BAB"/>
    <w:rsid w:val="00415ED2"/>
    <w:rsid w:val="0042068C"/>
    <w:rsid w:val="0044318E"/>
    <w:rsid w:val="00443B35"/>
    <w:rsid w:val="0045488D"/>
    <w:rsid w:val="0047122B"/>
    <w:rsid w:val="00473B7A"/>
    <w:rsid w:val="00495B5C"/>
    <w:rsid w:val="004960E9"/>
    <w:rsid w:val="004A2E88"/>
    <w:rsid w:val="004A5305"/>
    <w:rsid w:val="004D7634"/>
    <w:rsid w:val="004E611A"/>
    <w:rsid w:val="004F5B4C"/>
    <w:rsid w:val="004F6460"/>
    <w:rsid w:val="0051020D"/>
    <w:rsid w:val="005300D3"/>
    <w:rsid w:val="00542071"/>
    <w:rsid w:val="00542A10"/>
    <w:rsid w:val="00544F82"/>
    <w:rsid w:val="005509D2"/>
    <w:rsid w:val="005753E0"/>
    <w:rsid w:val="00593C4F"/>
    <w:rsid w:val="005946A8"/>
    <w:rsid w:val="005A40B9"/>
    <w:rsid w:val="005A4407"/>
    <w:rsid w:val="005A59EF"/>
    <w:rsid w:val="005B1C7E"/>
    <w:rsid w:val="005C6976"/>
    <w:rsid w:val="005D0726"/>
    <w:rsid w:val="005D56AC"/>
    <w:rsid w:val="005D715E"/>
    <w:rsid w:val="005F6F41"/>
    <w:rsid w:val="0061484C"/>
    <w:rsid w:val="0061513D"/>
    <w:rsid w:val="00625DC6"/>
    <w:rsid w:val="0064391D"/>
    <w:rsid w:val="00651821"/>
    <w:rsid w:val="00654384"/>
    <w:rsid w:val="006675CD"/>
    <w:rsid w:val="00684D9B"/>
    <w:rsid w:val="0068510A"/>
    <w:rsid w:val="00697556"/>
    <w:rsid w:val="006B4647"/>
    <w:rsid w:val="006B4C2B"/>
    <w:rsid w:val="006B6194"/>
    <w:rsid w:val="006B6D47"/>
    <w:rsid w:val="006C5AFE"/>
    <w:rsid w:val="006F2EC8"/>
    <w:rsid w:val="006F6D95"/>
    <w:rsid w:val="00706F13"/>
    <w:rsid w:val="007072E8"/>
    <w:rsid w:val="0071618D"/>
    <w:rsid w:val="00725FA4"/>
    <w:rsid w:val="00740446"/>
    <w:rsid w:val="007438A9"/>
    <w:rsid w:val="0074491E"/>
    <w:rsid w:val="0076247A"/>
    <w:rsid w:val="00775964"/>
    <w:rsid w:val="007765FE"/>
    <w:rsid w:val="00785B09"/>
    <w:rsid w:val="00785F8C"/>
    <w:rsid w:val="00794E2E"/>
    <w:rsid w:val="00795BFB"/>
    <w:rsid w:val="007A6181"/>
    <w:rsid w:val="007B2760"/>
    <w:rsid w:val="007B5A60"/>
    <w:rsid w:val="00806C01"/>
    <w:rsid w:val="008148CC"/>
    <w:rsid w:val="008211A4"/>
    <w:rsid w:val="0084693A"/>
    <w:rsid w:val="00873150"/>
    <w:rsid w:val="0087657D"/>
    <w:rsid w:val="008807D5"/>
    <w:rsid w:val="00880832"/>
    <w:rsid w:val="00886EE1"/>
    <w:rsid w:val="0088727D"/>
    <w:rsid w:val="00897C75"/>
    <w:rsid w:val="008C1130"/>
    <w:rsid w:val="008D18E6"/>
    <w:rsid w:val="008D7A9B"/>
    <w:rsid w:val="008E0060"/>
    <w:rsid w:val="008E7091"/>
    <w:rsid w:val="008E76AC"/>
    <w:rsid w:val="008F21F6"/>
    <w:rsid w:val="00913672"/>
    <w:rsid w:val="00951F79"/>
    <w:rsid w:val="00974AB5"/>
    <w:rsid w:val="0098706D"/>
    <w:rsid w:val="009935FB"/>
    <w:rsid w:val="009F4A54"/>
    <w:rsid w:val="009F4BEC"/>
    <w:rsid w:val="009F5874"/>
    <w:rsid w:val="00A06511"/>
    <w:rsid w:val="00A25FD7"/>
    <w:rsid w:val="00A43AFF"/>
    <w:rsid w:val="00A751EE"/>
    <w:rsid w:val="00A7793A"/>
    <w:rsid w:val="00AA264D"/>
    <w:rsid w:val="00AA4CC7"/>
    <w:rsid w:val="00AA5E8E"/>
    <w:rsid w:val="00AB2BAD"/>
    <w:rsid w:val="00AB6CA7"/>
    <w:rsid w:val="00AD01E4"/>
    <w:rsid w:val="00AD0858"/>
    <w:rsid w:val="00AE02E3"/>
    <w:rsid w:val="00AE7340"/>
    <w:rsid w:val="00AF1BBD"/>
    <w:rsid w:val="00B10207"/>
    <w:rsid w:val="00B141E7"/>
    <w:rsid w:val="00B351B4"/>
    <w:rsid w:val="00B46BCA"/>
    <w:rsid w:val="00B478AA"/>
    <w:rsid w:val="00B87806"/>
    <w:rsid w:val="00B87EC9"/>
    <w:rsid w:val="00BC38FD"/>
    <w:rsid w:val="00C034CB"/>
    <w:rsid w:val="00C051A8"/>
    <w:rsid w:val="00C054BC"/>
    <w:rsid w:val="00C17897"/>
    <w:rsid w:val="00C409D5"/>
    <w:rsid w:val="00C435C3"/>
    <w:rsid w:val="00C44E5F"/>
    <w:rsid w:val="00C51B7C"/>
    <w:rsid w:val="00C6234B"/>
    <w:rsid w:val="00C63EAE"/>
    <w:rsid w:val="00C73260"/>
    <w:rsid w:val="00C7629F"/>
    <w:rsid w:val="00C8661B"/>
    <w:rsid w:val="00CA03C8"/>
    <w:rsid w:val="00CA139A"/>
    <w:rsid w:val="00CA2899"/>
    <w:rsid w:val="00CA3A3D"/>
    <w:rsid w:val="00CA3AA6"/>
    <w:rsid w:val="00CA77FB"/>
    <w:rsid w:val="00CB379B"/>
    <w:rsid w:val="00CB5DD0"/>
    <w:rsid w:val="00CC51D4"/>
    <w:rsid w:val="00CC65DA"/>
    <w:rsid w:val="00CF21B9"/>
    <w:rsid w:val="00CF6BF9"/>
    <w:rsid w:val="00D03800"/>
    <w:rsid w:val="00D065D3"/>
    <w:rsid w:val="00D14C94"/>
    <w:rsid w:val="00D342A6"/>
    <w:rsid w:val="00D45CA6"/>
    <w:rsid w:val="00D464BF"/>
    <w:rsid w:val="00D53E26"/>
    <w:rsid w:val="00D83F43"/>
    <w:rsid w:val="00DB182C"/>
    <w:rsid w:val="00DD4F0E"/>
    <w:rsid w:val="00DF0BF0"/>
    <w:rsid w:val="00DF16F5"/>
    <w:rsid w:val="00DF3CA2"/>
    <w:rsid w:val="00DF753F"/>
    <w:rsid w:val="00E01463"/>
    <w:rsid w:val="00E05E0A"/>
    <w:rsid w:val="00E060BE"/>
    <w:rsid w:val="00E51BCA"/>
    <w:rsid w:val="00E534CF"/>
    <w:rsid w:val="00E63920"/>
    <w:rsid w:val="00E73B1E"/>
    <w:rsid w:val="00E81CB4"/>
    <w:rsid w:val="00E8585B"/>
    <w:rsid w:val="00E87F41"/>
    <w:rsid w:val="00E97E26"/>
    <w:rsid w:val="00EA3F15"/>
    <w:rsid w:val="00EA7847"/>
    <w:rsid w:val="00EB4C2F"/>
    <w:rsid w:val="00ED2336"/>
    <w:rsid w:val="00EE2E6E"/>
    <w:rsid w:val="00F0759E"/>
    <w:rsid w:val="00F16A43"/>
    <w:rsid w:val="00F17CC8"/>
    <w:rsid w:val="00F25EC9"/>
    <w:rsid w:val="00F46780"/>
    <w:rsid w:val="00F55DB1"/>
    <w:rsid w:val="00F77D2D"/>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Estilo5">
    <w:name w:val="Estilo5"/>
    <w:basedOn w:val="Estilo1"/>
    <w:qFormat/>
    <w:rsid w:val="005D715E"/>
    <w:pPr>
      <w:keepNext/>
      <w:numPr>
        <w:numId w:val="23"/>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10704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14</TotalTime>
  <Pages>4</Pages>
  <Words>1399</Words>
  <Characters>7699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Jose Fernando Prada</cp:lastModifiedBy>
  <cp:revision>6</cp:revision>
  <cp:lastPrinted>2011-07-21T13:53:00Z</cp:lastPrinted>
  <dcterms:created xsi:type="dcterms:W3CDTF">2023-05-30T15:52:00Z</dcterms:created>
  <dcterms:modified xsi:type="dcterms:W3CDTF">2023-05-30T23:12:00Z</dcterms:modified>
</cp:coreProperties>
</file>