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Default="00EF3753" w:rsidP="00EF3753">
      <w:pPr>
        <w:pStyle w:val="Textodebloque"/>
        <w:spacing w:after="0"/>
        <w:ind w:right="760"/>
        <w:jc w:val="center"/>
        <w:rPr>
          <w:rFonts w:ascii="Bookman Old Style" w:hAnsi="Bookman Old Style" w:cs="Arial"/>
          <w:b/>
          <w:szCs w:val="24"/>
          <w:u w:val="single"/>
        </w:rPr>
      </w:pPr>
    </w:p>
    <w:p w:rsidR="00EF3753" w:rsidRPr="00EF3753" w:rsidRDefault="00EF3753" w:rsidP="00EF3753">
      <w:pPr>
        <w:pStyle w:val="Textodebloque"/>
        <w:spacing w:after="0"/>
        <w:ind w:right="760"/>
        <w:jc w:val="center"/>
        <w:rPr>
          <w:rFonts w:ascii="Bookman Old Style" w:hAnsi="Bookman Old Style" w:cs="Arial"/>
          <w:b/>
          <w:szCs w:val="24"/>
          <w:u w:val="single"/>
        </w:rPr>
      </w:pPr>
    </w:p>
    <w:p w:rsidR="00EF3753" w:rsidRDefault="00EF3753" w:rsidP="003D5AD0">
      <w:pPr>
        <w:pStyle w:val="Textodebloque"/>
        <w:spacing w:after="0"/>
        <w:ind w:left="0" w:right="51"/>
        <w:jc w:val="center"/>
        <w:rPr>
          <w:rFonts w:ascii="Bookman Old Style" w:hAnsi="Bookman Old Style" w:cs="Arial"/>
          <w:szCs w:val="24"/>
        </w:rPr>
      </w:pPr>
      <w:r w:rsidRPr="00EF3753">
        <w:rPr>
          <w:rFonts w:ascii="Bookman Old Style" w:hAnsi="Bookman Old Style" w:cs="Arial"/>
          <w:szCs w:val="24"/>
        </w:rPr>
        <w:t>Por la cual se aprueban el Cargo Promedio de Distribución y el Cargo Máximo Base de Comercialización de gas licuado del petróleo distribuido por redes a usuarios regulados, para el mercado relevante conformado por el municipio de Málaga en el departamento de Santander.</w:t>
      </w:r>
    </w:p>
    <w:p w:rsidR="003D5AD0" w:rsidRPr="00EF3753" w:rsidRDefault="003D5AD0" w:rsidP="003D5AD0">
      <w:pPr>
        <w:pStyle w:val="Textodebloque"/>
        <w:spacing w:after="0"/>
        <w:ind w:left="0" w:right="51"/>
        <w:rPr>
          <w:rFonts w:ascii="Bookman Old Style" w:hAnsi="Bookman Old Style" w:cs="Arial"/>
          <w:szCs w:val="24"/>
        </w:rPr>
      </w:pPr>
    </w:p>
    <w:p w:rsidR="00EF3753" w:rsidRPr="00EF3753" w:rsidRDefault="00EF3753" w:rsidP="00EF3753">
      <w:pPr>
        <w:pStyle w:val="Textoindependiente2"/>
        <w:jc w:val="center"/>
        <w:rPr>
          <w:b/>
          <w:bCs/>
        </w:rPr>
      </w:pPr>
      <w:r w:rsidRPr="00EF3753">
        <w:rPr>
          <w:b/>
          <w:bCs/>
        </w:rPr>
        <w:t>LA COMISIÓN DE REGULACIÓN DE ENERGÍA Y GAS</w:t>
      </w:r>
    </w:p>
    <w:p w:rsidR="00EF3753" w:rsidRDefault="00EF3753" w:rsidP="00EF3753">
      <w:pPr>
        <w:ind w:left="1080"/>
        <w:rPr>
          <w:rFonts w:ascii="Bookman Old Style" w:hAnsi="Bookman Old Style" w:cs="Arial"/>
        </w:rPr>
      </w:pPr>
    </w:p>
    <w:p w:rsidR="00EF3753" w:rsidRPr="00EF3753" w:rsidRDefault="00EF3753" w:rsidP="00EF3753">
      <w:pPr>
        <w:ind w:left="360" w:right="334"/>
        <w:rPr>
          <w:rFonts w:ascii="Bookman Old Style" w:hAnsi="Bookman Old Style" w:cs="Arial"/>
        </w:rPr>
      </w:pPr>
      <w:r w:rsidRPr="00EF3753">
        <w:rPr>
          <w:rFonts w:ascii="Bookman Old Style" w:hAnsi="Bookman Old Style" w:cs="Arial"/>
        </w:rPr>
        <w:t>En ejercicio de sus atribuciones constitucionales y legales, en especial las conferidas por la Ley 142 de 1994, y los Decretos 1524 y 2253 de 1994, y</w:t>
      </w:r>
    </w:p>
    <w:p w:rsidR="00EF3753" w:rsidRPr="00EF3753" w:rsidRDefault="00EF3753" w:rsidP="00EF3753">
      <w:pPr>
        <w:rPr>
          <w:rFonts w:ascii="Bookman Old Style" w:hAnsi="Bookman Old Style" w:cs="Arial"/>
        </w:rPr>
      </w:pPr>
    </w:p>
    <w:p w:rsidR="00EF3753" w:rsidRPr="00EF3753" w:rsidRDefault="00EF3753" w:rsidP="00EF3753">
      <w:pPr>
        <w:jc w:val="center"/>
        <w:rPr>
          <w:rFonts w:ascii="Bookman Old Style" w:hAnsi="Bookman Old Style" w:cs="Arial"/>
        </w:rPr>
      </w:pPr>
      <w:r w:rsidRPr="00EF3753">
        <w:rPr>
          <w:rFonts w:ascii="Bookman Old Style" w:hAnsi="Bookman Old Style" w:cs="Arial"/>
          <w:b/>
          <w:spacing w:val="80"/>
        </w:rPr>
        <w:t>CONSIDERANDO</w:t>
      </w:r>
      <w:r w:rsidRPr="00EF3753">
        <w:rPr>
          <w:rFonts w:ascii="Bookman Old Style" w:hAnsi="Bookman Old Style" w:cs="Arial"/>
          <w:b/>
        </w:rPr>
        <w:t>:</w:t>
      </w:r>
    </w:p>
    <w:p w:rsidR="00EF3753" w:rsidRPr="00EF3753" w:rsidRDefault="00EF3753" w:rsidP="00EF3753">
      <w:pPr>
        <w:pStyle w:val="Textoindependiente3"/>
        <w:rPr>
          <w:rFonts w:ascii="Bookman Old Style" w:hAnsi="Bookman Old Style" w:cs="Arial"/>
          <w:sz w:val="24"/>
          <w:szCs w:val="24"/>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EF3753" w:rsidRPr="00EF3753" w:rsidRDefault="00EF3753" w:rsidP="00EF3753">
      <w:pPr>
        <w:ind w:right="20"/>
        <w:rPr>
          <w:rFonts w:ascii="Bookman Old Style" w:hAnsi="Bookman Old Style" w:cs="Arial"/>
          <w:spacing w:val="-3"/>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según lo dispuesto por el Artículo 28 de la Ley 142 de 1994, la construcción y operación de redes para el transporte de gas, así como el señalamiento de las tarifas por uso, se regirán exclusivamente por esa Ley;</w:t>
      </w:r>
    </w:p>
    <w:p w:rsidR="00EF3753" w:rsidRPr="00EF3753" w:rsidRDefault="00EF3753" w:rsidP="00EF3753">
      <w:pPr>
        <w:ind w:right="20"/>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 xml:space="preserve">Que el Artículo 73.11 de la Ley 142 de 1994, atribuyó a la Comisión de Regulación de Energía y Gas, la competencia para establecer las fórmulas para la fijación de las tarifas del servicio público domiciliario de gas combustible; </w:t>
      </w:r>
    </w:p>
    <w:p w:rsidR="00EF3753" w:rsidRPr="00EF3753" w:rsidRDefault="00EF3753" w:rsidP="00EF3753">
      <w:pPr>
        <w:ind w:right="20"/>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según lo dispuesto por el Artículo 88.1 de la Ley 142 de 1994, la Comisión de Regulación de Energía y Gas podrá establecer topes máximos y mínimos tarifarios, de obligatorio cumplimiento por parte de las empresas;</w:t>
      </w:r>
    </w:p>
    <w:p w:rsidR="00EF3753" w:rsidRPr="00EF3753" w:rsidRDefault="00EF3753" w:rsidP="00EF3753">
      <w:pPr>
        <w:ind w:right="20"/>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el Artículo 126 de la Ley 142 de 1994 establece que vencido el período de vigencia de las fórmulas tarifarias éstas continuarán rigiendo mientras la Comisión no fije las nuevas;</w:t>
      </w:r>
    </w:p>
    <w:p w:rsidR="00EF3753" w:rsidRPr="00EF3753" w:rsidRDefault="00EF3753" w:rsidP="00EF3753">
      <w:pPr>
        <w:ind w:right="20"/>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mediante Resolución CREG-045 de 2002 se estableció la metodología de cálculo y ajuste para la determinación de la tasa de retorno que se utilizará en las fórmulas tarifarias de la actividad de distribución de gas combustible por redes para el próximo período;</w:t>
      </w:r>
    </w:p>
    <w:p w:rsidR="00EF3753" w:rsidRPr="00EF3753" w:rsidRDefault="00EF3753" w:rsidP="00EF3753">
      <w:pPr>
        <w:ind w:right="20"/>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mediante Resolución CREG-069 de 2006 se adoptó la nueva tasa de retorno, de conformidad con lo establecido en la Resolución CREG-045 de 2002;</w:t>
      </w:r>
    </w:p>
    <w:p w:rsidR="00EF3753" w:rsidRDefault="00EF3753" w:rsidP="00EF3753">
      <w:pPr>
        <w:pStyle w:val="Textoindependiente3"/>
        <w:spacing w:after="0"/>
        <w:rPr>
          <w:rFonts w:ascii="Bookman Old Style" w:hAnsi="Bookman Old Style" w:cs="Arial"/>
          <w:sz w:val="24"/>
          <w:szCs w:val="24"/>
        </w:rPr>
      </w:pPr>
      <w:r w:rsidRPr="00EF3753">
        <w:rPr>
          <w:rFonts w:ascii="Bookman Old Style" w:hAnsi="Bookman Old Style" w:cs="Arial"/>
          <w:sz w:val="24"/>
          <w:szCs w:val="24"/>
        </w:rPr>
        <w:lastRenderedPageBreak/>
        <w:t>Que mediante Resolución CREG-011 de 2003 se adoptó la metodología y criterios generales para determinar la remuneración de las actividades de distribución y comercialización de gas combustible y las fórmulas generales para la prestación del servicio público domiciliario de distribución de gas combustible por redes de tubería;</w:t>
      </w:r>
    </w:p>
    <w:p w:rsidR="00C07667" w:rsidRDefault="00C07667" w:rsidP="00EF3753">
      <w:pPr>
        <w:rPr>
          <w:rFonts w:ascii="Bookman Old Style" w:hAnsi="Bookman Old Style" w:cs="Arial"/>
        </w:rPr>
      </w:pPr>
    </w:p>
    <w:p w:rsidR="00EF3753" w:rsidRPr="00EF3753" w:rsidRDefault="00EF3753" w:rsidP="00EF3753">
      <w:pPr>
        <w:rPr>
          <w:rFonts w:ascii="Bookman Old Style" w:hAnsi="Bookman Old Style" w:cs="Arial"/>
        </w:rPr>
      </w:pPr>
      <w:r w:rsidRPr="00EF3753">
        <w:rPr>
          <w:rFonts w:ascii="Bookman Old Style" w:hAnsi="Bookman Old Style" w:cs="Arial"/>
        </w:rPr>
        <w:t>Que el Artículo 10 de la Resolución CREG-011 de 2003, establece que para la determinación de cargos de distribución para mercados nuevos, si el nuevo mercado tiene costos medios comparables a un Mercado Relevante cercano ya atendido por un Distribuidor, el Distribuidor interesado podrá solicitar a la CREG su aprobación para aplicar el cargo promedio de distribución establecido para el mercado ya atendido;</w:t>
      </w:r>
    </w:p>
    <w:p w:rsidR="00EF3753" w:rsidRPr="00EF3753" w:rsidRDefault="00EF3753" w:rsidP="00EF3753">
      <w:pPr>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mediante Resolución CREG-100 de 2003, la Comisión estableció los estándares de calidad en el servicio público domiciliario de gas  natural y GLP en Sistemas de Distribución por redes de tubería;</w:t>
      </w:r>
    </w:p>
    <w:p w:rsidR="00EF3753" w:rsidRPr="00EF3753" w:rsidRDefault="00EF3753" w:rsidP="00EF3753">
      <w:pPr>
        <w:ind w:right="20"/>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mediante Documento CREG-009 de 2004, se definieron los criterios para establecer los gastos eficientes de AOM para las actividades de distribución y comercialización, el factor de eficiencia en redes, así como los gastos eficientes de AOM para el control y monitoreo de los estándares de calidad definidos mediante Resolución CREG-100 de 2003;</w:t>
      </w:r>
    </w:p>
    <w:p w:rsidR="00EF3753" w:rsidRPr="00EF3753" w:rsidRDefault="00EF3753" w:rsidP="00EF3753">
      <w:pPr>
        <w:rPr>
          <w:rFonts w:ascii="Bookman Old Style" w:hAnsi="Bookman Old Style" w:cs="Arial"/>
        </w:rPr>
      </w:pPr>
    </w:p>
    <w:p w:rsidR="00EF3753" w:rsidRPr="00EF3753" w:rsidRDefault="00EF3753" w:rsidP="00EF3753">
      <w:pPr>
        <w:rPr>
          <w:rFonts w:ascii="Bookman Old Style" w:hAnsi="Bookman Old Style" w:cs="Arial"/>
        </w:rPr>
      </w:pPr>
      <w:r w:rsidRPr="00EF3753">
        <w:rPr>
          <w:rFonts w:ascii="Bookman Old Style" w:hAnsi="Bookman Old Style" w:cs="Arial"/>
        </w:rPr>
        <w:t>Que PROVISERVICIOS S.A. E.S.P. mediante comunicación con radicado CREG E-2006-006283 del 31 de agosto de 2006, presentó a la Comisión una solicitud tarifaria para distribución de gas licuado del petróleo por redes para el municipio de Málaga en el departamento de Santander;</w:t>
      </w:r>
    </w:p>
    <w:p w:rsidR="00EF3753" w:rsidRPr="00EF3753" w:rsidRDefault="00EF3753" w:rsidP="00EF3753">
      <w:pPr>
        <w:rPr>
          <w:rFonts w:ascii="Bookman Old Style" w:hAnsi="Bookman Old Style" w:cs="Arial"/>
          <w:highlight w:val="yellow"/>
        </w:rPr>
      </w:pPr>
    </w:p>
    <w:p w:rsidR="00EF3753" w:rsidRPr="00EF3753" w:rsidRDefault="00EF3753" w:rsidP="00EF3753">
      <w:pPr>
        <w:rPr>
          <w:rFonts w:ascii="Bookman Old Style" w:hAnsi="Bookman Old Style" w:cs="Arial"/>
        </w:rPr>
      </w:pPr>
      <w:r w:rsidRPr="00EF3753">
        <w:rPr>
          <w:rFonts w:ascii="Bookman Old Style" w:hAnsi="Bookman Old Style" w:cs="Arial"/>
        </w:rPr>
        <w:t>Que la solicitud tarifaria presentada por PROVISERVICIOS S.A. E.S.P. incluye las proyecciones de demanda, las proyecciones de gastos de AOM de distribución y el Programa de Nuevas Inversiones, clasificadas según el listado de unidades constructivas establecido en el Anexo No. 1 de la Resolución CREG-011 de 2003;</w:t>
      </w:r>
    </w:p>
    <w:p w:rsidR="00EF3753" w:rsidRPr="00EF3753" w:rsidRDefault="00EF3753" w:rsidP="00EF3753">
      <w:pPr>
        <w:rPr>
          <w:rFonts w:ascii="Bookman Old Style" w:hAnsi="Bookman Old Style" w:cs="Arial"/>
        </w:rPr>
      </w:pPr>
    </w:p>
    <w:p w:rsidR="00EF3753" w:rsidRPr="00EF3753" w:rsidRDefault="00EF3753" w:rsidP="00EF3753">
      <w:pPr>
        <w:ind w:right="20"/>
        <w:rPr>
          <w:rFonts w:ascii="Bookman Old Style" w:hAnsi="Bookman Old Style" w:cs="Arial"/>
        </w:rPr>
      </w:pPr>
      <w:r w:rsidRPr="00EF3753">
        <w:rPr>
          <w:rFonts w:ascii="Bookman Old Style" w:hAnsi="Bookman Old Style" w:cs="Arial"/>
        </w:rPr>
        <w:t>Que PROVISERVICIOS S.A. E.S.P. en cumplimiento de lo dispuesto en los parágrafos de los artículos 20 y 29 de la Resolución CREG-011 de 2003, el día 7 de septiembre de 2006 publicó en el diario El Frente el resumen del estudio de cargos que presentó a la Comisión, con la información señalada en la Circular CREG 021 de 2003. Copia de esta publicación se remitió a la CREG con radicado E-2006-006452;</w:t>
      </w:r>
    </w:p>
    <w:p w:rsidR="00EF3753" w:rsidRPr="00EF3753" w:rsidRDefault="00EF3753" w:rsidP="00EF3753">
      <w:pPr>
        <w:rPr>
          <w:rFonts w:ascii="Bookman Old Style" w:hAnsi="Bookman Old Style" w:cs="Arial"/>
        </w:rPr>
      </w:pPr>
    </w:p>
    <w:p w:rsidR="00EF3753" w:rsidRDefault="00EF3753" w:rsidP="00EF3753">
      <w:pPr>
        <w:rPr>
          <w:rFonts w:ascii="Bookman Old Style" w:hAnsi="Bookman Old Style" w:cs="Arial"/>
        </w:rPr>
      </w:pPr>
      <w:r w:rsidRPr="00EF3753">
        <w:rPr>
          <w:rFonts w:ascii="Bookman Old Style" w:hAnsi="Bookman Old Style" w:cs="Arial"/>
        </w:rPr>
        <w:t>Que la Unidad de Planeación Minero-Energética, aprobó la metodología utilizada para las proyecciones de demanda del mercado que va a atender PROVISERVICIOS S.A. E.S.P., de conformidad con lo establecido en el Numeral 7.5 de la Resolución CREG-011 de 2003;</w:t>
      </w:r>
    </w:p>
    <w:p w:rsidR="003D5AD0" w:rsidRPr="00EF3753" w:rsidRDefault="003D5AD0" w:rsidP="00EF3753">
      <w:pPr>
        <w:rPr>
          <w:rFonts w:ascii="Bookman Old Style" w:hAnsi="Bookman Old Style" w:cs="Arial"/>
        </w:rPr>
      </w:pPr>
    </w:p>
    <w:p w:rsidR="00EF3753" w:rsidRDefault="00EF3753" w:rsidP="00EF3753">
      <w:pPr>
        <w:rPr>
          <w:rFonts w:ascii="Bookman Old Style" w:hAnsi="Bookman Old Style" w:cs="Arial"/>
        </w:rPr>
      </w:pPr>
      <w:r w:rsidRPr="00EF3753">
        <w:rPr>
          <w:rFonts w:ascii="Bookman Old Style" w:hAnsi="Bookman Old Style" w:cs="Arial"/>
        </w:rPr>
        <w:t>Que mediante Resolución CREG-022 de 2007, la Comisión aprobó el Cargo Promedio por Uso del Sistema de Distribución y el Cargo Máximo Base de Comercialización del Mercado Relevante conformado por el municipio de San Gil en el departamento de Santander;</w:t>
      </w:r>
    </w:p>
    <w:p w:rsidR="00EF3753" w:rsidRPr="00EF3753" w:rsidRDefault="00EF3753" w:rsidP="00EF3753">
      <w:pPr>
        <w:rPr>
          <w:rFonts w:ascii="Bookman Old Style" w:hAnsi="Bookman Old Style" w:cs="Arial"/>
        </w:rPr>
      </w:pPr>
      <w:r w:rsidRPr="00EF3753">
        <w:rPr>
          <w:rFonts w:ascii="Bookman Old Style" w:hAnsi="Bookman Old Style" w:cs="Arial"/>
        </w:rPr>
        <w:lastRenderedPageBreak/>
        <w:t>Que PROVISERVICIOS S.A. ESP, mediante comunicación con radicado CREG E-2007-004448 del 30 de mayo de 2007, solicitó a la Comisión aprobación para la aplicación de  los cargos aprobados mediante Resolución CREG-022 de 2007 para el mercado relevante conformado por el municipio de San Gil en el departamento de Santander en el municipio de Málaga también en el departamento de Santander;</w:t>
      </w:r>
    </w:p>
    <w:p w:rsidR="00EF3753" w:rsidRPr="00EF3753" w:rsidRDefault="00EF3753" w:rsidP="00EF3753">
      <w:pPr>
        <w:rPr>
          <w:rFonts w:ascii="Bookman Old Style" w:hAnsi="Bookman Old Style" w:cs="Arial"/>
        </w:rPr>
      </w:pPr>
    </w:p>
    <w:p w:rsidR="00EF3753" w:rsidRPr="00EF3753" w:rsidRDefault="00EF3753" w:rsidP="00EF3753">
      <w:pPr>
        <w:rPr>
          <w:rFonts w:ascii="Bookman Old Style" w:hAnsi="Bookman Old Style" w:cs="Arial"/>
        </w:rPr>
      </w:pPr>
      <w:r w:rsidRPr="00EF3753">
        <w:rPr>
          <w:rFonts w:ascii="Bookman Old Style" w:hAnsi="Bookman Old Style" w:cs="Arial"/>
        </w:rPr>
        <w:t>Que la Comisión de Regulación de Energía y Gas efectuó los análisis tarifarios correspondientes, a partir de la metodología establecida en la Resolución CREG-011 de 2003 y demás información disponible en la Comisión, los cuales se presentan en el Documento CREG-040 de 2007;</w:t>
      </w:r>
    </w:p>
    <w:p w:rsidR="00EF3753" w:rsidRPr="00EF3753" w:rsidRDefault="00EF3753" w:rsidP="00EF3753">
      <w:pPr>
        <w:rPr>
          <w:rFonts w:ascii="Bookman Old Style" w:hAnsi="Bookman Old Style" w:cs="Arial"/>
        </w:rPr>
      </w:pPr>
    </w:p>
    <w:p w:rsidR="00EF3753" w:rsidRPr="00EF3753" w:rsidRDefault="00EF3753" w:rsidP="00EF3753">
      <w:pPr>
        <w:rPr>
          <w:rFonts w:ascii="Bookman Old Style" w:hAnsi="Bookman Old Style" w:cs="Arial"/>
        </w:rPr>
      </w:pPr>
      <w:r w:rsidRPr="00EF3753">
        <w:rPr>
          <w:rFonts w:ascii="Bookman Old Style" w:hAnsi="Bookman Old Style" w:cs="Arial"/>
        </w:rPr>
        <w:t>Que la Comisión de Regulación de Energía y Gas, en su sesión 33</w:t>
      </w:r>
      <w:r>
        <w:rPr>
          <w:rFonts w:ascii="Bookman Old Style" w:hAnsi="Bookman Old Style" w:cs="Arial"/>
        </w:rPr>
        <w:t>3</w:t>
      </w:r>
      <w:r w:rsidRPr="00EF3753">
        <w:rPr>
          <w:rFonts w:ascii="Bookman Old Style" w:hAnsi="Bookman Old Style" w:cs="Arial"/>
        </w:rPr>
        <w:t xml:space="preserve">  del 14 de junio de 2007, aprobó el Cargo Promedio por Uso del Sistema de Distribución y el Cargo Máximo Base de Comercialización del Mercado Relevante conformado por el municipio de Málaga en el departamento de Santander;</w:t>
      </w:r>
    </w:p>
    <w:p w:rsidR="00EF3753" w:rsidRDefault="00EF3753" w:rsidP="00EF3753">
      <w:pPr>
        <w:rPr>
          <w:rFonts w:ascii="Bookman Old Style" w:hAnsi="Bookman Old Style" w:cs="Arial"/>
        </w:rPr>
      </w:pPr>
    </w:p>
    <w:p w:rsidR="00EF3753" w:rsidRPr="00EF3753" w:rsidRDefault="00EF3753" w:rsidP="00EF3753">
      <w:pPr>
        <w:keepNext/>
        <w:jc w:val="center"/>
        <w:rPr>
          <w:rFonts w:ascii="Bookman Old Style" w:hAnsi="Bookman Old Style" w:cs="Arial"/>
          <w:b/>
        </w:rPr>
      </w:pPr>
      <w:r w:rsidRPr="00EF3753">
        <w:rPr>
          <w:rFonts w:ascii="Bookman Old Style" w:hAnsi="Bookman Old Style" w:cs="Arial"/>
          <w:b/>
        </w:rPr>
        <w:t>R E S U E L V E:</w:t>
      </w:r>
    </w:p>
    <w:p w:rsidR="00EF3753" w:rsidRPr="00EF3753" w:rsidRDefault="00EF3753" w:rsidP="00EF3753">
      <w:pPr>
        <w:tabs>
          <w:tab w:val="left" w:pos="0"/>
        </w:tabs>
        <w:rPr>
          <w:rFonts w:ascii="Bookman Old Style" w:hAnsi="Bookman Old Style" w:cs="Arial"/>
          <w:bCs/>
        </w:rPr>
      </w:pPr>
    </w:p>
    <w:p w:rsidR="00EF3753" w:rsidRPr="00EF3753" w:rsidRDefault="00EF3753" w:rsidP="00EF3753">
      <w:pPr>
        <w:tabs>
          <w:tab w:val="left" w:pos="0"/>
        </w:tabs>
        <w:rPr>
          <w:rFonts w:ascii="Bookman Old Style" w:hAnsi="Bookman Old Style" w:cs="Arial"/>
        </w:rPr>
      </w:pPr>
      <w:r w:rsidRPr="00EF3753">
        <w:rPr>
          <w:rFonts w:ascii="Bookman Old Style" w:hAnsi="Bookman Old Style" w:cs="Arial"/>
          <w:b/>
        </w:rPr>
        <w:t xml:space="preserve">ARTÍCULO 1°. Mercados Relevantes de Distribución y Comercialización. </w:t>
      </w:r>
      <w:r w:rsidRPr="00EF3753">
        <w:rPr>
          <w:rFonts w:ascii="Bookman Old Style" w:hAnsi="Bookman Old Style" w:cs="Arial"/>
          <w:bCs/>
        </w:rPr>
        <w:t xml:space="preserve">Para efectos </w:t>
      </w:r>
      <w:r w:rsidRPr="00EF3753">
        <w:rPr>
          <w:rFonts w:ascii="Bookman Old Style" w:hAnsi="Bookman Old Style" w:cs="Arial"/>
        </w:rPr>
        <w:t>de aplicación de esta Resolución el mercado relevante de distribución y comercialización será el municipio de Málaga en el departamento de Santander.</w:t>
      </w:r>
    </w:p>
    <w:p w:rsidR="00EF3753" w:rsidRPr="00EF3753" w:rsidRDefault="00EF3753" w:rsidP="00EF3753">
      <w:pPr>
        <w:rPr>
          <w:rFonts w:ascii="Bookman Old Style" w:hAnsi="Bookman Old Style" w:cs="Arial"/>
        </w:rPr>
      </w:pPr>
    </w:p>
    <w:p w:rsidR="00EF3753" w:rsidRPr="00EF3753" w:rsidRDefault="00EF3753" w:rsidP="00EF3753">
      <w:pPr>
        <w:rPr>
          <w:rFonts w:ascii="Bookman Old Style" w:hAnsi="Bookman Old Style" w:cs="Arial"/>
        </w:rPr>
      </w:pPr>
      <w:r w:rsidRPr="00EF3753">
        <w:rPr>
          <w:rFonts w:ascii="Bookman Old Style" w:hAnsi="Bookman Old Style" w:cs="Arial"/>
          <w:b/>
        </w:rPr>
        <w:t xml:space="preserve">ARTÍCULO 2°. Inversión Base. </w:t>
      </w:r>
      <w:r w:rsidRPr="00EF3753">
        <w:rPr>
          <w:rFonts w:ascii="Bookman Old Style" w:hAnsi="Bookman Old Style" w:cs="Arial"/>
        </w:rPr>
        <w:t>La Inversión Base reportada para el Mercado Relevante definido en el Artículo 1 de esta Resolución se compone de nuevas inversiones. Para el Programa de Nuevas Inversiones se reconocen los siguientes valores, con la descripción presentada en el Anexo 1 de la presente Resolución:</w:t>
      </w:r>
    </w:p>
    <w:p w:rsidR="00EF3753" w:rsidRPr="00EF3753" w:rsidRDefault="00EF3753" w:rsidP="00EF3753">
      <w:pPr>
        <w:rPr>
          <w:rFonts w:ascii="Bookman Old Style" w:hAnsi="Bookman Old Style" w:cs="Aria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40"/>
        <w:gridCol w:w="1800"/>
        <w:gridCol w:w="1197"/>
        <w:gridCol w:w="993"/>
        <w:gridCol w:w="992"/>
        <w:gridCol w:w="992"/>
      </w:tblGrid>
      <w:tr w:rsidR="00EF3753" w:rsidRPr="00EF3753" w:rsidTr="00AD178F">
        <w:tblPrEx>
          <w:tblCellMar>
            <w:top w:w="0" w:type="dxa"/>
            <w:bottom w:w="0" w:type="dxa"/>
          </w:tblCellMar>
        </w:tblPrEx>
        <w:tc>
          <w:tcPr>
            <w:tcW w:w="3240" w:type="dxa"/>
          </w:tcPr>
          <w:p w:rsidR="00EF3753" w:rsidRPr="00EF3753" w:rsidRDefault="00EF3753" w:rsidP="00AD178F">
            <w:pPr>
              <w:pStyle w:val="Textoindependiente"/>
              <w:rPr>
                <w:rFonts w:ascii="Bookman Old Style" w:hAnsi="Bookman Old Style" w:cs="Arial"/>
                <w:bCs/>
                <w:i/>
              </w:rPr>
            </w:pPr>
            <w:r w:rsidRPr="00EF3753">
              <w:rPr>
                <w:rFonts w:ascii="Bookman Old Style" w:hAnsi="Bookman Old Style" w:cs="Arial"/>
                <w:bCs/>
                <w:i/>
              </w:rPr>
              <w:t>Descripción</w:t>
            </w:r>
          </w:p>
        </w:tc>
        <w:tc>
          <w:tcPr>
            <w:tcW w:w="1800" w:type="dxa"/>
          </w:tcPr>
          <w:p w:rsidR="00EF3753" w:rsidRPr="00EF3753" w:rsidRDefault="00EF3753" w:rsidP="00AD178F">
            <w:pPr>
              <w:pStyle w:val="Textoindependiente"/>
              <w:rPr>
                <w:rFonts w:ascii="Bookman Old Style" w:hAnsi="Bookman Old Style" w:cs="Arial"/>
                <w:bCs/>
                <w:i/>
              </w:rPr>
            </w:pPr>
            <w:r w:rsidRPr="00EF3753">
              <w:rPr>
                <w:rFonts w:ascii="Bookman Old Style" w:hAnsi="Bookman Old Style" w:cs="Arial"/>
                <w:bCs/>
                <w:i/>
              </w:rPr>
              <w:t>Año 1</w:t>
            </w:r>
          </w:p>
        </w:tc>
        <w:tc>
          <w:tcPr>
            <w:tcW w:w="1197" w:type="dxa"/>
          </w:tcPr>
          <w:p w:rsidR="00EF3753" w:rsidRPr="00EF3753" w:rsidRDefault="00EF3753" w:rsidP="00AD178F">
            <w:pPr>
              <w:pStyle w:val="Textoindependiente"/>
              <w:rPr>
                <w:rFonts w:ascii="Bookman Old Style" w:hAnsi="Bookman Old Style" w:cs="Arial"/>
                <w:bCs/>
                <w:i/>
              </w:rPr>
            </w:pPr>
            <w:r w:rsidRPr="00EF3753">
              <w:rPr>
                <w:rFonts w:ascii="Bookman Old Style" w:hAnsi="Bookman Old Style" w:cs="Arial"/>
                <w:bCs/>
                <w:i/>
              </w:rPr>
              <w:t>Año 2</w:t>
            </w:r>
          </w:p>
        </w:tc>
        <w:tc>
          <w:tcPr>
            <w:tcW w:w="993" w:type="dxa"/>
          </w:tcPr>
          <w:p w:rsidR="00EF3753" w:rsidRPr="00EF3753" w:rsidRDefault="00EF3753" w:rsidP="00AD178F">
            <w:pPr>
              <w:pStyle w:val="Textoindependiente"/>
              <w:rPr>
                <w:rFonts w:ascii="Bookman Old Style" w:hAnsi="Bookman Old Style" w:cs="Arial"/>
                <w:bCs/>
                <w:i/>
              </w:rPr>
            </w:pPr>
            <w:r w:rsidRPr="00EF3753">
              <w:rPr>
                <w:rFonts w:ascii="Bookman Old Style" w:hAnsi="Bookman Old Style" w:cs="Arial"/>
                <w:bCs/>
                <w:i/>
              </w:rPr>
              <w:t>Año 3</w:t>
            </w:r>
          </w:p>
        </w:tc>
        <w:tc>
          <w:tcPr>
            <w:tcW w:w="992" w:type="dxa"/>
          </w:tcPr>
          <w:p w:rsidR="00EF3753" w:rsidRPr="00EF3753" w:rsidRDefault="00EF3753" w:rsidP="00AD178F">
            <w:pPr>
              <w:pStyle w:val="Textoindependiente"/>
              <w:rPr>
                <w:rFonts w:ascii="Bookman Old Style" w:hAnsi="Bookman Old Style" w:cs="Arial"/>
                <w:bCs/>
                <w:i/>
              </w:rPr>
            </w:pPr>
            <w:r w:rsidRPr="00EF3753">
              <w:rPr>
                <w:rFonts w:ascii="Bookman Old Style" w:hAnsi="Bookman Old Style" w:cs="Arial"/>
                <w:bCs/>
                <w:i/>
              </w:rPr>
              <w:t>Año 4</w:t>
            </w:r>
          </w:p>
        </w:tc>
        <w:tc>
          <w:tcPr>
            <w:tcW w:w="992" w:type="dxa"/>
          </w:tcPr>
          <w:p w:rsidR="00EF3753" w:rsidRPr="00EF3753" w:rsidRDefault="00EF3753" w:rsidP="00AD178F">
            <w:pPr>
              <w:pStyle w:val="Textoindependiente"/>
              <w:rPr>
                <w:rFonts w:ascii="Bookman Old Style" w:hAnsi="Bookman Old Style" w:cs="Arial"/>
                <w:bCs/>
                <w:i/>
              </w:rPr>
            </w:pPr>
            <w:r w:rsidRPr="00EF3753">
              <w:rPr>
                <w:rFonts w:ascii="Bookman Old Style" w:hAnsi="Bookman Old Style" w:cs="Arial"/>
                <w:bCs/>
                <w:i/>
              </w:rPr>
              <w:t>Año 5</w:t>
            </w:r>
          </w:p>
        </w:tc>
      </w:tr>
      <w:tr w:rsidR="00EF3753" w:rsidRPr="00EF3753" w:rsidTr="00AD178F">
        <w:tblPrEx>
          <w:tblCellMar>
            <w:top w:w="0" w:type="dxa"/>
            <w:bottom w:w="0" w:type="dxa"/>
          </w:tblCellMar>
        </w:tblPrEx>
        <w:tc>
          <w:tcPr>
            <w:tcW w:w="3240" w:type="dxa"/>
          </w:tcPr>
          <w:p w:rsidR="00EF3753" w:rsidRPr="00EF3753" w:rsidRDefault="00EF3753" w:rsidP="00AD178F">
            <w:pPr>
              <w:pStyle w:val="Textoindependiente"/>
              <w:jc w:val="left"/>
              <w:rPr>
                <w:rFonts w:ascii="Bookman Old Style" w:hAnsi="Bookman Old Style" w:cs="Arial"/>
                <w:b/>
                <w:i/>
              </w:rPr>
            </w:pPr>
            <w:r w:rsidRPr="00EF3753">
              <w:rPr>
                <w:rFonts w:ascii="Bookman Old Style" w:hAnsi="Bookman Old Style" w:cs="Arial"/>
                <w:b/>
                <w:i/>
              </w:rPr>
              <w:t xml:space="preserve">UC de Redes y Estaciones </w:t>
            </w:r>
          </w:p>
        </w:tc>
        <w:tc>
          <w:tcPr>
            <w:tcW w:w="1800" w:type="dxa"/>
          </w:tcPr>
          <w:p w:rsidR="00EF3753" w:rsidRPr="00EF3753" w:rsidRDefault="00EF3753" w:rsidP="00AD178F">
            <w:pPr>
              <w:pStyle w:val="Textoindependiente"/>
              <w:jc w:val="right"/>
              <w:rPr>
                <w:rFonts w:ascii="Bookman Old Style" w:hAnsi="Bookman Old Style" w:cs="Arial"/>
                <w:b/>
                <w:i/>
              </w:rPr>
            </w:pPr>
            <w:r w:rsidRPr="00EF3753">
              <w:rPr>
                <w:rFonts w:ascii="Bookman Old Style" w:hAnsi="Bookman Old Style" w:cs="Arial"/>
                <w:b/>
                <w:i/>
              </w:rPr>
              <w:t>370.126.388</w:t>
            </w:r>
          </w:p>
        </w:tc>
        <w:tc>
          <w:tcPr>
            <w:tcW w:w="1197" w:type="dxa"/>
          </w:tcPr>
          <w:p w:rsidR="00EF3753" w:rsidRPr="00EF3753" w:rsidRDefault="00EF3753" w:rsidP="00AD178F">
            <w:pPr>
              <w:pStyle w:val="Textoindependiente"/>
              <w:jc w:val="right"/>
              <w:rPr>
                <w:rFonts w:ascii="Bookman Old Style" w:hAnsi="Bookman Old Style" w:cs="Arial"/>
                <w:b/>
                <w:i/>
              </w:rPr>
            </w:pPr>
          </w:p>
        </w:tc>
        <w:tc>
          <w:tcPr>
            <w:tcW w:w="993"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r>
      <w:tr w:rsidR="00EF3753" w:rsidRPr="00EF3753" w:rsidTr="00AD178F">
        <w:tblPrEx>
          <w:tblCellMar>
            <w:top w:w="0" w:type="dxa"/>
            <w:bottom w:w="0" w:type="dxa"/>
          </w:tblCellMar>
        </w:tblPrEx>
        <w:tc>
          <w:tcPr>
            <w:tcW w:w="3240" w:type="dxa"/>
          </w:tcPr>
          <w:p w:rsidR="00EF3753" w:rsidRPr="00EF3753" w:rsidRDefault="00EF3753" w:rsidP="00AD178F">
            <w:pPr>
              <w:pStyle w:val="Textoindependiente"/>
              <w:jc w:val="left"/>
              <w:rPr>
                <w:rFonts w:ascii="Bookman Old Style" w:hAnsi="Bookman Old Style" w:cs="Arial"/>
                <w:b/>
                <w:i/>
              </w:rPr>
            </w:pPr>
            <w:r w:rsidRPr="00EF3753">
              <w:rPr>
                <w:rFonts w:ascii="Bookman Old Style" w:hAnsi="Bookman Old Style" w:cs="Arial"/>
                <w:b/>
                <w:i/>
              </w:rPr>
              <w:t>Activos de calidad</w:t>
            </w:r>
          </w:p>
        </w:tc>
        <w:tc>
          <w:tcPr>
            <w:tcW w:w="1800" w:type="dxa"/>
          </w:tcPr>
          <w:p w:rsidR="00EF3753" w:rsidRPr="00EF3753" w:rsidRDefault="00EF3753" w:rsidP="00AD178F">
            <w:pPr>
              <w:pStyle w:val="Textoindependiente"/>
              <w:jc w:val="right"/>
              <w:rPr>
                <w:rFonts w:ascii="Bookman Old Style" w:hAnsi="Bookman Old Style" w:cs="Arial"/>
                <w:b/>
                <w:i/>
              </w:rPr>
            </w:pPr>
            <w:r w:rsidRPr="00EF3753">
              <w:rPr>
                <w:rFonts w:ascii="Bookman Old Style" w:hAnsi="Bookman Old Style" w:cs="Arial"/>
                <w:b/>
                <w:i/>
              </w:rPr>
              <w:t>19.433.368</w:t>
            </w:r>
          </w:p>
        </w:tc>
        <w:tc>
          <w:tcPr>
            <w:tcW w:w="1197" w:type="dxa"/>
          </w:tcPr>
          <w:p w:rsidR="00EF3753" w:rsidRPr="00EF3753" w:rsidRDefault="00EF3753" w:rsidP="00AD178F">
            <w:pPr>
              <w:pStyle w:val="Textoindependiente"/>
              <w:jc w:val="right"/>
              <w:rPr>
                <w:rFonts w:ascii="Bookman Old Style" w:hAnsi="Bookman Old Style" w:cs="Arial"/>
                <w:b/>
                <w:i/>
              </w:rPr>
            </w:pPr>
          </w:p>
        </w:tc>
        <w:tc>
          <w:tcPr>
            <w:tcW w:w="993"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r>
      <w:tr w:rsidR="00EF3753" w:rsidRPr="00EF3753" w:rsidTr="00AD178F">
        <w:tblPrEx>
          <w:tblCellMar>
            <w:top w:w="0" w:type="dxa"/>
            <w:bottom w:w="0" w:type="dxa"/>
          </w:tblCellMar>
        </w:tblPrEx>
        <w:tc>
          <w:tcPr>
            <w:tcW w:w="3240" w:type="dxa"/>
          </w:tcPr>
          <w:p w:rsidR="00EF3753" w:rsidRPr="00EF3753" w:rsidRDefault="00EF3753" w:rsidP="00AD178F">
            <w:pPr>
              <w:pStyle w:val="Textoindependiente"/>
              <w:jc w:val="left"/>
              <w:rPr>
                <w:rFonts w:ascii="Bookman Old Style" w:hAnsi="Bookman Old Style" w:cs="Arial"/>
                <w:b/>
                <w:i/>
              </w:rPr>
            </w:pPr>
            <w:r w:rsidRPr="00EF3753">
              <w:rPr>
                <w:rFonts w:ascii="Bookman Old Style" w:hAnsi="Bookman Old Style" w:cs="Arial"/>
                <w:b/>
                <w:i/>
              </w:rPr>
              <w:t>Otros activos</w:t>
            </w:r>
          </w:p>
        </w:tc>
        <w:tc>
          <w:tcPr>
            <w:tcW w:w="1800" w:type="dxa"/>
          </w:tcPr>
          <w:p w:rsidR="00EF3753" w:rsidRPr="00EF3753" w:rsidRDefault="00EF3753" w:rsidP="00AD178F">
            <w:pPr>
              <w:pStyle w:val="Textoindependiente"/>
              <w:jc w:val="right"/>
              <w:rPr>
                <w:rFonts w:ascii="Bookman Old Style" w:hAnsi="Bookman Old Style" w:cs="Arial"/>
                <w:b/>
                <w:i/>
              </w:rPr>
            </w:pPr>
            <w:r w:rsidRPr="00EF3753">
              <w:rPr>
                <w:rFonts w:ascii="Bookman Old Style" w:hAnsi="Bookman Old Style" w:cs="Arial"/>
                <w:b/>
                <w:i/>
              </w:rPr>
              <w:t>23.707.583</w:t>
            </w:r>
          </w:p>
        </w:tc>
        <w:tc>
          <w:tcPr>
            <w:tcW w:w="1197" w:type="dxa"/>
          </w:tcPr>
          <w:p w:rsidR="00EF3753" w:rsidRPr="00EF3753" w:rsidRDefault="00EF3753" w:rsidP="00AD178F">
            <w:pPr>
              <w:pStyle w:val="Textoindependiente"/>
              <w:jc w:val="right"/>
              <w:rPr>
                <w:rFonts w:ascii="Bookman Old Style" w:hAnsi="Bookman Old Style" w:cs="Arial"/>
                <w:b/>
                <w:i/>
              </w:rPr>
            </w:pPr>
          </w:p>
        </w:tc>
        <w:tc>
          <w:tcPr>
            <w:tcW w:w="993"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r>
      <w:tr w:rsidR="00EF3753" w:rsidRPr="00EF3753" w:rsidTr="00AD178F">
        <w:tblPrEx>
          <w:tblCellMar>
            <w:top w:w="0" w:type="dxa"/>
            <w:bottom w:w="0" w:type="dxa"/>
          </w:tblCellMar>
        </w:tblPrEx>
        <w:tc>
          <w:tcPr>
            <w:tcW w:w="3240" w:type="dxa"/>
          </w:tcPr>
          <w:p w:rsidR="00EF3753" w:rsidRPr="00EF3753" w:rsidRDefault="00EF3753" w:rsidP="00AD178F">
            <w:pPr>
              <w:pStyle w:val="Textoindependiente"/>
              <w:jc w:val="left"/>
              <w:rPr>
                <w:rFonts w:ascii="Bookman Old Style" w:hAnsi="Bookman Old Style" w:cs="Arial"/>
                <w:b/>
                <w:i/>
              </w:rPr>
            </w:pPr>
            <w:r w:rsidRPr="00EF3753">
              <w:rPr>
                <w:rFonts w:ascii="Bookman Old Style" w:hAnsi="Bookman Old Style" w:cs="Arial"/>
                <w:b/>
                <w:i/>
              </w:rPr>
              <w:t>Total</w:t>
            </w:r>
          </w:p>
        </w:tc>
        <w:tc>
          <w:tcPr>
            <w:tcW w:w="1800" w:type="dxa"/>
          </w:tcPr>
          <w:p w:rsidR="00EF3753" w:rsidRPr="00EF3753" w:rsidRDefault="00EF3753" w:rsidP="00AD178F">
            <w:pPr>
              <w:pStyle w:val="Textoindependiente"/>
              <w:jc w:val="right"/>
              <w:rPr>
                <w:rFonts w:ascii="Bookman Old Style" w:hAnsi="Bookman Old Style" w:cs="Arial"/>
                <w:b/>
                <w:i/>
              </w:rPr>
            </w:pPr>
            <w:r w:rsidRPr="00EF3753">
              <w:rPr>
                <w:rFonts w:ascii="Bookman Old Style" w:hAnsi="Bookman Old Style" w:cs="Arial"/>
                <w:b/>
                <w:i/>
              </w:rPr>
              <w:t>413.267.339</w:t>
            </w:r>
          </w:p>
        </w:tc>
        <w:tc>
          <w:tcPr>
            <w:tcW w:w="1197" w:type="dxa"/>
          </w:tcPr>
          <w:p w:rsidR="00EF3753" w:rsidRPr="00EF3753" w:rsidRDefault="00EF3753" w:rsidP="00AD178F">
            <w:pPr>
              <w:pStyle w:val="Textoindependiente"/>
              <w:jc w:val="right"/>
              <w:rPr>
                <w:rFonts w:ascii="Bookman Old Style" w:hAnsi="Bookman Old Style" w:cs="Arial"/>
                <w:b/>
                <w:i/>
              </w:rPr>
            </w:pPr>
          </w:p>
        </w:tc>
        <w:tc>
          <w:tcPr>
            <w:tcW w:w="993"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c>
          <w:tcPr>
            <w:tcW w:w="992" w:type="dxa"/>
          </w:tcPr>
          <w:p w:rsidR="00EF3753" w:rsidRPr="00EF3753" w:rsidRDefault="00EF3753" w:rsidP="00AD178F">
            <w:pPr>
              <w:pStyle w:val="Textoindependiente"/>
              <w:jc w:val="right"/>
              <w:rPr>
                <w:rFonts w:ascii="Bookman Old Style" w:hAnsi="Bookman Old Style" w:cs="Arial"/>
                <w:b/>
                <w:i/>
              </w:rPr>
            </w:pPr>
          </w:p>
        </w:tc>
      </w:tr>
    </w:tbl>
    <w:p w:rsidR="00EF3753" w:rsidRPr="00EF3753" w:rsidRDefault="00EF3753" w:rsidP="00EF3753">
      <w:pPr>
        <w:rPr>
          <w:rFonts w:ascii="Bookman Old Style" w:hAnsi="Bookman Old Style" w:cs="Arial"/>
        </w:rPr>
      </w:pPr>
      <w:r w:rsidRPr="00EF3753">
        <w:rPr>
          <w:rFonts w:ascii="Bookman Old Style" w:hAnsi="Bookman Old Style" w:cs="Arial"/>
        </w:rPr>
        <w:t>Cifras en pesos del 31 de Diciembre de 2005.</w:t>
      </w:r>
    </w:p>
    <w:p w:rsidR="00EF3753" w:rsidRPr="00EF3753" w:rsidRDefault="00EF3753" w:rsidP="00EF3753">
      <w:pPr>
        <w:rPr>
          <w:rFonts w:ascii="Bookman Old Style" w:hAnsi="Bookman Old Style" w:cs="Arial"/>
        </w:rPr>
      </w:pPr>
    </w:p>
    <w:p w:rsidR="00EF3753" w:rsidRPr="00EF3753" w:rsidRDefault="00EF3753" w:rsidP="00EF3753">
      <w:pPr>
        <w:rPr>
          <w:rFonts w:ascii="Bookman Old Style" w:hAnsi="Bookman Old Style" w:cs="Arial"/>
          <w:color w:val="000000"/>
        </w:rPr>
      </w:pPr>
      <w:r w:rsidRPr="00EF3753">
        <w:rPr>
          <w:rFonts w:ascii="Bookman Old Style" w:hAnsi="Bookman Old Style" w:cs="Arial"/>
          <w:b/>
          <w:color w:val="000000"/>
        </w:rPr>
        <w:t>Parágrafo</w:t>
      </w:r>
      <w:r w:rsidRPr="00EF3753">
        <w:rPr>
          <w:rFonts w:ascii="Bookman Old Style" w:hAnsi="Bookman Old Style" w:cs="Arial"/>
          <w:color w:val="000000"/>
        </w:rPr>
        <w:t>: Las desviaciones que se presenten en el Programa de Nuevas Inversiones serán consideradas de conformidad con lo establecido en el literal b) del numeral 7.1 de la Resolución CREG-011 de 2003.</w:t>
      </w:r>
    </w:p>
    <w:p w:rsidR="00EF3753" w:rsidRPr="00EF3753" w:rsidRDefault="00EF3753" w:rsidP="00EF3753">
      <w:pPr>
        <w:rPr>
          <w:rFonts w:ascii="Bookman Old Style" w:hAnsi="Bookman Old Style" w:cs="Arial"/>
          <w:b/>
        </w:rPr>
      </w:pPr>
    </w:p>
    <w:p w:rsidR="00EF3753" w:rsidRPr="00EF3753" w:rsidRDefault="00EF3753" w:rsidP="00EF3753">
      <w:pPr>
        <w:rPr>
          <w:rFonts w:ascii="Bookman Old Style" w:hAnsi="Bookman Old Style" w:cs="Arial"/>
        </w:rPr>
      </w:pPr>
      <w:r w:rsidRPr="00EF3753">
        <w:rPr>
          <w:rFonts w:ascii="Bookman Old Style" w:hAnsi="Bookman Old Style" w:cs="Arial"/>
          <w:b/>
        </w:rPr>
        <w:t>ARTÍCULO 3°. Demandas Esperadas de Volumen</w:t>
      </w:r>
      <w:r w:rsidRPr="00EF3753">
        <w:rPr>
          <w:rFonts w:ascii="Bookman Old Style" w:hAnsi="Bookman Old Style" w:cs="Arial"/>
        </w:rPr>
        <w:t xml:space="preserve">. Para el cálculo tarifario se utilizó la Demanda de Volumen reportada por PROVISERVICIOS S.A. ESP. </w:t>
      </w:r>
      <w:proofErr w:type="gramStart"/>
      <w:r w:rsidRPr="00EF3753">
        <w:rPr>
          <w:rFonts w:ascii="Bookman Old Style" w:hAnsi="Bookman Old Style" w:cs="Arial"/>
        </w:rPr>
        <w:t>para</w:t>
      </w:r>
      <w:proofErr w:type="gramEnd"/>
      <w:r w:rsidRPr="00EF3753">
        <w:rPr>
          <w:rFonts w:ascii="Bookman Old Style" w:hAnsi="Bookman Old Style" w:cs="Arial"/>
        </w:rPr>
        <w:t xml:space="preserve"> el horizonte de proyección, la cual se presenta en el Anexo 2 de esta Resolución.</w:t>
      </w:r>
    </w:p>
    <w:p w:rsidR="00EF3753" w:rsidRPr="00EF3753" w:rsidRDefault="00EF3753" w:rsidP="00EF3753">
      <w:pPr>
        <w:rPr>
          <w:rFonts w:ascii="Bookman Old Style" w:hAnsi="Bookman Old Style" w:cs="Arial"/>
          <w:b/>
        </w:rPr>
      </w:pPr>
    </w:p>
    <w:p w:rsidR="00EF3753" w:rsidRPr="00EF3753" w:rsidRDefault="00EF3753" w:rsidP="00EF3753">
      <w:pPr>
        <w:rPr>
          <w:rFonts w:ascii="Bookman Old Style" w:hAnsi="Bookman Old Style" w:cs="Arial"/>
        </w:rPr>
      </w:pPr>
      <w:r w:rsidRPr="00EF3753">
        <w:rPr>
          <w:rFonts w:ascii="Bookman Old Style" w:hAnsi="Bookman Old Style" w:cs="Arial"/>
          <w:b/>
        </w:rPr>
        <w:lastRenderedPageBreak/>
        <w:t>ARTÍCULO 4°. Cargo Promedio de Distribución.</w:t>
      </w:r>
      <w:r w:rsidRPr="00EF3753">
        <w:rPr>
          <w:rFonts w:ascii="Bookman Old Style" w:hAnsi="Bookman Old Style" w:cs="Arial"/>
        </w:rPr>
        <w:t xml:space="preserve"> A partir de la vigencia de la presente Resolución, el Cargo Promedio de Distribución aplicable en el Mercado Relevante definido en el Artículo 1, corresponderá al aprobado mediante el artículo 5 de la Resolución CREG 022 de 2007.</w:t>
      </w:r>
    </w:p>
    <w:p w:rsidR="00EF3753" w:rsidRPr="00EF3753" w:rsidRDefault="00EF3753" w:rsidP="00EF3753">
      <w:pPr>
        <w:rPr>
          <w:rFonts w:ascii="Bookman Old Style" w:hAnsi="Bookman Old Style" w:cs="Arial"/>
        </w:rPr>
      </w:pPr>
    </w:p>
    <w:p w:rsidR="00EF3753" w:rsidRDefault="00EF3753" w:rsidP="00EF3753">
      <w:pPr>
        <w:rPr>
          <w:rFonts w:ascii="Bookman Old Style" w:hAnsi="Bookman Old Style" w:cs="Arial"/>
        </w:rPr>
      </w:pPr>
      <w:r w:rsidRPr="00EF3753">
        <w:rPr>
          <w:rFonts w:ascii="Bookman Old Style" w:hAnsi="Bookman Old Style" w:cs="Arial"/>
          <w:b/>
        </w:rPr>
        <w:t>ARTÍCULO 5°. Cargo Máximo Base de Comercialización.</w:t>
      </w:r>
      <w:r w:rsidRPr="00EF3753">
        <w:rPr>
          <w:rFonts w:ascii="Bookman Old Style" w:hAnsi="Bookman Old Style" w:cs="Arial"/>
        </w:rPr>
        <w:t xml:space="preserve"> A partir de la vigencia de la presente Resolución, el Cargo Máximo Base de Comercialización aplicable en el Mercado Relevante definido en el Artículo 1, es el siguiente:</w:t>
      </w:r>
    </w:p>
    <w:p w:rsidR="00EF3753" w:rsidRPr="00EF3753" w:rsidRDefault="00EF3753" w:rsidP="00EF3753">
      <w:pPr>
        <w:pStyle w:val="Piedepgina"/>
        <w:tabs>
          <w:tab w:val="clear" w:pos="4252"/>
          <w:tab w:val="clear" w:pos="8504"/>
        </w:tabs>
        <w:rPr>
          <w:rFonts w:ascii="Bookman Old Style" w:hAnsi="Bookman Old Style" w:cs="Arial"/>
          <w:szCs w:val="24"/>
          <w:lang w:val="es-ES"/>
        </w:rPr>
      </w:pPr>
    </w:p>
    <w:tbl>
      <w:tblPr>
        <w:tblW w:w="0" w:type="auto"/>
        <w:jc w:val="center"/>
        <w:tblInd w:w="-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1"/>
        <w:gridCol w:w="3047"/>
      </w:tblGrid>
      <w:tr w:rsidR="00EF3753" w:rsidRPr="00EF3753" w:rsidTr="00AD178F">
        <w:tblPrEx>
          <w:tblCellMar>
            <w:top w:w="0" w:type="dxa"/>
            <w:left w:w="0" w:type="dxa"/>
            <w:bottom w:w="0" w:type="dxa"/>
            <w:right w:w="0" w:type="dxa"/>
          </w:tblCellMar>
        </w:tblPrEx>
        <w:trPr>
          <w:trHeight w:val="615"/>
          <w:jc w:val="center"/>
        </w:trPr>
        <w:tc>
          <w:tcPr>
            <w:tcW w:w="3721" w:type="dxa"/>
            <w:shd w:val="solid" w:color="FFFFFF" w:fill="auto"/>
            <w:vAlign w:val="center"/>
          </w:tcPr>
          <w:p w:rsidR="00EF3753" w:rsidRPr="00EF3753" w:rsidRDefault="00EF3753" w:rsidP="00AD178F">
            <w:pPr>
              <w:ind w:left="121" w:right="180"/>
              <w:rPr>
                <w:rFonts w:ascii="Bookman Old Style" w:hAnsi="Bookman Old Style" w:cs="Arial"/>
                <w:snapToGrid w:val="0"/>
                <w:color w:val="000000"/>
              </w:rPr>
            </w:pPr>
            <w:r w:rsidRPr="00EF3753">
              <w:rPr>
                <w:rFonts w:ascii="Bookman Old Style" w:hAnsi="Bookman Old Style" w:cs="Arial"/>
                <w:b/>
                <w:snapToGrid w:val="0"/>
                <w:color w:val="000000"/>
              </w:rPr>
              <w:t>Cargo Máximo Base de Comercialización ($/factura)</w:t>
            </w:r>
          </w:p>
        </w:tc>
        <w:tc>
          <w:tcPr>
            <w:tcW w:w="3047" w:type="dxa"/>
            <w:shd w:val="solid" w:color="FFFFFF" w:fill="auto"/>
            <w:vAlign w:val="center"/>
          </w:tcPr>
          <w:p w:rsidR="00EF3753" w:rsidRPr="00EF3753" w:rsidRDefault="00EF3753" w:rsidP="00AD178F">
            <w:pPr>
              <w:jc w:val="center"/>
              <w:rPr>
                <w:rFonts w:ascii="Bookman Old Style" w:hAnsi="Bookman Old Style" w:cs="Arial"/>
              </w:rPr>
            </w:pPr>
            <w:r w:rsidRPr="00EF3753">
              <w:rPr>
                <w:rFonts w:ascii="Bookman Old Style" w:hAnsi="Bookman Old Style" w:cs="Arial"/>
              </w:rPr>
              <w:t>2.211,49</w:t>
            </w:r>
          </w:p>
        </w:tc>
      </w:tr>
    </w:tbl>
    <w:p w:rsidR="00EF3753" w:rsidRPr="00EF3753" w:rsidRDefault="00EF3753" w:rsidP="00EF3753">
      <w:pPr>
        <w:pStyle w:val="Piedepgina"/>
        <w:tabs>
          <w:tab w:val="clear" w:pos="4252"/>
          <w:tab w:val="clear" w:pos="8504"/>
        </w:tabs>
        <w:ind w:left="708" w:firstLine="708"/>
        <w:rPr>
          <w:rFonts w:ascii="Bookman Old Style" w:hAnsi="Bookman Old Style" w:cs="Arial"/>
          <w:szCs w:val="24"/>
        </w:rPr>
      </w:pPr>
      <w:r w:rsidRPr="00EF3753">
        <w:rPr>
          <w:rFonts w:ascii="Bookman Old Style" w:hAnsi="Bookman Old Style" w:cs="Arial"/>
          <w:szCs w:val="24"/>
        </w:rPr>
        <w:t>NOTA:</w:t>
      </w:r>
      <w:r w:rsidRPr="00EF3753">
        <w:rPr>
          <w:rFonts w:ascii="Bookman Old Style" w:hAnsi="Bookman Old Style" w:cs="Arial"/>
          <w:szCs w:val="24"/>
        </w:rPr>
        <w:tab/>
        <w:t>Cifras en pesos del 31 de diciembre de 2005</w:t>
      </w:r>
    </w:p>
    <w:p w:rsidR="00EF3753" w:rsidRPr="00EF3753" w:rsidRDefault="00EF3753" w:rsidP="00EF3753">
      <w:pPr>
        <w:rPr>
          <w:rFonts w:ascii="Bookman Old Style" w:hAnsi="Bookman Old Style" w:cs="Arial"/>
          <w:b/>
        </w:rPr>
      </w:pPr>
    </w:p>
    <w:p w:rsidR="00EF3753" w:rsidRPr="00EF3753" w:rsidRDefault="00EF3753" w:rsidP="00EF3753">
      <w:pPr>
        <w:rPr>
          <w:rFonts w:ascii="Bookman Old Style" w:hAnsi="Bookman Old Style" w:cs="Arial"/>
        </w:rPr>
      </w:pPr>
      <w:r w:rsidRPr="00EF3753">
        <w:rPr>
          <w:rFonts w:ascii="Bookman Old Style" w:hAnsi="Bookman Old Style" w:cs="Arial"/>
          <w:b/>
          <w:bCs/>
        </w:rPr>
        <w:t>Parágrafo</w:t>
      </w:r>
      <w:r w:rsidRPr="00EF3753">
        <w:rPr>
          <w:rFonts w:ascii="Bookman Old Style" w:hAnsi="Bookman Old Style" w:cs="Arial"/>
        </w:rPr>
        <w:t>: El Cargo de Comercialización se actualizará de conformidad con lo establecido en el Artículo 24 de la Resolución CREG-011 de 2003.</w:t>
      </w:r>
    </w:p>
    <w:p w:rsidR="00EF3753" w:rsidRPr="00EF3753" w:rsidRDefault="00EF3753" w:rsidP="00EF3753">
      <w:pPr>
        <w:pStyle w:val="Piedepgina"/>
        <w:tabs>
          <w:tab w:val="clear" w:pos="4252"/>
          <w:tab w:val="clear" w:pos="8504"/>
        </w:tabs>
        <w:rPr>
          <w:rFonts w:ascii="Bookman Old Style" w:hAnsi="Bookman Old Style" w:cs="Arial"/>
          <w:szCs w:val="24"/>
          <w:lang w:val="es-ES"/>
        </w:rPr>
      </w:pPr>
    </w:p>
    <w:p w:rsidR="00EF3753" w:rsidRPr="00EF3753" w:rsidRDefault="00EF3753" w:rsidP="00EF3753">
      <w:pPr>
        <w:rPr>
          <w:rFonts w:ascii="Bookman Old Style" w:hAnsi="Bookman Old Style" w:cs="Arial"/>
        </w:rPr>
      </w:pPr>
      <w:r w:rsidRPr="00EF3753">
        <w:rPr>
          <w:rFonts w:ascii="Bookman Old Style" w:hAnsi="Bookman Old Style" w:cs="Arial"/>
          <w:b/>
        </w:rPr>
        <w:t>ARTÍCULO 6°. Fórmula Tarifaria</w:t>
      </w:r>
      <w:r w:rsidRPr="00EF3753">
        <w:rPr>
          <w:rFonts w:ascii="Bookman Old Style" w:hAnsi="Bookman Old Style" w:cs="Arial"/>
          <w:b/>
          <w:bCs/>
        </w:rPr>
        <w:t>.</w:t>
      </w:r>
      <w:r w:rsidRPr="00EF3753">
        <w:rPr>
          <w:rFonts w:ascii="Bookman Old Style" w:hAnsi="Bookman Old Style" w:cs="Arial"/>
        </w:rPr>
        <w:t xml:space="preserve"> La Fórmula Tarifaria aplicable al mercado relevante definido en el Artículo 1 de la presente Resolución corresponderá a la establecida en el Artículo 40 de la Resolución CREG 011 de 2003.</w:t>
      </w:r>
    </w:p>
    <w:p w:rsidR="00EF3753" w:rsidRPr="00EF3753" w:rsidRDefault="00EF3753" w:rsidP="00EF3753">
      <w:pPr>
        <w:rPr>
          <w:rFonts w:ascii="Bookman Old Style" w:hAnsi="Bookman Old Style" w:cs="Arial"/>
          <w:b/>
        </w:rPr>
      </w:pPr>
    </w:p>
    <w:p w:rsidR="00EF3753" w:rsidRPr="00EF3753" w:rsidRDefault="00EF3753" w:rsidP="00EF3753">
      <w:pPr>
        <w:rPr>
          <w:rFonts w:ascii="Bookman Old Style" w:hAnsi="Bookman Old Style" w:cs="Arial"/>
        </w:rPr>
      </w:pPr>
      <w:r w:rsidRPr="00EF3753">
        <w:rPr>
          <w:rFonts w:ascii="Bookman Old Style" w:hAnsi="Bookman Old Style" w:cs="Arial"/>
          <w:b/>
        </w:rPr>
        <w:t>ARTÍCULO 7°. Vigencia de la Fórmula Tarifaria, del Cargo Promedio de Distribución y del Cargo Máximo Base de Comercialización</w:t>
      </w:r>
      <w:r w:rsidRPr="00EF3753">
        <w:rPr>
          <w:rFonts w:ascii="Bookman Old Style" w:hAnsi="Bookman Old Style" w:cs="Arial"/>
          <w:b/>
          <w:bCs/>
        </w:rPr>
        <w:t>.</w:t>
      </w:r>
      <w:r w:rsidRPr="00EF3753">
        <w:rPr>
          <w:rFonts w:ascii="Bookman Old Style" w:hAnsi="Bookman Old Style" w:cs="Arial"/>
        </w:rPr>
        <w:t xml:space="preserve"> La fórmula tarifaria, incluido el Cargo Promedio de Distribución y el Cargo Máximo Base de Comercialización que se establecen en esta Resolución, regirán a partir de la fecha en que la presente Resolución quede en firme y durante el término de vigencia que le resta a la Resolución CREG-022 de 2007. Vencido este período las fórmulas tarifarias continuarán rigiendo mientras la Comisión no fije las nuevas, tal como está previsto en el Artículo 126 de la Ley 142 de 1994.</w:t>
      </w:r>
    </w:p>
    <w:p w:rsidR="00EF3753" w:rsidRPr="00EF3753" w:rsidRDefault="00EF3753" w:rsidP="00EF3753">
      <w:pPr>
        <w:rPr>
          <w:rFonts w:ascii="Bookman Old Style" w:hAnsi="Bookman Old Style" w:cs="Arial"/>
          <w:b/>
        </w:rPr>
      </w:pPr>
    </w:p>
    <w:p w:rsidR="00EF3753" w:rsidRPr="00EF3753" w:rsidRDefault="00EF3753" w:rsidP="00EF3753">
      <w:pPr>
        <w:rPr>
          <w:rFonts w:ascii="Bookman Old Style" w:hAnsi="Bookman Old Style" w:cs="Arial"/>
          <w:spacing w:val="-4"/>
        </w:rPr>
      </w:pPr>
      <w:r w:rsidRPr="00EF3753">
        <w:rPr>
          <w:rFonts w:ascii="Bookman Old Style" w:hAnsi="Bookman Old Style" w:cs="Arial"/>
          <w:b/>
        </w:rPr>
        <w:t>ARTÍCULO 8°.</w:t>
      </w:r>
      <w:r w:rsidRPr="00EF3753">
        <w:rPr>
          <w:rFonts w:ascii="Bookman Old Style" w:hAnsi="Bookman Old Style" w:cs="Arial"/>
          <w:b/>
          <w:spacing w:val="-4"/>
        </w:rPr>
        <w:t xml:space="preserve"> </w:t>
      </w:r>
      <w:r w:rsidRPr="00EF3753">
        <w:rPr>
          <w:rFonts w:ascii="Bookman Old Style" w:hAnsi="Bookman Old Style" w:cs="Arial"/>
          <w:spacing w:val="-4"/>
        </w:rPr>
        <w:t xml:space="preserve">La presente Resolución deberá notificarse a la empresa </w:t>
      </w:r>
      <w:r w:rsidRPr="00EF3753">
        <w:rPr>
          <w:rFonts w:ascii="Bookman Old Style" w:hAnsi="Bookman Old Style" w:cs="Arial"/>
        </w:rPr>
        <w:t>PROVISERVICIOS S.A.</w:t>
      </w:r>
      <w:r w:rsidRPr="00EF3753">
        <w:rPr>
          <w:rFonts w:ascii="Bookman Old Style" w:hAnsi="Bookman Old Style" w:cs="Arial"/>
          <w:spacing w:val="-4"/>
        </w:rPr>
        <w:t xml:space="preserve"> ESP. </w:t>
      </w:r>
      <w:proofErr w:type="gramStart"/>
      <w:r w:rsidRPr="00EF3753">
        <w:rPr>
          <w:rFonts w:ascii="Bookman Old Style" w:hAnsi="Bookman Old Style" w:cs="Arial"/>
          <w:spacing w:val="-4"/>
        </w:rPr>
        <w:t>y</w:t>
      </w:r>
      <w:proofErr w:type="gramEnd"/>
      <w:r w:rsidRPr="00EF3753">
        <w:rPr>
          <w:rFonts w:ascii="Bookman Old Style" w:hAnsi="Bookman Old Style" w:cs="Arial"/>
          <w:spacing w:val="-4"/>
        </w:rPr>
        <w:t xml:space="preserve"> publicarse en el Diario Oficial. Contra las disposiciones contenidas en esta Resolución procede el Recurso de Reposición, el cual podrá interponerse ante la Dirección Ejecutiva de la CREG dentro de los cinco (5) días hábiles siguientes a la fecha de su notificación.</w:t>
      </w:r>
    </w:p>
    <w:p w:rsidR="00EF3753" w:rsidRPr="00EF3753" w:rsidRDefault="00EF3753" w:rsidP="00EF3753">
      <w:pPr>
        <w:rPr>
          <w:rFonts w:ascii="Bookman Old Style" w:hAnsi="Bookman Old Style" w:cs="Arial"/>
          <w:spacing w:val="-4"/>
        </w:rPr>
      </w:pPr>
    </w:p>
    <w:p w:rsidR="00EF3753" w:rsidRPr="00EF3753" w:rsidRDefault="00EF3753" w:rsidP="00EF3753">
      <w:pPr>
        <w:jc w:val="center"/>
        <w:rPr>
          <w:rFonts w:ascii="Bookman Old Style" w:hAnsi="Bookman Old Style" w:cs="Arial"/>
          <w:b/>
        </w:rPr>
      </w:pPr>
      <w:r w:rsidRPr="00EF3753">
        <w:rPr>
          <w:rFonts w:ascii="Bookman Old Style" w:hAnsi="Bookman Old Style" w:cs="Arial"/>
          <w:b/>
        </w:rPr>
        <w:t>NOTIFÍQUESE, PUBLÍQUESE Y CÚMPLASE</w:t>
      </w:r>
    </w:p>
    <w:p w:rsidR="00EF3753" w:rsidRPr="00EF3753" w:rsidRDefault="00EF3753" w:rsidP="00EF3753">
      <w:pPr>
        <w:pStyle w:val="Textoindependiente2"/>
      </w:pPr>
    </w:p>
    <w:p w:rsidR="00C07667" w:rsidRDefault="00C07667" w:rsidP="00EF3753">
      <w:pPr>
        <w:pStyle w:val="Textoindependiente2"/>
      </w:pPr>
    </w:p>
    <w:p w:rsidR="00EF3753" w:rsidRPr="00EF3753" w:rsidRDefault="00EF3753" w:rsidP="00EF3753">
      <w:pPr>
        <w:pStyle w:val="Textoindependiente2"/>
      </w:pPr>
      <w:r w:rsidRPr="00EF3753">
        <w:t xml:space="preserve">Dada en Bogotá, D.C.  </w:t>
      </w:r>
    </w:p>
    <w:p w:rsidR="00EF3753" w:rsidRDefault="00EF3753" w:rsidP="00EF3753">
      <w:pPr>
        <w:tabs>
          <w:tab w:val="left" w:pos="-720"/>
        </w:tabs>
        <w:suppressAutoHyphens/>
        <w:rPr>
          <w:rFonts w:ascii="Bookman Old Style" w:hAnsi="Bookman Old Style" w:cs="Arial"/>
          <w:spacing w:val="-3"/>
        </w:rPr>
      </w:pPr>
    </w:p>
    <w:p w:rsidR="003D5AD0" w:rsidRDefault="003D5AD0" w:rsidP="00EF3753">
      <w:pPr>
        <w:tabs>
          <w:tab w:val="left" w:pos="-720"/>
        </w:tabs>
        <w:suppressAutoHyphens/>
        <w:rPr>
          <w:rFonts w:ascii="Bookman Old Style" w:hAnsi="Bookman Old Style" w:cs="Arial"/>
          <w:spacing w:val="-3"/>
        </w:rPr>
      </w:pPr>
    </w:p>
    <w:p w:rsidR="00EF3753" w:rsidRDefault="00EF3753" w:rsidP="00EF3753">
      <w:pPr>
        <w:tabs>
          <w:tab w:val="left" w:pos="-720"/>
        </w:tabs>
        <w:suppressAutoHyphens/>
        <w:rPr>
          <w:rFonts w:ascii="Bookman Old Style" w:hAnsi="Bookman Old Style" w:cs="Arial"/>
          <w:spacing w:val="-3"/>
        </w:rPr>
      </w:pPr>
    </w:p>
    <w:p w:rsidR="00C07667" w:rsidRPr="00EF3753" w:rsidRDefault="00C07667" w:rsidP="00EF3753">
      <w:pPr>
        <w:tabs>
          <w:tab w:val="left" w:pos="-720"/>
        </w:tabs>
        <w:suppressAutoHyphens/>
        <w:rPr>
          <w:rFonts w:ascii="Bookman Old Style" w:hAnsi="Bookman Old Style" w:cs="Arial"/>
          <w:spacing w:val="-3"/>
        </w:rPr>
      </w:pPr>
    </w:p>
    <w:tbl>
      <w:tblPr>
        <w:tblW w:w="0" w:type="auto"/>
        <w:jc w:val="center"/>
        <w:tblLayout w:type="fixed"/>
        <w:tblCellMar>
          <w:left w:w="70" w:type="dxa"/>
          <w:right w:w="70" w:type="dxa"/>
        </w:tblCellMar>
        <w:tblLook w:val="0000"/>
      </w:tblPr>
      <w:tblGrid>
        <w:gridCol w:w="4491"/>
        <w:gridCol w:w="4491"/>
      </w:tblGrid>
      <w:tr w:rsidR="00EF3753" w:rsidRPr="00EF3753" w:rsidTr="00AD178F">
        <w:tblPrEx>
          <w:tblCellMar>
            <w:top w:w="0" w:type="dxa"/>
            <w:bottom w:w="0" w:type="dxa"/>
          </w:tblCellMar>
        </w:tblPrEx>
        <w:trPr>
          <w:trHeight w:val="391"/>
          <w:jc w:val="center"/>
        </w:trPr>
        <w:tc>
          <w:tcPr>
            <w:tcW w:w="4491" w:type="dxa"/>
            <w:vAlign w:val="center"/>
          </w:tcPr>
          <w:p w:rsidR="00EF3753" w:rsidRPr="00EF3753" w:rsidRDefault="00EF3753" w:rsidP="00AD178F">
            <w:pPr>
              <w:jc w:val="center"/>
              <w:rPr>
                <w:rFonts w:ascii="Bookman Old Style" w:hAnsi="Bookman Old Style" w:cs="Arial"/>
                <w:b/>
                <w:spacing w:val="-3"/>
              </w:rPr>
            </w:pPr>
            <w:r w:rsidRPr="00EF3753">
              <w:rPr>
                <w:rFonts w:ascii="Bookman Old Style" w:hAnsi="Bookman Old Style" w:cs="Arial"/>
                <w:b/>
                <w:spacing w:val="-3"/>
              </w:rPr>
              <w:t>MANUEL MAIGUASHCA OLANO</w:t>
            </w:r>
          </w:p>
        </w:tc>
        <w:tc>
          <w:tcPr>
            <w:tcW w:w="4491" w:type="dxa"/>
            <w:vAlign w:val="center"/>
          </w:tcPr>
          <w:p w:rsidR="00EF3753" w:rsidRPr="00EF3753" w:rsidRDefault="00EF3753" w:rsidP="00AD178F">
            <w:pPr>
              <w:jc w:val="center"/>
              <w:rPr>
                <w:rFonts w:ascii="Bookman Old Style" w:hAnsi="Bookman Old Style" w:cs="Arial"/>
                <w:b/>
                <w:spacing w:val="-3"/>
              </w:rPr>
            </w:pPr>
            <w:r w:rsidRPr="00EF3753">
              <w:rPr>
                <w:rFonts w:ascii="Bookman Old Style" w:hAnsi="Bookman Old Style" w:cs="Arial"/>
                <w:b/>
                <w:spacing w:val="-3"/>
              </w:rPr>
              <w:t>CAMILO QUINTERO MONTAÑO</w:t>
            </w: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pStyle w:val="Encabezado"/>
              <w:jc w:val="center"/>
              <w:rPr>
                <w:rFonts w:ascii="Bookman Old Style" w:hAnsi="Bookman Old Style" w:cs="Arial"/>
                <w:spacing w:val="-3"/>
                <w:szCs w:val="24"/>
              </w:rPr>
            </w:pPr>
            <w:r w:rsidRPr="00EF3753">
              <w:rPr>
                <w:rFonts w:ascii="Bookman Old Style" w:hAnsi="Bookman Old Style" w:cs="Arial"/>
                <w:spacing w:val="-3"/>
                <w:szCs w:val="24"/>
              </w:rPr>
              <w:t>Viceministro de Minas y Energía</w:t>
            </w:r>
          </w:p>
        </w:tc>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Director Ejecutivo</w:t>
            </w: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Delegado del Ministro</w:t>
            </w:r>
          </w:p>
        </w:tc>
        <w:tc>
          <w:tcPr>
            <w:tcW w:w="4491" w:type="dxa"/>
          </w:tcPr>
          <w:p w:rsidR="00EF3753" w:rsidRPr="00EF3753" w:rsidRDefault="00EF3753" w:rsidP="00AD178F">
            <w:pPr>
              <w:jc w:val="center"/>
              <w:rPr>
                <w:rFonts w:ascii="Bookman Old Style" w:hAnsi="Bookman Old Style" w:cs="Arial"/>
                <w:spacing w:val="-3"/>
              </w:rPr>
            </w:pP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Presidente</w:t>
            </w:r>
          </w:p>
        </w:tc>
        <w:tc>
          <w:tcPr>
            <w:tcW w:w="4491" w:type="dxa"/>
          </w:tcPr>
          <w:p w:rsidR="00EF3753" w:rsidRPr="00EF3753" w:rsidRDefault="00EF3753" w:rsidP="00AD178F">
            <w:pPr>
              <w:jc w:val="center"/>
              <w:rPr>
                <w:rFonts w:ascii="Bookman Old Style" w:hAnsi="Bookman Old Style" w:cs="Arial"/>
                <w:spacing w:val="-3"/>
              </w:rPr>
            </w:pPr>
          </w:p>
        </w:tc>
      </w:tr>
    </w:tbl>
    <w:p w:rsidR="00EF3753" w:rsidRPr="00EF3753" w:rsidRDefault="00EF3753" w:rsidP="00EF3753">
      <w:pPr>
        <w:jc w:val="center"/>
        <w:rPr>
          <w:rFonts w:ascii="Bookman Old Style" w:hAnsi="Bookman Old Style" w:cs="Arial"/>
          <w:b/>
        </w:rPr>
      </w:pPr>
      <w:r w:rsidRPr="00EF3753">
        <w:rPr>
          <w:rFonts w:ascii="Bookman Old Style" w:hAnsi="Bookman Old Style" w:cs="Arial"/>
          <w:b/>
        </w:rPr>
        <w:br w:type="page"/>
      </w:r>
      <w:r w:rsidRPr="00EF3753">
        <w:rPr>
          <w:rFonts w:ascii="Bookman Old Style" w:hAnsi="Bookman Old Style" w:cs="Arial"/>
          <w:b/>
        </w:rPr>
        <w:lastRenderedPageBreak/>
        <w:t>ANEXO 1</w:t>
      </w:r>
    </w:p>
    <w:p w:rsidR="00EF3753" w:rsidRPr="00EF3753" w:rsidRDefault="00EF3753" w:rsidP="00EF3753">
      <w:pPr>
        <w:jc w:val="center"/>
        <w:rPr>
          <w:rFonts w:ascii="Bookman Old Style" w:hAnsi="Bookman Old Style" w:cs="Arial"/>
          <w:b/>
        </w:rPr>
      </w:pPr>
    </w:p>
    <w:p w:rsidR="00EF3753" w:rsidRDefault="00EF3753" w:rsidP="00EF3753">
      <w:pPr>
        <w:jc w:val="center"/>
        <w:rPr>
          <w:rFonts w:ascii="Bookman Old Style" w:hAnsi="Bookman Old Style" w:cs="Arial"/>
          <w:b/>
        </w:rPr>
      </w:pPr>
      <w:r w:rsidRPr="00EF3753">
        <w:rPr>
          <w:rFonts w:ascii="Bookman Old Style" w:hAnsi="Bookman Old Style" w:cs="Arial"/>
          <w:b/>
        </w:rPr>
        <w:t>PROGRAMA DE NUEVAS INVERSIONES</w:t>
      </w:r>
    </w:p>
    <w:p w:rsidR="00EF3753" w:rsidRDefault="00EF3753" w:rsidP="00EF3753">
      <w:pPr>
        <w:jc w:val="center"/>
        <w:rPr>
          <w:rFonts w:ascii="Bookman Old Style" w:hAnsi="Bookman Old Style" w:cs="Arial"/>
          <w:b/>
        </w:rPr>
      </w:pP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r w:rsidRPr="00EF3753">
        <w:rPr>
          <w:rFonts w:ascii="Bookman Old Style" w:hAnsi="Bookman Old Style" w:cs="Arial"/>
          <w:noProof/>
        </w:rPr>
        <w:drawing>
          <wp:inline distT="0" distB="0" distL="0" distR="0">
            <wp:extent cx="5010150" cy="27432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10150" cy="2743200"/>
                    </a:xfrm>
                    <a:prstGeom prst="rect">
                      <a:avLst/>
                    </a:prstGeom>
                    <a:noFill/>
                    <a:ln w="9525">
                      <a:noFill/>
                      <a:miter lim="800000"/>
                      <a:headEnd/>
                      <a:tailEnd/>
                    </a:ln>
                  </pic:spPr>
                </pic:pic>
              </a:graphicData>
            </a:graphic>
          </wp:inline>
        </w:drawing>
      </w: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p>
    <w:p w:rsidR="00EF3753" w:rsidRPr="00EF3753" w:rsidRDefault="00EF3753" w:rsidP="00EF3753">
      <w:pPr>
        <w:jc w:val="center"/>
        <w:rPr>
          <w:rFonts w:ascii="Bookman Old Style" w:hAnsi="Bookman Old Style" w:cs="Arial"/>
        </w:rPr>
      </w:pPr>
    </w:p>
    <w:tbl>
      <w:tblPr>
        <w:tblW w:w="0" w:type="auto"/>
        <w:jc w:val="center"/>
        <w:tblLayout w:type="fixed"/>
        <w:tblCellMar>
          <w:left w:w="70" w:type="dxa"/>
          <w:right w:w="70" w:type="dxa"/>
        </w:tblCellMar>
        <w:tblLook w:val="0000"/>
      </w:tblPr>
      <w:tblGrid>
        <w:gridCol w:w="4491"/>
        <w:gridCol w:w="4491"/>
      </w:tblGrid>
      <w:tr w:rsidR="00EF3753" w:rsidRPr="00EF3753" w:rsidTr="00AD178F">
        <w:tblPrEx>
          <w:tblCellMar>
            <w:top w:w="0" w:type="dxa"/>
            <w:bottom w:w="0" w:type="dxa"/>
          </w:tblCellMar>
        </w:tblPrEx>
        <w:trPr>
          <w:trHeight w:val="391"/>
          <w:jc w:val="center"/>
        </w:trPr>
        <w:tc>
          <w:tcPr>
            <w:tcW w:w="4491" w:type="dxa"/>
            <w:vAlign w:val="center"/>
          </w:tcPr>
          <w:p w:rsidR="00EF3753" w:rsidRPr="00EF3753" w:rsidRDefault="00EF3753" w:rsidP="00AD178F">
            <w:pPr>
              <w:jc w:val="center"/>
              <w:rPr>
                <w:rFonts w:ascii="Bookman Old Style" w:hAnsi="Bookman Old Style" w:cs="Arial"/>
                <w:b/>
                <w:spacing w:val="-3"/>
              </w:rPr>
            </w:pPr>
            <w:r w:rsidRPr="00EF3753">
              <w:rPr>
                <w:rFonts w:ascii="Bookman Old Style" w:hAnsi="Bookman Old Style" w:cs="Arial"/>
                <w:b/>
                <w:spacing w:val="-3"/>
              </w:rPr>
              <w:t>MANUEL MAIGUASHCA OLANO</w:t>
            </w:r>
          </w:p>
        </w:tc>
        <w:tc>
          <w:tcPr>
            <w:tcW w:w="4491" w:type="dxa"/>
            <w:vAlign w:val="center"/>
          </w:tcPr>
          <w:p w:rsidR="00EF3753" w:rsidRPr="00EF3753" w:rsidRDefault="00EF3753" w:rsidP="00AD178F">
            <w:pPr>
              <w:jc w:val="center"/>
              <w:rPr>
                <w:rFonts w:ascii="Bookman Old Style" w:hAnsi="Bookman Old Style" w:cs="Arial"/>
                <w:b/>
                <w:spacing w:val="-3"/>
              </w:rPr>
            </w:pPr>
            <w:r w:rsidRPr="00EF3753">
              <w:rPr>
                <w:rFonts w:ascii="Bookman Old Style" w:hAnsi="Bookman Old Style" w:cs="Arial"/>
                <w:b/>
                <w:spacing w:val="-3"/>
              </w:rPr>
              <w:t>CAMILO QUINTERO MONTAÑO</w:t>
            </w: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pStyle w:val="Encabezado"/>
              <w:jc w:val="center"/>
              <w:rPr>
                <w:rFonts w:ascii="Bookman Old Style" w:hAnsi="Bookman Old Style" w:cs="Arial"/>
                <w:spacing w:val="-3"/>
                <w:szCs w:val="24"/>
              </w:rPr>
            </w:pPr>
            <w:r w:rsidRPr="00EF3753">
              <w:rPr>
                <w:rFonts w:ascii="Bookman Old Style" w:hAnsi="Bookman Old Style" w:cs="Arial"/>
                <w:spacing w:val="-3"/>
                <w:szCs w:val="24"/>
              </w:rPr>
              <w:t>Viceministro de Minas y Energía</w:t>
            </w:r>
          </w:p>
        </w:tc>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Director Ejecutivo</w:t>
            </w: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Delegado del Ministro</w:t>
            </w:r>
          </w:p>
        </w:tc>
        <w:tc>
          <w:tcPr>
            <w:tcW w:w="4491" w:type="dxa"/>
          </w:tcPr>
          <w:p w:rsidR="00EF3753" w:rsidRPr="00EF3753" w:rsidRDefault="00EF3753" w:rsidP="00AD178F">
            <w:pPr>
              <w:jc w:val="center"/>
              <w:rPr>
                <w:rFonts w:ascii="Bookman Old Style" w:hAnsi="Bookman Old Style" w:cs="Arial"/>
                <w:spacing w:val="-3"/>
              </w:rPr>
            </w:pP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Presidente</w:t>
            </w:r>
          </w:p>
        </w:tc>
        <w:tc>
          <w:tcPr>
            <w:tcW w:w="4491" w:type="dxa"/>
          </w:tcPr>
          <w:p w:rsidR="00EF3753" w:rsidRPr="00EF3753" w:rsidRDefault="00EF3753" w:rsidP="00AD178F">
            <w:pPr>
              <w:jc w:val="center"/>
              <w:rPr>
                <w:rFonts w:ascii="Bookman Old Style" w:hAnsi="Bookman Old Style" w:cs="Arial"/>
                <w:spacing w:val="-3"/>
              </w:rPr>
            </w:pPr>
          </w:p>
        </w:tc>
      </w:tr>
    </w:tbl>
    <w:p w:rsidR="00EF3753" w:rsidRPr="00EF3753" w:rsidRDefault="00EF3753" w:rsidP="00EF3753">
      <w:pPr>
        <w:jc w:val="center"/>
        <w:rPr>
          <w:rFonts w:ascii="Bookman Old Style" w:hAnsi="Bookman Old Style" w:cs="Arial"/>
          <w:b/>
        </w:rPr>
      </w:pPr>
      <w:r w:rsidRPr="00EF3753">
        <w:rPr>
          <w:rFonts w:ascii="Bookman Old Style" w:hAnsi="Bookman Old Style" w:cs="Arial"/>
        </w:rPr>
        <w:br w:type="page"/>
      </w:r>
      <w:r w:rsidRPr="00EF3753">
        <w:rPr>
          <w:rFonts w:ascii="Bookman Old Style" w:hAnsi="Bookman Old Style" w:cs="Arial"/>
          <w:b/>
        </w:rPr>
        <w:lastRenderedPageBreak/>
        <w:t>ANEXO 2</w:t>
      </w:r>
    </w:p>
    <w:p w:rsidR="00EF3753" w:rsidRPr="00EF3753" w:rsidRDefault="00EF3753" w:rsidP="00EF3753">
      <w:pPr>
        <w:jc w:val="center"/>
        <w:rPr>
          <w:rFonts w:ascii="Bookman Old Style" w:hAnsi="Bookman Old Style" w:cs="Arial"/>
          <w:b/>
        </w:rPr>
      </w:pPr>
    </w:p>
    <w:p w:rsidR="00EF3753" w:rsidRPr="00EF3753" w:rsidRDefault="00EF3753" w:rsidP="00EF3753">
      <w:pPr>
        <w:jc w:val="center"/>
        <w:rPr>
          <w:rFonts w:ascii="Bookman Old Style" w:hAnsi="Bookman Old Style" w:cs="Arial"/>
          <w:b/>
        </w:rPr>
      </w:pPr>
      <w:r w:rsidRPr="00EF3753">
        <w:rPr>
          <w:rFonts w:ascii="Bookman Old Style" w:hAnsi="Bookman Old Style" w:cs="Arial"/>
          <w:b/>
        </w:rPr>
        <w:t>DEMANDAS DE VOLUMEN</w:t>
      </w:r>
    </w:p>
    <w:p w:rsidR="00EF3753" w:rsidRPr="00EF3753" w:rsidRDefault="00EF3753" w:rsidP="00EF3753">
      <w:pPr>
        <w:jc w:val="center"/>
        <w:rPr>
          <w:rFonts w:ascii="Bookman Old Style" w:hAnsi="Bookman Old Style" w:cs="Arial"/>
          <w:b/>
        </w:rPr>
      </w:pPr>
    </w:p>
    <w:p w:rsidR="00EF3753" w:rsidRPr="00EF3753" w:rsidRDefault="00EF3753" w:rsidP="00EF3753">
      <w:pPr>
        <w:jc w:val="center"/>
        <w:rPr>
          <w:rFonts w:ascii="Bookman Old Style" w:hAnsi="Bookman Old Style" w:cs="Arial"/>
          <w:b/>
        </w:rPr>
      </w:pPr>
      <w:r w:rsidRPr="00EF3753">
        <w:rPr>
          <w:rFonts w:ascii="Bookman Old Style" w:hAnsi="Bookman Old Style" w:cs="Arial"/>
          <w:b/>
          <w:noProof/>
        </w:rPr>
        <w:drawing>
          <wp:inline distT="0" distB="0" distL="0" distR="0">
            <wp:extent cx="1657350" cy="3495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57350" cy="3495675"/>
                    </a:xfrm>
                    <a:prstGeom prst="rect">
                      <a:avLst/>
                    </a:prstGeom>
                    <a:noFill/>
                    <a:ln w="9525">
                      <a:noFill/>
                      <a:miter lim="800000"/>
                      <a:headEnd/>
                      <a:tailEnd/>
                    </a:ln>
                  </pic:spPr>
                </pic:pic>
              </a:graphicData>
            </a:graphic>
          </wp:inline>
        </w:drawing>
      </w:r>
    </w:p>
    <w:p w:rsidR="00EF3753" w:rsidRPr="00EF3753" w:rsidRDefault="00EF3753" w:rsidP="00EF3753">
      <w:pPr>
        <w:jc w:val="center"/>
        <w:rPr>
          <w:rFonts w:ascii="Bookman Old Style" w:hAnsi="Bookman Old Style" w:cs="Arial"/>
        </w:rPr>
      </w:pPr>
    </w:p>
    <w:p w:rsidR="00EF3753" w:rsidRPr="00EF3753" w:rsidRDefault="00EF3753" w:rsidP="00EF3753">
      <w:pPr>
        <w:tabs>
          <w:tab w:val="left" w:pos="-720"/>
        </w:tabs>
        <w:suppressAutoHyphens/>
        <w:rPr>
          <w:rFonts w:ascii="Bookman Old Style" w:hAnsi="Bookman Old Style" w:cs="Arial"/>
          <w:spacing w:val="-3"/>
        </w:rPr>
      </w:pPr>
    </w:p>
    <w:p w:rsidR="00EF3753" w:rsidRPr="00EF3753" w:rsidRDefault="00EF3753" w:rsidP="00EF3753">
      <w:pPr>
        <w:tabs>
          <w:tab w:val="left" w:pos="-720"/>
        </w:tabs>
        <w:suppressAutoHyphens/>
        <w:rPr>
          <w:rFonts w:ascii="Bookman Old Style" w:hAnsi="Bookman Old Style" w:cs="Arial"/>
          <w:spacing w:val="-3"/>
        </w:rPr>
      </w:pPr>
    </w:p>
    <w:p w:rsidR="00EF3753" w:rsidRPr="00EF3753" w:rsidRDefault="00EF3753" w:rsidP="00EF3753">
      <w:pPr>
        <w:tabs>
          <w:tab w:val="left" w:pos="-720"/>
        </w:tabs>
        <w:suppressAutoHyphens/>
        <w:rPr>
          <w:rFonts w:ascii="Bookman Old Style" w:hAnsi="Bookman Old Style" w:cs="Arial"/>
          <w:spacing w:val="-3"/>
        </w:rPr>
      </w:pPr>
    </w:p>
    <w:p w:rsidR="00EF3753" w:rsidRPr="00EF3753" w:rsidRDefault="00EF3753" w:rsidP="00EF3753">
      <w:pPr>
        <w:tabs>
          <w:tab w:val="left" w:pos="-720"/>
        </w:tabs>
        <w:suppressAutoHyphens/>
        <w:rPr>
          <w:rFonts w:ascii="Bookman Old Style" w:hAnsi="Bookman Old Style" w:cs="Arial"/>
          <w:spacing w:val="-3"/>
        </w:rPr>
      </w:pPr>
    </w:p>
    <w:p w:rsidR="00EF3753" w:rsidRPr="00EF3753" w:rsidRDefault="00EF3753" w:rsidP="00EF3753">
      <w:pPr>
        <w:tabs>
          <w:tab w:val="left" w:pos="-720"/>
        </w:tabs>
        <w:suppressAutoHyphens/>
        <w:rPr>
          <w:rFonts w:ascii="Bookman Old Style" w:hAnsi="Bookman Old Style" w:cs="Arial"/>
          <w:spacing w:val="-3"/>
        </w:rPr>
      </w:pPr>
    </w:p>
    <w:tbl>
      <w:tblPr>
        <w:tblW w:w="0" w:type="auto"/>
        <w:jc w:val="center"/>
        <w:tblLayout w:type="fixed"/>
        <w:tblCellMar>
          <w:left w:w="70" w:type="dxa"/>
          <w:right w:w="70" w:type="dxa"/>
        </w:tblCellMar>
        <w:tblLook w:val="0000"/>
      </w:tblPr>
      <w:tblGrid>
        <w:gridCol w:w="4491"/>
        <w:gridCol w:w="4491"/>
      </w:tblGrid>
      <w:tr w:rsidR="00EF3753" w:rsidRPr="00EF3753" w:rsidTr="00AD178F">
        <w:tblPrEx>
          <w:tblCellMar>
            <w:top w:w="0" w:type="dxa"/>
            <w:bottom w:w="0" w:type="dxa"/>
          </w:tblCellMar>
        </w:tblPrEx>
        <w:trPr>
          <w:trHeight w:val="391"/>
          <w:jc w:val="center"/>
        </w:trPr>
        <w:tc>
          <w:tcPr>
            <w:tcW w:w="4491" w:type="dxa"/>
            <w:vAlign w:val="center"/>
          </w:tcPr>
          <w:p w:rsidR="00EF3753" w:rsidRPr="00EF3753" w:rsidRDefault="00EF3753" w:rsidP="00AD178F">
            <w:pPr>
              <w:jc w:val="center"/>
              <w:rPr>
                <w:rFonts w:ascii="Bookman Old Style" w:hAnsi="Bookman Old Style" w:cs="Arial"/>
                <w:b/>
                <w:spacing w:val="-3"/>
              </w:rPr>
            </w:pPr>
            <w:r w:rsidRPr="00EF3753">
              <w:rPr>
                <w:rFonts w:ascii="Bookman Old Style" w:hAnsi="Bookman Old Style" w:cs="Arial"/>
                <w:b/>
                <w:spacing w:val="-3"/>
              </w:rPr>
              <w:t>MANUEL MAIGUASHCA OLANO</w:t>
            </w:r>
          </w:p>
        </w:tc>
        <w:tc>
          <w:tcPr>
            <w:tcW w:w="4491" w:type="dxa"/>
            <w:vAlign w:val="center"/>
          </w:tcPr>
          <w:p w:rsidR="00EF3753" w:rsidRPr="00EF3753" w:rsidRDefault="00EF3753" w:rsidP="00AD178F">
            <w:pPr>
              <w:jc w:val="center"/>
              <w:rPr>
                <w:rFonts w:ascii="Bookman Old Style" w:hAnsi="Bookman Old Style" w:cs="Arial"/>
                <w:b/>
                <w:spacing w:val="-3"/>
              </w:rPr>
            </w:pPr>
            <w:r w:rsidRPr="00EF3753">
              <w:rPr>
                <w:rFonts w:ascii="Bookman Old Style" w:hAnsi="Bookman Old Style" w:cs="Arial"/>
                <w:b/>
                <w:spacing w:val="-3"/>
              </w:rPr>
              <w:t>CAMILO QUINTERO MONTAÑO</w:t>
            </w: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pStyle w:val="Encabezado"/>
              <w:jc w:val="center"/>
              <w:rPr>
                <w:rFonts w:ascii="Bookman Old Style" w:hAnsi="Bookman Old Style" w:cs="Arial"/>
                <w:spacing w:val="-3"/>
                <w:szCs w:val="24"/>
              </w:rPr>
            </w:pPr>
            <w:r w:rsidRPr="00EF3753">
              <w:rPr>
                <w:rFonts w:ascii="Bookman Old Style" w:hAnsi="Bookman Old Style" w:cs="Arial"/>
                <w:spacing w:val="-3"/>
                <w:szCs w:val="24"/>
              </w:rPr>
              <w:t>Viceministro de Minas y Energía</w:t>
            </w:r>
          </w:p>
        </w:tc>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Director Ejecutivo</w:t>
            </w: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Delegado del Ministro</w:t>
            </w:r>
          </w:p>
        </w:tc>
        <w:tc>
          <w:tcPr>
            <w:tcW w:w="4491" w:type="dxa"/>
          </w:tcPr>
          <w:p w:rsidR="00EF3753" w:rsidRPr="00EF3753" w:rsidRDefault="00EF3753" w:rsidP="00AD178F">
            <w:pPr>
              <w:jc w:val="center"/>
              <w:rPr>
                <w:rFonts w:ascii="Bookman Old Style" w:hAnsi="Bookman Old Style" w:cs="Arial"/>
                <w:spacing w:val="-3"/>
              </w:rPr>
            </w:pPr>
          </w:p>
        </w:tc>
      </w:tr>
      <w:tr w:rsidR="00EF3753" w:rsidRPr="00EF3753" w:rsidTr="00AD178F">
        <w:tblPrEx>
          <w:tblCellMar>
            <w:top w:w="0" w:type="dxa"/>
            <w:bottom w:w="0" w:type="dxa"/>
          </w:tblCellMar>
        </w:tblPrEx>
        <w:trPr>
          <w:jc w:val="center"/>
        </w:trPr>
        <w:tc>
          <w:tcPr>
            <w:tcW w:w="4491" w:type="dxa"/>
          </w:tcPr>
          <w:p w:rsidR="00EF3753" w:rsidRPr="00EF3753" w:rsidRDefault="00EF3753" w:rsidP="00AD178F">
            <w:pPr>
              <w:jc w:val="center"/>
              <w:rPr>
                <w:rFonts w:ascii="Bookman Old Style" w:hAnsi="Bookman Old Style" w:cs="Arial"/>
                <w:spacing w:val="-3"/>
              </w:rPr>
            </w:pPr>
            <w:r w:rsidRPr="00EF3753">
              <w:rPr>
                <w:rFonts w:ascii="Bookman Old Style" w:hAnsi="Bookman Old Style" w:cs="Arial"/>
                <w:spacing w:val="-3"/>
              </w:rPr>
              <w:t>Presidente</w:t>
            </w:r>
          </w:p>
        </w:tc>
        <w:tc>
          <w:tcPr>
            <w:tcW w:w="4491" w:type="dxa"/>
          </w:tcPr>
          <w:p w:rsidR="00EF3753" w:rsidRPr="00EF3753" w:rsidRDefault="00EF3753" w:rsidP="00AD178F">
            <w:pPr>
              <w:jc w:val="center"/>
              <w:rPr>
                <w:rFonts w:ascii="Bookman Old Style" w:hAnsi="Bookman Old Style" w:cs="Arial"/>
                <w:spacing w:val="-3"/>
              </w:rPr>
            </w:pPr>
          </w:p>
        </w:tc>
      </w:tr>
    </w:tbl>
    <w:p w:rsidR="00EF3753" w:rsidRPr="00EF3753" w:rsidRDefault="00EF3753" w:rsidP="00EF3753">
      <w:pPr>
        <w:rPr>
          <w:rFonts w:ascii="Bookman Old Style" w:hAnsi="Bookman Old Style" w:cs="Arial"/>
        </w:rPr>
      </w:pPr>
    </w:p>
    <w:p w:rsidR="00EC79E2" w:rsidRPr="00EF3753" w:rsidRDefault="00EC79E2" w:rsidP="00EF3753">
      <w:pPr>
        <w:pStyle w:val="Textodebloque"/>
        <w:spacing w:after="0"/>
        <w:ind w:right="760"/>
        <w:jc w:val="center"/>
        <w:outlineLvl w:val="0"/>
        <w:rPr>
          <w:rFonts w:ascii="Bookman Old Style" w:hAnsi="Bookman Old Style"/>
          <w:szCs w:val="24"/>
        </w:rPr>
      </w:pPr>
    </w:p>
    <w:sectPr w:rsidR="00EC79E2" w:rsidRPr="00EF3753">
      <w:headerReference w:type="even" r:id="rId10"/>
      <w:headerReference w:type="default" r:id="rId11"/>
      <w:footerReference w:type="even" r:id="rId12"/>
      <w:footerReference w:type="default" r:id="rId13"/>
      <w:pgSz w:w="12242" w:h="20163" w:code="5"/>
      <w:pgMar w:top="2552" w:right="1134" w:bottom="2892" w:left="1701" w:header="1985" w:footer="1871"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753" w:rsidRDefault="00EF3753" w:rsidP="00EF3753">
      <w:r>
        <w:separator/>
      </w:r>
    </w:p>
  </w:endnote>
  <w:endnote w:type="continuationSeparator" w:id="1">
    <w:p w:rsidR="00EF3753" w:rsidRDefault="00EF3753" w:rsidP="00EF3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611F">
    <w:pPr>
      <w:framePr w:wrap="around" w:vAnchor="text" w:hAnchor="margin" w:xAlign="right" w:y="1"/>
    </w:pPr>
    <w:r>
      <w:fldChar w:fldCharType="begin"/>
    </w:r>
    <w:r>
      <w:instrText xml:space="preserve">PAGE  </w:instrText>
    </w:r>
    <w:r>
      <w:fldChar w:fldCharType="end"/>
    </w:r>
  </w:p>
  <w:p w:rsidR="00000000" w:rsidRDefault="00B8611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611F">
    <w:pP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753" w:rsidRDefault="00EF3753" w:rsidP="00EF3753">
      <w:r>
        <w:separator/>
      </w:r>
    </w:p>
  </w:footnote>
  <w:footnote w:type="continuationSeparator" w:id="1">
    <w:p w:rsidR="00EF3753" w:rsidRDefault="00EF3753" w:rsidP="00EF3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61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B8611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611F">
    <w:pPr>
      <w:pStyle w:val="Encabezado"/>
      <w:framePr w:wrap="around" w:vAnchor="text" w:hAnchor="page" w:x="10342" w:y="-105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6</w:t>
    </w:r>
    <w:r>
      <w:rPr>
        <w:rStyle w:val="Nmerodepgina"/>
      </w:rPr>
      <w:fldChar w:fldCharType="end"/>
    </w:r>
  </w:p>
  <w:p w:rsidR="00EF3753" w:rsidRPr="00EF3753" w:rsidRDefault="00EF3753" w:rsidP="00EF3753">
    <w:pPr>
      <w:pStyle w:val="Textodebloque"/>
      <w:spacing w:after="0"/>
      <w:ind w:left="0" w:right="51"/>
      <w:rPr>
        <w:rFonts w:ascii="Bookman Old Style" w:hAnsi="Bookman Old Style" w:cs="Arial"/>
        <w:sz w:val="18"/>
        <w:szCs w:val="18"/>
      </w:rPr>
    </w:pPr>
    <w:r w:rsidRPr="00EF3753">
      <w:rPr>
        <w:rFonts w:ascii="Bookman Old Style" w:hAnsi="Bookman Old Style" w:cs="Arial"/>
        <w:sz w:val="18"/>
        <w:szCs w:val="18"/>
      </w:rPr>
      <w:t>Por la cual se aprueban el Cargo Promedio de Distribución y el Cargo Máximo Base de Comercialización de gas licuado del petróleo distribuido por redes a usuarios regulados, para el mercado relevante conformado por el municipio de Málaga en el departamento de Santander.</w:t>
    </w:r>
  </w:p>
  <w:p w:rsidR="00000000" w:rsidRDefault="00B8611F">
    <w:pPr>
      <w:pStyle w:val="Textodebloque"/>
      <w:pBdr>
        <w:bottom w:val="single" w:sz="4" w:space="1" w:color="auto"/>
      </w:pBdr>
      <w:spacing w:after="0"/>
      <w:ind w:left="0" w:right="360"/>
      <w:rPr>
        <w:rFonts w:ascii="Bookman Old Style" w:hAnsi="Bookman Old Style" w:cs="Arial"/>
        <w:sz w:val="20"/>
      </w:rPr>
    </w:pPr>
  </w:p>
  <w:p w:rsidR="00000000" w:rsidRDefault="00B861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F3753"/>
    <w:rsid w:val="003D5AD0"/>
    <w:rsid w:val="00B8611F"/>
    <w:rsid w:val="00C07667"/>
    <w:rsid w:val="00EC79E2"/>
    <w:rsid w:val="00EF37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53"/>
    <w:pPr>
      <w:spacing w:after="0" w:line="240" w:lineRule="auto"/>
      <w:jc w:val="both"/>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rsid w:val="00EF3753"/>
    <w:pPr>
      <w:tabs>
        <w:tab w:val="left" w:pos="480"/>
        <w:tab w:val="right" w:leader="dot" w:pos="8828"/>
      </w:tabs>
      <w:spacing w:before="120"/>
    </w:pPr>
    <w:rPr>
      <w:noProof/>
    </w:rPr>
  </w:style>
  <w:style w:type="paragraph" w:styleId="Textodebloque">
    <w:name w:val="Block Text"/>
    <w:basedOn w:val="Normal"/>
    <w:semiHidden/>
    <w:rsid w:val="00EF3753"/>
    <w:pPr>
      <w:suppressAutoHyphens/>
      <w:spacing w:after="240"/>
      <w:ind w:left="567" w:right="788"/>
    </w:pPr>
    <w:rPr>
      <w:spacing w:val="-3"/>
      <w:szCs w:val="20"/>
      <w:lang w:val="es-ES_tradnl"/>
    </w:rPr>
  </w:style>
  <w:style w:type="paragraph" w:styleId="Encabezado">
    <w:name w:val="header"/>
    <w:basedOn w:val="Normal"/>
    <w:link w:val="EncabezadoCar"/>
    <w:semiHidden/>
    <w:rsid w:val="00EF3753"/>
    <w:pPr>
      <w:tabs>
        <w:tab w:val="center" w:pos="4419"/>
        <w:tab w:val="right" w:pos="8838"/>
      </w:tabs>
    </w:pPr>
    <w:rPr>
      <w:szCs w:val="20"/>
      <w:lang w:val="es-ES_tradnl"/>
    </w:rPr>
  </w:style>
  <w:style w:type="character" w:customStyle="1" w:styleId="EncabezadoCar">
    <w:name w:val="Encabezado Car"/>
    <w:basedOn w:val="Fuentedeprrafopredeter"/>
    <w:link w:val="Encabezado"/>
    <w:semiHidden/>
    <w:rsid w:val="00EF3753"/>
    <w:rPr>
      <w:rFonts w:ascii="Arial" w:eastAsia="Times New Roman" w:hAnsi="Arial" w:cs="Times New Roman"/>
      <w:sz w:val="24"/>
      <w:szCs w:val="20"/>
      <w:lang w:val="es-ES_tradnl" w:eastAsia="es-ES"/>
    </w:rPr>
  </w:style>
  <w:style w:type="character" w:styleId="Nmerodepgina">
    <w:name w:val="page number"/>
    <w:basedOn w:val="Fuentedeprrafopredeter"/>
    <w:semiHidden/>
    <w:rsid w:val="00EF3753"/>
  </w:style>
  <w:style w:type="paragraph" w:styleId="Textoindependiente2">
    <w:name w:val="Body Text 2"/>
    <w:basedOn w:val="Normal"/>
    <w:link w:val="Textoindependiente2Car"/>
    <w:semiHidden/>
    <w:rsid w:val="00EF3753"/>
    <w:pPr>
      <w:ind w:right="51"/>
    </w:pPr>
    <w:rPr>
      <w:rFonts w:ascii="Bookman Old Style" w:hAnsi="Bookman Old Style" w:cs="Arial"/>
    </w:rPr>
  </w:style>
  <w:style w:type="character" w:customStyle="1" w:styleId="Textoindependiente2Car">
    <w:name w:val="Texto independiente 2 Car"/>
    <w:basedOn w:val="Fuentedeprrafopredeter"/>
    <w:link w:val="Textoindependiente2"/>
    <w:semiHidden/>
    <w:rsid w:val="00EF3753"/>
    <w:rPr>
      <w:rFonts w:ascii="Bookman Old Style" w:eastAsia="Times New Roman" w:hAnsi="Bookman Old Style" w:cs="Arial"/>
      <w:sz w:val="24"/>
      <w:szCs w:val="24"/>
      <w:lang w:eastAsia="es-ES"/>
    </w:rPr>
  </w:style>
  <w:style w:type="paragraph" w:styleId="Textoindependiente">
    <w:name w:val="Body Text"/>
    <w:basedOn w:val="Normal"/>
    <w:link w:val="TextoindependienteCar"/>
    <w:uiPriority w:val="99"/>
    <w:semiHidden/>
    <w:unhideWhenUsed/>
    <w:rsid w:val="00EF3753"/>
    <w:pPr>
      <w:spacing w:after="120"/>
    </w:pPr>
  </w:style>
  <w:style w:type="character" w:customStyle="1" w:styleId="TextoindependienteCar">
    <w:name w:val="Texto independiente Car"/>
    <w:basedOn w:val="Fuentedeprrafopredeter"/>
    <w:link w:val="Textoindependiente"/>
    <w:uiPriority w:val="99"/>
    <w:semiHidden/>
    <w:rsid w:val="00EF3753"/>
    <w:rPr>
      <w:rFonts w:ascii="Arial" w:eastAsia="Times New Roman" w:hAnsi="Arial" w:cs="Times New Roman"/>
      <w:sz w:val="24"/>
      <w:szCs w:val="24"/>
      <w:lang w:eastAsia="es-ES"/>
    </w:rPr>
  </w:style>
  <w:style w:type="paragraph" w:styleId="Textoindependiente3">
    <w:name w:val="Body Text 3"/>
    <w:basedOn w:val="Normal"/>
    <w:link w:val="Textoindependiente3Car"/>
    <w:uiPriority w:val="99"/>
    <w:semiHidden/>
    <w:unhideWhenUsed/>
    <w:rsid w:val="00EF375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F3753"/>
    <w:rPr>
      <w:rFonts w:ascii="Arial" w:eastAsia="Times New Roman" w:hAnsi="Arial" w:cs="Times New Roman"/>
      <w:sz w:val="16"/>
      <w:szCs w:val="16"/>
      <w:lang w:eastAsia="es-ES"/>
    </w:rPr>
  </w:style>
  <w:style w:type="paragraph" w:styleId="Piedepgina">
    <w:name w:val="footer"/>
    <w:basedOn w:val="Normal"/>
    <w:link w:val="PiedepginaCar"/>
    <w:semiHidden/>
    <w:rsid w:val="00EF3753"/>
    <w:pPr>
      <w:tabs>
        <w:tab w:val="center" w:pos="4252"/>
        <w:tab w:val="right" w:pos="8504"/>
      </w:tabs>
      <w:jc w:val="left"/>
    </w:pPr>
    <w:rPr>
      <w:rFonts w:ascii="CG Times" w:hAnsi="CG Times"/>
      <w:szCs w:val="20"/>
      <w:lang w:val="es-CO"/>
    </w:rPr>
  </w:style>
  <w:style w:type="character" w:customStyle="1" w:styleId="PiedepginaCar">
    <w:name w:val="Pie de página Car"/>
    <w:basedOn w:val="Fuentedeprrafopredeter"/>
    <w:link w:val="Piedepgina"/>
    <w:semiHidden/>
    <w:rsid w:val="00EF3753"/>
    <w:rPr>
      <w:rFonts w:ascii="CG Times" w:eastAsia="Times New Roman" w:hAnsi="CG Times" w:cs="Times New Roman"/>
      <w:sz w:val="24"/>
      <w:szCs w:val="20"/>
      <w:lang w:val="es-CO" w:eastAsia="es-ES"/>
    </w:rPr>
  </w:style>
  <w:style w:type="paragraph" w:styleId="Textodeglobo">
    <w:name w:val="Balloon Text"/>
    <w:basedOn w:val="Normal"/>
    <w:link w:val="TextodegloboCar"/>
    <w:uiPriority w:val="99"/>
    <w:semiHidden/>
    <w:unhideWhenUsed/>
    <w:rsid w:val="00EF3753"/>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753"/>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EA5C-87D0-4878-9746-2AB3DBAF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1465</Words>
  <Characters>8058</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CREG</dc:creator>
  <cp:keywords/>
  <dc:description/>
  <cp:lastModifiedBy>CREG</cp:lastModifiedBy>
  <cp:revision>4</cp:revision>
  <cp:lastPrinted>2007-07-06T16:33:00Z</cp:lastPrinted>
  <dcterms:created xsi:type="dcterms:W3CDTF">2007-07-06T16:18:00Z</dcterms:created>
  <dcterms:modified xsi:type="dcterms:W3CDTF">2007-07-06T16:33:00Z</dcterms:modified>
</cp:coreProperties>
</file>