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7F" w:rsidRPr="00442C25" w:rsidRDefault="005A085E" w:rsidP="00442C25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35pt;margin-top:-49.3pt;width:52.5pt;height:48.75pt;z-index:251657216" fillcolor="#0c9">
            <v:imagedata r:id="rId9" o:title=""/>
          </v:shape>
          <o:OLEObject Type="Embed" ProgID="PBrush" ShapeID="_x0000_s1027" DrawAspect="Content" ObjectID="_1439728497" r:id="rId10"/>
        </w:pict>
      </w:r>
    </w:p>
    <w:p w:rsidR="00947B4C" w:rsidRPr="00012259" w:rsidRDefault="00947B4C" w:rsidP="00442C25"/>
    <w:p w:rsidR="00442C25" w:rsidRPr="00442C25" w:rsidRDefault="00442C25" w:rsidP="00442C25">
      <w:pPr>
        <w:jc w:val="center"/>
        <w:rPr>
          <w:noProof/>
          <w:spacing w:val="20"/>
        </w:rPr>
      </w:pPr>
      <w:r w:rsidRPr="00442C25">
        <w:rPr>
          <w:spacing w:val="20"/>
        </w:rPr>
        <w:t>Ministerio de Minas y Energía</w:t>
      </w:r>
    </w:p>
    <w:p w:rsidR="00442C25" w:rsidRPr="00442C25" w:rsidRDefault="00442C25" w:rsidP="00442C25"/>
    <w:p w:rsidR="00947B4C" w:rsidRPr="00012259" w:rsidRDefault="00947B4C" w:rsidP="00442C25"/>
    <w:p w:rsidR="00442C25" w:rsidRPr="00442C25" w:rsidRDefault="00442C25" w:rsidP="00442C25">
      <w:pPr>
        <w:jc w:val="center"/>
        <w:rPr>
          <w:b/>
          <w:spacing w:val="20"/>
        </w:rPr>
      </w:pPr>
      <w:r w:rsidRPr="00442C25">
        <w:rPr>
          <w:b/>
          <w:spacing w:val="20"/>
        </w:rPr>
        <w:t>COMISIÓN DE REGULACIÓN DE ENERGÍA Y GAS</w:t>
      </w:r>
    </w:p>
    <w:p w:rsidR="00947B4C" w:rsidRPr="00442C25" w:rsidRDefault="00947B4C" w:rsidP="00442C25">
      <w:pPr>
        <w:jc w:val="center"/>
        <w:rPr>
          <w:b/>
          <w:lang w:val="es-ES_tradnl"/>
        </w:rPr>
      </w:pPr>
    </w:p>
    <w:p w:rsidR="00947B4C" w:rsidRPr="00442C25" w:rsidRDefault="00947B4C" w:rsidP="00442C25">
      <w:pPr>
        <w:jc w:val="center"/>
        <w:rPr>
          <w:b/>
        </w:rPr>
      </w:pPr>
    </w:p>
    <w:p w:rsidR="00947B4C" w:rsidRPr="00442C25" w:rsidRDefault="00947B4C" w:rsidP="00442C25">
      <w:pPr>
        <w:jc w:val="center"/>
        <w:rPr>
          <w:b/>
          <w:spacing w:val="20"/>
        </w:rPr>
      </w:pPr>
      <w:r w:rsidRPr="00442C25">
        <w:rPr>
          <w:b/>
          <w:spacing w:val="20"/>
        </w:rPr>
        <w:t xml:space="preserve">RESOLUCIÓN No.                   </w:t>
      </w:r>
      <w:r w:rsidR="00F32E81">
        <w:rPr>
          <w:b/>
          <w:spacing w:val="20"/>
        </w:rPr>
        <w:t>DE 2013</w:t>
      </w:r>
    </w:p>
    <w:p w:rsidR="00947B4C" w:rsidRPr="00442C25" w:rsidRDefault="00947B4C" w:rsidP="00442C25">
      <w:pPr>
        <w:jc w:val="center"/>
        <w:rPr>
          <w:snapToGrid w:val="0"/>
          <w:sz w:val="28"/>
          <w:lang w:val="es-ES_tradnl"/>
        </w:rPr>
      </w:pPr>
    </w:p>
    <w:p w:rsidR="00947B4C" w:rsidRPr="00012259" w:rsidRDefault="00947B4C" w:rsidP="00BA5645">
      <w:pPr>
        <w:jc w:val="center"/>
        <w:rPr>
          <w:b/>
        </w:rPr>
      </w:pPr>
      <w:r w:rsidRPr="00012259">
        <w:t>(                                  )</w:t>
      </w:r>
    </w:p>
    <w:p w:rsidR="00947B4C" w:rsidRDefault="00947B4C" w:rsidP="00442C25">
      <w:pPr>
        <w:rPr>
          <w:lang w:val="es-CO"/>
        </w:rPr>
      </w:pPr>
    </w:p>
    <w:p w:rsidR="00947B4C" w:rsidRDefault="00947B4C" w:rsidP="00442C25">
      <w:pPr>
        <w:rPr>
          <w:lang w:val="es-CO"/>
        </w:rPr>
      </w:pPr>
    </w:p>
    <w:p w:rsidR="001E12EB" w:rsidRDefault="001E12EB" w:rsidP="00442C25">
      <w:pPr>
        <w:rPr>
          <w:lang w:val="es-CO"/>
        </w:rPr>
      </w:pPr>
    </w:p>
    <w:p w:rsidR="00947B4C" w:rsidRPr="00447210" w:rsidRDefault="00947B4C" w:rsidP="00F42630">
      <w:pPr>
        <w:jc w:val="center"/>
      </w:pPr>
      <w:r w:rsidRPr="00447210">
        <w:t>Por la cual se ordena hacer público un proyecto de</w:t>
      </w:r>
      <w:r>
        <w:t xml:space="preserve"> resolución de carácter general</w:t>
      </w:r>
      <w:r w:rsidRPr="00447210">
        <w:t xml:space="preserve"> </w:t>
      </w:r>
      <w:r w:rsidR="00F42630" w:rsidRPr="00F42630">
        <w:rPr>
          <w:i/>
        </w:rPr>
        <w:t xml:space="preserve">“Por </w:t>
      </w:r>
      <w:r w:rsidR="00F42630">
        <w:rPr>
          <w:i/>
        </w:rPr>
        <w:t>la</w:t>
      </w:r>
      <w:r w:rsidR="00F42630" w:rsidRPr="00F42630">
        <w:rPr>
          <w:i/>
        </w:rPr>
        <w:t xml:space="preserve"> cual se establecen </w:t>
      </w:r>
      <w:r w:rsidRPr="00F42630">
        <w:rPr>
          <w:i/>
        </w:rPr>
        <w:t xml:space="preserve">los </w:t>
      </w:r>
      <w:r w:rsidR="00F32E81" w:rsidRPr="00F42630">
        <w:rPr>
          <w:i/>
        </w:rPr>
        <w:t>indicadores de c</w:t>
      </w:r>
      <w:r w:rsidRPr="00F42630">
        <w:rPr>
          <w:i/>
        </w:rPr>
        <w:t>alidad</w:t>
      </w:r>
      <w:r w:rsidR="00F32E81" w:rsidRPr="00F42630">
        <w:rPr>
          <w:i/>
        </w:rPr>
        <w:t xml:space="preserve"> que deben exigirse en la prestación del servicio</w:t>
      </w:r>
      <w:r w:rsidRPr="00F42630">
        <w:rPr>
          <w:i/>
        </w:rPr>
        <w:t xml:space="preserve"> </w:t>
      </w:r>
      <w:r w:rsidR="00F32E81" w:rsidRPr="00F42630">
        <w:rPr>
          <w:rFonts w:cs="Arial"/>
          <w:i/>
          <w:color w:val="000000"/>
          <w:szCs w:val="27"/>
        </w:rPr>
        <w:t xml:space="preserve">de </w:t>
      </w:r>
      <w:r w:rsidR="004A5429" w:rsidRPr="00F42630">
        <w:rPr>
          <w:rFonts w:cs="Arial"/>
          <w:i/>
          <w:color w:val="000000"/>
          <w:szCs w:val="27"/>
        </w:rPr>
        <w:t>distribución</w:t>
      </w:r>
      <w:r w:rsidR="00F32E81" w:rsidRPr="00F42630">
        <w:rPr>
          <w:rFonts w:cs="Arial"/>
          <w:i/>
          <w:color w:val="000000"/>
          <w:szCs w:val="27"/>
        </w:rPr>
        <w:t xml:space="preserve"> y </w:t>
      </w:r>
      <w:r w:rsidR="004A5429" w:rsidRPr="00F42630">
        <w:rPr>
          <w:rFonts w:cs="Arial"/>
          <w:i/>
          <w:color w:val="000000"/>
          <w:szCs w:val="27"/>
        </w:rPr>
        <w:t>comercialización</w:t>
      </w:r>
      <w:r w:rsidR="00F32E81" w:rsidRPr="00F42630">
        <w:rPr>
          <w:rFonts w:cs="Arial"/>
          <w:i/>
          <w:color w:val="000000"/>
          <w:szCs w:val="27"/>
        </w:rPr>
        <w:t xml:space="preserve"> </w:t>
      </w:r>
      <w:r w:rsidR="004A5429" w:rsidRPr="00F42630">
        <w:rPr>
          <w:rFonts w:cs="Arial"/>
          <w:i/>
          <w:color w:val="000000"/>
          <w:szCs w:val="27"/>
        </w:rPr>
        <w:t>minorista</w:t>
      </w:r>
      <w:r w:rsidR="00F32E81" w:rsidRPr="00F42630">
        <w:rPr>
          <w:rFonts w:cs="Arial"/>
          <w:i/>
          <w:color w:val="000000"/>
          <w:szCs w:val="27"/>
        </w:rPr>
        <w:t xml:space="preserve"> de </w:t>
      </w:r>
      <w:r w:rsidR="004A5429" w:rsidRPr="00F42630">
        <w:rPr>
          <w:rFonts w:cs="Arial"/>
          <w:i/>
          <w:color w:val="000000"/>
          <w:szCs w:val="27"/>
        </w:rPr>
        <w:t>gas licuado de petróleo</w:t>
      </w:r>
      <w:r w:rsidR="00F32E81" w:rsidRPr="00F42630">
        <w:rPr>
          <w:rFonts w:cs="Arial"/>
          <w:i/>
          <w:color w:val="000000"/>
          <w:szCs w:val="27"/>
        </w:rPr>
        <w:t>, GLP</w:t>
      </w:r>
      <w:r w:rsidR="00F42630" w:rsidRPr="00F42630">
        <w:rPr>
          <w:rFonts w:cs="Arial"/>
          <w:i/>
          <w:color w:val="000000"/>
          <w:szCs w:val="27"/>
        </w:rPr>
        <w:t>”.</w:t>
      </w:r>
    </w:p>
    <w:p w:rsidR="00947B4C" w:rsidRPr="00447210" w:rsidRDefault="00947B4C" w:rsidP="00442C25"/>
    <w:p w:rsidR="00947B4C" w:rsidRPr="00BC7206" w:rsidRDefault="00947B4C" w:rsidP="00442C25">
      <w:pPr>
        <w:rPr>
          <w:sz w:val="16"/>
        </w:rPr>
      </w:pPr>
    </w:p>
    <w:p w:rsidR="00947B4C" w:rsidRPr="00BA5645" w:rsidRDefault="00947B4C" w:rsidP="00BA5645">
      <w:pPr>
        <w:jc w:val="center"/>
        <w:rPr>
          <w:b/>
        </w:rPr>
      </w:pPr>
      <w:r w:rsidRPr="00BA5645">
        <w:rPr>
          <w:b/>
        </w:rPr>
        <w:t>LA COMISIÓN DE REGULACIÓN DE ENERGÍA Y GAS</w:t>
      </w:r>
    </w:p>
    <w:p w:rsidR="00947B4C" w:rsidRDefault="00947B4C" w:rsidP="00442C25"/>
    <w:p w:rsidR="00BA5645" w:rsidRPr="00447210" w:rsidRDefault="00BA5645" w:rsidP="00442C25"/>
    <w:p w:rsidR="00947B4C" w:rsidRPr="00447210" w:rsidRDefault="00947B4C" w:rsidP="00F42630">
      <w:pPr>
        <w:jc w:val="center"/>
      </w:pPr>
      <w:r w:rsidRPr="00447210">
        <w:t xml:space="preserve">En ejercicio de sus facultades legales, en especial de las conferidas por la Ley 142 de 1994, y en desarrollo del Decreto 2253 de 1994 </w:t>
      </w:r>
    </w:p>
    <w:p w:rsidR="00BA5645" w:rsidRPr="00BC7206" w:rsidRDefault="00BA5645" w:rsidP="00442C25">
      <w:pPr>
        <w:rPr>
          <w:sz w:val="16"/>
        </w:rPr>
      </w:pPr>
    </w:p>
    <w:p w:rsidR="00BA5645" w:rsidRDefault="00BA5645" w:rsidP="00442C25"/>
    <w:p w:rsidR="00947B4C" w:rsidRPr="00BA5645" w:rsidRDefault="00947B4C" w:rsidP="00BA5645">
      <w:pPr>
        <w:jc w:val="center"/>
        <w:rPr>
          <w:b/>
        </w:rPr>
      </w:pPr>
      <w:r w:rsidRPr="00BA5645">
        <w:rPr>
          <w:b/>
        </w:rPr>
        <w:t>C O N S I D E R A N D O</w:t>
      </w:r>
      <w:r w:rsidR="001E12EB">
        <w:rPr>
          <w:b/>
        </w:rPr>
        <w:t xml:space="preserve"> </w:t>
      </w:r>
      <w:r w:rsidR="00BA5645" w:rsidRPr="00BA5645">
        <w:rPr>
          <w:b/>
        </w:rPr>
        <w:t xml:space="preserve"> Q</w:t>
      </w:r>
      <w:r w:rsidR="001E12EB">
        <w:rPr>
          <w:b/>
        </w:rPr>
        <w:t xml:space="preserve"> </w:t>
      </w:r>
      <w:r w:rsidR="00BA5645" w:rsidRPr="00BA5645">
        <w:rPr>
          <w:b/>
        </w:rPr>
        <w:t>U</w:t>
      </w:r>
      <w:r w:rsidR="001E12EB">
        <w:rPr>
          <w:b/>
        </w:rPr>
        <w:t xml:space="preserve"> </w:t>
      </w:r>
      <w:r w:rsidR="00BA5645" w:rsidRPr="00BA5645">
        <w:rPr>
          <w:b/>
        </w:rPr>
        <w:t>E</w:t>
      </w:r>
      <w:r w:rsidRPr="00BA5645">
        <w:rPr>
          <w:b/>
        </w:rPr>
        <w:t>:</w:t>
      </w:r>
    </w:p>
    <w:p w:rsidR="00947B4C" w:rsidRDefault="00947B4C" w:rsidP="00442C25"/>
    <w:p w:rsidR="001E12EB" w:rsidRPr="00447210" w:rsidRDefault="001E12EB" w:rsidP="00442C25"/>
    <w:p w:rsidR="00947B4C" w:rsidRDefault="00F42630" w:rsidP="00442C25">
      <w:r w:rsidRPr="00F42630">
        <w:t>Conforme a lo dispuesto por el artículo 9 del Decreto 2696 de 2004, concordante con el artículo 8 del Código de Procedimiento Administrativo de lo Contencioso Administrativo, la Comisión debe hacer públicos en su página web los proyectos de resolución de carácter general que prevé adoptar.</w:t>
      </w:r>
    </w:p>
    <w:p w:rsidR="00F42630" w:rsidRPr="00447210" w:rsidRDefault="00F42630" w:rsidP="00442C25"/>
    <w:p w:rsidR="00947B4C" w:rsidRPr="00F42630" w:rsidRDefault="00947B4C" w:rsidP="00442C25">
      <w:pPr>
        <w:rPr>
          <w:i/>
        </w:rPr>
      </w:pPr>
      <w:r w:rsidRPr="00447210">
        <w:t xml:space="preserve">Que la </w:t>
      </w:r>
      <w:r w:rsidR="004A5429">
        <w:t>Comisión</w:t>
      </w:r>
      <w:r w:rsidRPr="00447210">
        <w:t xml:space="preserve"> de Regulación de Energía y Gas, en su </w:t>
      </w:r>
      <w:r w:rsidR="004A5429">
        <w:t>sesión</w:t>
      </w:r>
      <w:r w:rsidRPr="00447210">
        <w:t xml:space="preserve"> </w:t>
      </w:r>
      <w:r w:rsidR="004B4EDE">
        <w:t>564</w:t>
      </w:r>
      <w:r w:rsidRPr="00447210">
        <w:t xml:space="preserve"> del </w:t>
      </w:r>
      <w:r w:rsidR="004B4EDE">
        <w:t xml:space="preserve">5 </w:t>
      </w:r>
      <w:r w:rsidRPr="00447210">
        <w:t xml:space="preserve">de </w:t>
      </w:r>
      <w:r w:rsidR="00F32E81">
        <w:t>ju</w:t>
      </w:r>
      <w:r w:rsidR="00F42630">
        <w:t>l</w:t>
      </w:r>
      <w:r w:rsidR="00F32E81">
        <w:t>io de 2013</w:t>
      </w:r>
      <w:r w:rsidRPr="00447210">
        <w:t>, aprobó hacer público el proyecto de resolución “</w:t>
      </w:r>
      <w:r w:rsidRPr="00F42630">
        <w:rPr>
          <w:i/>
        </w:rPr>
        <w:t xml:space="preserve">Por la cual se </w:t>
      </w:r>
      <w:r w:rsidR="00F32E81" w:rsidRPr="00F42630">
        <w:rPr>
          <w:i/>
        </w:rPr>
        <w:t>establecen los indicadores de c</w:t>
      </w:r>
      <w:r w:rsidRPr="00F42630">
        <w:rPr>
          <w:i/>
        </w:rPr>
        <w:t>alidad del</w:t>
      </w:r>
      <w:r w:rsidR="00F32E81" w:rsidRPr="00F42630">
        <w:rPr>
          <w:i/>
        </w:rPr>
        <w:t xml:space="preserve"> s</w:t>
      </w:r>
      <w:r w:rsidRPr="00F42630">
        <w:rPr>
          <w:i/>
        </w:rPr>
        <w:t xml:space="preserve">ervicio </w:t>
      </w:r>
      <w:r w:rsidR="00F32E81" w:rsidRPr="00F42630">
        <w:rPr>
          <w:i/>
        </w:rPr>
        <w:t xml:space="preserve">de </w:t>
      </w:r>
      <w:r w:rsidR="004A5429" w:rsidRPr="00F42630">
        <w:rPr>
          <w:i/>
        </w:rPr>
        <w:t>distribución</w:t>
      </w:r>
      <w:r w:rsidR="00F32E81" w:rsidRPr="00F42630">
        <w:rPr>
          <w:i/>
        </w:rPr>
        <w:t xml:space="preserve"> y </w:t>
      </w:r>
      <w:r w:rsidR="004A5429" w:rsidRPr="00F42630">
        <w:rPr>
          <w:i/>
        </w:rPr>
        <w:t>comercialización</w:t>
      </w:r>
      <w:r w:rsidR="00F32E81" w:rsidRPr="00F42630">
        <w:rPr>
          <w:i/>
        </w:rPr>
        <w:t xml:space="preserve"> </w:t>
      </w:r>
      <w:r w:rsidR="004A5429" w:rsidRPr="00F42630">
        <w:rPr>
          <w:i/>
        </w:rPr>
        <w:t>minorista</w:t>
      </w:r>
      <w:r w:rsidR="00F32E81" w:rsidRPr="00F42630">
        <w:rPr>
          <w:i/>
        </w:rPr>
        <w:t xml:space="preserve"> de </w:t>
      </w:r>
      <w:r w:rsidR="004A5429" w:rsidRPr="00F42630">
        <w:rPr>
          <w:i/>
        </w:rPr>
        <w:t>gas licuado de petróleo</w:t>
      </w:r>
      <w:r w:rsidRPr="00F42630">
        <w:rPr>
          <w:i/>
        </w:rPr>
        <w:t>, GLP”</w:t>
      </w:r>
    </w:p>
    <w:p w:rsidR="00947B4C" w:rsidRPr="00BC7206" w:rsidRDefault="00947B4C" w:rsidP="00442C25">
      <w:pPr>
        <w:rPr>
          <w:sz w:val="12"/>
        </w:rPr>
      </w:pPr>
    </w:p>
    <w:p w:rsidR="00947B4C" w:rsidRPr="00447210" w:rsidRDefault="00947B4C" w:rsidP="00442C25"/>
    <w:p w:rsidR="00947B4C" w:rsidRPr="00D435C9" w:rsidRDefault="00947B4C" w:rsidP="00D435C9">
      <w:pPr>
        <w:jc w:val="center"/>
        <w:rPr>
          <w:b/>
        </w:rPr>
      </w:pPr>
      <w:r w:rsidRPr="00D435C9">
        <w:rPr>
          <w:b/>
        </w:rPr>
        <w:t>R E S U E L V E:</w:t>
      </w:r>
    </w:p>
    <w:p w:rsidR="00947B4C" w:rsidRDefault="00947B4C" w:rsidP="00D435C9"/>
    <w:p w:rsidR="00947B4C" w:rsidRPr="006473BF" w:rsidRDefault="006473BF" w:rsidP="006473BF">
      <w:r w:rsidRPr="006473BF">
        <w:rPr>
          <w:b/>
        </w:rPr>
        <w:t>Artículo 1.</w:t>
      </w:r>
      <w:r>
        <w:t xml:space="preserve"> </w:t>
      </w:r>
      <w:r w:rsidR="00947B4C" w:rsidRPr="006473BF">
        <w:t>Hágase público el proyecto de resolución “</w:t>
      </w:r>
      <w:r w:rsidR="00F32E81" w:rsidRPr="00F42630">
        <w:rPr>
          <w:i/>
        </w:rPr>
        <w:t xml:space="preserve">Por la cual se establecen los indicadores de calidad </w:t>
      </w:r>
      <w:r w:rsidR="001F2336">
        <w:rPr>
          <w:i/>
        </w:rPr>
        <w:t xml:space="preserve">que deben exigirse en la prestación </w:t>
      </w:r>
      <w:r w:rsidR="00F32E81" w:rsidRPr="00F42630">
        <w:rPr>
          <w:i/>
        </w:rPr>
        <w:t xml:space="preserve">del servicio de </w:t>
      </w:r>
      <w:r w:rsidR="004A5429" w:rsidRPr="00F42630">
        <w:rPr>
          <w:i/>
        </w:rPr>
        <w:t>distribución</w:t>
      </w:r>
      <w:r w:rsidR="00F32E81" w:rsidRPr="00F42630">
        <w:rPr>
          <w:i/>
        </w:rPr>
        <w:t xml:space="preserve"> y </w:t>
      </w:r>
      <w:r w:rsidR="004A5429" w:rsidRPr="00F42630">
        <w:rPr>
          <w:i/>
        </w:rPr>
        <w:t>comercialización</w:t>
      </w:r>
      <w:r w:rsidR="00F32E81" w:rsidRPr="00F42630">
        <w:rPr>
          <w:i/>
        </w:rPr>
        <w:t xml:space="preserve"> </w:t>
      </w:r>
      <w:r w:rsidR="004A5429" w:rsidRPr="00F42630">
        <w:rPr>
          <w:i/>
        </w:rPr>
        <w:t>minorista</w:t>
      </w:r>
      <w:r w:rsidR="00F32E81" w:rsidRPr="00F42630">
        <w:rPr>
          <w:i/>
        </w:rPr>
        <w:t xml:space="preserve"> de </w:t>
      </w:r>
      <w:r w:rsidR="004A5429" w:rsidRPr="00F42630">
        <w:rPr>
          <w:i/>
        </w:rPr>
        <w:t>gas licuado de petróleo</w:t>
      </w:r>
      <w:r w:rsidR="00F32E81" w:rsidRPr="00F42630">
        <w:rPr>
          <w:i/>
        </w:rPr>
        <w:t>, GLP</w:t>
      </w:r>
      <w:r w:rsidR="00947B4C" w:rsidRPr="00F42630">
        <w:rPr>
          <w:i/>
        </w:rPr>
        <w:t>”</w:t>
      </w:r>
      <w:r w:rsidR="00F42630">
        <w:rPr>
          <w:i/>
        </w:rPr>
        <w:t>.</w:t>
      </w:r>
      <w:r w:rsidR="00947B4C" w:rsidRPr="00F42630">
        <w:rPr>
          <w:i/>
        </w:rPr>
        <w:t xml:space="preserve"> </w:t>
      </w:r>
    </w:p>
    <w:p w:rsidR="00947B4C" w:rsidRPr="00447210" w:rsidRDefault="00947B4C" w:rsidP="006473BF"/>
    <w:p w:rsidR="00947B4C" w:rsidRDefault="006473BF" w:rsidP="006473BF">
      <w:r w:rsidRPr="006473BF">
        <w:rPr>
          <w:b/>
        </w:rPr>
        <w:t xml:space="preserve">Artículo </w:t>
      </w:r>
      <w:r w:rsidR="00947B4C" w:rsidRPr="006473BF">
        <w:rPr>
          <w:b/>
        </w:rPr>
        <w:t>2.</w:t>
      </w:r>
      <w:r w:rsidR="00947B4C" w:rsidRPr="00447210">
        <w:t xml:space="preserve"> </w:t>
      </w:r>
      <w:r w:rsidR="00947B4C" w:rsidRPr="00D435C9">
        <w:t xml:space="preserve">Se invita a los agentes, a los usuarios y a la Superintendencia de Servicios Públicos Domiciliarios, para que remitan sus observaciones o sugerencias sobre la propuesta, dentro de los </w:t>
      </w:r>
      <w:r w:rsidR="00AE45B1">
        <w:t>treinta</w:t>
      </w:r>
      <w:r w:rsidR="00947B4C" w:rsidRPr="00D435C9">
        <w:t xml:space="preserve"> (</w:t>
      </w:r>
      <w:r w:rsidR="00AE45B1">
        <w:t>3</w:t>
      </w:r>
      <w:r w:rsidR="00947B4C" w:rsidRPr="00D435C9">
        <w:t xml:space="preserve">0) días siguientes a la publicación de la presente </w:t>
      </w:r>
      <w:r w:rsidR="004A5429">
        <w:t>r</w:t>
      </w:r>
      <w:r w:rsidR="004A5429" w:rsidRPr="00D435C9">
        <w:t xml:space="preserve">esolución </w:t>
      </w:r>
      <w:r w:rsidR="00947B4C" w:rsidRPr="00D435C9">
        <w:t xml:space="preserve">en la página </w:t>
      </w:r>
      <w:r w:rsidR="004A5429">
        <w:t>w</w:t>
      </w:r>
      <w:r w:rsidR="004A5429" w:rsidRPr="00D435C9">
        <w:t xml:space="preserve">eb </w:t>
      </w:r>
      <w:r w:rsidR="00947B4C" w:rsidRPr="00D435C9">
        <w:t xml:space="preserve">de la </w:t>
      </w:r>
      <w:r w:rsidR="004A5429">
        <w:t>Comisión</w:t>
      </w:r>
      <w:r w:rsidR="00947B4C" w:rsidRPr="00D435C9">
        <w:t xml:space="preserve"> de Regulación de Energía y Gas.</w:t>
      </w:r>
    </w:p>
    <w:p w:rsidR="00BC7206" w:rsidRPr="00447210" w:rsidRDefault="00BC7206" w:rsidP="006473BF"/>
    <w:p w:rsidR="00947B4C" w:rsidRDefault="00947B4C" w:rsidP="00442C25">
      <w:r w:rsidRPr="00447210">
        <w:rPr>
          <w:b/>
        </w:rPr>
        <w:lastRenderedPageBreak/>
        <w:t>A</w:t>
      </w:r>
      <w:r w:rsidR="00F56CCC" w:rsidRPr="00447210">
        <w:rPr>
          <w:b/>
        </w:rPr>
        <w:t xml:space="preserve">rtículo </w:t>
      </w:r>
      <w:r w:rsidRPr="00447210">
        <w:rPr>
          <w:b/>
        </w:rPr>
        <w:t>3</w:t>
      </w:r>
      <w:r w:rsidRPr="00447210">
        <w:t xml:space="preserve">. </w:t>
      </w:r>
      <w:r w:rsidR="00F42630" w:rsidRPr="00F42630">
        <w:t xml:space="preserve">Las observaciones y sugerencias sobre el proyecto deberán dirigirse a Germán Castro Ferreira, Director Ejecutivo de la Comisión, a la siguientes dirección: Avenida Calle 116 No. 7-15, Edificio Torre </w:t>
      </w:r>
      <w:proofErr w:type="spellStart"/>
      <w:r w:rsidR="00F42630" w:rsidRPr="00F42630">
        <w:t>Cusezar</w:t>
      </w:r>
      <w:proofErr w:type="spellEnd"/>
      <w:r w:rsidR="00F42630" w:rsidRPr="00F42630">
        <w:t>, Interior 2, Oficina 901 o al correo electrónico creg@creg.gov.co.</w:t>
      </w:r>
    </w:p>
    <w:p w:rsidR="00F56CCC" w:rsidRPr="00447210" w:rsidRDefault="00F56CCC" w:rsidP="00442C25"/>
    <w:p w:rsidR="00947B4C" w:rsidRPr="00447210" w:rsidRDefault="00F56CCC" w:rsidP="00442C25">
      <w:r w:rsidRPr="00447210">
        <w:rPr>
          <w:b/>
        </w:rPr>
        <w:t xml:space="preserve">Artículo </w:t>
      </w:r>
      <w:r w:rsidR="00947B4C" w:rsidRPr="00447210">
        <w:rPr>
          <w:b/>
        </w:rPr>
        <w:t>4</w:t>
      </w:r>
      <w:r w:rsidR="00947B4C" w:rsidRPr="00447210">
        <w:t>. La presente Resolución no deroga ni modifica disposiciones vigentes por tratarse de un acto de trámite.</w:t>
      </w:r>
    </w:p>
    <w:p w:rsidR="00947B4C" w:rsidRPr="00447210" w:rsidRDefault="00947B4C" w:rsidP="00442C25"/>
    <w:p w:rsidR="00947B4C" w:rsidRPr="00447210" w:rsidRDefault="00947B4C" w:rsidP="00442C25"/>
    <w:p w:rsidR="00947B4C" w:rsidRPr="00F56CCC" w:rsidRDefault="00947B4C" w:rsidP="00F56CCC">
      <w:pPr>
        <w:jc w:val="center"/>
        <w:rPr>
          <w:b/>
        </w:rPr>
      </w:pPr>
      <w:r w:rsidRPr="00F56CCC">
        <w:rPr>
          <w:b/>
        </w:rPr>
        <w:t>PUBLÍQUESE Y CÚMPLASE</w:t>
      </w:r>
    </w:p>
    <w:p w:rsidR="00947B4C" w:rsidRDefault="00947B4C" w:rsidP="00442C25"/>
    <w:p w:rsidR="00F56CCC" w:rsidRPr="00447210" w:rsidRDefault="00F56CCC" w:rsidP="00442C25"/>
    <w:p w:rsidR="00947B4C" w:rsidRPr="00447210" w:rsidRDefault="00947B4C" w:rsidP="00442C25">
      <w:r w:rsidRPr="00447210">
        <w:t xml:space="preserve">Dada en Bogotá, D.C., </w:t>
      </w:r>
    </w:p>
    <w:p w:rsidR="00947B4C" w:rsidRPr="00447210" w:rsidRDefault="00947B4C" w:rsidP="00442C25"/>
    <w:p w:rsidR="00947B4C" w:rsidRPr="00447210" w:rsidRDefault="00947B4C" w:rsidP="00442C25"/>
    <w:p w:rsidR="00947B4C" w:rsidRDefault="00947B4C" w:rsidP="00442C25"/>
    <w:p w:rsidR="004B4EDE" w:rsidRPr="00447210" w:rsidRDefault="004B4EDE" w:rsidP="00442C25"/>
    <w:p w:rsidR="00947B4C" w:rsidRPr="00447210" w:rsidRDefault="00947B4C" w:rsidP="00442C25"/>
    <w:p w:rsidR="00947B4C" w:rsidRPr="00447210" w:rsidRDefault="00947B4C" w:rsidP="00442C25"/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4010"/>
      </w:tblGrid>
      <w:tr w:rsidR="001C716C" w:rsidRPr="000019D2" w:rsidTr="00D96C3C">
        <w:trPr>
          <w:tblCellSpacing w:w="0" w:type="dxa"/>
        </w:trPr>
        <w:tc>
          <w:tcPr>
            <w:tcW w:w="5346" w:type="dxa"/>
          </w:tcPr>
          <w:p w:rsidR="001C716C" w:rsidRDefault="004B4EDE" w:rsidP="00D96C3C">
            <w:pPr>
              <w:ind w:left="66"/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FEDERICO RENGIFO VÉLEZ</w:t>
            </w:r>
          </w:p>
          <w:p w:rsidR="001C716C" w:rsidRPr="008C2E57" w:rsidRDefault="004B4EDE" w:rsidP="004B4EDE">
            <w:pPr>
              <w:ind w:left="66"/>
              <w:jc w:val="center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M</w:t>
            </w:r>
            <w:r w:rsidR="001C716C">
              <w:rPr>
                <w:rFonts w:cs="Arial"/>
                <w:spacing w:val="-3"/>
              </w:rPr>
              <w:t xml:space="preserve">inistro de </w:t>
            </w:r>
            <w:r>
              <w:rPr>
                <w:rFonts w:cs="Arial"/>
                <w:spacing w:val="-3"/>
              </w:rPr>
              <w:t xml:space="preserve">Minas y </w:t>
            </w:r>
            <w:r w:rsidR="001C716C">
              <w:rPr>
                <w:rFonts w:cs="Arial"/>
                <w:spacing w:val="-3"/>
              </w:rPr>
              <w:t>Energía</w:t>
            </w:r>
          </w:p>
        </w:tc>
        <w:tc>
          <w:tcPr>
            <w:tcW w:w="4010" w:type="dxa"/>
          </w:tcPr>
          <w:p w:rsidR="001C716C" w:rsidRDefault="001C716C" w:rsidP="00D96C3C">
            <w:pPr>
              <w:ind w:left="89"/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GERMÁN CASTRO FERREIRA</w:t>
            </w:r>
          </w:p>
          <w:p w:rsidR="001C716C" w:rsidRPr="00CA4732" w:rsidRDefault="001C716C" w:rsidP="00D96C3C">
            <w:pPr>
              <w:ind w:left="89"/>
              <w:jc w:val="center"/>
              <w:rPr>
                <w:rFonts w:eastAsia="Arial Unicode MS" w:cs="Arial"/>
                <w:bCs/>
              </w:rPr>
            </w:pPr>
            <w:r w:rsidRPr="00CA4732">
              <w:rPr>
                <w:rFonts w:cs="Arial"/>
                <w:spacing w:val="-3"/>
              </w:rPr>
              <w:t>Director Ejecutivo</w:t>
            </w:r>
          </w:p>
        </w:tc>
      </w:tr>
      <w:tr w:rsidR="001C716C" w:rsidRPr="000019D2" w:rsidTr="00D96C3C">
        <w:trPr>
          <w:tblCellSpacing w:w="0" w:type="dxa"/>
        </w:trPr>
        <w:tc>
          <w:tcPr>
            <w:tcW w:w="5346" w:type="dxa"/>
          </w:tcPr>
          <w:p w:rsidR="001C716C" w:rsidRPr="000019D2" w:rsidRDefault="001C716C" w:rsidP="00D96C3C">
            <w:pPr>
              <w:ind w:left="66"/>
              <w:jc w:val="center"/>
              <w:rPr>
                <w:rFonts w:eastAsia="Arial Unicode MS" w:cs="Arial"/>
                <w:color w:val="000000"/>
              </w:rPr>
            </w:pPr>
            <w:r w:rsidRPr="000019D2">
              <w:rPr>
                <w:rFonts w:cs="Arial"/>
                <w:spacing w:val="-3"/>
              </w:rPr>
              <w:t>Presidente</w:t>
            </w:r>
          </w:p>
        </w:tc>
        <w:tc>
          <w:tcPr>
            <w:tcW w:w="4010" w:type="dxa"/>
          </w:tcPr>
          <w:p w:rsidR="001C716C" w:rsidRPr="000019D2" w:rsidRDefault="001C716C" w:rsidP="00D96C3C">
            <w:pPr>
              <w:jc w:val="center"/>
              <w:rPr>
                <w:rFonts w:eastAsia="Arial Unicode MS" w:cs="Arial"/>
                <w:color w:val="000000"/>
              </w:rPr>
            </w:pPr>
          </w:p>
        </w:tc>
      </w:tr>
    </w:tbl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Default="00947B4C" w:rsidP="00442C25"/>
    <w:p w:rsidR="00BC7206" w:rsidRDefault="00BC7206" w:rsidP="00442C25"/>
    <w:p w:rsidR="00BC7206" w:rsidRDefault="00BC7206" w:rsidP="00442C25"/>
    <w:p w:rsidR="00BC7206" w:rsidRDefault="00BC7206" w:rsidP="00442C25"/>
    <w:p w:rsidR="00BC7206" w:rsidRPr="00447210" w:rsidRDefault="00BC7206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Pr="00447210" w:rsidRDefault="00947B4C" w:rsidP="00442C25"/>
    <w:p w:rsidR="00947B4C" w:rsidRDefault="00947B4C" w:rsidP="00442C25"/>
    <w:p w:rsidR="00947B4C" w:rsidRPr="00FE5AC4" w:rsidRDefault="00947B4C" w:rsidP="00FE5AC4">
      <w:pPr>
        <w:jc w:val="center"/>
        <w:rPr>
          <w:b/>
        </w:rPr>
      </w:pPr>
      <w:r w:rsidRPr="00FE5AC4">
        <w:rPr>
          <w:b/>
        </w:rPr>
        <w:t>PROYECTO DE RESOLUCIÓN</w:t>
      </w:r>
    </w:p>
    <w:p w:rsidR="00947B4C" w:rsidRDefault="00947B4C" w:rsidP="00442C25"/>
    <w:p w:rsidR="00FE5AC4" w:rsidRDefault="00FE5AC4" w:rsidP="00442C25"/>
    <w:p w:rsidR="00947B4C" w:rsidRPr="00447210" w:rsidRDefault="00AE45B1" w:rsidP="00442C25">
      <w:r w:rsidRPr="00AE45B1">
        <w:t xml:space="preserve">Por la cual se establecen los indicadores de calidad </w:t>
      </w:r>
      <w:r w:rsidR="001F2336" w:rsidRPr="001F2336">
        <w:t xml:space="preserve">que deben exigirse en la prestación </w:t>
      </w:r>
      <w:r w:rsidRPr="00AE45B1">
        <w:t xml:space="preserve">del servicio de </w:t>
      </w:r>
      <w:r w:rsidR="004A5429">
        <w:t>distribución</w:t>
      </w:r>
      <w:r w:rsidRPr="00AE45B1">
        <w:t xml:space="preserve"> y </w:t>
      </w:r>
      <w:r w:rsidR="004A5429">
        <w:t>comercialización</w:t>
      </w:r>
      <w:r w:rsidRPr="00AE45B1">
        <w:t xml:space="preserve"> </w:t>
      </w:r>
      <w:r w:rsidR="004A5429">
        <w:t>minorista</w:t>
      </w:r>
      <w:r w:rsidRPr="00AE45B1">
        <w:t xml:space="preserve"> de </w:t>
      </w:r>
      <w:r w:rsidR="004A5429">
        <w:t>gas licuado de petróleo</w:t>
      </w:r>
      <w:r w:rsidRPr="00AE45B1">
        <w:t>, GLP</w:t>
      </w:r>
      <w:r w:rsidR="00947B4C">
        <w:t>.</w:t>
      </w:r>
    </w:p>
    <w:p w:rsidR="00947B4C" w:rsidRDefault="00947B4C" w:rsidP="00442C25"/>
    <w:p w:rsidR="00947B4C" w:rsidRPr="00BC7206" w:rsidRDefault="00947B4C" w:rsidP="00442C25">
      <w:pPr>
        <w:rPr>
          <w:sz w:val="18"/>
        </w:rPr>
      </w:pPr>
    </w:p>
    <w:p w:rsidR="00FE5AC4" w:rsidRPr="00BA5645" w:rsidRDefault="00FE5AC4" w:rsidP="00FE5AC4">
      <w:pPr>
        <w:jc w:val="center"/>
        <w:rPr>
          <w:b/>
        </w:rPr>
      </w:pPr>
      <w:r w:rsidRPr="00BA5645">
        <w:rPr>
          <w:b/>
        </w:rPr>
        <w:t>LA COMISIÓN DE REGULACIÓN DE ENERGÍA Y GAS</w:t>
      </w:r>
    </w:p>
    <w:p w:rsidR="00FE5AC4" w:rsidRDefault="00FE5AC4" w:rsidP="00442C25"/>
    <w:p w:rsidR="004B4EDE" w:rsidRPr="00BC7206" w:rsidRDefault="004B4EDE" w:rsidP="00442C25">
      <w:pPr>
        <w:rPr>
          <w:sz w:val="16"/>
        </w:rPr>
      </w:pPr>
    </w:p>
    <w:p w:rsidR="00947B4C" w:rsidRPr="00447210" w:rsidRDefault="00FE5AC4" w:rsidP="00A0702F">
      <w:pPr>
        <w:jc w:val="center"/>
      </w:pPr>
      <w:r>
        <w:t>E</w:t>
      </w:r>
      <w:r w:rsidR="00947B4C" w:rsidRPr="00447210">
        <w:t>n ejercicio de sus atribuciones legales, en especial las conferidas por la Ley 142 de 1994 los Decretos 1524 y 2253 de 1994 y,</w:t>
      </w:r>
    </w:p>
    <w:p w:rsidR="00947B4C" w:rsidRPr="00447210" w:rsidRDefault="00947B4C" w:rsidP="00442C25"/>
    <w:p w:rsidR="00947B4C" w:rsidRDefault="00947B4C" w:rsidP="00442C25"/>
    <w:p w:rsidR="00FE5AC4" w:rsidRPr="00BA5645" w:rsidRDefault="00FE5AC4" w:rsidP="00FE5AC4">
      <w:pPr>
        <w:jc w:val="center"/>
        <w:rPr>
          <w:b/>
        </w:rPr>
      </w:pPr>
      <w:r w:rsidRPr="00BA5645">
        <w:rPr>
          <w:b/>
        </w:rPr>
        <w:t>C O N S I D E R A N D O QUE:</w:t>
      </w:r>
    </w:p>
    <w:p w:rsidR="00947B4C" w:rsidRPr="00447210" w:rsidRDefault="00947B4C" w:rsidP="00442C25"/>
    <w:p w:rsidR="00947B4C" w:rsidRPr="00447210" w:rsidRDefault="00947B4C" w:rsidP="00442C25"/>
    <w:p w:rsidR="00947B4C" w:rsidRPr="00447210" w:rsidRDefault="00AE45B1" w:rsidP="00FE5AC4">
      <w:r>
        <w:t>E</w:t>
      </w:r>
      <w:r w:rsidR="00947B4C" w:rsidRPr="00447210">
        <w:t xml:space="preserve">l </w:t>
      </w:r>
      <w:r w:rsidR="00682705">
        <w:t>a</w:t>
      </w:r>
      <w:r w:rsidR="00947B4C" w:rsidRPr="00447210">
        <w:t xml:space="preserve">rtículo 73.11 de la Ley 142 de 1994 atribuyó a la </w:t>
      </w:r>
      <w:r w:rsidR="004A5429">
        <w:t>Comisión</w:t>
      </w:r>
      <w:r w:rsidR="00947B4C" w:rsidRPr="00447210">
        <w:t xml:space="preserve"> de Regulación de Energía y Gas la competencia para establecer las fórmulas para la fijación de las tarifas del servicio público d</w:t>
      </w:r>
      <w:r w:rsidR="00144E31">
        <w:t>omiciliario de gas combustible.</w:t>
      </w:r>
    </w:p>
    <w:p w:rsidR="00947B4C" w:rsidRPr="00447210" w:rsidRDefault="00947B4C" w:rsidP="00FE5AC4"/>
    <w:p w:rsidR="00947B4C" w:rsidRPr="00447210" w:rsidRDefault="00AE45B1" w:rsidP="00FE5AC4">
      <w:r>
        <w:t>S</w:t>
      </w:r>
      <w:r w:rsidR="00947B4C" w:rsidRPr="00447210">
        <w:t xml:space="preserve">egún lo dispuesto en el </w:t>
      </w:r>
      <w:r w:rsidR="00682705">
        <w:t>a</w:t>
      </w:r>
      <w:r w:rsidR="00947B4C" w:rsidRPr="00447210">
        <w:t xml:space="preserve">rtículo 73, Numeral 73.4 de la Ley 142 de 1994, corresponde a la </w:t>
      </w:r>
      <w:r w:rsidR="004A5429">
        <w:t>Comisión</w:t>
      </w:r>
      <w:r w:rsidR="00947B4C" w:rsidRPr="00447210">
        <w:t xml:space="preserve"> de Regulación de Energía y Gas, “</w:t>
      </w:r>
      <w:r w:rsidR="00947B4C" w:rsidRPr="00CC75A2">
        <w:rPr>
          <w:i/>
        </w:rPr>
        <w:t>fijar las normas de calidad a las que deben ceñirse las empresas de servicios públicos en la prestación del servicio</w:t>
      </w:r>
      <w:r w:rsidR="00144E31">
        <w:t>”.</w:t>
      </w:r>
    </w:p>
    <w:p w:rsidR="00947B4C" w:rsidRPr="00447210" w:rsidRDefault="00947B4C" w:rsidP="00FE5AC4"/>
    <w:p w:rsidR="00947B4C" w:rsidRPr="00447210" w:rsidRDefault="00AE45B1" w:rsidP="00FE5AC4">
      <w:r>
        <w:t>D</w:t>
      </w:r>
      <w:r w:rsidR="00947B4C" w:rsidRPr="00447210">
        <w:t xml:space="preserve">e acuerdo con el </w:t>
      </w:r>
      <w:r w:rsidR="00682705">
        <w:t>a</w:t>
      </w:r>
      <w:r w:rsidR="00947B4C" w:rsidRPr="00447210">
        <w:t>rtículo 87, Numeral 87.8 de la Ley 142 de 1994, toda tarifa tendrá un carácter integral, en el sentido de que supondrá una calidad y grado de cobertura del servicio, cuyas características defin</w:t>
      </w:r>
      <w:r w:rsidR="00144E31">
        <w:t>irán las comisiones reguladoras.</w:t>
      </w:r>
      <w:r w:rsidR="00696291">
        <w:t xml:space="preserve"> </w:t>
      </w:r>
      <w:r w:rsidR="00144E31">
        <w:t>E</w:t>
      </w:r>
      <w:r w:rsidR="00947B4C" w:rsidRPr="00447210">
        <w:t xml:space="preserve">l </w:t>
      </w:r>
      <w:r w:rsidR="00682705">
        <w:t>a</w:t>
      </w:r>
      <w:r w:rsidR="00947B4C" w:rsidRPr="00447210">
        <w:t>rtículo 136 de la</w:t>
      </w:r>
      <w:r w:rsidR="00144E31">
        <w:t xml:space="preserve"> misma l</w:t>
      </w:r>
      <w:r w:rsidR="00947B4C" w:rsidRPr="00447210">
        <w:t>ey</w:t>
      </w:r>
      <w:r w:rsidR="00144E31">
        <w:t xml:space="preserve"> establece que </w:t>
      </w:r>
      <w:r w:rsidR="00947B4C" w:rsidRPr="00447210">
        <w:t xml:space="preserve">la prestación </w:t>
      </w:r>
      <w:r w:rsidR="00144E31" w:rsidRPr="00447210">
        <w:t>continúa</w:t>
      </w:r>
      <w:r w:rsidR="00947B4C" w:rsidRPr="00447210">
        <w:t xml:space="preserve"> de un servicio de buena calidad, es la </w:t>
      </w:r>
      <w:r w:rsidR="00144E31" w:rsidRPr="00447210">
        <w:t xml:space="preserve">principal </w:t>
      </w:r>
      <w:r w:rsidR="00947B4C" w:rsidRPr="00447210">
        <w:t xml:space="preserve">obligación de la empresa en el contrato de servicios públicos; </w:t>
      </w:r>
    </w:p>
    <w:p w:rsidR="00947B4C" w:rsidRPr="00447210" w:rsidRDefault="00947B4C" w:rsidP="00FE5AC4"/>
    <w:p w:rsidR="00947B4C" w:rsidRPr="00447210" w:rsidRDefault="00696291" w:rsidP="00FE5AC4">
      <w:r>
        <w:t>M</w:t>
      </w:r>
      <w:r w:rsidR="00947B4C" w:rsidRPr="00447210">
        <w:t xml:space="preserve">ediante la Resolución CREG-066 de 2002 la </w:t>
      </w:r>
      <w:r w:rsidR="004A5429">
        <w:t>Comisión</w:t>
      </w:r>
      <w:r w:rsidR="00947B4C" w:rsidRPr="00447210">
        <w:t xml:space="preserve"> sometió a consideración de los agentes, usuarios y terceros interesados las bases sobre las cuales se definiría la formula aplicable a las diferentes actividades de la prestación del servicio público domiciliario de GLP</w:t>
      </w:r>
      <w:r w:rsidR="00273BDE">
        <w:t>.</w:t>
      </w:r>
    </w:p>
    <w:p w:rsidR="00947B4C" w:rsidRPr="00447210" w:rsidRDefault="00947B4C" w:rsidP="00FE5AC4"/>
    <w:p w:rsidR="00947B4C" w:rsidRPr="00447210" w:rsidRDefault="00273BDE" w:rsidP="00FE5AC4">
      <w:r>
        <w:t xml:space="preserve">En dichas bases </w:t>
      </w:r>
      <w:r w:rsidR="00947B4C" w:rsidRPr="00447210">
        <w:t>se estableció que los requerimientos de información asociados a aspectos de calidad así como otras obligaciones serán tópico especial de la regulación de calidad del producto y del servicio de GLP que la CREG pondrá a consideración de la industria y de los terceros interesados</w:t>
      </w:r>
      <w:r>
        <w:t>.</w:t>
      </w:r>
    </w:p>
    <w:p w:rsidR="00947B4C" w:rsidRPr="00447210" w:rsidRDefault="00947B4C" w:rsidP="00FE5AC4"/>
    <w:p w:rsidR="00947B4C" w:rsidRPr="00447210" w:rsidRDefault="00273BDE" w:rsidP="00FE5AC4">
      <w:r>
        <w:t>M</w:t>
      </w:r>
      <w:r w:rsidR="00947B4C" w:rsidRPr="00447210">
        <w:t>ediante Resolución CREG 072 de 2002,</w:t>
      </w:r>
      <w:r>
        <w:t xml:space="preserve"> la </w:t>
      </w:r>
      <w:r w:rsidR="004A5429">
        <w:t>Comisión</w:t>
      </w:r>
      <w:r w:rsidR="00947B4C" w:rsidRPr="00447210">
        <w:t xml:space="preserve"> adoptó la metodología para clasificar las personas prestadoras de los servicios públicos, de acuerdo con el nivel de riesgo y definió los criterios, metodologías, indicadores, parámetros y modelos de carácter obligatorio que permiten </w:t>
      </w:r>
      <w:r w:rsidR="00947B4C">
        <w:t>evaluar su gestión y resultados</w:t>
      </w:r>
      <w:r>
        <w:t>.</w:t>
      </w:r>
    </w:p>
    <w:p w:rsidR="00947B4C" w:rsidRPr="00447210" w:rsidRDefault="00947B4C" w:rsidP="00FE5AC4"/>
    <w:p w:rsidR="00273BDE" w:rsidRDefault="00273BDE" w:rsidP="00FE5AC4">
      <w:pPr>
        <w:rPr>
          <w:rFonts w:cs="Arial"/>
        </w:rPr>
      </w:pPr>
      <w:r>
        <w:rPr>
          <w:rFonts w:cs="Arial"/>
        </w:rPr>
        <w:lastRenderedPageBreak/>
        <w:t>Mediante Resolución CREG 100 de 2003, se fijaron los estándares de calidad para el servicio de gas natural y GLP en sistemas de distribución por redes de tubería.</w:t>
      </w:r>
    </w:p>
    <w:p w:rsidR="00273BDE" w:rsidRDefault="00273BDE" w:rsidP="00FE5AC4"/>
    <w:p w:rsidR="00947B4C" w:rsidRPr="00447210" w:rsidRDefault="00273BDE" w:rsidP="00FE5AC4">
      <w:r>
        <w:t>L</w:t>
      </w:r>
      <w:r w:rsidR="00947B4C" w:rsidRPr="00447210">
        <w:t xml:space="preserve">a </w:t>
      </w:r>
      <w:r w:rsidR="004A5429">
        <w:t>Comisión</w:t>
      </w:r>
      <w:r w:rsidR="00947B4C" w:rsidRPr="00447210">
        <w:t>, mediante Resolución CREG 016 de 2006, adoptó el Índice de Odorización</w:t>
      </w:r>
      <w:r>
        <w:t xml:space="preserve">, </w:t>
      </w:r>
      <w:r w:rsidR="00947B4C" w:rsidRPr="00447210">
        <w:t>IO</w:t>
      </w:r>
      <w:r>
        <w:t>,</w:t>
      </w:r>
      <w:r w:rsidR="00947B4C" w:rsidRPr="00447210">
        <w:t xml:space="preserve"> aplicable a la actividad de</w:t>
      </w:r>
      <w:r w:rsidR="00947B4C">
        <w:t xml:space="preserve"> distribución de GLP por redes</w:t>
      </w:r>
      <w:r>
        <w:t xml:space="preserve">. </w:t>
      </w:r>
    </w:p>
    <w:p w:rsidR="00947B4C" w:rsidRPr="00447210" w:rsidRDefault="00947B4C" w:rsidP="00FE5AC4"/>
    <w:p w:rsidR="00947B4C" w:rsidRPr="00447210" w:rsidRDefault="00273BDE" w:rsidP="00FE5AC4">
      <w:r>
        <w:t>La</w:t>
      </w:r>
      <w:r w:rsidR="00947B4C" w:rsidRPr="00447210">
        <w:t xml:space="preserve"> Resolución CREG 023 de 2008 adoptó el </w:t>
      </w:r>
      <w:r w:rsidR="004A5429">
        <w:t>r</w:t>
      </w:r>
      <w:r w:rsidR="004A5429" w:rsidRPr="00447210">
        <w:t xml:space="preserve">eglamento </w:t>
      </w:r>
      <w:r w:rsidR="00947B4C" w:rsidRPr="00447210">
        <w:t xml:space="preserve">de </w:t>
      </w:r>
      <w:r w:rsidR="004A5429">
        <w:t>distribución</w:t>
      </w:r>
      <w:r w:rsidR="00947B4C" w:rsidRPr="00447210">
        <w:t xml:space="preserve"> y </w:t>
      </w:r>
      <w:r w:rsidR="004A5429">
        <w:t>comercialización</w:t>
      </w:r>
      <w:r w:rsidR="00947B4C" w:rsidRPr="00447210">
        <w:t xml:space="preserve"> </w:t>
      </w:r>
      <w:r w:rsidR="004A5429">
        <w:t>minorista</w:t>
      </w:r>
      <w:r w:rsidR="00947B4C">
        <w:t xml:space="preserve"> de </w:t>
      </w:r>
      <w:r w:rsidR="004A5429">
        <w:t>gas licuado de petróleo</w:t>
      </w:r>
      <w:r>
        <w:t xml:space="preserve"> y estableció responsabilidades en la calidad del servicio y del producto envasado en los agentes encargados de la prestación del servicio.</w:t>
      </w:r>
      <w:r w:rsidR="00947B4C" w:rsidRPr="00447210">
        <w:t xml:space="preserve"> </w:t>
      </w:r>
    </w:p>
    <w:p w:rsidR="00947B4C" w:rsidRPr="00447210" w:rsidRDefault="00947B4C" w:rsidP="00FE5AC4"/>
    <w:p w:rsidR="00696291" w:rsidRPr="003128AA" w:rsidRDefault="00D96C3C" w:rsidP="00696291">
      <w:r w:rsidRPr="00D96C3C">
        <w:t>E</w:t>
      </w:r>
      <w:r w:rsidR="00696291" w:rsidRPr="003128AA">
        <w:t>n cumplimiento de la Ley 1151 de 2007</w:t>
      </w:r>
      <w:r w:rsidRPr="003128AA">
        <w:t xml:space="preserve"> y mediante la mencionada resolución, </w:t>
      </w:r>
      <w:r w:rsidR="00696291" w:rsidRPr="003128AA">
        <w:t xml:space="preserve">se introdujo un esquema de responsabilidad de marca cuyo objetivo principal, además de asignar responsabilidad al prestador del servicio, es generar competencia por la vía de la calidad </w:t>
      </w:r>
      <w:r w:rsidRPr="003128AA">
        <w:t>del producto entregado y del servicio prestado</w:t>
      </w:r>
      <w:r w:rsidR="00696291" w:rsidRPr="003128AA">
        <w:t>.</w:t>
      </w:r>
    </w:p>
    <w:p w:rsidR="00696291" w:rsidRPr="003128AA" w:rsidRDefault="00696291" w:rsidP="00696291">
      <w:r w:rsidRPr="003128AA">
        <w:t xml:space="preserve"> </w:t>
      </w:r>
    </w:p>
    <w:p w:rsidR="00242422" w:rsidRPr="00447210" w:rsidRDefault="00D96C3C" w:rsidP="00273BDE">
      <w:r w:rsidRPr="00D96C3C">
        <w:t>M</w:t>
      </w:r>
      <w:r w:rsidR="00273BDE" w:rsidRPr="00D96C3C">
        <w:t xml:space="preserve">ediante Resolución CREG-001 de 2009, la </w:t>
      </w:r>
      <w:r w:rsidR="004A5429">
        <w:t>Comisión</w:t>
      </w:r>
      <w:r w:rsidR="00273BDE" w:rsidRPr="00D96C3C">
        <w:t xml:space="preserve"> estableció los principios generales y la metodología para </w:t>
      </w:r>
      <w:r w:rsidR="00D134C3">
        <w:t>la determinación</w:t>
      </w:r>
      <w:r w:rsidR="00273BDE" w:rsidRPr="00D96C3C">
        <w:t xml:space="preserve"> de los cargos de </w:t>
      </w:r>
      <w:r w:rsidR="004A5429">
        <w:t>distribución</w:t>
      </w:r>
      <w:r w:rsidR="00273BDE" w:rsidRPr="00D96C3C">
        <w:t xml:space="preserve"> y </w:t>
      </w:r>
      <w:r w:rsidR="004A5429">
        <w:t>comercialización</w:t>
      </w:r>
      <w:r w:rsidR="00273BDE" w:rsidRPr="00D96C3C">
        <w:t xml:space="preserve"> </w:t>
      </w:r>
      <w:r w:rsidR="004A5429">
        <w:t>minorista</w:t>
      </w:r>
      <w:r w:rsidR="00273BDE" w:rsidRPr="00D96C3C">
        <w:t xml:space="preserve"> de GLP, </w:t>
      </w:r>
      <w:r w:rsidR="00D134C3">
        <w:t>definiendo</w:t>
      </w:r>
      <w:r w:rsidRPr="00D96C3C">
        <w:t xml:space="preserve"> que dichas empresas pueden fijar su</w:t>
      </w:r>
      <w:r w:rsidR="00057607">
        <w:t>s</w:t>
      </w:r>
      <w:r w:rsidRPr="00D96C3C">
        <w:t xml:space="preserve"> propias tarifas bajo un </w:t>
      </w:r>
      <w:r w:rsidR="00273BDE" w:rsidRPr="003128AA">
        <w:t>régimen de libertad vigilada.</w:t>
      </w:r>
    </w:p>
    <w:p w:rsidR="00696291" w:rsidRDefault="00696291" w:rsidP="00696291"/>
    <w:p w:rsidR="00242422" w:rsidRDefault="00D96C3C" w:rsidP="00442C25">
      <w:r>
        <w:t>L</w:t>
      </w:r>
      <w:r w:rsidR="00947B4C" w:rsidRPr="00447210">
        <w:t>os usuarios tienen el derecho a conocer las condiciones en las cuales se le presta el servicio, a comparar el desempeño de las diferentes empresas y a contar con herramientas que permitan una decisión informada acerca de su proveedor de GLP</w:t>
      </w:r>
      <w:r>
        <w:t>.</w:t>
      </w:r>
    </w:p>
    <w:p w:rsidR="00242422" w:rsidRDefault="00242422" w:rsidP="00442C25"/>
    <w:p w:rsidR="00947B4C" w:rsidRDefault="00242422" w:rsidP="00442C25">
      <w:r>
        <w:t xml:space="preserve">Por estas razones, la </w:t>
      </w:r>
      <w:r w:rsidR="004A5429">
        <w:t>Comisión</w:t>
      </w:r>
      <w:r>
        <w:t xml:space="preserve"> </w:t>
      </w:r>
      <w:r w:rsidR="001F2336">
        <w:t xml:space="preserve">adelantó </w:t>
      </w:r>
      <w:r>
        <w:t>una propuesta para adoptar los indicadores de calidad del GLP la cual fue puesta a consulta de los agentes y terceros interesados, mediante la Resolución CREG 157 de 2010.</w:t>
      </w:r>
    </w:p>
    <w:p w:rsidR="00242422" w:rsidRDefault="00242422" w:rsidP="00442C25"/>
    <w:p w:rsidR="00242422" w:rsidRDefault="003F484B" w:rsidP="003128AA">
      <w:pPr>
        <w:rPr>
          <w:rFonts w:cs="Arial"/>
          <w:spacing w:val="-3"/>
        </w:rPr>
      </w:pPr>
      <w:r>
        <w:t>El día</w:t>
      </w:r>
      <w:r w:rsidR="00242422">
        <w:t xml:space="preserve"> 29 de enero de 2011 </w:t>
      </w:r>
      <w:r>
        <w:rPr>
          <w:rFonts w:cs="Arial"/>
          <w:spacing w:val="-3"/>
        </w:rPr>
        <w:t>se presentó</w:t>
      </w:r>
      <w:r w:rsidR="00242422">
        <w:rPr>
          <w:rFonts w:cs="Arial"/>
          <w:spacing w:val="-3"/>
        </w:rPr>
        <w:t xml:space="preserve"> ante las empresas de servicios públicos y terceros interesados, la propuesta de indicadores de calidad para el servicio de </w:t>
      </w:r>
      <w:r w:rsidR="004A5429">
        <w:rPr>
          <w:rFonts w:cs="Arial"/>
          <w:spacing w:val="-3"/>
        </w:rPr>
        <w:t>distribución</w:t>
      </w:r>
      <w:r w:rsidR="00242422">
        <w:rPr>
          <w:rFonts w:cs="Arial"/>
          <w:spacing w:val="-3"/>
        </w:rPr>
        <w:t xml:space="preserve"> y </w:t>
      </w:r>
      <w:r w:rsidR="004A5429">
        <w:rPr>
          <w:rFonts w:cs="Arial"/>
          <w:spacing w:val="-3"/>
        </w:rPr>
        <w:t>comercialización</w:t>
      </w:r>
      <w:r w:rsidR="00242422">
        <w:rPr>
          <w:rFonts w:cs="Arial"/>
          <w:spacing w:val="-3"/>
        </w:rPr>
        <w:t xml:space="preserve"> </w:t>
      </w:r>
      <w:r w:rsidR="004A5429">
        <w:rPr>
          <w:rFonts w:cs="Arial"/>
          <w:spacing w:val="-3"/>
        </w:rPr>
        <w:t>minorista</w:t>
      </w:r>
      <w:r w:rsidR="00242422">
        <w:rPr>
          <w:rFonts w:cs="Arial"/>
          <w:spacing w:val="-3"/>
        </w:rPr>
        <w:t xml:space="preserve"> de GLP.</w:t>
      </w:r>
    </w:p>
    <w:p w:rsidR="00242422" w:rsidRDefault="00242422" w:rsidP="00242422">
      <w:pPr>
        <w:tabs>
          <w:tab w:val="center" w:pos="4680"/>
        </w:tabs>
        <w:rPr>
          <w:rFonts w:cs="Arial"/>
          <w:spacing w:val="-3"/>
        </w:rPr>
      </w:pPr>
    </w:p>
    <w:p w:rsidR="00242422" w:rsidRDefault="00242422" w:rsidP="00EE5DC8">
      <w:pPr>
        <w:tabs>
          <w:tab w:val="center" w:pos="4680"/>
        </w:tabs>
        <w:rPr>
          <w:rFonts w:cs="Arial"/>
          <w:spacing w:val="-3"/>
        </w:rPr>
      </w:pPr>
      <w:r>
        <w:rPr>
          <w:rFonts w:cs="Arial"/>
          <w:spacing w:val="-3"/>
        </w:rPr>
        <w:t xml:space="preserve">Sobre la propuesta publicada con la Resolución CREG 157 de 2010 se recibieron comentarios de las siguientes entidades con las comunicaciones radicadas en la CREG así: </w:t>
      </w:r>
      <w:r w:rsidR="00EE5DC8" w:rsidRPr="00EE5DC8">
        <w:rPr>
          <w:rFonts w:cs="Arial"/>
          <w:spacing w:val="-3"/>
        </w:rPr>
        <w:t>SIVA S.A. E.S.P. E-2011-001071</w:t>
      </w:r>
      <w:r w:rsidR="00EE5DC8">
        <w:rPr>
          <w:rFonts w:cs="Arial"/>
          <w:spacing w:val="-3"/>
        </w:rPr>
        <w:t xml:space="preserve">, PLUS S.A. E.S.P. </w:t>
      </w:r>
      <w:r w:rsidR="00EE5DC8" w:rsidRPr="00EE5DC8">
        <w:rPr>
          <w:rFonts w:cs="Arial"/>
          <w:spacing w:val="-3"/>
        </w:rPr>
        <w:t>E-2011-001073</w:t>
      </w:r>
      <w:r w:rsidR="00EE5DC8">
        <w:rPr>
          <w:rFonts w:cs="Arial"/>
          <w:spacing w:val="-3"/>
        </w:rPr>
        <w:t xml:space="preserve">, </w:t>
      </w:r>
      <w:r w:rsidR="00EE5DC8" w:rsidRPr="00EE5DC8">
        <w:rPr>
          <w:rFonts w:cs="Arial"/>
          <w:spacing w:val="-3"/>
        </w:rPr>
        <w:t>AGREMGAS</w:t>
      </w:r>
      <w:r w:rsidR="00493199">
        <w:rPr>
          <w:rFonts w:cs="Arial"/>
          <w:spacing w:val="-3"/>
        </w:rPr>
        <w:t xml:space="preserve"> </w:t>
      </w:r>
      <w:r w:rsidR="00EE5DC8" w:rsidRPr="00EE5DC8">
        <w:rPr>
          <w:rFonts w:cs="Arial"/>
          <w:spacing w:val="-3"/>
        </w:rPr>
        <w:t>E-2011-009505</w:t>
      </w:r>
      <w:r w:rsidR="00493199">
        <w:rPr>
          <w:rFonts w:cs="Arial"/>
          <w:spacing w:val="-3"/>
        </w:rPr>
        <w:t xml:space="preserve"> y </w:t>
      </w:r>
      <w:r w:rsidR="00EE5DC8" w:rsidRPr="00EE5DC8">
        <w:rPr>
          <w:rFonts w:cs="Arial"/>
          <w:spacing w:val="-3"/>
        </w:rPr>
        <w:t>E-2011-011960</w:t>
      </w:r>
      <w:r w:rsidR="00493199">
        <w:rPr>
          <w:rFonts w:cs="Arial"/>
          <w:spacing w:val="-3"/>
        </w:rPr>
        <w:t>, S</w:t>
      </w:r>
      <w:r w:rsidR="004A5429">
        <w:rPr>
          <w:rFonts w:cs="Arial"/>
          <w:spacing w:val="-3"/>
        </w:rPr>
        <w:t xml:space="preserve">uperintendencia de </w:t>
      </w:r>
      <w:r w:rsidR="00493199">
        <w:rPr>
          <w:rFonts w:cs="Arial"/>
          <w:spacing w:val="-3"/>
        </w:rPr>
        <w:t>S</w:t>
      </w:r>
      <w:r w:rsidR="004A5429">
        <w:rPr>
          <w:rFonts w:cs="Arial"/>
          <w:spacing w:val="-3"/>
        </w:rPr>
        <w:t xml:space="preserve">ervicios </w:t>
      </w:r>
      <w:r w:rsidR="00493199">
        <w:rPr>
          <w:rFonts w:cs="Arial"/>
          <w:spacing w:val="-3"/>
        </w:rPr>
        <w:t>P</w:t>
      </w:r>
      <w:r w:rsidR="004A5429">
        <w:rPr>
          <w:rFonts w:cs="Arial"/>
          <w:spacing w:val="-3"/>
        </w:rPr>
        <w:t xml:space="preserve">úblicos </w:t>
      </w:r>
      <w:r w:rsidR="00493199">
        <w:rPr>
          <w:rFonts w:cs="Arial"/>
          <w:spacing w:val="-3"/>
        </w:rPr>
        <w:t>D</w:t>
      </w:r>
      <w:r w:rsidR="004A5429">
        <w:rPr>
          <w:rFonts w:cs="Arial"/>
          <w:spacing w:val="-3"/>
        </w:rPr>
        <w:t>omiciliarios</w:t>
      </w:r>
      <w:r w:rsidR="00493199">
        <w:rPr>
          <w:rFonts w:cs="Arial"/>
          <w:spacing w:val="-3"/>
        </w:rPr>
        <w:t xml:space="preserve"> </w:t>
      </w:r>
      <w:r w:rsidR="00EE5DC8" w:rsidRPr="00EE5DC8">
        <w:rPr>
          <w:rFonts w:cs="Arial"/>
          <w:spacing w:val="-3"/>
        </w:rPr>
        <w:t>E-2011-010474</w:t>
      </w:r>
      <w:r w:rsidR="00493199">
        <w:rPr>
          <w:rFonts w:cs="Arial"/>
          <w:spacing w:val="-3"/>
        </w:rPr>
        <w:t xml:space="preserve">, </w:t>
      </w:r>
      <w:r w:rsidR="00EE5DC8" w:rsidRPr="00EE5DC8">
        <w:rPr>
          <w:rFonts w:cs="Arial"/>
          <w:spacing w:val="-3"/>
        </w:rPr>
        <w:t>ASOGAS</w:t>
      </w:r>
      <w:r w:rsidR="00493199">
        <w:rPr>
          <w:rFonts w:cs="Arial"/>
          <w:spacing w:val="-3"/>
        </w:rPr>
        <w:t xml:space="preserve"> </w:t>
      </w:r>
      <w:r w:rsidR="00EE5DC8" w:rsidRPr="00EE5DC8">
        <w:rPr>
          <w:rFonts w:cs="Arial"/>
          <w:spacing w:val="-3"/>
        </w:rPr>
        <w:t>E-2011-011964</w:t>
      </w:r>
      <w:r w:rsidR="00493199">
        <w:rPr>
          <w:rFonts w:cs="Arial"/>
          <w:spacing w:val="-3"/>
        </w:rPr>
        <w:t>.</w:t>
      </w:r>
    </w:p>
    <w:p w:rsidR="00EE5DC8" w:rsidRDefault="00EE5DC8" w:rsidP="00242422">
      <w:pPr>
        <w:tabs>
          <w:tab w:val="center" w:pos="4680"/>
        </w:tabs>
        <w:rPr>
          <w:rFonts w:cs="Arial"/>
          <w:spacing w:val="-3"/>
        </w:rPr>
      </w:pPr>
    </w:p>
    <w:p w:rsidR="00056CB5" w:rsidRDefault="004057A2" w:rsidP="00242422">
      <w:pPr>
        <w:tabs>
          <w:tab w:val="center" w:pos="4680"/>
        </w:tabs>
        <w:rPr>
          <w:rFonts w:cs="Arial"/>
          <w:spacing w:val="-3"/>
        </w:rPr>
      </w:pPr>
      <w:r w:rsidRPr="006E3F10">
        <w:rPr>
          <w:rFonts w:cs="Arial"/>
          <w:spacing w:val="-3"/>
        </w:rPr>
        <w:t xml:space="preserve">El Ministerio de Minas y Energía, mediante </w:t>
      </w:r>
      <w:r w:rsidR="00056CB5" w:rsidRPr="006E3F10">
        <w:rPr>
          <w:rFonts w:cs="Arial"/>
          <w:spacing w:val="-3"/>
        </w:rPr>
        <w:t>Re</w:t>
      </w:r>
      <w:r w:rsidRPr="006E3F10">
        <w:rPr>
          <w:rFonts w:cs="Arial"/>
          <w:spacing w:val="-3"/>
        </w:rPr>
        <w:t xml:space="preserve">solución </w:t>
      </w:r>
      <w:r w:rsidR="00056CB5" w:rsidRPr="006E3F10">
        <w:rPr>
          <w:rFonts w:cs="Arial"/>
          <w:spacing w:val="-3"/>
        </w:rPr>
        <w:t>MME</w:t>
      </w:r>
      <w:r w:rsidRPr="006E3F10">
        <w:rPr>
          <w:rFonts w:cs="Arial"/>
          <w:spacing w:val="-3"/>
        </w:rPr>
        <w:t xml:space="preserve"> 18</w:t>
      </w:r>
      <w:r>
        <w:rPr>
          <w:rFonts w:cs="Arial"/>
          <w:spacing w:val="-3"/>
        </w:rPr>
        <w:t xml:space="preserve"> 0196 de 2006, modificada por la Resolución MME </w:t>
      </w:r>
      <w:r w:rsidR="0001510D">
        <w:rPr>
          <w:rFonts w:cs="Arial"/>
          <w:spacing w:val="-3"/>
        </w:rPr>
        <w:t xml:space="preserve">18 1464 de 2008, expidió el </w:t>
      </w:r>
      <w:r w:rsidR="004A5429">
        <w:rPr>
          <w:rFonts w:cs="Arial"/>
          <w:spacing w:val="-3"/>
        </w:rPr>
        <w:t xml:space="preserve">reglamento técnico </w:t>
      </w:r>
      <w:r w:rsidR="0001510D">
        <w:rPr>
          <w:rFonts w:cs="Arial"/>
          <w:spacing w:val="-3"/>
        </w:rPr>
        <w:t xml:space="preserve">para cilindros y tanques estacionarios utilizados en la prestación del servicio de GLP especificando los requisitos de seguridad que deben cumplir los cilindros y tanques estacionarios, </w:t>
      </w:r>
      <w:r w:rsidR="0066016F">
        <w:rPr>
          <w:rFonts w:cs="Arial"/>
          <w:spacing w:val="-3"/>
        </w:rPr>
        <w:t xml:space="preserve">así como </w:t>
      </w:r>
      <w:r w:rsidR="0001510D">
        <w:rPr>
          <w:rFonts w:cs="Arial"/>
          <w:spacing w:val="-3"/>
        </w:rPr>
        <w:t>los procedimientos para realizar la revisión y mantenimiento de los mismos</w:t>
      </w:r>
      <w:r w:rsidR="0066016F">
        <w:rPr>
          <w:rFonts w:cs="Arial"/>
          <w:spacing w:val="-3"/>
        </w:rPr>
        <w:t xml:space="preserve">. La Resolución MME 18 1464 de 2008 también estableció los requisitos para </w:t>
      </w:r>
      <w:r w:rsidR="0001510D">
        <w:rPr>
          <w:rFonts w:cs="Arial"/>
          <w:spacing w:val="-3"/>
        </w:rPr>
        <w:t>la m</w:t>
      </w:r>
      <w:r w:rsidR="0001510D" w:rsidRPr="0001510D">
        <w:rPr>
          <w:rFonts w:cs="Arial"/>
          <w:spacing w:val="-3"/>
        </w:rPr>
        <w:t>arcación de cilindros universales adecuados y de cilindros nuevos marcados</w:t>
      </w:r>
      <w:r w:rsidR="0001510D">
        <w:rPr>
          <w:rFonts w:cs="Arial"/>
          <w:spacing w:val="-3"/>
        </w:rPr>
        <w:t>.</w:t>
      </w:r>
    </w:p>
    <w:p w:rsidR="00BC7206" w:rsidRDefault="00BC7206" w:rsidP="00242422">
      <w:pPr>
        <w:tabs>
          <w:tab w:val="center" w:pos="4680"/>
        </w:tabs>
        <w:rPr>
          <w:rFonts w:cs="Arial"/>
          <w:spacing w:val="-3"/>
        </w:rPr>
      </w:pPr>
    </w:p>
    <w:p w:rsidR="0001510D" w:rsidRDefault="003157AD" w:rsidP="00242422">
      <w:pPr>
        <w:tabs>
          <w:tab w:val="center" w:pos="4680"/>
        </w:tabs>
        <w:rPr>
          <w:rFonts w:cs="Arial"/>
          <w:spacing w:val="-3"/>
        </w:rPr>
      </w:pPr>
      <w:r>
        <w:rPr>
          <w:rFonts w:cs="Arial"/>
          <w:spacing w:val="-3"/>
        </w:rPr>
        <w:lastRenderedPageBreak/>
        <w:t>Mediante Resolución MME 18 058</w:t>
      </w:r>
      <w:r w:rsidR="0001510D">
        <w:rPr>
          <w:rFonts w:cs="Arial"/>
          <w:spacing w:val="-3"/>
        </w:rPr>
        <w:t>1 de 2008, el Ministerio de Minas y Energía expidió</w:t>
      </w:r>
      <w:r w:rsidR="0001510D" w:rsidRPr="0001510D">
        <w:rPr>
          <w:rFonts w:cs="Arial"/>
          <w:spacing w:val="-3"/>
        </w:rPr>
        <w:t xml:space="preserve"> el reglamento </w:t>
      </w:r>
      <w:r w:rsidR="0066016F">
        <w:rPr>
          <w:rFonts w:cs="Arial"/>
          <w:spacing w:val="-3"/>
        </w:rPr>
        <w:t>t</w:t>
      </w:r>
      <w:r w:rsidR="0001510D" w:rsidRPr="0001510D">
        <w:rPr>
          <w:rFonts w:cs="Arial"/>
          <w:spacing w:val="-3"/>
        </w:rPr>
        <w:t xml:space="preserve">écnico para plantas de envasado de </w:t>
      </w:r>
      <w:r w:rsidR="0001510D">
        <w:rPr>
          <w:rFonts w:cs="Arial"/>
          <w:spacing w:val="-3"/>
        </w:rPr>
        <w:t>GLP</w:t>
      </w:r>
      <w:r w:rsidR="0066016F">
        <w:rPr>
          <w:rFonts w:cs="Arial"/>
          <w:spacing w:val="-3"/>
        </w:rPr>
        <w:t>, dentro del cual se estableció, entre otros, el procedimiento que deben realizar los distribuidores en su planta de envasado para realizar el llenado de cilindros.</w:t>
      </w:r>
    </w:p>
    <w:p w:rsidR="0001510D" w:rsidRDefault="0001510D" w:rsidP="00242422">
      <w:pPr>
        <w:tabs>
          <w:tab w:val="center" w:pos="4680"/>
        </w:tabs>
        <w:rPr>
          <w:rFonts w:cs="Arial"/>
          <w:spacing w:val="-3"/>
        </w:rPr>
      </w:pPr>
    </w:p>
    <w:p w:rsidR="00E87B67" w:rsidRDefault="00E87B67" w:rsidP="00E87B67">
      <w:pPr>
        <w:tabs>
          <w:tab w:val="center" w:pos="4680"/>
        </w:tabs>
        <w:rPr>
          <w:rFonts w:cs="Arial"/>
          <w:spacing w:val="-3"/>
        </w:rPr>
      </w:pPr>
      <w:r>
        <w:rPr>
          <w:rFonts w:cs="Arial"/>
          <w:spacing w:val="-3"/>
        </w:rPr>
        <w:t>E</w:t>
      </w:r>
      <w:r w:rsidR="005E3977">
        <w:rPr>
          <w:rFonts w:cs="Arial"/>
          <w:spacing w:val="-3"/>
        </w:rPr>
        <w:t>ste último</w:t>
      </w:r>
      <w:r w:rsidRPr="0001510D">
        <w:rPr>
          <w:rFonts w:cs="Arial"/>
          <w:spacing w:val="-3"/>
        </w:rPr>
        <w:t xml:space="preserve"> reglamento </w:t>
      </w:r>
      <w:r>
        <w:rPr>
          <w:rFonts w:cs="Arial"/>
          <w:spacing w:val="-3"/>
        </w:rPr>
        <w:t>t</w:t>
      </w:r>
      <w:r w:rsidRPr="0001510D">
        <w:rPr>
          <w:rFonts w:cs="Arial"/>
          <w:spacing w:val="-3"/>
        </w:rPr>
        <w:t xml:space="preserve">écnico </w:t>
      </w:r>
      <w:r>
        <w:rPr>
          <w:rFonts w:cs="Arial"/>
          <w:spacing w:val="-3"/>
        </w:rPr>
        <w:t xml:space="preserve">también estableció que para </w:t>
      </w:r>
      <w:r w:rsidRPr="00E87B67">
        <w:rPr>
          <w:rFonts w:cs="Arial"/>
          <w:spacing w:val="-3"/>
        </w:rPr>
        <w:t>opera</w:t>
      </w:r>
      <w:r>
        <w:rPr>
          <w:rFonts w:cs="Arial"/>
          <w:spacing w:val="-3"/>
        </w:rPr>
        <w:t>r</w:t>
      </w:r>
      <w:r w:rsidRPr="00E87B67">
        <w:rPr>
          <w:rFonts w:cs="Arial"/>
          <w:spacing w:val="-3"/>
        </w:rPr>
        <w:t xml:space="preserve"> una planta de envasado</w:t>
      </w:r>
      <w:r w:rsidR="005E3977">
        <w:rPr>
          <w:rFonts w:cs="Arial"/>
          <w:spacing w:val="-3"/>
        </w:rPr>
        <w:t xml:space="preserve"> de GLP</w:t>
      </w:r>
      <w:r w:rsidRPr="00E87B67">
        <w:rPr>
          <w:rFonts w:cs="Arial"/>
          <w:spacing w:val="-3"/>
        </w:rPr>
        <w:t xml:space="preserve">, el </w:t>
      </w:r>
      <w:r w:rsidR="004A5429">
        <w:rPr>
          <w:rFonts w:cs="Arial"/>
          <w:spacing w:val="-3"/>
        </w:rPr>
        <w:t>d</w:t>
      </w:r>
      <w:r w:rsidR="004A5429" w:rsidRPr="00E87B67">
        <w:rPr>
          <w:rFonts w:cs="Arial"/>
          <w:spacing w:val="-3"/>
        </w:rPr>
        <w:t xml:space="preserve">istribuidor </w:t>
      </w:r>
      <w:r w:rsidRPr="00E87B67">
        <w:rPr>
          <w:rFonts w:cs="Arial"/>
          <w:spacing w:val="-3"/>
        </w:rPr>
        <w:t xml:space="preserve">deberá demostrar la conformidad sobre el cumplimiento del </w:t>
      </w:r>
      <w:r>
        <w:rPr>
          <w:rFonts w:cs="Arial"/>
          <w:spacing w:val="-3"/>
        </w:rPr>
        <w:t>r</w:t>
      </w:r>
      <w:r w:rsidRPr="00E87B67">
        <w:rPr>
          <w:rFonts w:cs="Arial"/>
          <w:spacing w:val="-3"/>
        </w:rPr>
        <w:t xml:space="preserve">eglamento a través de un </w:t>
      </w:r>
      <w:r w:rsidR="004A5429">
        <w:rPr>
          <w:rFonts w:cs="Arial"/>
          <w:spacing w:val="-3"/>
        </w:rPr>
        <w:t>c</w:t>
      </w:r>
      <w:r w:rsidR="004A5429" w:rsidRPr="00E87B67">
        <w:rPr>
          <w:rFonts w:cs="Arial"/>
          <w:spacing w:val="-3"/>
        </w:rPr>
        <w:t xml:space="preserve">ertificado </w:t>
      </w:r>
      <w:r w:rsidRPr="00E87B67">
        <w:rPr>
          <w:rFonts w:cs="Arial"/>
          <w:spacing w:val="-3"/>
        </w:rPr>
        <w:t xml:space="preserve">de </w:t>
      </w:r>
      <w:r w:rsidR="004A5429">
        <w:rPr>
          <w:rFonts w:cs="Arial"/>
          <w:spacing w:val="-3"/>
        </w:rPr>
        <w:t>c</w:t>
      </w:r>
      <w:r w:rsidR="004A5429" w:rsidRPr="00E87B67">
        <w:rPr>
          <w:rFonts w:cs="Arial"/>
          <w:spacing w:val="-3"/>
        </w:rPr>
        <w:t>onformidad</w:t>
      </w:r>
      <w:r w:rsidR="004A5429">
        <w:rPr>
          <w:rFonts w:cs="Arial"/>
          <w:spacing w:val="-3"/>
        </w:rPr>
        <w:t xml:space="preserve"> </w:t>
      </w:r>
      <w:r w:rsidR="005E3977">
        <w:rPr>
          <w:rFonts w:cs="Arial"/>
          <w:spacing w:val="-3"/>
        </w:rPr>
        <w:t>e</w:t>
      </w:r>
      <w:r w:rsidR="005E3977" w:rsidRPr="005E3977">
        <w:rPr>
          <w:rFonts w:cs="Arial"/>
          <w:spacing w:val="-3"/>
        </w:rPr>
        <w:t>xpedido por un organismo de certificación acreditado</w:t>
      </w:r>
      <w:r w:rsidR="005E3977">
        <w:rPr>
          <w:rFonts w:cs="Arial"/>
          <w:spacing w:val="-3"/>
        </w:rPr>
        <w:t>, y que en caso de que no exista tal organismo, s</w:t>
      </w:r>
      <w:r w:rsidR="005E3977" w:rsidRPr="005E3977">
        <w:rPr>
          <w:rFonts w:cs="Arial"/>
          <w:spacing w:val="-3"/>
        </w:rPr>
        <w:t xml:space="preserve">e adoptará la declaración de conformidad de proveedor </w:t>
      </w:r>
      <w:r w:rsidR="005E3977">
        <w:rPr>
          <w:rFonts w:cs="Arial"/>
          <w:spacing w:val="-3"/>
        </w:rPr>
        <w:t>de</w:t>
      </w:r>
      <w:r w:rsidR="005E3977" w:rsidRPr="005E3977">
        <w:rPr>
          <w:rFonts w:cs="Arial"/>
          <w:spacing w:val="-3"/>
        </w:rPr>
        <w:t xml:space="preserve"> primera parte</w:t>
      </w:r>
      <w:r w:rsidR="005E3977">
        <w:rPr>
          <w:rFonts w:cs="Arial"/>
          <w:spacing w:val="-3"/>
        </w:rPr>
        <w:t>.</w:t>
      </w:r>
    </w:p>
    <w:p w:rsidR="00FB3263" w:rsidRDefault="00FB3263" w:rsidP="00242422">
      <w:pPr>
        <w:tabs>
          <w:tab w:val="center" w:pos="4680"/>
        </w:tabs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6E3F10">
        <w:rPr>
          <w:rFonts w:cs="Arial"/>
          <w:spacing w:val="-3"/>
        </w:rPr>
        <w:t xml:space="preserve"> </w:t>
      </w:r>
    </w:p>
    <w:p w:rsidR="00242422" w:rsidRDefault="00D134C3" w:rsidP="00181212">
      <w:pPr>
        <w:tabs>
          <w:tab w:val="center" w:pos="4680"/>
        </w:tabs>
        <w:rPr>
          <w:rFonts w:cs="Arial"/>
          <w:spacing w:val="-3"/>
        </w:rPr>
      </w:pPr>
      <w:r>
        <w:rPr>
          <w:rFonts w:cs="Arial"/>
          <w:spacing w:val="-3"/>
        </w:rPr>
        <w:t>A</w:t>
      </w:r>
      <w:r w:rsidR="001F2336">
        <w:rPr>
          <w:rFonts w:cs="Arial"/>
          <w:spacing w:val="-3"/>
        </w:rPr>
        <w:t>tendiendo la</w:t>
      </w:r>
      <w:r>
        <w:rPr>
          <w:rFonts w:cs="Arial"/>
          <w:spacing w:val="-3"/>
        </w:rPr>
        <w:t>s</w:t>
      </w:r>
      <w:r w:rsidR="001F2336">
        <w:rPr>
          <w:rFonts w:cs="Arial"/>
          <w:spacing w:val="-3"/>
        </w:rPr>
        <w:t xml:space="preserve"> norma</w:t>
      </w:r>
      <w:r>
        <w:rPr>
          <w:rFonts w:cs="Arial"/>
          <w:spacing w:val="-3"/>
        </w:rPr>
        <w:t>s</w:t>
      </w:r>
      <w:r w:rsidR="001F2336" w:rsidRPr="001F2336">
        <w:rPr>
          <w:rFonts w:cs="Arial"/>
          <w:spacing w:val="-3"/>
        </w:rPr>
        <w:t xml:space="preserve"> técnica</w:t>
      </w:r>
      <w:r>
        <w:rPr>
          <w:rFonts w:cs="Arial"/>
          <w:spacing w:val="-3"/>
        </w:rPr>
        <w:t>s</w:t>
      </w:r>
      <w:r w:rsidR="001F2336" w:rsidRPr="001F2336">
        <w:rPr>
          <w:rFonts w:cs="Arial"/>
          <w:spacing w:val="-3"/>
        </w:rPr>
        <w:t xml:space="preserve"> y regulatoria</w:t>
      </w:r>
      <w:r>
        <w:rPr>
          <w:rFonts w:cs="Arial"/>
          <w:spacing w:val="-3"/>
        </w:rPr>
        <w:t>s</w:t>
      </w:r>
      <w:r w:rsidR="001F2336" w:rsidRPr="001F233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expedidas </w:t>
      </w:r>
      <w:r w:rsidR="001F2336">
        <w:rPr>
          <w:rFonts w:cs="Arial"/>
          <w:spacing w:val="-3"/>
        </w:rPr>
        <w:t xml:space="preserve">con posterioridad a la propuesta de la Resolución CREG 157 de 2010 </w:t>
      </w:r>
      <w:r>
        <w:rPr>
          <w:rFonts w:cs="Arial"/>
          <w:spacing w:val="-3"/>
        </w:rPr>
        <w:t>y los</w:t>
      </w:r>
      <w:r w:rsidR="001F2336">
        <w:rPr>
          <w:rFonts w:cs="Arial"/>
          <w:spacing w:val="-3"/>
        </w:rPr>
        <w:t xml:space="preserve"> </w:t>
      </w:r>
      <w:r w:rsidR="00242422">
        <w:rPr>
          <w:rFonts w:cs="Arial"/>
          <w:spacing w:val="-3"/>
        </w:rPr>
        <w:t>comentarios recibidos en la CREG</w:t>
      </w:r>
      <w:r w:rsidR="001F2336">
        <w:rPr>
          <w:rFonts w:cs="Arial"/>
          <w:spacing w:val="-3"/>
        </w:rPr>
        <w:t xml:space="preserve"> a dicho acto administrativo, </w:t>
      </w:r>
      <w:r>
        <w:rPr>
          <w:rFonts w:cs="Arial"/>
          <w:spacing w:val="-3"/>
        </w:rPr>
        <w:t xml:space="preserve">la Comisión considera conveniente presentar una propuesta para la calidad del servicio, cuyo </w:t>
      </w:r>
      <w:r w:rsidR="00242422">
        <w:rPr>
          <w:rFonts w:cs="Arial"/>
          <w:spacing w:val="-3"/>
        </w:rPr>
        <w:t xml:space="preserve">respectivo análisis se presenta en el documento CREG </w:t>
      </w:r>
      <w:r w:rsidR="004B4EDE">
        <w:rPr>
          <w:rFonts w:cs="Arial"/>
          <w:spacing w:val="-3"/>
        </w:rPr>
        <w:t>054</w:t>
      </w:r>
      <w:r w:rsidR="00493199">
        <w:rPr>
          <w:rFonts w:cs="Arial"/>
          <w:spacing w:val="-3"/>
        </w:rPr>
        <w:t xml:space="preserve"> </w:t>
      </w:r>
      <w:r w:rsidR="00242422">
        <w:rPr>
          <w:rFonts w:cs="Arial"/>
          <w:spacing w:val="-3"/>
        </w:rPr>
        <w:t>de 201</w:t>
      </w:r>
      <w:r w:rsidR="00493199">
        <w:rPr>
          <w:rFonts w:cs="Arial"/>
          <w:spacing w:val="-3"/>
        </w:rPr>
        <w:t>3</w:t>
      </w:r>
      <w:r w:rsidR="00242422">
        <w:rPr>
          <w:rFonts w:cs="Arial"/>
          <w:spacing w:val="-3"/>
        </w:rPr>
        <w:t>.</w:t>
      </w:r>
      <w:r w:rsidRPr="00D134C3">
        <w:rPr>
          <w:rFonts w:cs="Arial"/>
          <w:spacing w:val="-3"/>
        </w:rPr>
        <w:t xml:space="preserve"> </w:t>
      </w:r>
    </w:p>
    <w:p w:rsidR="00D134C3" w:rsidRPr="00D134C3" w:rsidRDefault="00D134C3" w:rsidP="00181212">
      <w:pPr>
        <w:tabs>
          <w:tab w:val="center" w:pos="4680"/>
        </w:tabs>
        <w:rPr>
          <w:rFonts w:cs="Arial"/>
          <w:spacing w:val="-3"/>
          <w:sz w:val="14"/>
        </w:rPr>
      </w:pPr>
    </w:p>
    <w:p w:rsidR="00947B4C" w:rsidRPr="00447210" w:rsidRDefault="00947B4C" w:rsidP="00442C25"/>
    <w:p w:rsidR="00947B4C" w:rsidRPr="00FE5AC4" w:rsidRDefault="00947B4C" w:rsidP="00FE5AC4">
      <w:pPr>
        <w:jc w:val="center"/>
        <w:rPr>
          <w:b/>
        </w:rPr>
      </w:pPr>
      <w:r w:rsidRPr="00FE5AC4">
        <w:rPr>
          <w:b/>
        </w:rPr>
        <w:t>R E S U E L V E</w:t>
      </w:r>
    </w:p>
    <w:p w:rsidR="00947B4C" w:rsidRPr="00D134C3" w:rsidRDefault="00947B4C" w:rsidP="00442C25">
      <w:pPr>
        <w:rPr>
          <w:sz w:val="18"/>
        </w:rPr>
      </w:pPr>
    </w:p>
    <w:p w:rsidR="00947B4C" w:rsidRPr="00BC7206" w:rsidRDefault="00947B4C" w:rsidP="00442C25">
      <w:pPr>
        <w:rPr>
          <w:sz w:val="18"/>
        </w:rPr>
      </w:pPr>
    </w:p>
    <w:p w:rsidR="00947B4C" w:rsidRPr="003128AA" w:rsidRDefault="006473BF" w:rsidP="00A46170">
      <w:pPr>
        <w:pStyle w:val="Artculo"/>
      </w:pPr>
      <w:r w:rsidRPr="00271964">
        <w:rPr>
          <w:b/>
        </w:rPr>
        <w:t>Ámbito de aplicación</w:t>
      </w:r>
      <w:r w:rsidR="00947B4C" w:rsidRPr="00FE5AC4">
        <w:t xml:space="preserve">. </w:t>
      </w:r>
      <w:r w:rsidR="00D96C3C">
        <w:t>L</w:t>
      </w:r>
      <w:r w:rsidR="00947B4C" w:rsidRPr="00FE5AC4">
        <w:t xml:space="preserve">os indicadores de calidad de </w:t>
      </w:r>
      <w:proofErr w:type="spellStart"/>
      <w:r w:rsidR="00947B4C" w:rsidRPr="00FE5AC4">
        <w:t>que</w:t>
      </w:r>
      <w:proofErr w:type="spellEnd"/>
      <w:r w:rsidR="00947B4C" w:rsidRPr="00FE5AC4">
        <w:t xml:space="preserve"> trata la presente </w:t>
      </w:r>
      <w:r w:rsidR="00D96C3C">
        <w:t>r</w:t>
      </w:r>
      <w:r w:rsidR="00D96C3C" w:rsidRPr="00FE5AC4">
        <w:t xml:space="preserve">esolución </w:t>
      </w:r>
      <w:r w:rsidR="00947B4C" w:rsidRPr="00FE5AC4">
        <w:t xml:space="preserve">son </w:t>
      </w:r>
      <w:r w:rsidR="00537EEA">
        <w:t xml:space="preserve">aplicables y de obligatorio cumplimiento dentro de la prestación </w:t>
      </w:r>
      <w:r w:rsidR="00947B4C" w:rsidRPr="00FE5AC4">
        <w:t>del servicio público de GLP</w:t>
      </w:r>
      <w:r w:rsidR="00D96C3C">
        <w:t xml:space="preserve"> a través de cilindros</w:t>
      </w:r>
      <w:r w:rsidR="00B136E1">
        <w:t xml:space="preserve"> y tanques estacionarios</w:t>
      </w:r>
      <w:r w:rsidR="00537EEA">
        <w:t xml:space="preserve"> por parte de</w:t>
      </w:r>
      <w:r w:rsidR="00AD05AF">
        <w:t xml:space="preserve"> los </w:t>
      </w:r>
      <w:r w:rsidR="004A5429">
        <w:t>d</w:t>
      </w:r>
      <w:r w:rsidR="004A5429" w:rsidRPr="003128AA">
        <w:t>istribuidor</w:t>
      </w:r>
      <w:r w:rsidR="004A5429">
        <w:t>es</w:t>
      </w:r>
      <w:r w:rsidR="004A5429" w:rsidRPr="00AD05AF">
        <w:t xml:space="preserve"> </w:t>
      </w:r>
      <w:r w:rsidR="00537EEA">
        <w:t>y/</w:t>
      </w:r>
      <w:r w:rsidR="00AD05AF" w:rsidRPr="003128AA">
        <w:t xml:space="preserve">o </w:t>
      </w:r>
      <w:r w:rsidR="004A5429">
        <w:t>c</w:t>
      </w:r>
      <w:r w:rsidR="004A5429" w:rsidRPr="003128AA">
        <w:t>omercializador</w:t>
      </w:r>
      <w:r w:rsidR="004A5429">
        <w:t>es</w:t>
      </w:r>
      <w:r w:rsidR="004A5429" w:rsidRPr="003128AA">
        <w:t xml:space="preserve"> </w:t>
      </w:r>
      <w:r w:rsidR="004A5429">
        <w:t>minorista</w:t>
      </w:r>
      <w:r w:rsidR="00AD05AF">
        <w:t>s de GLP</w:t>
      </w:r>
      <w:r w:rsidR="00AD05AF" w:rsidRPr="003128AA">
        <w:t xml:space="preserve"> según se establece en esta resolución</w:t>
      </w:r>
      <w:r w:rsidR="00947B4C" w:rsidRPr="00FE5AC4">
        <w:t>.</w:t>
      </w:r>
    </w:p>
    <w:p w:rsidR="00114515" w:rsidRDefault="00114515"/>
    <w:p w:rsidR="00114515" w:rsidRPr="00DC1680" w:rsidRDefault="003128AA" w:rsidP="00A46170">
      <w:pPr>
        <w:pStyle w:val="Artculo"/>
      </w:pPr>
      <w:r w:rsidRPr="00271964">
        <w:rPr>
          <w:b/>
        </w:rPr>
        <w:t>Objeto</w:t>
      </w:r>
      <w:r w:rsidR="00DC1680">
        <w:t xml:space="preserve">. </w:t>
      </w:r>
      <w:r w:rsidR="00DC1680" w:rsidRPr="00DC1680">
        <w:t>La presente resolución</w:t>
      </w:r>
      <w:r w:rsidR="00DC1680">
        <w:t xml:space="preserve"> tiene por objeto </w:t>
      </w:r>
      <w:r w:rsidR="00140C3B">
        <w:t xml:space="preserve">la estimación </w:t>
      </w:r>
      <w:r w:rsidR="004A5429">
        <w:t>y fijación de parámetros</w:t>
      </w:r>
      <w:r w:rsidR="00140C3B">
        <w:t xml:space="preserve"> </w:t>
      </w:r>
      <w:r w:rsidR="004A5429">
        <w:t xml:space="preserve">mínimos </w:t>
      </w:r>
      <w:r w:rsidR="00140C3B">
        <w:t>relacionad</w:t>
      </w:r>
      <w:r w:rsidR="004A5429">
        <w:t>os</w:t>
      </w:r>
      <w:r w:rsidR="00140C3B">
        <w:t xml:space="preserve"> con la prestación del servicio por parte de </w:t>
      </w:r>
      <w:r w:rsidR="00DC1680">
        <w:t xml:space="preserve">los </w:t>
      </w:r>
      <w:r w:rsidR="004A5429">
        <w:t xml:space="preserve">distribuidores </w:t>
      </w:r>
      <w:r w:rsidR="00DC1680">
        <w:t xml:space="preserve">y </w:t>
      </w:r>
      <w:r w:rsidR="004A5429">
        <w:t>comercializadores minorista</w:t>
      </w:r>
      <w:r w:rsidR="00DC1680">
        <w:t>s de GLP</w:t>
      </w:r>
      <w:r w:rsidR="00140C3B">
        <w:t xml:space="preserve">, así como aspectos relacionados </w:t>
      </w:r>
      <w:r w:rsidR="006E3F10">
        <w:t xml:space="preserve">con </w:t>
      </w:r>
      <w:r w:rsidR="00140C3B">
        <w:t>la calidad</w:t>
      </w:r>
      <w:r w:rsidR="00D134C3">
        <w:t xml:space="preserve">, </w:t>
      </w:r>
      <w:r w:rsidR="00140C3B">
        <w:t xml:space="preserve">seguridad </w:t>
      </w:r>
      <w:r w:rsidR="00D134C3">
        <w:t xml:space="preserve">y contenidos </w:t>
      </w:r>
      <w:r w:rsidR="00140C3B">
        <w:t>de los cilindros y tanques estacionarios.</w:t>
      </w:r>
      <w:r w:rsidR="00DC1680" w:rsidRPr="00DC1680">
        <w:t xml:space="preserve"> </w:t>
      </w:r>
    </w:p>
    <w:p w:rsidR="00114515" w:rsidRDefault="00114515"/>
    <w:p w:rsidR="00271964" w:rsidRPr="00FD5084" w:rsidRDefault="00271964" w:rsidP="00271964">
      <w:pPr>
        <w:pStyle w:val="Artculo"/>
        <w:rPr>
          <w:b/>
        </w:rPr>
      </w:pPr>
      <w:r w:rsidRPr="00271964">
        <w:rPr>
          <w:b/>
        </w:rPr>
        <w:t>Definiciones.</w:t>
      </w:r>
      <w:r>
        <w:rPr>
          <w:b/>
        </w:rPr>
        <w:t xml:space="preserve"> </w:t>
      </w:r>
      <w:r>
        <w:t xml:space="preserve">Para </w:t>
      </w:r>
      <w:r w:rsidRPr="00271964">
        <w:t>efectos de</w:t>
      </w:r>
      <w:r>
        <w:t xml:space="preserve"> </w:t>
      </w:r>
      <w:r w:rsidRPr="00271964">
        <w:t>l</w:t>
      </w:r>
      <w:r>
        <w:t>a</w:t>
      </w:r>
      <w:r w:rsidRPr="00271964">
        <w:t xml:space="preserve"> presente </w:t>
      </w:r>
      <w:r>
        <w:t xml:space="preserve">resolución </w:t>
      </w:r>
      <w:r w:rsidRPr="00271964">
        <w:t>se tendrán en cuenta las siguientes definiciones, además de las contenidas en la Ley 142 de 1994</w:t>
      </w:r>
      <w:r w:rsidR="00D134C3">
        <w:t>, en el r</w:t>
      </w:r>
      <w:r w:rsidR="00FD5084">
        <w:t xml:space="preserve">eglamento de </w:t>
      </w:r>
      <w:r w:rsidR="004A5429">
        <w:t>distribución</w:t>
      </w:r>
      <w:r w:rsidR="00FD5084">
        <w:t xml:space="preserve"> y </w:t>
      </w:r>
      <w:r w:rsidR="004A5429">
        <w:t>comercialización</w:t>
      </w:r>
      <w:r w:rsidR="00FD5084">
        <w:t xml:space="preserve"> </w:t>
      </w:r>
      <w:r w:rsidR="004A5429">
        <w:t>minorista</w:t>
      </w:r>
      <w:r w:rsidR="00FD5084">
        <w:t xml:space="preserve"> de GLP y los </w:t>
      </w:r>
      <w:r w:rsidR="00D134C3">
        <w:t>r</w:t>
      </w:r>
      <w:r w:rsidR="00FD5084">
        <w:t xml:space="preserve">eglamentos </w:t>
      </w:r>
      <w:r w:rsidR="00D134C3">
        <w:t>t</w:t>
      </w:r>
      <w:r w:rsidR="00FD5084">
        <w:t>écnicos del Ministerio de Minas y Energía</w:t>
      </w:r>
      <w:r w:rsidR="00FD5084" w:rsidRPr="00FD5084">
        <w:t xml:space="preserve"> </w:t>
      </w:r>
      <w:r w:rsidR="00FD5084">
        <w:t>que apliquen.</w:t>
      </w:r>
    </w:p>
    <w:p w:rsidR="00FD5084" w:rsidRDefault="00FD5084" w:rsidP="00FD5084"/>
    <w:p w:rsidR="00FD5084" w:rsidRDefault="00FD5084" w:rsidP="00FD5084">
      <w:r w:rsidRPr="00FD5084">
        <w:rPr>
          <w:b/>
        </w:rPr>
        <w:t xml:space="preserve">Certificado de </w:t>
      </w:r>
      <w:r w:rsidR="004A5429">
        <w:rPr>
          <w:b/>
        </w:rPr>
        <w:t>c</w:t>
      </w:r>
      <w:r w:rsidR="004A5429" w:rsidRPr="00FD5084">
        <w:rPr>
          <w:b/>
        </w:rPr>
        <w:t>onformidad</w:t>
      </w:r>
      <w:r w:rsidRPr="00FD5084">
        <w:rPr>
          <w:b/>
        </w:rPr>
        <w:t>:</w:t>
      </w:r>
      <w:r w:rsidRPr="00FD5084">
        <w:t xml:space="preserve"> Es un documento emitido de acuerdo con las reglas de un sistema de certificación, en el cual se puede confiar razonablemente que un producto, proceso o servicio debidamente identificado está conforme con un reglamento técnico.</w:t>
      </w:r>
      <w:r w:rsidR="004A5429">
        <w:t xml:space="preserve"> Los certificados de conformidad deben ser emitidos por entidades </w:t>
      </w:r>
      <w:r w:rsidR="00AC0486">
        <w:t xml:space="preserve">acreditadas </w:t>
      </w:r>
      <w:r w:rsidR="00AC0486" w:rsidRPr="00AC0486">
        <w:t>por la Superintendencia de Industria y Comercio</w:t>
      </w:r>
      <w:r w:rsidR="00AC0486">
        <w:t>.</w:t>
      </w:r>
    </w:p>
    <w:p w:rsidR="00FD5084" w:rsidRDefault="00FD5084" w:rsidP="00FD5084"/>
    <w:p w:rsidR="00FD5084" w:rsidRDefault="00FD5084" w:rsidP="00FD5084">
      <w:r w:rsidRPr="00FD5084">
        <w:rPr>
          <w:b/>
        </w:rPr>
        <w:t>Cilindro:</w:t>
      </w:r>
      <w:r w:rsidRPr="00FD5084">
        <w:t xml:space="preserve"> Recipiente utilizado en la prestación del servicio público domiciliario de </w:t>
      </w:r>
      <w:r w:rsidR="004A5429" w:rsidRPr="00FD5084">
        <w:t>gas licuado petróleo</w:t>
      </w:r>
      <w:r w:rsidRPr="00FD5084">
        <w:t xml:space="preserve">, GLP, con capacidad entre 5 y 46 kilogramos (kg) de GLP que puede ser metálico o de construcción compuesta, y que cumple con lo previsto en el </w:t>
      </w:r>
      <w:r w:rsidR="004A5429" w:rsidRPr="00FD5084">
        <w:t xml:space="preserve">reglamento técnico </w:t>
      </w:r>
      <w:r w:rsidRPr="00FD5084">
        <w:t>vigente, expedido por el Ministerio de Minas y Energía.</w:t>
      </w:r>
    </w:p>
    <w:p w:rsidR="00FD5084" w:rsidRDefault="004A5429" w:rsidP="00FD5084">
      <w:pPr>
        <w:rPr>
          <w:b/>
        </w:rPr>
      </w:pPr>
      <w:r>
        <w:rPr>
          <w:b/>
        </w:rPr>
        <w:lastRenderedPageBreak/>
        <w:t xml:space="preserve">Comercializador mayorista </w:t>
      </w:r>
      <w:r w:rsidR="00FD5084">
        <w:rPr>
          <w:b/>
        </w:rPr>
        <w:t>de GLP:</w:t>
      </w:r>
      <w:r w:rsidR="00FD5084" w:rsidRPr="00FD5084">
        <w:rPr>
          <w:b/>
        </w:rPr>
        <w:t xml:space="preserve"> </w:t>
      </w:r>
      <w:r w:rsidR="00FD5084" w:rsidRPr="00FD5084">
        <w:t xml:space="preserve">Empresa de servicios públicos, salvo lo dispuesto en el Artículo 15.2 de la Ley 142 de 1994, cuya actividad es la comercialización mayorista de GLP, producido y/o importado directamente o por terceros, a distribuidores de GLP, a otros comercializadores mayoristas de GLP y a usuarios no regulados. </w:t>
      </w:r>
    </w:p>
    <w:p w:rsidR="00FD5084" w:rsidRDefault="00FD5084" w:rsidP="00FD5084">
      <w:pPr>
        <w:rPr>
          <w:b/>
        </w:rPr>
      </w:pPr>
    </w:p>
    <w:p w:rsidR="00FD5084" w:rsidRDefault="004A5429" w:rsidP="00FD5084">
      <w:r>
        <w:rPr>
          <w:b/>
        </w:rPr>
        <w:t>Comercializador</w:t>
      </w:r>
      <w:r w:rsidRPr="00FD5084">
        <w:rPr>
          <w:b/>
        </w:rPr>
        <w:t xml:space="preserve"> </w:t>
      </w:r>
      <w:r>
        <w:rPr>
          <w:b/>
        </w:rPr>
        <w:t>minorista</w:t>
      </w:r>
      <w:r w:rsidR="00FD5084" w:rsidRPr="00FD5084">
        <w:rPr>
          <w:b/>
        </w:rPr>
        <w:t xml:space="preserve"> de GLP:</w:t>
      </w:r>
      <w:r w:rsidR="00FD5084" w:rsidRPr="00FD5084">
        <w:t xml:space="preserve"> Empresa de servicios públicos, que cumpliendo con los requisitos exigidos en la resolución CREG 023 de 2008, ejerce la actividad de </w:t>
      </w:r>
      <w:r>
        <w:t>comercialización</w:t>
      </w:r>
      <w:r w:rsidR="00FD5084" w:rsidRPr="00FD5084">
        <w:t xml:space="preserve"> </w:t>
      </w:r>
      <w:r>
        <w:t>minorista</w:t>
      </w:r>
      <w:r w:rsidR="00FD5084" w:rsidRPr="00FD5084">
        <w:t xml:space="preserve">. El </w:t>
      </w:r>
      <w:r>
        <w:t>c</w:t>
      </w:r>
      <w:r w:rsidRPr="00FD5084">
        <w:t xml:space="preserve">omercializador </w:t>
      </w:r>
      <w:r>
        <w:t>minorista</w:t>
      </w:r>
      <w:r w:rsidR="00FD5084" w:rsidRPr="00FD5084">
        <w:t xml:space="preserve"> de GLP puede ser a la vez </w:t>
      </w:r>
      <w:r>
        <w:t>d</w:t>
      </w:r>
      <w:r w:rsidRPr="00FD5084">
        <w:t xml:space="preserve">istribuidor </w:t>
      </w:r>
      <w:r w:rsidR="00FD5084" w:rsidRPr="00FD5084">
        <w:t>de GLP.</w:t>
      </w:r>
    </w:p>
    <w:p w:rsidR="00FD5084" w:rsidRDefault="00FD5084" w:rsidP="00FD5084"/>
    <w:p w:rsidR="00FD5084" w:rsidRDefault="00FD5084" w:rsidP="00FD5084">
      <w:pPr>
        <w:rPr>
          <w:rFonts w:cs="Arial"/>
        </w:rPr>
      </w:pPr>
      <w:r w:rsidRPr="00FC3A72">
        <w:rPr>
          <w:rFonts w:cs="Arial"/>
          <w:b/>
          <w:bCs/>
        </w:rPr>
        <w:t xml:space="preserve">Contrato de </w:t>
      </w:r>
      <w:r w:rsidR="004A5429">
        <w:rPr>
          <w:rFonts w:cs="Arial"/>
          <w:b/>
          <w:bCs/>
        </w:rPr>
        <w:t>s</w:t>
      </w:r>
      <w:r w:rsidR="004A5429" w:rsidRPr="00FC3A72">
        <w:rPr>
          <w:rFonts w:cs="Arial"/>
          <w:b/>
          <w:bCs/>
        </w:rPr>
        <w:t xml:space="preserve">ervicios </w:t>
      </w:r>
      <w:r w:rsidR="004A5429">
        <w:rPr>
          <w:rFonts w:cs="Arial"/>
          <w:b/>
          <w:bCs/>
        </w:rPr>
        <w:t>p</w:t>
      </w:r>
      <w:r w:rsidR="004A5429" w:rsidRPr="00FC3A72">
        <w:rPr>
          <w:rFonts w:cs="Arial"/>
          <w:b/>
          <w:bCs/>
        </w:rPr>
        <w:t>úblicos</w:t>
      </w:r>
      <w:r w:rsidRPr="00FC3A72">
        <w:rPr>
          <w:rFonts w:cs="Arial"/>
          <w:b/>
          <w:bCs/>
        </w:rPr>
        <w:t xml:space="preserve">: </w:t>
      </w:r>
      <w:r w:rsidRPr="00FC3A72">
        <w:rPr>
          <w:rFonts w:cs="Arial"/>
        </w:rPr>
        <w:t xml:space="preserve">Es un contrato uniforme, consensual, en virtud del cual una empresa de servicios públicos los presta a un usuario a cambio de un precio en dinero, de acuerdo con lo establecido en la </w:t>
      </w:r>
      <w:r w:rsidR="004A5429">
        <w:rPr>
          <w:rFonts w:cs="Arial"/>
        </w:rPr>
        <w:t>l</w:t>
      </w:r>
      <w:r w:rsidR="004A5429" w:rsidRPr="00FC3A72">
        <w:rPr>
          <w:rFonts w:cs="Arial"/>
        </w:rPr>
        <w:t xml:space="preserve">ey </w:t>
      </w:r>
      <w:r w:rsidRPr="00FC3A72">
        <w:rPr>
          <w:rFonts w:cs="Arial"/>
        </w:rPr>
        <w:t xml:space="preserve">y </w:t>
      </w:r>
      <w:r w:rsidR="004A5429">
        <w:rPr>
          <w:rFonts w:cs="Arial"/>
        </w:rPr>
        <w:t xml:space="preserve">en </w:t>
      </w:r>
      <w:r w:rsidRPr="00FC3A72">
        <w:rPr>
          <w:rFonts w:cs="Arial"/>
        </w:rPr>
        <w:t xml:space="preserve">la regulación.  </w:t>
      </w:r>
    </w:p>
    <w:p w:rsidR="00FD5084" w:rsidRDefault="00FD5084" w:rsidP="00FD5084"/>
    <w:p w:rsidR="00FD5084" w:rsidRDefault="00FD5084" w:rsidP="00FD5084">
      <w:r w:rsidRPr="00FD5084">
        <w:rPr>
          <w:b/>
        </w:rPr>
        <w:t xml:space="preserve">Depósito de </w:t>
      </w:r>
      <w:r w:rsidR="004A5429">
        <w:rPr>
          <w:b/>
        </w:rPr>
        <w:t>g</w:t>
      </w:r>
      <w:r w:rsidR="004A5429" w:rsidRPr="00FD5084">
        <w:rPr>
          <w:b/>
        </w:rPr>
        <w:t>arantía</w:t>
      </w:r>
      <w:r w:rsidRPr="00FD5084">
        <w:rPr>
          <w:b/>
        </w:rPr>
        <w:t>:</w:t>
      </w:r>
      <w:r>
        <w:t xml:space="preserve"> Monto de dinero que el usuario debe entregar al </w:t>
      </w:r>
      <w:r w:rsidR="004A5429">
        <w:t>comercializador</w:t>
      </w:r>
      <w:r>
        <w:t xml:space="preserve"> </w:t>
      </w:r>
      <w:r w:rsidR="004A5429">
        <w:t>minorista</w:t>
      </w:r>
      <w:r>
        <w:t xml:space="preserve"> para garantizar el buen uso y la conservación del cilindro de propiedad del distribuidor, durante el período de tenencia del cilindro por el usuario.</w:t>
      </w:r>
    </w:p>
    <w:p w:rsidR="00FD5084" w:rsidRDefault="00FD5084" w:rsidP="00FD5084"/>
    <w:p w:rsidR="00FD5084" w:rsidRDefault="00793BD9" w:rsidP="00FD5084">
      <w:r>
        <w:rPr>
          <w:b/>
        </w:rPr>
        <w:t>Distribuidor</w:t>
      </w:r>
      <w:r w:rsidR="00FD5084" w:rsidRPr="00FD5084">
        <w:rPr>
          <w:b/>
        </w:rPr>
        <w:t xml:space="preserve"> de GLP:</w:t>
      </w:r>
      <w:r w:rsidR="00FD5084">
        <w:t xml:space="preserve"> Es la empresa de servicios públicos domiciliarios, que cumpliendo con los requisitos exigidos en la Resolución CREG 023 de 2008, realiza la actividad de distribución de GLP.</w:t>
      </w:r>
    </w:p>
    <w:p w:rsidR="00FD5084" w:rsidRDefault="00FD5084" w:rsidP="00FD5084"/>
    <w:p w:rsidR="00FD5084" w:rsidRPr="00FC3A72" w:rsidRDefault="00FD5084" w:rsidP="00FD5084">
      <w:r w:rsidRPr="00FC3A72">
        <w:rPr>
          <w:b/>
          <w:bCs/>
        </w:rPr>
        <w:t>Envasado de cilindros de GLP:</w:t>
      </w:r>
      <w:r w:rsidRPr="00FC3A72">
        <w:t xml:space="preserve"> Actividad que consiste en llenar un cilindro portátil con GLP en una </w:t>
      </w:r>
      <w:r w:rsidR="00793BD9">
        <w:t>p</w:t>
      </w:r>
      <w:r w:rsidR="00793BD9" w:rsidRPr="00FC3A72">
        <w:t xml:space="preserve">lanta </w:t>
      </w:r>
      <w:r w:rsidR="00793BD9">
        <w:t>e</w:t>
      </w:r>
      <w:r w:rsidR="00793BD9" w:rsidRPr="00FC3A72">
        <w:t xml:space="preserve">nvasadora </w:t>
      </w:r>
      <w:r w:rsidRPr="00FC3A72">
        <w:t xml:space="preserve">y la operación de esta última.  Esta actividad incluye la revisión y clasificación de los cilindros para su mantenimiento </w:t>
      </w:r>
      <w:proofErr w:type="spellStart"/>
      <w:r w:rsidRPr="00FC3A72">
        <w:t>ó</w:t>
      </w:r>
      <w:proofErr w:type="spellEnd"/>
      <w:r w:rsidRPr="00FC3A72">
        <w:t xml:space="preserve"> destrucción con sujeción al </w:t>
      </w:r>
      <w:r w:rsidR="00793BD9">
        <w:t>r</w:t>
      </w:r>
      <w:r w:rsidR="00793BD9" w:rsidRPr="00FC3A72">
        <w:t xml:space="preserve">eglamento </w:t>
      </w:r>
      <w:r w:rsidR="00793BD9">
        <w:t>t</w:t>
      </w:r>
      <w:r w:rsidR="00793BD9" w:rsidRPr="00FC3A72">
        <w:t xml:space="preserve">écnico </w:t>
      </w:r>
      <w:r w:rsidRPr="00FC3A72">
        <w:t xml:space="preserve">vigente expedido por Ministerio de Minas y Energía, y el drenaje, previo al llenado, de los residuos no volátiles que permanecen en los mismos después de que el usuario ha utilizado el combustible envasado. </w:t>
      </w:r>
    </w:p>
    <w:p w:rsidR="00FD5084" w:rsidRDefault="00FD5084" w:rsidP="00FD5084"/>
    <w:p w:rsidR="00FD5084" w:rsidRDefault="00FD5084" w:rsidP="00FD5084">
      <w:r w:rsidRPr="00FD5084">
        <w:rPr>
          <w:b/>
        </w:rPr>
        <w:t xml:space="preserve">Gas </w:t>
      </w:r>
      <w:r w:rsidR="00793BD9">
        <w:rPr>
          <w:b/>
        </w:rPr>
        <w:t>l</w:t>
      </w:r>
      <w:r w:rsidR="00793BD9" w:rsidRPr="00FD5084">
        <w:rPr>
          <w:b/>
        </w:rPr>
        <w:t xml:space="preserve">icuado </w:t>
      </w:r>
      <w:r w:rsidRPr="00FD5084">
        <w:rPr>
          <w:b/>
        </w:rPr>
        <w:t xml:space="preserve">de </w:t>
      </w:r>
      <w:r w:rsidR="00793BD9">
        <w:rPr>
          <w:b/>
        </w:rPr>
        <w:t>p</w:t>
      </w:r>
      <w:r w:rsidR="00793BD9" w:rsidRPr="00FD5084">
        <w:rPr>
          <w:b/>
        </w:rPr>
        <w:t xml:space="preserve">etróleo </w:t>
      </w:r>
      <w:r w:rsidRPr="00FD5084">
        <w:rPr>
          <w:b/>
        </w:rPr>
        <w:t>(GLP):</w:t>
      </w:r>
      <w:r w:rsidRPr="00FD5084">
        <w:t xml:space="preserve"> Es una mezcla de hidrocarburos extraídos del procesamiento del gas natural o del petróleo, gaseosos en condiciones atmosféricas, que se licuan fácilmente por enfriamiento o compresión, constituida principalmente por propano y butanos. Su calidad corresponde con las especificaciones y estándares adoptados por la CREG mediante la resolución que establezca la remuneración del producto a los comercializadores </w:t>
      </w:r>
      <w:r w:rsidR="00793BD9">
        <w:t>m</w:t>
      </w:r>
      <w:r w:rsidR="00793BD9" w:rsidRPr="00FD5084">
        <w:t xml:space="preserve">ayoristas </w:t>
      </w:r>
      <w:r w:rsidRPr="00FD5084">
        <w:t>de GLP.</w:t>
      </w:r>
    </w:p>
    <w:p w:rsidR="00FD5084" w:rsidRDefault="00FD5084" w:rsidP="00FD5084"/>
    <w:p w:rsidR="00FD5084" w:rsidRPr="00FD5084" w:rsidRDefault="00FD5084" w:rsidP="00FD5084">
      <w:pPr>
        <w:pStyle w:val="Textoindependiente21"/>
        <w:widowControl/>
        <w:tabs>
          <w:tab w:val="left" w:pos="-720"/>
          <w:tab w:val="left" w:pos="426"/>
          <w:tab w:val="left" w:pos="8789"/>
          <w:tab w:val="left" w:pos="9072"/>
        </w:tabs>
        <w:suppressAutoHyphens/>
        <w:rPr>
          <w:rFonts w:ascii="Bookman Old Style" w:hAnsi="Bookman Old Style" w:cs="Arial"/>
          <w:sz w:val="24"/>
          <w:szCs w:val="24"/>
        </w:rPr>
      </w:pPr>
      <w:r w:rsidRPr="00FC3A72">
        <w:rPr>
          <w:rFonts w:ascii="Bookman Old Style" w:hAnsi="Bookman Old Style" w:cs="Arial"/>
          <w:b/>
          <w:bCs/>
          <w:sz w:val="24"/>
          <w:szCs w:val="24"/>
        </w:rPr>
        <w:t xml:space="preserve">Planta de </w:t>
      </w:r>
      <w:r w:rsidR="00793BD9">
        <w:rPr>
          <w:rFonts w:ascii="Bookman Old Style" w:hAnsi="Bookman Old Style" w:cs="Arial"/>
          <w:b/>
          <w:bCs/>
          <w:sz w:val="24"/>
          <w:szCs w:val="24"/>
        </w:rPr>
        <w:t>e</w:t>
      </w:r>
      <w:r w:rsidR="00793BD9" w:rsidRPr="00FC3A72">
        <w:rPr>
          <w:rFonts w:ascii="Bookman Old Style" w:hAnsi="Bookman Old Style" w:cs="Arial"/>
          <w:b/>
          <w:bCs/>
          <w:sz w:val="24"/>
          <w:szCs w:val="24"/>
        </w:rPr>
        <w:t xml:space="preserve">nvasado </w:t>
      </w:r>
      <w:r w:rsidRPr="00FC3A72">
        <w:rPr>
          <w:rFonts w:ascii="Bookman Old Style" w:hAnsi="Bookman Old Style" w:cs="Arial"/>
          <w:b/>
          <w:bCs/>
          <w:sz w:val="24"/>
          <w:szCs w:val="24"/>
        </w:rPr>
        <w:t xml:space="preserve">de GLP: </w:t>
      </w:r>
      <w:r w:rsidRPr="00FC3A72">
        <w:rPr>
          <w:rFonts w:ascii="Bookman Old Style" w:hAnsi="Bookman Old Style" w:cs="Arial"/>
          <w:sz w:val="24"/>
          <w:szCs w:val="24"/>
        </w:rPr>
        <w:t xml:space="preserve">Infraestructura física, comprendida en un solo predio, de la cual dispone un </w:t>
      </w:r>
      <w:r w:rsidR="00793BD9">
        <w:rPr>
          <w:rFonts w:ascii="Bookman Old Style" w:hAnsi="Bookman Old Style" w:cs="Arial"/>
          <w:sz w:val="24"/>
          <w:szCs w:val="24"/>
        </w:rPr>
        <w:t>d</w:t>
      </w:r>
      <w:r w:rsidR="00793BD9" w:rsidRPr="00FC3A72">
        <w:rPr>
          <w:rFonts w:ascii="Bookman Old Style" w:hAnsi="Bookman Old Style" w:cs="Arial"/>
          <w:sz w:val="24"/>
          <w:szCs w:val="24"/>
        </w:rPr>
        <w:t xml:space="preserve">istribuidor </w:t>
      </w:r>
      <w:r w:rsidRPr="00FC3A72">
        <w:rPr>
          <w:rFonts w:ascii="Bookman Old Style" w:hAnsi="Bookman Old Style" w:cs="Arial"/>
          <w:sz w:val="24"/>
          <w:szCs w:val="24"/>
        </w:rPr>
        <w:t xml:space="preserve">para envasar GLP en cilindros de su propiedad, o universales durante el período de transición, y/o para cargar cisternas destinadas a servir tanques estacionarios ubicados en los domicilios de usuarios finales. Sus características técnicas deben corresponder a las establecidas en el </w:t>
      </w:r>
      <w:r w:rsidR="00793BD9">
        <w:rPr>
          <w:rFonts w:ascii="Bookman Old Style" w:hAnsi="Bookman Old Style" w:cs="Arial"/>
          <w:sz w:val="24"/>
          <w:szCs w:val="24"/>
        </w:rPr>
        <w:t>reglamento técnico</w:t>
      </w:r>
      <w:r w:rsidRPr="00FC3A72">
        <w:rPr>
          <w:rFonts w:ascii="Bookman Old Style" w:hAnsi="Bookman Old Style" w:cs="Arial"/>
          <w:sz w:val="24"/>
          <w:szCs w:val="24"/>
        </w:rPr>
        <w:t xml:space="preserve"> vigente expedido por el Ministerio de Minas y Energía</w:t>
      </w:r>
      <w:r w:rsidR="00793BD9">
        <w:rPr>
          <w:rFonts w:ascii="Bookman Old Style" w:hAnsi="Bookman Old Style" w:cs="Arial"/>
          <w:sz w:val="24"/>
          <w:szCs w:val="24"/>
        </w:rPr>
        <w:t>, MME,</w:t>
      </w:r>
      <w:r w:rsidRPr="00FC3A72">
        <w:rPr>
          <w:rFonts w:ascii="Bookman Old Style" w:hAnsi="Bookman Old Style" w:cs="Arial"/>
          <w:sz w:val="24"/>
          <w:szCs w:val="24"/>
        </w:rPr>
        <w:t xml:space="preserve"> y debe contar con la aprobación vigente de las autoridades competentes. </w:t>
      </w:r>
    </w:p>
    <w:p w:rsidR="00FD5084" w:rsidRDefault="00FD5084" w:rsidP="00FD5084"/>
    <w:p w:rsidR="00AF2E14" w:rsidRDefault="00AF2E14" w:rsidP="00FD5084">
      <w:r w:rsidRPr="00AF2E14">
        <w:rPr>
          <w:b/>
        </w:rPr>
        <w:lastRenderedPageBreak/>
        <w:t xml:space="preserve">Sistema de </w:t>
      </w:r>
      <w:r w:rsidR="00793BD9">
        <w:rPr>
          <w:b/>
        </w:rPr>
        <w:t>g</w:t>
      </w:r>
      <w:r w:rsidR="00793BD9" w:rsidRPr="00AF2E14">
        <w:rPr>
          <w:b/>
        </w:rPr>
        <w:t xml:space="preserve">estión </w:t>
      </w:r>
      <w:r w:rsidRPr="00AF2E14">
        <w:rPr>
          <w:b/>
        </w:rPr>
        <w:t xml:space="preserve">de la </w:t>
      </w:r>
      <w:r w:rsidR="00793BD9">
        <w:rPr>
          <w:b/>
        </w:rPr>
        <w:t>c</w:t>
      </w:r>
      <w:r w:rsidR="00793BD9" w:rsidRPr="00AF2E14">
        <w:rPr>
          <w:b/>
        </w:rPr>
        <w:t>alidad</w:t>
      </w:r>
      <w:r w:rsidR="00EF54B4">
        <w:rPr>
          <w:b/>
        </w:rPr>
        <w:t xml:space="preserve"> </w:t>
      </w:r>
      <w:r w:rsidR="00EF54B4" w:rsidRPr="00914C88">
        <w:rPr>
          <w:b/>
        </w:rPr>
        <w:t>(SGC)</w:t>
      </w:r>
      <w:r w:rsidRPr="00914C88">
        <w:t>: es</w:t>
      </w:r>
      <w:r w:rsidRPr="00AF2E14">
        <w:t xml:space="preserve"> una forma de trabajar, mediante la cual una organización asegura la satisfacción de l</w:t>
      </w:r>
      <w:r>
        <w:t>as necesidades de sus clientes, p</w:t>
      </w:r>
      <w:r w:rsidRPr="00AF2E14">
        <w:t xml:space="preserve">ara lo cual planifica, mantiene y mejora continuamente el desempeño de sus procesos, bajo un esquema de eficacia, eficiencia y efectividad que le permite lograr ventajas </w:t>
      </w:r>
      <w:r>
        <w:t>competitivas y objetivos de la e</w:t>
      </w:r>
      <w:r w:rsidRPr="00AF2E14">
        <w:t>ntidad</w:t>
      </w:r>
      <w:r>
        <w:t>.</w:t>
      </w:r>
    </w:p>
    <w:p w:rsidR="00821D1C" w:rsidRDefault="00821D1C" w:rsidP="00FD5084"/>
    <w:p w:rsidR="00821D1C" w:rsidRPr="004B4EDE" w:rsidRDefault="00821D1C" w:rsidP="004B4EDE">
      <w:pPr>
        <w:tabs>
          <w:tab w:val="left" w:pos="-720"/>
          <w:tab w:val="left" w:pos="0"/>
          <w:tab w:val="left" w:pos="3420"/>
        </w:tabs>
        <w:suppressAutoHyphens/>
        <w:ind w:right="51"/>
        <w:rPr>
          <w:rFonts w:cs="Arial"/>
          <w:bCs/>
          <w:spacing w:val="-3"/>
          <w:lang w:val="es-ES_tradnl" w:eastAsia="ar-SA"/>
        </w:rPr>
      </w:pPr>
      <w:r w:rsidRPr="007E1023">
        <w:rPr>
          <w:rFonts w:cs="Arial"/>
          <w:b/>
          <w:bCs/>
          <w:spacing w:val="-3"/>
          <w:lang w:val="es-ES_tradnl" w:eastAsia="ar-SA"/>
        </w:rPr>
        <w:t>SICMA:</w:t>
      </w:r>
      <w:r>
        <w:rPr>
          <w:rFonts w:cs="Arial"/>
          <w:bCs/>
          <w:spacing w:val="-3"/>
          <w:lang w:val="es-ES_tradnl" w:eastAsia="ar-SA"/>
        </w:rPr>
        <w:t xml:space="preserve"> Sistema de i</w:t>
      </w:r>
      <w:r w:rsidRPr="007E1023">
        <w:rPr>
          <w:rFonts w:cs="Arial"/>
          <w:bCs/>
          <w:spacing w:val="-3"/>
          <w:lang w:val="es-ES_tradnl" w:eastAsia="ar-SA"/>
        </w:rPr>
        <w:t xml:space="preserve">nformación de </w:t>
      </w:r>
      <w:r>
        <w:rPr>
          <w:rFonts w:cs="Arial"/>
          <w:bCs/>
          <w:spacing w:val="-3"/>
          <w:lang w:val="es-ES_tradnl" w:eastAsia="ar-SA"/>
        </w:rPr>
        <w:t>c</w:t>
      </w:r>
      <w:r w:rsidRPr="007E1023">
        <w:rPr>
          <w:rFonts w:cs="Arial"/>
          <w:bCs/>
          <w:spacing w:val="-3"/>
          <w:lang w:val="es-ES_tradnl" w:eastAsia="ar-SA"/>
        </w:rPr>
        <w:t xml:space="preserve">ilindros </w:t>
      </w:r>
      <w:r>
        <w:rPr>
          <w:rFonts w:cs="Arial"/>
          <w:bCs/>
          <w:spacing w:val="-3"/>
          <w:lang w:val="es-ES_tradnl" w:eastAsia="ar-SA"/>
        </w:rPr>
        <w:t>m</w:t>
      </w:r>
      <w:r w:rsidRPr="007E1023">
        <w:rPr>
          <w:rFonts w:cs="Arial"/>
          <w:bCs/>
          <w:spacing w:val="-3"/>
          <w:lang w:val="es-ES_tradnl" w:eastAsia="ar-SA"/>
        </w:rPr>
        <w:t xml:space="preserve">arcados que contiene toda la información asociada a los cilindros marcados </w:t>
      </w:r>
      <w:r>
        <w:rPr>
          <w:rFonts w:cs="Arial"/>
          <w:bCs/>
          <w:spacing w:val="-3"/>
          <w:lang w:val="es-ES_tradnl" w:eastAsia="ar-SA"/>
        </w:rPr>
        <w:t xml:space="preserve">de propiedad </w:t>
      </w:r>
      <w:r w:rsidRPr="007E1023">
        <w:rPr>
          <w:rFonts w:cs="Arial"/>
          <w:bCs/>
          <w:spacing w:val="-3"/>
          <w:lang w:val="es-ES_tradnl" w:eastAsia="ar-SA"/>
        </w:rPr>
        <w:t xml:space="preserve">de los </w:t>
      </w:r>
      <w:r>
        <w:rPr>
          <w:rFonts w:cs="Arial"/>
          <w:bCs/>
          <w:spacing w:val="-3"/>
          <w:lang w:val="es-ES_tradnl" w:eastAsia="ar-SA"/>
        </w:rPr>
        <w:t>d</w:t>
      </w:r>
      <w:r w:rsidRPr="007E1023">
        <w:rPr>
          <w:rFonts w:cs="Arial"/>
          <w:bCs/>
          <w:spacing w:val="-3"/>
          <w:lang w:val="es-ES_tradnl" w:eastAsia="ar-SA"/>
        </w:rPr>
        <w:t>istribuidores</w:t>
      </w:r>
      <w:r>
        <w:rPr>
          <w:rFonts w:cs="Arial"/>
          <w:bCs/>
          <w:spacing w:val="-3"/>
          <w:lang w:val="es-ES_tradnl" w:eastAsia="ar-SA"/>
        </w:rPr>
        <w:t>.</w:t>
      </w:r>
    </w:p>
    <w:p w:rsidR="00AF2E14" w:rsidRDefault="00AF2E14" w:rsidP="00FD5084"/>
    <w:p w:rsidR="00FD5084" w:rsidRDefault="00FD5084" w:rsidP="00FD5084">
      <w:r w:rsidRPr="00FD5084">
        <w:rPr>
          <w:b/>
        </w:rPr>
        <w:t xml:space="preserve">Tanque </w:t>
      </w:r>
      <w:r w:rsidR="00793BD9">
        <w:rPr>
          <w:b/>
        </w:rPr>
        <w:t>e</w:t>
      </w:r>
      <w:r w:rsidR="00793BD9" w:rsidRPr="00FD5084">
        <w:rPr>
          <w:b/>
        </w:rPr>
        <w:t>stacionario</w:t>
      </w:r>
      <w:r w:rsidRPr="00FD5084">
        <w:rPr>
          <w:b/>
        </w:rPr>
        <w:t>:</w:t>
      </w:r>
      <w:r w:rsidRPr="00FD5084">
        <w:t xml:space="preserve"> Recipiente utilizado en la prestación del servicio público domiciliario de </w:t>
      </w:r>
      <w:r w:rsidR="00793BD9">
        <w:t>g</w:t>
      </w:r>
      <w:r w:rsidR="00793BD9" w:rsidRPr="00FD5084">
        <w:t xml:space="preserve">as </w:t>
      </w:r>
      <w:r w:rsidR="00793BD9">
        <w:t>l</w:t>
      </w:r>
      <w:r w:rsidR="00793BD9" w:rsidRPr="00FD5084">
        <w:t xml:space="preserve">icuado </w:t>
      </w:r>
      <w:r w:rsidRPr="00FD5084">
        <w:t xml:space="preserve">de </w:t>
      </w:r>
      <w:r w:rsidR="00793BD9">
        <w:t>p</w:t>
      </w:r>
      <w:r w:rsidR="00793BD9" w:rsidRPr="00FD5084">
        <w:t>etróleo</w:t>
      </w:r>
      <w:r w:rsidRPr="00FD5084">
        <w:t xml:space="preserve">, con capacidad superior a 46 kilogramos (kg) de GLP, para almacenamiento de este combustible en las instalaciones del usuario final, que puede ser de </w:t>
      </w:r>
      <w:r w:rsidR="00793BD9">
        <w:t>t</w:t>
      </w:r>
      <w:r w:rsidR="00793BD9" w:rsidRPr="00FD5084">
        <w:t xml:space="preserve">ipo </w:t>
      </w:r>
      <w:r w:rsidRPr="00FD5084">
        <w:t xml:space="preserve">1 o </w:t>
      </w:r>
      <w:r w:rsidR="00793BD9">
        <w:t>t</w:t>
      </w:r>
      <w:r w:rsidR="00793BD9" w:rsidRPr="00FD5084">
        <w:t xml:space="preserve">ipo </w:t>
      </w:r>
      <w:r w:rsidRPr="00FD5084">
        <w:t xml:space="preserve">2 y que cumple con lo previsto en el </w:t>
      </w:r>
      <w:r w:rsidR="00793BD9">
        <w:t>reglamento técnico</w:t>
      </w:r>
      <w:r w:rsidRPr="00FD5084">
        <w:t xml:space="preserve"> vigente expedido por el Ministerio de Minas y Energía.</w:t>
      </w:r>
    </w:p>
    <w:p w:rsidR="00FD5084" w:rsidRDefault="00FD5084" w:rsidP="00FD5084"/>
    <w:p w:rsidR="00AD6EAC" w:rsidRPr="00271964" w:rsidRDefault="001C0A5F" w:rsidP="00FD5084">
      <w:r w:rsidRPr="00AF2E14">
        <w:rPr>
          <w:b/>
        </w:rPr>
        <w:t>Tara:</w:t>
      </w:r>
      <w:r w:rsidR="00AF2E14">
        <w:t xml:space="preserve"> </w:t>
      </w:r>
      <w:r w:rsidR="00AF2E14" w:rsidRPr="00AF2E14">
        <w:t xml:space="preserve">Peso en kilogramos (kg) del </w:t>
      </w:r>
      <w:r w:rsidR="00AF2E14">
        <w:t>c</w:t>
      </w:r>
      <w:r w:rsidR="00AF2E14" w:rsidRPr="00AF2E14">
        <w:t xml:space="preserve">ilindro o </w:t>
      </w:r>
      <w:r w:rsidR="00AF2E14">
        <w:t>t</w:t>
      </w:r>
      <w:r w:rsidR="00AF2E14" w:rsidRPr="00AF2E14">
        <w:t xml:space="preserve">anque </w:t>
      </w:r>
      <w:r w:rsidR="00AF2E14">
        <w:t>e</w:t>
      </w:r>
      <w:r w:rsidR="00AF2E14" w:rsidRPr="00AF2E14">
        <w:t xml:space="preserve">stacionario vacío incluyendo la </w:t>
      </w:r>
      <w:r w:rsidR="00AF2E14">
        <w:t>v</w:t>
      </w:r>
      <w:r w:rsidR="00AF2E14" w:rsidRPr="00AF2E14">
        <w:t>álvula y todos los accesorios que componen normalmente el recipiente.</w:t>
      </w:r>
    </w:p>
    <w:p w:rsidR="00E87B67" w:rsidRDefault="00E87B67"/>
    <w:p w:rsidR="002E7680" w:rsidRDefault="002E7680"/>
    <w:p w:rsidR="00114515" w:rsidRPr="00E87B67" w:rsidRDefault="00F67FF9">
      <w:pPr>
        <w:jc w:val="center"/>
        <w:rPr>
          <w:b/>
        </w:rPr>
      </w:pPr>
      <w:r>
        <w:rPr>
          <w:b/>
        </w:rPr>
        <w:t>CAPÍ</w:t>
      </w:r>
      <w:r w:rsidRPr="00E87B67">
        <w:rPr>
          <w:b/>
        </w:rPr>
        <w:t xml:space="preserve">TULO </w:t>
      </w:r>
      <w:r w:rsidR="00E87B67" w:rsidRPr="00E87B67">
        <w:rPr>
          <w:b/>
        </w:rPr>
        <w:t xml:space="preserve">I: INDICADORES DE CALIDAD DE PRODUCTO </w:t>
      </w:r>
      <w:r w:rsidR="006E3F10">
        <w:rPr>
          <w:b/>
        </w:rPr>
        <w:t>ENVASADO</w:t>
      </w:r>
    </w:p>
    <w:p w:rsidR="00947B4C" w:rsidRDefault="00947B4C" w:rsidP="00111073"/>
    <w:p w:rsidR="00947B4C" w:rsidRPr="00447210" w:rsidRDefault="00181212" w:rsidP="00A46170">
      <w:pPr>
        <w:pStyle w:val="Artculo"/>
      </w:pPr>
      <w:r w:rsidRPr="00CE359C">
        <w:rPr>
          <w:b/>
        </w:rPr>
        <w:t>C</w:t>
      </w:r>
      <w:r w:rsidR="00FE5AC4" w:rsidRPr="00CE359C">
        <w:rPr>
          <w:b/>
        </w:rPr>
        <w:t xml:space="preserve">alidad </w:t>
      </w:r>
      <w:r w:rsidR="00AD05AF" w:rsidRPr="00CE359C">
        <w:rPr>
          <w:b/>
        </w:rPr>
        <w:t>d</w:t>
      </w:r>
      <w:r w:rsidR="00FE5AC4" w:rsidRPr="00CE359C">
        <w:rPr>
          <w:b/>
        </w:rPr>
        <w:t xml:space="preserve">el </w:t>
      </w:r>
      <w:r w:rsidR="00AD05AF" w:rsidRPr="00CE359C">
        <w:rPr>
          <w:b/>
        </w:rPr>
        <w:t>p</w:t>
      </w:r>
      <w:r w:rsidR="00FE5AC4" w:rsidRPr="00CE359C">
        <w:rPr>
          <w:b/>
        </w:rPr>
        <w:t xml:space="preserve">roducto </w:t>
      </w:r>
      <w:r w:rsidR="006E3F10" w:rsidRPr="00CE359C">
        <w:rPr>
          <w:b/>
        </w:rPr>
        <w:t xml:space="preserve">envasado </w:t>
      </w:r>
      <w:r w:rsidR="00AD05AF" w:rsidRPr="00CE359C">
        <w:rPr>
          <w:b/>
        </w:rPr>
        <w:t>d</w:t>
      </w:r>
      <w:r w:rsidR="00FE5AC4" w:rsidRPr="00CE359C">
        <w:rPr>
          <w:b/>
        </w:rPr>
        <w:t xml:space="preserve">e </w:t>
      </w:r>
      <w:r w:rsidR="00AD05AF" w:rsidRPr="00CE359C">
        <w:rPr>
          <w:b/>
        </w:rPr>
        <w:t>GLP</w:t>
      </w:r>
      <w:r w:rsidR="00947B4C" w:rsidRPr="00CE359C">
        <w:rPr>
          <w:b/>
        </w:rPr>
        <w:t>.</w:t>
      </w:r>
      <w:r w:rsidR="00947B4C" w:rsidRPr="00447210">
        <w:t xml:space="preserve"> </w:t>
      </w:r>
      <w:r w:rsidR="00947B4C" w:rsidRPr="00FE5AC4">
        <w:t xml:space="preserve">Para </w:t>
      </w:r>
      <w:r w:rsidR="006E3F10">
        <w:t xml:space="preserve">efectos de la presente resolución </w:t>
      </w:r>
      <w:r w:rsidR="00F12077">
        <w:t xml:space="preserve">se considerará como calidad de producto envasado de GLP aquellos elementos que </w:t>
      </w:r>
      <w:r w:rsidR="005664D0">
        <w:t>garanti</w:t>
      </w:r>
      <w:r w:rsidR="00FB01C3">
        <w:t xml:space="preserve">cen el cumplimiento de </w:t>
      </w:r>
      <w:r w:rsidR="005219DE">
        <w:t>los requisitos</w:t>
      </w:r>
      <w:r w:rsidR="00FB01C3">
        <w:t xml:space="preserve"> por parte del </w:t>
      </w:r>
      <w:r w:rsidR="00793BD9">
        <w:t>distribuidor</w:t>
      </w:r>
      <w:r w:rsidR="00FB01C3">
        <w:t xml:space="preserve"> de GLP</w:t>
      </w:r>
      <w:r w:rsidR="005219DE">
        <w:t>,</w:t>
      </w:r>
      <w:r w:rsidR="00FB01C3">
        <w:t xml:space="preserve"> </w:t>
      </w:r>
      <w:r w:rsidR="005219DE">
        <w:t>establecido</w:t>
      </w:r>
      <w:r w:rsidR="00FB01C3">
        <w:t>s en la regulación vigente</w:t>
      </w:r>
      <w:r w:rsidR="005219DE">
        <w:t xml:space="preserve">, </w:t>
      </w:r>
      <w:r w:rsidR="00FB01C3">
        <w:t xml:space="preserve">relacionadas con </w:t>
      </w:r>
      <w:r w:rsidR="005664D0">
        <w:t xml:space="preserve">la seguridad en la prestación del servicio de </w:t>
      </w:r>
      <w:r w:rsidR="00F12077">
        <w:t xml:space="preserve">GLP </w:t>
      </w:r>
      <w:r w:rsidR="005664D0">
        <w:t xml:space="preserve">y </w:t>
      </w:r>
      <w:r w:rsidR="00114515">
        <w:t>la cantidad de producto envasado</w:t>
      </w:r>
      <w:r w:rsidR="00FB01C3">
        <w:t>.</w:t>
      </w:r>
      <w:r w:rsidR="005664D0">
        <w:t xml:space="preserve"> </w:t>
      </w:r>
    </w:p>
    <w:p w:rsidR="00947B4C" w:rsidRDefault="00947B4C" w:rsidP="00FE5AC4"/>
    <w:p w:rsidR="005664D0" w:rsidRDefault="0001649F" w:rsidP="00A46170">
      <w:pPr>
        <w:pStyle w:val="Artculo"/>
      </w:pPr>
      <w:bookmarkStart w:id="1" w:name="_Ref358335605"/>
      <w:r w:rsidRPr="00CE359C">
        <w:rPr>
          <w:b/>
        </w:rPr>
        <w:t>Indicador</w:t>
      </w:r>
      <w:r w:rsidR="005664D0" w:rsidRPr="00CE359C">
        <w:rPr>
          <w:b/>
        </w:rPr>
        <w:t xml:space="preserve"> de</w:t>
      </w:r>
      <w:r w:rsidRPr="00CE359C">
        <w:rPr>
          <w:b/>
        </w:rPr>
        <w:t xml:space="preserve"> calidad</w:t>
      </w:r>
      <w:r w:rsidR="005664D0" w:rsidRPr="00CE359C">
        <w:rPr>
          <w:b/>
        </w:rPr>
        <w:t xml:space="preserve"> de </w:t>
      </w:r>
      <w:r w:rsidR="00FB01C3" w:rsidRPr="00CE359C">
        <w:rPr>
          <w:b/>
        </w:rPr>
        <w:t>c</w:t>
      </w:r>
      <w:r w:rsidR="005664D0" w:rsidRPr="00CE359C">
        <w:rPr>
          <w:b/>
        </w:rPr>
        <w:t xml:space="preserve">ilindros y </w:t>
      </w:r>
      <w:r w:rsidR="005219DE" w:rsidRPr="00CE359C">
        <w:rPr>
          <w:b/>
        </w:rPr>
        <w:t>t</w:t>
      </w:r>
      <w:r w:rsidR="005664D0" w:rsidRPr="00CE359C">
        <w:rPr>
          <w:b/>
        </w:rPr>
        <w:t xml:space="preserve">anques </w:t>
      </w:r>
      <w:r w:rsidR="005219DE" w:rsidRPr="00CE359C">
        <w:rPr>
          <w:b/>
        </w:rPr>
        <w:t>e</w:t>
      </w:r>
      <w:r w:rsidR="005664D0" w:rsidRPr="00CE359C">
        <w:rPr>
          <w:b/>
        </w:rPr>
        <w:t>stacionarios.</w:t>
      </w:r>
      <w:r w:rsidR="005219DE">
        <w:t xml:space="preserve"> </w:t>
      </w:r>
      <w:r w:rsidR="00EF54B4" w:rsidRPr="00914C88">
        <w:t xml:space="preserve">Cada distribuidor </w:t>
      </w:r>
      <w:r w:rsidR="00FB3263" w:rsidRPr="00914C88">
        <w:t>deberá calcular los siguientes indicadores</w:t>
      </w:r>
      <w:r w:rsidR="002D5981" w:rsidRPr="00914C88">
        <w:t xml:space="preserve"> para los cilindros que son de su propiedad y para los tanques estacionarios a través de los cuales presta el servicio: </w:t>
      </w:r>
      <w:bookmarkEnd w:id="1"/>
    </w:p>
    <w:p w:rsidR="004B14FD" w:rsidRDefault="004B14FD" w:rsidP="004B14FD">
      <w:pPr>
        <w:pStyle w:val="Prrafodelista"/>
      </w:pPr>
    </w:p>
    <w:p w:rsidR="004B14FD" w:rsidRPr="00914C88" w:rsidRDefault="004B14FD" w:rsidP="004B14FD">
      <w:pPr>
        <w:pStyle w:val="Artculo"/>
        <w:numPr>
          <w:ilvl w:val="0"/>
          <w:numId w:val="0"/>
        </w:numPr>
      </w:pPr>
    </w:p>
    <w:p w:rsidR="00FB3263" w:rsidRPr="00914C88" w:rsidRDefault="00FB3263" w:rsidP="00FB3263"/>
    <w:p w:rsidR="00EE1731" w:rsidRPr="00914C88" w:rsidRDefault="005A085E" w:rsidP="005664D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ICC</m:t>
              </m:r>
            </m:e>
            <m:sub>
              <m:r>
                <w:rPr>
                  <w:rFonts w:ascii="Cambria Math" w:hAnsi="Cambria Math"/>
                </w:rPr>
                <m:t>m,a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i=1</m:t>
                      </m:r>
                    </m:e>
                    <m:sup/>
                  </m:sSup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NCM</m:t>
                      </m:r>
                    </m:e>
                    <m:sub/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i,a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</w:rPr>
                <m:t>NC</m:t>
              </m:r>
            </m:den>
          </m:f>
          <m:r>
            <w:rPr>
              <w:rFonts w:ascii="Cambria Math" w:hAnsi="Cambria Math"/>
            </w:rPr>
            <m:t>×100%</m:t>
          </m:r>
        </m:oMath>
      </m:oMathPara>
    </w:p>
    <w:p w:rsidR="0092072D" w:rsidRPr="00914C88" w:rsidRDefault="0092072D" w:rsidP="005664D0">
      <w:pPr>
        <w:rPr>
          <w:sz w:val="32"/>
        </w:rPr>
      </w:pPr>
    </w:p>
    <w:p w:rsidR="0092072D" w:rsidRPr="00914C88" w:rsidRDefault="005A085E" w:rsidP="0092072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ICT</m:t>
              </m:r>
            </m:e>
            <m:sub>
              <m:r>
                <w:rPr>
                  <w:rFonts w:ascii="Cambria Math" w:hAnsi="Cambria Math"/>
                </w:rPr>
                <m:t>r,a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i=1</m:t>
                      </m:r>
                    </m:e>
                    <m:sup/>
                  </m:sSup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NTRP</m:t>
                      </m:r>
                    </m:e>
                    <m:sub/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TRP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i=1</m:t>
                          </m:r>
                        </m:e>
                        <m:sup/>
                      </m:sSup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NRT</m:t>
                          </m:r>
                        </m:e>
                        <m:sub/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TRT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i,a</m:t>
                          </m:r>
                        </m:sub>
                      </m:sSub>
                    </m:e>
                  </m:nary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</w:rPr>
            <m:t>×100%</m:t>
          </m:r>
        </m:oMath>
      </m:oMathPara>
    </w:p>
    <w:p w:rsidR="001C4B98" w:rsidRPr="00914C88" w:rsidRDefault="001C4B98" w:rsidP="0092072D"/>
    <w:p w:rsidR="0092072D" w:rsidRPr="00914C88" w:rsidRDefault="005A085E" w:rsidP="005664D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ICT</m:t>
              </m:r>
            </m:e>
            <m:sub>
              <m:r>
                <w:rPr>
                  <w:rFonts w:ascii="Cambria Math" w:hAnsi="Cambria Math"/>
                </w:rPr>
                <m:t>t,a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a=q-1</m:t>
                      </m:r>
                    </m:e>
                    <m:sup/>
                  </m:sSup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/>
                  </m:sSub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i=1</m:t>
                          </m:r>
                        </m:e>
                        <m:sup/>
                      </m:sSup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NTRT</m:t>
                          </m:r>
                        </m:e>
                        <m:sub/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TRT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i,a</m:t>
                          </m:r>
                        </m:sub>
                      </m:sSub>
                    </m:e>
                  </m:nary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</m:sSub>
            </m:den>
          </m:f>
          <m:r>
            <w:rPr>
              <w:rFonts w:ascii="Cambria Math" w:hAnsi="Cambria Math"/>
            </w:rPr>
            <m:t>×100%</m:t>
          </m:r>
        </m:oMath>
      </m:oMathPara>
    </w:p>
    <w:p w:rsidR="004B4EDE" w:rsidRPr="00914C88" w:rsidRDefault="004B4EDE" w:rsidP="005664D0"/>
    <w:p w:rsidR="004B14FD" w:rsidRDefault="004B14FD" w:rsidP="005664D0"/>
    <w:p w:rsidR="004B14FD" w:rsidRDefault="004B14FD" w:rsidP="005664D0"/>
    <w:p w:rsidR="004B14FD" w:rsidRDefault="004B14FD" w:rsidP="005664D0"/>
    <w:p w:rsidR="005664D0" w:rsidRDefault="005664D0" w:rsidP="005664D0">
      <w:proofErr w:type="spellStart"/>
      <w:r w:rsidRPr="00914C88">
        <w:lastRenderedPageBreak/>
        <w:t>Donde</w:t>
      </w:r>
      <w:proofErr w:type="spellEnd"/>
      <w:r w:rsidRPr="00914C88">
        <w:t>:</w:t>
      </w:r>
    </w:p>
    <w:p w:rsidR="005664D0" w:rsidRDefault="005664D0" w:rsidP="005664D0"/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080"/>
      </w:tblGrid>
      <w:tr w:rsidR="0092072D" w:rsidRPr="00C40913" w:rsidTr="00B44AA0">
        <w:tc>
          <w:tcPr>
            <w:tcW w:w="992" w:type="dxa"/>
          </w:tcPr>
          <w:p w:rsidR="0092072D" w:rsidRPr="00C40913" w:rsidRDefault="0092072D" w:rsidP="00B44AA0">
            <w:pPr>
              <w:spacing w:after="120"/>
              <w:rPr>
                <w:sz w:val="23"/>
                <w:szCs w:val="23"/>
              </w:rPr>
            </w:pPr>
            <w:proofErr w:type="spellStart"/>
            <w:r w:rsidRPr="00C40913">
              <w:rPr>
                <w:sz w:val="23"/>
                <w:szCs w:val="23"/>
              </w:rPr>
              <w:t>ICC</w:t>
            </w:r>
            <w:r w:rsidRPr="00C40913">
              <w:rPr>
                <w:i/>
                <w:sz w:val="23"/>
                <w:szCs w:val="23"/>
                <w:vertAlign w:val="subscript"/>
              </w:rPr>
              <w:t>m</w:t>
            </w:r>
            <w:r w:rsidR="00FC7BC7" w:rsidRPr="00C40913">
              <w:rPr>
                <w:i/>
                <w:sz w:val="23"/>
                <w:szCs w:val="23"/>
                <w:vertAlign w:val="subscript"/>
              </w:rPr>
              <w:t>,a</w:t>
            </w:r>
            <w:proofErr w:type="spellEnd"/>
            <w:r w:rsidRPr="00C40913">
              <w:rPr>
                <w:sz w:val="23"/>
                <w:szCs w:val="23"/>
              </w:rPr>
              <w:t>:</w:t>
            </w:r>
          </w:p>
        </w:tc>
        <w:tc>
          <w:tcPr>
            <w:tcW w:w="8080" w:type="dxa"/>
          </w:tcPr>
          <w:p w:rsidR="0092072D" w:rsidRPr="00C40913" w:rsidRDefault="00D6751F" w:rsidP="00B44AA0">
            <w:pPr>
              <w:spacing w:after="120"/>
              <w:rPr>
                <w:sz w:val="23"/>
                <w:szCs w:val="23"/>
              </w:rPr>
            </w:pPr>
            <w:r w:rsidRPr="00C40913">
              <w:rPr>
                <w:sz w:val="23"/>
                <w:szCs w:val="23"/>
              </w:rPr>
              <w:t>Indicador</w:t>
            </w:r>
            <w:r w:rsidR="0092072D" w:rsidRPr="00C40913">
              <w:rPr>
                <w:sz w:val="23"/>
                <w:szCs w:val="23"/>
              </w:rPr>
              <w:t xml:space="preserve"> de </w:t>
            </w:r>
            <w:r w:rsidR="00A615B9" w:rsidRPr="00C40913">
              <w:rPr>
                <w:sz w:val="23"/>
                <w:szCs w:val="23"/>
              </w:rPr>
              <w:t xml:space="preserve">cumplimiento de </w:t>
            </w:r>
            <w:r w:rsidR="0092072D" w:rsidRPr="00C40913">
              <w:rPr>
                <w:sz w:val="23"/>
                <w:szCs w:val="23"/>
              </w:rPr>
              <w:t xml:space="preserve">cilindros mantenidos durante el año </w:t>
            </w:r>
            <w:r w:rsidR="0092072D" w:rsidRPr="00C40913">
              <w:rPr>
                <w:i/>
                <w:sz w:val="23"/>
                <w:szCs w:val="23"/>
              </w:rPr>
              <w:t>a</w:t>
            </w:r>
            <w:r w:rsidRPr="00C40913">
              <w:rPr>
                <w:sz w:val="23"/>
                <w:szCs w:val="23"/>
              </w:rPr>
              <w:t xml:space="preserve"> para un </w:t>
            </w:r>
            <w:r w:rsidR="00793BD9" w:rsidRPr="00C40913">
              <w:rPr>
                <w:sz w:val="23"/>
                <w:szCs w:val="23"/>
              </w:rPr>
              <w:t>distribuidor</w:t>
            </w:r>
            <w:r w:rsidRPr="00C40913">
              <w:rPr>
                <w:sz w:val="23"/>
                <w:szCs w:val="23"/>
              </w:rPr>
              <w:t xml:space="preserve"> de GLP</w:t>
            </w:r>
          </w:p>
        </w:tc>
      </w:tr>
      <w:tr w:rsidR="00D6751F" w:rsidRPr="00C40913" w:rsidTr="00B44AA0">
        <w:tc>
          <w:tcPr>
            <w:tcW w:w="992" w:type="dxa"/>
          </w:tcPr>
          <w:p w:rsidR="00D6751F" w:rsidRPr="00C40913" w:rsidRDefault="00D6751F" w:rsidP="00B44AA0">
            <w:pPr>
              <w:spacing w:after="120"/>
              <w:rPr>
                <w:sz w:val="23"/>
                <w:szCs w:val="23"/>
              </w:rPr>
            </w:pPr>
            <w:r w:rsidRPr="00C40913">
              <w:rPr>
                <w:sz w:val="23"/>
                <w:szCs w:val="23"/>
              </w:rPr>
              <w:t>NCM:</w:t>
            </w:r>
          </w:p>
        </w:tc>
        <w:tc>
          <w:tcPr>
            <w:tcW w:w="8080" w:type="dxa"/>
          </w:tcPr>
          <w:p w:rsidR="00D6751F" w:rsidRPr="00914C88" w:rsidRDefault="00D6751F" w:rsidP="00EF54B4">
            <w:pPr>
              <w:spacing w:after="120"/>
              <w:rPr>
                <w:sz w:val="23"/>
                <w:szCs w:val="23"/>
              </w:rPr>
            </w:pPr>
            <w:r w:rsidRPr="00914C88">
              <w:rPr>
                <w:sz w:val="23"/>
                <w:szCs w:val="23"/>
              </w:rPr>
              <w:t>Número total de cilindros</w:t>
            </w:r>
            <w:r w:rsidR="00B44AA0" w:rsidRPr="00914C88">
              <w:rPr>
                <w:sz w:val="23"/>
                <w:szCs w:val="23"/>
              </w:rPr>
              <w:t xml:space="preserve"> del</w:t>
            </w:r>
            <w:r w:rsidRPr="00914C88">
              <w:rPr>
                <w:sz w:val="23"/>
                <w:szCs w:val="23"/>
              </w:rPr>
              <w:t xml:space="preserve"> </w:t>
            </w:r>
            <w:r w:rsidR="00793BD9" w:rsidRPr="00914C88">
              <w:rPr>
                <w:sz w:val="23"/>
                <w:szCs w:val="23"/>
              </w:rPr>
              <w:t>distribuidor</w:t>
            </w:r>
            <w:r w:rsidR="00B44AA0" w:rsidRPr="00914C88">
              <w:rPr>
                <w:sz w:val="23"/>
                <w:szCs w:val="23"/>
              </w:rPr>
              <w:t xml:space="preserve"> de GLP </w:t>
            </w:r>
            <w:r w:rsidRPr="00914C88">
              <w:rPr>
                <w:sz w:val="23"/>
                <w:szCs w:val="23"/>
              </w:rPr>
              <w:t xml:space="preserve">que fueron objeto de mantenimiento durante el año </w:t>
            </w:r>
            <w:r w:rsidRPr="00914C88">
              <w:rPr>
                <w:i/>
                <w:sz w:val="23"/>
                <w:szCs w:val="23"/>
              </w:rPr>
              <w:t>a</w:t>
            </w:r>
            <w:r w:rsidR="00EF54B4" w:rsidRPr="00914C88">
              <w:rPr>
                <w:sz w:val="23"/>
                <w:szCs w:val="23"/>
              </w:rPr>
              <w:t xml:space="preserve"> cuyo mantenimiento fue</w:t>
            </w:r>
            <w:r w:rsidRPr="00914C88">
              <w:rPr>
                <w:sz w:val="23"/>
                <w:szCs w:val="23"/>
              </w:rPr>
              <w:t xml:space="preserve"> reportado al SUI dentro del SICMA</w:t>
            </w:r>
          </w:p>
        </w:tc>
      </w:tr>
      <w:tr w:rsidR="00D6751F" w:rsidRPr="00C40913" w:rsidTr="00B44AA0">
        <w:tc>
          <w:tcPr>
            <w:tcW w:w="992" w:type="dxa"/>
          </w:tcPr>
          <w:p w:rsidR="00D6751F" w:rsidRPr="00C40913" w:rsidRDefault="00D6751F" w:rsidP="00B44AA0">
            <w:pPr>
              <w:spacing w:after="120"/>
              <w:rPr>
                <w:sz w:val="23"/>
                <w:szCs w:val="23"/>
              </w:rPr>
            </w:pPr>
            <w:proofErr w:type="spellStart"/>
            <w:r w:rsidRPr="00C40913">
              <w:rPr>
                <w:sz w:val="23"/>
                <w:szCs w:val="23"/>
              </w:rPr>
              <w:t>CM</w:t>
            </w:r>
            <w:r w:rsidRPr="00C40913">
              <w:rPr>
                <w:i/>
                <w:sz w:val="23"/>
                <w:szCs w:val="23"/>
                <w:vertAlign w:val="subscript"/>
              </w:rPr>
              <w:t>i,a</w:t>
            </w:r>
            <w:proofErr w:type="spellEnd"/>
            <w:r w:rsidRPr="00C40913">
              <w:rPr>
                <w:sz w:val="23"/>
                <w:szCs w:val="23"/>
              </w:rPr>
              <w:t>:</w:t>
            </w:r>
          </w:p>
        </w:tc>
        <w:tc>
          <w:tcPr>
            <w:tcW w:w="8080" w:type="dxa"/>
          </w:tcPr>
          <w:p w:rsidR="00D6751F" w:rsidRPr="00914C88" w:rsidRDefault="00D6751F" w:rsidP="00B44AA0">
            <w:pPr>
              <w:spacing w:after="120"/>
              <w:rPr>
                <w:sz w:val="23"/>
                <w:szCs w:val="23"/>
              </w:rPr>
            </w:pPr>
            <w:r w:rsidRPr="00914C88">
              <w:rPr>
                <w:sz w:val="23"/>
                <w:szCs w:val="23"/>
              </w:rPr>
              <w:t xml:space="preserve">Cilindro </w:t>
            </w:r>
            <w:r w:rsidRPr="00914C88">
              <w:rPr>
                <w:i/>
                <w:sz w:val="23"/>
                <w:szCs w:val="23"/>
              </w:rPr>
              <w:t>i</w:t>
            </w:r>
            <w:r w:rsidRPr="00914C88">
              <w:rPr>
                <w:sz w:val="23"/>
                <w:szCs w:val="23"/>
              </w:rPr>
              <w:t>-</w:t>
            </w:r>
            <w:proofErr w:type="spellStart"/>
            <w:r w:rsidRPr="00914C88">
              <w:rPr>
                <w:sz w:val="23"/>
                <w:szCs w:val="23"/>
              </w:rPr>
              <w:t>esimo</w:t>
            </w:r>
            <w:proofErr w:type="spellEnd"/>
            <w:r w:rsidRPr="00914C88">
              <w:rPr>
                <w:sz w:val="23"/>
                <w:szCs w:val="23"/>
              </w:rPr>
              <w:t xml:space="preserve"> </w:t>
            </w:r>
            <w:r w:rsidR="00B44AA0" w:rsidRPr="00914C88">
              <w:rPr>
                <w:sz w:val="23"/>
                <w:szCs w:val="23"/>
              </w:rPr>
              <w:t xml:space="preserve">del </w:t>
            </w:r>
            <w:r w:rsidR="00793BD9" w:rsidRPr="00914C88">
              <w:rPr>
                <w:sz w:val="23"/>
                <w:szCs w:val="23"/>
              </w:rPr>
              <w:t>distribuidor</w:t>
            </w:r>
            <w:r w:rsidR="00B44AA0" w:rsidRPr="00914C88">
              <w:rPr>
                <w:sz w:val="23"/>
                <w:szCs w:val="23"/>
              </w:rPr>
              <w:t xml:space="preserve"> de GLP </w:t>
            </w:r>
            <w:r w:rsidRPr="00914C88">
              <w:rPr>
                <w:sz w:val="23"/>
                <w:szCs w:val="23"/>
              </w:rPr>
              <w:t xml:space="preserve">que fue objeto de mantenimiento por lo menos una vez durante el año </w:t>
            </w:r>
            <w:r w:rsidRPr="00914C88">
              <w:rPr>
                <w:i/>
                <w:sz w:val="23"/>
                <w:szCs w:val="23"/>
              </w:rPr>
              <w:t>a</w:t>
            </w:r>
            <w:r w:rsidRPr="00914C88">
              <w:rPr>
                <w:sz w:val="23"/>
                <w:szCs w:val="23"/>
              </w:rPr>
              <w:t>, ya sea por mantenimiento tipo A o tipo B según el reglamento técnico del MME</w:t>
            </w:r>
          </w:p>
        </w:tc>
      </w:tr>
      <w:tr w:rsidR="00D6751F" w:rsidRPr="00C40913" w:rsidTr="00B44AA0">
        <w:tc>
          <w:tcPr>
            <w:tcW w:w="992" w:type="dxa"/>
          </w:tcPr>
          <w:p w:rsidR="00D6751F" w:rsidRPr="00C40913" w:rsidRDefault="00D6751F" w:rsidP="00B44AA0">
            <w:pPr>
              <w:spacing w:after="120"/>
              <w:rPr>
                <w:sz w:val="23"/>
                <w:szCs w:val="23"/>
              </w:rPr>
            </w:pPr>
            <w:r w:rsidRPr="00C40913">
              <w:rPr>
                <w:sz w:val="23"/>
                <w:szCs w:val="23"/>
              </w:rPr>
              <w:t>NC</w:t>
            </w:r>
            <w:r w:rsidR="00B44AA0" w:rsidRPr="00C40913">
              <w:rPr>
                <w:sz w:val="23"/>
                <w:szCs w:val="23"/>
              </w:rPr>
              <w:t>:</w:t>
            </w:r>
          </w:p>
        </w:tc>
        <w:tc>
          <w:tcPr>
            <w:tcW w:w="8080" w:type="dxa"/>
          </w:tcPr>
          <w:p w:rsidR="00D6751F" w:rsidRPr="00914C88" w:rsidRDefault="00B44AA0" w:rsidP="00B44AA0">
            <w:pPr>
              <w:spacing w:after="120"/>
              <w:rPr>
                <w:sz w:val="23"/>
                <w:szCs w:val="23"/>
              </w:rPr>
            </w:pPr>
            <w:r w:rsidRPr="00914C88">
              <w:rPr>
                <w:sz w:val="23"/>
                <w:szCs w:val="23"/>
              </w:rPr>
              <w:t>Número</w:t>
            </w:r>
            <w:r w:rsidR="00D6751F" w:rsidRPr="00914C88">
              <w:rPr>
                <w:sz w:val="23"/>
                <w:szCs w:val="23"/>
              </w:rPr>
              <w:t xml:space="preserve"> </w:t>
            </w:r>
            <w:r w:rsidRPr="00914C88">
              <w:rPr>
                <w:sz w:val="23"/>
                <w:szCs w:val="23"/>
              </w:rPr>
              <w:t xml:space="preserve">total </w:t>
            </w:r>
            <w:r w:rsidR="00D6751F" w:rsidRPr="00914C88">
              <w:rPr>
                <w:sz w:val="23"/>
                <w:szCs w:val="23"/>
              </w:rPr>
              <w:t>de cilindros</w:t>
            </w:r>
            <w:r w:rsidRPr="00914C88">
              <w:rPr>
                <w:sz w:val="23"/>
                <w:szCs w:val="23"/>
              </w:rPr>
              <w:t xml:space="preserve"> del </w:t>
            </w:r>
            <w:r w:rsidR="00793BD9" w:rsidRPr="00914C88">
              <w:rPr>
                <w:sz w:val="23"/>
                <w:szCs w:val="23"/>
              </w:rPr>
              <w:t>distribuidor</w:t>
            </w:r>
            <w:r w:rsidRPr="00914C88">
              <w:rPr>
                <w:sz w:val="23"/>
                <w:szCs w:val="23"/>
              </w:rPr>
              <w:t xml:space="preserve"> de GLP</w:t>
            </w:r>
            <w:r w:rsidR="00EF54B4" w:rsidRPr="00914C88">
              <w:rPr>
                <w:sz w:val="23"/>
                <w:szCs w:val="23"/>
              </w:rPr>
              <w:t xml:space="preserve"> reportados al SUI dentro del SICMA</w:t>
            </w:r>
          </w:p>
        </w:tc>
      </w:tr>
      <w:tr w:rsidR="00B44AA0" w:rsidRPr="00C40913" w:rsidTr="00B44AA0">
        <w:tc>
          <w:tcPr>
            <w:tcW w:w="992" w:type="dxa"/>
          </w:tcPr>
          <w:p w:rsidR="00B44AA0" w:rsidRPr="00C40913" w:rsidRDefault="00B44AA0" w:rsidP="00B44AA0">
            <w:pPr>
              <w:spacing w:after="120"/>
              <w:rPr>
                <w:sz w:val="23"/>
                <w:szCs w:val="23"/>
              </w:rPr>
            </w:pPr>
            <w:proofErr w:type="spellStart"/>
            <w:r w:rsidRPr="00C40913">
              <w:rPr>
                <w:sz w:val="23"/>
                <w:szCs w:val="23"/>
              </w:rPr>
              <w:t>ICT</w:t>
            </w:r>
            <w:r w:rsidRPr="00C40913">
              <w:rPr>
                <w:i/>
                <w:sz w:val="23"/>
                <w:szCs w:val="23"/>
                <w:vertAlign w:val="subscript"/>
              </w:rPr>
              <w:t>r</w:t>
            </w:r>
            <w:r w:rsidR="00FC7BC7" w:rsidRPr="00C40913">
              <w:rPr>
                <w:i/>
                <w:sz w:val="23"/>
                <w:szCs w:val="23"/>
                <w:vertAlign w:val="subscript"/>
              </w:rPr>
              <w:t>,a</w:t>
            </w:r>
            <w:proofErr w:type="spellEnd"/>
            <w:r w:rsidRPr="00C40913">
              <w:rPr>
                <w:sz w:val="23"/>
                <w:szCs w:val="23"/>
              </w:rPr>
              <w:t>:</w:t>
            </w:r>
          </w:p>
        </w:tc>
        <w:tc>
          <w:tcPr>
            <w:tcW w:w="8080" w:type="dxa"/>
          </w:tcPr>
          <w:p w:rsidR="00B44AA0" w:rsidRPr="00914C88" w:rsidRDefault="00B44AA0" w:rsidP="00B44AA0">
            <w:pPr>
              <w:spacing w:after="120"/>
              <w:rPr>
                <w:sz w:val="23"/>
                <w:szCs w:val="23"/>
              </w:rPr>
            </w:pPr>
            <w:r w:rsidRPr="00914C88">
              <w:rPr>
                <w:sz w:val="23"/>
                <w:szCs w:val="23"/>
              </w:rPr>
              <w:t xml:space="preserve">Indicador de cumplimiento de tanques estacionarios revisados durante el año </w:t>
            </w:r>
            <w:r w:rsidRPr="00914C88">
              <w:rPr>
                <w:i/>
                <w:sz w:val="23"/>
                <w:szCs w:val="23"/>
              </w:rPr>
              <w:t xml:space="preserve">a </w:t>
            </w:r>
            <w:r w:rsidRPr="00914C88">
              <w:rPr>
                <w:sz w:val="23"/>
                <w:szCs w:val="23"/>
              </w:rPr>
              <w:t xml:space="preserve">para un </w:t>
            </w:r>
            <w:r w:rsidR="00793BD9" w:rsidRPr="00914C88">
              <w:rPr>
                <w:sz w:val="23"/>
                <w:szCs w:val="23"/>
              </w:rPr>
              <w:t>distribuidor</w:t>
            </w:r>
            <w:r w:rsidRPr="00914C88">
              <w:rPr>
                <w:sz w:val="23"/>
                <w:szCs w:val="23"/>
              </w:rPr>
              <w:t xml:space="preserve"> de GLP</w:t>
            </w:r>
          </w:p>
        </w:tc>
      </w:tr>
      <w:tr w:rsidR="00B44AA0" w:rsidRPr="00C40913" w:rsidTr="00B44AA0">
        <w:tc>
          <w:tcPr>
            <w:tcW w:w="992" w:type="dxa"/>
          </w:tcPr>
          <w:p w:rsidR="00B44AA0" w:rsidRPr="00C40913" w:rsidRDefault="00B44AA0" w:rsidP="00B44AA0">
            <w:pPr>
              <w:spacing w:after="120"/>
              <w:rPr>
                <w:sz w:val="23"/>
                <w:szCs w:val="23"/>
              </w:rPr>
            </w:pPr>
            <w:r w:rsidRPr="00C40913">
              <w:rPr>
                <w:sz w:val="23"/>
                <w:szCs w:val="23"/>
              </w:rPr>
              <w:t>NTRP:</w:t>
            </w:r>
          </w:p>
        </w:tc>
        <w:tc>
          <w:tcPr>
            <w:tcW w:w="8080" w:type="dxa"/>
          </w:tcPr>
          <w:p w:rsidR="00B44AA0" w:rsidRPr="00914C88" w:rsidRDefault="00B44AA0" w:rsidP="00460CEC">
            <w:pPr>
              <w:spacing w:after="120"/>
              <w:rPr>
                <w:sz w:val="23"/>
                <w:szCs w:val="23"/>
              </w:rPr>
            </w:pPr>
            <w:r w:rsidRPr="00914C88">
              <w:rPr>
                <w:sz w:val="23"/>
                <w:szCs w:val="23"/>
              </w:rPr>
              <w:t xml:space="preserve">Número total de tanques estacionarios atendidos por el </w:t>
            </w:r>
            <w:r w:rsidR="00793BD9" w:rsidRPr="00914C88">
              <w:rPr>
                <w:sz w:val="23"/>
                <w:szCs w:val="23"/>
              </w:rPr>
              <w:t>distribuidor</w:t>
            </w:r>
            <w:r w:rsidRPr="00914C88">
              <w:rPr>
                <w:sz w:val="23"/>
                <w:szCs w:val="23"/>
              </w:rPr>
              <w:t xml:space="preserve"> de GLP que fueron objeto de revisión parcial durante el año </w:t>
            </w:r>
            <w:r w:rsidRPr="00914C88">
              <w:rPr>
                <w:i/>
                <w:sz w:val="23"/>
                <w:szCs w:val="23"/>
              </w:rPr>
              <w:t>a</w:t>
            </w:r>
            <w:r w:rsidRPr="00914C88">
              <w:rPr>
                <w:sz w:val="23"/>
                <w:szCs w:val="23"/>
              </w:rPr>
              <w:t xml:space="preserve"> según el reglamento técnico del MME, y</w:t>
            </w:r>
            <w:r w:rsidR="001C012D" w:rsidRPr="00914C88">
              <w:rPr>
                <w:sz w:val="23"/>
                <w:szCs w:val="23"/>
              </w:rPr>
              <w:t xml:space="preserve"> cuya revisión fue reportada</w:t>
            </w:r>
            <w:r w:rsidRPr="00914C88">
              <w:rPr>
                <w:sz w:val="23"/>
                <w:szCs w:val="23"/>
              </w:rPr>
              <w:t xml:space="preserve"> al SUI </w:t>
            </w:r>
          </w:p>
        </w:tc>
      </w:tr>
      <w:tr w:rsidR="00B44AA0" w:rsidRPr="00C40913" w:rsidTr="00B44AA0">
        <w:tc>
          <w:tcPr>
            <w:tcW w:w="992" w:type="dxa"/>
          </w:tcPr>
          <w:p w:rsidR="00B44AA0" w:rsidRPr="00C40913" w:rsidRDefault="00B44AA0" w:rsidP="00B44AA0">
            <w:pPr>
              <w:spacing w:after="120"/>
              <w:rPr>
                <w:i/>
                <w:sz w:val="23"/>
                <w:szCs w:val="23"/>
              </w:rPr>
            </w:pPr>
            <w:proofErr w:type="spellStart"/>
            <w:r w:rsidRPr="00C40913">
              <w:rPr>
                <w:sz w:val="23"/>
                <w:szCs w:val="23"/>
              </w:rPr>
              <w:t>TRP</w:t>
            </w:r>
            <w:r w:rsidRPr="00C40913">
              <w:rPr>
                <w:i/>
                <w:sz w:val="23"/>
                <w:szCs w:val="23"/>
                <w:vertAlign w:val="subscript"/>
              </w:rPr>
              <w:t>i,a</w:t>
            </w:r>
            <w:proofErr w:type="spellEnd"/>
            <w:r w:rsidRPr="00C40913">
              <w:rPr>
                <w:sz w:val="23"/>
                <w:szCs w:val="23"/>
              </w:rPr>
              <w:t>:</w:t>
            </w:r>
          </w:p>
        </w:tc>
        <w:tc>
          <w:tcPr>
            <w:tcW w:w="8080" w:type="dxa"/>
          </w:tcPr>
          <w:p w:rsidR="00B44AA0" w:rsidRPr="00914C88" w:rsidRDefault="00B44AA0" w:rsidP="00B44AA0">
            <w:pPr>
              <w:spacing w:after="120"/>
              <w:rPr>
                <w:sz w:val="23"/>
                <w:szCs w:val="23"/>
              </w:rPr>
            </w:pPr>
            <w:r w:rsidRPr="00914C88">
              <w:rPr>
                <w:sz w:val="23"/>
                <w:szCs w:val="23"/>
              </w:rPr>
              <w:t xml:space="preserve">Tanque estacionario </w:t>
            </w:r>
            <w:r w:rsidRPr="00914C88">
              <w:rPr>
                <w:i/>
                <w:sz w:val="23"/>
                <w:szCs w:val="23"/>
              </w:rPr>
              <w:t>i</w:t>
            </w:r>
            <w:r w:rsidRPr="00914C88">
              <w:rPr>
                <w:sz w:val="23"/>
                <w:szCs w:val="23"/>
              </w:rPr>
              <w:t>-</w:t>
            </w:r>
            <w:proofErr w:type="spellStart"/>
            <w:r w:rsidRPr="00914C88">
              <w:rPr>
                <w:sz w:val="23"/>
                <w:szCs w:val="23"/>
              </w:rPr>
              <w:t>esimo</w:t>
            </w:r>
            <w:proofErr w:type="spellEnd"/>
            <w:r w:rsidRPr="00914C88">
              <w:rPr>
                <w:sz w:val="23"/>
                <w:szCs w:val="23"/>
              </w:rPr>
              <w:t xml:space="preserve"> atendido por el </w:t>
            </w:r>
            <w:r w:rsidR="00793BD9" w:rsidRPr="00914C88">
              <w:rPr>
                <w:sz w:val="23"/>
                <w:szCs w:val="23"/>
              </w:rPr>
              <w:t>distribuidor</w:t>
            </w:r>
            <w:r w:rsidRPr="00914C88">
              <w:rPr>
                <w:sz w:val="23"/>
                <w:szCs w:val="23"/>
              </w:rPr>
              <w:t xml:space="preserve"> de GLP que fue objeto de revisión parcial </w:t>
            </w:r>
            <w:r w:rsidR="00011736" w:rsidRPr="00914C88">
              <w:rPr>
                <w:sz w:val="23"/>
                <w:szCs w:val="23"/>
              </w:rPr>
              <w:t xml:space="preserve">por lo menos una vez durante el año </w:t>
            </w:r>
            <w:r w:rsidR="00011736" w:rsidRPr="00914C88">
              <w:rPr>
                <w:i/>
                <w:sz w:val="23"/>
                <w:szCs w:val="23"/>
              </w:rPr>
              <w:t>a</w:t>
            </w:r>
          </w:p>
        </w:tc>
      </w:tr>
      <w:tr w:rsidR="00B44AA0" w:rsidRPr="00C40913" w:rsidTr="00B44AA0">
        <w:tc>
          <w:tcPr>
            <w:tcW w:w="992" w:type="dxa"/>
          </w:tcPr>
          <w:p w:rsidR="00B44AA0" w:rsidRPr="00C40913" w:rsidRDefault="00011736" w:rsidP="00B44AA0">
            <w:pPr>
              <w:spacing w:after="120"/>
              <w:rPr>
                <w:sz w:val="23"/>
                <w:szCs w:val="23"/>
              </w:rPr>
            </w:pPr>
            <w:r w:rsidRPr="00C40913">
              <w:rPr>
                <w:sz w:val="23"/>
                <w:szCs w:val="23"/>
              </w:rPr>
              <w:t>N</w:t>
            </w:r>
            <w:r w:rsidR="00B44AA0" w:rsidRPr="00C40913">
              <w:rPr>
                <w:sz w:val="23"/>
                <w:szCs w:val="23"/>
              </w:rPr>
              <w:t>RT:</w:t>
            </w:r>
          </w:p>
        </w:tc>
        <w:tc>
          <w:tcPr>
            <w:tcW w:w="8080" w:type="dxa"/>
          </w:tcPr>
          <w:p w:rsidR="00B44AA0" w:rsidRPr="00914C88" w:rsidRDefault="00B44AA0" w:rsidP="00460CEC">
            <w:pPr>
              <w:spacing w:after="120"/>
              <w:rPr>
                <w:sz w:val="23"/>
                <w:szCs w:val="23"/>
              </w:rPr>
            </w:pPr>
            <w:r w:rsidRPr="00914C88">
              <w:rPr>
                <w:sz w:val="23"/>
                <w:szCs w:val="23"/>
              </w:rPr>
              <w:t xml:space="preserve">Número de tanques estacionarios atendidos por el </w:t>
            </w:r>
            <w:r w:rsidR="00793BD9" w:rsidRPr="00914C88">
              <w:rPr>
                <w:sz w:val="23"/>
                <w:szCs w:val="23"/>
              </w:rPr>
              <w:t>distribuidor</w:t>
            </w:r>
            <w:r w:rsidRPr="00914C88">
              <w:rPr>
                <w:sz w:val="23"/>
                <w:szCs w:val="23"/>
              </w:rPr>
              <w:t xml:space="preserve"> de GLP que fueron objeto de revisión total durante el año </w:t>
            </w:r>
            <w:r w:rsidRPr="00914C88">
              <w:rPr>
                <w:i/>
                <w:sz w:val="23"/>
                <w:szCs w:val="23"/>
              </w:rPr>
              <w:t>a</w:t>
            </w:r>
            <w:r w:rsidRPr="00914C88">
              <w:rPr>
                <w:sz w:val="23"/>
                <w:szCs w:val="23"/>
              </w:rPr>
              <w:t xml:space="preserve"> según el reglamento técnico del MME, y reportados al SUI </w:t>
            </w:r>
          </w:p>
        </w:tc>
      </w:tr>
      <w:tr w:rsidR="00B44AA0" w:rsidRPr="00C40913" w:rsidTr="00B44AA0">
        <w:tc>
          <w:tcPr>
            <w:tcW w:w="992" w:type="dxa"/>
          </w:tcPr>
          <w:p w:rsidR="00B44AA0" w:rsidRPr="00C40913" w:rsidRDefault="00B44AA0" w:rsidP="00B44AA0">
            <w:pPr>
              <w:spacing w:after="120"/>
              <w:rPr>
                <w:i/>
                <w:sz w:val="23"/>
                <w:szCs w:val="23"/>
              </w:rPr>
            </w:pPr>
            <w:proofErr w:type="spellStart"/>
            <w:r w:rsidRPr="00C40913">
              <w:rPr>
                <w:sz w:val="23"/>
                <w:szCs w:val="23"/>
              </w:rPr>
              <w:t>TRT</w:t>
            </w:r>
            <w:r w:rsidRPr="00C40913">
              <w:rPr>
                <w:i/>
                <w:sz w:val="23"/>
                <w:szCs w:val="23"/>
                <w:vertAlign w:val="subscript"/>
              </w:rPr>
              <w:t>i,a</w:t>
            </w:r>
            <w:proofErr w:type="spellEnd"/>
            <w:r w:rsidRPr="00C40913">
              <w:rPr>
                <w:sz w:val="23"/>
                <w:szCs w:val="23"/>
              </w:rPr>
              <w:t>:</w:t>
            </w:r>
          </w:p>
        </w:tc>
        <w:tc>
          <w:tcPr>
            <w:tcW w:w="8080" w:type="dxa"/>
          </w:tcPr>
          <w:p w:rsidR="00B44AA0" w:rsidRPr="00914C88" w:rsidRDefault="00B44AA0" w:rsidP="00B44AA0">
            <w:pPr>
              <w:spacing w:after="120"/>
              <w:rPr>
                <w:sz w:val="23"/>
                <w:szCs w:val="23"/>
              </w:rPr>
            </w:pPr>
            <w:r w:rsidRPr="00914C88">
              <w:rPr>
                <w:sz w:val="23"/>
                <w:szCs w:val="23"/>
              </w:rPr>
              <w:t xml:space="preserve">Tanque estacionario </w:t>
            </w:r>
            <w:r w:rsidRPr="00914C88">
              <w:rPr>
                <w:i/>
                <w:sz w:val="23"/>
                <w:szCs w:val="23"/>
              </w:rPr>
              <w:t>i</w:t>
            </w:r>
            <w:r w:rsidRPr="00914C88">
              <w:rPr>
                <w:sz w:val="23"/>
                <w:szCs w:val="23"/>
              </w:rPr>
              <w:t>-</w:t>
            </w:r>
            <w:proofErr w:type="spellStart"/>
            <w:r w:rsidRPr="00914C88">
              <w:rPr>
                <w:sz w:val="23"/>
                <w:szCs w:val="23"/>
              </w:rPr>
              <w:t>esimo</w:t>
            </w:r>
            <w:proofErr w:type="spellEnd"/>
            <w:r w:rsidRPr="00914C88">
              <w:rPr>
                <w:sz w:val="23"/>
                <w:szCs w:val="23"/>
              </w:rPr>
              <w:t xml:space="preserve"> atendido por el </w:t>
            </w:r>
            <w:r w:rsidR="00793BD9" w:rsidRPr="00914C88">
              <w:rPr>
                <w:sz w:val="23"/>
                <w:szCs w:val="23"/>
              </w:rPr>
              <w:t>distribuidor</w:t>
            </w:r>
            <w:r w:rsidRPr="00914C88">
              <w:rPr>
                <w:sz w:val="23"/>
                <w:szCs w:val="23"/>
              </w:rPr>
              <w:t xml:space="preserve"> de GLP que fue objeto de revisión total </w:t>
            </w:r>
            <w:r w:rsidR="00011736" w:rsidRPr="00914C88">
              <w:rPr>
                <w:sz w:val="23"/>
                <w:szCs w:val="23"/>
              </w:rPr>
              <w:t xml:space="preserve">por lo menos una vez durante el año </w:t>
            </w:r>
            <w:r w:rsidR="00011736" w:rsidRPr="00914C88">
              <w:rPr>
                <w:i/>
                <w:sz w:val="23"/>
                <w:szCs w:val="23"/>
              </w:rPr>
              <w:t>a</w:t>
            </w:r>
          </w:p>
        </w:tc>
      </w:tr>
      <w:tr w:rsidR="00B44AA0" w:rsidRPr="00C40913" w:rsidTr="00B44AA0">
        <w:tc>
          <w:tcPr>
            <w:tcW w:w="992" w:type="dxa"/>
          </w:tcPr>
          <w:p w:rsidR="00B44AA0" w:rsidRPr="00C40913" w:rsidRDefault="00B44AA0" w:rsidP="00B44AA0">
            <w:pPr>
              <w:spacing w:after="120"/>
              <w:rPr>
                <w:sz w:val="23"/>
                <w:szCs w:val="23"/>
              </w:rPr>
            </w:pPr>
            <w:proofErr w:type="spellStart"/>
            <w:r w:rsidRPr="00C40913">
              <w:rPr>
                <w:sz w:val="23"/>
                <w:szCs w:val="23"/>
              </w:rPr>
              <w:t>NT</w:t>
            </w:r>
            <w:r w:rsidRPr="00C40913">
              <w:rPr>
                <w:i/>
                <w:sz w:val="23"/>
                <w:szCs w:val="23"/>
                <w:vertAlign w:val="subscript"/>
              </w:rPr>
              <w:t>a</w:t>
            </w:r>
            <w:proofErr w:type="spellEnd"/>
            <w:r w:rsidRPr="00C40913">
              <w:rPr>
                <w:sz w:val="23"/>
                <w:szCs w:val="23"/>
              </w:rPr>
              <w:t>:</w:t>
            </w:r>
          </w:p>
        </w:tc>
        <w:tc>
          <w:tcPr>
            <w:tcW w:w="8080" w:type="dxa"/>
          </w:tcPr>
          <w:p w:rsidR="00B44AA0" w:rsidRPr="00914C88" w:rsidRDefault="00B44AA0" w:rsidP="001C012D">
            <w:pPr>
              <w:spacing w:after="120"/>
              <w:rPr>
                <w:i/>
                <w:sz w:val="23"/>
                <w:szCs w:val="23"/>
              </w:rPr>
            </w:pPr>
            <w:r w:rsidRPr="00914C88">
              <w:rPr>
                <w:sz w:val="23"/>
                <w:szCs w:val="23"/>
              </w:rPr>
              <w:t xml:space="preserve">Número total de tanques estacionarios atendidos por el </w:t>
            </w:r>
            <w:r w:rsidR="00793BD9" w:rsidRPr="00914C88">
              <w:rPr>
                <w:sz w:val="23"/>
                <w:szCs w:val="23"/>
              </w:rPr>
              <w:t>distribuidor</w:t>
            </w:r>
            <w:r w:rsidRPr="00914C88">
              <w:rPr>
                <w:sz w:val="23"/>
                <w:szCs w:val="23"/>
              </w:rPr>
              <w:t xml:space="preserve"> de GLP durante el año </w:t>
            </w:r>
            <w:proofErr w:type="spellStart"/>
            <w:r w:rsidRPr="00914C88">
              <w:rPr>
                <w:i/>
                <w:sz w:val="23"/>
                <w:szCs w:val="23"/>
              </w:rPr>
              <w:t>a</w:t>
            </w:r>
            <w:proofErr w:type="spellEnd"/>
            <w:r w:rsidR="001C012D" w:rsidRPr="00914C88">
              <w:rPr>
                <w:i/>
                <w:sz w:val="23"/>
                <w:szCs w:val="23"/>
              </w:rPr>
              <w:t xml:space="preserve"> </w:t>
            </w:r>
            <w:r w:rsidR="001C012D" w:rsidRPr="00914C88">
              <w:rPr>
                <w:sz w:val="23"/>
                <w:szCs w:val="23"/>
              </w:rPr>
              <w:t xml:space="preserve">reportado al SUI </w:t>
            </w:r>
          </w:p>
        </w:tc>
      </w:tr>
      <w:tr w:rsidR="00011736" w:rsidRPr="00C40913" w:rsidTr="00B44AA0">
        <w:tc>
          <w:tcPr>
            <w:tcW w:w="992" w:type="dxa"/>
          </w:tcPr>
          <w:p w:rsidR="00011736" w:rsidRPr="00C40913" w:rsidRDefault="00011736" w:rsidP="00B44AA0">
            <w:pPr>
              <w:spacing w:after="120"/>
              <w:rPr>
                <w:sz w:val="23"/>
                <w:szCs w:val="23"/>
              </w:rPr>
            </w:pPr>
            <w:proofErr w:type="spellStart"/>
            <w:r w:rsidRPr="00C40913">
              <w:rPr>
                <w:sz w:val="23"/>
                <w:szCs w:val="23"/>
              </w:rPr>
              <w:t>ICT</w:t>
            </w:r>
            <w:r w:rsidRPr="00C40913">
              <w:rPr>
                <w:i/>
                <w:sz w:val="23"/>
                <w:szCs w:val="23"/>
                <w:vertAlign w:val="subscript"/>
              </w:rPr>
              <w:t>t,a</w:t>
            </w:r>
            <w:proofErr w:type="spellEnd"/>
            <w:r w:rsidRPr="00C40913">
              <w:rPr>
                <w:sz w:val="23"/>
                <w:szCs w:val="23"/>
              </w:rPr>
              <w:t>:</w:t>
            </w:r>
          </w:p>
        </w:tc>
        <w:tc>
          <w:tcPr>
            <w:tcW w:w="8080" w:type="dxa"/>
          </w:tcPr>
          <w:p w:rsidR="00011736" w:rsidRPr="00C40913" w:rsidRDefault="00011736" w:rsidP="00011736">
            <w:pPr>
              <w:spacing w:after="120"/>
              <w:rPr>
                <w:sz w:val="23"/>
                <w:szCs w:val="23"/>
              </w:rPr>
            </w:pPr>
            <w:r w:rsidRPr="00C40913">
              <w:rPr>
                <w:sz w:val="23"/>
                <w:szCs w:val="23"/>
              </w:rPr>
              <w:t xml:space="preserve">Indicador de cumplimiento de tanques estacionarios revisados totalmente durante el quinquenio </w:t>
            </w:r>
            <w:r w:rsidRPr="00C40913">
              <w:rPr>
                <w:i/>
                <w:sz w:val="23"/>
                <w:szCs w:val="23"/>
              </w:rPr>
              <w:t>q</w:t>
            </w:r>
            <w:r w:rsidRPr="00C40913">
              <w:rPr>
                <w:sz w:val="23"/>
                <w:szCs w:val="23"/>
              </w:rPr>
              <w:t xml:space="preserve"> para un </w:t>
            </w:r>
            <w:r w:rsidR="00793BD9" w:rsidRPr="00C40913">
              <w:rPr>
                <w:sz w:val="23"/>
                <w:szCs w:val="23"/>
              </w:rPr>
              <w:t>distribuidor</w:t>
            </w:r>
            <w:r w:rsidRPr="00C40913">
              <w:rPr>
                <w:sz w:val="23"/>
                <w:szCs w:val="23"/>
              </w:rPr>
              <w:t xml:space="preserve"> de GLP</w:t>
            </w:r>
          </w:p>
        </w:tc>
      </w:tr>
      <w:tr w:rsidR="00011736" w:rsidRPr="00C40913" w:rsidTr="00B44AA0">
        <w:tc>
          <w:tcPr>
            <w:tcW w:w="992" w:type="dxa"/>
          </w:tcPr>
          <w:p w:rsidR="00011736" w:rsidRPr="00C40913" w:rsidRDefault="00011736" w:rsidP="00011736">
            <w:pPr>
              <w:spacing w:after="120"/>
              <w:rPr>
                <w:sz w:val="23"/>
                <w:szCs w:val="23"/>
              </w:rPr>
            </w:pPr>
            <w:r w:rsidRPr="00C40913">
              <w:rPr>
                <w:sz w:val="23"/>
                <w:szCs w:val="23"/>
              </w:rPr>
              <w:t>NTRT:</w:t>
            </w:r>
          </w:p>
        </w:tc>
        <w:tc>
          <w:tcPr>
            <w:tcW w:w="8080" w:type="dxa"/>
          </w:tcPr>
          <w:p w:rsidR="00011736" w:rsidRPr="00C40913" w:rsidRDefault="00011736" w:rsidP="00460CEC">
            <w:pPr>
              <w:spacing w:after="120"/>
              <w:rPr>
                <w:sz w:val="23"/>
                <w:szCs w:val="23"/>
              </w:rPr>
            </w:pPr>
            <w:r w:rsidRPr="00C40913">
              <w:rPr>
                <w:sz w:val="23"/>
                <w:szCs w:val="23"/>
              </w:rPr>
              <w:t xml:space="preserve">Número total de tanques estacionarios atendidos por el </w:t>
            </w:r>
            <w:r w:rsidR="00793BD9" w:rsidRPr="00C40913">
              <w:rPr>
                <w:sz w:val="23"/>
                <w:szCs w:val="23"/>
              </w:rPr>
              <w:t>distribuidor</w:t>
            </w:r>
            <w:r w:rsidRPr="00C40913">
              <w:rPr>
                <w:sz w:val="23"/>
                <w:szCs w:val="23"/>
              </w:rPr>
              <w:t xml:space="preserve"> de GLP que fueron objeto de revisión total durante el quinquenio </w:t>
            </w:r>
            <w:r w:rsidRPr="00C40913">
              <w:rPr>
                <w:i/>
                <w:sz w:val="23"/>
                <w:szCs w:val="23"/>
              </w:rPr>
              <w:t>q</w:t>
            </w:r>
            <w:r w:rsidRPr="00C40913">
              <w:rPr>
                <w:sz w:val="23"/>
                <w:szCs w:val="23"/>
              </w:rPr>
              <w:t xml:space="preserve"> según el reglamento técnico del MME, y reportados al SUI </w:t>
            </w:r>
          </w:p>
        </w:tc>
      </w:tr>
      <w:tr w:rsidR="00011736" w:rsidRPr="00C40913" w:rsidTr="00011736">
        <w:tc>
          <w:tcPr>
            <w:tcW w:w="992" w:type="dxa"/>
          </w:tcPr>
          <w:p w:rsidR="00011736" w:rsidRPr="00C40913" w:rsidRDefault="00011736" w:rsidP="00011736">
            <w:pPr>
              <w:spacing w:after="120"/>
              <w:rPr>
                <w:sz w:val="23"/>
                <w:szCs w:val="23"/>
              </w:rPr>
            </w:pPr>
            <w:proofErr w:type="spellStart"/>
            <w:r w:rsidRPr="00C40913">
              <w:rPr>
                <w:sz w:val="23"/>
                <w:szCs w:val="23"/>
              </w:rPr>
              <w:t>NT</w:t>
            </w:r>
            <w:r w:rsidRPr="00C40913">
              <w:rPr>
                <w:i/>
                <w:sz w:val="23"/>
                <w:szCs w:val="23"/>
                <w:vertAlign w:val="subscript"/>
              </w:rPr>
              <w:t>q</w:t>
            </w:r>
            <w:proofErr w:type="spellEnd"/>
            <w:r w:rsidRPr="00C40913">
              <w:rPr>
                <w:sz w:val="23"/>
                <w:szCs w:val="23"/>
              </w:rPr>
              <w:t>:</w:t>
            </w:r>
          </w:p>
        </w:tc>
        <w:tc>
          <w:tcPr>
            <w:tcW w:w="8080" w:type="dxa"/>
          </w:tcPr>
          <w:p w:rsidR="00011736" w:rsidRPr="00C40913" w:rsidRDefault="00011736" w:rsidP="00011736">
            <w:pPr>
              <w:spacing w:after="120"/>
              <w:rPr>
                <w:i/>
                <w:sz w:val="23"/>
                <w:szCs w:val="23"/>
              </w:rPr>
            </w:pPr>
            <w:r w:rsidRPr="00C40913">
              <w:rPr>
                <w:sz w:val="23"/>
                <w:szCs w:val="23"/>
              </w:rPr>
              <w:t xml:space="preserve">Número total de tanques estacionarios atendidos por el </w:t>
            </w:r>
            <w:r w:rsidR="00793BD9" w:rsidRPr="00C40913">
              <w:rPr>
                <w:sz w:val="23"/>
                <w:szCs w:val="23"/>
              </w:rPr>
              <w:t>distribuidor</w:t>
            </w:r>
            <w:r w:rsidRPr="00C40913">
              <w:rPr>
                <w:sz w:val="23"/>
                <w:szCs w:val="23"/>
              </w:rPr>
              <w:t xml:space="preserve"> de GLP durante el quinquenio </w:t>
            </w:r>
            <w:r w:rsidRPr="00C40913">
              <w:rPr>
                <w:i/>
                <w:sz w:val="23"/>
                <w:szCs w:val="23"/>
              </w:rPr>
              <w:t>q</w:t>
            </w:r>
          </w:p>
        </w:tc>
      </w:tr>
    </w:tbl>
    <w:p w:rsidR="005664D0" w:rsidRPr="00BC7206" w:rsidRDefault="005664D0" w:rsidP="005664D0">
      <w:pPr>
        <w:rPr>
          <w:sz w:val="20"/>
        </w:rPr>
      </w:pPr>
    </w:p>
    <w:p w:rsidR="005664D0" w:rsidRPr="000546A7" w:rsidRDefault="000546A7" w:rsidP="005664D0">
      <w:r w:rsidRPr="000546A7">
        <w:t xml:space="preserve">El </w:t>
      </w:r>
      <w:r w:rsidR="00B32AA1">
        <w:t>estándar de</w:t>
      </w:r>
      <w:r>
        <w:t xml:space="preserve"> cumplimiento </w:t>
      </w:r>
      <w:r w:rsidR="00B32AA1">
        <w:t xml:space="preserve">del indicador se establece en el </w:t>
      </w:r>
      <w:r>
        <w:t>100%</w:t>
      </w:r>
      <w:r w:rsidR="00B32AA1">
        <w:t>,</w:t>
      </w:r>
      <w:r w:rsidRPr="000546A7">
        <w:t xml:space="preserve"> que </w:t>
      </w:r>
      <w:r>
        <w:t>corresponde a</w:t>
      </w:r>
      <w:r w:rsidRPr="000546A7">
        <w:t>l cumplimiento de</w:t>
      </w:r>
      <w:r w:rsidR="00B32AA1">
        <w:t xml:space="preserve"> la reglamentación </w:t>
      </w:r>
      <w:r w:rsidRPr="000546A7">
        <w:t>y su efecto en la seguridad en la prestación del servicio.</w:t>
      </w:r>
    </w:p>
    <w:p w:rsidR="003128AA" w:rsidRPr="001E12EB" w:rsidRDefault="003128AA" w:rsidP="00FE5AC4">
      <w:pPr>
        <w:rPr>
          <w:sz w:val="32"/>
        </w:rPr>
      </w:pPr>
    </w:p>
    <w:p w:rsidR="00A86372" w:rsidRDefault="00FC4986" w:rsidP="00A81A9C">
      <w:pPr>
        <w:pStyle w:val="Artculo"/>
      </w:pPr>
      <w:bookmarkStart w:id="2" w:name="_Ref362440875"/>
      <w:r w:rsidRPr="00CE359C">
        <w:rPr>
          <w:b/>
        </w:rPr>
        <w:t>Masa útil de GLP.</w:t>
      </w:r>
      <w:r>
        <w:rPr>
          <w:b/>
        </w:rPr>
        <w:t xml:space="preserve"> </w:t>
      </w:r>
      <w:r w:rsidR="00B752F3" w:rsidRPr="00A81A9C">
        <w:t xml:space="preserve">Cada distribuidor </w:t>
      </w:r>
      <w:r w:rsidR="00B752F3" w:rsidRPr="00B752F3">
        <w:t>de GLP</w:t>
      </w:r>
      <w:r w:rsidR="00B752F3" w:rsidRPr="00A81A9C">
        <w:t xml:space="preserve"> deberá definir un procedimiento para </w:t>
      </w:r>
      <w:r w:rsidR="00267903" w:rsidRPr="00B752F3">
        <w:t>verifica</w:t>
      </w:r>
      <w:r w:rsidR="00B752F3" w:rsidRPr="00B752F3">
        <w:t>r</w:t>
      </w:r>
      <w:r w:rsidR="00267903" w:rsidRPr="00B752F3">
        <w:t xml:space="preserve"> la ejecución del proceso</w:t>
      </w:r>
      <w:r w:rsidR="0056271E" w:rsidRPr="00B752F3">
        <w:t xml:space="preserve"> de drenaje</w:t>
      </w:r>
      <w:r w:rsidR="00B752F3">
        <w:t xml:space="preserve"> sobre una muestra de cilindros envasa</w:t>
      </w:r>
      <w:r w:rsidR="00A81A9C">
        <w:t xml:space="preserve">dos, </w:t>
      </w:r>
      <w:r w:rsidR="001C012D">
        <w:t>cuya identificación y valores de deficiencia tolerables</w:t>
      </w:r>
      <w:r w:rsidR="001C012D" w:rsidRPr="00983765">
        <w:t xml:space="preserve"> </w:t>
      </w:r>
      <w:r w:rsidR="001C012D">
        <w:t>deberá</w:t>
      </w:r>
      <w:r w:rsidR="00ED7CE9">
        <w:t>n</w:t>
      </w:r>
      <w:r w:rsidR="001C012D">
        <w:t xml:space="preserve"> </w:t>
      </w:r>
      <w:r w:rsidR="00A81A9C" w:rsidRPr="00983765">
        <w:t>sujetarse a lo establecido por la Superintendencia</w:t>
      </w:r>
      <w:r w:rsidR="00A81A9C">
        <w:t xml:space="preserve"> de Industria y Comercio, SIC, en la Circular Única vigente para pre empacados.</w:t>
      </w:r>
      <w:bookmarkEnd w:id="2"/>
      <w:r w:rsidR="00C40913">
        <w:t xml:space="preserve"> Este  </w:t>
      </w:r>
      <w:r w:rsidR="00B752F3" w:rsidRPr="00B752F3">
        <w:t>procedimiento</w:t>
      </w:r>
      <w:r w:rsidR="00267903" w:rsidRPr="00B752F3">
        <w:t xml:space="preserve"> se</w:t>
      </w:r>
      <w:r w:rsidR="00A86372" w:rsidRPr="00B752F3">
        <w:t xml:space="preserve"> deberá incluir en el </w:t>
      </w:r>
      <w:r w:rsidR="00267903" w:rsidRPr="00B752F3">
        <w:t xml:space="preserve">SGC de que trata el artículo </w:t>
      </w:r>
      <w:r w:rsidR="00267903" w:rsidRPr="00A81A9C">
        <w:fldChar w:fldCharType="begin"/>
      </w:r>
      <w:r w:rsidR="00267903" w:rsidRPr="00A81A9C">
        <w:instrText xml:space="preserve"> REF _Ref358335366 \r \h \t \* MERGEFORMAT </w:instrText>
      </w:r>
      <w:r w:rsidR="00267903" w:rsidRPr="00A81A9C">
        <w:fldChar w:fldCharType="separate"/>
      </w:r>
      <w:r w:rsidR="00715E1F">
        <w:t>17</w:t>
      </w:r>
      <w:r w:rsidR="00267903" w:rsidRPr="00A81A9C">
        <w:fldChar w:fldCharType="end"/>
      </w:r>
      <w:r w:rsidR="00C40913">
        <w:t>.</w:t>
      </w:r>
    </w:p>
    <w:p w:rsidR="001C012D" w:rsidRDefault="001C012D" w:rsidP="00A81A9C"/>
    <w:p w:rsidR="00C72F8C" w:rsidRPr="00914C88" w:rsidRDefault="007369FB" w:rsidP="00D0580E">
      <w:r w:rsidRPr="00914C88">
        <w:lastRenderedPageBreak/>
        <w:t>Adicionalmente, e</w:t>
      </w:r>
      <w:r w:rsidR="00D0580E" w:rsidRPr="00914C88">
        <w:t xml:space="preserve">l </w:t>
      </w:r>
      <w:r w:rsidR="00793BD9" w:rsidRPr="00914C88">
        <w:t>distribuidor</w:t>
      </w:r>
      <w:r w:rsidR="00D0580E" w:rsidRPr="00914C88">
        <w:t xml:space="preserve"> deberá incluir </w:t>
      </w:r>
      <w:r w:rsidR="00A81A9C" w:rsidRPr="00914C88">
        <w:t>en</w:t>
      </w:r>
      <w:r w:rsidR="00D0580E" w:rsidRPr="00914C88">
        <w:t xml:space="preserve"> la factura</w:t>
      </w:r>
      <w:r w:rsidR="00A81A9C" w:rsidRPr="00914C88">
        <w:t xml:space="preserve"> de venta</w:t>
      </w:r>
      <w:r w:rsidR="00D0580E" w:rsidRPr="00914C88">
        <w:t xml:space="preserve"> </w:t>
      </w:r>
      <w:r w:rsidR="00A81A9C" w:rsidRPr="00914C88">
        <w:t>la información de</w:t>
      </w:r>
      <w:r w:rsidR="00C72F8C" w:rsidRPr="00914C88">
        <w:t xml:space="preserve"> la cantidad comprada de GLP, el peso del cilindro </w:t>
      </w:r>
      <w:r w:rsidRPr="00914C88">
        <w:t>cuando se le entrega al usuario</w:t>
      </w:r>
      <w:r w:rsidR="00C72F8C" w:rsidRPr="00914C88">
        <w:t xml:space="preserve"> y el peso del cilindro </w:t>
      </w:r>
      <w:r w:rsidRPr="00914C88">
        <w:t xml:space="preserve">cuando </w:t>
      </w:r>
      <w:r w:rsidR="00ED7CE9" w:rsidRPr="00914C88">
        <w:t xml:space="preserve">se </w:t>
      </w:r>
      <w:r w:rsidRPr="00914C88">
        <w:t xml:space="preserve">devuelve </w:t>
      </w:r>
      <w:r w:rsidR="0033014A" w:rsidRPr="00914C88">
        <w:t xml:space="preserve">el cilindro </w:t>
      </w:r>
      <w:r w:rsidRPr="00914C88">
        <w:t>al distribuidor</w:t>
      </w:r>
      <w:r w:rsidR="0033014A" w:rsidRPr="00914C88">
        <w:t xml:space="preserve"> después de consumido el producto</w:t>
      </w:r>
      <w:r w:rsidRPr="00914C88">
        <w:t>, estos últimos calculados como:</w:t>
      </w:r>
    </w:p>
    <w:p w:rsidR="002E7680" w:rsidRPr="006E350F" w:rsidRDefault="002E7680" w:rsidP="00D0580E">
      <w:pPr>
        <w:rPr>
          <w:highlight w:val="yellow"/>
        </w:rPr>
      </w:pPr>
    </w:p>
    <w:p w:rsidR="002E7680" w:rsidRPr="006E350F" w:rsidRDefault="002E7680" w:rsidP="00D0580E">
      <w:pPr>
        <w:rPr>
          <w:highlight w:val="yellow"/>
        </w:rPr>
      </w:pPr>
    </w:p>
    <w:p w:rsidR="00C72F8C" w:rsidRPr="00914C88" w:rsidRDefault="005A085E" w:rsidP="00D0580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PC</m:t>
              </m:r>
            </m:e>
            <m:sub>
              <m:r>
                <w:rPr>
                  <w:rFonts w:ascii="Cambria Math" w:hAnsi="Cambria Math"/>
                </w:rPr>
                <m:t>GLP,ini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GLP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+TC</m:t>
          </m:r>
        </m:oMath>
      </m:oMathPara>
    </w:p>
    <w:p w:rsidR="0035120D" w:rsidRPr="00914C88" w:rsidRDefault="0035120D" w:rsidP="00D0580E">
      <w:pPr>
        <w:rPr>
          <w:sz w:val="16"/>
        </w:rPr>
      </w:pPr>
    </w:p>
    <w:p w:rsidR="0035120D" w:rsidRPr="00914C88" w:rsidRDefault="005A085E" w:rsidP="00D0580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GLP,fin</m:t>
              </m:r>
            </m:sub>
          </m:sSub>
          <m:r>
            <w:rPr>
              <w:rFonts w:ascii="Cambria Math" w:hAnsi="Cambria Math"/>
            </w:rPr>
            <m:t>=TC+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GLP</m:t>
              </m:r>
            </m:sub>
          </m:sSub>
        </m:oMath>
      </m:oMathPara>
    </w:p>
    <w:p w:rsidR="0035120D" w:rsidRPr="00914C88" w:rsidRDefault="0035120D" w:rsidP="00D0580E"/>
    <w:p w:rsidR="00F10D8D" w:rsidRPr="00914C88" w:rsidRDefault="0035120D" w:rsidP="00D0580E">
      <w:r w:rsidRPr="00914C88">
        <w:t>Donde:</w:t>
      </w:r>
    </w:p>
    <w:p w:rsidR="00F10D8D" w:rsidRPr="00914C88" w:rsidRDefault="00F10D8D" w:rsidP="00D0580E">
      <w:pPr>
        <w:rPr>
          <w:sz w:val="20"/>
        </w:rPr>
      </w:pP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080"/>
      </w:tblGrid>
      <w:tr w:rsidR="0035120D" w:rsidRPr="00914C88" w:rsidTr="00515D0C">
        <w:tc>
          <w:tcPr>
            <w:tcW w:w="1013" w:type="dxa"/>
          </w:tcPr>
          <w:p w:rsidR="0035120D" w:rsidRPr="00914C88" w:rsidRDefault="0035120D" w:rsidP="0035120D">
            <w:pPr>
              <w:spacing w:after="120"/>
              <w:rPr>
                <w:sz w:val="22"/>
              </w:rPr>
            </w:pPr>
            <w:r w:rsidRPr="00914C88">
              <w:rPr>
                <w:sz w:val="22"/>
              </w:rPr>
              <w:t>GLP</w:t>
            </w:r>
            <w:r w:rsidRPr="00914C88">
              <w:rPr>
                <w:i/>
                <w:sz w:val="22"/>
                <w:vertAlign w:val="subscript"/>
              </w:rPr>
              <w:t>E</w:t>
            </w:r>
            <w:r w:rsidRPr="00914C88"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35120D" w:rsidRPr="00914C88" w:rsidRDefault="0035120D" w:rsidP="0035120D">
            <w:pPr>
              <w:spacing w:after="120"/>
              <w:rPr>
                <w:sz w:val="22"/>
              </w:rPr>
            </w:pPr>
            <w:r w:rsidRPr="00914C88">
              <w:rPr>
                <w:sz w:val="22"/>
              </w:rPr>
              <w:t>Cantidad de GLP comprada por el usuario y envasada en el cilindro, expresada en kilogramos</w:t>
            </w:r>
          </w:p>
        </w:tc>
      </w:tr>
      <w:tr w:rsidR="0035120D" w:rsidRPr="00914C88" w:rsidTr="00515D0C">
        <w:tc>
          <w:tcPr>
            <w:tcW w:w="1013" w:type="dxa"/>
          </w:tcPr>
          <w:p w:rsidR="0035120D" w:rsidRPr="00914C88" w:rsidRDefault="0035120D" w:rsidP="0035120D">
            <w:pPr>
              <w:spacing w:after="120"/>
              <w:rPr>
                <w:sz w:val="22"/>
              </w:rPr>
            </w:pPr>
            <w:proofErr w:type="spellStart"/>
            <w:r w:rsidRPr="00914C88">
              <w:rPr>
                <w:sz w:val="22"/>
              </w:rPr>
              <w:t>PC</w:t>
            </w:r>
            <w:r w:rsidRPr="00914C88">
              <w:rPr>
                <w:i/>
                <w:sz w:val="22"/>
                <w:vertAlign w:val="subscript"/>
              </w:rPr>
              <w:t>GLP,ini</w:t>
            </w:r>
            <w:proofErr w:type="spellEnd"/>
            <w:r w:rsidRPr="00914C88"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35120D" w:rsidRPr="00914C88" w:rsidRDefault="007369FB" w:rsidP="007369FB">
            <w:pPr>
              <w:spacing w:after="120"/>
              <w:rPr>
                <w:sz w:val="22"/>
              </w:rPr>
            </w:pPr>
            <w:r w:rsidRPr="00914C88">
              <w:rPr>
                <w:sz w:val="22"/>
              </w:rPr>
              <w:t xml:space="preserve">Peso </w:t>
            </w:r>
            <w:r w:rsidR="0035120D" w:rsidRPr="00914C88">
              <w:rPr>
                <w:sz w:val="22"/>
              </w:rPr>
              <w:t>del cilindro</w:t>
            </w:r>
            <w:r w:rsidRPr="00914C88">
              <w:rPr>
                <w:sz w:val="22"/>
              </w:rPr>
              <w:t xml:space="preserve"> </w:t>
            </w:r>
            <w:r w:rsidR="0035120D" w:rsidRPr="00914C88">
              <w:rPr>
                <w:sz w:val="22"/>
              </w:rPr>
              <w:t>cuando se le entrega al usuario</w:t>
            </w:r>
            <w:r w:rsidRPr="00914C88">
              <w:rPr>
                <w:sz w:val="22"/>
              </w:rPr>
              <w:t>, expresado e</w:t>
            </w:r>
            <w:r w:rsidR="00ED7CE9" w:rsidRPr="00914C88">
              <w:rPr>
                <w:sz w:val="22"/>
              </w:rPr>
              <w:t>n kilogramos</w:t>
            </w:r>
          </w:p>
        </w:tc>
      </w:tr>
      <w:tr w:rsidR="0035120D" w:rsidRPr="00914C88" w:rsidTr="00515D0C">
        <w:tc>
          <w:tcPr>
            <w:tcW w:w="1013" w:type="dxa"/>
          </w:tcPr>
          <w:p w:rsidR="0035120D" w:rsidRPr="00914C88" w:rsidRDefault="0035120D" w:rsidP="0035120D">
            <w:pPr>
              <w:spacing w:after="120"/>
              <w:rPr>
                <w:sz w:val="22"/>
              </w:rPr>
            </w:pPr>
            <w:proofErr w:type="spellStart"/>
            <w:r w:rsidRPr="00914C88">
              <w:rPr>
                <w:sz w:val="22"/>
              </w:rPr>
              <w:t>PC</w:t>
            </w:r>
            <w:r w:rsidRPr="00914C88">
              <w:rPr>
                <w:i/>
                <w:sz w:val="22"/>
                <w:vertAlign w:val="subscript"/>
              </w:rPr>
              <w:t>GLP,fin</w:t>
            </w:r>
            <w:proofErr w:type="spellEnd"/>
            <w:r w:rsidRPr="00914C88"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35120D" w:rsidRPr="00914C88" w:rsidRDefault="0035120D" w:rsidP="00ED7CE9">
            <w:pPr>
              <w:spacing w:after="120"/>
              <w:rPr>
                <w:i/>
                <w:sz w:val="22"/>
              </w:rPr>
            </w:pPr>
            <w:r w:rsidRPr="00914C88">
              <w:rPr>
                <w:sz w:val="22"/>
              </w:rPr>
              <w:t xml:space="preserve">Peso del cilindro cuando el usuario ha consumido todo el GLP </w:t>
            </w:r>
            <w:r w:rsidR="00ED7CE9" w:rsidRPr="00914C88">
              <w:rPr>
                <w:sz w:val="22"/>
              </w:rPr>
              <w:t xml:space="preserve">de un cilindro </w:t>
            </w:r>
            <w:r w:rsidRPr="00914C88">
              <w:rPr>
                <w:sz w:val="22"/>
              </w:rPr>
              <w:t xml:space="preserve">y </w:t>
            </w:r>
            <w:r w:rsidR="00ED7CE9" w:rsidRPr="00914C88">
              <w:rPr>
                <w:sz w:val="22"/>
              </w:rPr>
              <w:t xml:space="preserve">lo </w:t>
            </w:r>
            <w:r w:rsidRPr="00914C88">
              <w:rPr>
                <w:sz w:val="22"/>
              </w:rPr>
              <w:t xml:space="preserve">devuelve al </w:t>
            </w:r>
            <w:r w:rsidR="007369FB" w:rsidRPr="00914C88">
              <w:rPr>
                <w:sz w:val="22"/>
              </w:rPr>
              <w:t>distribuidor</w:t>
            </w:r>
            <w:r w:rsidR="00ED7CE9" w:rsidRPr="00914C88">
              <w:rPr>
                <w:sz w:val="22"/>
              </w:rPr>
              <w:t>, expresado en kilogramos</w:t>
            </w:r>
          </w:p>
        </w:tc>
      </w:tr>
      <w:tr w:rsidR="0035120D" w:rsidRPr="00914C88" w:rsidTr="00515D0C">
        <w:tc>
          <w:tcPr>
            <w:tcW w:w="1013" w:type="dxa"/>
          </w:tcPr>
          <w:p w:rsidR="0035120D" w:rsidRPr="00914C88" w:rsidRDefault="0035120D" w:rsidP="0035120D">
            <w:pPr>
              <w:spacing w:after="120"/>
              <w:rPr>
                <w:sz w:val="22"/>
              </w:rPr>
            </w:pPr>
            <w:r w:rsidRPr="00914C88">
              <w:rPr>
                <w:i/>
                <w:sz w:val="22"/>
              </w:rPr>
              <w:t>TC:</w:t>
            </w:r>
          </w:p>
        </w:tc>
        <w:tc>
          <w:tcPr>
            <w:tcW w:w="8080" w:type="dxa"/>
          </w:tcPr>
          <w:p w:rsidR="0035120D" w:rsidRPr="00914C88" w:rsidRDefault="007369FB" w:rsidP="00ED7CE9">
            <w:pPr>
              <w:spacing w:after="120"/>
              <w:rPr>
                <w:sz w:val="22"/>
              </w:rPr>
            </w:pPr>
            <w:r w:rsidRPr="00914C88">
              <w:rPr>
                <w:sz w:val="22"/>
              </w:rPr>
              <w:t>Tara del cilindro</w:t>
            </w:r>
            <w:r w:rsidR="00ED7CE9" w:rsidRPr="00914C88">
              <w:rPr>
                <w:sz w:val="22"/>
              </w:rPr>
              <w:t>, expresada en kilogramos</w:t>
            </w:r>
            <w:r w:rsidRPr="00914C88">
              <w:rPr>
                <w:sz w:val="22"/>
              </w:rPr>
              <w:t>. D</w:t>
            </w:r>
            <w:r w:rsidR="0035120D" w:rsidRPr="00914C88">
              <w:rPr>
                <w:sz w:val="22"/>
              </w:rPr>
              <w:t xml:space="preserve">ebe corresponder </w:t>
            </w:r>
            <w:r w:rsidRPr="00914C88">
              <w:rPr>
                <w:sz w:val="22"/>
              </w:rPr>
              <w:t>con la</w:t>
            </w:r>
            <w:r w:rsidR="00ED7CE9" w:rsidRPr="00914C88">
              <w:rPr>
                <w:sz w:val="22"/>
              </w:rPr>
              <w:t xml:space="preserve"> Tara</w:t>
            </w:r>
            <w:r w:rsidRPr="00914C88">
              <w:rPr>
                <w:sz w:val="22"/>
              </w:rPr>
              <w:t xml:space="preserve"> indicada en el sello indeleble del cilindro</w:t>
            </w:r>
          </w:p>
        </w:tc>
      </w:tr>
      <w:tr w:rsidR="0035120D" w:rsidRPr="0092072D" w:rsidTr="00515D0C">
        <w:tc>
          <w:tcPr>
            <w:tcW w:w="1013" w:type="dxa"/>
          </w:tcPr>
          <w:p w:rsidR="0035120D" w:rsidRPr="00914C88" w:rsidRDefault="007369FB" w:rsidP="0035120D">
            <w:pPr>
              <w:spacing w:after="120"/>
              <w:rPr>
                <w:sz w:val="22"/>
              </w:rPr>
            </w:pPr>
            <w:r w:rsidRPr="00914C88">
              <w:rPr>
                <w:sz w:val="22"/>
              </w:rPr>
              <w:t>R</w:t>
            </w:r>
            <w:r w:rsidRPr="00914C88">
              <w:rPr>
                <w:i/>
                <w:sz w:val="22"/>
                <w:vertAlign w:val="subscript"/>
              </w:rPr>
              <w:t>GLP</w:t>
            </w:r>
            <w:r w:rsidRPr="00914C88"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35120D" w:rsidRPr="0092072D" w:rsidRDefault="007369FB" w:rsidP="00ED7CE9">
            <w:pPr>
              <w:spacing w:after="120"/>
              <w:rPr>
                <w:sz w:val="22"/>
              </w:rPr>
            </w:pPr>
            <w:r w:rsidRPr="00914C88">
              <w:rPr>
                <w:sz w:val="22"/>
              </w:rPr>
              <w:t xml:space="preserve">Residuo de GLP, </w:t>
            </w:r>
            <w:r w:rsidR="00ED7CE9" w:rsidRPr="00914C88">
              <w:rPr>
                <w:sz w:val="22"/>
              </w:rPr>
              <w:t>expresado en kilogramos. C</w:t>
            </w:r>
            <w:r w:rsidRPr="00914C88">
              <w:rPr>
                <w:sz w:val="22"/>
              </w:rPr>
              <w:t xml:space="preserve">orresponde al máximo contenido no vaporizable permitido para el GLP </w:t>
            </w:r>
            <w:r w:rsidR="00DD4F40" w:rsidRPr="00914C88">
              <w:rPr>
                <w:sz w:val="22"/>
              </w:rPr>
              <w:t>comercial</w:t>
            </w:r>
            <w:r w:rsidRPr="00914C88">
              <w:rPr>
                <w:sz w:val="22"/>
              </w:rPr>
              <w:t xml:space="preserve"> según la norma NTC 2303</w:t>
            </w:r>
            <w:r w:rsidR="00DD4F40" w:rsidRPr="00914C88">
              <w:rPr>
                <w:sz w:val="22"/>
              </w:rPr>
              <w:t>, o aquella que la modifique o sustituya</w:t>
            </w:r>
            <w:r w:rsidR="0033014A" w:rsidRPr="00914C88">
              <w:rPr>
                <w:sz w:val="22"/>
              </w:rPr>
              <w:t>,</w:t>
            </w:r>
            <w:r w:rsidR="0033014A">
              <w:rPr>
                <w:sz w:val="22"/>
              </w:rPr>
              <w:t xml:space="preserve"> </w:t>
            </w:r>
          </w:p>
        </w:tc>
      </w:tr>
    </w:tbl>
    <w:p w:rsidR="002D5981" w:rsidRPr="00754586" w:rsidRDefault="002D5981" w:rsidP="00D0580E"/>
    <w:p w:rsidR="00C6774A" w:rsidRDefault="00C6774A" w:rsidP="00D0580E">
      <w:r>
        <w:t>El cumplimiento de estas disposiciones estará sujeto a la vigilancia y control de la Superintendencia de Industria y Comercio dentro de sus competencias.</w:t>
      </w:r>
    </w:p>
    <w:p w:rsidR="00DD4F40" w:rsidRPr="00754586" w:rsidRDefault="00DD4F40" w:rsidP="00D0580E"/>
    <w:p w:rsidR="00632BD5" w:rsidRPr="00FC7BC7" w:rsidRDefault="00973F32" w:rsidP="00632BD5">
      <w:pPr>
        <w:pStyle w:val="Artculo"/>
      </w:pPr>
      <w:r w:rsidRPr="00FC7BC7">
        <w:rPr>
          <w:b/>
        </w:rPr>
        <w:t>Reglamentación técnica</w:t>
      </w:r>
      <w:r w:rsidRPr="00FC7BC7">
        <w:t xml:space="preserve">. Con base en lo establecido en el artículo 67.1 de la Ley 142 de 1994, se solicita al Ministerio de Minas y Energía expedir la reglamentación técnica requerida </w:t>
      </w:r>
      <w:r w:rsidR="00FC7BC7" w:rsidRPr="00FC7BC7">
        <w:t>para el</w:t>
      </w:r>
      <w:r w:rsidRPr="00FC7BC7">
        <w:t xml:space="preserve"> procedimiento de drenaje </w:t>
      </w:r>
      <w:r w:rsidR="0033014A">
        <w:t xml:space="preserve">de cilindros </w:t>
      </w:r>
      <w:r w:rsidR="00FC7BC7" w:rsidRPr="00FC7BC7">
        <w:t xml:space="preserve">por parte de los distribuidores </w:t>
      </w:r>
      <w:r w:rsidRPr="00FC7BC7">
        <w:t xml:space="preserve">y </w:t>
      </w:r>
      <w:r w:rsidR="00FC7BC7">
        <w:t xml:space="preserve">la respectiva </w:t>
      </w:r>
      <w:r w:rsidRPr="00FC7BC7">
        <w:t xml:space="preserve">disposición de </w:t>
      </w:r>
      <w:r w:rsidR="0033014A">
        <w:t xml:space="preserve">los </w:t>
      </w:r>
      <w:r w:rsidRPr="00FC7BC7">
        <w:t>residuos</w:t>
      </w:r>
      <w:r w:rsidR="0033014A">
        <w:t xml:space="preserve"> no </w:t>
      </w:r>
      <w:proofErr w:type="spellStart"/>
      <w:r w:rsidR="0033014A">
        <w:t>vaporizables</w:t>
      </w:r>
      <w:proofErr w:type="spellEnd"/>
      <w:r w:rsidRPr="00FC7BC7">
        <w:t>.</w:t>
      </w:r>
      <w:r w:rsidR="00632BD5" w:rsidRPr="00FC7BC7">
        <w:t xml:space="preserve"> </w:t>
      </w:r>
    </w:p>
    <w:p w:rsidR="00632BD5" w:rsidRPr="00754586" w:rsidRDefault="00632BD5" w:rsidP="00632BD5">
      <w:pPr>
        <w:pStyle w:val="Artculo"/>
        <w:numPr>
          <w:ilvl w:val="0"/>
          <w:numId w:val="0"/>
        </w:numPr>
      </w:pPr>
    </w:p>
    <w:p w:rsidR="00973F32" w:rsidRPr="00FC7BC7" w:rsidRDefault="00632BD5" w:rsidP="00632BD5">
      <w:pPr>
        <w:pStyle w:val="Artculo"/>
        <w:numPr>
          <w:ilvl w:val="0"/>
          <w:numId w:val="0"/>
        </w:numPr>
      </w:pPr>
      <w:r w:rsidRPr="00FC7BC7">
        <w:rPr>
          <w:b/>
        </w:rPr>
        <w:t xml:space="preserve">Parágrafo. </w:t>
      </w:r>
      <w:r w:rsidRPr="00FC7BC7">
        <w:t>Una vez sea expedido el reglamento técnico expedido por el Ministerio de Minas y Energía, los distribuidores deberán ajustar el procedimiento incluido en su sistema de gestión de calidad a que hace referencia el</w:t>
      </w:r>
      <w:r w:rsidR="00FC7BC7" w:rsidRPr="00FC7BC7">
        <w:t xml:space="preserve"> </w:t>
      </w:r>
      <w:r w:rsidR="00FC7BC7">
        <w:t xml:space="preserve">artículo </w:t>
      </w:r>
      <w:r w:rsidR="00FC7BC7" w:rsidRPr="00FC7BC7">
        <w:fldChar w:fldCharType="begin"/>
      </w:r>
      <w:r w:rsidR="00FC7BC7" w:rsidRPr="00FC7BC7">
        <w:instrText xml:space="preserve"> REF _Ref362440875 \r \h </w:instrText>
      </w:r>
      <w:r w:rsidR="00FC7BC7">
        <w:instrText xml:space="preserve"> \* MERGEFORMAT \t</w:instrText>
      </w:r>
      <w:r w:rsidR="00FC7BC7" w:rsidRPr="00FC7BC7">
        <w:fldChar w:fldCharType="separate"/>
      </w:r>
      <w:r w:rsidR="00715E1F">
        <w:t>6</w:t>
      </w:r>
      <w:r w:rsidR="00FC7BC7" w:rsidRPr="00FC7BC7">
        <w:fldChar w:fldCharType="end"/>
      </w:r>
      <w:r w:rsidRPr="00FC7BC7">
        <w:t>.</w:t>
      </w:r>
    </w:p>
    <w:p w:rsidR="00973F32" w:rsidRPr="00754586" w:rsidRDefault="00973F32" w:rsidP="000546A7"/>
    <w:p w:rsidR="00515D0C" w:rsidRDefault="001C2786" w:rsidP="00C06885">
      <w:pPr>
        <w:pStyle w:val="Artculo"/>
      </w:pPr>
      <w:bookmarkStart w:id="3" w:name="_Ref358365466"/>
      <w:r w:rsidRPr="00C93D89">
        <w:rPr>
          <w:b/>
        </w:rPr>
        <w:t>Odorización del GLP envasado.</w:t>
      </w:r>
      <w:r>
        <w:t xml:space="preserve"> </w:t>
      </w:r>
      <w:bookmarkEnd w:id="3"/>
      <w:r w:rsidR="00793167" w:rsidRPr="005D6960">
        <w:t xml:space="preserve">Cada </w:t>
      </w:r>
      <w:r w:rsidR="00793BD9">
        <w:t>distribuidor</w:t>
      </w:r>
      <w:r w:rsidR="00793167" w:rsidRPr="005D6960">
        <w:t xml:space="preserve"> deberá definir </w:t>
      </w:r>
      <w:r w:rsidR="00515D0C">
        <w:t>un</w:t>
      </w:r>
      <w:r w:rsidR="00793167" w:rsidRPr="005D6960">
        <w:t xml:space="preserve"> procedimiento para verificar </w:t>
      </w:r>
      <w:r w:rsidR="00515D0C" w:rsidRPr="00914C88">
        <w:t>que el GLP que recibe del comercializador mayorista tiene la</w:t>
      </w:r>
      <w:r w:rsidR="00793167" w:rsidRPr="00914C88">
        <w:t xml:space="preserve"> odorización </w:t>
      </w:r>
      <w:r w:rsidR="000F51B8" w:rsidRPr="00914C88">
        <w:t>del producto</w:t>
      </w:r>
      <w:r w:rsidR="00515D0C" w:rsidRPr="00914C88">
        <w:t xml:space="preserve"> exigida en la Resolución CREG </w:t>
      </w:r>
      <w:r w:rsidR="00C06885" w:rsidRPr="00914C88">
        <w:t xml:space="preserve">053 de 2011, o aquella que la modifique o sustituya. </w:t>
      </w:r>
      <w:r w:rsidR="00793167" w:rsidRPr="00914C88">
        <w:t xml:space="preserve">Adicionalmente, deberá </w:t>
      </w:r>
      <w:r w:rsidR="000F51B8" w:rsidRPr="00914C88">
        <w:t>implementar en el SGC un procedimiento</w:t>
      </w:r>
      <w:r w:rsidR="00793167" w:rsidRPr="00914C88">
        <w:t xml:space="preserve"> para </w:t>
      </w:r>
      <w:r w:rsidR="00C06885" w:rsidRPr="00914C88">
        <w:t>cotejar</w:t>
      </w:r>
      <w:r w:rsidR="00793167" w:rsidRPr="005D6960">
        <w:t xml:space="preserve"> sobre una muestra</w:t>
      </w:r>
      <w:r w:rsidR="00793167">
        <w:t xml:space="preserve"> de cilindros</w:t>
      </w:r>
      <w:r w:rsidR="00C06885">
        <w:t xml:space="preserve"> que se cumple con la odorización exigida. La</w:t>
      </w:r>
      <w:r w:rsidR="00515D0C">
        <w:t xml:space="preserve"> identificación </w:t>
      </w:r>
      <w:r w:rsidR="00C06885">
        <w:t xml:space="preserve">de la muestra </w:t>
      </w:r>
      <w:r w:rsidR="00515D0C">
        <w:t xml:space="preserve">deberá sujetarse </w:t>
      </w:r>
      <w:r w:rsidR="00793167">
        <w:t xml:space="preserve">a lo establecido por la Superintendencia de Industria y Comercio, SIC, en la </w:t>
      </w:r>
      <w:r w:rsidR="003759E1">
        <w:t>C</w:t>
      </w:r>
      <w:r w:rsidR="00793BD9">
        <w:t xml:space="preserve">ircular </w:t>
      </w:r>
      <w:r w:rsidR="003759E1">
        <w:t>Ú</w:t>
      </w:r>
      <w:r w:rsidR="00793BD9">
        <w:t xml:space="preserve">nica </w:t>
      </w:r>
      <w:r w:rsidR="00793167">
        <w:t xml:space="preserve">vigente para </w:t>
      </w:r>
      <w:r w:rsidR="00D75423">
        <w:t>pre empacados</w:t>
      </w:r>
      <w:r w:rsidR="000F51B8">
        <w:t xml:space="preserve">. </w:t>
      </w:r>
      <w:r w:rsidR="00C06885">
        <w:t>Estos procedimientos se deberán incluir</w:t>
      </w:r>
      <w:r w:rsidR="00515D0C" w:rsidRPr="005D6960">
        <w:t xml:space="preserve"> </w:t>
      </w:r>
      <w:r w:rsidR="00C06885">
        <w:t>en el</w:t>
      </w:r>
      <w:r w:rsidR="00515D0C" w:rsidRPr="005D6960">
        <w:t xml:space="preserve"> del SGC de que trata el artículo </w:t>
      </w:r>
      <w:r w:rsidR="00515D0C" w:rsidRPr="005D6960">
        <w:fldChar w:fldCharType="begin"/>
      </w:r>
      <w:r w:rsidR="00515D0C" w:rsidRPr="005D6960">
        <w:instrText xml:space="preserve"> REF _Ref358335366 \r \h \t \* MERGEFORMAT </w:instrText>
      </w:r>
      <w:r w:rsidR="00515D0C" w:rsidRPr="005D6960">
        <w:fldChar w:fldCharType="separate"/>
      </w:r>
      <w:r w:rsidR="00715E1F">
        <w:t>17</w:t>
      </w:r>
      <w:r w:rsidR="00515D0C" w:rsidRPr="005D6960">
        <w:fldChar w:fldCharType="end"/>
      </w:r>
      <w:r w:rsidR="00C06885">
        <w:t>.</w:t>
      </w:r>
    </w:p>
    <w:p w:rsidR="00C93D89" w:rsidRPr="00754586" w:rsidRDefault="00C93D89" w:rsidP="00C93D89"/>
    <w:p w:rsidR="000F51B8" w:rsidRDefault="000F51B8" w:rsidP="00C93D89">
      <w:r>
        <w:lastRenderedPageBreak/>
        <w:t>De los resultados</w:t>
      </w:r>
      <w:r w:rsidR="0008223D">
        <w:t xml:space="preserve"> obtenidos</w:t>
      </w:r>
      <w:r w:rsidR="00C06885">
        <w:t xml:space="preserve"> </w:t>
      </w:r>
      <w:r w:rsidR="00C06885" w:rsidRPr="00914C88">
        <w:t>sobre la muestra</w:t>
      </w:r>
      <w:r w:rsidR="0008223D" w:rsidRPr="00914C88">
        <w:t>,</w:t>
      </w:r>
      <w:r w:rsidRPr="00914C88">
        <w:t xml:space="preserve"> </w:t>
      </w:r>
      <w:r w:rsidR="0008223D" w:rsidRPr="00914C88">
        <w:t>solo</w:t>
      </w:r>
      <w:r w:rsidR="0008223D">
        <w:t xml:space="preserve"> se</w:t>
      </w:r>
      <w:r>
        <w:t xml:space="preserve"> permitirá un valor </w:t>
      </w:r>
      <w:r w:rsidR="0008223D">
        <w:t>igual al 100%</w:t>
      </w:r>
      <w:r>
        <w:t xml:space="preserve"> </w:t>
      </w:r>
      <w:r w:rsidR="0008223D">
        <w:t>de</w:t>
      </w:r>
      <w:r>
        <w:t xml:space="preserve"> odorización de la muestra</w:t>
      </w:r>
      <w:r w:rsidR="00C06885">
        <w:t>;</w:t>
      </w:r>
      <w:r>
        <w:t xml:space="preserve"> en caso contrario, el </w:t>
      </w:r>
      <w:r w:rsidR="00793BD9">
        <w:t>distribuidor</w:t>
      </w:r>
      <w:r>
        <w:t xml:space="preserve"> deberá tomar las acciones pertinentes para retirar del mercado los cilindros del mismo lote que no cumplió con la odorización.</w:t>
      </w:r>
    </w:p>
    <w:p w:rsidR="000F51B8" w:rsidRPr="00754586" w:rsidRDefault="000F51B8" w:rsidP="00793167"/>
    <w:p w:rsidR="00793167" w:rsidRDefault="000F51B8" w:rsidP="001C2786">
      <w:r>
        <w:t xml:space="preserve">La </w:t>
      </w:r>
      <w:r w:rsidR="00793167">
        <w:t xml:space="preserve">información </w:t>
      </w:r>
      <w:r w:rsidR="00770AF1">
        <w:t xml:space="preserve">que resulte sobre la muestra </w:t>
      </w:r>
      <w:r w:rsidR="00793167">
        <w:t>deberá quedar registrada para control y verificación por parte de la empresa o de las respectivas entidades de control y vigilancia.</w:t>
      </w:r>
    </w:p>
    <w:p w:rsidR="000F51B8" w:rsidRPr="00754586" w:rsidRDefault="000F51B8" w:rsidP="000F51B8"/>
    <w:p w:rsidR="000F51B8" w:rsidRPr="00447210" w:rsidRDefault="001A321D" w:rsidP="00A46170">
      <w:pPr>
        <w:pStyle w:val="Artculo"/>
      </w:pPr>
      <w:r>
        <w:rPr>
          <w:b/>
        </w:rPr>
        <w:t>Report</w:t>
      </w:r>
      <w:r w:rsidRPr="001A321D">
        <w:rPr>
          <w:b/>
        </w:rPr>
        <w:t>e de indicadores de calidad del producto</w:t>
      </w:r>
      <w:r>
        <w:rPr>
          <w:b/>
        </w:rPr>
        <w:t xml:space="preserve"> envasado</w:t>
      </w:r>
      <w:r w:rsidRPr="001A321D">
        <w:rPr>
          <w:b/>
        </w:rPr>
        <w:t>.</w:t>
      </w:r>
      <w:r>
        <w:t xml:space="preserve"> </w:t>
      </w:r>
      <w:r w:rsidR="000F51B8" w:rsidRPr="005664D0">
        <w:t xml:space="preserve">El </w:t>
      </w:r>
      <w:r w:rsidR="00793BD9">
        <w:t>distribuidor</w:t>
      </w:r>
      <w:r w:rsidR="000F51B8" w:rsidRPr="005664D0">
        <w:t xml:space="preserve"> será el responsable </w:t>
      </w:r>
      <w:r w:rsidR="002B06E1">
        <w:t xml:space="preserve">de calcular los indicadores de que trata el artículo </w:t>
      </w:r>
      <w:r w:rsidR="00D75423">
        <w:rPr>
          <w:highlight w:val="yellow"/>
        </w:rPr>
        <w:fldChar w:fldCharType="begin"/>
      </w:r>
      <w:r w:rsidR="00D75423">
        <w:instrText xml:space="preserve"> REF _Ref358335605 \r \h \t</w:instrText>
      </w:r>
      <w:r w:rsidR="00D75423">
        <w:rPr>
          <w:highlight w:val="yellow"/>
        </w:rPr>
      </w:r>
      <w:r w:rsidR="00D75423">
        <w:rPr>
          <w:highlight w:val="yellow"/>
        </w:rPr>
        <w:fldChar w:fldCharType="separate"/>
      </w:r>
      <w:r w:rsidR="00715E1F">
        <w:t>5</w:t>
      </w:r>
      <w:r w:rsidR="00D75423">
        <w:rPr>
          <w:highlight w:val="yellow"/>
        </w:rPr>
        <w:fldChar w:fldCharType="end"/>
      </w:r>
      <w:r w:rsidR="00D75423">
        <w:t xml:space="preserve"> </w:t>
      </w:r>
      <w:r w:rsidR="002B06E1">
        <w:t xml:space="preserve">y reportarlos anualmente al </w:t>
      </w:r>
      <w:r w:rsidR="00793BD9">
        <w:t xml:space="preserve">sistema único </w:t>
      </w:r>
      <w:r w:rsidR="002B06E1">
        <w:t xml:space="preserve">de </w:t>
      </w:r>
      <w:r w:rsidR="00793BD9">
        <w:t>i</w:t>
      </w:r>
      <w:r w:rsidR="002B06E1">
        <w:t xml:space="preserve">nformación, SUI, en los formatos, términos y plazos que la </w:t>
      </w:r>
      <w:r w:rsidR="000338D2">
        <w:t>Superintendencia</w:t>
      </w:r>
      <w:r w:rsidR="002B06E1">
        <w:t xml:space="preserve"> de Se</w:t>
      </w:r>
      <w:r w:rsidR="00D75423">
        <w:t>rvicios Públicos Domiciliarios</w:t>
      </w:r>
      <w:r w:rsidR="00793BD9">
        <w:t>, SSPD,</w:t>
      </w:r>
      <w:r w:rsidR="00D75423">
        <w:t xml:space="preserve"> </w:t>
      </w:r>
      <w:r w:rsidR="002B06E1">
        <w:t xml:space="preserve">determine. </w:t>
      </w:r>
    </w:p>
    <w:p w:rsidR="000F51B8" w:rsidRPr="00BC7206" w:rsidRDefault="000F51B8" w:rsidP="001C2786">
      <w:pPr>
        <w:rPr>
          <w:sz w:val="8"/>
        </w:rPr>
      </w:pPr>
    </w:p>
    <w:p w:rsidR="002B06E1" w:rsidRDefault="002B06E1" w:rsidP="001C2786"/>
    <w:p w:rsidR="002E7680" w:rsidRDefault="002E7680" w:rsidP="001C2786"/>
    <w:p w:rsidR="00D134C3" w:rsidRPr="0056521F" w:rsidRDefault="00D134C3" w:rsidP="001C2786">
      <w:pPr>
        <w:rPr>
          <w:sz w:val="2"/>
          <w:szCs w:val="12"/>
        </w:rPr>
      </w:pPr>
    </w:p>
    <w:p w:rsidR="002B06E1" w:rsidRPr="00E87B67" w:rsidRDefault="00F67FF9" w:rsidP="002B06E1">
      <w:pPr>
        <w:jc w:val="center"/>
        <w:rPr>
          <w:b/>
        </w:rPr>
      </w:pPr>
      <w:r>
        <w:rPr>
          <w:b/>
        </w:rPr>
        <w:t>CAPÍ</w:t>
      </w:r>
      <w:r w:rsidR="002B06E1" w:rsidRPr="00E87B67">
        <w:rPr>
          <w:b/>
        </w:rPr>
        <w:t>TULO I</w:t>
      </w:r>
      <w:r w:rsidR="002B06E1">
        <w:rPr>
          <w:b/>
        </w:rPr>
        <w:t>I</w:t>
      </w:r>
      <w:r w:rsidR="002B06E1" w:rsidRPr="00E87B67">
        <w:rPr>
          <w:b/>
        </w:rPr>
        <w:t>: INDICADORES DE CALIDAD DE</w:t>
      </w:r>
      <w:r w:rsidR="009636A0">
        <w:rPr>
          <w:b/>
        </w:rPr>
        <w:t xml:space="preserve">L SERVICIO </w:t>
      </w:r>
    </w:p>
    <w:p w:rsidR="002B06E1" w:rsidRPr="00AC457A" w:rsidRDefault="002B06E1" w:rsidP="00FE5AC4"/>
    <w:p w:rsidR="00D75423" w:rsidRDefault="00CE359C" w:rsidP="00A46170">
      <w:pPr>
        <w:pStyle w:val="Artculo"/>
      </w:pPr>
      <w:r w:rsidRPr="00CE359C">
        <w:rPr>
          <w:b/>
        </w:rPr>
        <w:t xml:space="preserve">Calidad del </w:t>
      </w:r>
      <w:r w:rsidR="000338D2">
        <w:rPr>
          <w:b/>
        </w:rPr>
        <w:t>servicio</w:t>
      </w:r>
      <w:r w:rsidRPr="00CE359C">
        <w:rPr>
          <w:b/>
        </w:rPr>
        <w:t xml:space="preserve"> de GLP.</w:t>
      </w:r>
      <w:r w:rsidRPr="00447210">
        <w:t xml:space="preserve"> </w:t>
      </w:r>
      <w:r w:rsidR="009636A0" w:rsidRPr="009636A0">
        <w:t xml:space="preserve">Para efectos de la presente resolución, se considerará como calidad de servicio de GLP aquellas actividades realizadas por el </w:t>
      </w:r>
      <w:r w:rsidR="00D75423">
        <w:t xml:space="preserve">prestador del servicio de GLP </w:t>
      </w:r>
      <w:r w:rsidR="00B6222B">
        <w:t>en la atención del cliente, relacionadas con</w:t>
      </w:r>
      <w:r w:rsidR="009636A0" w:rsidRPr="009636A0">
        <w:t xml:space="preserve"> el abastecimiento del mercado a través del suministro continuo del pro</w:t>
      </w:r>
      <w:r>
        <w:t xml:space="preserve">ducto que demandan </w:t>
      </w:r>
      <w:r w:rsidR="00B6222B">
        <w:t xml:space="preserve">los </w:t>
      </w:r>
      <w:r>
        <w:t>usuarios y</w:t>
      </w:r>
      <w:r w:rsidR="009636A0" w:rsidRPr="009636A0">
        <w:t xml:space="preserve"> </w:t>
      </w:r>
      <w:r w:rsidR="00B6222B">
        <w:t>con el</w:t>
      </w:r>
      <w:r>
        <w:t xml:space="preserve"> soporte</w:t>
      </w:r>
      <w:r w:rsidR="000338D2">
        <w:t xml:space="preserve"> técnico</w:t>
      </w:r>
      <w:r>
        <w:t xml:space="preserve">, </w:t>
      </w:r>
      <w:r w:rsidR="009636A0" w:rsidRPr="009636A0">
        <w:t>comercial</w:t>
      </w:r>
      <w:r>
        <w:t xml:space="preserve"> y ante emergencias</w:t>
      </w:r>
      <w:r w:rsidR="00B6222B">
        <w:t xml:space="preserve"> que le brinda a los mismos.</w:t>
      </w:r>
    </w:p>
    <w:p w:rsidR="00D75423" w:rsidRDefault="00D75423" w:rsidP="00D75423"/>
    <w:p w:rsidR="002B06E1" w:rsidRPr="009636A0" w:rsidRDefault="00D75423" w:rsidP="00D75423">
      <w:r>
        <w:t xml:space="preserve">El prestador del servicio de GLP al usuario final puede ser el </w:t>
      </w:r>
      <w:r w:rsidR="004A5429">
        <w:t>comercializador</w:t>
      </w:r>
      <w:r w:rsidRPr="009636A0">
        <w:t xml:space="preserve"> </w:t>
      </w:r>
      <w:r w:rsidR="004A5429">
        <w:t>minorista</w:t>
      </w:r>
      <w:r>
        <w:t xml:space="preserve"> o el </w:t>
      </w:r>
      <w:r w:rsidR="00793BD9">
        <w:t>distribuidor</w:t>
      </w:r>
      <w:r w:rsidR="00C06885" w:rsidRPr="00914C88">
        <w:t>, conforme se establece en la Resolución CREG 023 de 2008, o aquella que la modifique o sustituya</w:t>
      </w:r>
      <w:r w:rsidRPr="00914C88">
        <w:t>.</w:t>
      </w:r>
    </w:p>
    <w:p w:rsidR="00682705" w:rsidRPr="00447210" w:rsidRDefault="00682705" w:rsidP="00FE5AC4"/>
    <w:p w:rsidR="00947B4C" w:rsidRDefault="0001649F" w:rsidP="00B6222B">
      <w:pPr>
        <w:pStyle w:val="Artculo"/>
      </w:pPr>
      <w:bookmarkStart w:id="4" w:name="_Ref358340227"/>
      <w:r w:rsidRPr="00B6222B">
        <w:rPr>
          <w:b/>
        </w:rPr>
        <w:t>Indicador</w:t>
      </w:r>
      <w:r w:rsidR="002B06E1" w:rsidRPr="00B6222B">
        <w:rPr>
          <w:b/>
        </w:rPr>
        <w:t xml:space="preserve"> de cumplimiento de entregas</w:t>
      </w:r>
      <w:r w:rsidRPr="00B6222B">
        <w:rPr>
          <w:b/>
        </w:rPr>
        <w:t>.</w:t>
      </w:r>
      <w:r>
        <w:t xml:space="preserve"> </w:t>
      </w:r>
      <w:bookmarkEnd w:id="4"/>
      <w:r w:rsidR="009636A0">
        <w:t xml:space="preserve">Para medir el cumplimiento de los tiempos de entrega establecidos por el </w:t>
      </w:r>
      <w:r w:rsidR="001F4711">
        <w:t>prestador del servicio</w:t>
      </w:r>
      <w:r w:rsidR="009636A0">
        <w:rPr>
          <w:b/>
        </w:rPr>
        <w:t xml:space="preserve"> </w:t>
      </w:r>
      <w:r w:rsidR="009636A0">
        <w:t xml:space="preserve">en el contrato de prestación de servicios, </w:t>
      </w:r>
      <w:r w:rsidR="0060182B">
        <w:t xml:space="preserve">el respectivo agente </w:t>
      </w:r>
      <w:r w:rsidR="009636A0">
        <w:t>deberá calcular el siguiente indicador:</w:t>
      </w:r>
    </w:p>
    <w:p w:rsidR="00BC7206" w:rsidRDefault="00BC7206" w:rsidP="00BC7206">
      <w:pPr>
        <w:pStyle w:val="Artculo"/>
        <w:numPr>
          <w:ilvl w:val="0"/>
          <w:numId w:val="0"/>
        </w:numPr>
      </w:pPr>
    </w:p>
    <w:p w:rsidR="009A486A" w:rsidRDefault="005A085E" w:rsidP="00442C25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ICE</m:t>
              </m:r>
            </m:e>
            <m:sub>
              <m:r>
                <w:rPr>
                  <w:rFonts w:ascii="Cambria Math" w:hAnsi="Cambria Math"/>
                </w:rPr>
                <m:t>v,s,k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p=1</m:t>
                      </m:r>
                    </m:e>
                    <m:sup/>
                  </m:sSup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b/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v,s,p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NE</m:t>
                  </m:r>
                </m:e>
                <m:sub>
                  <m:r>
                    <w:rPr>
                      <w:rFonts w:ascii="Cambria Math" w:hAnsi="Cambria Math"/>
                    </w:rPr>
                    <m:t>v,s</m:t>
                  </m:r>
                </m:sub>
              </m:sSub>
            </m:den>
          </m:f>
          <m:r>
            <w:rPr>
              <w:rFonts w:ascii="Cambria Math" w:hAnsi="Cambria Math"/>
            </w:rPr>
            <m:t>×100%</m:t>
          </m:r>
        </m:oMath>
      </m:oMathPara>
    </w:p>
    <w:p w:rsidR="009636A0" w:rsidRDefault="009636A0" w:rsidP="00442C25"/>
    <w:p w:rsidR="009636A0" w:rsidRDefault="009A486A" w:rsidP="00442C25">
      <w:r>
        <w:t>Donde:</w:t>
      </w:r>
    </w:p>
    <w:p w:rsidR="009A486A" w:rsidRDefault="009A486A" w:rsidP="00442C25"/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080"/>
      </w:tblGrid>
      <w:tr w:rsidR="009A486A" w:rsidRPr="0092072D" w:rsidTr="00D16A43">
        <w:tc>
          <w:tcPr>
            <w:tcW w:w="992" w:type="dxa"/>
          </w:tcPr>
          <w:p w:rsidR="009A486A" w:rsidRPr="0092072D" w:rsidRDefault="009A486A" w:rsidP="00D16A43">
            <w:pPr>
              <w:spacing w:after="120"/>
              <w:rPr>
                <w:sz w:val="22"/>
              </w:rPr>
            </w:pPr>
            <w:proofErr w:type="spellStart"/>
            <w:r w:rsidRPr="0092072D">
              <w:rPr>
                <w:sz w:val="22"/>
              </w:rPr>
              <w:t>IC</w:t>
            </w:r>
            <w:r w:rsidR="008557DD">
              <w:rPr>
                <w:sz w:val="22"/>
              </w:rPr>
              <w:t>E</w:t>
            </w:r>
            <w:r w:rsidR="003157AD">
              <w:rPr>
                <w:i/>
                <w:sz w:val="22"/>
                <w:vertAlign w:val="subscript"/>
              </w:rPr>
              <w:t>v</w:t>
            </w:r>
            <w:r w:rsidR="00FC7BC7" w:rsidRPr="00FC7BC7">
              <w:rPr>
                <w:i/>
                <w:sz w:val="22"/>
                <w:vertAlign w:val="subscript"/>
              </w:rPr>
              <w:t>,s,k</w:t>
            </w:r>
            <w:proofErr w:type="spellEnd"/>
            <w:r w:rsidRPr="0092072D"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9A486A" w:rsidRPr="0092072D" w:rsidRDefault="008557DD" w:rsidP="00D16A43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Indicador</w:t>
            </w:r>
            <w:r w:rsidR="009A486A">
              <w:rPr>
                <w:sz w:val="22"/>
              </w:rPr>
              <w:t xml:space="preserve"> de cumplimiento de </w:t>
            </w:r>
            <w:r>
              <w:rPr>
                <w:sz w:val="22"/>
              </w:rPr>
              <w:t xml:space="preserve">entregas de GLP </w:t>
            </w:r>
            <w:r w:rsidR="00F716CE">
              <w:rPr>
                <w:sz w:val="22"/>
              </w:rPr>
              <w:t xml:space="preserve">por tipo de venta </w:t>
            </w:r>
            <w:r w:rsidR="00F716CE" w:rsidRPr="00F716CE">
              <w:rPr>
                <w:i/>
                <w:sz w:val="22"/>
              </w:rPr>
              <w:t>v</w:t>
            </w:r>
            <w:r w:rsidR="00F716CE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por tipo de usuario </w:t>
            </w:r>
            <w:r w:rsidR="00D16A43">
              <w:rPr>
                <w:i/>
                <w:sz w:val="22"/>
              </w:rPr>
              <w:t>s</w:t>
            </w:r>
            <w:r w:rsidR="007B4115">
              <w:rPr>
                <w:i/>
                <w:sz w:val="22"/>
              </w:rPr>
              <w:t>,</w:t>
            </w:r>
            <w:r w:rsidR="007B4115" w:rsidRPr="007B4115">
              <w:rPr>
                <w:sz w:val="22"/>
              </w:rPr>
              <w:t xml:space="preserve"> durante el trimestre </w:t>
            </w:r>
            <w:r w:rsidR="007B4115">
              <w:rPr>
                <w:i/>
                <w:sz w:val="22"/>
              </w:rPr>
              <w:t>k</w:t>
            </w:r>
          </w:p>
        </w:tc>
      </w:tr>
      <w:tr w:rsidR="009A486A" w:rsidRPr="0092072D" w:rsidTr="00D16A43">
        <w:tc>
          <w:tcPr>
            <w:tcW w:w="992" w:type="dxa"/>
          </w:tcPr>
          <w:p w:rsidR="009A486A" w:rsidRPr="00C139D8" w:rsidRDefault="00C139D8" w:rsidP="00D16A43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ET</w:t>
            </w:r>
            <w:r w:rsidR="00FC7BC7" w:rsidRPr="00FC7BC7">
              <w:rPr>
                <w:i/>
                <w:sz w:val="22"/>
                <w:vertAlign w:val="subscript"/>
              </w:rPr>
              <w:t>v,s,</w:t>
            </w:r>
            <w:r w:rsidRPr="00FC7BC7">
              <w:rPr>
                <w:i/>
                <w:sz w:val="22"/>
                <w:vertAlign w:val="subscript"/>
              </w:rPr>
              <w:t>p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9A486A" w:rsidRPr="0092072D" w:rsidRDefault="00C139D8" w:rsidP="00E75E7C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Entregas de GLP realizadas dentro del tiempo establecido en el contrato de prestación del servicio a los usuarios tipo </w:t>
            </w:r>
            <w:r w:rsidR="00E75E7C">
              <w:rPr>
                <w:i/>
                <w:sz w:val="22"/>
              </w:rPr>
              <w:t>s,</w:t>
            </w:r>
            <w:r>
              <w:rPr>
                <w:sz w:val="22"/>
              </w:rPr>
              <w:t xml:space="preserve"> durante el mes </w:t>
            </w:r>
            <w:r w:rsidRPr="00C139D8">
              <w:rPr>
                <w:i/>
                <w:sz w:val="22"/>
              </w:rPr>
              <w:t>p</w:t>
            </w:r>
            <w:r w:rsidR="00F716CE" w:rsidRPr="00F716CE">
              <w:rPr>
                <w:sz w:val="22"/>
              </w:rPr>
              <w:t xml:space="preserve">, </w:t>
            </w:r>
            <w:r w:rsidR="00F716CE">
              <w:rPr>
                <w:sz w:val="22"/>
              </w:rPr>
              <w:t xml:space="preserve">por tipo de venta </w:t>
            </w:r>
            <w:r w:rsidR="00F716CE" w:rsidRPr="00F716CE">
              <w:rPr>
                <w:i/>
                <w:sz w:val="22"/>
              </w:rPr>
              <w:t>v</w:t>
            </w:r>
            <w:r w:rsidR="007B4115">
              <w:rPr>
                <w:i/>
                <w:sz w:val="22"/>
              </w:rPr>
              <w:t xml:space="preserve">, </w:t>
            </w:r>
          </w:p>
        </w:tc>
      </w:tr>
      <w:tr w:rsidR="009A486A" w:rsidRPr="0092072D" w:rsidTr="00D16A43">
        <w:tc>
          <w:tcPr>
            <w:tcW w:w="992" w:type="dxa"/>
          </w:tcPr>
          <w:p w:rsidR="009A486A" w:rsidRPr="0092072D" w:rsidRDefault="00C139D8" w:rsidP="00D16A43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NE</w:t>
            </w:r>
            <w:r w:rsidR="00FC7BC7" w:rsidRPr="00FC7BC7">
              <w:rPr>
                <w:i/>
                <w:sz w:val="22"/>
                <w:vertAlign w:val="subscript"/>
              </w:rPr>
              <w:t>v,s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9A486A" w:rsidRPr="007B4115" w:rsidRDefault="00C139D8" w:rsidP="00D16A43">
            <w:pPr>
              <w:spacing w:after="120"/>
              <w:rPr>
                <w:i/>
                <w:sz w:val="22"/>
              </w:rPr>
            </w:pPr>
            <w:r>
              <w:rPr>
                <w:sz w:val="22"/>
              </w:rPr>
              <w:t xml:space="preserve">Número total de ventas </w:t>
            </w:r>
            <w:r w:rsidR="00D16A43">
              <w:rPr>
                <w:sz w:val="22"/>
              </w:rPr>
              <w:t xml:space="preserve">o entregas </w:t>
            </w:r>
            <w:r>
              <w:rPr>
                <w:sz w:val="22"/>
              </w:rPr>
              <w:t xml:space="preserve">de GLP </w:t>
            </w:r>
            <w:r w:rsidR="00D16A43">
              <w:rPr>
                <w:sz w:val="22"/>
              </w:rPr>
              <w:t xml:space="preserve">por tipo de venta </w:t>
            </w:r>
            <w:r w:rsidR="00D16A43" w:rsidRPr="00F716CE">
              <w:rPr>
                <w:i/>
                <w:sz w:val="22"/>
              </w:rPr>
              <w:t>v</w:t>
            </w:r>
            <w:r w:rsidR="00D16A43">
              <w:rPr>
                <w:sz w:val="22"/>
              </w:rPr>
              <w:t xml:space="preserve">, por tipo de usuario </w:t>
            </w:r>
            <w:r w:rsidR="00D16A43">
              <w:rPr>
                <w:i/>
                <w:sz w:val="22"/>
              </w:rPr>
              <w:t>s</w:t>
            </w:r>
            <w:r w:rsidR="00E75E7C">
              <w:rPr>
                <w:i/>
                <w:sz w:val="22"/>
              </w:rPr>
              <w:t>,</w:t>
            </w:r>
            <w:r w:rsidR="00D16A43">
              <w:rPr>
                <w:i/>
                <w:sz w:val="22"/>
              </w:rPr>
              <w:t xml:space="preserve"> </w:t>
            </w:r>
            <w:r w:rsidR="00D16A43" w:rsidRPr="00D16A43">
              <w:rPr>
                <w:sz w:val="22"/>
              </w:rPr>
              <w:t>durante el trimestre</w:t>
            </w:r>
            <w:r w:rsidR="007B4115">
              <w:rPr>
                <w:sz w:val="22"/>
              </w:rPr>
              <w:t xml:space="preserve"> </w:t>
            </w:r>
            <w:r w:rsidR="007B4115">
              <w:rPr>
                <w:i/>
                <w:sz w:val="22"/>
              </w:rPr>
              <w:t>k</w:t>
            </w:r>
          </w:p>
        </w:tc>
      </w:tr>
      <w:tr w:rsidR="00D16A43" w:rsidRPr="0092072D" w:rsidTr="00D16A43">
        <w:tc>
          <w:tcPr>
            <w:tcW w:w="992" w:type="dxa"/>
          </w:tcPr>
          <w:p w:rsidR="00D16A43" w:rsidRPr="0092072D" w:rsidRDefault="00D16A43" w:rsidP="00D16A43">
            <w:pPr>
              <w:spacing w:after="120"/>
              <w:rPr>
                <w:sz w:val="22"/>
              </w:rPr>
            </w:pPr>
            <w:r w:rsidRPr="00F716CE">
              <w:rPr>
                <w:i/>
                <w:sz w:val="22"/>
              </w:rPr>
              <w:t>v</w:t>
            </w:r>
            <w:r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D16A43" w:rsidRPr="0092072D" w:rsidRDefault="00D16A43" w:rsidP="00D16A43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Tipo de venta, que podrá ser en cilindros </w:t>
            </w:r>
            <w:r w:rsidRPr="00F716CE">
              <w:rPr>
                <w:i/>
                <w:sz w:val="22"/>
              </w:rPr>
              <w:t>c</w:t>
            </w:r>
            <w:r>
              <w:rPr>
                <w:sz w:val="22"/>
              </w:rPr>
              <w:t xml:space="preserve"> o en tanques estacionarios </w:t>
            </w:r>
            <w:r w:rsidRPr="00D16A43">
              <w:rPr>
                <w:i/>
                <w:sz w:val="22"/>
              </w:rPr>
              <w:t>t</w:t>
            </w:r>
          </w:p>
        </w:tc>
      </w:tr>
      <w:tr w:rsidR="00D16A43" w:rsidRPr="0092072D" w:rsidTr="00D16A43">
        <w:tc>
          <w:tcPr>
            <w:tcW w:w="992" w:type="dxa"/>
          </w:tcPr>
          <w:p w:rsidR="00D16A43" w:rsidRPr="0092072D" w:rsidRDefault="00D16A43" w:rsidP="00D16A43">
            <w:pPr>
              <w:spacing w:after="120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D16A43" w:rsidRPr="0092072D" w:rsidRDefault="00D16A43" w:rsidP="00D16A43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Tipo de usuario, que podrá ser urbano </w:t>
            </w:r>
            <w:r w:rsidRPr="00F716CE">
              <w:rPr>
                <w:i/>
                <w:sz w:val="22"/>
              </w:rPr>
              <w:t>u</w:t>
            </w:r>
            <w:r>
              <w:rPr>
                <w:sz w:val="22"/>
              </w:rPr>
              <w:t xml:space="preserve"> o rural </w:t>
            </w:r>
            <w:r w:rsidRPr="00F716CE">
              <w:rPr>
                <w:i/>
                <w:sz w:val="22"/>
              </w:rPr>
              <w:t>r</w:t>
            </w:r>
          </w:p>
        </w:tc>
      </w:tr>
    </w:tbl>
    <w:p w:rsidR="0052782B" w:rsidRDefault="00D16A43" w:rsidP="00D16A43">
      <w:r w:rsidRPr="000546A7">
        <w:lastRenderedPageBreak/>
        <w:t xml:space="preserve">El </w:t>
      </w:r>
      <w:r>
        <w:t>estándar de cumplimiento del indicador se establece</w:t>
      </w:r>
      <w:r w:rsidR="003759E1">
        <w:t xml:space="preserve"> de</w:t>
      </w:r>
      <w:r>
        <w:t xml:space="preserve"> </w:t>
      </w:r>
      <w:r w:rsidR="00503872">
        <w:t xml:space="preserve">la siguiente forma </w:t>
      </w:r>
      <w:r w:rsidR="0052782B">
        <w:t xml:space="preserve">para </w:t>
      </w:r>
      <w:r w:rsidR="00503872">
        <w:t>un</w:t>
      </w:r>
      <w:r w:rsidR="0052782B">
        <w:t xml:space="preserve"> periodo de transición</w:t>
      </w:r>
      <w:r w:rsidR="00503872">
        <w:t xml:space="preserve"> que inicia </w:t>
      </w:r>
      <w:r w:rsidR="003759E1">
        <w:t>a partir d</w:t>
      </w:r>
      <w:r w:rsidR="00503872">
        <w:t xml:space="preserve">el año </w:t>
      </w:r>
      <w:r w:rsidR="003759E1">
        <w:t xml:space="preserve">en </w:t>
      </w:r>
      <w:r w:rsidR="00503872">
        <w:t>que se empiezan a calcular los indicadores, así</w:t>
      </w:r>
      <w:r w:rsidR="0052782B">
        <w:t xml:space="preserve">: </w:t>
      </w:r>
    </w:p>
    <w:p w:rsidR="00BC7206" w:rsidRDefault="00BC7206" w:rsidP="00D16A43"/>
    <w:tbl>
      <w:tblPr>
        <w:tblStyle w:val="Tablaconcuadrcula"/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2282"/>
      </w:tblGrid>
      <w:tr w:rsidR="0052782B" w:rsidRPr="0052782B" w:rsidTr="0052782B">
        <w:trPr>
          <w:trHeight w:val="633"/>
          <w:jc w:val="center"/>
        </w:trPr>
        <w:tc>
          <w:tcPr>
            <w:tcW w:w="1082" w:type="dxa"/>
            <w:vAlign w:val="center"/>
          </w:tcPr>
          <w:p w:rsidR="0052782B" w:rsidRPr="0052782B" w:rsidRDefault="0052782B" w:rsidP="0052782B">
            <w:pPr>
              <w:jc w:val="center"/>
            </w:pPr>
            <w:r w:rsidRPr="0052782B">
              <w:t>Año 1</w:t>
            </w:r>
          </w:p>
        </w:tc>
        <w:tc>
          <w:tcPr>
            <w:tcW w:w="1082" w:type="dxa"/>
            <w:vAlign w:val="center"/>
          </w:tcPr>
          <w:p w:rsidR="0052782B" w:rsidRPr="0052782B" w:rsidRDefault="0052782B" w:rsidP="0052782B">
            <w:pPr>
              <w:jc w:val="center"/>
            </w:pPr>
            <w:r w:rsidRPr="0052782B">
              <w:t>Año 2</w:t>
            </w:r>
          </w:p>
        </w:tc>
        <w:tc>
          <w:tcPr>
            <w:tcW w:w="1082" w:type="dxa"/>
            <w:vAlign w:val="center"/>
          </w:tcPr>
          <w:p w:rsidR="0052782B" w:rsidRPr="0052782B" w:rsidRDefault="0052782B" w:rsidP="0052782B">
            <w:pPr>
              <w:jc w:val="center"/>
            </w:pPr>
            <w:r w:rsidRPr="0052782B">
              <w:t>Año 3</w:t>
            </w:r>
          </w:p>
        </w:tc>
        <w:tc>
          <w:tcPr>
            <w:tcW w:w="2282" w:type="dxa"/>
            <w:vAlign w:val="center"/>
          </w:tcPr>
          <w:p w:rsidR="0052782B" w:rsidRDefault="0052782B" w:rsidP="0052782B">
            <w:pPr>
              <w:jc w:val="center"/>
            </w:pPr>
            <w:r w:rsidRPr="0052782B">
              <w:t xml:space="preserve">Año 4 </w:t>
            </w:r>
          </w:p>
          <w:p w:rsidR="0052782B" w:rsidRPr="0052782B" w:rsidRDefault="0052782B" w:rsidP="0052782B">
            <w:pPr>
              <w:jc w:val="center"/>
            </w:pPr>
            <w:r w:rsidRPr="0052782B">
              <w:t>y en adelante:</w:t>
            </w:r>
          </w:p>
        </w:tc>
      </w:tr>
      <w:tr w:rsidR="0052782B" w:rsidRPr="0052782B" w:rsidTr="0052782B">
        <w:trPr>
          <w:trHeight w:val="344"/>
          <w:jc w:val="center"/>
        </w:trPr>
        <w:tc>
          <w:tcPr>
            <w:tcW w:w="1082" w:type="dxa"/>
            <w:vAlign w:val="center"/>
          </w:tcPr>
          <w:p w:rsidR="0052782B" w:rsidRPr="0052782B" w:rsidRDefault="0052782B" w:rsidP="0052782B">
            <w:pPr>
              <w:jc w:val="center"/>
            </w:pPr>
            <w:r w:rsidRPr="0052782B">
              <w:t>75%</w:t>
            </w:r>
          </w:p>
        </w:tc>
        <w:tc>
          <w:tcPr>
            <w:tcW w:w="1082" w:type="dxa"/>
            <w:vAlign w:val="center"/>
          </w:tcPr>
          <w:p w:rsidR="0052782B" w:rsidRPr="0052782B" w:rsidRDefault="0052782B" w:rsidP="0052782B">
            <w:pPr>
              <w:jc w:val="center"/>
            </w:pPr>
            <w:r w:rsidRPr="0052782B">
              <w:t>80%</w:t>
            </w:r>
          </w:p>
        </w:tc>
        <w:tc>
          <w:tcPr>
            <w:tcW w:w="1082" w:type="dxa"/>
            <w:vAlign w:val="center"/>
          </w:tcPr>
          <w:p w:rsidR="0052782B" w:rsidRPr="0052782B" w:rsidRDefault="0052782B" w:rsidP="0052782B">
            <w:pPr>
              <w:jc w:val="center"/>
            </w:pPr>
            <w:r w:rsidRPr="0052782B">
              <w:t>90%</w:t>
            </w:r>
          </w:p>
        </w:tc>
        <w:tc>
          <w:tcPr>
            <w:tcW w:w="2282" w:type="dxa"/>
            <w:vAlign w:val="center"/>
          </w:tcPr>
          <w:p w:rsidR="0052782B" w:rsidRPr="0052782B" w:rsidRDefault="0052782B" w:rsidP="0052782B">
            <w:pPr>
              <w:jc w:val="center"/>
            </w:pPr>
            <w:r w:rsidRPr="0052782B">
              <w:t>95%</w:t>
            </w:r>
          </w:p>
        </w:tc>
      </w:tr>
    </w:tbl>
    <w:p w:rsidR="0052782B" w:rsidRPr="001F4711" w:rsidRDefault="0052782B" w:rsidP="00D16A43"/>
    <w:p w:rsidR="00F10D8D" w:rsidRDefault="005B6C10" w:rsidP="00D16A43">
      <w:r w:rsidRPr="00914C88">
        <w:t>Adicional a lo establec</w:t>
      </w:r>
      <w:r w:rsidR="00754586" w:rsidRPr="00914C88">
        <w:t>ido</w:t>
      </w:r>
      <w:r w:rsidRPr="00914C88">
        <w:t xml:space="preserve"> en la Resolución CREG 023 de 2008, o aquella que la modifique o sustituya, respecto a la información que debe incluirse en la factura de venta de GLP, el prestador del servicio</w:t>
      </w:r>
      <w:r w:rsidR="001F4711" w:rsidRPr="00914C88">
        <w:t xml:space="preserve"> de GLP</w:t>
      </w:r>
      <w:r w:rsidRPr="00914C88">
        <w:t xml:space="preserve"> deberá incluir en forma visible y concisa e</w:t>
      </w:r>
      <w:r w:rsidR="00F10D8D" w:rsidRPr="00914C88">
        <w:t xml:space="preserve">l </w:t>
      </w:r>
      <w:r w:rsidRPr="00914C88">
        <w:t>tiempo de entrega</w:t>
      </w:r>
      <w:r>
        <w:t xml:space="preserve"> del producto.</w:t>
      </w:r>
    </w:p>
    <w:p w:rsidR="005B6C10" w:rsidRPr="00754586" w:rsidRDefault="005B6C10" w:rsidP="00D16A43"/>
    <w:p w:rsidR="009B598F" w:rsidRDefault="00705988" w:rsidP="00C45F4D">
      <w:pPr>
        <w:pStyle w:val="Artculo"/>
      </w:pPr>
      <w:bookmarkStart w:id="5" w:name="_Ref358340228"/>
      <w:r w:rsidRPr="00C45F4D">
        <w:rPr>
          <w:b/>
        </w:rPr>
        <w:t>Indicador de entrega del depósito.</w:t>
      </w:r>
      <w:r>
        <w:t xml:space="preserve"> </w:t>
      </w:r>
      <w:bookmarkEnd w:id="5"/>
      <w:r w:rsidR="009B598F">
        <w:t xml:space="preserve">Para medir el cumplimiento </w:t>
      </w:r>
      <w:r w:rsidR="00C45F4D">
        <w:t>del plazo en la devolución del depósito de garantía</w:t>
      </w:r>
      <w:r w:rsidR="009B598F">
        <w:t xml:space="preserve">, el </w:t>
      </w:r>
      <w:r w:rsidR="00793BD9">
        <w:t>distribuidor</w:t>
      </w:r>
      <w:r w:rsidR="009B598F">
        <w:t xml:space="preserve"> deberá calcular el siguiente indicador:</w:t>
      </w:r>
    </w:p>
    <w:p w:rsidR="009B598F" w:rsidRPr="00AC457A" w:rsidRDefault="009B598F" w:rsidP="009B598F">
      <w:pPr>
        <w:rPr>
          <w:sz w:val="20"/>
        </w:rPr>
      </w:pPr>
    </w:p>
    <w:p w:rsidR="009B598F" w:rsidRDefault="005A085E" w:rsidP="009B598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IED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p=1</m:t>
                      </m:r>
                    </m:e>
                    <m:sup/>
                  </m:sSup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b/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</w:rPr>
                <m:t>ND</m:t>
              </m:r>
            </m:den>
          </m:f>
          <m:r>
            <w:rPr>
              <w:rFonts w:ascii="Cambria Math" w:hAnsi="Cambria Math"/>
            </w:rPr>
            <m:t>×100%</m:t>
          </m:r>
        </m:oMath>
      </m:oMathPara>
    </w:p>
    <w:p w:rsidR="009B598F" w:rsidRPr="00AC457A" w:rsidRDefault="009B598F" w:rsidP="009B598F">
      <w:pPr>
        <w:rPr>
          <w:sz w:val="18"/>
        </w:rPr>
      </w:pPr>
    </w:p>
    <w:p w:rsidR="009B598F" w:rsidRDefault="009B598F" w:rsidP="009B598F">
      <w:r>
        <w:t>Donde:</w:t>
      </w:r>
    </w:p>
    <w:p w:rsidR="009B598F" w:rsidRDefault="009B598F" w:rsidP="009B598F"/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080"/>
      </w:tblGrid>
      <w:tr w:rsidR="009B598F" w:rsidRPr="0092072D" w:rsidTr="00503872">
        <w:tc>
          <w:tcPr>
            <w:tcW w:w="992" w:type="dxa"/>
          </w:tcPr>
          <w:p w:rsidR="009B598F" w:rsidRPr="0092072D" w:rsidRDefault="0052782B" w:rsidP="00503872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r w:rsidR="009B598F">
              <w:rPr>
                <w:sz w:val="22"/>
              </w:rPr>
              <w:t>E</w:t>
            </w:r>
            <w:r>
              <w:rPr>
                <w:sz w:val="22"/>
              </w:rPr>
              <w:t>D</w:t>
            </w:r>
            <w:r w:rsidR="00FC7BC7" w:rsidRPr="00FC7BC7">
              <w:rPr>
                <w:i/>
                <w:sz w:val="22"/>
                <w:vertAlign w:val="subscript"/>
              </w:rPr>
              <w:t>k</w:t>
            </w:r>
            <w:proofErr w:type="spellEnd"/>
            <w:r w:rsidR="009B598F" w:rsidRPr="0092072D"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9B598F" w:rsidRPr="00914C88" w:rsidRDefault="009B598F" w:rsidP="00503872">
            <w:pPr>
              <w:spacing w:after="120"/>
              <w:rPr>
                <w:sz w:val="22"/>
              </w:rPr>
            </w:pPr>
            <w:r w:rsidRPr="00914C88">
              <w:rPr>
                <w:sz w:val="22"/>
              </w:rPr>
              <w:t xml:space="preserve">Indicador </w:t>
            </w:r>
            <w:r w:rsidRPr="00914C88">
              <w:rPr>
                <w:sz w:val="22"/>
                <w:szCs w:val="22"/>
              </w:rPr>
              <w:t xml:space="preserve">de cumplimiento </w:t>
            </w:r>
            <w:r w:rsidR="0052782B" w:rsidRPr="00914C88">
              <w:rPr>
                <w:sz w:val="22"/>
                <w:szCs w:val="22"/>
              </w:rPr>
              <w:t xml:space="preserve">de devolución del depósito </w:t>
            </w:r>
            <w:r w:rsidRPr="00914C88">
              <w:rPr>
                <w:sz w:val="22"/>
                <w:szCs w:val="22"/>
              </w:rPr>
              <w:t>de GLP</w:t>
            </w:r>
            <w:r w:rsidR="0052782B" w:rsidRPr="00914C88">
              <w:rPr>
                <w:sz w:val="22"/>
                <w:szCs w:val="22"/>
              </w:rPr>
              <w:t xml:space="preserve"> </w:t>
            </w:r>
            <w:r w:rsidR="00E75E7C" w:rsidRPr="00914C88">
              <w:rPr>
                <w:sz w:val="22"/>
                <w:szCs w:val="22"/>
              </w:rPr>
              <w:t xml:space="preserve">durante el trimestre </w:t>
            </w:r>
            <w:r w:rsidR="00E75E7C" w:rsidRPr="00914C88">
              <w:rPr>
                <w:i/>
                <w:sz w:val="22"/>
                <w:szCs w:val="22"/>
              </w:rPr>
              <w:t>k</w:t>
            </w:r>
          </w:p>
        </w:tc>
      </w:tr>
      <w:tr w:rsidR="009B598F" w:rsidRPr="0092072D" w:rsidTr="00503872">
        <w:tc>
          <w:tcPr>
            <w:tcW w:w="992" w:type="dxa"/>
          </w:tcPr>
          <w:p w:rsidR="009B598F" w:rsidRPr="0092072D" w:rsidRDefault="0052782B" w:rsidP="00503872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DT</w:t>
            </w:r>
            <w:r w:rsidR="00E076BC" w:rsidRPr="00E076BC">
              <w:rPr>
                <w:i/>
                <w:sz w:val="22"/>
                <w:vertAlign w:val="subscript"/>
              </w:rPr>
              <w:t>p</w:t>
            </w:r>
            <w:proofErr w:type="spellEnd"/>
            <w:r w:rsidR="00E076BC">
              <w:rPr>
                <w:sz w:val="22"/>
              </w:rPr>
              <w:t>:</w:t>
            </w:r>
          </w:p>
        </w:tc>
        <w:tc>
          <w:tcPr>
            <w:tcW w:w="8080" w:type="dxa"/>
          </w:tcPr>
          <w:p w:rsidR="009B598F" w:rsidRPr="00914C88" w:rsidRDefault="0052782B" w:rsidP="00F05204">
            <w:pPr>
              <w:spacing w:after="120"/>
              <w:rPr>
                <w:sz w:val="22"/>
              </w:rPr>
            </w:pPr>
            <w:r w:rsidRPr="00914C88">
              <w:rPr>
                <w:sz w:val="22"/>
              </w:rPr>
              <w:t xml:space="preserve">Devoluciones del depósito de GLP realizadas </w:t>
            </w:r>
            <w:r w:rsidR="00F05204" w:rsidRPr="00914C88">
              <w:rPr>
                <w:sz w:val="22"/>
              </w:rPr>
              <w:t>durante el mes p</w:t>
            </w:r>
            <w:r w:rsidR="003B720B" w:rsidRPr="00914C88">
              <w:rPr>
                <w:sz w:val="22"/>
              </w:rPr>
              <w:t>,</w:t>
            </w:r>
            <w:r w:rsidR="00F05204" w:rsidRPr="00914C88">
              <w:rPr>
                <w:sz w:val="22"/>
              </w:rPr>
              <w:t xml:space="preserve"> </w:t>
            </w:r>
            <w:r w:rsidRPr="00914C88">
              <w:rPr>
                <w:sz w:val="22"/>
              </w:rPr>
              <w:t xml:space="preserve">dentro </w:t>
            </w:r>
            <w:r w:rsidR="00E076BC" w:rsidRPr="00914C88">
              <w:rPr>
                <w:sz w:val="22"/>
              </w:rPr>
              <w:t xml:space="preserve">del plazo </w:t>
            </w:r>
            <w:r w:rsidR="00754586" w:rsidRPr="00914C88">
              <w:rPr>
                <w:sz w:val="22"/>
              </w:rPr>
              <w:t>establecido en la Resolución CREG 001 de 2009, o aquella que la modifique o sustituya</w:t>
            </w:r>
            <w:r w:rsidR="00E076BC" w:rsidRPr="00914C88">
              <w:rPr>
                <w:sz w:val="22"/>
              </w:rPr>
              <w:t>,</w:t>
            </w:r>
            <w:r w:rsidRPr="00914C88">
              <w:rPr>
                <w:sz w:val="22"/>
              </w:rPr>
              <w:t xml:space="preserve"> </w:t>
            </w:r>
          </w:p>
        </w:tc>
      </w:tr>
      <w:tr w:rsidR="009B598F" w:rsidRPr="0092072D" w:rsidTr="00503872">
        <w:tc>
          <w:tcPr>
            <w:tcW w:w="992" w:type="dxa"/>
          </w:tcPr>
          <w:p w:rsidR="009B598F" w:rsidRPr="0092072D" w:rsidRDefault="00E076BC" w:rsidP="00503872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ND:</w:t>
            </w:r>
          </w:p>
        </w:tc>
        <w:tc>
          <w:tcPr>
            <w:tcW w:w="8080" w:type="dxa"/>
          </w:tcPr>
          <w:p w:rsidR="009B598F" w:rsidRPr="0092072D" w:rsidRDefault="00E076BC" w:rsidP="001B786D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Número total de solicitudes de cancelación del servicio </w:t>
            </w:r>
            <w:r w:rsidR="00503872">
              <w:rPr>
                <w:sz w:val="22"/>
              </w:rPr>
              <w:t>presentadas al</w:t>
            </w:r>
            <w:r>
              <w:rPr>
                <w:sz w:val="22"/>
              </w:rPr>
              <w:t xml:space="preserve"> </w:t>
            </w:r>
            <w:r w:rsidR="00793BD9">
              <w:rPr>
                <w:sz w:val="22"/>
              </w:rPr>
              <w:t>distribuidor</w:t>
            </w:r>
            <w:r w:rsidR="00503872">
              <w:rPr>
                <w:sz w:val="22"/>
              </w:rPr>
              <w:t xml:space="preserve"> </w:t>
            </w:r>
            <w:r>
              <w:rPr>
                <w:sz w:val="22"/>
              </w:rPr>
              <w:t>durante el trimestre</w:t>
            </w:r>
            <w:r w:rsidR="00E75E7C">
              <w:rPr>
                <w:sz w:val="22"/>
              </w:rPr>
              <w:t xml:space="preserve"> </w:t>
            </w:r>
            <w:r w:rsidR="00E75E7C" w:rsidRPr="00E75E7C">
              <w:rPr>
                <w:i/>
                <w:sz w:val="22"/>
              </w:rPr>
              <w:t>k</w:t>
            </w:r>
          </w:p>
        </w:tc>
      </w:tr>
    </w:tbl>
    <w:p w:rsidR="009B598F" w:rsidRPr="001F4711" w:rsidRDefault="009B598F" w:rsidP="00705988">
      <w:pPr>
        <w:rPr>
          <w:sz w:val="18"/>
        </w:rPr>
      </w:pPr>
    </w:p>
    <w:p w:rsidR="00503872" w:rsidRDefault="00503872" w:rsidP="00503872">
      <w:r w:rsidRPr="000546A7">
        <w:t xml:space="preserve">El </w:t>
      </w:r>
      <w:r>
        <w:t xml:space="preserve">estándar de cumplimiento del indicador se establece la siguiente forma para un periodo de transición que inicia el año que se empiezan a calcular los indicadores, así: </w:t>
      </w:r>
    </w:p>
    <w:p w:rsidR="00503872" w:rsidRPr="001F4711" w:rsidRDefault="00503872" w:rsidP="00503872">
      <w:pPr>
        <w:rPr>
          <w:sz w:val="18"/>
        </w:rPr>
      </w:pPr>
    </w:p>
    <w:tbl>
      <w:tblPr>
        <w:tblStyle w:val="Tablaconcuadrcula"/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2282"/>
      </w:tblGrid>
      <w:tr w:rsidR="00503872" w:rsidRPr="0052782B" w:rsidTr="0026402C">
        <w:trPr>
          <w:trHeight w:val="633"/>
          <w:jc w:val="center"/>
        </w:trPr>
        <w:tc>
          <w:tcPr>
            <w:tcW w:w="1082" w:type="dxa"/>
            <w:vAlign w:val="center"/>
          </w:tcPr>
          <w:p w:rsidR="00503872" w:rsidRPr="0052782B" w:rsidRDefault="00503872" w:rsidP="0026402C">
            <w:pPr>
              <w:jc w:val="center"/>
            </w:pPr>
            <w:r w:rsidRPr="0052782B">
              <w:t>Año 1</w:t>
            </w:r>
          </w:p>
        </w:tc>
        <w:tc>
          <w:tcPr>
            <w:tcW w:w="1082" w:type="dxa"/>
            <w:vAlign w:val="center"/>
          </w:tcPr>
          <w:p w:rsidR="00503872" w:rsidRPr="0052782B" w:rsidRDefault="00503872" w:rsidP="0026402C">
            <w:pPr>
              <w:jc w:val="center"/>
            </w:pPr>
            <w:r w:rsidRPr="0052782B">
              <w:t>Año 2</w:t>
            </w:r>
          </w:p>
        </w:tc>
        <w:tc>
          <w:tcPr>
            <w:tcW w:w="1082" w:type="dxa"/>
            <w:vAlign w:val="center"/>
          </w:tcPr>
          <w:p w:rsidR="00503872" w:rsidRPr="0052782B" w:rsidRDefault="00503872" w:rsidP="0026402C">
            <w:pPr>
              <w:jc w:val="center"/>
            </w:pPr>
            <w:r w:rsidRPr="0052782B">
              <w:t>Año 3</w:t>
            </w:r>
          </w:p>
        </w:tc>
        <w:tc>
          <w:tcPr>
            <w:tcW w:w="2282" w:type="dxa"/>
            <w:vAlign w:val="center"/>
          </w:tcPr>
          <w:p w:rsidR="00503872" w:rsidRDefault="00503872" w:rsidP="0026402C">
            <w:pPr>
              <w:jc w:val="center"/>
            </w:pPr>
            <w:r w:rsidRPr="0052782B">
              <w:t xml:space="preserve">Año 4 </w:t>
            </w:r>
          </w:p>
          <w:p w:rsidR="00503872" w:rsidRPr="0052782B" w:rsidRDefault="00503872" w:rsidP="0026402C">
            <w:pPr>
              <w:jc w:val="center"/>
            </w:pPr>
            <w:r w:rsidRPr="0052782B">
              <w:t>y en adelante:</w:t>
            </w:r>
          </w:p>
        </w:tc>
      </w:tr>
      <w:tr w:rsidR="00503872" w:rsidRPr="0052782B" w:rsidTr="0026402C">
        <w:trPr>
          <w:trHeight w:val="344"/>
          <w:jc w:val="center"/>
        </w:trPr>
        <w:tc>
          <w:tcPr>
            <w:tcW w:w="1082" w:type="dxa"/>
            <w:vAlign w:val="center"/>
          </w:tcPr>
          <w:p w:rsidR="00503872" w:rsidRPr="0052782B" w:rsidRDefault="00503872" w:rsidP="0026402C">
            <w:pPr>
              <w:jc w:val="center"/>
            </w:pPr>
            <w:r w:rsidRPr="0052782B">
              <w:t>75%</w:t>
            </w:r>
          </w:p>
        </w:tc>
        <w:tc>
          <w:tcPr>
            <w:tcW w:w="1082" w:type="dxa"/>
            <w:vAlign w:val="center"/>
          </w:tcPr>
          <w:p w:rsidR="00503872" w:rsidRPr="0052782B" w:rsidRDefault="00503872" w:rsidP="0026402C">
            <w:pPr>
              <w:jc w:val="center"/>
            </w:pPr>
            <w:r w:rsidRPr="0052782B">
              <w:t>80%</w:t>
            </w:r>
          </w:p>
        </w:tc>
        <w:tc>
          <w:tcPr>
            <w:tcW w:w="1082" w:type="dxa"/>
            <w:vAlign w:val="center"/>
          </w:tcPr>
          <w:p w:rsidR="00503872" w:rsidRPr="0052782B" w:rsidRDefault="00503872" w:rsidP="0026402C">
            <w:pPr>
              <w:jc w:val="center"/>
            </w:pPr>
            <w:r w:rsidRPr="0052782B">
              <w:t>90%</w:t>
            </w:r>
          </w:p>
        </w:tc>
        <w:tc>
          <w:tcPr>
            <w:tcW w:w="2282" w:type="dxa"/>
            <w:vAlign w:val="center"/>
          </w:tcPr>
          <w:p w:rsidR="00503872" w:rsidRPr="0052782B" w:rsidRDefault="00503872" w:rsidP="0026402C">
            <w:pPr>
              <w:jc w:val="center"/>
            </w:pPr>
            <w:r w:rsidRPr="0052782B">
              <w:t>95%</w:t>
            </w:r>
          </w:p>
        </w:tc>
      </w:tr>
    </w:tbl>
    <w:p w:rsidR="00E076BC" w:rsidRPr="001F4711" w:rsidRDefault="00E076BC" w:rsidP="00705988"/>
    <w:p w:rsidR="00705988" w:rsidRDefault="001F4711" w:rsidP="00705988">
      <w:r w:rsidRPr="00914C88">
        <w:t>Adicional a lo establecido en la Resolución CREG 023 de 2008, o aquella que la modifique o sustituya, respecto a la información que debe incluirse en la factura de venta de GLP, el prestador</w:t>
      </w:r>
      <w:r>
        <w:t xml:space="preserve"> del servicio de GLP deberá incluir en forma visible y concisa </w:t>
      </w:r>
      <w:r w:rsidR="00F10D8D">
        <w:t xml:space="preserve">el </w:t>
      </w:r>
      <w:r w:rsidR="001B786D">
        <w:t>plazo máximo establecido para la devolución del depósito</w:t>
      </w:r>
      <w:r>
        <w:t>.</w:t>
      </w:r>
    </w:p>
    <w:p w:rsidR="00F10D8D" w:rsidRDefault="00F10D8D" w:rsidP="00705988"/>
    <w:p w:rsidR="00B1677B" w:rsidRPr="0026402C" w:rsidRDefault="001A321D" w:rsidP="00B50C5C">
      <w:pPr>
        <w:pStyle w:val="Artculo"/>
      </w:pPr>
      <w:r w:rsidRPr="001A321D">
        <w:rPr>
          <w:b/>
        </w:rPr>
        <w:t>Atención de emergencias</w:t>
      </w:r>
      <w:r>
        <w:t>.</w:t>
      </w:r>
      <w:r w:rsidRPr="001A321D">
        <w:t xml:space="preserve"> </w:t>
      </w:r>
      <w:r w:rsidR="002C4AB9">
        <w:t>P</w:t>
      </w:r>
      <w:r w:rsidR="0026402C" w:rsidRPr="0026402C">
        <w:t xml:space="preserve">ara </w:t>
      </w:r>
      <w:r w:rsidR="002C4AB9">
        <w:t xml:space="preserve">el </w:t>
      </w:r>
      <w:r w:rsidR="0026402C" w:rsidRPr="0026402C">
        <w:t>control y registro de la</w:t>
      </w:r>
      <w:r w:rsidR="0026402C">
        <w:t>s</w:t>
      </w:r>
      <w:r w:rsidR="0026402C" w:rsidRPr="0026402C">
        <w:t xml:space="preserve"> emergencia</w:t>
      </w:r>
      <w:r w:rsidR="0026402C">
        <w:t>s</w:t>
      </w:r>
      <w:r w:rsidR="002C4AB9">
        <w:t xml:space="preserve"> presentadas</w:t>
      </w:r>
      <w:r w:rsidR="0026402C">
        <w:t>,</w:t>
      </w:r>
      <w:r w:rsidR="002C4AB9">
        <w:t xml:space="preserve"> </w:t>
      </w:r>
      <w:r w:rsidR="001F4711">
        <w:t>el prestador del servicio</w:t>
      </w:r>
      <w:r w:rsidR="002C4AB9">
        <w:t xml:space="preserve"> </w:t>
      </w:r>
      <w:r w:rsidR="001F4711">
        <w:t xml:space="preserve">de GLP </w:t>
      </w:r>
      <w:r w:rsidR="002C4AB9">
        <w:t>que recibe la solicitud de atención de emergencias</w:t>
      </w:r>
      <w:r w:rsidR="0026402C" w:rsidRPr="0026402C">
        <w:t xml:space="preserve"> deberá clasificar</w:t>
      </w:r>
      <w:r w:rsidR="002C4AB9">
        <w:t>las</w:t>
      </w:r>
      <w:r w:rsidR="0026402C" w:rsidRPr="0026402C">
        <w:t xml:space="preserve"> acorde con l</w:t>
      </w:r>
      <w:r w:rsidR="00B1677B">
        <w:t xml:space="preserve">os siguientes tipos de eventos: </w:t>
      </w:r>
      <w:r w:rsidR="00B1677B" w:rsidRPr="00B1677B">
        <w:rPr>
          <w:i/>
        </w:rPr>
        <w:t>i)</w:t>
      </w:r>
      <w:r w:rsidR="00B1677B">
        <w:t xml:space="preserve"> </w:t>
      </w:r>
      <w:r w:rsidR="0026402C" w:rsidRPr="0026402C">
        <w:t>escape de gas,</w:t>
      </w:r>
      <w:r w:rsidR="00B1677B">
        <w:t xml:space="preserve"> </w:t>
      </w:r>
      <w:r w:rsidR="00B1677B" w:rsidRPr="00B1677B">
        <w:rPr>
          <w:i/>
        </w:rPr>
        <w:t>ii)</w:t>
      </w:r>
      <w:r w:rsidR="00B1677B">
        <w:t xml:space="preserve"> </w:t>
      </w:r>
      <w:r w:rsidR="0026402C" w:rsidRPr="0026402C">
        <w:t>incendio,</w:t>
      </w:r>
      <w:r w:rsidR="00B1677B">
        <w:t xml:space="preserve"> </w:t>
      </w:r>
      <w:r w:rsidR="00793BD9">
        <w:t xml:space="preserve">y </w:t>
      </w:r>
      <w:r w:rsidR="00B1677B" w:rsidRPr="00B1677B">
        <w:rPr>
          <w:i/>
        </w:rPr>
        <w:t>iii)</w:t>
      </w:r>
      <w:r w:rsidR="00B1677B">
        <w:t xml:space="preserve"> </w:t>
      </w:r>
      <w:r w:rsidR="0026402C" w:rsidRPr="0026402C">
        <w:t>calidad de la llama.</w:t>
      </w:r>
      <w:r w:rsidR="00B1677B">
        <w:t xml:space="preserve"> La calidad de la llama</w:t>
      </w:r>
      <w:r w:rsidR="00B1677B" w:rsidRPr="0026402C">
        <w:t xml:space="preserve"> </w:t>
      </w:r>
      <w:r w:rsidR="00B1677B">
        <w:t>será</w:t>
      </w:r>
      <w:r w:rsidR="00B1677B" w:rsidRPr="0026402C">
        <w:t xml:space="preserve"> cualquier manifestación física que puede </w:t>
      </w:r>
      <w:r w:rsidR="00B1677B" w:rsidRPr="0026402C">
        <w:lastRenderedPageBreak/>
        <w:t>observar el usuario, tal como desprendimiento, retroceso y coloración</w:t>
      </w:r>
      <w:r w:rsidR="00B1677B">
        <w:t xml:space="preserve"> de la llama.</w:t>
      </w:r>
    </w:p>
    <w:p w:rsidR="0026402C" w:rsidRDefault="0026402C" w:rsidP="0026402C"/>
    <w:p w:rsidR="004D6B4A" w:rsidRDefault="001F4711" w:rsidP="0026402C">
      <w:r>
        <w:t>El prestador del servicio de GLP</w:t>
      </w:r>
      <w:r w:rsidR="001C595C">
        <w:t xml:space="preserve">, en los términos y plazos que la SSPD determine, </w:t>
      </w:r>
      <w:r w:rsidR="002313CE">
        <w:t>deber</w:t>
      </w:r>
      <w:r w:rsidR="00C47681">
        <w:t xml:space="preserve">á entregar un </w:t>
      </w:r>
      <w:r w:rsidR="002C4AB9">
        <w:t xml:space="preserve">reporte </w:t>
      </w:r>
      <w:r w:rsidR="00B50C5C">
        <w:t xml:space="preserve">al SUI </w:t>
      </w:r>
      <w:r w:rsidR="00C47681">
        <w:t>de la cantidad de</w:t>
      </w:r>
      <w:r w:rsidR="002313CE">
        <w:t xml:space="preserve"> </w:t>
      </w:r>
      <w:r w:rsidR="00C47681">
        <w:t>emergencias reportada</w:t>
      </w:r>
      <w:r w:rsidR="002313CE">
        <w:t>s</w:t>
      </w:r>
      <w:r w:rsidR="00C47681">
        <w:t xml:space="preserve"> durante el último año</w:t>
      </w:r>
      <w:r w:rsidR="002C4AB9">
        <w:t xml:space="preserve">, </w:t>
      </w:r>
      <w:r w:rsidR="00C47681">
        <w:t>clasificadas por tipo de evento</w:t>
      </w:r>
      <w:r w:rsidR="002C4AB9">
        <w:t xml:space="preserve">, e </w:t>
      </w:r>
      <w:r w:rsidR="002C4AB9" w:rsidRPr="002C4AB9">
        <w:t xml:space="preserve">indicando la fecha, </w:t>
      </w:r>
      <w:r w:rsidR="002C4AB9">
        <w:t>el tiempo de atención</w:t>
      </w:r>
      <w:r w:rsidR="00B50C5C">
        <w:t xml:space="preserve">, </w:t>
      </w:r>
      <w:r w:rsidR="002C4AB9" w:rsidRPr="002C4AB9">
        <w:t xml:space="preserve">las medidas adoptadas </w:t>
      </w:r>
      <w:r w:rsidR="00B50C5C">
        <w:t>y la entidad que lo atendió</w:t>
      </w:r>
      <w:r w:rsidR="00C47681">
        <w:t>.</w:t>
      </w:r>
      <w:r w:rsidR="004D6B4A">
        <w:t xml:space="preserve"> </w:t>
      </w:r>
      <w:r w:rsidR="004D6B4A" w:rsidRPr="004D6B4A">
        <w:t>El tiempo de atención se determina desde el momento de recibir la llamada hasta el momento en el cual la empresa llega al sitio donde ocurrió el evento</w:t>
      </w:r>
      <w:r w:rsidR="004D6B4A">
        <w:t>.</w:t>
      </w:r>
    </w:p>
    <w:p w:rsidR="00947B4C" w:rsidRPr="00447210" w:rsidRDefault="00947B4C" w:rsidP="00FE5AC4"/>
    <w:p w:rsidR="00947B4C" w:rsidRPr="003B720B" w:rsidRDefault="001A321D" w:rsidP="00FE5AC4">
      <w:pPr>
        <w:pStyle w:val="Artculo"/>
      </w:pPr>
      <w:r w:rsidRPr="001A5740">
        <w:rPr>
          <w:b/>
        </w:rPr>
        <w:t xml:space="preserve">Reporte de indicadores de calidad del </w:t>
      </w:r>
      <w:r w:rsidR="001A5740">
        <w:rPr>
          <w:b/>
        </w:rPr>
        <w:t>servicio</w:t>
      </w:r>
      <w:r w:rsidRPr="001A5740">
        <w:rPr>
          <w:b/>
        </w:rPr>
        <w:t>.</w:t>
      </w:r>
      <w:r>
        <w:t xml:space="preserve"> </w:t>
      </w:r>
      <w:r w:rsidR="00947B4C" w:rsidRPr="00447210">
        <w:t xml:space="preserve">El </w:t>
      </w:r>
      <w:r w:rsidR="003B720B">
        <w:t xml:space="preserve">prestador del servicio de GLP </w:t>
      </w:r>
      <w:r w:rsidR="00947B4C" w:rsidRPr="00447210">
        <w:t>será el responsable por la calidad de</w:t>
      </w:r>
      <w:r w:rsidR="00947B4C">
        <w:t xml:space="preserve"> </w:t>
      </w:r>
      <w:r w:rsidR="00947B4C" w:rsidRPr="00447210">
        <w:t>l</w:t>
      </w:r>
      <w:r w:rsidR="00947B4C">
        <w:t>a atención al usuario</w:t>
      </w:r>
      <w:r w:rsidR="00947B4C" w:rsidRPr="00447210">
        <w:t xml:space="preserve"> final y por consiguiente</w:t>
      </w:r>
      <w:r w:rsidR="00CF3206">
        <w:t>,</w:t>
      </w:r>
      <w:r w:rsidR="00947B4C" w:rsidRPr="00447210">
        <w:t xml:space="preserve"> del cumplimiento de los indicadores establecidos.  </w:t>
      </w:r>
      <w:r w:rsidR="00CF3206">
        <w:t xml:space="preserve">El cálculo de los indicadores establecidos en los artículos </w:t>
      </w:r>
      <w:r w:rsidR="00414EE1">
        <w:fldChar w:fldCharType="begin"/>
      </w:r>
      <w:r w:rsidR="00414EE1">
        <w:instrText xml:space="preserve"> REF _Ref358340227 \r \h \t</w:instrText>
      </w:r>
      <w:r w:rsidR="00414EE1">
        <w:fldChar w:fldCharType="separate"/>
      </w:r>
      <w:r w:rsidR="00715E1F">
        <w:t>11</w:t>
      </w:r>
      <w:r w:rsidR="00414EE1">
        <w:fldChar w:fldCharType="end"/>
      </w:r>
      <w:r w:rsidR="00414EE1">
        <w:t xml:space="preserve"> y </w:t>
      </w:r>
      <w:r w:rsidR="00414EE1">
        <w:fldChar w:fldCharType="begin"/>
      </w:r>
      <w:r w:rsidR="00414EE1">
        <w:instrText xml:space="preserve"> REF _Ref358340228 \r \h \t</w:instrText>
      </w:r>
      <w:r w:rsidR="00414EE1">
        <w:fldChar w:fldCharType="separate"/>
      </w:r>
      <w:r w:rsidR="00715E1F">
        <w:t>12</w:t>
      </w:r>
      <w:r w:rsidR="00414EE1">
        <w:fldChar w:fldCharType="end"/>
      </w:r>
      <w:r w:rsidR="00414EE1">
        <w:t xml:space="preserve"> </w:t>
      </w:r>
      <w:r w:rsidR="00CF3206">
        <w:t xml:space="preserve">será realizado por los respectivos </w:t>
      </w:r>
      <w:r w:rsidR="00414EE1">
        <w:t>agentes responsables de la prestación del servicio y</w:t>
      </w:r>
      <w:r w:rsidR="00CF3206">
        <w:t xml:space="preserve"> reportados trimestralmente al SUI en los formatos, términos y plazos que la </w:t>
      </w:r>
      <w:r w:rsidR="00793BD9">
        <w:t xml:space="preserve">SSPD </w:t>
      </w:r>
      <w:r w:rsidR="00CF3206">
        <w:t>determine.</w:t>
      </w:r>
    </w:p>
    <w:p w:rsidR="00CF3206" w:rsidRDefault="00CF3206" w:rsidP="00CF3206"/>
    <w:p w:rsidR="002E7680" w:rsidRPr="003B720B" w:rsidRDefault="002E7680" w:rsidP="00CF3206"/>
    <w:p w:rsidR="00CF3206" w:rsidRPr="00E87B67" w:rsidRDefault="00F67FF9" w:rsidP="00CF3206">
      <w:pPr>
        <w:jc w:val="center"/>
        <w:rPr>
          <w:b/>
        </w:rPr>
      </w:pPr>
      <w:r>
        <w:rPr>
          <w:b/>
        </w:rPr>
        <w:t>CAPÍ</w:t>
      </w:r>
      <w:r w:rsidR="00CF3206" w:rsidRPr="00E87B67">
        <w:rPr>
          <w:b/>
        </w:rPr>
        <w:t>TULO I</w:t>
      </w:r>
      <w:r w:rsidR="00CF3206">
        <w:rPr>
          <w:b/>
        </w:rPr>
        <w:t>I</w:t>
      </w:r>
      <w:r w:rsidR="00357E25">
        <w:rPr>
          <w:b/>
        </w:rPr>
        <w:t>I</w:t>
      </w:r>
      <w:r w:rsidR="00CF3206" w:rsidRPr="00E87B67">
        <w:rPr>
          <w:b/>
        </w:rPr>
        <w:t xml:space="preserve">: </w:t>
      </w:r>
      <w:r w:rsidR="00357E25">
        <w:rPr>
          <w:b/>
        </w:rPr>
        <w:t>SEGUIMIENTO A LA CALIDAD DEL GLP</w:t>
      </w:r>
    </w:p>
    <w:p w:rsidR="00CF3206" w:rsidRDefault="00CF3206" w:rsidP="00CF3206"/>
    <w:p w:rsidR="00BC7206" w:rsidRPr="00BC7206" w:rsidRDefault="00BC7206" w:rsidP="00CF3206">
      <w:pPr>
        <w:rPr>
          <w:sz w:val="8"/>
        </w:rPr>
      </w:pPr>
    </w:p>
    <w:p w:rsidR="00CF3206" w:rsidRPr="00447210" w:rsidRDefault="00CF3206" w:rsidP="00A46170">
      <w:pPr>
        <w:pStyle w:val="Artculo"/>
      </w:pPr>
      <w:r w:rsidRPr="00AF1619">
        <w:rPr>
          <w:b/>
        </w:rPr>
        <w:t>Publicación de indicadores de calidad</w:t>
      </w:r>
      <w:r w:rsidRPr="00447210">
        <w:t xml:space="preserve">. </w:t>
      </w:r>
      <w:r>
        <w:t xml:space="preserve">Los valores obtenidos de los indicadores de calidad del producto envasado </w:t>
      </w:r>
      <w:r w:rsidR="00C40BD4">
        <w:t>y</w:t>
      </w:r>
      <w:r w:rsidR="00AF1619">
        <w:t xml:space="preserve"> de</w:t>
      </w:r>
      <w:r>
        <w:t xml:space="preserve"> </w:t>
      </w:r>
      <w:r w:rsidR="00C40BD4">
        <w:t xml:space="preserve">calidad </w:t>
      </w:r>
      <w:r>
        <w:t xml:space="preserve">del servicio, </w:t>
      </w:r>
      <w:r w:rsidR="00AF1619">
        <w:t xml:space="preserve">así como </w:t>
      </w:r>
      <w:r>
        <w:t>los</w:t>
      </w:r>
      <w:r w:rsidR="00C40BD4">
        <w:t xml:space="preserve"> respectivos</w:t>
      </w:r>
      <w:r>
        <w:t xml:space="preserve"> </w:t>
      </w:r>
      <w:r w:rsidRPr="00FE5AC4">
        <w:t>estándares obligatorios</w:t>
      </w:r>
      <w:r w:rsidR="00C40BD4">
        <w:t>,</w:t>
      </w:r>
      <w:r>
        <w:t xml:space="preserve"> </w:t>
      </w:r>
      <w:r w:rsidRPr="00FE5AC4">
        <w:t xml:space="preserve">deberán </w:t>
      </w:r>
      <w:r>
        <w:t xml:space="preserve">ser publicados e </w:t>
      </w:r>
      <w:r w:rsidRPr="00FE5AC4">
        <w:t>inclui</w:t>
      </w:r>
      <w:r>
        <w:t xml:space="preserve">dos </w:t>
      </w:r>
      <w:r w:rsidRPr="00FE5AC4">
        <w:t>e</w:t>
      </w:r>
      <w:r>
        <w:t>n las facturas de los usuarios de GLP.</w:t>
      </w:r>
      <w:r w:rsidR="00AF1619">
        <w:t xml:space="preserve"> La publicación debe corresponder al </w:t>
      </w:r>
      <w:r w:rsidR="00C40BD4">
        <w:t>indicador más reciente calculado por la empresa y se deberá identificar</w:t>
      </w:r>
      <w:r>
        <w:t xml:space="preserve"> el periodo </w:t>
      </w:r>
      <w:r w:rsidR="00C40BD4">
        <w:t>al cual corresponde dicho indicador.</w:t>
      </w:r>
    </w:p>
    <w:p w:rsidR="001A5740" w:rsidRDefault="001A5740" w:rsidP="00FE5AC4"/>
    <w:p w:rsidR="00947B4C" w:rsidRDefault="00FE5AC4" w:rsidP="00A46170">
      <w:pPr>
        <w:pStyle w:val="Artculo"/>
      </w:pPr>
      <w:r w:rsidRPr="00AF1619">
        <w:rPr>
          <w:b/>
        </w:rPr>
        <w:t>Incumplimiento de los indicadores de calidad</w:t>
      </w:r>
      <w:r w:rsidR="00947B4C" w:rsidRPr="00AF1619">
        <w:rPr>
          <w:b/>
        </w:rPr>
        <w:t>.</w:t>
      </w:r>
      <w:r w:rsidR="00947B4C">
        <w:t xml:space="preserve"> </w:t>
      </w:r>
      <w:r w:rsidR="00947B4C" w:rsidRPr="00FE5AC4">
        <w:t xml:space="preserve">El incumplimiento por parte de las empresas responsables de los mínimos estándares obligatorios establecidos en esta resolución para cada indicador, tendrá como consecuencia las sanciones a que haya lugar por parte de la Superintendencia de Servicios Públicos Domiciliarios.  </w:t>
      </w:r>
    </w:p>
    <w:p w:rsidR="00AF1619" w:rsidRDefault="00AF1619" w:rsidP="00AF1619">
      <w:pPr>
        <w:pStyle w:val="Prrafodelista"/>
      </w:pPr>
    </w:p>
    <w:p w:rsidR="00F4595E" w:rsidRDefault="00AF1619" w:rsidP="00FE5AC4">
      <w:r>
        <w:t>Igualmente, l</w:t>
      </w:r>
      <w:r w:rsidR="00947B4C" w:rsidRPr="00447210">
        <w:t xml:space="preserve">os usuarios tendrán derecho a exigir el cumplimiento de los </w:t>
      </w:r>
      <w:r w:rsidR="00947B4C">
        <w:t>mínimos estándar</w:t>
      </w:r>
      <w:r>
        <w:t>es</w:t>
      </w:r>
      <w:r w:rsidR="00947B4C">
        <w:t xml:space="preserve"> obligatorios </w:t>
      </w:r>
      <w:r w:rsidR="00947B4C" w:rsidRPr="00447210">
        <w:t>aquí establecidos</w:t>
      </w:r>
      <w:r w:rsidR="00947B4C">
        <w:t xml:space="preserve"> para cada uno de los indicadores</w:t>
      </w:r>
      <w:r>
        <w:t xml:space="preserve"> y </w:t>
      </w:r>
      <w:r w:rsidR="00947B4C" w:rsidRPr="00447210">
        <w:t xml:space="preserve">podrán formular reclamos </w:t>
      </w:r>
      <w:r>
        <w:t>cuando dichos indicadores no se estén cumpliendo.</w:t>
      </w:r>
    </w:p>
    <w:p w:rsidR="00AC0486" w:rsidRDefault="00AC0486" w:rsidP="00FE5AC4"/>
    <w:p w:rsidR="00AC0486" w:rsidRPr="00447210" w:rsidRDefault="00AC0486" w:rsidP="00FE5AC4">
      <w:r>
        <w:t xml:space="preserve">En todo caso, la CREG o la SSPD podrán recurrir a esquemas de auditorías para verificar </w:t>
      </w:r>
      <w:r w:rsidR="00A91759">
        <w:t>el cumplimiento de los indiciadores aquí propuestos.</w:t>
      </w:r>
    </w:p>
    <w:p w:rsidR="00947B4C" w:rsidRPr="003B720B" w:rsidRDefault="00947B4C" w:rsidP="003B720B"/>
    <w:p w:rsidR="00947B4C" w:rsidRDefault="00AF1619" w:rsidP="00A46170">
      <w:pPr>
        <w:pStyle w:val="Artculo"/>
      </w:pPr>
      <w:bookmarkStart w:id="6" w:name="_Ref358367860"/>
      <w:bookmarkStart w:id="7" w:name="_Ref358335366"/>
      <w:r w:rsidRPr="001C0A5F">
        <w:rPr>
          <w:b/>
        </w:rPr>
        <w:t>S</w:t>
      </w:r>
      <w:r w:rsidR="00CF473C" w:rsidRPr="001C0A5F">
        <w:rPr>
          <w:b/>
        </w:rPr>
        <w:t xml:space="preserve">istema de </w:t>
      </w:r>
      <w:r w:rsidRPr="001C0A5F">
        <w:rPr>
          <w:b/>
        </w:rPr>
        <w:t>G</w:t>
      </w:r>
      <w:r w:rsidR="00CF473C" w:rsidRPr="001C0A5F">
        <w:rPr>
          <w:b/>
        </w:rPr>
        <w:t xml:space="preserve">estión de </w:t>
      </w:r>
      <w:r w:rsidRPr="001C0A5F">
        <w:rPr>
          <w:b/>
        </w:rPr>
        <w:t>C</w:t>
      </w:r>
      <w:r w:rsidR="00CF473C" w:rsidRPr="001C0A5F">
        <w:rPr>
          <w:b/>
        </w:rPr>
        <w:t>alidad</w:t>
      </w:r>
      <w:r w:rsidR="003D3983">
        <w:rPr>
          <w:b/>
        </w:rPr>
        <w:t xml:space="preserve">, </w:t>
      </w:r>
      <w:r w:rsidR="003759E1">
        <w:rPr>
          <w:b/>
        </w:rPr>
        <w:t>SGC</w:t>
      </w:r>
      <w:r w:rsidRPr="001C0A5F">
        <w:rPr>
          <w:b/>
        </w:rPr>
        <w:t>.</w:t>
      </w:r>
      <w:r w:rsidR="00CF473C">
        <w:t xml:space="preserve"> </w:t>
      </w:r>
      <w:r w:rsidR="00203645">
        <w:t xml:space="preserve">Las empresas de </w:t>
      </w:r>
      <w:r w:rsidR="004A5429">
        <w:t>distribución</w:t>
      </w:r>
      <w:r w:rsidR="00203645">
        <w:t xml:space="preserve"> y </w:t>
      </w:r>
      <w:r w:rsidR="004A5429">
        <w:t>comercialización</w:t>
      </w:r>
      <w:r w:rsidR="00203645">
        <w:t xml:space="preserve"> </w:t>
      </w:r>
      <w:r w:rsidR="004A5429">
        <w:t>minorista</w:t>
      </w:r>
      <w:r w:rsidR="00203645">
        <w:t xml:space="preserve"> de GLP </w:t>
      </w:r>
      <w:r w:rsidR="001C0A5F">
        <w:t>deberá</w:t>
      </w:r>
      <w:r w:rsidR="00203645">
        <w:t>n</w:t>
      </w:r>
      <w:r w:rsidR="001C0A5F">
        <w:t xml:space="preserve"> implementar un </w:t>
      </w:r>
      <w:r w:rsidR="00793BD9">
        <w:t xml:space="preserve">sistema </w:t>
      </w:r>
      <w:r w:rsidR="001C0A5F">
        <w:t xml:space="preserve">de </w:t>
      </w:r>
      <w:r w:rsidR="00793BD9">
        <w:t>g</w:t>
      </w:r>
      <w:r w:rsidR="001C0A5F">
        <w:t xml:space="preserve">estión de </w:t>
      </w:r>
      <w:r w:rsidR="00793BD9">
        <w:t>c</w:t>
      </w:r>
      <w:r w:rsidR="001C0A5F">
        <w:t xml:space="preserve">alidad que </w:t>
      </w:r>
      <w:r w:rsidR="00203645">
        <w:t>incluya</w:t>
      </w:r>
      <w:r w:rsidR="00B1677B">
        <w:t xml:space="preserve"> </w:t>
      </w:r>
      <w:r w:rsidR="001C0A5F">
        <w:t xml:space="preserve">los procesos </w:t>
      </w:r>
      <w:r w:rsidR="00203645">
        <w:t>necesarios para determinar la calidad del servicio en los términos establec</w:t>
      </w:r>
      <w:r w:rsidR="00B1677B">
        <w:t>idos en la presente resolución y que corresponden, como mínimo, a los siguientes:</w:t>
      </w:r>
      <w:bookmarkEnd w:id="6"/>
      <w:r w:rsidR="001C0A5F">
        <w:t xml:space="preserve">  </w:t>
      </w:r>
      <w:r>
        <w:t xml:space="preserve"> </w:t>
      </w:r>
      <w:r w:rsidR="00947B4C" w:rsidRPr="00447210">
        <w:t xml:space="preserve"> </w:t>
      </w:r>
      <w:bookmarkEnd w:id="7"/>
    </w:p>
    <w:p w:rsidR="00203645" w:rsidRPr="00B1677B" w:rsidRDefault="00203645" w:rsidP="00203645"/>
    <w:p w:rsidR="00ED5DD2" w:rsidRPr="00B1677B" w:rsidRDefault="00B1677B" w:rsidP="00B1677B">
      <w:pPr>
        <w:pStyle w:val="Prrafodelista"/>
        <w:numPr>
          <w:ilvl w:val="0"/>
          <w:numId w:val="42"/>
        </w:numPr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864706" w:rsidRPr="00B1677B">
        <w:rPr>
          <w:sz w:val="24"/>
          <w:szCs w:val="24"/>
        </w:rPr>
        <w:t xml:space="preserve">rocedimientos y documentación requerida para el cálculo de los indicadores de calidad establecidos en los artículos </w:t>
      </w:r>
      <w:r w:rsidR="00864706" w:rsidRPr="00B1677B">
        <w:rPr>
          <w:sz w:val="24"/>
          <w:szCs w:val="24"/>
        </w:rPr>
        <w:fldChar w:fldCharType="begin"/>
      </w:r>
      <w:r w:rsidR="00864706" w:rsidRPr="00B1677B">
        <w:rPr>
          <w:sz w:val="24"/>
          <w:szCs w:val="24"/>
        </w:rPr>
        <w:instrText xml:space="preserve"> REF _Ref358335605 \r \h \t</w:instrText>
      </w:r>
      <w:r>
        <w:rPr>
          <w:sz w:val="24"/>
          <w:szCs w:val="24"/>
        </w:rPr>
        <w:instrText xml:space="preserve"> \* MERGEFORMAT </w:instrText>
      </w:r>
      <w:r w:rsidR="00864706" w:rsidRPr="00B1677B">
        <w:rPr>
          <w:sz w:val="24"/>
          <w:szCs w:val="24"/>
        </w:rPr>
      </w:r>
      <w:r w:rsidR="00864706" w:rsidRPr="00B1677B">
        <w:rPr>
          <w:sz w:val="24"/>
          <w:szCs w:val="24"/>
        </w:rPr>
        <w:fldChar w:fldCharType="separate"/>
      </w:r>
      <w:r w:rsidR="00715E1F">
        <w:rPr>
          <w:sz w:val="24"/>
          <w:szCs w:val="24"/>
        </w:rPr>
        <w:t>5</w:t>
      </w:r>
      <w:r w:rsidR="00864706" w:rsidRPr="00B1677B">
        <w:rPr>
          <w:sz w:val="24"/>
          <w:szCs w:val="24"/>
        </w:rPr>
        <w:fldChar w:fldCharType="end"/>
      </w:r>
      <w:r w:rsidR="00864706" w:rsidRPr="00B1677B">
        <w:rPr>
          <w:sz w:val="24"/>
          <w:szCs w:val="24"/>
        </w:rPr>
        <w:t xml:space="preserve">, </w:t>
      </w:r>
      <w:r w:rsidR="00864706" w:rsidRPr="00B1677B">
        <w:rPr>
          <w:sz w:val="24"/>
          <w:szCs w:val="24"/>
        </w:rPr>
        <w:fldChar w:fldCharType="begin"/>
      </w:r>
      <w:r w:rsidR="00864706" w:rsidRPr="00B1677B">
        <w:rPr>
          <w:sz w:val="24"/>
          <w:szCs w:val="24"/>
        </w:rPr>
        <w:instrText xml:space="preserve"> REF _Ref358340227 \r \h \t</w:instrText>
      </w:r>
      <w:r>
        <w:rPr>
          <w:sz w:val="24"/>
          <w:szCs w:val="24"/>
        </w:rPr>
        <w:instrText xml:space="preserve"> \* MERGEFORMAT </w:instrText>
      </w:r>
      <w:r w:rsidR="00864706" w:rsidRPr="00B1677B">
        <w:rPr>
          <w:sz w:val="24"/>
          <w:szCs w:val="24"/>
        </w:rPr>
      </w:r>
      <w:r w:rsidR="00864706" w:rsidRPr="00B1677B">
        <w:rPr>
          <w:sz w:val="24"/>
          <w:szCs w:val="24"/>
        </w:rPr>
        <w:fldChar w:fldCharType="separate"/>
      </w:r>
      <w:r w:rsidR="00715E1F">
        <w:rPr>
          <w:sz w:val="24"/>
          <w:szCs w:val="24"/>
        </w:rPr>
        <w:t>11</w:t>
      </w:r>
      <w:r w:rsidR="00864706" w:rsidRPr="00B1677B">
        <w:rPr>
          <w:sz w:val="24"/>
          <w:szCs w:val="24"/>
        </w:rPr>
        <w:fldChar w:fldCharType="end"/>
      </w:r>
      <w:r w:rsidR="00864706" w:rsidRPr="00B1677B">
        <w:rPr>
          <w:sz w:val="24"/>
          <w:szCs w:val="24"/>
        </w:rPr>
        <w:t xml:space="preserve"> y </w:t>
      </w:r>
      <w:r w:rsidR="00864706" w:rsidRPr="00B1677B">
        <w:rPr>
          <w:sz w:val="24"/>
          <w:szCs w:val="24"/>
        </w:rPr>
        <w:fldChar w:fldCharType="begin"/>
      </w:r>
      <w:r w:rsidR="00864706" w:rsidRPr="00B1677B">
        <w:rPr>
          <w:sz w:val="24"/>
          <w:szCs w:val="24"/>
        </w:rPr>
        <w:instrText xml:space="preserve"> REF _Ref358340228 \r \h \t</w:instrText>
      </w:r>
      <w:r>
        <w:rPr>
          <w:sz w:val="24"/>
          <w:szCs w:val="24"/>
        </w:rPr>
        <w:instrText xml:space="preserve"> \* MERGEFORMAT </w:instrText>
      </w:r>
      <w:r w:rsidR="00864706" w:rsidRPr="00B1677B">
        <w:rPr>
          <w:sz w:val="24"/>
          <w:szCs w:val="24"/>
        </w:rPr>
      </w:r>
      <w:r w:rsidR="00864706" w:rsidRPr="00B1677B">
        <w:rPr>
          <w:sz w:val="24"/>
          <w:szCs w:val="24"/>
        </w:rPr>
        <w:fldChar w:fldCharType="separate"/>
      </w:r>
      <w:r w:rsidR="00715E1F">
        <w:rPr>
          <w:sz w:val="24"/>
          <w:szCs w:val="24"/>
        </w:rPr>
        <w:t>12</w:t>
      </w:r>
      <w:r w:rsidR="00864706" w:rsidRPr="00B1677B">
        <w:rPr>
          <w:sz w:val="24"/>
          <w:szCs w:val="24"/>
        </w:rPr>
        <w:fldChar w:fldCharType="end"/>
      </w:r>
      <w:r w:rsidR="00267903" w:rsidRPr="00B1677B">
        <w:rPr>
          <w:sz w:val="24"/>
          <w:szCs w:val="24"/>
        </w:rPr>
        <w:t>, según a</w:t>
      </w:r>
      <w:r>
        <w:rPr>
          <w:sz w:val="24"/>
          <w:szCs w:val="24"/>
        </w:rPr>
        <w:t>plique a cada agente.</w:t>
      </w:r>
    </w:p>
    <w:p w:rsidR="00864706" w:rsidRPr="00B1677B" w:rsidRDefault="00864706" w:rsidP="00203645">
      <w:pPr>
        <w:rPr>
          <w:lang w:val="es-CO"/>
        </w:rPr>
      </w:pPr>
    </w:p>
    <w:p w:rsidR="00864706" w:rsidRPr="00B1677B" w:rsidRDefault="00B1677B" w:rsidP="00B1677B">
      <w:pPr>
        <w:pStyle w:val="Prrafodelista"/>
        <w:numPr>
          <w:ilvl w:val="0"/>
          <w:numId w:val="4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P</w:t>
      </w:r>
      <w:r w:rsidR="006E1DFA" w:rsidRPr="00B1677B">
        <w:rPr>
          <w:sz w:val="24"/>
          <w:szCs w:val="24"/>
        </w:rPr>
        <w:t xml:space="preserve">rocedimiento que defina </w:t>
      </w:r>
      <w:r w:rsidR="00AF2E14">
        <w:rPr>
          <w:sz w:val="24"/>
          <w:szCs w:val="24"/>
        </w:rPr>
        <w:t xml:space="preserve">el </w:t>
      </w:r>
      <w:r w:rsidR="00793BD9">
        <w:rPr>
          <w:sz w:val="24"/>
          <w:szCs w:val="24"/>
        </w:rPr>
        <w:t>distribuidor</w:t>
      </w:r>
      <w:r w:rsidR="00AF2E14">
        <w:rPr>
          <w:sz w:val="24"/>
          <w:szCs w:val="24"/>
        </w:rPr>
        <w:t xml:space="preserve"> de GLP </w:t>
      </w:r>
      <w:r w:rsidR="006E1DFA" w:rsidRPr="00B1677B">
        <w:rPr>
          <w:sz w:val="24"/>
          <w:szCs w:val="24"/>
        </w:rPr>
        <w:t xml:space="preserve">para cumplir con lo establecido en los artículos </w:t>
      </w:r>
      <w:r w:rsidR="00AC457A">
        <w:rPr>
          <w:sz w:val="24"/>
          <w:szCs w:val="24"/>
        </w:rPr>
        <w:fldChar w:fldCharType="begin"/>
      </w:r>
      <w:r w:rsidR="00AC457A">
        <w:rPr>
          <w:sz w:val="24"/>
          <w:szCs w:val="24"/>
        </w:rPr>
        <w:instrText xml:space="preserve"> REF _Ref362440875 \r \h \t</w:instrText>
      </w:r>
      <w:r w:rsidR="00AC457A">
        <w:rPr>
          <w:sz w:val="24"/>
          <w:szCs w:val="24"/>
        </w:rPr>
      </w:r>
      <w:r w:rsidR="00AC457A">
        <w:rPr>
          <w:sz w:val="24"/>
          <w:szCs w:val="24"/>
        </w:rPr>
        <w:fldChar w:fldCharType="separate"/>
      </w:r>
      <w:r w:rsidR="00715E1F">
        <w:rPr>
          <w:sz w:val="24"/>
          <w:szCs w:val="24"/>
        </w:rPr>
        <w:t>6</w:t>
      </w:r>
      <w:r w:rsidR="00AC457A">
        <w:rPr>
          <w:sz w:val="24"/>
          <w:szCs w:val="24"/>
        </w:rPr>
        <w:fldChar w:fldCharType="end"/>
      </w:r>
      <w:r w:rsidR="006E1DFA" w:rsidRPr="00B1677B">
        <w:rPr>
          <w:sz w:val="24"/>
          <w:szCs w:val="24"/>
        </w:rPr>
        <w:t xml:space="preserve"> y </w:t>
      </w:r>
      <w:r w:rsidR="006E1DFA" w:rsidRPr="00B1677B">
        <w:rPr>
          <w:sz w:val="24"/>
          <w:szCs w:val="24"/>
        </w:rPr>
        <w:fldChar w:fldCharType="begin"/>
      </w:r>
      <w:r w:rsidR="006E1DFA" w:rsidRPr="00B1677B">
        <w:rPr>
          <w:sz w:val="24"/>
          <w:szCs w:val="24"/>
        </w:rPr>
        <w:instrText xml:space="preserve"> REF _Ref358365466 \r \h \t</w:instrText>
      </w:r>
      <w:r>
        <w:rPr>
          <w:sz w:val="24"/>
          <w:szCs w:val="24"/>
        </w:rPr>
        <w:instrText xml:space="preserve"> \* MERGEFORMAT </w:instrText>
      </w:r>
      <w:r w:rsidR="006E1DFA" w:rsidRPr="00B1677B">
        <w:rPr>
          <w:sz w:val="24"/>
          <w:szCs w:val="24"/>
        </w:rPr>
      </w:r>
      <w:r w:rsidR="006E1DFA" w:rsidRPr="00B1677B">
        <w:rPr>
          <w:sz w:val="24"/>
          <w:szCs w:val="24"/>
        </w:rPr>
        <w:fldChar w:fldCharType="separate"/>
      </w:r>
      <w:r w:rsidR="00715E1F">
        <w:rPr>
          <w:sz w:val="24"/>
          <w:szCs w:val="24"/>
        </w:rPr>
        <w:t>8</w:t>
      </w:r>
      <w:r w:rsidR="006E1DFA" w:rsidRPr="00B1677B">
        <w:rPr>
          <w:sz w:val="24"/>
          <w:szCs w:val="24"/>
        </w:rPr>
        <w:fldChar w:fldCharType="end"/>
      </w:r>
      <w:r w:rsidR="006E1DFA" w:rsidRPr="00B1677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y para realizar el </w:t>
      </w:r>
      <w:r w:rsidRPr="00B1677B">
        <w:rPr>
          <w:sz w:val="24"/>
          <w:szCs w:val="24"/>
        </w:rPr>
        <w:t xml:space="preserve">muestreo de conformidad con lo establecido en la </w:t>
      </w:r>
      <w:r w:rsidR="00793BD9">
        <w:rPr>
          <w:sz w:val="24"/>
          <w:szCs w:val="24"/>
        </w:rPr>
        <w:t>c</w:t>
      </w:r>
      <w:r w:rsidR="00793BD9" w:rsidRPr="00B1677B">
        <w:rPr>
          <w:sz w:val="24"/>
          <w:szCs w:val="24"/>
        </w:rPr>
        <w:t xml:space="preserve">ircular </w:t>
      </w:r>
      <w:r w:rsidR="00793BD9">
        <w:rPr>
          <w:sz w:val="24"/>
          <w:szCs w:val="24"/>
        </w:rPr>
        <w:t>ú</w:t>
      </w:r>
      <w:r w:rsidR="00793BD9" w:rsidRPr="00B1677B">
        <w:rPr>
          <w:sz w:val="24"/>
          <w:szCs w:val="24"/>
        </w:rPr>
        <w:t xml:space="preserve">nica </w:t>
      </w:r>
      <w:r w:rsidRPr="00B1677B">
        <w:rPr>
          <w:sz w:val="24"/>
          <w:szCs w:val="24"/>
        </w:rPr>
        <w:t>vigente de la SIC.</w:t>
      </w:r>
    </w:p>
    <w:p w:rsidR="00B1677B" w:rsidRPr="00B1677B" w:rsidRDefault="00B1677B" w:rsidP="00B1677B">
      <w:pPr>
        <w:pStyle w:val="Prrafodelista"/>
        <w:ind w:left="426"/>
        <w:rPr>
          <w:sz w:val="24"/>
          <w:szCs w:val="24"/>
        </w:rPr>
      </w:pPr>
    </w:p>
    <w:p w:rsidR="00AF2E14" w:rsidRDefault="00881394" w:rsidP="00B1677B">
      <w:pPr>
        <w:pStyle w:val="Prrafodelista"/>
        <w:numPr>
          <w:ilvl w:val="0"/>
          <w:numId w:val="4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Procesos de atención al cliente, en el que se incluya</w:t>
      </w:r>
      <w:r w:rsidR="00357E25">
        <w:rPr>
          <w:sz w:val="24"/>
          <w:szCs w:val="24"/>
        </w:rPr>
        <w:t>n</w:t>
      </w:r>
      <w:r>
        <w:rPr>
          <w:sz w:val="24"/>
          <w:szCs w:val="24"/>
        </w:rPr>
        <w:t xml:space="preserve"> los </w:t>
      </w:r>
      <w:r w:rsidR="00357E25">
        <w:rPr>
          <w:sz w:val="24"/>
          <w:szCs w:val="24"/>
        </w:rPr>
        <w:t xml:space="preserve">aspectos comerciales relacionados con la solicitud del servicio, entrega del producto, devolución del depósito, soporte técnico, atención de emergencias y atención de </w:t>
      </w:r>
      <w:r w:rsidR="00793BD9">
        <w:rPr>
          <w:sz w:val="24"/>
          <w:szCs w:val="24"/>
        </w:rPr>
        <w:t>peticiones</w:t>
      </w:r>
      <w:r w:rsidR="00357E25">
        <w:rPr>
          <w:sz w:val="24"/>
          <w:szCs w:val="24"/>
        </w:rPr>
        <w:t xml:space="preserve">, </w:t>
      </w:r>
      <w:r w:rsidR="00793BD9">
        <w:rPr>
          <w:sz w:val="24"/>
          <w:szCs w:val="24"/>
        </w:rPr>
        <w:t xml:space="preserve">quejas </w:t>
      </w:r>
      <w:r w:rsidR="00357E25">
        <w:rPr>
          <w:sz w:val="24"/>
          <w:szCs w:val="24"/>
        </w:rPr>
        <w:t xml:space="preserve">y </w:t>
      </w:r>
      <w:r w:rsidR="00793BD9">
        <w:rPr>
          <w:sz w:val="24"/>
          <w:szCs w:val="24"/>
        </w:rPr>
        <w:t>r</w:t>
      </w:r>
      <w:r w:rsidR="00357E25">
        <w:rPr>
          <w:sz w:val="24"/>
          <w:szCs w:val="24"/>
        </w:rPr>
        <w:t xml:space="preserve">ecursos. </w:t>
      </w:r>
    </w:p>
    <w:p w:rsidR="00357E25" w:rsidRPr="00357E25" w:rsidRDefault="00357E25" w:rsidP="00357E25">
      <w:pPr>
        <w:pStyle w:val="Prrafodelista"/>
        <w:rPr>
          <w:sz w:val="24"/>
          <w:szCs w:val="24"/>
        </w:rPr>
      </w:pPr>
    </w:p>
    <w:p w:rsidR="00357E25" w:rsidRDefault="00357E25" w:rsidP="00357E25">
      <w:pPr>
        <w:pStyle w:val="Prrafodelista"/>
        <w:numPr>
          <w:ilvl w:val="0"/>
          <w:numId w:val="4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P</w:t>
      </w:r>
      <w:r w:rsidRPr="00B1677B">
        <w:rPr>
          <w:sz w:val="24"/>
          <w:szCs w:val="24"/>
        </w:rPr>
        <w:t>rocesos de reporte al SUI de</w:t>
      </w:r>
      <w:r>
        <w:rPr>
          <w:sz w:val="24"/>
          <w:szCs w:val="24"/>
        </w:rPr>
        <w:t xml:space="preserve"> los</w:t>
      </w:r>
      <w:r w:rsidRPr="00B1677B">
        <w:rPr>
          <w:sz w:val="24"/>
          <w:szCs w:val="24"/>
        </w:rPr>
        <w:t xml:space="preserve"> indicadores de calidad establecidos en los artículos </w:t>
      </w:r>
      <w:r w:rsidRPr="00B1677B">
        <w:rPr>
          <w:sz w:val="24"/>
          <w:szCs w:val="24"/>
        </w:rPr>
        <w:fldChar w:fldCharType="begin"/>
      </w:r>
      <w:r w:rsidRPr="00B1677B">
        <w:rPr>
          <w:sz w:val="24"/>
          <w:szCs w:val="24"/>
        </w:rPr>
        <w:instrText xml:space="preserve"> REF _Ref358335605 \r \h \t</w:instrText>
      </w:r>
      <w:r>
        <w:rPr>
          <w:sz w:val="24"/>
          <w:szCs w:val="24"/>
        </w:rPr>
        <w:instrText xml:space="preserve"> \* MERGEFORMAT </w:instrText>
      </w:r>
      <w:r w:rsidRPr="00B1677B">
        <w:rPr>
          <w:sz w:val="24"/>
          <w:szCs w:val="24"/>
        </w:rPr>
      </w:r>
      <w:r w:rsidRPr="00B1677B">
        <w:rPr>
          <w:sz w:val="24"/>
          <w:szCs w:val="24"/>
        </w:rPr>
        <w:fldChar w:fldCharType="separate"/>
      </w:r>
      <w:r w:rsidR="00715E1F">
        <w:rPr>
          <w:sz w:val="24"/>
          <w:szCs w:val="24"/>
        </w:rPr>
        <w:t>5</w:t>
      </w:r>
      <w:r w:rsidRPr="00B1677B">
        <w:rPr>
          <w:sz w:val="24"/>
          <w:szCs w:val="24"/>
        </w:rPr>
        <w:fldChar w:fldCharType="end"/>
      </w:r>
      <w:r w:rsidRPr="00B1677B">
        <w:rPr>
          <w:sz w:val="24"/>
          <w:szCs w:val="24"/>
        </w:rPr>
        <w:t xml:space="preserve">, </w:t>
      </w:r>
      <w:r w:rsidRPr="00B1677B">
        <w:rPr>
          <w:sz w:val="24"/>
          <w:szCs w:val="24"/>
        </w:rPr>
        <w:fldChar w:fldCharType="begin"/>
      </w:r>
      <w:r w:rsidRPr="00B1677B">
        <w:rPr>
          <w:sz w:val="24"/>
          <w:szCs w:val="24"/>
        </w:rPr>
        <w:instrText xml:space="preserve"> REF _Ref358340227 \r \h \t</w:instrText>
      </w:r>
      <w:r>
        <w:rPr>
          <w:sz w:val="24"/>
          <w:szCs w:val="24"/>
        </w:rPr>
        <w:instrText xml:space="preserve"> \* MERGEFORMAT </w:instrText>
      </w:r>
      <w:r w:rsidRPr="00B1677B">
        <w:rPr>
          <w:sz w:val="24"/>
          <w:szCs w:val="24"/>
        </w:rPr>
      </w:r>
      <w:r w:rsidRPr="00B1677B">
        <w:rPr>
          <w:sz w:val="24"/>
          <w:szCs w:val="24"/>
        </w:rPr>
        <w:fldChar w:fldCharType="separate"/>
      </w:r>
      <w:r w:rsidR="00715E1F">
        <w:rPr>
          <w:sz w:val="24"/>
          <w:szCs w:val="24"/>
        </w:rPr>
        <w:t>11</w:t>
      </w:r>
      <w:r w:rsidRPr="00B1677B">
        <w:rPr>
          <w:sz w:val="24"/>
          <w:szCs w:val="24"/>
        </w:rPr>
        <w:fldChar w:fldCharType="end"/>
      </w:r>
      <w:r w:rsidRPr="00B1677B">
        <w:rPr>
          <w:sz w:val="24"/>
          <w:szCs w:val="24"/>
        </w:rPr>
        <w:t xml:space="preserve"> y </w:t>
      </w:r>
      <w:r w:rsidRPr="00B1677B">
        <w:rPr>
          <w:sz w:val="24"/>
          <w:szCs w:val="24"/>
        </w:rPr>
        <w:fldChar w:fldCharType="begin"/>
      </w:r>
      <w:r w:rsidRPr="00B1677B">
        <w:rPr>
          <w:sz w:val="24"/>
          <w:szCs w:val="24"/>
        </w:rPr>
        <w:instrText xml:space="preserve"> REF _Ref358340228 \r \h \t</w:instrText>
      </w:r>
      <w:r>
        <w:rPr>
          <w:sz w:val="24"/>
          <w:szCs w:val="24"/>
        </w:rPr>
        <w:instrText xml:space="preserve"> \* MERGEFORMAT </w:instrText>
      </w:r>
      <w:r w:rsidRPr="00B1677B">
        <w:rPr>
          <w:sz w:val="24"/>
          <w:szCs w:val="24"/>
        </w:rPr>
      </w:r>
      <w:r w:rsidRPr="00B1677B">
        <w:rPr>
          <w:sz w:val="24"/>
          <w:szCs w:val="24"/>
        </w:rPr>
        <w:fldChar w:fldCharType="separate"/>
      </w:r>
      <w:r w:rsidR="00715E1F">
        <w:rPr>
          <w:sz w:val="24"/>
          <w:szCs w:val="24"/>
        </w:rPr>
        <w:t>12</w:t>
      </w:r>
      <w:r w:rsidRPr="00B1677B"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357E25" w:rsidRPr="00B1677B" w:rsidRDefault="00357E25" w:rsidP="00357E25">
      <w:pPr>
        <w:pStyle w:val="Prrafodelista"/>
        <w:ind w:left="426"/>
        <w:rPr>
          <w:sz w:val="24"/>
          <w:szCs w:val="24"/>
        </w:rPr>
      </w:pPr>
    </w:p>
    <w:p w:rsidR="00C40913" w:rsidRDefault="00331274" w:rsidP="00203645">
      <w:r w:rsidRPr="00914C88">
        <w:t>L</w:t>
      </w:r>
      <w:r w:rsidR="00C40913" w:rsidRPr="00914C88">
        <w:t>a información usada</w:t>
      </w:r>
      <w:r w:rsidR="003F34D1" w:rsidRPr="00914C88">
        <w:t xml:space="preserve"> para el cálculo de los indicadores</w:t>
      </w:r>
      <w:r w:rsidRPr="00914C88">
        <w:t xml:space="preserve"> y los </w:t>
      </w:r>
      <w:r w:rsidR="00C40913" w:rsidRPr="00914C88">
        <w:t>resultados</w:t>
      </w:r>
      <w:r w:rsidRPr="00914C88">
        <w:t xml:space="preserve"> de los </w:t>
      </w:r>
      <w:r w:rsidR="003F34D1" w:rsidRPr="00914C88">
        <w:t>mismos</w:t>
      </w:r>
      <w:r w:rsidR="00C40913" w:rsidRPr="00914C88">
        <w:t xml:space="preserve"> deberán quedar registrados </w:t>
      </w:r>
      <w:r w:rsidR="003F34D1" w:rsidRPr="00914C88">
        <w:t>y almacenados en una base de datos digitalizada, por un periodo mínimo de 5 años.</w:t>
      </w:r>
      <w:r w:rsidR="003F34D1">
        <w:t xml:space="preserve"> </w:t>
      </w:r>
    </w:p>
    <w:p w:rsidR="00C40913" w:rsidRDefault="00C40913" w:rsidP="00203645">
      <w:pPr>
        <w:rPr>
          <w:lang w:val="es-CO"/>
        </w:rPr>
      </w:pPr>
    </w:p>
    <w:p w:rsidR="00AF2E14" w:rsidRDefault="00357E25" w:rsidP="00203645">
      <w:pPr>
        <w:rPr>
          <w:lang w:val="es-CO"/>
        </w:rPr>
      </w:pPr>
      <w:r>
        <w:rPr>
          <w:lang w:val="es-CO"/>
        </w:rPr>
        <w:t xml:space="preserve">El SGC de la empresa deberá </w:t>
      </w:r>
      <w:r w:rsidR="00C22CB8">
        <w:rPr>
          <w:lang w:val="es-CO"/>
        </w:rPr>
        <w:t xml:space="preserve">contar con certificado de gestión de calidad </w:t>
      </w:r>
      <w:r w:rsidR="00C22CB8" w:rsidRPr="00C22CB8">
        <w:rPr>
          <w:lang w:val="es-CO"/>
        </w:rPr>
        <w:t>expedido por un organismo de certificación acreditado o reconocido a través de acuerdos de reconocimiento mutuo por la Superintendencia de Industria y Comercio</w:t>
      </w:r>
      <w:r w:rsidR="00C22CB8">
        <w:rPr>
          <w:lang w:val="es-CO"/>
        </w:rPr>
        <w:t>.</w:t>
      </w:r>
    </w:p>
    <w:p w:rsidR="00357E25" w:rsidRPr="00AF2E14" w:rsidRDefault="00357E25" w:rsidP="00203645">
      <w:pPr>
        <w:rPr>
          <w:lang w:val="es-CO"/>
        </w:rPr>
      </w:pPr>
    </w:p>
    <w:p w:rsidR="00864706" w:rsidRDefault="00C22CB8" w:rsidP="00864706">
      <w:pPr>
        <w:rPr>
          <w:rFonts w:cs="Arial"/>
          <w:spacing w:val="-3"/>
        </w:rPr>
      </w:pPr>
      <w:r>
        <w:t>Cuando l</w:t>
      </w:r>
      <w:r w:rsidR="00864706">
        <w:t xml:space="preserve">os procesos desarrollados por los </w:t>
      </w:r>
      <w:r w:rsidR="00793BD9">
        <w:t>distribuidor</w:t>
      </w:r>
      <w:r w:rsidR="00864706">
        <w:t>es de GLP relacionados con la calidad del producto en los términos establecidos en la presente resolución</w:t>
      </w:r>
      <w:r>
        <w:t xml:space="preserve"> </w:t>
      </w:r>
      <w:r w:rsidR="00864706">
        <w:t xml:space="preserve">no se encuentren dentro del certificado de gestión de calidad exigido en el </w:t>
      </w:r>
      <w:r w:rsidR="00793BD9">
        <w:t>reglamento técnico</w:t>
      </w:r>
      <w:r w:rsidR="00864706">
        <w:t xml:space="preserve"> de plantas de envasado de que trata la Resolución MME </w:t>
      </w:r>
      <w:r w:rsidR="003157AD">
        <w:rPr>
          <w:rFonts w:cs="Arial"/>
          <w:spacing w:val="-3"/>
        </w:rPr>
        <w:t>18 058</w:t>
      </w:r>
      <w:r w:rsidR="00864706">
        <w:rPr>
          <w:rFonts w:cs="Arial"/>
          <w:spacing w:val="-3"/>
        </w:rPr>
        <w:t xml:space="preserve">1 de 2008 y en el </w:t>
      </w:r>
      <w:r w:rsidR="00793BD9">
        <w:rPr>
          <w:rFonts w:cs="Arial"/>
          <w:spacing w:val="-3"/>
        </w:rPr>
        <w:t xml:space="preserve">reglamento </w:t>
      </w:r>
      <w:r w:rsidR="00864706">
        <w:rPr>
          <w:rFonts w:cs="Arial"/>
          <w:spacing w:val="-3"/>
        </w:rPr>
        <w:t xml:space="preserve">de </w:t>
      </w:r>
      <w:r w:rsidR="004A5429">
        <w:rPr>
          <w:rFonts w:cs="Arial"/>
          <w:spacing w:val="-3"/>
        </w:rPr>
        <w:t>distribución</w:t>
      </w:r>
      <w:r w:rsidR="00864706">
        <w:rPr>
          <w:rFonts w:cs="Arial"/>
          <w:spacing w:val="-3"/>
        </w:rPr>
        <w:t xml:space="preserve"> y </w:t>
      </w:r>
      <w:r w:rsidR="004A5429">
        <w:rPr>
          <w:rFonts w:cs="Arial"/>
          <w:spacing w:val="-3"/>
        </w:rPr>
        <w:t>comercialización</w:t>
      </w:r>
      <w:r w:rsidR="00864706">
        <w:rPr>
          <w:rFonts w:cs="Arial"/>
          <w:spacing w:val="-3"/>
        </w:rPr>
        <w:t xml:space="preserve"> </w:t>
      </w:r>
      <w:r w:rsidR="004A5429">
        <w:rPr>
          <w:rFonts w:cs="Arial"/>
          <w:spacing w:val="-3"/>
        </w:rPr>
        <w:t>minorista</w:t>
      </w:r>
      <w:r w:rsidR="00864706">
        <w:rPr>
          <w:rFonts w:cs="Arial"/>
          <w:spacing w:val="-3"/>
        </w:rPr>
        <w:t xml:space="preserve"> de GLP de que trata la Resolución CREG 023 de 2008, deberán someterse a certificación. </w:t>
      </w:r>
    </w:p>
    <w:p w:rsidR="00864706" w:rsidRDefault="00864706" w:rsidP="00203645"/>
    <w:p w:rsidR="00203645" w:rsidRDefault="005A5B52" w:rsidP="00203645">
      <w:r>
        <w:t xml:space="preserve">Las empresas deberán </w:t>
      </w:r>
      <w:r w:rsidR="004A0D3D">
        <w:t>enviar</w:t>
      </w:r>
      <w:r>
        <w:t xml:space="preserve"> una copia de la certificación obtenida </w:t>
      </w:r>
      <w:r w:rsidR="00C22CB8">
        <w:t xml:space="preserve">a la Superintendencia de Servicios Públicos Domiciliarios junto con el informe que emita </w:t>
      </w:r>
      <w:r w:rsidR="007A125B">
        <w:t xml:space="preserve">el </w:t>
      </w:r>
      <w:r w:rsidR="00C22CB8" w:rsidRPr="00C22CB8">
        <w:rPr>
          <w:lang w:val="es-CO"/>
        </w:rPr>
        <w:t>organismo de certificación</w:t>
      </w:r>
      <w:r w:rsidR="00C22CB8">
        <w:t>.</w:t>
      </w:r>
    </w:p>
    <w:p w:rsidR="00C40913" w:rsidRPr="004B14FD" w:rsidRDefault="00C40913" w:rsidP="00203645">
      <w:pPr>
        <w:rPr>
          <w:sz w:val="18"/>
        </w:rPr>
      </w:pPr>
    </w:p>
    <w:p w:rsidR="002E7680" w:rsidRDefault="002E7680" w:rsidP="00203645"/>
    <w:p w:rsidR="008C6D82" w:rsidRPr="00E87B67" w:rsidRDefault="004458C1" w:rsidP="008C6D82">
      <w:pPr>
        <w:jc w:val="center"/>
        <w:rPr>
          <w:b/>
        </w:rPr>
      </w:pPr>
      <w:r>
        <w:rPr>
          <w:b/>
        </w:rPr>
        <w:t>CAPÍ</w:t>
      </w:r>
      <w:r w:rsidR="008C6D82" w:rsidRPr="00E87B67">
        <w:rPr>
          <w:b/>
        </w:rPr>
        <w:t>TULO I</w:t>
      </w:r>
      <w:r w:rsidR="00C22CB8">
        <w:rPr>
          <w:b/>
        </w:rPr>
        <w:t>V</w:t>
      </w:r>
      <w:r w:rsidR="008C6D82" w:rsidRPr="00E87B67">
        <w:rPr>
          <w:b/>
        </w:rPr>
        <w:t xml:space="preserve">: </w:t>
      </w:r>
      <w:r w:rsidR="008C6D82">
        <w:rPr>
          <w:b/>
        </w:rPr>
        <w:t xml:space="preserve">VIGENCIA Y APLICACIÓN </w:t>
      </w:r>
    </w:p>
    <w:p w:rsidR="00BC7206" w:rsidRDefault="00BC7206" w:rsidP="008C6D82"/>
    <w:p w:rsidR="004B14FD" w:rsidRPr="00F23C04" w:rsidRDefault="004B14FD" w:rsidP="008C6D82"/>
    <w:p w:rsidR="00C339A5" w:rsidRDefault="00414EE1" w:rsidP="00A46170">
      <w:pPr>
        <w:pStyle w:val="Artculo"/>
      </w:pPr>
      <w:r>
        <w:rPr>
          <w:b/>
        </w:rPr>
        <w:t>Inicio de aplicación de los indicadores de calidad</w:t>
      </w:r>
      <w:r w:rsidR="00947B4C" w:rsidRPr="008C6D82">
        <w:rPr>
          <w:b/>
        </w:rPr>
        <w:t>.</w:t>
      </w:r>
      <w:r w:rsidR="00947B4C" w:rsidRPr="00447210">
        <w:t xml:space="preserve"> </w:t>
      </w:r>
      <w:r w:rsidR="00947B4C" w:rsidRPr="00FE5AC4">
        <w:t xml:space="preserve">Los indicadores </w:t>
      </w:r>
      <w:r w:rsidR="00AD300C">
        <w:t xml:space="preserve">de calidad establecidos en los artículos </w:t>
      </w:r>
      <w:r w:rsidR="00AD300C">
        <w:fldChar w:fldCharType="begin"/>
      </w:r>
      <w:r w:rsidR="00AD300C">
        <w:instrText xml:space="preserve"> REF _Ref358335605 \r \h \t</w:instrText>
      </w:r>
      <w:r w:rsidR="00AD300C">
        <w:fldChar w:fldCharType="separate"/>
      </w:r>
      <w:r w:rsidR="00715E1F">
        <w:t>5</w:t>
      </w:r>
      <w:r w:rsidR="00AD300C">
        <w:fldChar w:fldCharType="end"/>
      </w:r>
      <w:r w:rsidR="00AD300C">
        <w:t xml:space="preserve">, </w:t>
      </w:r>
      <w:r w:rsidR="00AD300C">
        <w:fldChar w:fldCharType="begin"/>
      </w:r>
      <w:r w:rsidR="00AD300C">
        <w:instrText xml:space="preserve"> REF _Ref358340227 \r \h \t</w:instrText>
      </w:r>
      <w:r w:rsidR="00AD300C">
        <w:fldChar w:fldCharType="separate"/>
      </w:r>
      <w:r w:rsidR="00715E1F">
        <w:t>11</w:t>
      </w:r>
      <w:r w:rsidR="00AD300C">
        <w:fldChar w:fldCharType="end"/>
      </w:r>
      <w:r w:rsidR="00AD300C">
        <w:t xml:space="preserve"> y </w:t>
      </w:r>
      <w:r w:rsidR="00AD300C">
        <w:fldChar w:fldCharType="begin"/>
      </w:r>
      <w:r w:rsidR="00AD300C">
        <w:instrText xml:space="preserve"> REF _Ref358340228 \r \h \t</w:instrText>
      </w:r>
      <w:r w:rsidR="00AD300C">
        <w:fldChar w:fldCharType="separate"/>
      </w:r>
      <w:r w:rsidR="00715E1F">
        <w:t>12</w:t>
      </w:r>
      <w:r w:rsidR="00AD300C">
        <w:fldChar w:fldCharType="end"/>
      </w:r>
      <w:r w:rsidR="00AD300C">
        <w:t xml:space="preserve"> deberán ser calculados y reportados al SUI a partir del quinto mes siguiente al mes en que </w:t>
      </w:r>
      <w:r w:rsidR="003759E1">
        <w:t xml:space="preserve">entre </w:t>
      </w:r>
      <w:r w:rsidR="00C339A5">
        <w:t>en vigencia la presente resolución.</w:t>
      </w:r>
    </w:p>
    <w:p w:rsidR="00C339A5" w:rsidRDefault="00C339A5" w:rsidP="00C339A5"/>
    <w:p w:rsidR="00947B4C" w:rsidRDefault="00C339A5" w:rsidP="00C339A5">
      <w:r>
        <w:t>La impl</w:t>
      </w:r>
      <w:r w:rsidR="00D600DA">
        <w:t>ementación del SGC de que trata</w:t>
      </w:r>
      <w:r>
        <w:t xml:space="preserve"> </w:t>
      </w:r>
      <w:r w:rsidR="00D600DA">
        <w:t xml:space="preserve">el </w:t>
      </w:r>
      <w:r>
        <w:t>artículo</w:t>
      </w:r>
      <w:r w:rsidR="00D600DA">
        <w:t xml:space="preserve"> </w:t>
      </w:r>
      <w:r w:rsidR="00D600DA">
        <w:fldChar w:fldCharType="begin"/>
      </w:r>
      <w:r w:rsidR="00D600DA">
        <w:instrText xml:space="preserve"> REF _Ref358367860 \r \h \t</w:instrText>
      </w:r>
      <w:r w:rsidR="00D600DA">
        <w:fldChar w:fldCharType="separate"/>
      </w:r>
      <w:r w:rsidR="00715E1F">
        <w:t>17</w:t>
      </w:r>
      <w:r w:rsidR="00D600DA">
        <w:fldChar w:fldCharType="end"/>
      </w:r>
      <w:r w:rsidR="00947B4C" w:rsidRPr="00FE5AC4">
        <w:t xml:space="preserve"> </w:t>
      </w:r>
      <w:r>
        <w:t>será d</w:t>
      </w:r>
      <w:r w:rsidR="00947B4C" w:rsidRPr="00FE5AC4">
        <w:t xml:space="preserve">e carácter obligatorio a partir de </w:t>
      </w:r>
      <w:r>
        <w:t>los doce meses siguientes a</w:t>
      </w:r>
      <w:r w:rsidR="00AC457A">
        <w:t xml:space="preserve"> </w:t>
      </w:r>
      <w:r>
        <w:t>l</w:t>
      </w:r>
      <w:r w:rsidR="00AC457A">
        <w:t>a</w:t>
      </w:r>
      <w:r>
        <w:t xml:space="preserve"> </w:t>
      </w:r>
      <w:r w:rsidR="00AC457A">
        <w:t xml:space="preserve">entrada </w:t>
      </w:r>
      <w:r>
        <w:t>en vigencia la presente resolución.</w:t>
      </w:r>
    </w:p>
    <w:p w:rsidR="00D33596" w:rsidRDefault="00D33596" w:rsidP="00FE5AC4"/>
    <w:p w:rsidR="00947B4C" w:rsidRPr="00447210" w:rsidRDefault="00947B4C" w:rsidP="00FE5AC4">
      <w:r w:rsidRPr="00447210">
        <w:lastRenderedPageBreak/>
        <w:t xml:space="preserve">En el entretanto las empresas deberán acometer las actividades tendientes a cumplir los estándares adoptados. </w:t>
      </w:r>
    </w:p>
    <w:p w:rsidR="00947B4C" w:rsidRPr="00447210" w:rsidRDefault="00947B4C" w:rsidP="00FE5AC4"/>
    <w:p w:rsidR="00947B4C" w:rsidRPr="00447210" w:rsidRDefault="008C6D82" w:rsidP="00A46170">
      <w:pPr>
        <w:pStyle w:val="Artculo"/>
      </w:pPr>
      <w:r w:rsidRPr="008C6D82">
        <w:rPr>
          <w:b/>
        </w:rPr>
        <w:t>Vigencia</w:t>
      </w:r>
      <w:r w:rsidR="00947B4C" w:rsidRPr="00C448B7">
        <w:t>.</w:t>
      </w:r>
      <w:r w:rsidR="00947B4C" w:rsidRPr="00447210">
        <w:t xml:space="preserve"> </w:t>
      </w:r>
      <w:r w:rsidR="00947B4C" w:rsidRPr="00FE5AC4">
        <w:t xml:space="preserve">La presente </w:t>
      </w:r>
      <w:r w:rsidR="00AD300C">
        <w:t>r</w:t>
      </w:r>
      <w:r w:rsidR="00947B4C" w:rsidRPr="00FE5AC4">
        <w:t xml:space="preserve">esolución rige a partir de la fecha de su publicación en el </w:t>
      </w:r>
      <w:r w:rsidR="00947B4C" w:rsidRPr="003759E1">
        <w:rPr>
          <w:i/>
        </w:rPr>
        <w:t>Diario Oficial</w:t>
      </w:r>
      <w:r w:rsidR="00947B4C" w:rsidRPr="00FE5AC4">
        <w:t>.</w:t>
      </w:r>
    </w:p>
    <w:p w:rsidR="00947B4C" w:rsidRDefault="00947B4C" w:rsidP="00FE5AC4">
      <w:pPr>
        <w:rPr>
          <w:b/>
        </w:rPr>
      </w:pPr>
    </w:p>
    <w:p w:rsidR="00BC7206" w:rsidRPr="00447210" w:rsidRDefault="00BC7206" w:rsidP="00FE5AC4">
      <w:pPr>
        <w:rPr>
          <w:b/>
        </w:rPr>
      </w:pPr>
    </w:p>
    <w:p w:rsidR="00947B4C" w:rsidRPr="00FE5AC4" w:rsidRDefault="00947B4C" w:rsidP="00FE5AC4">
      <w:pPr>
        <w:jc w:val="center"/>
        <w:rPr>
          <w:b/>
        </w:rPr>
      </w:pPr>
      <w:r w:rsidRPr="00FE5AC4">
        <w:rPr>
          <w:b/>
        </w:rPr>
        <w:t>PUBLÍQUESE Y CÚMPLASE</w:t>
      </w:r>
    </w:p>
    <w:p w:rsidR="00FE5AC4" w:rsidRDefault="00FE5AC4" w:rsidP="00FE5AC4"/>
    <w:p w:rsidR="00BC7206" w:rsidRDefault="00BC7206" w:rsidP="00FE5AC4"/>
    <w:p w:rsidR="00947B4C" w:rsidRDefault="00F91FAD" w:rsidP="00FE5AC4">
      <w:r>
        <w:t>Firma del proyecto,</w:t>
      </w:r>
    </w:p>
    <w:p w:rsidR="00947B4C" w:rsidRDefault="00947B4C" w:rsidP="00FE5AC4"/>
    <w:p w:rsidR="00BC7206" w:rsidRPr="00447210" w:rsidRDefault="00BC7206" w:rsidP="00FE5AC4"/>
    <w:p w:rsidR="00947B4C" w:rsidRDefault="00947B4C" w:rsidP="00FE5AC4">
      <w:pPr>
        <w:rPr>
          <w:sz w:val="32"/>
        </w:rPr>
      </w:pPr>
    </w:p>
    <w:p w:rsidR="00BC7206" w:rsidRPr="004B4EDE" w:rsidRDefault="00BC7206" w:rsidP="00FE5AC4">
      <w:pPr>
        <w:rPr>
          <w:sz w:val="32"/>
        </w:rPr>
      </w:pPr>
    </w:p>
    <w:p w:rsidR="003759E1" w:rsidRPr="00447210" w:rsidRDefault="003759E1" w:rsidP="003759E1"/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4010"/>
      </w:tblGrid>
      <w:tr w:rsidR="004B4EDE" w:rsidRPr="000019D2" w:rsidTr="00FC4986">
        <w:trPr>
          <w:tblCellSpacing w:w="0" w:type="dxa"/>
        </w:trPr>
        <w:tc>
          <w:tcPr>
            <w:tcW w:w="5346" w:type="dxa"/>
          </w:tcPr>
          <w:p w:rsidR="004B4EDE" w:rsidRDefault="004B4EDE" w:rsidP="00FC7BC7">
            <w:pPr>
              <w:ind w:left="66"/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FEDERICO RENGIFO VÉLEZ</w:t>
            </w:r>
          </w:p>
          <w:p w:rsidR="004B4EDE" w:rsidRPr="008C2E57" w:rsidRDefault="004B4EDE" w:rsidP="00FC7BC7">
            <w:pPr>
              <w:ind w:left="66"/>
              <w:jc w:val="center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Ministro de Minas y Energía</w:t>
            </w:r>
          </w:p>
        </w:tc>
        <w:tc>
          <w:tcPr>
            <w:tcW w:w="4010" w:type="dxa"/>
          </w:tcPr>
          <w:p w:rsidR="004B4EDE" w:rsidRDefault="004B4EDE" w:rsidP="00FC7BC7">
            <w:pPr>
              <w:ind w:left="89"/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GERMÁN CASTRO FERREIRA</w:t>
            </w:r>
          </w:p>
          <w:p w:rsidR="004B4EDE" w:rsidRPr="00CA4732" w:rsidRDefault="004B4EDE" w:rsidP="00FC7BC7">
            <w:pPr>
              <w:ind w:left="89"/>
              <w:jc w:val="center"/>
              <w:rPr>
                <w:rFonts w:eastAsia="Arial Unicode MS" w:cs="Arial"/>
                <w:bCs/>
              </w:rPr>
            </w:pPr>
            <w:r w:rsidRPr="00CA4732">
              <w:rPr>
                <w:rFonts w:cs="Arial"/>
                <w:spacing w:val="-3"/>
              </w:rPr>
              <w:t>Director Ejecutivo</w:t>
            </w:r>
          </w:p>
        </w:tc>
      </w:tr>
      <w:tr w:rsidR="004B4EDE" w:rsidRPr="000019D2" w:rsidTr="00FC4986">
        <w:trPr>
          <w:tblCellSpacing w:w="0" w:type="dxa"/>
        </w:trPr>
        <w:tc>
          <w:tcPr>
            <w:tcW w:w="5346" w:type="dxa"/>
          </w:tcPr>
          <w:p w:rsidR="004B4EDE" w:rsidRPr="000019D2" w:rsidRDefault="004B4EDE" w:rsidP="00FC7BC7">
            <w:pPr>
              <w:ind w:left="66"/>
              <w:jc w:val="center"/>
              <w:rPr>
                <w:rFonts w:eastAsia="Arial Unicode MS" w:cs="Arial"/>
                <w:color w:val="000000"/>
              </w:rPr>
            </w:pPr>
            <w:r w:rsidRPr="000019D2">
              <w:rPr>
                <w:rFonts w:cs="Arial"/>
                <w:spacing w:val="-3"/>
              </w:rPr>
              <w:t>Presidente</w:t>
            </w:r>
          </w:p>
        </w:tc>
        <w:tc>
          <w:tcPr>
            <w:tcW w:w="4010" w:type="dxa"/>
          </w:tcPr>
          <w:p w:rsidR="004B4EDE" w:rsidRPr="000019D2" w:rsidRDefault="004B4EDE" w:rsidP="00FC7BC7">
            <w:pPr>
              <w:jc w:val="center"/>
              <w:rPr>
                <w:rFonts w:eastAsia="Arial Unicode MS" w:cs="Arial"/>
                <w:color w:val="000000"/>
              </w:rPr>
            </w:pPr>
          </w:p>
        </w:tc>
      </w:tr>
    </w:tbl>
    <w:p w:rsidR="00FE5AC4" w:rsidRPr="00012259" w:rsidRDefault="00FE5AC4" w:rsidP="00FE5AC4"/>
    <w:sectPr w:rsidR="00FE5AC4" w:rsidRPr="00012259" w:rsidSect="00BC7206">
      <w:headerReference w:type="default" r:id="rId11"/>
      <w:headerReference w:type="first" r:id="rId12"/>
      <w:type w:val="continuous"/>
      <w:pgSz w:w="12242" w:h="18722" w:code="123"/>
      <w:pgMar w:top="2341" w:right="1185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86" w:rsidRDefault="00754586" w:rsidP="00442C25">
      <w:r>
        <w:separator/>
      </w:r>
    </w:p>
    <w:p w:rsidR="00754586" w:rsidRDefault="00754586" w:rsidP="00442C25"/>
  </w:endnote>
  <w:endnote w:type="continuationSeparator" w:id="0">
    <w:p w:rsidR="00754586" w:rsidRDefault="00754586" w:rsidP="00442C25">
      <w:r>
        <w:continuationSeparator/>
      </w:r>
    </w:p>
    <w:p w:rsidR="00754586" w:rsidRDefault="00754586" w:rsidP="00442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86" w:rsidRDefault="00754586" w:rsidP="00442C25">
      <w:r>
        <w:separator/>
      </w:r>
    </w:p>
    <w:p w:rsidR="00754586" w:rsidRDefault="00754586" w:rsidP="00442C25"/>
  </w:footnote>
  <w:footnote w:type="continuationSeparator" w:id="0">
    <w:p w:rsidR="00754586" w:rsidRDefault="00754586" w:rsidP="00442C25">
      <w:r>
        <w:continuationSeparator/>
      </w:r>
    </w:p>
    <w:p w:rsidR="00754586" w:rsidRDefault="00754586" w:rsidP="00442C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86" w:rsidRDefault="00754586" w:rsidP="00F56CCC"/>
  <w:p w:rsidR="00754586" w:rsidRPr="00951F79" w:rsidRDefault="00754586" w:rsidP="00F56CCC">
    <w:pPr>
      <w:rPr>
        <w:b/>
      </w:rPr>
    </w:pPr>
    <w:r w:rsidRPr="00654384">
      <w:t>RESOLUCIÓN No.</w:t>
    </w:r>
    <w:r>
      <w:t xml:space="preserve">  ________________</w:t>
    </w:r>
    <w:r w:rsidRPr="00654384">
      <w:tab/>
    </w:r>
    <w:r>
      <w:t>DE ________________</w:t>
    </w:r>
    <w:r>
      <w:tab/>
    </w:r>
    <w:r w:rsidRPr="00654384">
      <w:t xml:space="preserve">HOJA No. </w:t>
    </w:r>
    <w:r>
      <w:fldChar w:fldCharType="begin"/>
    </w:r>
    <w:r>
      <w:instrText xml:space="preserve"> PAGE   \* MERGEFORMAT </w:instrText>
    </w:r>
    <w:r>
      <w:fldChar w:fldCharType="separate"/>
    </w:r>
    <w:r w:rsidR="005A085E">
      <w:rPr>
        <w:noProof/>
      </w:rPr>
      <w:t>14</w:t>
    </w:r>
    <w:r>
      <w:rPr>
        <w:noProof/>
      </w:rPr>
      <w:fldChar w:fldCharType="end"/>
    </w:r>
    <w:r w:rsidRPr="00654384">
      <w:t>/</w:t>
    </w:r>
    <w:r w:rsidR="005A085E">
      <w:fldChar w:fldCharType="begin"/>
    </w:r>
    <w:r w:rsidR="005A085E">
      <w:instrText xml:space="preserve"> NUMPAGES  \* MERGEFORMAT </w:instrText>
    </w:r>
    <w:r w:rsidR="005A085E">
      <w:fldChar w:fldCharType="separate"/>
    </w:r>
    <w:r w:rsidR="005A085E">
      <w:rPr>
        <w:noProof/>
      </w:rPr>
      <w:t>14</w:t>
    </w:r>
    <w:r w:rsidR="005A085E">
      <w:rPr>
        <w:noProof/>
      </w:rPr>
      <w:fldChar w:fldCharType="end"/>
    </w:r>
  </w:p>
  <w:p w:rsidR="00754586" w:rsidRDefault="00754586" w:rsidP="00442C25">
    <w:pPr>
      <w:rPr>
        <w:rFonts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6735F0" wp14:editId="298CEF90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754586" w:rsidRDefault="00754586" w:rsidP="004B4EDE">
    <w:pPr>
      <w:rPr>
        <w:rFonts w:cs="Arial"/>
        <w:i/>
        <w:color w:val="000000"/>
        <w:sz w:val="22"/>
        <w:szCs w:val="22"/>
      </w:rPr>
    </w:pPr>
    <w:r w:rsidRPr="004B4EDE">
      <w:rPr>
        <w:sz w:val="22"/>
        <w:szCs w:val="22"/>
      </w:rPr>
      <w:t xml:space="preserve">Por la cual se ordena hacer público un proyecto de resolución de carácter general </w:t>
    </w:r>
    <w:r w:rsidRPr="004B4EDE">
      <w:rPr>
        <w:i/>
        <w:sz w:val="22"/>
        <w:szCs w:val="22"/>
      </w:rPr>
      <w:t xml:space="preserve">“Por la cual se establecen los indicadores de calidad que deben exigirse en la prestación del servicio </w:t>
    </w:r>
    <w:r w:rsidRPr="004B4EDE">
      <w:rPr>
        <w:rFonts w:cs="Arial"/>
        <w:i/>
        <w:color w:val="000000"/>
        <w:sz w:val="22"/>
        <w:szCs w:val="22"/>
      </w:rPr>
      <w:t>de distribución y comercialización minorista de gas licuado de petróleo, GLP”.</w:t>
    </w:r>
  </w:p>
  <w:p w:rsidR="00754586" w:rsidRPr="004B4EDE" w:rsidRDefault="00754586" w:rsidP="004B4EDE">
    <w:pPr>
      <w:rPr>
        <w:sz w:val="22"/>
        <w:szCs w:val="22"/>
      </w:rPr>
    </w:pPr>
    <w:r>
      <w:rPr>
        <w:rFonts w:cs="Arial"/>
        <w:i/>
        <w:color w:val="000000"/>
        <w:sz w:val="22"/>
        <w:szCs w:val="22"/>
      </w:rPr>
      <w:t>_____________________________________________________________________________</w:t>
    </w:r>
  </w:p>
  <w:p w:rsidR="00754586" w:rsidRPr="00DF40E1" w:rsidRDefault="00754586" w:rsidP="00F56CCC">
    <w:pPr>
      <w:tabs>
        <w:tab w:val="left" w:pos="-851"/>
        <w:tab w:val="left" w:pos="-720"/>
        <w:tab w:val="left" w:pos="-567"/>
      </w:tabs>
      <w:rPr>
        <w:rFonts w:cs="Arial"/>
        <w:spacing w:val="-3"/>
        <w:sz w:val="16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86" w:rsidRPr="00442C25" w:rsidRDefault="00754586" w:rsidP="00442C25">
    <w:pPr>
      <w:pStyle w:val="Encabezado"/>
      <w:rPr>
        <w:rFonts w:ascii="Arial" w:hAnsi="Arial" w:cs="Arial"/>
      </w:rPr>
    </w:pPr>
    <w:r>
      <w:t xml:space="preserve">                                                        </w:t>
    </w:r>
    <w:r w:rsidRPr="00442C25">
      <w:rPr>
        <w:rFonts w:ascii="Arial" w:hAnsi="Arial" w:cs="Arial"/>
        <w:sz w:val="20"/>
      </w:rPr>
      <w:t>República de Colombia</w:t>
    </w:r>
  </w:p>
  <w:p w:rsidR="00754586" w:rsidRDefault="00754586" w:rsidP="00442C25">
    <w:pPr>
      <w:pStyle w:val="Encabezado"/>
    </w:pPr>
  </w:p>
  <w:p w:rsidR="00754586" w:rsidRDefault="00754586" w:rsidP="00442C2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47BE33" wp14:editId="4E585948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A7FB3"/>
    <w:multiLevelType w:val="hybridMultilevel"/>
    <w:tmpl w:val="A24E14A0"/>
    <w:lvl w:ilvl="0" w:tplc="0C0A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921399"/>
    <w:multiLevelType w:val="hybridMultilevel"/>
    <w:tmpl w:val="05AE632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6FF0DB1"/>
    <w:multiLevelType w:val="hybridMultilevel"/>
    <w:tmpl w:val="DABE5918"/>
    <w:lvl w:ilvl="0" w:tplc="0C0A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7C4186D"/>
    <w:multiLevelType w:val="hybridMultilevel"/>
    <w:tmpl w:val="A41C7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0B4594"/>
    <w:multiLevelType w:val="multilevel"/>
    <w:tmpl w:val="074673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87365D9"/>
    <w:multiLevelType w:val="hybridMultilevel"/>
    <w:tmpl w:val="D1C058D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8A0561"/>
    <w:multiLevelType w:val="hybridMultilevel"/>
    <w:tmpl w:val="35E893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36714"/>
    <w:multiLevelType w:val="hybridMultilevel"/>
    <w:tmpl w:val="0F70A1FA"/>
    <w:lvl w:ilvl="0" w:tplc="EDE64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1259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08F4B2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DD56D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8F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56E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82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AE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0C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421A12"/>
    <w:multiLevelType w:val="hybridMultilevel"/>
    <w:tmpl w:val="98B0392A"/>
    <w:lvl w:ilvl="0" w:tplc="0C0A0001">
      <w:start w:val="1"/>
      <w:numFmt w:val="bullet"/>
      <w:lvlText w:val=""/>
      <w:lvlJc w:val="left"/>
      <w:pPr>
        <w:ind w:left="966" w:hanging="18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-810" w:hanging="360"/>
      </w:pPr>
    </w:lvl>
    <w:lvl w:ilvl="2" w:tplc="0C0A001B" w:tentative="1">
      <w:start w:val="1"/>
      <w:numFmt w:val="lowerRoman"/>
      <w:lvlText w:val="%3."/>
      <w:lvlJc w:val="right"/>
      <w:pPr>
        <w:ind w:left="-90" w:hanging="180"/>
      </w:pPr>
    </w:lvl>
    <w:lvl w:ilvl="3" w:tplc="0C0A000F" w:tentative="1">
      <w:start w:val="1"/>
      <w:numFmt w:val="decimal"/>
      <w:lvlText w:val="%4."/>
      <w:lvlJc w:val="left"/>
      <w:pPr>
        <w:ind w:left="630" w:hanging="360"/>
      </w:pPr>
    </w:lvl>
    <w:lvl w:ilvl="4" w:tplc="0C0A0019" w:tentative="1">
      <w:start w:val="1"/>
      <w:numFmt w:val="lowerLetter"/>
      <w:lvlText w:val="%5."/>
      <w:lvlJc w:val="left"/>
      <w:pPr>
        <w:ind w:left="1350" w:hanging="360"/>
      </w:pPr>
    </w:lvl>
    <w:lvl w:ilvl="5" w:tplc="0C0A001B" w:tentative="1">
      <w:start w:val="1"/>
      <w:numFmt w:val="lowerRoman"/>
      <w:lvlText w:val="%6."/>
      <w:lvlJc w:val="right"/>
      <w:pPr>
        <w:ind w:left="2070" w:hanging="180"/>
      </w:pPr>
    </w:lvl>
    <w:lvl w:ilvl="6" w:tplc="0C0A000F" w:tentative="1">
      <w:start w:val="1"/>
      <w:numFmt w:val="decimal"/>
      <w:lvlText w:val="%7."/>
      <w:lvlJc w:val="left"/>
      <w:pPr>
        <w:ind w:left="2790" w:hanging="360"/>
      </w:pPr>
    </w:lvl>
    <w:lvl w:ilvl="7" w:tplc="0C0A0019" w:tentative="1">
      <w:start w:val="1"/>
      <w:numFmt w:val="lowerLetter"/>
      <w:lvlText w:val="%8."/>
      <w:lvlJc w:val="left"/>
      <w:pPr>
        <w:ind w:left="3510" w:hanging="360"/>
      </w:pPr>
    </w:lvl>
    <w:lvl w:ilvl="8" w:tplc="0C0A001B" w:tentative="1">
      <w:start w:val="1"/>
      <w:numFmt w:val="lowerRoman"/>
      <w:lvlText w:val="%9."/>
      <w:lvlJc w:val="right"/>
      <w:pPr>
        <w:ind w:left="4230" w:hanging="180"/>
      </w:pPr>
    </w:lvl>
  </w:abstractNum>
  <w:abstractNum w:abstractNumId="12">
    <w:nsid w:val="15EB1CD7"/>
    <w:multiLevelType w:val="hybridMultilevel"/>
    <w:tmpl w:val="D8D270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845C1"/>
    <w:multiLevelType w:val="hybridMultilevel"/>
    <w:tmpl w:val="67221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00DC7"/>
    <w:multiLevelType w:val="hybridMultilevel"/>
    <w:tmpl w:val="51F81D26"/>
    <w:lvl w:ilvl="0" w:tplc="0C0A000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01" w:tentative="1">
      <w:start w:val="1"/>
      <w:numFmt w:val="lowerLetter"/>
      <w:lvlText w:val="%2."/>
      <w:lvlJc w:val="left"/>
      <w:pPr>
        <w:ind w:left="1440" w:hanging="360"/>
      </w:pPr>
    </w:lvl>
    <w:lvl w:ilvl="2" w:tplc="85F6A33A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903C8"/>
    <w:multiLevelType w:val="hybridMultilevel"/>
    <w:tmpl w:val="64269F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5278E"/>
    <w:multiLevelType w:val="hybridMultilevel"/>
    <w:tmpl w:val="EFD8B7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E75D8"/>
    <w:multiLevelType w:val="multilevel"/>
    <w:tmpl w:val="66D08E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8">
    <w:nsid w:val="3CA42DB6"/>
    <w:multiLevelType w:val="hybridMultilevel"/>
    <w:tmpl w:val="DA4E59E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B6086"/>
    <w:multiLevelType w:val="hybridMultilevel"/>
    <w:tmpl w:val="C6AE99FA"/>
    <w:lvl w:ilvl="0" w:tplc="AE9ADBF6">
      <w:start w:val="1"/>
      <w:numFmt w:val="decimal"/>
      <w:pStyle w:val="Ttulo1"/>
      <w:lvlText w:val="Artículo %1."/>
      <w:lvlJc w:val="right"/>
      <w:pPr>
        <w:ind w:left="1776" w:hanging="360"/>
      </w:pPr>
      <w:rPr>
        <w:rFonts w:ascii="Bookman Old Style" w:hAnsi="Bookman Old Style" w:hint="default"/>
        <w:b/>
        <w:i w:val="0"/>
        <w:color w:val="auto"/>
        <w:sz w:val="24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03D1FAA"/>
    <w:multiLevelType w:val="multilevel"/>
    <w:tmpl w:val="C7EE7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u w:val="single"/>
      </w:rPr>
    </w:lvl>
  </w:abstractNum>
  <w:abstractNum w:abstractNumId="21">
    <w:nsid w:val="41757A4C"/>
    <w:multiLevelType w:val="hybridMultilevel"/>
    <w:tmpl w:val="FC8AC84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9801BA"/>
    <w:multiLevelType w:val="hybridMultilevel"/>
    <w:tmpl w:val="68064860"/>
    <w:lvl w:ilvl="0" w:tplc="1AD8413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8C7569"/>
    <w:multiLevelType w:val="hybridMultilevel"/>
    <w:tmpl w:val="F7400AF2"/>
    <w:lvl w:ilvl="0" w:tplc="04090017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49BD2712"/>
    <w:multiLevelType w:val="hybridMultilevel"/>
    <w:tmpl w:val="5E24EA32"/>
    <w:lvl w:ilvl="0" w:tplc="240A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6">
    <w:nsid w:val="4E072811"/>
    <w:multiLevelType w:val="hybridMultilevel"/>
    <w:tmpl w:val="A15E2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A21614"/>
    <w:multiLevelType w:val="hybridMultilevel"/>
    <w:tmpl w:val="A90E20EA"/>
    <w:lvl w:ilvl="0" w:tplc="0A0A899E">
      <w:start w:val="1"/>
      <w:numFmt w:val="lowerRoman"/>
      <w:lvlText w:val="%1."/>
      <w:lvlJc w:val="right"/>
      <w:pPr>
        <w:ind w:left="720" w:hanging="360"/>
      </w:pPr>
      <w:rPr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F74C9"/>
    <w:multiLevelType w:val="hybridMultilevel"/>
    <w:tmpl w:val="9B128E2E"/>
    <w:name w:val="Lista4322"/>
    <w:lvl w:ilvl="0" w:tplc="F9D2A948">
      <w:start w:val="1"/>
      <w:numFmt w:val="decimal"/>
      <w:pStyle w:val="Artculo"/>
      <w:lvlText w:val="Artículo %1."/>
      <w:lvlJc w:val="left"/>
      <w:pPr>
        <w:ind w:left="1778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BC7212C6">
      <w:start w:val="1"/>
      <w:numFmt w:val="lowerLetter"/>
      <w:lvlText w:val="%2."/>
      <w:lvlJc w:val="left"/>
      <w:pPr>
        <w:ind w:left="1530" w:hanging="360"/>
      </w:pPr>
    </w:lvl>
    <w:lvl w:ilvl="2" w:tplc="A446BFEE" w:tentative="1">
      <w:start w:val="1"/>
      <w:numFmt w:val="lowerRoman"/>
      <w:lvlText w:val="%3."/>
      <w:lvlJc w:val="right"/>
      <w:pPr>
        <w:ind w:left="2250" w:hanging="180"/>
      </w:pPr>
    </w:lvl>
    <w:lvl w:ilvl="3" w:tplc="AA4A5ACA" w:tentative="1">
      <w:start w:val="1"/>
      <w:numFmt w:val="decimal"/>
      <w:lvlText w:val="%4."/>
      <w:lvlJc w:val="left"/>
      <w:pPr>
        <w:ind w:left="2970" w:hanging="360"/>
      </w:pPr>
    </w:lvl>
    <w:lvl w:ilvl="4" w:tplc="4DB8D95A" w:tentative="1">
      <w:start w:val="1"/>
      <w:numFmt w:val="lowerLetter"/>
      <w:lvlText w:val="%5."/>
      <w:lvlJc w:val="left"/>
      <w:pPr>
        <w:ind w:left="3690" w:hanging="360"/>
      </w:pPr>
    </w:lvl>
    <w:lvl w:ilvl="5" w:tplc="D4DC958A" w:tentative="1">
      <w:start w:val="1"/>
      <w:numFmt w:val="lowerRoman"/>
      <w:lvlText w:val="%6."/>
      <w:lvlJc w:val="right"/>
      <w:pPr>
        <w:ind w:left="4410" w:hanging="180"/>
      </w:pPr>
    </w:lvl>
    <w:lvl w:ilvl="6" w:tplc="67940270" w:tentative="1">
      <w:start w:val="1"/>
      <w:numFmt w:val="decimal"/>
      <w:lvlText w:val="%7."/>
      <w:lvlJc w:val="left"/>
      <w:pPr>
        <w:ind w:left="5130" w:hanging="360"/>
      </w:pPr>
    </w:lvl>
    <w:lvl w:ilvl="7" w:tplc="CBDC6ABC" w:tentative="1">
      <w:start w:val="1"/>
      <w:numFmt w:val="lowerLetter"/>
      <w:lvlText w:val="%8."/>
      <w:lvlJc w:val="left"/>
      <w:pPr>
        <w:ind w:left="5850" w:hanging="360"/>
      </w:pPr>
    </w:lvl>
    <w:lvl w:ilvl="8" w:tplc="318638EC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55735FA8"/>
    <w:multiLevelType w:val="hybridMultilevel"/>
    <w:tmpl w:val="0E96EF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01BA2"/>
    <w:multiLevelType w:val="hybridMultilevel"/>
    <w:tmpl w:val="7BAE5532"/>
    <w:lvl w:ilvl="0" w:tplc="C694C7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3EA24A" w:tentative="1">
      <w:start w:val="1"/>
      <w:numFmt w:val="lowerLetter"/>
      <w:lvlText w:val="%2."/>
      <w:lvlJc w:val="left"/>
      <w:pPr>
        <w:ind w:left="1440" w:hanging="360"/>
      </w:pPr>
    </w:lvl>
    <w:lvl w:ilvl="2" w:tplc="70002C50" w:tentative="1">
      <w:start w:val="1"/>
      <w:numFmt w:val="lowerRoman"/>
      <w:lvlText w:val="%3."/>
      <w:lvlJc w:val="right"/>
      <w:pPr>
        <w:ind w:left="2160" w:hanging="180"/>
      </w:pPr>
    </w:lvl>
    <w:lvl w:ilvl="3" w:tplc="7C5AED52" w:tentative="1">
      <w:start w:val="1"/>
      <w:numFmt w:val="decimal"/>
      <w:lvlText w:val="%4."/>
      <w:lvlJc w:val="left"/>
      <w:pPr>
        <w:ind w:left="2880" w:hanging="360"/>
      </w:pPr>
    </w:lvl>
    <w:lvl w:ilvl="4" w:tplc="1436BAE0" w:tentative="1">
      <w:start w:val="1"/>
      <w:numFmt w:val="lowerLetter"/>
      <w:lvlText w:val="%5."/>
      <w:lvlJc w:val="left"/>
      <w:pPr>
        <w:ind w:left="3600" w:hanging="360"/>
      </w:pPr>
    </w:lvl>
    <w:lvl w:ilvl="5" w:tplc="CABE5F7E" w:tentative="1">
      <w:start w:val="1"/>
      <w:numFmt w:val="lowerRoman"/>
      <w:lvlText w:val="%6."/>
      <w:lvlJc w:val="right"/>
      <w:pPr>
        <w:ind w:left="4320" w:hanging="180"/>
      </w:pPr>
    </w:lvl>
    <w:lvl w:ilvl="6" w:tplc="C0D43206" w:tentative="1">
      <w:start w:val="1"/>
      <w:numFmt w:val="decimal"/>
      <w:lvlText w:val="%7."/>
      <w:lvlJc w:val="left"/>
      <w:pPr>
        <w:ind w:left="5040" w:hanging="360"/>
      </w:pPr>
    </w:lvl>
    <w:lvl w:ilvl="7" w:tplc="8D72ED16" w:tentative="1">
      <w:start w:val="1"/>
      <w:numFmt w:val="lowerLetter"/>
      <w:lvlText w:val="%8."/>
      <w:lvlJc w:val="left"/>
      <w:pPr>
        <w:ind w:left="5760" w:hanging="360"/>
      </w:pPr>
    </w:lvl>
    <w:lvl w:ilvl="8" w:tplc="24BA6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10510"/>
    <w:multiLevelType w:val="hybridMultilevel"/>
    <w:tmpl w:val="0BE8FE34"/>
    <w:lvl w:ilvl="0" w:tplc="FDAEA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CD0C41"/>
    <w:multiLevelType w:val="hybridMultilevel"/>
    <w:tmpl w:val="69D48B74"/>
    <w:lvl w:ilvl="0" w:tplc="BA3073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6A44A6"/>
    <w:multiLevelType w:val="multilevel"/>
    <w:tmpl w:val="BC22DA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3D12F0"/>
    <w:multiLevelType w:val="hybridMultilevel"/>
    <w:tmpl w:val="468019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935436"/>
    <w:multiLevelType w:val="hybridMultilevel"/>
    <w:tmpl w:val="CD9C90F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913057"/>
    <w:multiLevelType w:val="hybridMultilevel"/>
    <w:tmpl w:val="6924F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36"/>
  </w:num>
  <w:num w:numId="4">
    <w:abstractNumId w:val="14"/>
  </w:num>
  <w:num w:numId="5">
    <w:abstractNumId w:val="30"/>
  </w:num>
  <w:num w:numId="6">
    <w:abstractNumId w:val="4"/>
  </w:num>
  <w:num w:numId="7">
    <w:abstractNumId w:val="1"/>
  </w:num>
  <w:num w:numId="8">
    <w:abstractNumId w:val="32"/>
  </w:num>
  <w:num w:numId="9">
    <w:abstractNumId w:val="31"/>
  </w:num>
  <w:num w:numId="10">
    <w:abstractNumId w:val="24"/>
  </w:num>
  <w:num w:numId="11">
    <w:abstractNumId w:val="37"/>
  </w:num>
  <w:num w:numId="12">
    <w:abstractNumId w:val="34"/>
  </w:num>
  <w:num w:numId="13">
    <w:abstractNumId w:val="16"/>
  </w:num>
  <w:num w:numId="14">
    <w:abstractNumId w:val="0"/>
  </w:num>
  <w:num w:numId="15">
    <w:abstractNumId w:val="25"/>
  </w:num>
  <w:num w:numId="16">
    <w:abstractNumId w:val="39"/>
  </w:num>
  <w:num w:numId="17">
    <w:abstractNumId w:val="7"/>
  </w:num>
  <w:num w:numId="18">
    <w:abstractNumId w:val="13"/>
  </w:num>
  <w:num w:numId="19">
    <w:abstractNumId w:val="12"/>
  </w:num>
  <w:num w:numId="20">
    <w:abstractNumId w:val="6"/>
  </w:num>
  <w:num w:numId="21">
    <w:abstractNumId w:val="22"/>
  </w:num>
  <w:num w:numId="22">
    <w:abstractNumId w:val="8"/>
  </w:num>
  <w:num w:numId="23">
    <w:abstractNumId w:val="21"/>
  </w:num>
  <w:num w:numId="24">
    <w:abstractNumId w:val="11"/>
  </w:num>
  <w:num w:numId="25">
    <w:abstractNumId w:val="2"/>
  </w:num>
  <w:num w:numId="26">
    <w:abstractNumId w:val="26"/>
  </w:num>
  <w:num w:numId="27">
    <w:abstractNumId w:val="20"/>
  </w:num>
  <w:num w:numId="28">
    <w:abstractNumId w:val="17"/>
  </w:num>
  <w:num w:numId="29">
    <w:abstractNumId w:val="33"/>
  </w:num>
  <w:num w:numId="30">
    <w:abstractNumId w:val="3"/>
  </w:num>
  <w:num w:numId="31">
    <w:abstractNumId w:val="38"/>
  </w:num>
  <w:num w:numId="32">
    <w:abstractNumId w:val="5"/>
  </w:num>
  <w:num w:numId="33">
    <w:abstractNumId w:val="29"/>
  </w:num>
  <w:num w:numId="34">
    <w:abstractNumId w:val="9"/>
  </w:num>
  <w:num w:numId="35">
    <w:abstractNumId w:val="35"/>
  </w:num>
  <w:num w:numId="36">
    <w:abstractNumId w:val="15"/>
  </w:num>
  <w:num w:numId="37">
    <w:abstractNumId w:val="19"/>
  </w:num>
  <w:num w:numId="38">
    <w:abstractNumId w:val="28"/>
  </w:num>
  <w:num w:numId="39">
    <w:abstractNumId w:val="28"/>
  </w:num>
  <w:num w:numId="40">
    <w:abstractNumId w:val="28"/>
  </w:num>
  <w:num w:numId="41">
    <w:abstractNumId w:val="2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23C0"/>
    <w:rsid w:val="00006AE2"/>
    <w:rsid w:val="000076A1"/>
    <w:rsid w:val="00011736"/>
    <w:rsid w:val="00012259"/>
    <w:rsid w:val="0001510D"/>
    <w:rsid w:val="0001649F"/>
    <w:rsid w:val="00025383"/>
    <w:rsid w:val="00026123"/>
    <w:rsid w:val="000268ED"/>
    <w:rsid w:val="000338D2"/>
    <w:rsid w:val="00034D56"/>
    <w:rsid w:val="000546A7"/>
    <w:rsid w:val="00056CB5"/>
    <w:rsid w:val="00057607"/>
    <w:rsid w:val="00063657"/>
    <w:rsid w:val="00076680"/>
    <w:rsid w:val="0008073E"/>
    <w:rsid w:val="00081CD0"/>
    <w:rsid w:val="0008223D"/>
    <w:rsid w:val="00082E07"/>
    <w:rsid w:val="00091CDB"/>
    <w:rsid w:val="00096B76"/>
    <w:rsid w:val="000A19AC"/>
    <w:rsid w:val="000C5C5F"/>
    <w:rsid w:val="000D26F8"/>
    <w:rsid w:val="000F51B8"/>
    <w:rsid w:val="000F5CF4"/>
    <w:rsid w:val="00111073"/>
    <w:rsid w:val="00114515"/>
    <w:rsid w:val="001405C6"/>
    <w:rsid w:val="00140C3B"/>
    <w:rsid w:val="00141013"/>
    <w:rsid w:val="00144E31"/>
    <w:rsid w:val="001515A4"/>
    <w:rsid w:val="001741AB"/>
    <w:rsid w:val="00181212"/>
    <w:rsid w:val="00181D56"/>
    <w:rsid w:val="00186E12"/>
    <w:rsid w:val="00192CBF"/>
    <w:rsid w:val="00192FF1"/>
    <w:rsid w:val="001A31FA"/>
    <w:rsid w:val="001A321D"/>
    <w:rsid w:val="001A5740"/>
    <w:rsid w:val="001A5F1B"/>
    <w:rsid w:val="001B050A"/>
    <w:rsid w:val="001B1C22"/>
    <w:rsid w:val="001B31FD"/>
    <w:rsid w:val="001B34C6"/>
    <w:rsid w:val="001B786D"/>
    <w:rsid w:val="001C012D"/>
    <w:rsid w:val="001C0A5F"/>
    <w:rsid w:val="001C2786"/>
    <w:rsid w:val="001C4B98"/>
    <w:rsid w:val="001C595C"/>
    <w:rsid w:val="001C716C"/>
    <w:rsid w:val="001D5BE2"/>
    <w:rsid w:val="001D7832"/>
    <w:rsid w:val="001E12EB"/>
    <w:rsid w:val="001F2336"/>
    <w:rsid w:val="001F4711"/>
    <w:rsid w:val="00203645"/>
    <w:rsid w:val="00211D34"/>
    <w:rsid w:val="00214F04"/>
    <w:rsid w:val="002313CE"/>
    <w:rsid w:val="00242422"/>
    <w:rsid w:val="00262A54"/>
    <w:rsid w:val="0026402C"/>
    <w:rsid w:val="00266CD6"/>
    <w:rsid w:val="00267903"/>
    <w:rsid w:val="00271964"/>
    <w:rsid w:val="00273BDE"/>
    <w:rsid w:val="00275DAB"/>
    <w:rsid w:val="00287F6A"/>
    <w:rsid w:val="00292837"/>
    <w:rsid w:val="002A6CB6"/>
    <w:rsid w:val="002B06E1"/>
    <w:rsid w:val="002B11E2"/>
    <w:rsid w:val="002B24B8"/>
    <w:rsid w:val="002C4AB9"/>
    <w:rsid w:val="002D31E6"/>
    <w:rsid w:val="002D3AE9"/>
    <w:rsid w:val="002D4510"/>
    <w:rsid w:val="002D5817"/>
    <w:rsid w:val="002D5981"/>
    <w:rsid w:val="002E7680"/>
    <w:rsid w:val="002F0734"/>
    <w:rsid w:val="002F46E7"/>
    <w:rsid w:val="00301BE4"/>
    <w:rsid w:val="00307A90"/>
    <w:rsid w:val="003101DA"/>
    <w:rsid w:val="003128AA"/>
    <w:rsid w:val="00314757"/>
    <w:rsid w:val="003157AD"/>
    <w:rsid w:val="003211CE"/>
    <w:rsid w:val="0033014A"/>
    <w:rsid w:val="00331274"/>
    <w:rsid w:val="00341606"/>
    <w:rsid w:val="0035120D"/>
    <w:rsid w:val="0035403A"/>
    <w:rsid w:val="00357E25"/>
    <w:rsid w:val="0036394B"/>
    <w:rsid w:val="003709B5"/>
    <w:rsid w:val="003759C2"/>
    <w:rsid w:val="003759E1"/>
    <w:rsid w:val="00397365"/>
    <w:rsid w:val="003A24E1"/>
    <w:rsid w:val="003A31F6"/>
    <w:rsid w:val="003B720B"/>
    <w:rsid w:val="003C3447"/>
    <w:rsid w:val="003C64D9"/>
    <w:rsid w:val="003D076C"/>
    <w:rsid w:val="003D3983"/>
    <w:rsid w:val="003E18FC"/>
    <w:rsid w:val="003F34D1"/>
    <w:rsid w:val="003F484B"/>
    <w:rsid w:val="004057A2"/>
    <w:rsid w:val="0041336D"/>
    <w:rsid w:val="00414EE1"/>
    <w:rsid w:val="00415BAB"/>
    <w:rsid w:val="00415ED2"/>
    <w:rsid w:val="0042068C"/>
    <w:rsid w:val="00426FE8"/>
    <w:rsid w:val="00442922"/>
    <w:rsid w:val="00442C25"/>
    <w:rsid w:val="00443436"/>
    <w:rsid w:val="004458C1"/>
    <w:rsid w:val="00460CAB"/>
    <w:rsid w:val="00460CEC"/>
    <w:rsid w:val="0047122B"/>
    <w:rsid w:val="00473B7A"/>
    <w:rsid w:val="00493199"/>
    <w:rsid w:val="004960E9"/>
    <w:rsid w:val="004A0D3D"/>
    <w:rsid w:val="004A2E88"/>
    <w:rsid w:val="004A5305"/>
    <w:rsid w:val="004A5429"/>
    <w:rsid w:val="004B14FD"/>
    <w:rsid w:val="004B4EDE"/>
    <w:rsid w:val="004D6B4A"/>
    <w:rsid w:val="004D7634"/>
    <w:rsid w:val="004E0699"/>
    <w:rsid w:val="004F1B4F"/>
    <w:rsid w:val="00503872"/>
    <w:rsid w:val="00515D0C"/>
    <w:rsid w:val="005219DE"/>
    <w:rsid w:val="0052782B"/>
    <w:rsid w:val="005300D3"/>
    <w:rsid w:val="00537EEA"/>
    <w:rsid w:val="00544F82"/>
    <w:rsid w:val="0056271E"/>
    <w:rsid w:val="0056521F"/>
    <w:rsid w:val="005664D0"/>
    <w:rsid w:val="00587027"/>
    <w:rsid w:val="00587B95"/>
    <w:rsid w:val="00593C4F"/>
    <w:rsid w:val="005946A8"/>
    <w:rsid w:val="005A085E"/>
    <w:rsid w:val="005A4407"/>
    <w:rsid w:val="005A59EF"/>
    <w:rsid w:val="005A5B52"/>
    <w:rsid w:val="005B6C10"/>
    <w:rsid w:val="005D6960"/>
    <w:rsid w:val="005E3977"/>
    <w:rsid w:val="0060182B"/>
    <w:rsid w:val="00625DC6"/>
    <w:rsid w:val="00632BD5"/>
    <w:rsid w:val="00636275"/>
    <w:rsid w:val="006473BF"/>
    <w:rsid w:val="00651821"/>
    <w:rsid w:val="00654384"/>
    <w:rsid w:val="00655509"/>
    <w:rsid w:val="0066016F"/>
    <w:rsid w:val="006675CD"/>
    <w:rsid w:val="00682705"/>
    <w:rsid w:val="00684D9B"/>
    <w:rsid w:val="006917C3"/>
    <w:rsid w:val="00695124"/>
    <w:rsid w:val="00696291"/>
    <w:rsid w:val="00697556"/>
    <w:rsid w:val="006B4C2B"/>
    <w:rsid w:val="006B6D47"/>
    <w:rsid w:val="006E1DFA"/>
    <w:rsid w:val="006E350F"/>
    <w:rsid w:val="006E3F10"/>
    <w:rsid w:val="006F6D95"/>
    <w:rsid w:val="00705988"/>
    <w:rsid w:val="00706492"/>
    <w:rsid w:val="00706F13"/>
    <w:rsid w:val="007072E8"/>
    <w:rsid w:val="00715E1F"/>
    <w:rsid w:val="0071618D"/>
    <w:rsid w:val="00723D6F"/>
    <w:rsid w:val="00725FA4"/>
    <w:rsid w:val="007369FB"/>
    <w:rsid w:val="00740446"/>
    <w:rsid w:val="007438A9"/>
    <w:rsid w:val="0074491E"/>
    <w:rsid w:val="00752D63"/>
    <w:rsid w:val="00754586"/>
    <w:rsid w:val="00770AF1"/>
    <w:rsid w:val="00775964"/>
    <w:rsid w:val="00790654"/>
    <w:rsid w:val="00793167"/>
    <w:rsid w:val="00793BD9"/>
    <w:rsid w:val="00795BFB"/>
    <w:rsid w:val="007A125B"/>
    <w:rsid w:val="007B2760"/>
    <w:rsid w:val="007B4115"/>
    <w:rsid w:val="007C747F"/>
    <w:rsid w:val="007F24A6"/>
    <w:rsid w:val="00806C01"/>
    <w:rsid w:val="008148CC"/>
    <w:rsid w:val="008211A4"/>
    <w:rsid w:val="00821D1C"/>
    <w:rsid w:val="008539A4"/>
    <w:rsid w:val="008557DD"/>
    <w:rsid w:val="00864706"/>
    <w:rsid w:val="00870243"/>
    <w:rsid w:val="00873150"/>
    <w:rsid w:val="0087657D"/>
    <w:rsid w:val="008807D5"/>
    <w:rsid w:val="00880832"/>
    <w:rsid w:val="00881394"/>
    <w:rsid w:val="0088449F"/>
    <w:rsid w:val="00886EE1"/>
    <w:rsid w:val="0088727D"/>
    <w:rsid w:val="00897C75"/>
    <w:rsid w:val="008A504A"/>
    <w:rsid w:val="008B4755"/>
    <w:rsid w:val="008C1130"/>
    <w:rsid w:val="008C6D82"/>
    <w:rsid w:val="008D18E6"/>
    <w:rsid w:val="008D7A9B"/>
    <w:rsid w:val="008E16C7"/>
    <w:rsid w:val="008E76AC"/>
    <w:rsid w:val="008F21F6"/>
    <w:rsid w:val="00914C88"/>
    <w:rsid w:val="0092072D"/>
    <w:rsid w:val="00923222"/>
    <w:rsid w:val="00923E93"/>
    <w:rsid w:val="00944386"/>
    <w:rsid w:val="00946EA6"/>
    <w:rsid w:val="00947B4C"/>
    <w:rsid w:val="00951F79"/>
    <w:rsid w:val="009636A0"/>
    <w:rsid w:val="00973F32"/>
    <w:rsid w:val="00974AB5"/>
    <w:rsid w:val="0098706D"/>
    <w:rsid w:val="009935FB"/>
    <w:rsid w:val="009A486A"/>
    <w:rsid w:val="009B598F"/>
    <w:rsid w:val="009F4A54"/>
    <w:rsid w:val="009F4BEC"/>
    <w:rsid w:val="00A0702F"/>
    <w:rsid w:val="00A25FD7"/>
    <w:rsid w:val="00A330A1"/>
    <w:rsid w:val="00A43AFF"/>
    <w:rsid w:val="00A46170"/>
    <w:rsid w:val="00A56FCB"/>
    <w:rsid w:val="00A615B9"/>
    <w:rsid w:val="00A7793A"/>
    <w:rsid w:val="00A81A9C"/>
    <w:rsid w:val="00A822B0"/>
    <w:rsid w:val="00A86372"/>
    <w:rsid w:val="00A875E8"/>
    <w:rsid w:val="00A91759"/>
    <w:rsid w:val="00AB6CA7"/>
    <w:rsid w:val="00AC0486"/>
    <w:rsid w:val="00AC457A"/>
    <w:rsid w:val="00AD01E4"/>
    <w:rsid w:val="00AD05AF"/>
    <w:rsid w:val="00AD0858"/>
    <w:rsid w:val="00AD300C"/>
    <w:rsid w:val="00AD409C"/>
    <w:rsid w:val="00AD6EAC"/>
    <w:rsid w:val="00AE45B1"/>
    <w:rsid w:val="00AE7340"/>
    <w:rsid w:val="00AF1619"/>
    <w:rsid w:val="00AF1BBD"/>
    <w:rsid w:val="00AF2E14"/>
    <w:rsid w:val="00B10207"/>
    <w:rsid w:val="00B136E1"/>
    <w:rsid w:val="00B141E7"/>
    <w:rsid w:val="00B1677B"/>
    <w:rsid w:val="00B32AA1"/>
    <w:rsid w:val="00B351B4"/>
    <w:rsid w:val="00B44AA0"/>
    <w:rsid w:val="00B455AA"/>
    <w:rsid w:val="00B46BCA"/>
    <w:rsid w:val="00B50C5C"/>
    <w:rsid w:val="00B603BA"/>
    <w:rsid w:val="00B6222B"/>
    <w:rsid w:val="00B73D3F"/>
    <w:rsid w:val="00B752F3"/>
    <w:rsid w:val="00B87806"/>
    <w:rsid w:val="00B87EC9"/>
    <w:rsid w:val="00BA5645"/>
    <w:rsid w:val="00BC38FD"/>
    <w:rsid w:val="00BC7206"/>
    <w:rsid w:val="00BD5F0E"/>
    <w:rsid w:val="00BE6A0B"/>
    <w:rsid w:val="00C034CB"/>
    <w:rsid w:val="00C051A8"/>
    <w:rsid w:val="00C054BC"/>
    <w:rsid w:val="00C06885"/>
    <w:rsid w:val="00C139D8"/>
    <w:rsid w:val="00C17897"/>
    <w:rsid w:val="00C22CB8"/>
    <w:rsid w:val="00C339A5"/>
    <w:rsid w:val="00C3580D"/>
    <w:rsid w:val="00C40913"/>
    <w:rsid w:val="00C409D5"/>
    <w:rsid w:val="00C40BD4"/>
    <w:rsid w:val="00C41E16"/>
    <w:rsid w:val="00C435C3"/>
    <w:rsid w:val="00C45F4D"/>
    <w:rsid w:val="00C47681"/>
    <w:rsid w:val="00C6234B"/>
    <w:rsid w:val="00C63EAE"/>
    <w:rsid w:val="00C6774A"/>
    <w:rsid w:val="00C72F8C"/>
    <w:rsid w:val="00C7629F"/>
    <w:rsid w:val="00C8661B"/>
    <w:rsid w:val="00C870A8"/>
    <w:rsid w:val="00C93D89"/>
    <w:rsid w:val="00CA139A"/>
    <w:rsid w:val="00CA2899"/>
    <w:rsid w:val="00CA77FB"/>
    <w:rsid w:val="00CB379B"/>
    <w:rsid w:val="00CB5DD0"/>
    <w:rsid w:val="00CC51D4"/>
    <w:rsid w:val="00CC65DA"/>
    <w:rsid w:val="00CE0CE8"/>
    <w:rsid w:val="00CE359C"/>
    <w:rsid w:val="00CF21B9"/>
    <w:rsid w:val="00CF3206"/>
    <w:rsid w:val="00CF473C"/>
    <w:rsid w:val="00CF6BF9"/>
    <w:rsid w:val="00D03800"/>
    <w:rsid w:val="00D0580E"/>
    <w:rsid w:val="00D065D3"/>
    <w:rsid w:val="00D134C3"/>
    <w:rsid w:val="00D14C94"/>
    <w:rsid w:val="00D16A43"/>
    <w:rsid w:val="00D22209"/>
    <w:rsid w:val="00D33596"/>
    <w:rsid w:val="00D342A6"/>
    <w:rsid w:val="00D435C9"/>
    <w:rsid w:val="00D464BF"/>
    <w:rsid w:val="00D53E26"/>
    <w:rsid w:val="00D600DA"/>
    <w:rsid w:val="00D6751F"/>
    <w:rsid w:val="00D75423"/>
    <w:rsid w:val="00D96C3C"/>
    <w:rsid w:val="00DA7979"/>
    <w:rsid w:val="00DC1680"/>
    <w:rsid w:val="00DD4F0E"/>
    <w:rsid w:val="00DD4F40"/>
    <w:rsid w:val="00DE0D54"/>
    <w:rsid w:val="00DE1899"/>
    <w:rsid w:val="00DE64EC"/>
    <w:rsid w:val="00E05E0A"/>
    <w:rsid w:val="00E076BC"/>
    <w:rsid w:val="00E534CF"/>
    <w:rsid w:val="00E611E4"/>
    <w:rsid w:val="00E75E7C"/>
    <w:rsid w:val="00E81CB4"/>
    <w:rsid w:val="00E84524"/>
    <w:rsid w:val="00E8585B"/>
    <w:rsid w:val="00E87B67"/>
    <w:rsid w:val="00EA2F9C"/>
    <w:rsid w:val="00EA3F15"/>
    <w:rsid w:val="00EA7847"/>
    <w:rsid w:val="00ED5DD2"/>
    <w:rsid w:val="00ED7CE9"/>
    <w:rsid w:val="00EE0548"/>
    <w:rsid w:val="00EE1731"/>
    <w:rsid w:val="00EE2E6E"/>
    <w:rsid w:val="00EE5DC8"/>
    <w:rsid w:val="00EF54B4"/>
    <w:rsid w:val="00F03465"/>
    <w:rsid w:val="00F05204"/>
    <w:rsid w:val="00F0759E"/>
    <w:rsid w:val="00F07F9C"/>
    <w:rsid w:val="00F10D8D"/>
    <w:rsid w:val="00F12077"/>
    <w:rsid w:val="00F23C04"/>
    <w:rsid w:val="00F30E25"/>
    <w:rsid w:val="00F32E81"/>
    <w:rsid w:val="00F42630"/>
    <w:rsid w:val="00F4595E"/>
    <w:rsid w:val="00F56CCC"/>
    <w:rsid w:val="00F67FF9"/>
    <w:rsid w:val="00F716CE"/>
    <w:rsid w:val="00F72831"/>
    <w:rsid w:val="00F821A3"/>
    <w:rsid w:val="00F91FAD"/>
    <w:rsid w:val="00F9314A"/>
    <w:rsid w:val="00FB01C3"/>
    <w:rsid w:val="00FB3263"/>
    <w:rsid w:val="00FC4986"/>
    <w:rsid w:val="00FC4DA4"/>
    <w:rsid w:val="00FC58EF"/>
    <w:rsid w:val="00FC7BC7"/>
    <w:rsid w:val="00FD33DF"/>
    <w:rsid w:val="00FD5084"/>
    <w:rsid w:val="00FE39D7"/>
    <w:rsid w:val="00FE5AC4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25"/>
    <w:pPr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473BF"/>
    <w:pPr>
      <w:keepNext/>
      <w:numPr>
        <w:numId w:val="37"/>
      </w:numPr>
      <w:outlineLvl w:val="0"/>
    </w:pPr>
    <w:rPr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22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basedOn w:val="Fuentedeprrafopredete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basedOn w:val="Fuentedeprrafopredete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rsid w:val="00D03800"/>
    <w:pPr>
      <w:tabs>
        <w:tab w:val="left" w:pos="480"/>
        <w:tab w:val="right" w:leader="dot" w:pos="8828"/>
      </w:tabs>
      <w:spacing w:before="120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A822B0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822B0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22B0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822B0"/>
    <w:rPr>
      <w:vertAlign w:val="superscript"/>
    </w:rPr>
  </w:style>
  <w:style w:type="paragraph" w:customStyle="1" w:styleId="xl27">
    <w:name w:val="xl27"/>
    <w:basedOn w:val="Normal"/>
    <w:rsid w:val="00A822B0"/>
    <w:pPr>
      <w:autoSpaceDE w:val="0"/>
      <w:autoSpaceDN w:val="0"/>
      <w:adjustRightInd w:val="0"/>
      <w:spacing w:before="100" w:beforeAutospacing="1" w:after="100" w:afterAutospacing="1"/>
      <w:ind w:left="708"/>
    </w:pPr>
    <w:rPr>
      <w:rFonts w:eastAsia="Arial Unicode MS" w:cs="Arial"/>
      <w:position w:val="-12"/>
    </w:rPr>
  </w:style>
  <w:style w:type="paragraph" w:customStyle="1" w:styleId="Textodenotaalfinal">
    <w:name w:val="Texto de nota al final"/>
    <w:basedOn w:val="Normal"/>
    <w:rsid w:val="00A822B0"/>
    <w:pPr>
      <w:widowControl w:val="0"/>
    </w:pPr>
    <w:rPr>
      <w:rFonts w:ascii="Courier New" w:hAnsi="Courier New"/>
      <w:sz w:val="20"/>
      <w:szCs w:val="20"/>
      <w:lang w:val="es-ES_tradnl"/>
    </w:rPr>
  </w:style>
  <w:style w:type="paragraph" w:customStyle="1" w:styleId="Artculo">
    <w:name w:val="Artículo"/>
    <w:basedOn w:val="Normal"/>
    <w:link w:val="ArtculoCar"/>
    <w:autoRedefine/>
    <w:qFormat/>
    <w:rsid w:val="00A46170"/>
    <w:pPr>
      <w:numPr>
        <w:numId w:val="38"/>
      </w:numPr>
      <w:tabs>
        <w:tab w:val="left" w:pos="1701"/>
      </w:tabs>
      <w:ind w:left="0" w:firstLine="0"/>
    </w:pPr>
    <w:rPr>
      <w:rFonts w:cs="Arial"/>
    </w:rPr>
  </w:style>
  <w:style w:type="character" w:customStyle="1" w:styleId="ArtculoCar">
    <w:name w:val="Artículo Car"/>
    <w:link w:val="Artculo"/>
    <w:rsid w:val="00A46170"/>
    <w:rPr>
      <w:rFonts w:ascii="Bookman Old Style" w:hAnsi="Bookman Old Style" w:cs="Arial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E1731"/>
    <w:rPr>
      <w:color w:val="808080"/>
    </w:rPr>
  </w:style>
  <w:style w:type="paragraph" w:customStyle="1" w:styleId="Textoindependiente21">
    <w:name w:val="Texto independiente 21"/>
    <w:basedOn w:val="Normal"/>
    <w:rsid w:val="00FD5084"/>
    <w:pPr>
      <w:widowControl w:val="0"/>
      <w:tabs>
        <w:tab w:val="left" w:pos="3420"/>
      </w:tabs>
    </w:pPr>
    <w:rPr>
      <w:rFonts w:ascii="Arial" w:hAnsi="Arial"/>
      <w:sz w:val="20"/>
      <w:szCs w:val="20"/>
      <w:lang w:val="es-CO"/>
    </w:rPr>
  </w:style>
  <w:style w:type="paragraph" w:styleId="Revisin">
    <w:name w:val="Revision"/>
    <w:hidden/>
    <w:uiPriority w:val="99"/>
    <w:semiHidden/>
    <w:rsid w:val="002C4AB9"/>
    <w:rPr>
      <w:rFonts w:ascii="Bookman Old Style" w:hAnsi="Bookman Old Style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25"/>
    <w:pPr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473BF"/>
    <w:pPr>
      <w:keepNext/>
      <w:numPr>
        <w:numId w:val="37"/>
      </w:numPr>
      <w:outlineLvl w:val="0"/>
    </w:pPr>
    <w:rPr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22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basedOn w:val="Fuentedeprrafopredete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basedOn w:val="Fuentedeprrafopredete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rsid w:val="00D03800"/>
    <w:pPr>
      <w:tabs>
        <w:tab w:val="left" w:pos="480"/>
        <w:tab w:val="right" w:leader="dot" w:pos="8828"/>
      </w:tabs>
      <w:spacing w:before="120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A822B0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822B0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22B0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822B0"/>
    <w:rPr>
      <w:vertAlign w:val="superscript"/>
    </w:rPr>
  </w:style>
  <w:style w:type="paragraph" w:customStyle="1" w:styleId="xl27">
    <w:name w:val="xl27"/>
    <w:basedOn w:val="Normal"/>
    <w:rsid w:val="00A822B0"/>
    <w:pPr>
      <w:autoSpaceDE w:val="0"/>
      <w:autoSpaceDN w:val="0"/>
      <w:adjustRightInd w:val="0"/>
      <w:spacing w:before="100" w:beforeAutospacing="1" w:after="100" w:afterAutospacing="1"/>
      <w:ind w:left="708"/>
    </w:pPr>
    <w:rPr>
      <w:rFonts w:eastAsia="Arial Unicode MS" w:cs="Arial"/>
      <w:position w:val="-12"/>
    </w:rPr>
  </w:style>
  <w:style w:type="paragraph" w:customStyle="1" w:styleId="Textodenotaalfinal">
    <w:name w:val="Texto de nota al final"/>
    <w:basedOn w:val="Normal"/>
    <w:rsid w:val="00A822B0"/>
    <w:pPr>
      <w:widowControl w:val="0"/>
    </w:pPr>
    <w:rPr>
      <w:rFonts w:ascii="Courier New" w:hAnsi="Courier New"/>
      <w:sz w:val="20"/>
      <w:szCs w:val="20"/>
      <w:lang w:val="es-ES_tradnl"/>
    </w:rPr>
  </w:style>
  <w:style w:type="paragraph" w:customStyle="1" w:styleId="Artculo">
    <w:name w:val="Artículo"/>
    <w:basedOn w:val="Normal"/>
    <w:link w:val="ArtculoCar"/>
    <w:autoRedefine/>
    <w:qFormat/>
    <w:rsid w:val="00A46170"/>
    <w:pPr>
      <w:numPr>
        <w:numId w:val="38"/>
      </w:numPr>
      <w:tabs>
        <w:tab w:val="left" w:pos="1701"/>
      </w:tabs>
      <w:ind w:left="0" w:firstLine="0"/>
    </w:pPr>
    <w:rPr>
      <w:rFonts w:cs="Arial"/>
    </w:rPr>
  </w:style>
  <w:style w:type="character" w:customStyle="1" w:styleId="ArtculoCar">
    <w:name w:val="Artículo Car"/>
    <w:link w:val="Artculo"/>
    <w:rsid w:val="00A46170"/>
    <w:rPr>
      <w:rFonts w:ascii="Bookman Old Style" w:hAnsi="Bookman Old Style" w:cs="Arial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E1731"/>
    <w:rPr>
      <w:color w:val="808080"/>
    </w:rPr>
  </w:style>
  <w:style w:type="paragraph" w:customStyle="1" w:styleId="Textoindependiente21">
    <w:name w:val="Texto independiente 21"/>
    <w:basedOn w:val="Normal"/>
    <w:rsid w:val="00FD5084"/>
    <w:pPr>
      <w:widowControl w:val="0"/>
      <w:tabs>
        <w:tab w:val="left" w:pos="3420"/>
      </w:tabs>
    </w:pPr>
    <w:rPr>
      <w:rFonts w:ascii="Arial" w:hAnsi="Arial"/>
      <w:sz w:val="20"/>
      <w:szCs w:val="20"/>
      <w:lang w:val="es-CO"/>
    </w:rPr>
  </w:style>
  <w:style w:type="paragraph" w:styleId="Revisin">
    <w:name w:val="Revision"/>
    <w:hidden/>
    <w:uiPriority w:val="99"/>
    <w:semiHidden/>
    <w:rsid w:val="002C4AB9"/>
    <w:rPr>
      <w:rFonts w:ascii="Bookman Old Style" w:hAnsi="Bookman Old Style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BEB78-2431-4113-B5E8-1EE65CB1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1</TotalTime>
  <Pages>14</Pages>
  <Words>4646</Words>
  <Characters>25554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30140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2013-08-22T22:17:00Z</cp:lastPrinted>
  <dcterms:created xsi:type="dcterms:W3CDTF">2013-09-03T20:49:00Z</dcterms:created>
  <dcterms:modified xsi:type="dcterms:W3CDTF">2013-09-03T20:49:00Z</dcterms:modified>
</cp:coreProperties>
</file>