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B2C6F" w14:textId="31BA1A7D" w:rsidR="00182AB0" w:rsidRPr="00A96759" w:rsidRDefault="00B9519B" w:rsidP="00FD3852">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3CBF9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8pt;margin-top:-58.6pt;width:52.5pt;height:48.75pt;z-index:251658240" fillcolor="#0c9">
            <v:imagedata r:id="rId8" o:title=""/>
          </v:shape>
          <o:OLEObject Type="Embed" ProgID="PBrush" ShapeID="_x0000_s1026" DrawAspect="Content" ObjectID="_1670919431" r:id="rId9"/>
        </w:object>
      </w:r>
    </w:p>
    <w:p w14:paraId="45E4607C" w14:textId="77777777" w:rsidR="00182AB0" w:rsidRPr="00A96759" w:rsidRDefault="00182AB0" w:rsidP="00182AB0">
      <w:pPr>
        <w:pStyle w:val="Ttulo4"/>
        <w:tabs>
          <w:tab w:val="left" w:pos="0"/>
          <w:tab w:val="right" w:pos="9356"/>
        </w:tabs>
        <w:ind w:left="0"/>
        <w:rPr>
          <w:rFonts w:ascii="Bookman Old Style" w:hAnsi="Bookman Old Style"/>
          <w:b w:val="0"/>
          <w:bCs/>
          <w:noProof/>
          <w:sz w:val="24"/>
          <w:szCs w:val="24"/>
          <w:lang w:val="es-ES"/>
        </w:rPr>
      </w:pPr>
      <w:r w:rsidRPr="00A96759">
        <w:rPr>
          <w:rFonts w:ascii="Bookman Old Style" w:hAnsi="Bookman Old Style"/>
          <w:b w:val="0"/>
          <w:bCs/>
          <w:sz w:val="24"/>
          <w:szCs w:val="24"/>
        </w:rPr>
        <w:t>Ministerio de Minas y Energía</w:t>
      </w:r>
    </w:p>
    <w:p w14:paraId="65565DCB" w14:textId="77777777" w:rsidR="00182AB0" w:rsidRDefault="00182AB0" w:rsidP="00182AB0"/>
    <w:p w14:paraId="3D593267" w14:textId="77777777" w:rsidR="008E4804" w:rsidRDefault="008E4804" w:rsidP="00182AB0"/>
    <w:p w14:paraId="21EF6459" w14:textId="77777777" w:rsidR="00182AB0" w:rsidRPr="00A96759" w:rsidRDefault="00182AB0" w:rsidP="008E4804">
      <w:pPr>
        <w:pStyle w:val="Ttulo3"/>
        <w:tabs>
          <w:tab w:val="left" w:pos="0"/>
          <w:tab w:val="right" w:pos="9356"/>
        </w:tabs>
        <w:ind w:left="0"/>
        <w:rPr>
          <w:rFonts w:ascii="Bookman Old Style" w:hAnsi="Bookman Old Style" w:cs="Arial"/>
          <w:spacing w:val="20"/>
          <w:szCs w:val="24"/>
        </w:rPr>
      </w:pPr>
      <w:r w:rsidRPr="00A96759">
        <w:rPr>
          <w:rFonts w:ascii="Bookman Old Style" w:hAnsi="Bookman Old Style" w:cs="Arial"/>
          <w:spacing w:val="20"/>
          <w:szCs w:val="24"/>
        </w:rPr>
        <w:t>COMISIÓN DE REGULACIÓN DE ENERGÍA Y GAS</w:t>
      </w:r>
    </w:p>
    <w:p w14:paraId="77E97662" w14:textId="77777777" w:rsidR="00182AB0" w:rsidRDefault="00182AB0" w:rsidP="008E4804">
      <w:pPr>
        <w:rPr>
          <w:rFonts w:ascii="Bookman Old Style" w:hAnsi="Bookman Old Style"/>
          <w:lang w:val="es-ES_tradnl" w:eastAsia="x-none"/>
        </w:rPr>
      </w:pPr>
    </w:p>
    <w:p w14:paraId="526F7574" w14:textId="25C82AEC" w:rsidR="00182AB0" w:rsidRPr="00A96759" w:rsidRDefault="00754AD8" w:rsidP="008E4804">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 N</w:t>
      </w:r>
      <w:r w:rsidR="00724E99">
        <w:rPr>
          <w:rFonts w:ascii="Bookman Old Style" w:hAnsi="Bookman Old Style"/>
          <w:sz w:val="24"/>
          <w:szCs w:val="24"/>
        </w:rPr>
        <w:t>o.</w:t>
      </w:r>
      <w:r w:rsidR="00182AB0">
        <w:rPr>
          <w:rFonts w:ascii="Bookman Old Style" w:hAnsi="Bookman Old Style"/>
          <w:sz w:val="24"/>
          <w:szCs w:val="24"/>
        </w:rPr>
        <w:t xml:space="preserve"> </w:t>
      </w:r>
      <w:r w:rsidR="006E0EA9">
        <w:rPr>
          <w:rFonts w:ascii="Bookman Old Style" w:hAnsi="Bookman Old Style"/>
          <w:sz w:val="24"/>
          <w:szCs w:val="24"/>
        </w:rPr>
        <w:t>241</w:t>
      </w:r>
      <w:r w:rsidR="002F1450">
        <w:rPr>
          <w:rFonts w:ascii="Bookman Old Style" w:hAnsi="Bookman Old Style"/>
          <w:sz w:val="24"/>
          <w:szCs w:val="24"/>
        </w:rPr>
        <w:t xml:space="preserve"> </w:t>
      </w:r>
      <w:r w:rsidR="00182AB0">
        <w:rPr>
          <w:rFonts w:ascii="Bookman Old Style" w:hAnsi="Bookman Old Style"/>
          <w:sz w:val="24"/>
          <w:szCs w:val="24"/>
        </w:rPr>
        <w:t xml:space="preserve">    </w:t>
      </w:r>
      <w:r w:rsidR="00182AB0" w:rsidRPr="00A96759">
        <w:rPr>
          <w:rFonts w:ascii="Bookman Old Style" w:hAnsi="Bookman Old Style"/>
          <w:sz w:val="24"/>
          <w:szCs w:val="24"/>
        </w:rPr>
        <w:t>DE 20</w:t>
      </w:r>
      <w:r w:rsidR="00652489">
        <w:rPr>
          <w:rFonts w:ascii="Bookman Old Style" w:hAnsi="Bookman Old Style"/>
          <w:sz w:val="24"/>
          <w:szCs w:val="24"/>
        </w:rPr>
        <w:t>20</w:t>
      </w:r>
    </w:p>
    <w:p w14:paraId="18F9B3B1" w14:textId="77777777" w:rsidR="00182AB0" w:rsidRPr="00A96759" w:rsidRDefault="00182AB0" w:rsidP="008E4804">
      <w:pPr>
        <w:tabs>
          <w:tab w:val="left" w:pos="0"/>
          <w:tab w:val="right" w:pos="9356"/>
        </w:tabs>
        <w:ind w:left="0"/>
        <w:jc w:val="center"/>
        <w:rPr>
          <w:rFonts w:ascii="Bookman Old Style" w:hAnsi="Bookman Old Style" w:cs="Arial"/>
          <w:b/>
          <w:snapToGrid w:val="0"/>
          <w:color w:val="000000"/>
          <w:lang w:val="es-ES_tradnl"/>
        </w:rPr>
      </w:pPr>
    </w:p>
    <w:p w14:paraId="3E6F4AE4" w14:textId="66B77F37" w:rsidR="00182AB0" w:rsidRPr="00A96759" w:rsidRDefault="00182AB0" w:rsidP="008E4804">
      <w:pPr>
        <w:pStyle w:val="Ttulo3"/>
        <w:tabs>
          <w:tab w:val="left" w:pos="0"/>
          <w:tab w:val="right" w:pos="9356"/>
        </w:tabs>
        <w:ind w:left="0"/>
        <w:rPr>
          <w:rFonts w:ascii="Bookman Old Style" w:hAnsi="Bookman Old Style"/>
          <w:b w:val="0"/>
          <w:szCs w:val="24"/>
        </w:rPr>
      </w:pPr>
      <w:proofErr w:type="gramStart"/>
      <w:r w:rsidRPr="00A96759">
        <w:rPr>
          <w:rFonts w:ascii="Bookman Old Style" w:hAnsi="Bookman Old Style"/>
          <w:b w:val="0"/>
          <w:szCs w:val="24"/>
        </w:rPr>
        <w:t>(</w:t>
      </w:r>
      <w:r>
        <w:rPr>
          <w:rFonts w:ascii="Bookman Old Style" w:hAnsi="Bookman Old Style"/>
          <w:b w:val="0"/>
          <w:szCs w:val="24"/>
        </w:rPr>
        <w:t xml:space="preserve">  </w:t>
      </w:r>
      <w:r w:rsidR="006E0EA9">
        <w:rPr>
          <w:rFonts w:ascii="Bookman Old Style" w:hAnsi="Bookman Old Style"/>
          <w:b w:val="0"/>
          <w:szCs w:val="24"/>
        </w:rPr>
        <w:t>31</w:t>
      </w:r>
      <w:proofErr w:type="gramEnd"/>
      <w:r w:rsidR="006E0EA9">
        <w:rPr>
          <w:rFonts w:ascii="Bookman Old Style" w:hAnsi="Bookman Old Style"/>
          <w:b w:val="0"/>
          <w:szCs w:val="24"/>
        </w:rPr>
        <w:t xml:space="preserve"> DIC. 2020</w:t>
      </w:r>
      <w:r w:rsidR="00D65E78">
        <w:rPr>
          <w:rFonts w:ascii="Bookman Old Style" w:hAnsi="Bookman Old Style"/>
          <w:bCs/>
          <w:sz w:val="32"/>
          <w:szCs w:val="32"/>
        </w:rPr>
        <w:t xml:space="preserve">   </w:t>
      </w:r>
      <w:r w:rsidRPr="00A96759">
        <w:rPr>
          <w:rFonts w:ascii="Bookman Old Style" w:hAnsi="Bookman Old Style"/>
          <w:b w:val="0"/>
          <w:szCs w:val="24"/>
        </w:rPr>
        <w:t>)</w:t>
      </w:r>
    </w:p>
    <w:p w14:paraId="4E98F281" w14:textId="7227CB99" w:rsidR="00182AB0" w:rsidRDefault="00182AB0" w:rsidP="008E4804">
      <w:pPr>
        <w:tabs>
          <w:tab w:val="left" w:pos="0"/>
          <w:tab w:val="right" w:pos="9356"/>
        </w:tabs>
        <w:ind w:left="0"/>
        <w:jc w:val="center"/>
        <w:rPr>
          <w:rFonts w:ascii="Bookman Old Style" w:hAnsi="Bookman Old Style"/>
          <w:lang w:val="es-ES_tradnl"/>
        </w:rPr>
      </w:pPr>
    </w:p>
    <w:p w14:paraId="731FA872" w14:textId="51A385A6" w:rsidR="00182AB0" w:rsidRDefault="00D36671" w:rsidP="00182AB0">
      <w:pPr>
        <w:ind w:left="0"/>
        <w:jc w:val="center"/>
        <w:rPr>
          <w:rFonts w:ascii="Bookman Old Style" w:hAnsi="Bookman Old Style" w:cs="Arial"/>
        </w:rPr>
      </w:pPr>
      <w:r w:rsidRPr="00D36671">
        <w:rPr>
          <w:rFonts w:ascii="Bookman Old Style" w:hAnsi="Bookman Old Style" w:cs="Arial"/>
        </w:rPr>
        <w:t>Por la cual se señala el porcentaje de la contribución especial que deben pagar las personas prestadoras de la cadena de combustibles líquidos sometidas a la regulación de la Comisión de Regulación de Energía y Gas en el año 2020</w:t>
      </w:r>
      <w:r w:rsidR="00F65027">
        <w:rPr>
          <w:rFonts w:ascii="Bookman Old Style" w:hAnsi="Bookman Old Style" w:cs="Arial"/>
        </w:rPr>
        <w:t>,</w:t>
      </w:r>
      <w:r w:rsidRPr="00D36671">
        <w:rPr>
          <w:rFonts w:ascii="Bookman Old Style" w:hAnsi="Bookman Old Style" w:cs="Arial"/>
        </w:rPr>
        <w:t xml:space="preserve"> y se dictan otras disposiciones</w:t>
      </w:r>
      <w:r w:rsidR="00772E19" w:rsidRPr="005B3D0E">
        <w:rPr>
          <w:rFonts w:ascii="Bookman Old Style" w:hAnsi="Bookman Old Style" w:cs="Arial"/>
        </w:rPr>
        <w:t>.</w:t>
      </w:r>
    </w:p>
    <w:p w14:paraId="61F6CEF5" w14:textId="77777777" w:rsidR="00C75D50" w:rsidRPr="005B3D0E" w:rsidRDefault="00C75D50" w:rsidP="00182AB0">
      <w:pPr>
        <w:ind w:left="0"/>
        <w:jc w:val="center"/>
        <w:rPr>
          <w:rFonts w:ascii="Bookman Old Style" w:hAnsi="Bookman Old Style" w:cs="Arial"/>
          <w:lang w:val="es-CO" w:eastAsia="es-CO"/>
        </w:rPr>
      </w:pPr>
    </w:p>
    <w:p w14:paraId="06A8AD02" w14:textId="77777777" w:rsidR="006B12FE" w:rsidRPr="00AB5B2E" w:rsidRDefault="006B12FE" w:rsidP="00182AB0">
      <w:pPr>
        <w:pStyle w:val="TableHeading"/>
        <w:suppressLineNumbers w:val="0"/>
        <w:rPr>
          <w:rFonts w:ascii="Bookman Old Style" w:hAnsi="Bookman Old Style" w:cs="Arial"/>
          <w:bCs w:val="0"/>
          <w:sz w:val="16"/>
          <w:szCs w:val="16"/>
          <w:lang w:val="es-CO"/>
        </w:rPr>
      </w:pPr>
    </w:p>
    <w:p w14:paraId="1001E5B8" w14:textId="77777777" w:rsidR="00182AB0" w:rsidRPr="00A96759" w:rsidRDefault="00182AB0" w:rsidP="00182AB0">
      <w:pPr>
        <w:pStyle w:val="Ttulo6"/>
        <w:spacing w:before="0" w:after="0"/>
        <w:ind w:left="0"/>
        <w:jc w:val="center"/>
        <w:rPr>
          <w:rFonts w:ascii="Bookman Old Style" w:hAnsi="Bookman Old Style"/>
          <w:sz w:val="24"/>
          <w:szCs w:val="24"/>
        </w:rPr>
      </w:pPr>
      <w:r w:rsidRPr="00A96759">
        <w:rPr>
          <w:rFonts w:ascii="Bookman Old Style" w:hAnsi="Bookman Old Style"/>
          <w:sz w:val="24"/>
          <w:szCs w:val="24"/>
        </w:rPr>
        <w:t>LA COMISIÓN DE REGULACIÓN DE ENERGÍA Y GAS</w:t>
      </w:r>
    </w:p>
    <w:p w14:paraId="33D67BF7" w14:textId="77777777" w:rsidR="00182AB0" w:rsidRDefault="00182AB0" w:rsidP="00182AB0">
      <w:pPr>
        <w:ind w:left="0"/>
        <w:jc w:val="both"/>
        <w:rPr>
          <w:rFonts w:ascii="Bookman Old Style" w:hAnsi="Bookman Old Style" w:cs="Arial"/>
          <w:b/>
          <w:bCs/>
          <w:lang w:val="x-none"/>
        </w:rPr>
      </w:pPr>
    </w:p>
    <w:p w14:paraId="5A2C0018" w14:textId="5A5679A5" w:rsidR="00315DCC" w:rsidRDefault="00315DCC" w:rsidP="00D86515">
      <w:pPr>
        <w:pStyle w:val="TableHeading"/>
        <w:suppressLineNumbers w:val="0"/>
        <w:jc w:val="both"/>
        <w:rPr>
          <w:rFonts w:ascii="Bookman Old Style" w:hAnsi="Bookman Old Style" w:cs="Arial"/>
          <w:b w:val="0"/>
          <w:bCs w:val="0"/>
          <w:sz w:val="24"/>
          <w:lang w:eastAsia="es-ES"/>
        </w:rPr>
      </w:pPr>
      <w:r w:rsidRPr="00D86515">
        <w:rPr>
          <w:rFonts w:ascii="Bookman Old Style" w:hAnsi="Bookman Old Style" w:cs="Arial"/>
          <w:b w:val="0"/>
          <w:bCs w:val="0"/>
          <w:sz w:val="24"/>
          <w:lang w:eastAsia="es-ES"/>
        </w:rPr>
        <w:t>En ejercicio de sus atribuciones legales, en especial de las que le confieren el artículo 85 de la Ley 142 de 1994, el Decreto 1260 de 2013, el capítulo 9</w:t>
      </w:r>
      <w:r w:rsidR="001B6B8C">
        <w:rPr>
          <w:rFonts w:ascii="Bookman Old Style" w:hAnsi="Bookman Old Style" w:cs="Arial"/>
          <w:b w:val="0"/>
          <w:bCs w:val="0"/>
          <w:sz w:val="24"/>
          <w:lang w:eastAsia="es-ES"/>
        </w:rPr>
        <w:t>°</w:t>
      </w:r>
      <w:r w:rsidRPr="00D86515">
        <w:rPr>
          <w:rFonts w:ascii="Bookman Old Style" w:hAnsi="Bookman Old Style" w:cs="Arial"/>
          <w:b w:val="0"/>
          <w:bCs w:val="0"/>
          <w:sz w:val="24"/>
          <w:lang w:eastAsia="es-ES"/>
        </w:rPr>
        <w:t xml:space="preserve"> del título 9 de la parte 2 del libro 2 del decreto 1082 de 2015, </w:t>
      </w:r>
      <w:r w:rsidR="00DC7FD0">
        <w:rPr>
          <w:rFonts w:ascii="Bookman Old Style" w:hAnsi="Bookman Old Style" w:cs="Arial"/>
          <w:b w:val="0"/>
          <w:bCs w:val="0"/>
          <w:sz w:val="24"/>
          <w:lang w:eastAsia="es-ES"/>
        </w:rPr>
        <w:t>el anexo del Decreto 2411 de 2019,</w:t>
      </w:r>
      <w:r w:rsidRPr="00D86515">
        <w:rPr>
          <w:rFonts w:ascii="Bookman Old Style" w:hAnsi="Bookman Old Style" w:cs="Arial"/>
          <w:b w:val="0"/>
          <w:bCs w:val="0"/>
          <w:sz w:val="24"/>
          <w:lang w:eastAsia="es-ES"/>
        </w:rPr>
        <w:t xml:space="preserve"> el Capítulo 9 del Título 9 de la Parte 2 del Libro 2 del Decreto 1082 de 2015</w:t>
      </w:r>
      <w:r w:rsidR="00DC7FD0">
        <w:rPr>
          <w:rFonts w:ascii="Bookman Old Style" w:hAnsi="Bookman Old Style" w:cs="Arial"/>
          <w:b w:val="0"/>
          <w:bCs w:val="0"/>
          <w:sz w:val="24"/>
          <w:lang w:eastAsia="es-ES"/>
        </w:rPr>
        <w:t xml:space="preserve"> </w:t>
      </w:r>
      <w:r w:rsidRPr="00D86515">
        <w:rPr>
          <w:rFonts w:ascii="Bookman Old Style" w:hAnsi="Bookman Old Style" w:cs="Arial"/>
          <w:b w:val="0"/>
          <w:bCs w:val="0"/>
          <w:sz w:val="24"/>
          <w:lang w:eastAsia="es-ES"/>
        </w:rPr>
        <w:t>Único Reglamentario del Sector Administrativo de Planeación Nacional y</w:t>
      </w:r>
    </w:p>
    <w:p w14:paraId="3AAD8CA1" w14:textId="77777777" w:rsidR="00AE13F8" w:rsidRPr="00D86515" w:rsidRDefault="00AE13F8" w:rsidP="00D86515">
      <w:pPr>
        <w:pStyle w:val="TableHeading"/>
        <w:suppressLineNumbers w:val="0"/>
        <w:jc w:val="both"/>
        <w:rPr>
          <w:rFonts w:ascii="Bookman Old Style" w:hAnsi="Bookman Old Style" w:cs="Arial"/>
          <w:b w:val="0"/>
          <w:bCs w:val="0"/>
          <w:sz w:val="24"/>
          <w:lang w:eastAsia="es-ES"/>
        </w:rPr>
      </w:pPr>
    </w:p>
    <w:p w14:paraId="4F08D81E" w14:textId="1B69A3BA" w:rsidR="00182AB0" w:rsidRPr="00A96759" w:rsidRDefault="00182AB0" w:rsidP="00182AB0">
      <w:pPr>
        <w:pStyle w:val="TableHeading"/>
        <w:suppressLineNumbers w:val="0"/>
        <w:rPr>
          <w:rFonts w:ascii="Bookman Old Style" w:hAnsi="Bookman Old Style" w:cs="Arial"/>
          <w:bCs w:val="0"/>
          <w:sz w:val="24"/>
          <w:lang w:val="es-CO"/>
        </w:rPr>
      </w:pPr>
      <w:r w:rsidRPr="00A96759">
        <w:rPr>
          <w:rFonts w:ascii="Bookman Old Style" w:hAnsi="Bookman Old Style" w:cs="Arial"/>
          <w:bCs w:val="0"/>
          <w:sz w:val="24"/>
        </w:rPr>
        <w:t>C O N S I D E R A N D O</w:t>
      </w:r>
      <w:r w:rsidR="00315DCC">
        <w:rPr>
          <w:rFonts w:ascii="Bookman Old Style" w:hAnsi="Bookman Old Style" w:cs="Arial"/>
          <w:bCs w:val="0"/>
          <w:sz w:val="24"/>
        </w:rPr>
        <w:t xml:space="preserve">   </w:t>
      </w:r>
      <w:r w:rsidR="00817EB7">
        <w:rPr>
          <w:rFonts w:ascii="Bookman Old Style" w:hAnsi="Bookman Old Style" w:cs="Arial"/>
          <w:bCs w:val="0"/>
          <w:sz w:val="24"/>
        </w:rPr>
        <w:t>Q U E</w:t>
      </w:r>
      <w:r w:rsidRPr="00A96759">
        <w:rPr>
          <w:rFonts w:ascii="Bookman Old Style" w:hAnsi="Bookman Old Style" w:cs="Arial"/>
          <w:bCs w:val="0"/>
          <w:sz w:val="24"/>
        </w:rPr>
        <w:t>:</w:t>
      </w:r>
    </w:p>
    <w:p w14:paraId="4226265D" w14:textId="77777777" w:rsidR="006B12FE" w:rsidRPr="00AB5B2E" w:rsidRDefault="006B12FE" w:rsidP="00182AB0">
      <w:pPr>
        <w:ind w:left="0"/>
        <w:jc w:val="both"/>
        <w:rPr>
          <w:rFonts w:ascii="Bookman Old Style" w:hAnsi="Bookman Old Style" w:cs="Arial"/>
          <w:sz w:val="16"/>
          <w:szCs w:val="16"/>
          <w:lang w:val="es-CO"/>
        </w:rPr>
      </w:pPr>
    </w:p>
    <w:p w14:paraId="4C9AA676" w14:textId="66A66BA2" w:rsidR="001220F9" w:rsidRPr="001220F9" w:rsidRDefault="00DD41CD" w:rsidP="001220F9">
      <w:pPr>
        <w:ind w:left="0"/>
        <w:jc w:val="both"/>
        <w:rPr>
          <w:rFonts w:ascii="Bookman Old Style" w:hAnsi="Bookman Old Style" w:cs="Arial"/>
        </w:rPr>
      </w:pPr>
      <w:r>
        <w:rPr>
          <w:rFonts w:ascii="Bookman Old Style" w:hAnsi="Bookman Old Style" w:cs="Arial"/>
        </w:rPr>
        <w:t>El</w:t>
      </w:r>
      <w:r w:rsidR="001220F9" w:rsidRPr="001220F9">
        <w:rPr>
          <w:rFonts w:ascii="Bookman Old Style" w:hAnsi="Bookman Old Style" w:cs="Arial"/>
        </w:rPr>
        <w:t xml:space="preserve"> artículo 85 de la Ley 142 de 1994</w:t>
      </w:r>
      <w:r w:rsidR="005E60BC">
        <w:rPr>
          <w:rFonts w:ascii="Bookman Old Style" w:hAnsi="Bookman Old Style" w:cs="Arial"/>
        </w:rPr>
        <w:t xml:space="preserve"> </w:t>
      </w:r>
      <w:r w:rsidR="001220F9" w:rsidRPr="001220F9">
        <w:rPr>
          <w:rFonts w:ascii="Bookman Old Style" w:hAnsi="Bookman Old Style" w:cs="Arial"/>
        </w:rPr>
        <w:t xml:space="preserve">y el numeral 18 del artículo 8 del Decreto 1260 de 2013, facultan a la CREG para liquidar y cobrar anualmente una </w:t>
      </w:r>
      <w:r>
        <w:rPr>
          <w:rFonts w:ascii="Bookman Old Style" w:hAnsi="Bookman Old Style" w:cs="Arial"/>
        </w:rPr>
        <w:t>c</w:t>
      </w:r>
      <w:r w:rsidR="001220F9" w:rsidRPr="001220F9">
        <w:rPr>
          <w:rFonts w:ascii="Bookman Old Style" w:hAnsi="Bookman Old Style" w:cs="Arial"/>
        </w:rPr>
        <w:t xml:space="preserve">ontribución </w:t>
      </w:r>
      <w:r>
        <w:rPr>
          <w:rFonts w:ascii="Bookman Old Style" w:hAnsi="Bookman Old Style" w:cs="Arial"/>
        </w:rPr>
        <w:t>e</w:t>
      </w:r>
      <w:r w:rsidR="001220F9" w:rsidRPr="001220F9">
        <w:rPr>
          <w:rFonts w:ascii="Bookman Old Style" w:hAnsi="Bookman Old Style" w:cs="Arial"/>
        </w:rPr>
        <w:t xml:space="preserve">special a las entidades sometidas a su ámbito de regulación para recuperar los costos en que incurre, con una tarifa que no puede ser superior al uno por ciento (1%) </w:t>
      </w:r>
      <w:r>
        <w:rPr>
          <w:rFonts w:ascii="Bookman Old Style" w:hAnsi="Bookman Old Style" w:cs="Arial"/>
        </w:rPr>
        <w:t>de las respectiva</w:t>
      </w:r>
      <w:r w:rsidR="001220F9" w:rsidRPr="001220F9">
        <w:rPr>
          <w:rFonts w:ascii="Bookman Old Style" w:hAnsi="Bookman Old Style" w:cs="Arial"/>
        </w:rPr>
        <w:t>s</w:t>
      </w:r>
      <w:r>
        <w:rPr>
          <w:rFonts w:ascii="Bookman Old Style" w:hAnsi="Bookman Old Style" w:cs="Arial"/>
        </w:rPr>
        <w:t xml:space="preserve"> bases gravables de los regulados.</w:t>
      </w:r>
    </w:p>
    <w:p w14:paraId="63F0CD30" w14:textId="77777777" w:rsidR="001220F9" w:rsidRPr="00A96759" w:rsidRDefault="001220F9" w:rsidP="00182AB0">
      <w:pPr>
        <w:ind w:left="0"/>
        <w:jc w:val="both"/>
        <w:rPr>
          <w:rFonts w:ascii="Bookman Old Style" w:hAnsi="Bookman Old Style" w:cs="Arial"/>
        </w:rPr>
      </w:pPr>
    </w:p>
    <w:p w14:paraId="27FC9FDA" w14:textId="094B012F" w:rsidR="00182AB0" w:rsidRDefault="00182AB0" w:rsidP="00182AB0">
      <w:pPr>
        <w:ind w:left="0"/>
        <w:jc w:val="both"/>
        <w:rPr>
          <w:rFonts w:ascii="Bookman Old Style" w:hAnsi="Bookman Old Style" w:cs="Arial"/>
        </w:rPr>
      </w:pPr>
      <w:r w:rsidRPr="00A96759">
        <w:rPr>
          <w:rFonts w:ascii="Bookman Old Style" w:hAnsi="Bookman Old Style" w:cs="Arial"/>
        </w:rPr>
        <w:t>Los criterios para la</w:t>
      </w:r>
      <w:r w:rsidR="00817EB7">
        <w:rPr>
          <w:rFonts w:ascii="Bookman Old Style" w:hAnsi="Bookman Old Style" w:cs="Arial"/>
        </w:rPr>
        <w:t xml:space="preserve"> metodología y</w:t>
      </w:r>
      <w:r w:rsidRPr="00A96759">
        <w:rPr>
          <w:rFonts w:ascii="Bookman Old Style" w:hAnsi="Bookman Old Style" w:cs="Arial"/>
        </w:rPr>
        <w:t xml:space="preserve"> determinación del porcentaje de la contribución y su liquidación se encuentran </w:t>
      </w:r>
      <w:r w:rsidR="00817EB7">
        <w:rPr>
          <w:rFonts w:ascii="Bookman Old Style" w:hAnsi="Bookman Old Style" w:cs="Arial"/>
        </w:rPr>
        <w:t xml:space="preserve">determinados </w:t>
      </w:r>
      <w:r w:rsidRPr="00A96759">
        <w:rPr>
          <w:rFonts w:ascii="Bookman Old Style" w:hAnsi="Bookman Old Style" w:cs="Arial"/>
        </w:rPr>
        <w:t>en</w:t>
      </w:r>
      <w:r w:rsidR="00817EB7">
        <w:rPr>
          <w:rFonts w:ascii="Bookman Old Style" w:hAnsi="Bookman Old Style" w:cs="Arial"/>
        </w:rPr>
        <w:t xml:space="preserve"> </w:t>
      </w:r>
      <w:r w:rsidR="00817EB7" w:rsidRPr="00817EB7">
        <w:rPr>
          <w:rFonts w:ascii="Bookman Old Style" w:hAnsi="Bookman Old Style" w:cs="Arial"/>
        </w:rPr>
        <w:t>el artículo 85 de la Ley 142 de 1994</w:t>
      </w:r>
      <w:r w:rsidR="00F65027">
        <w:rPr>
          <w:rFonts w:ascii="Bookman Old Style" w:hAnsi="Bookman Old Style" w:cs="Arial"/>
        </w:rPr>
        <w:t>,</w:t>
      </w:r>
      <w:r w:rsidR="005E60BC">
        <w:rPr>
          <w:rFonts w:ascii="Bookman Old Style" w:hAnsi="Bookman Old Style" w:cs="Arial"/>
        </w:rPr>
        <w:t xml:space="preserve"> y en el </w:t>
      </w:r>
      <w:r w:rsidR="005E60BC" w:rsidRPr="00D86515">
        <w:rPr>
          <w:rFonts w:ascii="Bookman Old Style" w:hAnsi="Bookman Old Style" w:cs="Arial"/>
        </w:rPr>
        <w:t>Capítulo 9 del Título 9 de la Parte 2 del Libro 2 del Decreto 1082 de 2015</w:t>
      </w:r>
      <w:r w:rsidR="005E60BC">
        <w:rPr>
          <w:rFonts w:ascii="Bookman Old Style" w:hAnsi="Bookman Old Style" w:cs="Arial"/>
        </w:rPr>
        <w:t>.</w:t>
      </w:r>
    </w:p>
    <w:p w14:paraId="7B6F9B78" w14:textId="03AC3658" w:rsidR="00866464" w:rsidRDefault="00866464" w:rsidP="00182AB0">
      <w:pPr>
        <w:ind w:left="0"/>
        <w:jc w:val="both"/>
        <w:rPr>
          <w:rFonts w:ascii="Bookman Old Style" w:hAnsi="Bookman Old Style" w:cs="Arial"/>
        </w:rPr>
      </w:pPr>
    </w:p>
    <w:p w14:paraId="00AD893E" w14:textId="1CD2CBDC" w:rsidR="00866464" w:rsidRPr="00A96759" w:rsidRDefault="00866464" w:rsidP="00182AB0">
      <w:pPr>
        <w:ind w:left="0"/>
        <w:jc w:val="both"/>
        <w:rPr>
          <w:rFonts w:ascii="Bookman Old Style" w:hAnsi="Bookman Old Style" w:cs="Arial"/>
        </w:rPr>
      </w:pPr>
      <w:r>
        <w:rPr>
          <w:rFonts w:ascii="Bookman Old Style" w:hAnsi="Bookman Old Style" w:cs="Arial"/>
        </w:rPr>
        <w:t xml:space="preserve">El numeral 4 del artículo 85 de la Ley 142 de 1994 </w:t>
      </w:r>
      <w:r w:rsidR="00793462">
        <w:rPr>
          <w:rFonts w:ascii="Bookman Old Style" w:hAnsi="Bookman Old Style" w:cs="Arial"/>
        </w:rPr>
        <w:t xml:space="preserve">y sus decretos modificatorios </w:t>
      </w:r>
      <w:r>
        <w:rPr>
          <w:rFonts w:ascii="Bookman Old Style" w:hAnsi="Bookman Old Style" w:cs="Arial"/>
        </w:rPr>
        <w:t>defini</w:t>
      </w:r>
      <w:r w:rsidR="00793462">
        <w:rPr>
          <w:rFonts w:ascii="Bookman Old Style" w:hAnsi="Bookman Old Style" w:cs="Arial"/>
        </w:rPr>
        <w:t>eron</w:t>
      </w:r>
      <w:r>
        <w:rPr>
          <w:rFonts w:ascii="Bookman Old Style" w:hAnsi="Bookman Old Style" w:cs="Arial"/>
        </w:rPr>
        <w:t xml:space="preserve"> como sujetos pasivos de la contribución especial a favor de la CREG </w:t>
      </w:r>
      <w:r w:rsidRPr="004437BD">
        <w:rPr>
          <w:rFonts w:ascii="Bookman Old Style" w:hAnsi="Bookman Old Style" w:cs="Arial"/>
          <w:i/>
          <w:iCs/>
        </w:rPr>
        <w:t>“</w:t>
      </w:r>
      <w:r>
        <w:rPr>
          <w:rFonts w:ascii="Bookman Old Style" w:hAnsi="Bookman Old Style" w:cs="Arial"/>
          <w:i/>
          <w:iCs/>
        </w:rPr>
        <w:t xml:space="preserve">(…) </w:t>
      </w:r>
      <w:r w:rsidRPr="004437BD">
        <w:rPr>
          <w:rFonts w:ascii="Bookman Old Style" w:hAnsi="Bookman Old Style" w:cs="Arial"/>
          <w:i/>
          <w:iCs/>
        </w:rPr>
        <w:t>las personas prestadoras de servicios públicos domiciliarios, conforme a los artículos 15 y 16 de la Ley 142 de 1994, y todos aquellos que inciden directa o 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61 de la Ley 812 de 2003 y el Decreto número 4299 de 2005, o las normas que lo modifiquen, sustituyan o deroguen, con excepción de los distribuidores minoristas en estación de servicio en un municipio ubicado en zona de frontera</w:t>
      </w:r>
      <w:r>
        <w:rPr>
          <w:rFonts w:ascii="Bookman Old Style" w:hAnsi="Bookman Old Style" w:cs="Arial"/>
          <w:i/>
          <w:iCs/>
        </w:rPr>
        <w:t>”</w:t>
      </w:r>
      <w:r w:rsidRPr="004437BD">
        <w:rPr>
          <w:rFonts w:ascii="Bookman Old Style" w:hAnsi="Bookman Old Style" w:cs="Arial"/>
          <w:i/>
          <w:iCs/>
        </w:rPr>
        <w:t>.</w:t>
      </w:r>
    </w:p>
    <w:p w14:paraId="218D39E0" w14:textId="77777777" w:rsidR="00182AB0" w:rsidRPr="00A96759" w:rsidRDefault="00182AB0" w:rsidP="00182AB0">
      <w:pPr>
        <w:ind w:left="0"/>
        <w:jc w:val="both"/>
        <w:rPr>
          <w:rFonts w:ascii="Bookman Old Style" w:hAnsi="Bookman Old Style" w:cs="Arial"/>
        </w:rPr>
      </w:pPr>
    </w:p>
    <w:p w14:paraId="41F20B62" w14:textId="24B6DCF6" w:rsidR="00182AB0" w:rsidRDefault="00182AB0" w:rsidP="00182AB0">
      <w:pPr>
        <w:ind w:left="0"/>
        <w:jc w:val="both"/>
        <w:rPr>
          <w:rFonts w:ascii="Bookman Old Style" w:hAnsi="Bookman Old Style" w:cs="Arial"/>
        </w:rPr>
      </w:pPr>
      <w:r w:rsidRPr="00A96759">
        <w:rPr>
          <w:rFonts w:ascii="Bookman Old Style" w:hAnsi="Bookman Old Style" w:cs="Arial"/>
        </w:rPr>
        <w:t xml:space="preserve">Corresponde a la </w:t>
      </w:r>
      <w:r w:rsidR="00CB0396">
        <w:rPr>
          <w:rFonts w:ascii="Bookman Old Style" w:hAnsi="Bookman Old Style" w:cs="Arial"/>
        </w:rPr>
        <w:t>CREG</w:t>
      </w:r>
      <w:r w:rsidRPr="00A96759">
        <w:rPr>
          <w:rFonts w:ascii="Bookman Old Style" w:hAnsi="Bookman Old Style" w:cs="Arial"/>
        </w:rPr>
        <w:t xml:space="preserve"> definir el monto de la contribución que se aplicará a cada una de las entidades sometidas a su regulación, por el año </w:t>
      </w:r>
      <w:r w:rsidR="00A06DF4">
        <w:rPr>
          <w:rFonts w:ascii="Bookman Old Style" w:hAnsi="Bookman Old Style" w:cs="Arial"/>
        </w:rPr>
        <w:t>2020</w:t>
      </w:r>
      <w:r w:rsidRPr="00A96759">
        <w:rPr>
          <w:rFonts w:ascii="Bookman Old Style" w:hAnsi="Bookman Old Style" w:cs="Arial"/>
        </w:rPr>
        <w:t>.</w:t>
      </w:r>
    </w:p>
    <w:p w14:paraId="021C6969" w14:textId="7F5FBFFA" w:rsidR="00857EC3" w:rsidRDefault="00857EC3" w:rsidP="00857EC3">
      <w:pPr>
        <w:ind w:left="0"/>
        <w:jc w:val="both"/>
        <w:rPr>
          <w:rFonts w:ascii="Bookman Old Style" w:hAnsi="Bookman Old Style" w:cs="Arial"/>
        </w:rPr>
      </w:pPr>
      <w:r>
        <w:rPr>
          <w:rFonts w:ascii="Bookman Old Style" w:hAnsi="Bookman Old Style" w:cs="Arial"/>
        </w:rPr>
        <w:lastRenderedPageBreak/>
        <w:t xml:space="preserve">El parágrafo del artículo 2.2.9.9.3. del Decreto 1082 de 2015 estableció que para el caso de las personas prestadoras de la cadena de combustibles líquidos </w:t>
      </w:r>
      <w:r w:rsidRPr="004437BD">
        <w:rPr>
          <w:rFonts w:ascii="Bookman Old Style" w:hAnsi="Bookman Old Style" w:cs="Arial"/>
          <w:i/>
          <w:iCs/>
        </w:rPr>
        <w:t>“</w:t>
      </w:r>
      <w:r>
        <w:rPr>
          <w:rFonts w:ascii="Bookman Old Style" w:hAnsi="Bookman Old Style" w:cs="Arial"/>
          <w:i/>
          <w:iCs/>
        </w:rPr>
        <w:t>(…)</w:t>
      </w:r>
      <w:r w:rsidRPr="004437BD">
        <w:rPr>
          <w:rFonts w:ascii="Bookman Old Style" w:hAnsi="Bookman Old Style" w:cs="Arial"/>
          <w:i/>
          <w:iCs/>
        </w:rPr>
        <w:t xml:space="preserve"> la Comisión de Regulación de Energía y Gas (CREG) determinará el número de prestadores obligados de la cadena para este concepto, establecerá los mecanismos para el reporte de información contable y financiera y efectuará una liquidación independiente”</w:t>
      </w:r>
      <w:r w:rsidRPr="00857EC3">
        <w:rPr>
          <w:rFonts w:ascii="Bookman Old Style" w:hAnsi="Bookman Old Style" w:cs="Arial"/>
        </w:rPr>
        <w:t>.</w:t>
      </w:r>
    </w:p>
    <w:p w14:paraId="54B6C124" w14:textId="77777777" w:rsidR="00857EC3" w:rsidRDefault="00857EC3" w:rsidP="00182AB0">
      <w:pPr>
        <w:ind w:left="0"/>
        <w:jc w:val="both"/>
        <w:rPr>
          <w:rFonts w:ascii="Bookman Old Style" w:hAnsi="Bookman Old Style" w:cs="Arial"/>
        </w:rPr>
      </w:pPr>
    </w:p>
    <w:p w14:paraId="55E04C81" w14:textId="73E31BAC" w:rsidR="00D36671" w:rsidRDefault="00D36671" w:rsidP="00182AB0">
      <w:pPr>
        <w:ind w:left="0"/>
        <w:jc w:val="both"/>
        <w:rPr>
          <w:rFonts w:ascii="Bookman Old Style" w:hAnsi="Bookman Old Style" w:cs="Arial"/>
        </w:rPr>
      </w:pPr>
      <w:r>
        <w:rPr>
          <w:rFonts w:ascii="Bookman Old Style" w:hAnsi="Bookman Old Style" w:cs="Arial"/>
        </w:rPr>
        <w:t>E</w:t>
      </w:r>
      <w:r w:rsidRPr="00D36671">
        <w:rPr>
          <w:rFonts w:ascii="Bookman Old Style" w:hAnsi="Bookman Old Style" w:cs="Arial"/>
        </w:rPr>
        <w:t>l sistema de información de la cadena de distribución de combustibles del Ministerio de Minas y Energía</w:t>
      </w:r>
      <w:r w:rsidR="00F65027">
        <w:rPr>
          <w:rFonts w:ascii="Bookman Old Style" w:hAnsi="Bookman Old Style" w:cs="Arial"/>
        </w:rPr>
        <w:t xml:space="preserve">, </w:t>
      </w:r>
      <w:r w:rsidRPr="00D36671">
        <w:rPr>
          <w:rFonts w:ascii="Bookman Old Style" w:hAnsi="Bookman Old Style" w:cs="Arial"/>
        </w:rPr>
        <w:t>SICOM</w:t>
      </w:r>
      <w:r w:rsidR="00F65027">
        <w:rPr>
          <w:rFonts w:ascii="Bookman Old Style" w:hAnsi="Bookman Old Style" w:cs="Arial"/>
        </w:rPr>
        <w:t>,</w:t>
      </w:r>
      <w:r w:rsidRPr="00D36671">
        <w:rPr>
          <w:rFonts w:ascii="Bookman Old Style" w:hAnsi="Bookman Old Style" w:cs="Arial"/>
        </w:rPr>
        <w:t xml:space="preserve"> integra a los agentes de la cadena a nivel nacional en un solo sistema de información</w:t>
      </w:r>
      <w:r w:rsidR="00F65027">
        <w:rPr>
          <w:rFonts w:ascii="Bookman Old Style" w:hAnsi="Bookman Old Style" w:cs="Arial"/>
        </w:rPr>
        <w:t>,</w:t>
      </w:r>
      <w:r w:rsidRPr="00D36671">
        <w:rPr>
          <w:rFonts w:ascii="Bookman Old Style" w:hAnsi="Bookman Old Style" w:cs="Arial"/>
        </w:rPr>
        <w:t xml:space="preserve"> y mediante el cual se organiza, controla y sistematizan las actividades de comercialización, distribución, transporte y almacenamiento de combustibles.</w:t>
      </w:r>
    </w:p>
    <w:p w14:paraId="726D5C48" w14:textId="6A6176F7" w:rsidR="00D36671" w:rsidRDefault="00D36671" w:rsidP="00182AB0">
      <w:pPr>
        <w:ind w:left="0"/>
        <w:jc w:val="both"/>
        <w:rPr>
          <w:rFonts w:ascii="Bookman Old Style" w:hAnsi="Bookman Old Style" w:cs="Arial"/>
        </w:rPr>
      </w:pPr>
    </w:p>
    <w:p w14:paraId="381DDBDD" w14:textId="6AA99276" w:rsidR="00866464" w:rsidRDefault="00866464" w:rsidP="00182AB0">
      <w:pPr>
        <w:ind w:left="0"/>
        <w:jc w:val="both"/>
        <w:rPr>
          <w:rFonts w:ascii="Bookman Old Style" w:hAnsi="Bookman Old Style" w:cs="Arial"/>
        </w:rPr>
      </w:pPr>
      <w:r>
        <w:rPr>
          <w:rFonts w:ascii="Bookman Old Style" w:hAnsi="Bookman Old Style" w:cs="Arial"/>
        </w:rPr>
        <w:t xml:space="preserve">La CREG realizó una depuración de la información existente en la base de datos de </w:t>
      </w:r>
      <w:r w:rsidR="00D91178">
        <w:rPr>
          <w:rFonts w:ascii="Bookman Old Style" w:hAnsi="Bookman Old Style" w:cs="Arial"/>
        </w:rPr>
        <w:t xml:space="preserve">agentes de la cadena de combustibles líquidos </w:t>
      </w:r>
      <w:r>
        <w:rPr>
          <w:rFonts w:ascii="Bookman Old Style" w:hAnsi="Bookman Old Style" w:cs="Arial"/>
        </w:rPr>
        <w:t xml:space="preserve">registrados en SICOM con corte a </w:t>
      </w:r>
      <w:r w:rsidR="00D91178">
        <w:rPr>
          <w:rFonts w:ascii="Bookman Old Style" w:hAnsi="Bookman Old Style" w:cs="Arial"/>
        </w:rPr>
        <w:t xml:space="preserve">23 de junio de 2020, </w:t>
      </w:r>
      <w:r>
        <w:rPr>
          <w:rFonts w:ascii="Bookman Old Style" w:hAnsi="Bookman Old Style" w:cs="Arial"/>
        </w:rPr>
        <w:t xml:space="preserve">a efectos de determinar el censo de contribuyentes objeto de la contribución especial, aplicando la exclusión señalada en el numeral </w:t>
      </w:r>
      <w:r w:rsidRPr="00866464">
        <w:rPr>
          <w:rFonts w:ascii="Bookman Old Style" w:hAnsi="Bookman Old Style" w:cs="Arial"/>
        </w:rPr>
        <w:t>4 del artículo 85 de la Ley 142 de 1994</w:t>
      </w:r>
      <w:r w:rsidR="00D91178">
        <w:rPr>
          <w:rFonts w:ascii="Bookman Old Style" w:hAnsi="Bookman Old Style" w:cs="Arial"/>
        </w:rPr>
        <w:t xml:space="preserve">, </w:t>
      </w:r>
      <w:r w:rsidR="00531FF7">
        <w:rPr>
          <w:rFonts w:ascii="Bookman Old Style" w:hAnsi="Bookman Old Style" w:cs="Arial"/>
        </w:rPr>
        <w:t>respecto de minoristas ubicados en zona</w:t>
      </w:r>
      <w:r w:rsidR="00F65027">
        <w:rPr>
          <w:rFonts w:ascii="Bookman Old Style" w:hAnsi="Bookman Old Style" w:cs="Arial"/>
        </w:rPr>
        <w:t>s</w:t>
      </w:r>
      <w:r w:rsidR="00531FF7">
        <w:rPr>
          <w:rFonts w:ascii="Bookman Old Style" w:hAnsi="Bookman Old Style" w:cs="Arial"/>
        </w:rPr>
        <w:t xml:space="preserve"> de frontera.</w:t>
      </w:r>
    </w:p>
    <w:p w14:paraId="15EC41CE" w14:textId="23A544F8" w:rsidR="00531FF7" w:rsidRDefault="00531FF7" w:rsidP="00182AB0">
      <w:pPr>
        <w:ind w:left="0"/>
        <w:jc w:val="both"/>
        <w:rPr>
          <w:rFonts w:ascii="Bookman Old Style" w:hAnsi="Bookman Old Style" w:cs="Arial"/>
        </w:rPr>
      </w:pPr>
    </w:p>
    <w:p w14:paraId="479E9935" w14:textId="570D8A18" w:rsidR="00531FF7" w:rsidRDefault="00531FF7" w:rsidP="00182AB0">
      <w:pPr>
        <w:ind w:left="0"/>
        <w:jc w:val="both"/>
        <w:rPr>
          <w:rFonts w:ascii="Bookman Old Style" w:hAnsi="Bookman Old Style" w:cs="Arial"/>
        </w:rPr>
      </w:pPr>
      <w:r>
        <w:rPr>
          <w:rFonts w:ascii="Bookman Old Style" w:hAnsi="Bookman Old Style" w:cs="Arial"/>
        </w:rPr>
        <w:t xml:space="preserve">De acuerdo con la información depurada en la base de datos del SICOM, el censo oficial de </w:t>
      </w:r>
      <w:r w:rsidR="00F760D8">
        <w:rPr>
          <w:rFonts w:ascii="Bookman Old Style" w:hAnsi="Bookman Old Style" w:cs="Arial"/>
        </w:rPr>
        <w:t>agentes de la cadena de combustibles líquidos</w:t>
      </w:r>
      <w:r>
        <w:rPr>
          <w:rFonts w:ascii="Bookman Old Style" w:hAnsi="Bookman Old Style" w:cs="Arial"/>
        </w:rPr>
        <w:t xml:space="preserve"> sujetos al pago de la contribución especial a favor de la CREG en la vigencia 2020 se presenta a continuación:</w:t>
      </w:r>
    </w:p>
    <w:p w14:paraId="2019B8C4" w14:textId="15D1F506" w:rsidR="00531FF7" w:rsidRDefault="00531FF7" w:rsidP="00182AB0">
      <w:pPr>
        <w:ind w:left="0"/>
        <w:jc w:val="both"/>
        <w:rPr>
          <w:rFonts w:ascii="Bookman Old Style" w:hAnsi="Bookman Old Style" w:cs="Arial"/>
        </w:rPr>
      </w:pPr>
    </w:p>
    <w:tbl>
      <w:tblPr>
        <w:tblStyle w:val="Tablaconcuadrcula"/>
        <w:tblW w:w="8077" w:type="dxa"/>
        <w:jc w:val="center"/>
        <w:tblLook w:val="0600" w:firstRow="0" w:lastRow="0" w:firstColumn="0" w:lastColumn="0" w:noHBand="1" w:noVBand="1"/>
      </w:tblPr>
      <w:tblGrid>
        <w:gridCol w:w="6197"/>
        <w:gridCol w:w="1880"/>
      </w:tblGrid>
      <w:tr w:rsidR="00D91178" w:rsidRPr="00D91178" w14:paraId="2B636C8C" w14:textId="77777777" w:rsidTr="00D91178">
        <w:trPr>
          <w:trHeight w:val="153"/>
          <w:jc w:val="center"/>
        </w:trPr>
        <w:tc>
          <w:tcPr>
            <w:tcW w:w="6197" w:type="dxa"/>
            <w:hideMark/>
          </w:tcPr>
          <w:p w14:paraId="766CA9F6" w14:textId="4DBACC46"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b/>
                <w:bCs/>
                <w:lang w:val="es-CO"/>
              </w:rPr>
              <w:t>Agente</w:t>
            </w:r>
          </w:p>
        </w:tc>
        <w:tc>
          <w:tcPr>
            <w:tcW w:w="1880" w:type="dxa"/>
            <w:hideMark/>
          </w:tcPr>
          <w:p w14:paraId="41C13036" w14:textId="1870DA5E" w:rsidR="00D91178" w:rsidRPr="00D91178" w:rsidRDefault="00D91178" w:rsidP="00D91178">
            <w:pPr>
              <w:ind w:left="0"/>
              <w:jc w:val="center"/>
              <w:rPr>
                <w:rFonts w:ascii="Bookman Old Style" w:hAnsi="Bookman Old Style" w:cs="Arial"/>
                <w:b/>
                <w:bCs/>
                <w:lang w:val="es-CO"/>
              </w:rPr>
            </w:pPr>
            <w:r w:rsidRPr="00D91178">
              <w:rPr>
                <w:rFonts w:ascii="Bookman Old Style" w:hAnsi="Bookman Old Style" w:cs="Arial"/>
                <w:b/>
                <w:bCs/>
                <w:lang w:val="es-CO"/>
              </w:rPr>
              <w:t>Aforados</w:t>
            </w:r>
          </w:p>
        </w:tc>
      </w:tr>
      <w:tr w:rsidR="00D91178" w:rsidRPr="00D91178" w14:paraId="0ACEE8E6" w14:textId="77777777" w:rsidTr="00D91178">
        <w:trPr>
          <w:trHeight w:val="273"/>
          <w:jc w:val="center"/>
        </w:trPr>
        <w:tc>
          <w:tcPr>
            <w:tcW w:w="6197" w:type="dxa"/>
            <w:hideMark/>
          </w:tcPr>
          <w:p w14:paraId="2048040A"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Agencia Logística</w:t>
            </w:r>
          </w:p>
        </w:tc>
        <w:tc>
          <w:tcPr>
            <w:tcW w:w="1880" w:type="dxa"/>
            <w:hideMark/>
          </w:tcPr>
          <w:p w14:paraId="05CFAA8F" w14:textId="77777777"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lang w:val="es-CO"/>
              </w:rPr>
              <w:t>1</w:t>
            </w:r>
          </w:p>
        </w:tc>
      </w:tr>
      <w:tr w:rsidR="00D91178" w:rsidRPr="00D91178" w14:paraId="2D7EB388" w14:textId="77777777" w:rsidTr="00D91178">
        <w:trPr>
          <w:trHeight w:val="271"/>
          <w:jc w:val="center"/>
        </w:trPr>
        <w:tc>
          <w:tcPr>
            <w:tcW w:w="6197" w:type="dxa"/>
            <w:hideMark/>
          </w:tcPr>
          <w:p w14:paraId="3EC974D4"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Almacenador</w:t>
            </w:r>
          </w:p>
        </w:tc>
        <w:tc>
          <w:tcPr>
            <w:tcW w:w="1880" w:type="dxa"/>
            <w:hideMark/>
          </w:tcPr>
          <w:p w14:paraId="5193C879" w14:textId="1F7215D4"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lang w:val="es-CO"/>
              </w:rPr>
              <w:t>2</w:t>
            </w:r>
            <w:r>
              <w:rPr>
                <w:rFonts w:ascii="Bookman Old Style" w:hAnsi="Bookman Old Style" w:cs="Arial"/>
                <w:lang w:val="es-CO"/>
              </w:rPr>
              <w:t>8</w:t>
            </w:r>
          </w:p>
        </w:tc>
      </w:tr>
      <w:tr w:rsidR="00D91178" w:rsidRPr="00D91178" w14:paraId="6F5B993D" w14:textId="77777777" w:rsidTr="00D91178">
        <w:trPr>
          <w:trHeight w:val="164"/>
          <w:jc w:val="center"/>
        </w:trPr>
        <w:tc>
          <w:tcPr>
            <w:tcW w:w="6197" w:type="dxa"/>
            <w:hideMark/>
          </w:tcPr>
          <w:p w14:paraId="70BA3F9F"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Distribuidor Mayorista</w:t>
            </w:r>
          </w:p>
        </w:tc>
        <w:tc>
          <w:tcPr>
            <w:tcW w:w="1880" w:type="dxa"/>
            <w:hideMark/>
          </w:tcPr>
          <w:p w14:paraId="3427A116" w14:textId="178282D1" w:rsidR="00D91178" w:rsidRPr="00D91178" w:rsidRDefault="00D91178" w:rsidP="00D91178">
            <w:pPr>
              <w:ind w:left="0"/>
              <w:jc w:val="center"/>
              <w:rPr>
                <w:rFonts w:ascii="Bookman Old Style" w:hAnsi="Bookman Old Style" w:cs="Arial"/>
                <w:lang w:val="es-CO"/>
              </w:rPr>
            </w:pPr>
            <w:r>
              <w:rPr>
                <w:rFonts w:ascii="Bookman Old Style" w:hAnsi="Bookman Old Style" w:cs="Arial"/>
                <w:lang w:val="es-CO"/>
              </w:rPr>
              <w:t>13</w:t>
            </w:r>
          </w:p>
        </w:tc>
      </w:tr>
      <w:tr w:rsidR="00D91178" w:rsidRPr="00D91178" w14:paraId="540C432C" w14:textId="77777777" w:rsidTr="00D91178">
        <w:trPr>
          <w:trHeight w:val="164"/>
          <w:jc w:val="center"/>
        </w:trPr>
        <w:tc>
          <w:tcPr>
            <w:tcW w:w="6197" w:type="dxa"/>
          </w:tcPr>
          <w:p w14:paraId="74E10C5E" w14:textId="005B4AA2"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Distribuidor Mayorista</w:t>
            </w:r>
            <w:r>
              <w:rPr>
                <w:rFonts w:ascii="Bookman Old Style" w:hAnsi="Bookman Old Style" w:cs="Arial"/>
                <w:lang w:val="es-CO"/>
              </w:rPr>
              <w:t xml:space="preserve"> – Quemadores industriales</w:t>
            </w:r>
          </w:p>
        </w:tc>
        <w:tc>
          <w:tcPr>
            <w:tcW w:w="1880" w:type="dxa"/>
          </w:tcPr>
          <w:p w14:paraId="78A4598C" w14:textId="2DF9CFD7" w:rsidR="00D91178" w:rsidRPr="00D91178" w:rsidRDefault="00D91178" w:rsidP="00D91178">
            <w:pPr>
              <w:ind w:left="0"/>
              <w:jc w:val="center"/>
              <w:rPr>
                <w:rFonts w:ascii="Bookman Old Style" w:hAnsi="Bookman Old Style" w:cs="Arial"/>
                <w:lang w:val="es-CO"/>
              </w:rPr>
            </w:pPr>
            <w:r>
              <w:rPr>
                <w:rFonts w:ascii="Bookman Old Style" w:hAnsi="Bookman Old Style" w:cs="Arial"/>
                <w:lang w:val="es-CO"/>
              </w:rPr>
              <w:t>12</w:t>
            </w:r>
          </w:p>
        </w:tc>
      </w:tr>
      <w:tr w:rsidR="00D91178" w:rsidRPr="00D91178" w14:paraId="259A778D" w14:textId="77777777" w:rsidTr="00D91178">
        <w:trPr>
          <w:trHeight w:val="78"/>
          <w:jc w:val="center"/>
        </w:trPr>
        <w:tc>
          <w:tcPr>
            <w:tcW w:w="6197" w:type="dxa"/>
            <w:hideMark/>
          </w:tcPr>
          <w:p w14:paraId="2812A79B" w14:textId="50D6FDC1"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Fuerza</w:t>
            </w:r>
            <w:r>
              <w:rPr>
                <w:rFonts w:ascii="Bookman Old Style" w:hAnsi="Bookman Old Style" w:cs="Arial"/>
                <w:lang w:val="es-CO"/>
              </w:rPr>
              <w:t>s</w:t>
            </w:r>
            <w:r w:rsidRPr="00D91178">
              <w:rPr>
                <w:rFonts w:ascii="Bookman Old Style" w:hAnsi="Bookman Old Style" w:cs="Arial"/>
                <w:lang w:val="es-CO"/>
              </w:rPr>
              <w:t xml:space="preserve"> Pública</w:t>
            </w:r>
            <w:r>
              <w:rPr>
                <w:rFonts w:ascii="Bookman Old Style" w:hAnsi="Bookman Old Style" w:cs="Arial"/>
                <w:lang w:val="es-CO"/>
              </w:rPr>
              <w:t>s</w:t>
            </w:r>
          </w:p>
        </w:tc>
        <w:tc>
          <w:tcPr>
            <w:tcW w:w="1880" w:type="dxa"/>
            <w:hideMark/>
          </w:tcPr>
          <w:p w14:paraId="6EB4B541" w14:textId="77777777"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lang w:val="es-CO"/>
              </w:rPr>
              <w:t>1</w:t>
            </w:r>
          </w:p>
        </w:tc>
      </w:tr>
      <w:tr w:rsidR="00D91178" w:rsidRPr="00D91178" w14:paraId="342A6DCC" w14:textId="77777777" w:rsidTr="00D91178">
        <w:trPr>
          <w:trHeight w:val="159"/>
          <w:jc w:val="center"/>
        </w:trPr>
        <w:tc>
          <w:tcPr>
            <w:tcW w:w="6197" w:type="dxa"/>
            <w:hideMark/>
          </w:tcPr>
          <w:p w14:paraId="31E9164B"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Gran consumidor</w:t>
            </w:r>
          </w:p>
        </w:tc>
        <w:tc>
          <w:tcPr>
            <w:tcW w:w="1880" w:type="dxa"/>
            <w:hideMark/>
          </w:tcPr>
          <w:p w14:paraId="56090C51" w14:textId="670819C6" w:rsidR="00D91178" w:rsidRPr="00D91178" w:rsidRDefault="00D91178" w:rsidP="00D91178">
            <w:pPr>
              <w:ind w:left="0"/>
              <w:jc w:val="center"/>
              <w:rPr>
                <w:rFonts w:ascii="Bookman Old Style" w:hAnsi="Bookman Old Style" w:cs="Arial"/>
                <w:lang w:val="es-CO"/>
              </w:rPr>
            </w:pPr>
            <w:r>
              <w:rPr>
                <w:rFonts w:ascii="Bookman Old Style" w:hAnsi="Bookman Old Style" w:cs="Arial"/>
                <w:lang w:val="es-CO"/>
              </w:rPr>
              <w:t>333</w:t>
            </w:r>
          </w:p>
        </w:tc>
      </w:tr>
      <w:tr w:rsidR="00D91178" w:rsidRPr="00D91178" w14:paraId="3B77F17D" w14:textId="77777777" w:rsidTr="00D91178">
        <w:trPr>
          <w:trHeight w:val="115"/>
          <w:jc w:val="center"/>
        </w:trPr>
        <w:tc>
          <w:tcPr>
            <w:tcW w:w="6197" w:type="dxa"/>
            <w:hideMark/>
          </w:tcPr>
          <w:p w14:paraId="5AC2F3F0"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Importador</w:t>
            </w:r>
          </w:p>
        </w:tc>
        <w:tc>
          <w:tcPr>
            <w:tcW w:w="1880" w:type="dxa"/>
            <w:hideMark/>
          </w:tcPr>
          <w:p w14:paraId="04152D4F" w14:textId="3AC9884C" w:rsidR="00D91178" w:rsidRPr="00D91178" w:rsidRDefault="00D91178" w:rsidP="00D91178">
            <w:pPr>
              <w:ind w:left="0"/>
              <w:jc w:val="center"/>
              <w:rPr>
                <w:rFonts w:ascii="Bookman Old Style" w:hAnsi="Bookman Old Style" w:cs="Arial"/>
                <w:lang w:val="es-CO"/>
              </w:rPr>
            </w:pPr>
            <w:r>
              <w:rPr>
                <w:rFonts w:ascii="Bookman Old Style" w:hAnsi="Bookman Old Style" w:cs="Arial"/>
                <w:lang w:val="es-CO"/>
              </w:rPr>
              <w:t>12</w:t>
            </w:r>
          </w:p>
        </w:tc>
      </w:tr>
      <w:tr w:rsidR="00D91178" w:rsidRPr="00D91178" w14:paraId="7906AA34" w14:textId="77777777" w:rsidTr="00D91178">
        <w:trPr>
          <w:trHeight w:val="71"/>
          <w:jc w:val="center"/>
        </w:trPr>
        <w:tc>
          <w:tcPr>
            <w:tcW w:w="6197" w:type="dxa"/>
            <w:hideMark/>
          </w:tcPr>
          <w:p w14:paraId="03780E53"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Minorista</w:t>
            </w:r>
          </w:p>
        </w:tc>
        <w:tc>
          <w:tcPr>
            <w:tcW w:w="1880" w:type="dxa"/>
            <w:hideMark/>
          </w:tcPr>
          <w:p w14:paraId="2FCA2553" w14:textId="7477CEC0" w:rsidR="00D91178" w:rsidRPr="00D91178" w:rsidRDefault="00D91178" w:rsidP="00D91178">
            <w:pPr>
              <w:ind w:left="0"/>
              <w:jc w:val="center"/>
              <w:rPr>
                <w:rFonts w:ascii="Bookman Old Style" w:hAnsi="Bookman Old Style" w:cs="Arial"/>
                <w:lang w:val="es-CO"/>
              </w:rPr>
            </w:pPr>
            <w:r>
              <w:rPr>
                <w:rFonts w:ascii="Bookman Old Style" w:hAnsi="Bookman Old Style" w:cs="Arial"/>
                <w:lang w:val="es-CO"/>
              </w:rPr>
              <w:t>3998</w:t>
            </w:r>
          </w:p>
        </w:tc>
      </w:tr>
      <w:tr w:rsidR="00D91178" w:rsidRPr="00D91178" w14:paraId="19FEE4E3" w14:textId="77777777" w:rsidTr="00D91178">
        <w:trPr>
          <w:trHeight w:val="193"/>
          <w:jc w:val="center"/>
        </w:trPr>
        <w:tc>
          <w:tcPr>
            <w:tcW w:w="6197" w:type="dxa"/>
            <w:hideMark/>
          </w:tcPr>
          <w:p w14:paraId="0FBC90EB"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Productor</w:t>
            </w:r>
          </w:p>
        </w:tc>
        <w:tc>
          <w:tcPr>
            <w:tcW w:w="1880" w:type="dxa"/>
            <w:hideMark/>
          </w:tcPr>
          <w:p w14:paraId="50103CF2" w14:textId="77777777"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lang w:val="es-CO"/>
              </w:rPr>
              <w:t>20</w:t>
            </w:r>
          </w:p>
        </w:tc>
      </w:tr>
      <w:tr w:rsidR="00D91178" w:rsidRPr="00D91178" w14:paraId="5E793730" w14:textId="77777777" w:rsidTr="00D91178">
        <w:trPr>
          <w:jc w:val="center"/>
        </w:trPr>
        <w:tc>
          <w:tcPr>
            <w:tcW w:w="6197" w:type="dxa"/>
            <w:hideMark/>
          </w:tcPr>
          <w:p w14:paraId="629F8B31"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lang w:val="es-CO"/>
              </w:rPr>
              <w:t>Refinador</w:t>
            </w:r>
          </w:p>
        </w:tc>
        <w:tc>
          <w:tcPr>
            <w:tcW w:w="1880" w:type="dxa"/>
            <w:hideMark/>
          </w:tcPr>
          <w:p w14:paraId="1DABAF85" w14:textId="77777777" w:rsidR="00D91178" w:rsidRPr="00D91178" w:rsidRDefault="00D91178" w:rsidP="00D91178">
            <w:pPr>
              <w:ind w:left="0"/>
              <w:jc w:val="center"/>
              <w:rPr>
                <w:rFonts w:ascii="Bookman Old Style" w:hAnsi="Bookman Old Style" w:cs="Arial"/>
                <w:lang w:val="es-CO"/>
              </w:rPr>
            </w:pPr>
            <w:r w:rsidRPr="00D91178">
              <w:rPr>
                <w:rFonts w:ascii="Bookman Old Style" w:hAnsi="Bookman Old Style" w:cs="Arial"/>
                <w:lang w:val="es-CO"/>
              </w:rPr>
              <w:t>11</w:t>
            </w:r>
          </w:p>
        </w:tc>
      </w:tr>
      <w:tr w:rsidR="00D91178" w:rsidRPr="00D91178" w14:paraId="77E97536" w14:textId="77777777" w:rsidTr="00D91178">
        <w:trPr>
          <w:trHeight w:val="115"/>
          <w:jc w:val="center"/>
        </w:trPr>
        <w:tc>
          <w:tcPr>
            <w:tcW w:w="6197" w:type="dxa"/>
            <w:hideMark/>
          </w:tcPr>
          <w:p w14:paraId="6083E11B" w14:textId="77777777" w:rsidR="00D91178" w:rsidRPr="00D91178" w:rsidRDefault="00D91178" w:rsidP="00D91178">
            <w:pPr>
              <w:ind w:left="0"/>
              <w:jc w:val="both"/>
              <w:rPr>
                <w:rFonts w:ascii="Bookman Old Style" w:hAnsi="Bookman Old Style" w:cs="Arial"/>
                <w:lang w:val="es-CO"/>
              </w:rPr>
            </w:pPr>
            <w:r w:rsidRPr="00D91178">
              <w:rPr>
                <w:rFonts w:ascii="Bookman Old Style" w:hAnsi="Bookman Old Style" w:cs="Arial"/>
                <w:b/>
                <w:bCs/>
                <w:lang w:val="es-CO"/>
              </w:rPr>
              <w:t>Total</w:t>
            </w:r>
          </w:p>
        </w:tc>
        <w:tc>
          <w:tcPr>
            <w:tcW w:w="1880" w:type="dxa"/>
            <w:hideMark/>
          </w:tcPr>
          <w:p w14:paraId="3E5FAFD6" w14:textId="4D42429C" w:rsidR="00D91178" w:rsidRPr="00D91178" w:rsidRDefault="00D91178" w:rsidP="00D91178">
            <w:pPr>
              <w:ind w:left="0"/>
              <w:jc w:val="center"/>
              <w:rPr>
                <w:rFonts w:ascii="Bookman Old Style" w:hAnsi="Bookman Old Style" w:cs="Arial"/>
                <w:lang w:val="es-CO"/>
              </w:rPr>
            </w:pPr>
            <w:r>
              <w:rPr>
                <w:rFonts w:ascii="Bookman Old Style" w:hAnsi="Bookman Old Style" w:cs="Arial"/>
                <w:b/>
                <w:bCs/>
                <w:lang w:val="es-CO"/>
              </w:rPr>
              <w:t>4.429</w:t>
            </w:r>
          </w:p>
        </w:tc>
      </w:tr>
    </w:tbl>
    <w:p w14:paraId="6877BAD4" w14:textId="69FEF437" w:rsidR="00866464" w:rsidRDefault="00866464" w:rsidP="00182AB0">
      <w:pPr>
        <w:ind w:left="0"/>
        <w:jc w:val="both"/>
        <w:rPr>
          <w:rFonts w:ascii="Bookman Old Style" w:hAnsi="Bookman Old Style" w:cs="Arial"/>
        </w:rPr>
      </w:pPr>
    </w:p>
    <w:p w14:paraId="3CBA4F13" w14:textId="5071932C" w:rsidR="00AB5B2E" w:rsidRDefault="00117D67" w:rsidP="009D17F2">
      <w:pPr>
        <w:ind w:left="0"/>
        <w:jc w:val="both"/>
        <w:rPr>
          <w:rFonts w:ascii="Bookman Old Style" w:hAnsi="Bookman Old Style" w:cs="Arial"/>
        </w:rPr>
      </w:pPr>
      <w:r>
        <w:rPr>
          <w:rFonts w:ascii="Bookman Old Style" w:hAnsi="Bookman Old Style" w:cs="Arial"/>
        </w:rPr>
        <w:t>C</w:t>
      </w:r>
      <w:r w:rsidR="009D17F2" w:rsidRPr="00E42BC0">
        <w:rPr>
          <w:rFonts w:ascii="Bookman Old Style" w:hAnsi="Bookman Old Style" w:cs="Arial"/>
        </w:rPr>
        <w:t xml:space="preserve">on ocasión de </w:t>
      </w:r>
      <w:r w:rsidR="009D17F2">
        <w:rPr>
          <w:rFonts w:ascii="Bookman Old Style" w:hAnsi="Bookman Old Style" w:cs="Arial"/>
        </w:rPr>
        <w:t>la adopción por parte de Colombia de</w:t>
      </w:r>
      <w:r w:rsidR="009D17F2" w:rsidRPr="00E42BC0">
        <w:rPr>
          <w:rFonts w:ascii="Bookman Old Style" w:hAnsi="Bookman Old Style" w:cs="Arial"/>
        </w:rPr>
        <w:t xml:space="preserve"> </w:t>
      </w:r>
      <w:r w:rsidR="009D17F2">
        <w:rPr>
          <w:rFonts w:ascii="Bookman Old Style" w:hAnsi="Bookman Old Style" w:cs="Arial"/>
        </w:rPr>
        <w:t xml:space="preserve">las </w:t>
      </w:r>
      <w:r w:rsidR="009D17F2" w:rsidRPr="00E42BC0">
        <w:rPr>
          <w:rFonts w:ascii="Bookman Old Style" w:hAnsi="Bookman Old Style" w:cs="Arial"/>
        </w:rPr>
        <w:t xml:space="preserve">Normas </w:t>
      </w:r>
      <w:r w:rsidR="009D17F2">
        <w:rPr>
          <w:rFonts w:ascii="Bookman Old Style" w:hAnsi="Bookman Old Style" w:cs="Arial"/>
        </w:rPr>
        <w:t xml:space="preserve">Internacionales </w:t>
      </w:r>
      <w:r w:rsidR="009D17F2" w:rsidRPr="00E42BC0">
        <w:rPr>
          <w:rFonts w:ascii="Bookman Old Style" w:hAnsi="Bookman Old Style" w:cs="Arial"/>
        </w:rPr>
        <w:t>de Información Financiera</w:t>
      </w:r>
      <w:r w:rsidR="00F65027">
        <w:rPr>
          <w:rFonts w:ascii="Bookman Old Style" w:hAnsi="Bookman Old Style" w:cs="Arial"/>
        </w:rPr>
        <w:t xml:space="preserve">, </w:t>
      </w:r>
      <w:r w:rsidR="009D17F2">
        <w:rPr>
          <w:rFonts w:ascii="Bookman Old Style" w:hAnsi="Bookman Old Style" w:cs="Arial"/>
        </w:rPr>
        <w:t>NIIF</w:t>
      </w:r>
      <w:r w:rsidR="00F65027">
        <w:rPr>
          <w:rFonts w:ascii="Bookman Old Style" w:hAnsi="Bookman Old Style" w:cs="Arial"/>
        </w:rPr>
        <w:t>,</w:t>
      </w:r>
      <w:r w:rsidR="009D17F2">
        <w:rPr>
          <w:rFonts w:ascii="Bookman Old Style" w:hAnsi="Bookman Old Style" w:cs="Arial"/>
        </w:rPr>
        <w:t xml:space="preserve"> para el sector privado</w:t>
      </w:r>
      <w:r w:rsidR="00B4539E">
        <w:rPr>
          <w:rFonts w:ascii="Bookman Old Style" w:hAnsi="Bookman Old Style" w:cs="Arial"/>
        </w:rPr>
        <w:t>,</w:t>
      </w:r>
      <w:r w:rsidR="009D17F2">
        <w:rPr>
          <w:rFonts w:ascii="Bookman Old Style" w:hAnsi="Bookman Old Style" w:cs="Arial"/>
        </w:rPr>
        <w:t xml:space="preserve"> y las Normas Internacionales de Contabilidad para el sector público</w:t>
      </w:r>
      <w:r w:rsidR="00F65027">
        <w:rPr>
          <w:rFonts w:ascii="Bookman Old Style" w:hAnsi="Bookman Old Style" w:cs="Arial"/>
        </w:rPr>
        <w:t xml:space="preserve">, </w:t>
      </w:r>
      <w:r w:rsidR="009D17F2">
        <w:rPr>
          <w:rFonts w:ascii="Bookman Old Style" w:hAnsi="Bookman Old Style" w:cs="Arial"/>
        </w:rPr>
        <w:t>NICSP</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éstas fueron incorporadas</w:t>
      </w:r>
      <w:r w:rsidR="009D17F2" w:rsidRPr="00E42BC0">
        <w:rPr>
          <w:rFonts w:ascii="Bookman Old Style" w:hAnsi="Bookman Old Style" w:cs="Arial"/>
        </w:rPr>
        <w:t xml:space="preserve"> en </w:t>
      </w:r>
      <w:r w:rsidR="009D17F2">
        <w:rPr>
          <w:rFonts w:ascii="Bookman Old Style" w:hAnsi="Bookman Old Style" w:cs="Arial"/>
        </w:rPr>
        <w:t xml:space="preserve">la legislación colombiana y </w:t>
      </w:r>
      <w:r w:rsidR="009D17F2" w:rsidRPr="00E42BC0">
        <w:rPr>
          <w:rFonts w:ascii="Bookman Old Style" w:hAnsi="Bookman Old Style" w:cs="Arial"/>
        </w:rPr>
        <w:t>constituyen</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por tanto</w:t>
      </w:r>
      <w:r w:rsidR="00B4539E">
        <w:rPr>
          <w:rFonts w:ascii="Bookman Old Style" w:hAnsi="Bookman Old Style" w:cs="Arial"/>
        </w:rPr>
        <w:t>,</w:t>
      </w:r>
      <w:r w:rsidR="009D17F2">
        <w:rPr>
          <w:rFonts w:ascii="Bookman Old Style" w:hAnsi="Bookman Old Style" w:cs="Arial"/>
        </w:rPr>
        <w:t xml:space="preserve"> el marco normativo contable vigente</w:t>
      </w:r>
      <w:r w:rsidR="009D17F2" w:rsidRPr="00E42BC0">
        <w:rPr>
          <w:rFonts w:ascii="Bookman Old Style" w:hAnsi="Bookman Old Style" w:cs="Arial"/>
        </w:rPr>
        <w:t>.</w:t>
      </w:r>
    </w:p>
    <w:p w14:paraId="3A5F480D" w14:textId="77777777" w:rsidR="00341C00" w:rsidRDefault="00341C00" w:rsidP="009D17F2">
      <w:pPr>
        <w:ind w:left="0"/>
        <w:jc w:val="both"/>
        <w:rPr>
          <w:rFonts w:ascii="Bookman Old Style" w:hAnsi="Bookman Old Style" w:cs="Arial"/>
        </w:rPr>
      </w:pPr>
    </w:p>
    <w:p w14:paraId="527871A7" w14:textId="5579BD48" w:rsidR="009D17F2" w:rsidRDefault="00117D67" w:rsidP="009D17F2">
      <w:pPr>
        <w:ind w:left="0"/>
        <w:jc w:val="both"/>
        <w:rPr>
          <w:rFonts w:ascii="Bookman Old Style" w:hAnsi="Bookman Old Style" w:cs="Arial"/>
        </w:rPr>
      </w:pPr>
      <w:r>
        <w:rPr>
          <w:rFonts w:ascii="Bookman Old Style" w:hAnsi="Bookman Old Style" w:cs="Arial"/>
        </w:rPr>
        <w:t>E</w:t>
      </w:r>
      <w:r w:rsidR="009D17F2" w:rsidRPr="00B43967">
        <w:rPr>
          <w:rFonts w:ascii="Bookman Old Style" w:hAnsi="Bookman Old Style" w:cs="Arial"/>
        </w:rPr>
        <w:t>l Congreso de la República expidió la Ley 1314 de 2009</w:t>
      </w:r>
      <w:r w:rsidR="009D17F2">
        <w:rPr>
          <w:rStyle w:val="Refdenotaalpie"/>
          <w:rFonts w:ascii="Bookman Old Style" w:hAnsi="Bookman Old Style" w:cs="Arial"/>
        </w:rPr>
        <w:footnoteReference w:id="1"/>
      </w:r>
      <w:r w:rsidR="009D17F2" w:rsidRPr="00B43967">
        <w:rPr>
          <w:rFonts w:ascii="Bookman Old Style" w:hAnsi="Bookman Old Style" w:cs="Arial"/>
        </w:rPr>
        <w:t>, y con fundamento en ella, el Gobierno Na</w:t>
      </w:r>
      <w:r w:rsidR="009D17F2">
        <w:rPr>
          <w:rFonts w:ascii="Bookman Old Style" w:hAnsi="Bookman Old Style" w:cs="Arial"/>
        </w:rPr>
        <w:t>cional</w:t>
      </w:r>
      <w:r w:rsidR="00B4539E">
        <w:rPr>
          <w:rFonts w:ascii="Bookman Old Style" w:hAnsi="Bookman Old Style" w:cs="Arial"/>
        </w:rPr>
        <w:t>,</w:t>
      </w:r>
      <w:r w:rsidR="009D17F2">
        <w:rPr>
          <w:rFonts w:ascii="Bookman Old Style" w:hAnsi="Bookman Old Style" w:cs="Arial"/>
        </w:rPr>
        <w:t xml:space="preserve"> mediante el </w:t>
      </w:r>
      <w:r w:rsidR="00A10383">
        <w:rPr>
          <w:rFonts w:ascii="Bookman Old Style" w:hAnsi="Bookman Old Style" w:cs="Arial"/>
        </w:rPr>
        <w:t>Decreto Único Reglamentario (</w:t>
      </w:r>
      <w:r w:rsidR="009D17F2">
        <w:rPr>
          <w:rFonts w:ascii="Bookman Old Style" w:hAnsi="Bookman Old Style" w:cs="Arial"/>
        </w:rPr>
        <w:t>DUR</w:t>
      </w:r>
      <w:r w:rsidR="00A10383">
        <w:rPr>
          <w:rFonts w:ascii="Bookman Old Style" w:hAnsi="Bookman Old Style" w:cs="Arial"/>
        </w:rPr>
        <w:t>)</w:t>
      </w:r>
      <w:r w:rsidR="009D17F2">
        <w:rPr>
          <w:rFonts w:ascii="Bookman Old Style" w:hAnsi="Bookman Old Style" w:cs="Arial"/>
        </w:rPr>
        <w:t xml:space="preserve"> </w:t>
      </w:r>
      <w:proofErr w:type="spellStart"/>
      <w:r w:rsidR="009D17F2">
        <w:rPr>
          <w:rFonts w:ascii="Bookman Old Style" w:hAnsi="Bookman Old Style" w:cs="Arial"/>
        </w:rPr>
        <w:t>N°</w:t>
      </w:r>
      <w:proofErr w:type="spellEnd"/>
      <w:r w:rsidR="009D17F2">
        <w:rPr>
          <w:rFonts w:ascii="Bookman Old Style" w:hAnsi="Bookman Old Style" w:cs="Arial"/>
        </w:rPr>
        <w:t xml:space="preserve"> </w:t>
      </w:r>
      <w:r w:rsidR="009D17F2">
        <w:rPr>
          <w:rFonts w:ascii="Bookman Old Style" w:hAnsi="Bookman Old Style" w:cs="Arial"/>
        </w:rPr>
        <w:lastRenderedPageBreak/>
        <w:t>2420</w:t>
      </w:r>
      <w:r w:rsidR="009D17F2" w:rsidRPr="00B43967">
        <w:rPr>
          <w:rFonts w:ascii="Bookman Old Style" w:hAnsi="Bookman Old Style" w:cs="Arial"/>
        </w:rPr>
        <w:t xml:space="preserve"> del 14 de diciembre de 2015</w:t>
      </w:r>
      <w:r w:rsidR="009D17F2">
        <w:rPr>
          <w:rStyle w:val="Refdenotaalpie"/>
          <w:rFonts w:ascii="Bookman Old Style" w:hAnsi="Bookman Old Style" w:cs="Arial"/>
        </w:rPr>
        <w:footnoteReference w:id="2"/>
      </w:r>
      <w:r w:rsidR="009D17F2" w:rsidRPr="00B43967">
        <w:rPr>
          <w:rFonts w:ascii="Bookman Old Style" w:hAnsi="Bookman Old Style" w:cs="Arial"/>
        </w:rPr>
        <w:t xml:space="preserve"> y demás normas que los modifiquen, compilado en el Decreto 2483 del 28 de diciembre de 2018</w:t>
      </w:r>
      <w:r w:rsidR="009D17F2">
        <w:rPr>
          <w:rStyle w:val="Refdenotaalpie"/>
          <w:rFonts w:ascii="Bookman Old Style" w:hAnsi="Bookman Old Style" w:cs="Arial"/>
        </w:rPr>
        <w:footnoteReference w:id="3"/>
      </w:r>
      <w:r w:rsidR="009D17F2" w:rsidRPr="00B43967">
        <w:rPr>
          <w:rFonts w:ascii="Bookman Old Style" w:hAnsi="Bookman Old Style" w:cs="Arial"/>
        </w:rPr>
        <w:t>, estableció los criterios para que los preparadores de información financiera se clasificaran en diferentes grupos</w:t>
      </w:r>
      <w:r w:rsidR="009D17F2">
        <w:rPr>
          <w:rFonts w:ascii="Bookman Old Style" w:hAnsi="Bookman Old Style" w:cs="Arial"/>
        </w:rPr>
        <w:t xml:space="preserve"> </w:t>
      </w:r>
      <w:r w:rsidR="009D17F2" w:rsidRPr="009D17F2">
        <w:rPr>
          <w:rFonts w:ascii="Bookman Old Style" w:hAnsi="Bookman Old Style" w:cs="Arial"/>
        </w:rPr>
        <w:t>de acuerdo con sus características</w:t>
      </w:r>
      <w:r w:rsidR="00B4539E">
        <w:rPr>
          <w:rFonts w:ascii="Bookman Old Style" w:hAnsi="Bookman Old Style" w:cs="Arial"/>
        </w:rPr>
        <w:t>,</w:t>
      </w:r>
      <w:r w:rsidR="009D17F2" w:rsidRPr="009D17F2">
        <w:rPr>
          <w:rFonts w:ascii="Bookman Old Style" w:hAnsi="Bookman Old Style" w:cs="Arial"/>
        </w:rPr>
        <w:t xml:space="preserve"> e igualmente se adoptaron los marcos técnicos normativos para cada grupo.</w:t>
      </w:r>
    </w:p>
    <w:p w14:paraId="6A34947C" w14:textId="77777777" w:rsidR="009D17F2" w:rsidRDefault="009D17F2" w:rsidP="009D17F2">
      <w:pPr>
        <w:ind w:left="0"/>
        <w:jc w:val="both"/>
        <w:rPr>
          <w:rFonts w:ascii="Bookman Old Style" w:hAnsi="Bookman Old Style" w:cs="Arial"/>
        </w:rPr>
      </w:pPr>
    </w:p>
    <w:p w14:paraId="7E313C06" w14:textId="6F43DF13" w:rsidR="00127AB5" w:rsidRDefault="00117D67" w:rsidP="009D17F2">
      <w:pPr>
        <w:ind w:left="0"/>
        <w:jc w:val="both"/>
        <w:rPr>
          <w:rFonts w:ascii="Bookman Old Style" w:hAnsi="Bookman Old Style" w:cs="Arial"/>
        </w:rPr>
      </w:pPr>
      <w:r>
        <w:rPr>
          <w:rFonts w:ascii="Bookman Old Style" w:hAnsi="Bookman Old Style" w:cs="Arial"/>
        </w:rPr>
        <w:t>L</w:t>
      </w:r>
      <w:r w:rsidR="009D17F2" w:rsidRPr="00CB0396">
        <w:rPr>
          <w:rFonts w:ascii="Bookman Old Style" w:hAnsi="Bookman Old Style" w:cs="Arial"/>
        </w:rPr>
        <w:t>a Contaduría General de la Nación</w:t>
      </w:r>
      <w:r w:rsidR="00F65027">
        <w:rPr>
          <w:rFonts w:ascii="Bookman Old Style" w:hAnsi="Bookman Old Style" w:cs="Arial"/>
        </w:rPr>
        <w:t xml:space="preserve">, </w:t>
      </w:r>
      <w:r w:rsidR="009D17F2">
        <w:rPr>
          <w:rFonts w:ascii="Bookman Old Style" w:hAnsi="Bookman Old Style" w:cs="Arial"/>
        </w:rPr>
        <w:t>CGN</w:t>
      </w:r>
      <w:r w:rsidR="009D17F2" w:rsidRPr="00CB0396">
        <w:rPr>
          <w:rFonts w:ascii="Bookman Old Style" w:hAnsi="Bookman Old Style" w:cs="Arial"/>
        </w:rPr>
        <w:t xml:space="preserve">, expidió las Resoluciones </w:t>
      </w:r>
      <w:proofErr w:type="spellStart"/>
      <w:r w:rsidR="009D17F2">
        <w:rPr>
          <w:rFonts w:ascii="Bookman Old Style" w:hAnsi="Bookman Old Style" w:cs="Arial"/>
        </w:rPr>
        <w:t>N°</w:t>
      </w:r>
      <w:proofErr w:type="spellEnd"/>
      <w:r w:rsidR="009D17F2">
        <w:rPr>
          <w:rFonts w:ascii="Bookman Old Style" w:hAnsi="Bookman Old Style" w:cs="Arial"/>
        </w:rPr>
        <w:t xml:space="preserve"> 414 de 2014</w:t>
      </w:r>
      <w:r w:rsidR="009D17F2">
        <w:rPr>
          <w:rStyle w:val="Refdenotaalpie"/>
          <w:rFonts w:ascii="Bookman Old Style" w:hAnsi="Bookman Old Style" w:cs="Arial"/>
        </w:rPr>
        <w:footnoteReference w:id="4"/>
      </w:r>
      <w:r w:rsidR="009D17F2">
        <w:rPr>
          <w:rFonts w:ascii="Bookman Old Style" w:hAnsi="Bookman Old Style" w:cs="Arial"/>
        </w:rPr>
        <w:t xml:space="preserve"> </w:t>
      </w:r>
      <w:r w:rsidR="009D17F2" w:rsidRPr="00CB0396">
        <w:rPr>
          <w:rFonts w:ascii="Bookman Old Style" w:hAnsi="Bookman Old Style" w:cs="Arial"/>
        </w:rPr>
        <w:t xml:space="preserve">y </w:t>
      </w:r>
      <w:proofErr w:type="spellStart"/>
      <w:r w:rsidR="009D17F2">
        <w:rPr>
          <w:rFonts w:ascii="Bookman Old Style" w:hAnsi="Bookman Old Style" w:cs="Arial"/>
        </w:rPr>
        <w:t>N°</w:t>
      </w:r>
      <w:proofErr w:type="spellEnd"/>
      <w:r w:rsidR="009D17F2">
        <w:rPr>
          <w:rFonts w:ascii="Bookman Old Style" w:hAnsi="Bookman Old Style" w:cs="Arial"/>
        </w:rPr>
        <w:t xml:space="preserve"> 533 de 2015</w:t>
      </w:r>
      <w:r w:rsidR="009D17F2">
        <w:rPr>
          <w:rStyle w:val="Refdenotaalpie"/>
          <w:rFonts w:ascii="Bookman Old Style" w:hAnsi="Bookman Old Style" w:cs="Arial"/>
        </w:rPr>
        <w:footnoteReference w:id="5"/>
      </w:r>
      <w:r w:rsidR="009D17F2" w:rsidRPr="00CB0396">
        <w:rPr>
          <w:rFonts w:ascii="Bookman Old Style" w:hAnsi="Bookman Old Style" w:cs="Arial"/>
        </w:rPr>
        <w:t>, aplicables a las empresas sujetas al ámbito de su competencia y a las entidades del gobierno. Posteriormente</w:t>
      </w:r>
      <w:r w:rsidR="00B4539E">
        <w:rPr>
          <w:rFonts w:ascii="Bookman Old Style" w:hAnsi="Bookman Old Style" w:cs="Arial"/>
        </w:rPr>
        <w:t>,</w:t>
      </w:r>
      <w:r w:rsidR="009D17F2" w:rsidRPr="00CB0396">
        <w:rPr>
          <w:rFonts w:ascii="Bookman Old Style" w:hAnsi="Bookman Old Style" w:cs="Arial"/>
        </w:rPr>
        <w:t xml:space="preserve"> </w:t>
      </w:r>
      <w:r w:rsidR="009D17F2">
        <w:rPr>
          <w:rFonts w:ascii="Bookman Old Style" w:hAnsi="Bookman Old Style" w:cs="Arial"/>
        </w:rPr>
        <w:t xml:space="preserve">la CGN </w:t>
      </w:r>
      <w:r w:rsidR="009D17F2" w:rsidRPr="00CB0396">
        <w:rPr>
          <w:rFonts w:ascii="Bookman Old Style" w:hAnsi="Bookman Old Style" w:cs="Arial"/>
        </w:rPr>
        <w:t xml:space="preserve">emitió la Resolución </w:t>
      </w:r>
      <w:proofErr w:type="spellStart"/>
      <w:r w:rsidR="009D17F2">
        <w:rPr>
          <w:rFonts w:ascii="Bookman Old Style" w:hAnsi="Bookman Old Style" w:cs="Arial"/>
        </w:rPr>
        <w:t>N°</w:t>
      </w:r>
      <w:proofErr w:type="spellEnd"/>
      <w:r w:rsidR="009D17F2">
        <w:rPr>
          <w:rFonts w:ascii="Bookman Old Style" w:hAnsi="Bookman Old Style" w:cs="Arial"/>
        </w:rPr>
        <w:t xml:space="preserve"> </w:t>
      </w:r>
      <w:r w:rsidR="009D17F2" w:rsidRPr="00CB0396">
        <w:rPr>
          <w:rFonts w:ascii="Bookman Old Style" w:hAnsi="Bookman Old Style" w:cs="Arial"/>
        </w:rPr>
        <w:t>037 de 2017</w:t>
      </w:r>
      <w:r w:rsidR="009D17F2">
        <w:rPr>
          <w:rStyle w:val="Refdenotaalpie"/>
          <w:rFonts w:ascii="Bookman Old Style" w:hAnsi="Bookman Old Style" w:cs="Arial"/>
        </w:rPr>
        <w:footnoteReference w:id="6"/>
      </w:r>
      <w:r w:rsidR="00D65E78">
        <w:rPr>
          <w:rFonts w:ascii="Bookman Old Style" w:hAnsi="Bookman Old Style" w:cs="Arial"/>
        </w:rPr>
        <w:t>.</w:t>
      </w:r>
    </w:p>
    <w:p w14:paraId="41D8B05C" w14:textId="77777777" w:rsidR="00127AB5" w:rsidRDefault="00127AB5" w:rsidP="009D17F2">
      <w:pPr>
        <w:ind w:left="0"/>
        <w:jc w:val="both"/>
        <w:rPr>
          <w:rFonts w:ascii="Bookman Old Style" w:hAnsi="Bookman Old Style" w:cs="Arial"/>
        </w:rPr>
      </w:pPr>
    </w:p>
    <w:p w14:paraId="30F28EC4" w14:textId="513F4DFD" w:rsidR="00127AB5" w:rsidRDefault="00B4539E" w:rsidP="009D17F2">
      <w:pPr>
        <w:ind w:left="0"/>
        <w:jc w:val="both"/>
        <w:rPr>
          <w:rFonts w:ascii="Bookman Old Style" w:hAnsi="Bookman Old Style" w:cs="Arial"/>
        </w:rPr>
      </w:pPr>
      <w:r>
        <w:rPr>
          <w:rFonts w:ascii="Bookman Old Style" w:hAnsi="Bookman Old Style" w:cs="Arial"/>
        </w:rPr>
        <w:t>En e</w:t>
      </w:r>
      <w:r w:rsidR="00127AB5" w:rsidRPr="00127AB5">
        <w:rPr>
          <w:rFonts w:ascii="Bookman Old Style" w:hAnsi="Bookman Old Style" w:cs="Arial"/>
        </w:rPr>
        <w:t>l marco de la mencionada ley, se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CD5E2E8" w14:textId="77777777" w:rsidR="00A10383" w:rsidRDefault="00A10383" w:rsidP="009D17F2">
      <w:pPr>
        <w:ind w:left="0"/>
        <w:jc w:val="both"/>
        <w:rPr>
          <w:rFonts w:ascii="Bookman Old Style" w:hAnsi="Bookman Old Style" w:cs="Arial"/>
        </w:rPr>
      </w:pPr>
    </w:p>
    <w:p w14:paraId="46863841" w14:textId="2281AFA8" w:rsidR="00BF13B8" w:rsidRDefault="00117D67" w:rsidP="00515AB6">
      <w:pPr>
        <w:ind w:left="0"/>
        <w:jc w:val="both"/>
        <w:rPr>
          <w:rFonts w:ascii="Bookman Old Style" w:hAnsi="Bookman Old Style" w:cs="Arial"/>
        </w:rPr>
      </w:pPr>
      <w:r>
        <w:rPr>
          <w:rFonts w:ascii="Bookman Old Style" w:hAnsi="Bookman Old Style" w:cs="Arial"/>
        </w:rPr>
        <w:t>E</w:t>
      </w:r>
      <w:r w:rsidR="00BF13B8">
        <w:rPr>
          <w:rFonts w:ascii="Bookman Old Style" w:hAnsi="Bookman Old Style" w:cs="Arial"/>
        </w:rPr>
        <w:t xml:space="preserve">l artículo 85 de la Ley 142 de 1994, aplicable a la liquidación de la contribución especial para </w:t>
      </w:r>
      <w:r w:rsidR="00FE08E5">
        <w:rPr>
          <w:rFonts w:ascii="Bookman Old Style" w:hAnsi="Bookman Old Style" w:cs="Arial"/>
        </w:rPr>
        <w:t>l</w:t>
      </w:r>
      <w:r w:rsidR="00BF13B8">
        <w:rPr>
          <w:rFonts w:ascii="Bookman Old Style" w:hAnsi="Bookman Old Style" w:cs="Arial"/>
        </w:rPr>
        <w:t>a vigencia 20</w:t>
      </w:r>
      <w:r w:rsidR="00817EB7">
        <w:rPr>
          <w:rFonts w:ascii="Bookman Old Style" w:hAnsi="Bookman Old Style" w:cs="Arial"/>
        </w:rPr>
        <w:t>20</w:t>
      </w:r>
      <w:r w:rsidR="00BF13B8">
        <w:rPr>
          <w:rFonts w:ascii="Bookman Old Style" w:hAnsi="Bookman Old Style" w:cs="Arial"/>
        </w:rPr>
        <w:t>, establece:</w:t>
      </w:r>
    </w:p>
    <w:p w14:paraId="2628F932" w14:textId="57FE7869" w:rsidR="00BF13B8" w:rsidRDefault="00BF13B8" w:rsidP="00515AB6">
      <w:pPr>
        <w:ind w:left="0"/>
        <w:jc w:val="both"/>
        <w:rPr>
          <w:rFonts w:ascii="Bookman Old Style" w:hAnsi="Bookman Old Style" w:cs="Arial"/>
        </w:rPr>
      </w:pPr>
    </w:p>
    <w:p w14:paraId="238B773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Con el fin de financiar los gastos de funcionamiento e inversión de la CREG, la CRA y la SSPD, y en general recuperar los costos del servicio, las personas prestadoras y entidades sujetas a la regulación, inspección, vigilancia y control de las respectivas entidades, serán sujetos pasivos del pago de las contribuciones especiales anuales descritas en el presente artículo, cuyas tarifas serán determinadas por las entidades respectivas y las cuales no podrán ser superiores al uno por ciento (1%) de las respectivas bases gravables. Los elementos de las contribuciones a que hace referencia el presente artículo serán:</w:t>
      </w:r>
    </w:p>
    <w:p w14:paraId="386A19AE" w14:textId="77777777" w:rsidR="00817EB7" w:rsidRPr="00817EB7" w:rsidRDefault="00817EB7" w:rsidP="00B4539E">
      <w:pPr>
        <w:ind w:left="284" w:right="6"/>
        <w:jc w:val="both"/>
        <w:rPr>
          <w:rFonts w:ascii="Bookman Old Style" w:hAnsi="Bookman Old Style" w:cs="Arial"/>
          <w:i/>
          <w:iCs/>
        </w:rPr>
      </w:pPr>
    </w:p>
    <w:p w14:paraId="5967FCB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1. Base gravable: 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 este resultado se denomina costos y gastos totales depurados. Este valor se multiplicará por la división de los ingresos por actividades ordinarias reguladas y el total de ingresos por actividades ordinarias, conforme a los estados financieros de la vigencia fiscal anterior a la cual se haga su cobro. La base gravable descrita se calculará para cada sujeto pasivo así:</w:t>
      </w:r>
    </w:p>
    <w:p w14:paraId="05576795" w14:textId="77777777" w:rsidR="00817EB7" w:rsidRPr="00817EB7" w:rsidRDefault="00817EB7" w:rsidP="00B4539E">
      <w:pPr>
        <w:ind w:left="284" w:right="6"/>
        <w:jc w:val="both"/>
        <w:rPr>
          <w:rFonts w:ascii="Bookman Old Style" w:hAnsi="Bookman Old Style" w:cs="Arial"/>
          <w:i/>
          <w:iCs/>
        </w:rPr>
      </w:pPr>
    </w:p>
    <w:p w14:paraId="052D63D9"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 xml:space="preserve">Base gravable = (Costos y Gastos totales depurados) * (Total ingresos actividades ordinarias y sus actividades complementarias de servicios sujetas </w:t>
      </w:r>
      <w:r w:rsidRPr="00817EB7">
        <w:rPr>
          <w:rFonts w:ascii="Bookman Old Style" w:hAnsi="Bookman Old Style" w:cs="Arial"/>
          <w:i/>
          <w:iCs/>
        </w:rPr>
        <w:lastRenderedPageBreak/>
        <w:t>a inspección vigilancia, control y regulación devengados en el período) / (Total de ingresos de actividades ordinarias devengados en el período).</w:t>
      </w:r>
    </w:p>
    <w:p w14:paraId="395C2F75" w14:textId="77777777" w:rsidR="00817EB7" w:rsidRPr="00817EB7" w:rsidRDefault="00817EB7" w:rsidP="00B4539E">
      <w:pPr>
        <w:ind w:left="284" w:right="6"/>
        <w:jc w:val="both"/>
        <w:rPr>
          <w:rFonts w:ascii="Bookman Old Style" w:hAnsi="Bookman Old Style" w:cs="Arial"/>
          <w:i/>
          <w:iCs/>
        </w:rPr>
      </w:pPr>
    </w:p>
    <w:p w14:paraId="20957B1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Se entenderá que es un tercero independiente siempre que no cumpla con alguno de los criterios de vinculación previstos en el artículo 260-1 del Estatuto Tributario.</w:t>
      </w:r>
    </w:p>
    <w:p w14:paraId="21A0D8AF" w14:textId="77777777" w:rsidR="00817EB7" w:rsidRPr="00817EB7" w:rsidRDefault="00817EB7" w:rsidP="00B4539E">
      <w:pPr>
        <w:ind w:left="284" w:right="6"/>
        <w:jc w:val="both"/>
        <w:rPr>
          <w:rFonts w:ascii="Bookman Old Style" w:hAnsi="Bookman Old Style" w:cs="Arial"/>
          <w:i/>
          <w:iCs/>
        </w:rPr>
      </w:pPr>
    </w:p>
    <w:p w14:paraId="32A5808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2. Tarifa: La tarifa de cada contribución especial se determinará por cada uno de los sujetos activos de la contribución de manera independiente, tomando el valor del presupuesto neto de la entidad correspondiente en el año a financiar, incluidos la totalidad de gastos de funcionamiento e inversión, el cual se dividirá por la suma de las bases gravables determinadas para los sujetos pasivos conforme a los estados financieros de la vigencia fiscal anterior.</w:t>
      </w:r>
    </w:p>
    <w:p w14:paraId="124165EF" w14:textId="77777777" w:rsidR="00817EB7" w:rsidRPr="00817EB7" w:rsidRDefault="00817EB7" w:rsidP="00B4539E">
      <w:pPr>
        <w:ind w:left="284" w:right="6"/>
        <w:jc w:val="both"/>
        <w:rPr>
          <w:rFonts w:ascii="Bookman Old Style" w:hAnsi="Bookman Old Style" w:cs="Arial"/>
          <w:i/>
          <w:iCs/>
        </w:rPr>
      </w:pPr>
    </w:p>
    <w:p w14:paraId="71F04AF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Tarifa de contribución de sujeto activo = (Presupuesto a financiar de sujeto activo) / (Suma de bases gravables de sujetos pasivos).</w:t>
      </w:r>
    </w:p>
    <w:p w14:paraId="2A785745" w14:textId="77777777" w:rsidR="00817EB7" w:rsidRPr="00817EB7" w:rsidRDefault="00817EB7" w:rsidP="00B4539E">
      <w:pPr>
        <w:ind w:left="284" w:right="6"/>
        <w:jc w:val="both"/>
        <w:rPr>
          <w:rFonts w:ascii="Bookman Old Style" w:hAnsi="Bookman Old Style" w:cs="Arial"/>
          <w:i/>
          <w:iCs/>
        </w:rPr>
      </w:pPr>
    </w:p>
    <w:p w14:paraId="65B8C9CE"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 xml:space="preserve">3. Hecho generador. El hecho generador de cada contribución especial por parte de los sujetos </w:t>
      </w:r>
      <w:proofErr w:type="gramStart"/>
      <w:r w:rsidRPr="00817EB7">
        <w:rPr>
          <w:rFonts w:ascii="Bookman Old Style" w:hAnsi="Bookman Old Style" w:cs="Arial"/>
          <w:i/>
          <w:iCs/>
        </w:rPr>
        <w:t>pasivos,</w:t>
      </w:r>
      <w:proofErr w:type="gramEnd"/>
      <w:r w:rsidRPr="00817EB7">
        <w:rPr>
          <w:rFonts w:ascii="Bookman Old Style" w:hAnsi="Bookman Old Style" w:cs="Arial"/>
          <w:i/>
          <w:iCs/>
        </w:rPr>
        <w:t xml:space="preserve"> será la prestación de los servicios sometidos a inspección, control, vigilancia y la venta de sus bienes vigilados o regulados.</w:t>
      </w:r>
    </w:p>
    <w:p w14:paraId="7D22D892" w14:textId="77777777" w:rsidR="00817EB7" w:rsidRPr="00817EB7" w:rsidRDefault="00817EB7" w:rsidP="00B4539E">
      <w:pPr>
        <w:ind w:left="284" w:right="6"/>
        <w:jc w:val="both"/>
        <w:rPr>
          <w:rFonts w:ascii="Bookman Old Style" w:hAnsi="Bookman Old Style" w:cs="Arial"/>
          <w:i/>
          <w:iCs/>
        </w:rPr>
      </w:pPr>
    </w:p>
    <w:p w14:paraId="3CDB5918"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4. Sujetos pasivos. Los sujetos pasivos de la contribución especial son las personas prestadoras de servicios públicos domiciliarios, conforme a los artículos 15 y 16 de la Ley 142 de 1994, y todos aquellos que inciden directa o 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61 de la Ley 812 de 2003 y el Decreto número 4299 de 2005, o las normas que lo modifiquen, sustituyan o deroguen, con excepción de los distribuidores minoristas en estación de servicio en un municipio ubicado en zona de frontera.</w:t>
      </w:r>
    </w:p>
    <w:p w14:paraId="45F5B187" w14:textId="77777777" w:rsidR="00817EB7" w:rsidRPr="00817EB7" w:rsidRDefault="00817EB7" w:rsidP="00B4539E">
      <w:pPr>
        <w:ind w:left="284" w:right="6"/>
        <w:jc w:val="both"/>
        <w:rPr>
          <w:rFonts w:ascii="Bookman Old Style" w:hAnsi="Bookman Old Style" w:cs="Arial"/>
          <w:i/>
          <w:iCs/>
        </w:rPr>
      </w:pPr>
    </w:p>
    <w:p w14:paraId="7DA870A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1o. El Gobierno nacional reglamentará las características y condiciones especiales que se requieran para la determinación de las contribuciones especiales a que hace referencia el presente artículo, así como los asuntos relacionados con la declaración, administración, fiscalización, el cálculo, cobro, recaudo y aplicación del anticipo y demás aspectos relacionados con obligaciones formales y de procedimiento. Las sanciones e intereses por el incumplimiento de las obligaciones formales y sustanciales relacionadas con la contribución especial serán las mismas establecidas en el Estatuto Tributario para el impuesto sobre la renta y complementarios.</w:t>
      </w:r>
    </w:p>
    <w:p w14:paraId="41F6334C" w14:textId="77777777" w:rsidR="00817EB7" w:rsidRPr="00817EB7" w:rsidRDefault="00817EB7" w:rsidP="00B4539E">
      <w:pPr>
        <w:ind w:left="284" w:right="6"/>
        <w:jc w:val="both"/>
        <w:rPr>
          <w:rFonts w:ascii="Bookman Old Style" w:hAnsi="Bookman Old Style" w:cs="Arial"/>
          <w:i/>
          <w:iCs/>
        </w:rPr>
      </w:pPr>
    </w:p>
    <w:p w14:paraId="1D1ABDD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2o. El manejo de los recursos del pago de las contribuciones especiales de la CRA y la CREG a que hace referencia el presente artículo se realizará de acuerdo con los mecanismos previstos en los artículos 72 de la Ley 142 de 1994 y 21 de la Ley 143 de 1994. En el evento de existir excedentes de la contribución especial de la CREG provenientes de las actividades reguladas de combustibles líquidos, debido a recursos no ejecutados en el período presupuestal, dichos excedentes serán compensados al pago de la contribución especial de cada empresa del sector de combustibles líquidos en la siguiente vigencia fiscal.</w:t>
      </w:r>
    </w:p>
    <w:p w14:paraId="5B7A4BC9" w14:textId="03D5DBFC" w:rsidR="00817EB7" w:rsidRPr="00817EB7" w:rsidRDefault="00817EB7" w:rsidP="006A00CC">
      <w:pPr>
        <w:ind w:left="284" w:right="6"/>
        <w:jc w:val="both"/>
        <w:rPr>
          <w:rFonts w:ascii="Bookman Old Style" w:hAnsi="Bookman Old Style" w:cs="Arial"/>
          <w:i/>
          <w:iCs/>
        </w:rPr>
      </w:pPr>
      <w:r w:rsidRPr="00817EB7">
        <w:rPr>
          <w:rFonts w:ascii="Bookman Old Style" w:hAnsi="Bookman Old Style" w:cs="Arial"/>
          <w:i/>
          <w:iCs/>
        </w:rPr>
        <w:lastRenderedPageBreak/>
        <w:t>PARÁGRAFO 3o. Los sujetos pasivos objeto de la presente contribución están obligados a reportar a más tardar el 30 de abril de cada vigencia la información requerida para el cálculo de la tarifa y la liquidación de la contribución especial en el formato que para el efecto defina la CRA, la CREG y la SSPD a través del SUI</w:t>
      </w:r>
      <w:r w:rsidR="006A00CC">
        <w:rPr>
          <w:rFonts w:ascii="Bookman Old Style" w:hAnsi="Bookman Old Style" w:cs="Arial"/>
          <w:i/>
          <w:iCs/>
        </w:rPr>
        <w:t>.</w:t>
      </w:r>
    </w:p>
    <w:p w14:paraId="7DBA5800" w14:textId="77777777" w:rsidR="00817EB7" w:rsidRPr="00817EB7" w:rsidRDefault="00817EB7" w:rsidP="00B4539E">
      <w:pPr>
        <w:ind w:left="284" w:right="6"/>
        <w:jc w:val="both"/>
        <w:rPr>
          <w:rFonts w:ascii="Bookman Old Style" w:hAnsi="Bookman Old Style" w:cs="Arial"/>
          <w:i/>
          <w:iCs/>
        </w:rPr>
      </w:pPr>
    </w:p>
    <w:p w14:paraId="70CEED1C"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El no reporte de información, en las condiciones de oportunidad, calidad e integralidad definidos por la SSPD, generará la imposición de las sanciones a que hubiere lugar.</w:t>
      </w:r>
    </w:p>
    <w:p w14:paraId="1C4014A3" w14:textId="6BD46094" w:rsidR="00817EB7" w:rsidRDefault="00817EB7" w:rsidP="00817EB7">
      <w:pPr>
        <w:ind w:left="0"/>
        <w:jc w:val="both"/>
        <w:rPr>
          <w:rFonts w:ascii="Bookman Old Style" w:hAnsi="Bookman Old Style" w:cs="Arial"/>
          <w:i/>
        </w:rPr>
      </w:pPr>
    </w:p>
    <w:p w14:paraId="4D8A0640" w14:textId="47BB156B" w:rsidR="003C12CE" w:rsidRPr="004437BD" w:rsidRDefault="003C12CE" w:rsidP="00817EB7">
      <w:pPr>
        <w:ind w:left="0"/>
        <w:jc w:val="both"/>
        <w:rPr>
          <w:rFonts w:ascii="Bookman Old Style" w:hAnsi="Bookman Old Style" w:cs="Arial"/>
          <w:iCs/>
        </w:rPr>
      </w:pPr>
      <w:r w:rsidRPr="003C12CE">
        <w:rPr>
          <w:rFonts w:ascii="Bookman Old Style" w:hAnsi="Bookman Old Style" w:cs="Arial"/>
          <w:iCs/>
        </w:rPr>
        <w:t>La Corte Constitucional, por medio del comunicado de prensa de</w:t>
      </w:r>
      <w:r w:rsidR="00F65027">
        <w:rPr>
          <w:rFonts w:ascii="Bookman Old Style" w:hAnsi="Bookman Old Style" w:cs="Arial"/>
          <w:iCs/>
        </w:rPr>
        <w:t>l</w:t>
      </w:r>
      <w:r w:rsidRPr="003C12CE">
        <w:rPr>
          <w:rFonts w:ascii="Bookman Old Style" w:hAnsi="Bookman Old Style" w:cs="Arial"/>
          <w:iCs/>
        </w:rPr>
        <w:t xml:space="preserve"> 19 de noviembre de 2020, informó que</w:t>
      </w:r>
      <w:r w:rsidR="00F65027">
        <w:rPr>
          <w:rFonts w:ascii="Bookman Old Style" w:hAnsi="Bookman Old Style" w:cs="Arial"/>
          <w:iCs/>
        </w:rPr>
        <w:t>,</w:t>
      </w:r>
      <w:r w:rsidRPr="003C12CE">
        <w:rPr>
          <w:rFonts w:ascii="Bookman Old Style" w:hAnsi="Bookman Old Style" w:cs="Arial"/>
          <w:iCs/>
        </w:rPr>
        <w:t xml:space="preserve"> mediante la Sentencia C-484 de 2020</w:t>
      </w:r>
      <w:r w:rsidR="00F65027">
        <w:rPr>
          <w:rFonts w:ascii="Bookman Old Style" w:hAnsi="Bookman Old Style" w:cs="Arial"/>
          <w:iCs/>
        </w:rPr>
        <w:t>,</w:t>
      </w:r>
      <w:r w:rsidRPr="003C12CE">
        <w:rPr>
          <w:rFonts w:ascii="Bookman Old Style" w:hAnsi="Bookman Old Style" w:cs="Arial"/>
          <w:iCs/>
        </w:rPr>
        <w:t xml:space="preserve"> declaró inexequible el artículo 18 de la Ley 1955 de 2019 de forma inmediata y con efectos a futuro</w:t>
      </w:r>
      <w:r>
        <w:rPr>
          <w:rFonts w:ascii="Bookman Old Style" w:hAnsi="Bookman Old Style" w:cs="Arial"/>
          <w:iCs/>
        </w:rPr>
        <w:t>,</w:t>
      </w:r>
      <w:r w:rsidRPr="003C12CE">
        <w:rPr>
          <w:rFonts w:ascii="Bookman Old Style" w:hAnsi="Bookman Old Style" w:cs="Arial"/>
          <w:iCs/>
        </w:rPr>
        <w:t xml:space="preserve"> y aclaró que se trata de una tasa contributiva anual. Por tanto, los efectos de la sentencia se deben surtir a partir de la siguiente anualidad, es decir</w:t>
      </w:r>
      <w:r w:rsidR="00F65027">
        <w:rPr>
          <w:rFonts w:ascii="Bookman Old Style" w:hAnsi="Bookman Old Style" w:cs="Arial"/>
          <w:iCs/>
        </w:rPr>
        <w:t>,</w:t>
      </w:r>
      <w:r w:rsidRPr="003C12CE">
        <w:rPr>
          <w:rFonts w:ascii="Bookman Old Style" w:hAnsi="Bookman Old Style" w:cs="Arial"/>
          <w:iCs/>
        </w:rPr>
        <w:t xml:space="preserve"> del 2021. Así las cosas, es procedente la reglamentación, liquidación y cobro del tributo para la vigencia 2020.</w:t>
      </w:r>
    </w:p>
    <w:p w14:paraId="093D01DC" w14:textId="77777777" w:rsidR="003C12CE" w:rsidRPr="00BF13B8" w:rsidRDefault="003C12CE" w:rsidP="00817EB7">
      <w:pPr>
        <w:ind w:left="0"/>
        <w:jc w:val="both"/>
        <w:rPr>
          <w:rFonts w:ascii="Bookman Old Style" w:hAnsi="Bookman Old Style" w:cs="Arial"/>
          <w:i/>
        </w:rPr>
      </w:pPr>
    </w:p>
    <w:p w14:paraId="174D088C" w14:textId="5896DA4C" w:rsidR="001F1E4A" w:rsidRDefault="001F1E4A" w:rsidP="001F1E4A">
      <w:pPr>
        <w:ind w:left="0"/>
        <w:jc w:val="both"/>
        <w:rPr>
          <w:rFonts w:ascii="Bookman Old Style" w:hAnsi="Bookman Old Style" w:cs="Arial"/>
        </w:rPr>
      </w:pPr>
      <w:r>
        <w:rPr>
          <w:rFonts w:ascii="Bookman Old Style" w:hAnsi="Bookman Old Style" w:cs="Arial"/>
        </w:rPr>
        <w:t>E</w:t>
      </w:r>
      <w:r w:rsidRPr="001F1E4A">
        <w:rPr>
          <w:rFonts w:ascii="Bookman Old Style" w:hAnsi="Bookman Old Style" w:cs="Arial"/>
        </w:rPr>
        <w:t>l parágrafo transitorio del artículo 18 de la Ley 1955 del 25 de mayo de 2019 estableció</w:t>
      </w:r>
      <w:r>
        <w:rPr>
          <w:rFonts w:ascii="Bookman Old Style" w:hAnsi="Bookman Old Style" w:cs="Arial"/>
        </w:rPr>
        <w:t xml:space="preserve"> </w:t>
      </w:r>
      <w:r w:rsidRPr="001F1E4A">
        <w:rPr>
          <w:rFonts w:ascii="Bookman Old Style" w:hAnsi="Bookman Old Style" w:cs="Arial"/>
        </w:rPr>
        <w:t>que l</w:t>
      </w:r>
      <w:r w:rsidR="00B4539E">
        <w:rPr>
          <w:rFonts w:ascii="Bookman Old Style" w:hAnsi="Bookman Old Style" w:cs="Arial"/>
        </w:rPr>
        <w:t>o</w:t>
      </w:r>
      <w:r>
        <w:rPr>
          <w:rFonts w:ascii="Bookman Old Style" w:hAnsi="Bookman Old Style" w:cs="Arial"/>
        </w:rPr>
        <w:t xml:space="preserve">s regulados </w:t>
      </w:r>
      <w:r w:rsidRPr="001F1E4A">
        <w:rPr>
          <w:rFonts w:ascii="Bookman Old Style" w:hAnsi="Bookman Old Style" w:cs="Arial"/>
        </w:rPr>
        <w:t xml:space="preserve">por la </w:t>
      </w:r>
      <w:r>
        <w:rPr>
          <w:rFonts w:ascii="Bookman Old Style" w:hAnsi="Bookman Old Style" w:cs="Arial"/>
        </w:rPr>
        <w:t>CREG</w:t>
      </w:r>
      <w:r w:rsidRPr="001F1E4A">
        <w:rPr>
          <w:rFonts w:ascii="Bookman Old Style" w:hAnsi="Bookman Old Style" w:cs="Arial"/>
        </w:rPr>
        <w:t xml:space="preserve"> tienen plazo hasta el 31 de julio de 2020 para el</w:t>
      </w:r>
      <w:r>
        <w:rPr>
          <w:rFonts w:ascii="Bookman Old Style" w:hAnsi="Bookman Old Style" w:cs="Arial"/>
        </w:rPr>
        <w:t xml:space="preserve"> </w:t>
      </w:r>
      <w:r w:rsidRPr="001F1E4A">
        <w:rPr>
          <w:rFonts w:ascii="Bookman Old Style" w:hAnsi="Bookman Old Style" w:cs="Arial"/>
        </w:rPr>
        <w:t>cargue de información financiera con corte al 31 de diciembre de 2019</w:t>
      </w:r>
      <w:r>
        <w:rPr>
          <w:rFonts w:ascii="Bookman Old Style" w:hAnsi="Bookman Old Style" w:cs="Arial"/>
        </w:rPr>
        <w:t>.</w:t>
      </w:r>
    </w:p>
    <w:p w14:paraId="17903E4C" w14:textId="77777777" w:rsidR="001F1E4A" w:rsidRDefault="001F1E4A" w:rsidP="00F31A31">
      <w:pPr>
        <w:ind w:left="0"/>
        <w:jc w:val="both"/>
        <w:rPr>
          <w:rFonts w:ascii="Bookman Old Style" w:hAnsi="Bookman Old Style" w:cs="Arial"/>
        </w:rPr>
      </w:pPr>
    </w:p>
    <w:p w14:paraId="042CAFFD" w14:textId="6B49D623" w:rsidR="00DD74F0" w:rsidRDefault="00DD74F0" w:rsidP="00F31A31">
      <w:pPr>
        <w:ind w:left="0"/>
        <w:jc w:val="both"/>
        <w:rPr>
          <w:rFonts w:ascii="Bookman Old Style" w:hAnsi="Bookman Old Style" w:cs="Arial"/>
          <w:i/>
          <w:iCs/>
        </w:rPr>
      </w:pPr>
      <w:r>
        <w:rPr>
          <w:rFonts w:ascii="Bookman Old Style" w:hAnsi="Bookman Old Style" w:cs="Arial"/>
        </w:rPr>
        <w:t xml:space="preserve">El </w:t>
      </w:r>
      <w:r w:rsidRPr="00DD74F0">
        <w:rPr>
          <w:rFonts w:ascii="Bookman Old Style" w:hAnsi="Bookman Old Style" w:cs="Arial"/>
        </w:rPr>
        <w:t>parágrafo 2</w:t>
      </w:r>
      <w:r>
        <w:rPr>
          <w:rFonts w:ascii="Bookman Old Style" w:hAnsi="Bookman Old Style" w:cs="Arial"/>
        </w:rPr>
        <w:t xml:space="preserve"> del artículo 2.2.9.9.9. del Decreto 1082 de 2015 estableció que </w:t>
      </w:r>
      <w:r w:rsidRPr="004437BD">
        <w:rPr>
          <w:rFonts w:ascii="Bookman Old Style" w:hAnsi="Bookman Old Style" w:cs="Arial"/>
          <w:i/>
          <w:iCs/>
        </w:rPr>
        <w:t>“los sujetos pasivos de la cadena de combustibles líquidos y los prestadores del servicio de alumbrado</w:t>
      </w:r>
      <w:r>
        <w:rPr>
          <w:rFonts w:ascii="Bookman Old Style" w:hAnsi="Bookman Old Style" w:cs="Arial"/>
          <w:i/>
          <w:iCs/>
        </w:rPr>
        <w:t xml:space="preserve"> </w:t>
      </w:r>
      <w:proofErr w:type="gramStart"/>
      <w:r w:rsidRPr="004437BD">
        <w:rPr>
          <w:rFonts w:ascii="Bookman Old Style" w:hAnsi="Bookman Old Style" w:cs="Arial"/>
          <w:i/>
          <w:iCs/>
        </w:rPr>
        <w:t>público,</w:t>
      </w:r>
      <w:proofErr w:type="gramEnd"/>
      <w:r w:rsidRPr="004437BD">
        <w:rPr>
          <w:rFonts w:ascii="Bookman Old Style" w:hAnsi="Bookman Old Style" w:cs="Arial"/>
          <w:i/>
          <w:iCs/>
        </w:rPr>
        <w:t xml:space="preserve"> certificarán la información financiera en los formatos y mecanismos que establezca la Comisión de Regulación de Energía y Gas (CREG) para tal fin”.</w:t>
      </w:r>
    </w:p>
    <w:p w14:paraId="51D0552A" w14:textId="405FFA85" w:rsidR="00DD74F0" w:rsidRDefault="00DD74F0" w:rsidP="00F31A31">
      <w:pPr>
        <w:ind w:left="0"/>
        <w:jc w:val="both"/>
        <w:rPr>
          <w:rFonts w:ascii="Bookman Old Style" w:hAnsi="Bookman Old Style" w:cs="Arial"/>
          <w:i/>
          <w:iCs/>
        </w:rPr>
      </w:pPr>
    </w:p>
    <w:p w14:paraId="3D1AA2C6" w14:textId="2E418494" w:rsidR="00DD74F0" w:rsidRPr="00D30626" w:rsidRDefault="00DD74F0" w:rsidP="00F31A31">
      <w:pPr>
        <w:ind w:left="0"/>
        <w:jc w:val="both"/>
        <w:rPr>
          <w:rFonts w:ascii="Bookman Old Style" w:hAnsi="Bookman Old Style" w:cs="Arial"/>
        </w:rPr>
      </w:pPr>
      <w:r>
        <w:rPr>
          <w:rFonts w:ascii="Bookman Old Style" w:hAnsi="Bookman Old Style" w:cs="Arial"/>
        </w:rPr>
        <w:t xml:space="preserve">Mediante comunicación oficial </w:t>
      </w:r>
      <w:r w:rsidR="006E3741">
        <w:rPr>
          <w:rFonts w:ascii="Bookman Old Style" w:hAnsi="Bookman Old Style" w:cs="Arial"/>
        </w:rPr>
        <w:t>y aviso en página web</w:t>
      </w:r>
      <w:r w:rsidR="00F65027">
        <w:rPr>
          <w:rFonts w:ascii="Bookman Old Style" w:hAnsi="Bookman Old Style" w:cs="Arial"/>
        </w:rPr>
        <w:t>,</w:t>
      </w:r>
      <w:r>
        <w:rPr>
          <w:rFonts w:ascii="Bookman Old Style" w:hAnsi="Bookman Old Style" w:cs="Arial"/>
        </w:rPr>
        <w:t xml:space="preserve"> </w:t>
      </w:r>
      <w:r w:rsidR="006E3741">
        <w:rPr>
          <w:rFonts w:ascii="Bookman Old Style" w:hAnsi="Bookman Old Style" w:cs="Arial"/>
        </w:rPr>
        <w:t xml:space="preserve">la CREG </w:t>
      </w:r>
      <w:r>
        <w:rPr>
          <w:rFonts w:ascii="Bookman Old Style" w:hAnsi="Bookman Old Style" w:cs="Arial"/>
        </w:rPr>
        <w:t xml:space="preserve">requirió formalmente a los </w:t>
      </w:r>
      <w:r w:rsidR="00F760D8" w:rsidRPr="00F760D8">
        <w:rPr>
          <w:rFonts w:ascii="Bookman Old Style" w:hAnsi="Bookman Old Style" w:cs="Arial"/>
        </w:rPr>
        <w:t xml:space="preserve">agentes de la cadena de combustibles líquidos </w:t>
      </w:r>
      <w:r w:rsidR="00D30626">
        <w:rPr>
          <w:rFonts w:ascii="Bookman Old Style" w:hAnsi="Bookman Old Style" w:cs="Arial"/>
        </w:rPr>
        <w:t xml:space="preserve">para que reportaran la información financiera correspondiente a la vigencia 2019, a través del formato electrónico de captura dispuesto para tal fin como canal oficial, en cumplimiento de lo estipulado en el segundo inciso del artículo </w:t>
      </w:r>
      <w:r w:rsidR="00D30626" w:rsidRPr="00D57566">
        <w:rPr>
          <w:rFonts w:ascii="Bookman Old Style" w:hAnsi="Bookman Old Style" w:cs="Arial"/>
        </w:rPr>
        <w:t>2.2.9.9.</w:t>
      </w:r>
      <w:r w:rsidR="00D30626">
        <w:rPr>
          <w:rFonts w:ascii="Bookman Old Style" w:hAnsi="Bookman Old Style" w:cs="Arial"/>
        </w:rPr>
        <w:t>3</w:t>
      </w:r>
      <w:r w:rsidR="00D30626" w:rsidRPr="00D57566">
        <w:rPr>
          <w:rFonts w:ascii="Bookman Old Style" w:hAnsi="Bookman Old Style" w:cs="Arial"/>
        </w:rPr>
        <w:t xml:space="preserve"> del Decreto 1082 de 2015</w:t>
      </w:r>
      <w:r w:rsidR="00D30626">
        <w:rPr>
          <w:rFonts w:ascii="Bookman Old Style" w:hAnsi="Bookman Old Style" w:cs="Arial"/>
        </w:rPr>
        <w:t>.</w:t>
      </w:r>
    </w:p>
    <w:p w14:paraId="6D035FE3" w14:textId="35826ECB" w:rsidR="00857EC3" w:rsidRDefault="00857EC3" w:rsidP="00D57566">
      <w:pPr>
        <w:ind w:left="0"/>
        <w:jc w:val="both"/>
        <w:rPr>
          <w:rFonts w:ascii="Bookman Old Style" w:hAnsi="Bookman Old Style" w:cs="Arial"/>
        </w:rPr>
      </w:pPr>
    </w:p>
    <w:p w14:paraId="4EE35484" w14:textId="4EA2B417" w:rsidR="00D57566" w:rsidRPr="00D57566" w:rsidRDefault="00D57566" w:rsidP="00D57566">
      <w:pPr>
        <w:ind w:left="0"/>
        <w:jc w:val="both"/>
        <w:rPr>
          <w:rFonts w:ascii="Bookman Old Style" w:hAnsi="Bookman Old Style" w:cs="Arial"/>
        </w:rPr>
      </w:pPr>
      <w:r w:rsidRPr="00D57566">
        <w:rPr>
          <w:rFonts w:ascii="Bookman Old Style" w:hAnsi="Bookman Old Style" w:cs="Arial"/>
        </w:rPr>
        <w:t xml:space="preserve">Los regulados que no reportaron </w:t>
      </w:r>
      <w:r w:rsidR="00D30626">
        <w:rPr>
          <w:rFonts w:ascii="Bookman Old Style" w:hAnsi="Bookman Old Style" w:cs="Arial"/>
        </w:rPr>
        <w:t>la</w:t>
      </w:r>
      <w:r w:rsidRPr="00D57566">
        <w:rPr>
          <w:rFonts w:ascii="Bookman Old Style" w:hAnsi="Bookman Old Style" w:cs="Arial"/>
        </w:rPr>
        <w:t xml:space="preserve"> información financiera </w:t>
      </w:r>
      <w:r w:rsidR="00F760D8">
        <w:rPr>
          <w:rFonts w:ascii="Bookman Old Style" w:hAnsi="Bookman Old Style" w:cs="Arial"/>
        </w:rPr>
        <w:t xml:space="preserve">correspondiente a </w:t>
      </w:r>
      <w:r w:rsidRPr="00D57566">
        <w:rPr>
          <w:rFonts w:ascii="Bookman Old Style" w:hAnsi="Bookman Old Style" w:cs="Arial"/>
        </w:rPr>
        <w:t>2019</w:t>
      </w:r>
      <w:r w:rsidR="006E3741">
        <w:rPr>
          <w:rFonts w:ascii="Bookman Old Style" w:hAnsi="Bookman Old Style" w:cs="Arial"/>
        </w:rPr>
        <w:t xml:space="preserve">, o que reportaron información inconsistente que no permitió determinar con certeza la base gravable, </w:t>
      </w:r>
      <w:r w:rsidRPr="00D57566">
        <w:rPr>
          <w:rFonts w:ascii="Bookman Old Style" w:hAnsi="Bookman Old Style" w:cs="Arial"/>
        </w:rPr>
        <w:t xml:space="preserve">serán </w:t>
      </w:r>
      <w:r w:rsidR="00F760D8">
        <w:rPr>
          <w:rFonts w:ascii="Bookman Old Style" w:hAnsi="Bookman Old Style" w:cs="Arial"/>
        </w:rPr>
        <w:t xml:space="preserve">requeridos como </w:t>
      </w:r>
      <w:r w:rsidR="006E3741">
        <w:rPr>
          <w:rFonts w:ascii="Bookman Old Style" w:hAnsi="Bookman Old Style" w:cs="Arial"/>
        </w:rPr>
        <w:t xml:space="preserve">contribuyentes </w:t>
      </w:r>
      <w:r w:rsidR="00F760D8">
        <w:rPr>
          <w:rFonts w:ascii="Bookman Old Style" w:hAnsi="Bookman Old Style" w:cs="Arial"/>
        </w:rPr>
        <w:t>omisos.</w:t>
      </w:r>
    </w:p>
    <w:p w14:paraId="022E2280" w14:textId="77777777" w:rsidR="00D57566" w:rsidRPr="00D57566" w:rsidRDefault="00D57566" w:rsidP="00D57566">
      <w:pPr>
        <w:ind w:left="0"/>
        <w:jc w:val="both"/>
        <w:rPr>
          <w:rFonts w:ascii="Bookman Old Style" w:hAnsi="Bookman Old Style" w:cs="Arial"/>
        </w:rPr>
      </w:pPr>
    </w:p>
    <w:p w14:paraId="20F043CB" w14:textId="5941AC08" w:rsidR="00E42BC0" w:rsidRPr="00DE4534" w:rsidRDefault="00117D67" w:rsidP="00E42BC0">
      <w:pPr>
        <w:ind w:left="0"/>
        <w:jc w:val="both"/>
        <w:rPr>
          <w:rFonts w:ascii="Bookman Old Style" w:hAnsi="Bookman Old Style" w:cs="Arial"/>
        </w:rPr>
      </w:pPr>
      <w:r>
        <w:rPr>
          <w:rFonts w:ascii="Bookman Old Style" w:hAnsi="Bookman Old Style" w:cs="Arial"/>
        </w:rPr>
        <w:t>P</w:t>
      </w:r>
      <w:r w:rsidR="00E42BC0" w:rsidRPr="00E42BC0">
        <w:rPr>
          <w:rFonts w:ascii="Bookman Old Style" w:hAnsi="Bookman Old Style" w:cs="Arial"/>
        </w:rPr>
        <w:t xml:space="preserve">ara definir los costos de los servicios que presta la </w:t>
      </w:r>
      <w:r w:rsidR="00482643">
        <w:rPr>
          <w:rFonts w:ascii="Bookman Old Style" w:hAnsi="Bookman Old Style" w:cs="Arial"/>
        </w:rPr>
        <w:t>CREG</w:t>
      </w:r>
      <w:r w:rsidR="00E42BC0" w:rsidRPr="00E42BC0">
        <w:rPr>
          <w:rFonts w:ascii="Bookman Old Style" w:hAnsi="Bookman Old Style" w:cs="Arial"/>
        </w:rPr>
        <w:t xml:space="preserve">, se tomó el presupuesto anual de gastos aprobado a la entidad para el período anual </w:t>
      </w:r>
      <w:r w:rsidR="00E42BC0" w:rsidRPr="00FE55BD">
        <w:rPr>
          <w:rFonts w:ascii="Bookman Old Style" w:hAnsi="Bookman Old Style" w:cs="Arial"/>
        </w:rPr>
        <w:t xml:space="preserve">respectivo, el cual está integrado, entre otros, por los gastos de funcionamiento y los gastos de inversión, a la luz de lo dispuesto en el artículo 36 del Estatuto </w:t>
      </w:r>
      <w:r w:rsidR="00E42BC0" w:rsidRPr="00DE4534">
        <w:rPr>
          <w:rFonts w:ascii="Bookman Old Style" w:hAnsi="Bookman Old Style" w:cs="Arial"/>
        </w:rPr>
        <w:t xml:space="preserve">Orgánico del Presupuesto General de la Nación. </w:t>
      </w:r>
    </w:p>
    <w:p w14:paraId="3C6587FB" w14:textId="25E9BAAB" w:rsidR="00825371" w:rsidRDefault="00825371" w:rsidP="00E42BC0">
      <w:pPr>
        <w:ind w:left="0"/>
        <w:jc w:val="both"/>
        <w:rPr>
          <w:rFonts w:ascii="Bookman Old Style" w:hAnsi="Bookman Old Style" w:cs="Arial"/>
        </w:rPr>
      </w:pPr>
    </w:p>
    <w:p w14:paraId="41596EB4" w14:textId="77777777" w:rsidR="001C6CCF" w:rsidRPr="00733B4E" w:rsidRDefault="001C6CCF" w:rsidP="001C6CCF">
      <w:pPr>
        <w:ind w:left="0"/>
        <w:jc w:val="both"/>
        <w:rPr>
          <w:rFonts w:ascii="Bookman Old Style" w:hAnsi="Bookman Old Style" w:cs="Arial"/>
        </w:rPr>
      </w:pPr>
      <w:r w:rsidRPr="009F1528">
        <w:rPr>
          <w:rFonts w:ascii="Bookman Old Style" w:hAnsi="Bookman Old Style" w:cs="Arial"/>
        </w:rPr>
        <w:t>A través de la liquidación, cobro y recaudo de la contribución especial se financia el presupuesto de gastos de funcionamiento e inversión de la CREG, con el fin de recuperar los costos del servicio de la actividad regulatoria.</w:t>
      </w:r>
    </w:p>
    <w:p w14:paraId="12AAE680" w14:textId="77777777" w:rsidR="001C6CCF" w:rsidRPr="00DE4534" w:rsidRDefault="001C6CCF" w:rsidP="00E42BC0">
      <w:pPr>
        <w:ind w:left="0"/>
        <w:jc w:val="both"/>
        <w:rPr>
          <w:rFonts w:ascii="Bookman Old Style" w:hAnsi="Bookman Old Style" w:cs="Arial"/>
        </w:rPr>
      </w:pPr>
    </w:p>
    <w:p w14:paraId="1E1E7BBB" w14:textId="7DF9B88E" w:rsidR="00E42BC0" w:rsidRPr="00DE4534" w:rsidRDefault="00117D67" w:rsidP="00E42BC0">
      <w:pPr>
        <w:ind w:left="0"/>
        <w:jc w:val="both"/>
        <w:rPr>
          <w:rFonts w:ascii="Bookman Old Style" w:hAnsi="Bookman Old Style" w:cs="Arial"/>
        </w:rPr>
      </w:pPr>
      <w:r>
        <w:rPr>
          <w:rFonts w:ascii="Bookman Old Style" w:hAnsi="Bookman Old Style" w:cs="Arial"/>
        </w:rPr>
        <w:lastRenderedPageBreak/>
        <w:t>D</w:t>
      </w:r>
      <w:r w:rsidR="00E42BC0" w:rsidRPr="00DE4534">
        <w:rPr>
          <w:rFonts w:ascii="Bookman Old Style" w:hAnsi="Bookman Old Style" w:cs="Arial"/>
        </w:rPr>
        <w:t>e acuerdo con lo anterior</w:t>
      </w:r>
      <w:r w:rsidR="00AD7CFD">
        <w:rPr>
          <w:rFonts w:ascii="Bookman Old Style" w:hAnsi="Bookman Old Style" w:cs="Arial"/>
        </w:rPr>
        <w:t>,</w:t>
      </w:r>
      <w:r w:rsidR="00E42BC0" w:rsidRPr="00DE4534">
        <w:rPr>
          <w:rFonts w:ascii="Bookman Old Style" w:hAnsi="Bookman Old Style" w:cs="Arial"/>
        </w:rPr>
        <w:t xml:space="preserve"> y con el fin de proyectar la tarifa para la liquidación de la contribución especial del año 20</w:t>
      </w:r>
      <w:r w:rsidR="006101D8">
        <w:rPr>
          <w:rFonts w:ascii="Bookman Old Style" w:hAnsi="Bookman Old Style" w:cs="Arial"/>
        </w:rPr>
        <w:t>20</w:t>
      </w:r>
      <w:r w:rsidR="00E42BC0" w:rsidRPr="00DE4534">
        <w:rPr>
          <w:rFonts w:ascii="Bookman Old Style" w:hAnsi="Bookman Old Style" w:cs="Arial"/>
        </w:rPr>
        <w:t>, se tomó la información financiera reportada y certificada con corte a 31 de diciembre de 201</w:t>
      </w:r>
      <w:r w:rsidR="006101D8">
        <w:rPr>
          <w:rFonts w:ascii="Bookman Old Style" w:hAnsi="Bookman Old Style" w:cs="Arial"/>
        </w:rPr>
        <w:t>9</w:t>
      </w:r>
      <w:r w:rsidR="00E42BC0" w:rsidRPr="00DE4534">
        <w:rPr>
          <w:rFonts w:ascii="Bookman Old Style" w:hAnsi="Bookman Old Style" w:cs="Arial"/>
        </w:rPr>
        <w:t xml:space="preserve"> por las entidades sometidas a </w:t>
      </w:r>
      <w:r w:rsidR="00F1173E">
        <w:rPr>
          <w:rFonts w:ascii="Bookman Old Style" w:hAnsi="Bookman Old Style" w:cs="Arial"/>
        </w:rPr>
        <w:t>regulación de la Comisión</w:t>
      </w:r>
      <w:r w:rsidR="00AD7CFD">
        <w:rPr>
          <w:rFonts w:ascii="Bookman Old Style" w:hAnsi="Bookman Old Style" w:cs="Arial"/>
        </w:rPr>
        <w:t>,</w:t>
      </w:r>
      <w:r w:rsidR="00E42BC0" w:rsidRPr="00DE4534">
        <w:rPr>
          <w:rFonts w:ascii="Bookman Old Style" w:hAnsi="Bookman Old Style" w:cs="Arial"/>
        </w:rPr>
        <w:t xml:space="preserve"> y el valor del presupuesto por concepto de ingresos corrientes </w:t>
      </w:r>
      <w:r w:rsidR="006101D8">
        <w:rPr>
          <w:rFonts w:ascii="Bookman Old Style" w:hAnsi="Bookman Old Style" w:cs="Arial"/>
        </w:rPr>
        <w:t xml:space="preserve">de </w:t>
      </w:r>
      <w:r w:rsidR="00E42BC0" w:rsidRPr="00DE4534">
        <w:rPr>
          <w:rFonts w:ascii="Bookman Old Style" w:hAnsi="Bookman Old Style" w:cs="Arial"/>
        </w:rPr>
        <w:t>tasas, multas y contribuciones</w:t>
      </w:r>
      <w:r w:rsidR="006101D8">
        <w:rPr>
          <w:rFonts w:ascii="Bookman Old Style" w:hAnsi="Bookman Old Style" w:cs="Arial"/>
        </w:rPr>
        <w:t>, así como intereses devengados a favor de terceros independientes,</w:t>
      </w:r>
      <w:r w:rsidR="00E42BC0" w:rsidRPr="00DE4534">
        <w:rPr>
          <w:rFonts w:ascii="Bookman Old Style" w:hAnsi="Bookman Old Style" w:cs="Arial"/>
        </w:rPr>
        <w:t xml:space="preserve"> para el año 201</w:t>
      </w:r>
      <w:r w:rsidR="006101D8">
        <w:rPr>
          <w:rFonts w:ascii="Bookman Old Style" w:hAnsi="Bookman Old Style" w:cs="Arial"/>
        </w:rPr>
        <w:t>9</w:t>
      </w:r>
      <w:r w:rsidR="00E42BC0" w:rsidRPr="00DE4534">
        <w:rPr>
          <w:rFonts w:ascii="Bookman Old Style" w:hAnsi="Bookman Old Style" w:cs="Arial"/>
        </w:rPr>
        <w:t xml:space="preserve"> antes indicado.</w:t>
      </w:r>
    </w:p>
    <w:p w14:paraId="127D7CB8" w14:textId="77777777" w:rsidR="00482643" w:rsidRPr="00DE4534" w:rsidRDefault="00482643" w:rsidP="00E42BC0">
      <w:pPr>
        <w:ind w:left="0"/>
        <w:jc w:val="both"/>
        <w:rPr>
          <w:rFonts w:ascii="Bookman Old Style" w:hAnsi="Bookman Old Style" w:cs="Arial"/>
        </w:rPr>
      </w:pPr>
    </w:p>
    <w:p w14:paraId="683C8309" w14:textId="5C93FEB7" w:rsidR="00D66761" w:rsidRDefault="00D66761" w:rsidP="00D66761">
      <w:pPr>
        <w:ind w:left="0"/>
        <w:jc w:val="both"/>
        <w:rPr>
          <w:rFonts w:ascii="Bookman Old Style" w:hAnsi="Bookman Old Style" w:cs="Arial"/>
        </w:rPr>
      </w:pPr>
      <w:bookmarkStart w:id="0" w:name="_Hlk52098252"/>
      <w:r>
        <w:rPr>
          <w:rFonts w:ascii="Bookman Old Style" w:hAnsi="Bookman Old Style" w:cs="Arial"/>
        </w:rPr>
        <w:t xml:space="preserve">El </w:t>
      </w:r>
      <w:r w:rsidR="00D57566" w:rsidRPr="00D66761">
        <w:rPr>
          <w:rFonts w:ascii="Bookman Old Style" w:hAnsi="Bookman Old Style" w:cs="Arial"/>
        </w:rPr>
        <w:t>artículo</w:t>
      </w:r>
      <w:r w:rsidRPr="00D66761">
        <w:rPr>
          <w:rFonts w:ascii="Bookman Old Style" w:hAnsi="Bookman Old Style" w:cs="Arial"/>
        </w:rPr>
        <w:t xml:space="preserve"> 20 de la Ley 2008 de 2019 "</w:t>
      </w:r>
      <w:r w:rsidRPr="0068067F">
        <w:rPr>
          <w:rFonts w:ascii="Bookman Old Style" w:hAnsi="Bookman Old Style" w:cs="Arial"/>
          <w:i/>
          <w:iCs/>
        </w:rPr>
        <w:t>“Por la cual se decreta el Presupuesto de Rentas y Recursos de Capital y Ley de Apropiaciones para la vigencia fiscal del 1 de enero al 31 de diciembre de 2020”</w:t>
      </w:r>
      <w:r>
        <w:rPr>
          <w:rFonts w:ascii="Bookman Old Style" w:hAnsi="Bookman Old Style" w:cs="Arial"/>
          <w:i/>
          <w:iCs/>
        </w:rPr>
        <w:t>,</w:t>
      </w:r>
      <w:r w:rsidRPr="00D66761">
        <w:rPr>
          <w:rFonts w:ascii="Bookman Old Style" w:hAnsi="Bookman Old Style" w:cs="Arial"/>
        </w:rPr>
        <w:t xml:space="preserve"> faculta al Gobierno Nacional para que en el Decreto de liquidación clasifique los ingresos y gastos</w:t>
      </w:r>
      <w:r w:rsidR="00AD7CFD">
        <w:rPr>
          <w:rFonts w:ascii="Bookman Old Style" w:hAnsi="Bookman Old Style" w:cs="Arial"/>
        </w:rPr>
        <w:t>,</w:t>
      </w:r>
      <w:r w:rsidRPr="00D66761">
        <w:rPr>
          <w:rFonts w:ascii="Bookman Old Style" w:hAnsi="Bookman Old Style" w:cs="Arial"/>
        </w:rPr>
        <w:t xml:space="preserve"> y</w:t>
      </w:r>
      <w:r>
        <w:rPr>
          <w:rFonts w:ascii="Bookman Old Style" w:hAnsi="Bookman Old Style" w:cs="Arial"/>
        </w:rPr>
        <w:t xml:space="preserve"> </w:t>
      </w:r>
      <w:r w:rsidRPr="00D66761">
        <w:rPr>
          <w:rFonts w:ascii="Bookman Old Style" w:hAnsi="Bookman Old Style" w:cs="Arial"/>
        </w:rPr>
        <w:t>defina estos últimos</w:t>
      </w:r>
      <w:r>
        <w:rPr>
          <w:rFonts w:ascii="Bookman Old Style" w:hAnsi="Bookman Old Style" w:cs="Arial"/>
        </w:rPr>
        <w:t>.</w:t>
      </w:r>
    </w:p>
    <w:p w14:paraId="416C065A" w14:textId="77777777" w:rsidR="00D66761" w:rsidRDefault="00D66761" w:rsidP="00D66761">
      <w:pPr>
        <w:ind w:left="0"/>
        <w:jc w:val="both"/>
        <w:rPr>
          <w:rFonts w:ascii="Bookman Old Style" w:hAnsi="Bookman Old Style" w:cs="Arial"/>
        </w:rPr>
      </w:pPr>
    </w:p>
    <w:p w14:paraId="555CAB82" w14:textId="46F44A44" w:rsidR="00733B4E" w:rsidRDefault="009F1528" w:rsidP="00733B4E">
      <w:pPr>
        <w:ind w:left="0"/>
        <w:jc w:val="both"/>
        <w:rPr>
          <w:rFonts w:ascii="Bookman Old Style" w:hAnsi="Bookman Old Style" w:cs="Arial"/>
        </w:rPr>
      </w:pPr>
      <w:r>
        <w:rPr>
          <w:rFonts w:ascii="Bookman Old Style" w:hAnsi="Bookman Old Style" w:cs="Arial"/>
        </w:rPr>
        <w:t>En cumplimiento de la anterior ley citada, l</w:t>
      </w:r>
      <w:r w:rsidR="00733B4E" w:rsidRPr="00733B4E">
        <w:rPr>
          <w:rFonts w:ascii="Bookman Old Style" w:hAnsi="Bookman Old Style" w:cs="Arial"/>
        </w:rPr>
        <w:t>as apropiaciones presupuestales de la CREG para la vigencia fiscal 20</w:t>
      </w:r>
      <w:r w:rsidR="0068067F">
        <w:rPr>
          <w:rFonts w:ascii="Bookman Old Style" w:hAnsi="Bookman Old Style" w:cs="Arial"/>
        </w:rPr>
        <w:t>20</w:t>
      </w:r>
      <w:r w:rsidR="00733B4E" w:rsidRPr="00733B4E">
        <w:rPr>
          <w:rFonts w:ascii="Bookman Old Style" w:hAnsi="Bookman Old Style" w:cs="Arial"/>
        </w:rPr>
        <w:t xml:space="preserve">, fueron establecidas </w:t>
      </w:r>
      <w:r w:rsidR="00D66761" w:rsidRPr="00733B4E">
        <w:rPr>
          <w:rFonts w:ascii="Bookman Old Style" w:hAnsi="Bookman Old Style" w:cs="Arial"/>
        </w:rPr>
        <w:t xml:space="preserve">en el </w:t>
      </w:r>
      <w:r w:rsidR="00D66761">
        <w:rPr>
          <w:rFonts w:ascii="Bookman Old Style" w:hAnsi="Bookman Old Style" w:cs="Arial"/>
        </w:rPr>
        <w:t xml:space="preserve">anexo del </w:t>
      </w:r>
      <w:r w:rsidR="00D66761" w:rsidRPr="00733B4E">
        <w:rPr>
          <w:rFonts w:ascii="Bookman Old Style" w:hAnsi="Bookman Old Style" w:cs="Arial"/>
        </w:rPr>
        <w:t xml:space="preserve">Decreto </w:t>
      </w:r>
      <w:r w:rsidR="00D66761" w:rsidRPr="0068067F">
        <w:rPr>
          <w:rFonts w:ascii="Bookman Old Style" w:hAnsi="Bookman Old Style" w:cs="Arial"/>
        </w:rPr>
        <w:t>2411 del 30 Diciembre 2019</w:t>
      </w:r>
      <w:r w:rsidR="00D66761" w:rsidRPr="00733B4E">
        <w:rPr>
          <w:rFonts w:ascii="Bookman Old Style" w:hAnsi="Bookman Old Style" w:cs="Arial"/>
        </w:rPr>
        <w:t xml:space="preserve">, </w:t>
      </w:r>
      <w:r w:rsidR="00D66761">
        <w:rPr>
          <w:rFonts w:ascii="Bookman Old Style" w:hAnsi="Bookman Old Style" w:cs="Arial"/>
        </w:rPr>
        <w:t>“</w:t>
      </w:r>
      <w:r w:rsidR="00D66761" w:rsidRPr="00D66761">
        <w:rPr>
          <w:rFonts w:ascii="Bookman Old Style" w:hAnsi="Bookman Old Style" w:cs="Arial"/>
          <w:i/>
          <w:iCs/>
        </w:rPr>
        <w:t>Por el cual se liquida el Presupuesto General de la Nación para la vigencia fiscal de 2020, se detallan las apropiaciones y se clasifican y definen los gastos</w:t>
      </w:r>
      <w:r w:rsidR="00D66761">
        <w:rPr>
          <w:rFonts w:ascii="Bookman Old Style" w:hAnsi="Bookman Old Style" w:cs="Arial"/>
          <w:i/>
          <w:iCs/>
        </w:rPr>
        <w:t xml:space="preserve">”, </w:t>
      </w:r>
      <w:r w:rsidR="00733B4E" w:rsidRPr="00733B4E">
        <w:rPr>
          <w:rFonts w:ascii="Bookman Old Style" w:hAnsi="Bookman Old Style" w:cs="Arial"/>
        </w:rPr>
        <w:t xml:space="preserve">en un valor </w:t>
      </w:r>
      <w:r w:rsidR="00D66761">
        <w:rPr>
          <w:rFonts w:ascii="Bookman Old Style" w:hAnsi="Bookman Old Style" w:cs="Arial"/>
        </w:rPr>
        <w:t xml:space="preserve">total </w:t>
      </w:r>
      <w:r w:rsidR="00733B4E" w:rsidRPr="00733B4E">
        <w:rPr>
          <w:rFonts w:ascii="Bookman Old Style" w:hAnsi="Bookman Old Style" w:cs="Arial"/>
        </w:rPr>
        <w:t xml:space="preserve">de </w:t>
      </w:r>
      <w:r w:rsidR="0068067F">
        <w:rPr>
          <w:rFonts w:ascii="Bookman Old Style" w:hAnsi="Bookman Old Style" w:cs="Arial"/>
        </w:rPr>
        <w:t>TREINTA Y SEIS</w:t>
      </w:r>
      <w:r w:rsidR="00733B4E" w:rsidRPr="00733B4E">
        <w:rPr>
          <w:rFonts w:ascii="Bookman Old Style" w:hAnsi="Bookman Old Style" w:cs="Arial"/>
        </w:rPr>
        <w:t xml:space="preserve"> MIL SEISCIENTOS </w:t>
      </w:r>
      <w:r w:rsidR="0068067F">
        <w:rPr>
          <w:rFonts w:ascii="Bookman Old Style" w:hAnsi="Bookman Old Style" w:cs="Arial"/>
        </w:rPr>
        <w:t>SESENTA</w:t>
      </w:r>
      <w:r w:rsidR="00733B4E" w:rsidRPr="00733B4E">
        <w:rPr>
          <w:rFonts w:ascii="Bookman Old Style" w:hAnsi="Bookman Old Style" w:cs="Arial"/>
        </w:rPr>
        <w:t xml:space="preserve"> Y </w:t>
      </w:r>
      <w:r w:rsidR="0068067F">
        <w:rPr>
          <w:rFonts w:ascii="Bookman Old Style" w:hAnsi="Bookman Old Style" w:cs="Arial"/>
        </w:rPr>
        <w:t xml:space="preserve">SIETE </w:t>
      </w:r>
      <w:r w:rsidR="00733B4E" w:rsidRPr="00733B4E">
        <w:rPr>
          <w:rFonts w:ascii="Bookman Old Style" w:hAnsi="Bookman Old Style" w:cs="Arial"/>
        </w:rPr>
        <w:t xml:space="preserve">MILLONES </w:t>
      </w:r>
      <w:r w:rsidR="0068067F">
        <w:rPr>
          <w:rFonts w:ascii="Bookman Old Style" w:hAnsi="Bookman Old Style" w:cs="Arial"/>
        </w:rPr>
        <w:t>OCHOCIENTOS</w:t>
      </w:r>
      <w:r w:rsidR="00733B4E" w:rsidRPr="00733B4E">
        <w:rPr>
          <w:rFonts w:ascii="Bookman Old Style" w:hAnsi="Bookman Old Style" w:cs="Arial"/>
        </w:rPr>
        <w:t xml:space="preserve"> </w:t>
      </w:r>
      <w:r w:rsidR="0068067F">
        <w:rPr>
          <w:rFonts w:ascii="Bookman Old Style" w:hAnsi="Bookman Old Style" w:cs="Arial"/>
        </w:rPr>
        <w:t>SESENTA Y OCHO</w:t>
      </w:r>
      <w:r w:rsidR="00733B4E" w:rsidRPr="00733B4E">
        <w:rPr>
          <w:rFonts w:ascii="Bookman Old Style" w:hAnsi="Bookman Old Style" w:cs="Arial"/>
        </w:rPr>
        <w:t xml:space="preserve"> MIL </w:t>
      </w:r>
      <w:r w:rsidR="0068067F">
        <w:rPr>
          <w:rFonts w:ascii="Bookman Old Style" w:hAnsi="Bookman Old Style" w:cs="Arial"/>
        </w:rPr>
        <w:t>CIENTO SETENTA Y UN</w:t>
      </w:r>
      <w:r w:rsidR="00733B4E" w:rsidRPr="00733B4E">
        <w:rPr>
          <w:rFonts w:ascii="Bookman Old Style" w:hAnsi="Bookman Old Style" w:cs="Arial"/>
        </w:rPr>
        <w:t xml:space="preserve"> PESO</w:t>
      </w:r>
      <w:r w:rsidR="0068067F">
        <w:rPr>
          <w:rFonts w:ascii="Bookman Old Style" w:hAnsi="Bookman Old Style" w:cs="Arial"/>
        </w:rPr>
        <w:t>S</w:t>
      </w:r>
      <w:r w:rsidR="00733B4E" w:rsidRPr="00733B4E">
        <w:rPr>
          <w:rFonts w:ascii="Bookman Old Style" w:hAnsi="Bookman Old Style" w:cs="Arial"/>
        </w:rPr>
        <w:t xml:space="preserve"> M/CTE ($</w:t>
      </w:r>
      <w:r w:rsidR="0068067F">
        <w:rPr>
          <w:rFonts w:ascii="Bookman Old Style" w:hAnsi="Bookman Old Style" w:cs="Arial"/>
        </w:rPr>
        <w:t>36</w:t>
      </w:r>
      <w:r w:rsidR="00733B4E" w:rsidRPr="00733B4E">
        <w:rPr>
          <w:rFonts w:ascii="Bookman Old Style" w:hAnsi="Bookman Old Style" w:cs="Arial"/>
        </w:rPr>
        <w:t>,</w:t>
      </w:r>
      <w:r w:rsidR="0068067F">
        <w:rPr>
          <w:rFonts w:ascii="Bookman Old Style" w:hAnsi="Bookman Old Style" w:cs="Arial"/>
        </w:rPr>
        <w:t>667</w:t>
      </w:r>
      <w:r w:rsidR="00733B4E" w:rsidRPr="00733B4E">
        <w:rPr>
          <w:rFonts w:ascii="Bookman Old Style" w:hAnsi="Bookman Old Style" w:cs="Arial"/>
        </w:rPr>
        <w:t>,</w:t>
      </w:r>
      <w:r w:rsidR="0068067F">
        <w:rPr>
          <w:rFonts w:ascii="Bookman Old Style" w:hAnsi="Bookman Old Style" w:cs="Arial"/>
        </w:rPr>
        <w:t>868</w:t>
      </w:r>
      <w:r w:rsidR="00733B4E" w:rsidRPr="00733B4E">
        <w:rPr>
          <w:rFonts w:ascii="Bookman Old Style" w:hAnsi="Bookman Old Style" w:cs="Arial"/>
        </w:rPr>
        <w:t>,</w:t>
      </w:r>
      <w:r w:rsidR="0068067F">
        <w:rPr>
          <w:rFonts w:ascii="Bookman Old Style" w:hAnsi="Bookman Old Style" w:cs="Arial"/>
        </w:rPr>
        <w:t>171</w:t>
      </w:r>
      <w:r w:rsidR="00733B4E" w:rsidRPr="00733B4E">
        <w:rPr>
          <w:rFonts w:ascii="Bookman Old Style" w:hAnsi="Bookman Old Style" w:cs="Arial"/>
        </w:rPr>
        <w:t>), el cual debe ser cubierto con el recaudo de la contribución especial de que trata el artículo 85 de la Ley 142 de 1994.</w:t>
      </w:r>
    </w:p>
    <w:p w14:paraId="23668F76" w14:textId="309A6634" w:rsidR="007D6B21" w:rsidRDefault="007D6B21" w:rsidP="00733B4E">
      <w:pPr>
        <w:ind w:left="0"/>
        <w:jc w:val="both"/>
        <w:rPr>
          <w:rFonts w:ascii="Bookman Old Style" w:hAnsi="Bookman Old Style" w:cs="Arial"/>
        </w:rPr>
      </w:pPr>
    </w:p>
    <w:p w14:paraId="2E4FA58B" w14:textId="64BE7768" w:rsidR="007D6B21" w:rsidRDefault="007D6B21" w:rsidP="00733B4E">
      <w:pPr>
        <w:ind w:left="0"/>
        <w:jc w:val="both"/>
        <w:rPr>
          <w:rFonts w:ascii="Bookman Old Style" w:hAnsi="Bookman Old Style" w:cs="Arial"/>
        </w:rPr>
      </w:pPr>
      <w:r>
        <w:rPr>
          <w:rFonts w:ascii="Bookman Old Style" w:hAnsi="Bookman Old Style" w:cs="Arial"/>
        </w:rPr>
        <w:t xml:space="preserve">Con ocasión de la expedición de la Ley 1955 de 2019 y de lo señalado en su artículo 18, ni la Ley </w:t>
      </w:r>
      <w:r w:rsidR="00C86602">
        <w:rPr>
          <w:rFonts w:ascii="Bookman Old Style" w:hAnsi="Bookman Old Style" w:cs="Arial"/>
        </w:rPr>
        <w:t>2008 de 2019</w:t>
      </w:r>
      <w:r>
        <w:rPr>
          <w:rFonts w:ascii="Bookman Old Style" w:hAnsi="Bookman Old Style" w:cs="Arial"/>
        </w:rPr>
        <w:t xml:space="preserve"> ni el Decreto </w:t>
      </w:r>
      <w:r w:rsidR="00C86602">
        <w:rPr>
          <w:rFonts w:ascii="Bookman Old Style" w:hAnsi="Bookman Old Style" w:cs="Arial"/>
        </w:rPr>
        <w:t xml:space="preserve">2411 de 2019 </w:t>
      </w:r>
      <w:r>
        <w:rPr>
          <w:rFonts w:ascii="Bookman Old Style" w:hAnsi="Bookman Old Style" w:cs="Arial"/>
        </w:rPr>
        <w:t>asignaron recursos Nación con situación de fondos para cubrir los costos asociados a la actividad regulatoria</w:t>
      </w:r>
      <w:r w:rsidR="001C6CCF">
        <w:rPr>
          <w:rFonts w:ascii="Bookman Old Style" w:hAnsi="Bookman Old Style" w:cs="Arial"/>
        </w:rPr>
        <w:t xml:space="preserve"> de la cadena de combustibles líquidos para la vigencia 2020.</w:t>
      </w:r>
      <w:r>
        <w:rPr>
          <w:rFonts w:ascii="Bookman Old Style" w:hAnsi="Bookman Old Style" w:cs="Arial"/>
        </w:rPr>
        <w:t xml:space="preserve">                                </w:t>
      </w:r>
    </w:p>
    <w:p w14:paraId="6654E633" w14:textId="79C0719E" w:rsidR="009F1528" w:rsidRDefault="009F1528" w:rsidP="00733B4E">
      <w:pPr>
        <w:ind w:left="0"/>
        <w:jc w:val="both"/>
        <w:rPr>
          <w:rFonts w:ascii="Bookman Old Style" w:hAnsi="Bookman Old Style" w:cs="Arial"/>
        </w:rPr>
      </w:pPr>
    </w:p>
    <w:bookmarkEnd w:id="0"/>
    <w:p w14:paraId="12B7BF51" w14:textId="2287FBFB" w:rsidR="009D43B2" w:rsidRPr="009D43B2" w:rsidRDefault="009D43B2" w:rsidP="009D43B2">
      <w:pPr>
        <w:ind w:left="0"/>
        <w:jc w:val="both"/>
        <w:rPr>
          <w:rFonts w:ascii="Bookman Old Style" w:hAnsi="Bookman Old Style" w:cs="Arial"/>
        </w:rPr>
      </w:pPr>
      <w:r w:rsidRPr="009D43B2">
        <w:rPr>
          <w:rFonts w:ascii="Bookman Old Style" w:hAnsi="Bookman Old Style" w:cs="Arial"/>
        </w:rPr>
        <w:t xml:space="preserve">Con el fin de </w:t>
      </w:r>
      <w:r w:rsidR="00F760D8">
        <w:rPr>
          <w:rFonts w:ascii="Bookman Old Style" w:hAnsi="Bookman Old Style" w:cs="Arial"/>
        </w:rPr>
        <w:t>recuperar</w:t>
      </w:r>
      <w:r w:rsidRPr="009D43B2">
        <w:rPr>
          <w:rFonts w:ascii="Bookman Old Style" w:hAnsi="Bookman Old Style" w:cs="Arial"/>
        </w:rPr>
        <w:t xml:space="preserve"> el esfuerzo regulatorio por servicio prestado</w:t>
      </w:r>
      <w:r w:rsidR="00AD7CFD">
        <w:rPr>
          <w:rFonts w:ascii="Bookman Old Style" w:hAnsi="Bookman Old Style" w:cs="Arial"/>
        </w:rPr>
        <w:t>,</w:t>
      </w:r>
      <w:r w:rsidRPr="009D43B2">
        <w:rPr>
          <w:rFonts w:ascii="Bookman Old Style" w:hAnsi="Bookman Old Style" w:cs="Arial"/>
        </w:rPr>
        <w:t xml:space="preserve"> y conforme al parágrafo 1 del artículo 2.2.9.9.7. del Decreto 1082 de 2015, para la vigencia 2020</w:t>
      </w:r>
      <w:r w:rsidR="00F65027">
        <w:rPr>
          <w:rFonts w:ascii="Bookman Old Style" w:hAnsi="Bookman Old Style" w:cs="Arial"/>
        </w:rPr>
        <w:t>,</w:t>
      </w:r>
      <w:r w:rsidRPr="009D43B2">
        <w:rPr>
          <w:rFonts w:ascii="Bookman Old Style" w:hAnsi="Bookman Old Style" w:cs="Arial"/>
        </w:rPr>
        <w:t xml:space="preserve"> la CREG liquidará proporcionalmente la contribución especial a los sujetos pasivos tomando como referencia los costos asociados a la actividad regulatoria de cada servicio prestado, de acuerdo al origen de los recursos de las apropiaciones presupuestales que venían siendo cubiertas con aportes del PGN, dentro del presupuesto total aprobado para la CREG, durante los últimos tres (3) años, así: recurso 16 PGN SSF: Personas prestadoras del servicio de energía y gas combustible (GN, GLP), y recurso 10 PGN CSF: Personas prestadoras de la cadena de combustibles líquidos.</w:t>
      </w:r>
    </w:p>
    <w:p w14:paraId="2E333CC0" w14:textId="77777777" w:rsidR="009D43B2" w:rsidRPr="009D43B2" w:rsidRDefault="009D43B2" w:rsidP="009D43B2">
      <w:pPr>
        <w:ind w:left="0"/>
        <w:jc w:val="both"/>
        <w:rPr>
          <w:rFonts w:ascii="Bookman Old Style" w:hAnsi="Bookman Old Style" w:cs="Arial"/>
        </w:rPr>
      </w:pPr>
    </w:p>
    <w:p w14:paraId="7EAE5FAC" w14:textId="7160758F" w:rsidR="009D43B2" w:rsidRDefault="009D43B2" w:rsidP="009D43B2">
      <w:pPr>
        <w:ind w:left="0"/>
        <w:jc w:val="both"/>
        <w:rPr>
          <w:rFonts w:ascii="Bookman Old Style" w:hAnsi="Bookman Old Style" w:cs="Arial"/>
        </w:rPr>
      </w:pPr>
      <w:r w:rsidRPr="009D43B2">
        <w:rPr>
          <w:rFonts w:ascii="Bookman Old Style" w:hAnsi="Bookman Old Style" w:cs="Arial"/>
        </w:rPr>
        <w:t>Con base en lo anterior</w:t>
      </w:r>
      <w:r w:rsidR="00AD7CFD">
        <w:rPr>
          <w:rFonts w:ascii="Bookman Old Style" w:hAnsi="Bookman Old Style" w:cs="Arial"/>
        </w:rPr>
        <w:t>,</w:t>
      </w:r>
      <w:r w:rsidRPr="009D43B2">
        <w:rPr>
          <w:rFonts w:ascii="Bookman Old Style" w:hAnsi="Bookman Old Style" w:cs="Arial"/>
        </w:rPr>
        <w:t xml:space="preserve"> se obtuvo la media aritmética (</w:t>
      </w:r>
      <w:r>
        <w:rPr>
          <w:rFonts w:ascii="Bookman Old Style" w:hAnsi="Bookman Old Style" w:cs="Arial"/>
        </w:rPr>
        <w:t xml:space="preserve"> </w:t>
      </w:r>
      <m:oMath>
        <m:acc>
          <m:accPr>
            <m:chr m:val="̅"/>
            <m:ctrlPr>
              <w:rPr>
                <w:rFonts w:ascii="Cambria Math" w:hAnsi="Cambria Math" w:cs="Arial"/>
                <w:i/>
              </w:rPr>
            </m:ctrlPr>
          </m:accPr>
          <m:e>
            <m:r>
              <w:rPr>
                <w:rFonts w:ascii="Cambria Math" w:hAnsi="Cambria Math" w:cs="Arial"/>
              </w:rPr>
              <m:t>X</m:t>
            </m:r>
          </m:e>
        </m:acc>
      </m:oMath>
      <w:r>
        <w:rPr>
          <w:rFonts w:ascii="Bookman Old Style" w:hAnsi="Bookman Old Style" w:cs="Arial"/>
        </w:rPr>
        <w:t xml:space="preserve"> </w:t>
      </w:r>
      <w:r w:rsidRPr="009D43B2">
        <w:rPr>
          <w:rFonts w:ascii="Bookman Old Style" w:hAnsi="Bookman Old Style" w:cs="Arial"/>
        </w:rPr>
        <w:t>) de las vigencias 2017, 2018 y 2019, dando como resultado una participaci</w:t>
      </w:r>
      <w:r w:rsidRPr="009D43B2">
        <w:rPr>
          <w:rFonts w:ascii="Bookman Old Style" w:hAnsi="Bookman Old Style" w:cs="Bookman Old Style"/>
        </w:rPr>
        <w:t>ó</w:t>
      </w:r>
      <w:r w:rsidRPr="009D43B2">
        <w:rPr>
          <w:rFonts w:ascii="Bookman Old Style" w:hAnsi="Bookman Old Style" w:cs="Arial"/>
        </w:rPr>
        <w:t xml:space="preserve">n del 83.07% para los servicios prestados de </w:t>
      </w:r>
      <w:r w:rsidR="00FB5FBD" w:rsidRPr="009D43B2">
        <w:rPr>
          <w:rFonts w:ascii="Bookman Old Style" w:hAnsi="Bookman Old Style" w:cs="Arial"/>
        </w:rPr>
        <w:t>energía</w:t>
      </w:r>
      <w:r w:rsidRPr="009D43B2">
        <w:rPr>
          <w:rFonts w:ascii="Bookman Old Style" w:hAnsi="Bookman Old Style" w:cs="Arial"/>
        </w:rPr>
        <w:t xml:space="preserve"> y gas combustible (GN, GLP), y una participación del 16.93% para los servicios de combustibles líquidos, el cual se detalla a continuación</w:t>
      </w:r>
      <w:r>
        <w:rPr>
          <w:rFonts w:ascii="Bookman Old Style" w:hAnsi="Bookman Old Style" w:cs="Arial"/>
        </w:rPr>
        <w:t>:</w:t>
      </w:r>
    </w:p>
    <w:p w14:paraId="3AE0EFEB" w14:textId="77777777" w:rsidR="00E7351A" w:rsidRDefault="00E7351A" w:rsidP="009D43B2">
      <w:pPr>
        <w:ind w:left="0"/>
        <w:jc w:val="both"/>
        <w:rPr>
          <w:rFonts w:ascii="Bookman Old Style" w:hAnsi="Bookman Old Style" w:cs="Arial"/>
        </w:rPr>
      </w:pPr>
    </w:p>
    <w:tbl>
      <w:tblPr>
        <w:tblW w:w="9351" w:type="dxa"/>
        <w:jc w:val="center"/>
        <w:tblLayout w:type="fixed"/>
        <w:tblCellMar>
          <w:left w:w="70" w:type="dxa"/>
          <w:right w:w="70" w:type="dxa"/>
        </w:tblCellMar>
        <w:tblLook w:val="04A0" w:firstRow="1" w:lastRow="0" w:firstColumn="1" w:lastColumn="0" w:noHBand="0" w:noVBand="1"/>
      </w:tblPr>
      <w:tblGrid>
        <w:gridCol w:w="1129"/>
        <w:gridCol w:w="1418"/>
        <w:gridCol w:w="1134"/>
        <w:gridCol w:w="1276"/>
        <w:gridCol w:w="1134"/>
        <w:gridCol w:w="1417"/>
        <w:gridCol w:w="1134"/>
        <w:gridCol w:w="709"/>
      </w:tblGrid>
      <w:tr w:rsidR="009D43B2" w:rsidRPr="001F5D0C" w14:paraId="2BA051C0" w14:textId="77777777" w:rsidTr="00914528">
        <w:trPr>
          <w:trHeight w:val="300"/>
          <w:tblHeader/>
          <w:jc w:val="center"/>
        </w:trPr>
        <w:tc>
          <w:tcPr>
            <w:tcW w:w="112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5B6AB3B5"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Servicio</w:t>
            </w:r>
          </w:p>
        </w:tc>
        <w:tc>
          <w:tcPr>
            <w:tcW w:w="2552"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277D1D3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2017</w:t>
            </w:r>
          </w:p>
        </w:tc>
        <w:tc>
          <w:tcPr>
            <w:tcW w:w="2410"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05D6A77E"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2018</w:t>
            </w:r>
          </w:p>
        </w:tc>
        <w:tc>
          <w:tcPr>
            <w:tcW w:w="2551"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16E43E74"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2019</w:t>
            </w:r>
          </w:p>
        </w:tc>
        <w:tc>
          <w:tcPr>
            <w:tcW w:w="70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4D3CAC06" w14:textId="77777777" w:rsidR="009D43B2" w:rsidRPr="001F5D0C" w:rsidRDefault="00B9519B" w:rsidP="009D43B2">
            <w:pPr>
              <w:ind w:left="0"/>
              <w:rPr>
                <w:rFonts w:ascii="Microsoft Sans Serif" w:hAnsi="Microsoft Sans Serif" w:cs="Microsoft Sans Serif"/>
                <w:sz w:val="19"/>
                <w:szCs w:val="19"/>
                <w:highlight w:val="lightGray"/>
              </w:rPr>
            </w:pPr>
            <m:oMathPara>
              <m:oMath>
                <m:acc>
                  <m:accPr>
                    <m:chr m:val="̅"/>
                    <m:ctrlPr>
                      <w:rPr>
                        <w:rFonts w:ascii="Cambria Math" w:hAnsi="Cambria Math" w:cs="Microsoft Sans Serif"/>
                        <w:i/>
                        <w:sz w:val="19"/>
                        <w:szCs w:val="19"/>
                        <w:highlight w:val="lightGray"/>
                      </w:rPr>
                    </m:ctrlPr>
                  </m:accPr>
                  <m:e>
                    <m:r>
                      <w:rPr>
                        <w:rFonts w:ascii="Cambria Math" w:hAnsi="Cambria Math" w:cs="Microsoft Sans Serif"/>
                        <w:sz w:val="19"/>
                        <w:szCs w:val="19"/>
                        <w:highlight w:val="lightGray"/>
                      </w:rPr>
                      <m:t>x</m:t>
                    </m:r>
                  </m:e>
                </m:acc>
              </m:oMath>
            </m:oMathPara>
          </w:p>
        </w:tc>
      </w:tr>
      <w:tr w:rsidR="001F5D0C" w:rsidRPr="001F5D0C" w14:paraId="74AB0932" w14:textId="77777777" w:rsidTr="00914528">
        <w:trPr>
          <w:trHeight w:val="510"/>
          <w:tblHeader/>
          <w:jc w:val="center"/>
        </w:trPr>
        <w:tc>
          <w:tcPr>
            <w:tcW w:w="1129" w:type="dxa"/>
            <w:vMerge/>
            <w:tcBorders>
              <w:top w:val="single" w:sz="4" w:space="0" w:color="0070C0"/>
              <w:left w:val="single" w:sz="4" w:space="0" w:color="0070C0"/>
              <w:bottom w:val="single" w:sz="4" w:space="0" w:color="0070C0"/>
              <w:right w:val="single" w:sz="4" w:space="0" w:color="0070C0"/>
            </w:tcBorders>
            <w:vAlign w:val="center"/>
            <w:hideMark/>
          </w:tcPr>
          <w:p w14:paraId="406CF7FC" w14:textId="77777777" w:rsidR="009D43B2" w:rsidRPr="001F5D0C" w:rsidRDefault="009D43B2" w:rsidP="009D43B2">
            <w:pPr>
              <w:ind w:left="0"/>
              <w:rPr>
                <w:rFonts w:ascii="Arial Narrow" w:hAnsi="Arial Narrow" w:cs="Calibri"/>
                <w:b/>
                <w:bCs/>
                <w:sz w:val="19"/>
                <w:szCs w:val="19"/>
                <w:highlight w:val="lightGray"/>
                <w:lang w:eastAsia="es-CO"/>
              </w:rPr>
            </w:pPr>
          </w:p>
        </w:tc>
        <w:tc>
          <w:tcPr>
            <w:tcW w:w="1418" w:type="dxa"/>
            <w:tcBorders>
              <w:top w:val="nil"/>
              <w:left w:val="nil"/>
              <w:bottom w:val="single" w:sz="4" w:space="0" w:color="0070C0"/>
              <w:right w:val="single" w:sz="4" w:space="0" w:color="0070C0"/>
            </w:tcBorders>
            <w:shd w:val="clear" w:color="000000" w:fill="D0CECE"/>
            <w:vAlign w:val="center"/>
            <w:hideMark/>
          </w:tcPr>
          <w:p w14:paraId="2F72521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4FC42A80" w14:textId="33B619D0"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r w:rsidR="00F760D8" w:rsidRPr="001F5D0C">
              <w:rPr>
                <w:rFonts w:ascii="Arial Narrow" w:hAnsi="Arial Narrow" w:cs="Calibri"/>
                <w:b/>
                <w:bCs/>
                <w:sz w:val="19"/>
                <w:szCs w:val="19"/>
                <w:highlight w:val="lightGray"/>
                <w:lang w:eastAsia="es-CO"/>
              </w:rPr>
              <w:t>Participación</w:t>
            </w:r>
            <w:r w:rsidRPr="001F5D0C">
              <w:rPr>
                <w:rFonts w:ascii="Arial Narrow" w:hAnsi="Arial Narrow" w:cs="Calibri"/>
                <w:b/>
                <w:bCs/>
                <w:sz w:val="19"/>
                <w:szCs w:val="19"/>
                <w:highlight w:val="lightGray"/>
                <w:lang w:eastAsia="es-CO"/>
              </w:rPr>
              <w:t xml:space="preserve"> </w:t>
            </w:r>
          </w:p>
        </w:tc>
        <w:tc>
          <w:tcPr>
            <w:tcW w:w="1276" w:type="dxa"/>
            <w:tcBorders>
              <w:top w:val="nil"/>
              <w:left w:val="nil"/>
              <w:bottom w:val="single" w:sz="4" w:space="0" w:color="0070C0"/>
              <w:right w:val="single" w:sz="4" w:space="0" w:color="0070C0"/>
            </w:tcBorders>
            <w:shd w:val="clear" w:color="000000" w:fill="D0CECE"/>
            <w:vAlign w:val="center"/>
            <w:hideMark/>
          </w:tcPr>
          <w:p w14:paraId="339F4ACA"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0104FC81" w14:textId="310238BA"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r w:rsidR="00F760D8" w:rsidRPr="001F5D0C">
              <w:rPr>
                <w:rFonts w:ascii="Arial Narrow" w:hAnsi="Arial Narrow" w:cs="Calibri"/>
                <w:b/>
                <w:bCs/>
                <w:sz w:val="19"/>
                <w:szCs w:val="19"/>
                <w:highlight w:val="lightGray"/>
                <w:lang w:eastAsia="es-CO"/>
              </w:rPr>
              <w:t>Participación</w:t>
            </w:r>
            <w:r w:rsidRPr="001F5D0C">
              <w:rPr>
                <w:rFonts w:ascii="Arial Narrow" w:hAnsi="Arial Narrow" w:cs="Calibri"/>
                <w:b/>
                <w:bCs/>
                <w:sz w:val="19"/>
                <w:szCs w:val="19"/>
                <w:highlight w:val="lightGray"/>
                <w:lang w:eastAsia="es-CO"/>
              </w:rPr>
              <w:t xml:space="preserve"> </w:t>
            </w:r>
          </w:p>
        </w:tc>
        <w:tc>
          <w:tcPr>
            <w:tcW w:w="1417" w:type="dxa"/>
            <w:tcBorders>
              <w:top w:val="nil"/>
              <w:left w:val="nil"/>
              <w:bottom w:val="single" w:sz="4" w:space="0" w:color="0070C0"/>
              <w:right w:val="single" w:sz="4" w:space="0" w:color="0070C0"/>
            </w:tcBorders>
            <w:shd w:val="clear" w:color="000000" w:fill="D0CECE"/>
            <w:vAlign w:val="center"/>
            <w:hideMark/>
          </w:tcPr>
          <w:p w14:paraId="3757A187"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37DC8885" w14:textId="6623EC7A"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r w:rsidR="00F760D8" w:rsidRPr="001F5D0C">
              <w:rPr>
                <w:rFonts w:ascii="Arial Narrow" w:hAnsi="Arial Narrow" w:cs="Calibri"/>
                <w:b/>
                <w:bCs/>
                <w:sz w:val="19"/>
                <w:szCs w:val="19"/>
                <w:highlight w:val="lightGray"/>
                <w:lang w:eastAsia="es-CO"/>
              </w:rPr>
              <w:t>Participación</w:t>
            </w:r>
            <w:r w:rsidRPr="001F5D0C">
              <w:rPr>
                <w:rFonts w:ascii="Arial Narrow" w:hAnsi="Arial Narrow" w:cs="Calibri"/>
                <w:b/>
                <w:bCs/>
                <w:sz w:val="19"/>
                <w:szCs w:val="19"/>
                <w:highlight w:val="lightGray"/>
                <w:lang w:eastAsia="es-CO"/>
              </w:rPr>
              <w:t xml:space="preserve"> </w:t>
            </w:r>
          </w:p>
        </w:tc>
        <w:tc>
          <w:tcPr>
            <w:tcW w:w="709" w:type="dxa"/>
            <w:vMerge/>
            <w:tcBorders>
              <w:top w:val="single" w:sz="4" w:space="0" w:color="0070C0"/>
              <w:left w:val="single" w:sz="4" w:space="0" w:color="0070C0"/>
              <w:bottom w:val="single" w:sz="4" w:space="0" w:color="0070C0"/>
              <w:right w:val="single" w:sz="4" w:space="0" w:color="0070C0"/>
            </w:tcBorders>
            <w:vAlign w:val="center"/>
            <w:hideMark/>
          </w:tcPr>
          <w:p w14:paraId="226E1868" w14:textId="77777777" w:rsidR="009D43B2" w:rsidRPr="001F5D0C" w:rsidRDefault="009D43B2" w:rsidP="009D43B2">
            <w:pPr>
              <w:ind w:left="0"/>
              <w:rPr>
                <w:rFonts w:ascii="Arial Narrow" w:hAnsi="Arial Narrow" w:cs="Calibri"/>
                <w:b/>
                <w:bCs/>
                <w:sz w:val="19"/>
                <w:szCs w:val="19"/>
                <w:highlight w:val="lightGray"/>
                <w:lang w:eastAsia="es-CO"/>
              </w:rPr>
            </w:pPr>
          </w:p>
        </w:tc>
      </w:tr>
      <w:tr w:rsidR="001F5D0C" w:rsidRPr="001F5D0C" w14:paraId="38B5CC5F" w14:textId="77777777" w:rsidTr="00D0527D">
        <w:trPr>
          <w:trHeight w:val="681"/>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68E25736" w14:textId="77777777" w:rsidR="001F5D0C"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 xml:space="preserve">Energía y gas combustible </w:t>
            </w:r>
          </w:p>
          <w:p w14:paraId="608CC4F0" w14:textId="36AEBF01"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(GN, GLP)</w:t>
            </w:r>
          </w:p>
        </w:tc>
        <w:tc>
          <w:tcPr>
            <w:tcW w:w="1418" w:type="dxa"/>
            <w:tcBorders>
              <w:top w:val="nil"/>
              <w:left w:val="nil"/>
              <w:bottom w:val="single" w:sz="4" w:space="0" w:color="0070C0"/>
              <w:right w:val="single" w:sz="4" w:space="0" w:color="0070C0"/>
            </w:tcBorders>
            <w:shd w:val="clear" w:color="000000" w:fill="FFFFFF"/>
            <w:vAlign w:val="center"/>
            <w:hideMark/>
          </w:tcPr>
          <w:p w14:paraId="136C1C1C"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20.317.309.000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57F0762"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80,52%</w:t>
            </w:r>
          </w:p>
        </w:tc>
        <w:tc>
          <w:tcPr>
            <w:tcW w:w="1276" w:type="dxa"/>
            <w:tcBorders>
              <w:top w:val="nil"/>
              <w:left w:val="nil"/>
              <w:bottom w:val="single" w:sz="4" w:space="0" w:color="0070C0"/>
              <w:right w:val="single" w:sz="4" w:space="0" w:color="0070C0"/>
            </w:tcBorders>
            <w:shd w:val="clear" w:color="000000" w:fill="FFFFFF"/>
            <w:vAlign w:val="center"/>
            <w:hideMark/>
          </w:tcPr>
          <w:p w14:paraId="654B10B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23.961.291.000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BCC4B3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83,73%</w:t>
            </w:r>
          </w:p>
        </w:tc>
        <w:tc>
          <w:tcPr>
            <w:tcW w:w="1417" w:type="dxa"/>
            <w:tcBorders>
              <w:top w:val="nil"/>
              <w:left w:val="nil"/>
              <w:bottom w:val="single" w:sz="4" w:space="0" w:color="0070C0"/>
              <w:right w:val="single" w:sz="4" w:space="0" w:color="0070C0"/>
            </w:tcBorders>
            <w:shd w:val="clear" w:color="000000" w:fill="FFFFFF"/>
            <w:vAlign w:val="center"/>
            <w:hideMark/>
          </w:tcPr>
          <w:p w14:paraId="376D5810"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28.015.328.300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78D83FA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84,97%</w:t>
            </w:r>
          </w:p>
        </w:tc>
        <w:tc>
          <w:tcPr>
            <w:tcW w:w="709" w:type="dxa"/>
            <w:tcBorders>
              <w:top w:val="nil"/>
              <w:left w:val="nil"/>
              <w:bottom w:val="single" w:sz="4" w:space="0" w:color="0070C0"/>
              <w:right w:val="single" w:sz="4" w:space="0" w:color="0070C0"/>
            </w:tcBorders>
            <w:shd w:val="clear" w:color="000000" w:fill="FFFFFF"/>
            <w:noWrap/>
            <w:vAlign w:val="center"/>
            <w:hideMark/>
          </w:tcPr>
          <w:p w14:paraId="1B0F6581"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83,07%</w:t>
            </w:r>
          </w:p>
        </w:tc>
      </w:tr>
      <w:tr w:rsidR="001F5D0C" w:rsidRPr="001F5D0C" w14:paraId="40C3E2B9" w14:textId="77777777" w:rsidTr="00D0527D">
        <w:trPr>
          <w:trHeight w:val="510"/>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316E2F6E" w14:textId="77777777"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lastRenderedPageBreak/>
              <w:t>Combustibles Líquidos</w:t>
            </w:r>
          </w:p>
        </w:tc>
        <w:tc>
          <w:tcPr>
            <w:tcW w:w="1418" w:type="dxa"/>
            <w:tcBorders>
              <w:top w:val="nil"/>
              <w:left w:val="nil"/>
              <w:bottom w:val="single" w:sz="4" w:space="0" w:color="0070C0"/>
              <w:right w:val="single" w:sz="4" w:space="0" w:color="0070C0"/>
            </w:tcBorders>
            <w:shd w:val="clear" w:color="000000" w:fill="FFFFFF"/>
            <w:vAlign w:val="center"/>
            <w:hideMark/>
          </w:tcPr>
          <w:p w14:paraId="6B1E5D69"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4.914.464.000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6F265CE"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19,48%</w:t>
            </w:r>
          </w:p>
        </w:tc>
        <w:tc>
          <w:tcPr>
            <w:tcW w:w="1276" w:type="dxa"/>
            <w:tcBorders>
              <w:top w:val="nil"/>
              <w:left w:val="nil"/>
              <w:bottom w:val="single" w:sz="4" w:space="0" w:color="0070C0"/>
              <w:right w:val="single" w:sz="4" w:space="0" w:color="0070C0"/>
            </w:tcBorders>
            <w:shd w:val="clear" w:color="000000" w:fill="FFFFFF"/>
            <w:vAlign w:val="center"/>
            <w:hideMark/>
          </w:tcPr>
          <w:p w14:paraId="1C384F9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4.656.164.000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7529087"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16,27%</w:t>
            </w:r>
          </w:p>
        </w:tc>
        <w:tc>
          <w:tcPr>
            <w:tcW w:w="1417" w:type="dxa"/>
            <w:tcBorders>
              <w:top w:val="nil"/>
              <w:left w:val="nil"/>
              <w:bottom w:val="single" w:sz="4" w:space="0" w:color="0070C0"/>
              <w:right w:val="single" w:sz="4" w:space="0" w:color="0070C0"/>
            </w:tcBorders>
            <w:shd w:val="clear" w:color="000000" w:fill="FFFFFF"/>
            <w:vAlign w:val="center"/>
            <w:hideMark/>
          </w:tcPr>
          <w:p w14:paraId="757F4CC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4.955.734.000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2FB06D6B"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15,03%</w:t>
            </w:r>
          </w:p>
        </w:tc>
        <w:tc>
          <w:tcPr>
            <w:tcW w:w="709" w:type="dxa"/>
            <w:tcBorders>
              <w:top w:val="nil"/>
              <w:left w:val="nil"/>
              <w:bottom w:val="single" w:sz="4" w:space="0" w:color="0070C0"/>
              <w:right w:val="single" w:sz="4" w:space="0" w:color="0070C0"/>
            </w:tcBorders>
            <w:shd w:val="clear" w:color="000000" w:fill="FFFFFF"/>
            <w:noWrap/>
            <w:vAlign w:val="center"/>
            <w:hideMark/>
          </w:tcPr>
          <w:p w14:paraId="1E626B87"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16,93%</w:t>
            </w:r>
          </w:p>
        </w:tc>
      </w:tr>
      <w:tr w:rsidR="001F5D0C" w:rsidRPr="001F5D0C" w14:paraId="4932B128" w14:textId="77777777" w:rsidTr="00D0527D">
        <w:trPr>
          <w:trHeight w:val="300"/>
          <w:jc w:val="center"/>
        </w:trPr>
        <w:tc>
          <w:tcPr>
            <w:tcW w:w="1129" w:type="dxa"/>
            <w:tcBorders>
              <w:top w:val="nil"/>
              <w:left w:val="single" w:sz="4" w:space="0" w:color="0070C0"/>
              <w:bottom w:val="single" w:sz="4" w:space="0" w:color="0070C0"/>
              <w:right w:val="single" w:sz="4" w:space="0" w:color="0070C0"/>
            </w:tcBorders>
            <w:shd w:val="clear" w:color="000000" w:fill="D0CECE"/>
            <w:noWrap/>
            <w:vAlign w:val="center"/>
            <w:hideMark/>
          </w:tcPr>
          <w:p w14:paraId="35DDB464" w14:textId="77777777" w:rsidR="009D43B2" w:rsidRPr="001F5D0C" w:rsidRDefault="009D43B2" w:rsidP="009D43B2">
            <w:pPr>
              <w:ind w:left="0"/>
              <w:jc w:val="center"/>
              <w:rPr>
                <w:rFonts w:ascii="Arial Narrow" w:hAnsi="Arial Narrow" w:cs="Calibri"/>
                <w:b/>
                <w:bCs/>
                <w:sz w:val="19"/>
                <w:szCs w:val="19"/>
                <w:lang w:eastAsia="es-CO"/>
              </w:rPr>
            </w:pPr>
            <w:r w:rsidRPr="001F5D0C">
              <w:rPr>
                <w:rFonts w:ascii="Arial Narrow" w:hAnsi="Arial Narrow" w:cs="Calibri"/>
                <w:b/>
                <w:bCs/>
                <w:sz w:val="19"/>
                <w:szCs w:val="19"/>
                <w:lang w:eastAsia="es-CO"/>
              </w:rPr>
              <w:t>TOTAL</w:t>
            </w:r>
          </w:p>
        </w:tc>
        <w:tc>
          <w:tcPr>
            <w:tcW w:w="1418" w:type="dxa"/>
            <w:tcBorders>
              <w:top w:val="nil"/>
              <w:left w:val="nil"/>
              <w:bottom w:val="single" w:sz="4" w:space="0" w:color="0070C0"/>
              <w:right w:val="single" w:sz="4" w:space="0" w:color="0070C0"/>
            </w:tcBorders>
            <w:shd w:val="clear" w:color="000000" w:fill="D0CECE"/>
            <w:noWrap/>
            <w:vAlign w:val="center"/>
            <w:hideMark/>
          </w:tcPr>
          <w:p w14:paraId="155E2A5C"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25.231.773.000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588BD094"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276" w:type="dxa"/>
            <w:tcBorders>
              <w:top w:val="nil"/>
              <w:left w:val="nil"/>
              <w:bottom w:val="single" w:sz="4" w:space="0" w:color="0070C0"/>
              <w:right w:val="single" w:sz="4" w:space="0" w:color="0070C0"/>
            </w:tcBorders>
            <w:shd w:val="clear" w:color="000000" w:fill="D0CECE"/>
            <w:noWrap/>
            <w:vAlign w:val="center"/>
            <w:hideMark/>
          </w:tcPr>
          <w:p w14:paraId="06CDB0B6"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28.617.455.000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1C00DBA9"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417" w:type="dxa"/>
            <w:tcBorders>
              <w:top w:val="nil"/>
              <w:left w:val="nil"/>
              <w:bottom w:val="single" w:sz="4" w:space="0" w:color="0070C0"/>
              <w:right w:val="single" w:sz="4" w:space="0" w:color="0070C0"/>
            </w:tcBorders>
            <w:shd w:val="clear" w:color="000000" w:fill="D0CECE"/>
            <w:noWrap/>
            <w:vAlign w:val="center"/>
            <w:hideMark/>
          </w:tcPr>
          <w:p w14:paraId="67F795F1"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32.971.062.300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20403D8E"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709" w:type="dxa"/>
            <w:tcBorders>
              <w:top w:val="nil"/>
              <w:left w:val="nil"/>
              <w:bottom w:val="nil"/>
              <w:right w:val="nil"/>
            </w:tcBorders>
            <w:shd w:val="clear" w:color="000000" w:fill="FFFFFF"/>
            <w:noWrap/>
            <w:vAlign w:val="center"/>
            <w:hideMark/>
          </w:tcPr>
          <w:p w14:paraId="5B8645DA" w14:textId="77777777" w:rsidR="009D43B2" w:rsidRPr="001F5D0C" w:rsidRDefault="009D43B2" w:rsidP="009D43B2">
            <w:pPr>
              <w:ind w:left="0"/>
              <w:rPr>
                <w:rFonts w:ascii="Calibri" w:hAnsi="Calibri" w:cs="Calibri"/>
                <w:sz w:val="19"/>
                <w:szCs w:val="19"/>
                <w:lang w:eastAsia="es-CO"/>
              </w:rPr>
            </w:pPr>
            <w:r w:rsidRPr="001F5D0C">
              <w:rPr>
                <w:rFonts w:ascii="Calibri" w:hAnsi="Calibri" w:cs="Calibri"/>
                <w:sz w:val="19"/>
                <w:szCs w:val="19"/>
                <w:lang w:eastAsia="es-CO"/>
              </w:rPr>
              <w:t> </w:t>
            </w:r>
          </w:p>
        </w:tc>
      </w:tr>
    </w:tbl>
    <w:p w14:paraId="3DE58511" w14:textId="77777777" w:rsidR="002F6A43" w:rsidRDefault="002F6A43" w:rsidP="001F5D0C">
      <w:pPr>
        <w:ind w:left="0"/>
        <w:jc w:val="both"/>
        <w:rPr>
          <w:rFonts w:ascii="Bookman Old Style" w:hAnsi="Bookman Old Style" w:cs="Arial"/>
        </w:rPr>
      </w:pPr>
    </w:p>
    <w:p w14:paraId="6DAE1936" w14:textId="574CF1CF" w:rsidR="001F5D0C" w:rsidRPr="001F5D0C" w:rsidRDefault="001F5D0C" w:rsidP="001F5D0C">
      <w:pPr>
        <w:ind w:left="0"/>
        <w:jc w:val="both"/>
        <w:rPr>
          <w:rFonts w:ascii="Bookman Old Style" w:hAnsi="Bookman Old Style" w:cs="Arial"/>
        </w:rPr>
      </w:pPr>
      <w:r w:rsidRPr="001F5D0C">
        <w:rPr>
          <w:rFonts w:ascii="Bookman Old Style" w:hAnsi="Bookman Old Style" w:cs="Arial"/>
        </w:rPr>
        <w:t>Teniendo en cuenta que el presupuesto vigente es el numerador de la fórmula para hallar la tarifa o factor general descrita anteriormente, así como la media aritmética (</w:t>
      </w:r>
      <m:oMath>
        <m:acc>
          <m:accPr>
            <m:chr m:val="̅"/>
            <m:ctrlPr>
              <w:rPr>
                <w:rFonts w:ascii="Cambria Math" w:hAnsi="Cambria Math" w:cs="Arial"/>
                <w:i/>
              </w:rPr>
            </m:ctrlPr>
          </m:accPr>
          <m:e>
            <m:r>
              <w:rPr>
                <w:rFonts w:ascii="Cambria Math" w:hAnsi="Cambria Math" w:cs="Arial"/>
              </w:rPr>
              <m:t xml:space="preserve">X </m:t>
            </m:r>
          </m:e>
        </m:acc>
      </m:oMath>
      <w:r w:rsidRPr="001F5D0C">
        <w:rPr>
          <w:rFonts w:ascii="Bookman Old Style" w:hAnsi="Bookman Old Style" w:cs="Arial"/>
        </w:rPr>
        <w:t>) para cada uno de los servicios prestados, se obtiene la base presupuestal para la liquidaci</w:t>
      </w:r>
      <w:proofErr w:type="spellStart"/>
      <w:r w:rsidRPr="001F5D0C">
        <w:rPr>
          <w:rFonts w:ascii="Bookman Old Style" w:hAnsi="Bookman Old Style" w:cs="Bookman Old Style"/>
        </w:rPr>
        <w:t>ó</w:t>
      </w:r>
      <w:r w:rsidRPr="001F5D0C">
        <w:rPr>
          <w:rFonts w:ascii="Bookman Old Style" w:hAnsi="Bookman Old Style" w:cs="Arial"/>
        </w:rPr>
        <w:t>n</w:t>
      </w:r>
      <w:proofErr w:type="spellEnd"/>
      <w:r w:rsidRPr="001F5D0C">
        <w:rPr>
          <w:rFonts w:ascii="Bookman Old Style" w:hAnsi="Bookman Old Style" w:cs="Arial"/>
        </w:rPr>
        <w:t xml:space="preserve"> de la contribuci</w:t>
      </w:r>
      <w:r w:rsidRPr="001F5D0C">
        <w:rPr>
          <w:rFonts w:ascii="Bookman Old Style" w:hAnsi="Bookman Old Style" w:cs="Bookman Old Style"/>
        </w:rPr>
        <w:t>ó</w:t>
      </w:r>
      <w:r w:rsidRPr="001F5D0C">
        <w:rPr>
          <w:rFonts w:ascii="Bookman Old Style" w:hAnsi="Bookman Old Style" w:cs="Arial"/>
        </w:rPr>
        <w:t>n especial 2020, que se detalla a continuaci</w:t>
      </w:r>
      <w:r w:rsidRPr="001F5D0C">
        <w:rPr>
          <w:rFonts w:ascii="Bookman Old Style" w:hAnsi="Bookman Old Style" w:cs="Bookman Old Style"/>
        </w:rPr>
        <w:t>ó</w:t>
      </w:r>
      <w:r w:rsidRPr="001F5D0C">
        <w:rPr>
          <w:rFonts w:ascii="Bookman Old Style" w:hAnsi="Bookman Old Style" w:cs="Arial"/>
        </w:rPr>
        <w:t>n:</w:t>
      </w:r>
    </w:p>
    <w:p w14:paraId="176E2345" w14:textId="53FB738D" w:rsidR="001F5D0C" w:rsidRDefault="001F5D0C" w:rsidP="00733B4E">
      <w:pPr>
        <w:ind w:left="0"/>
        <w:jc w:val="both"/>
        <w:rPr>
          <w:rFonts w:ascii="Bookman Old Style" w:hAnsi="Bookman Old Style" w:cs="Arial"/>
        </w:rPr>
      </w:pPr>
    </w:p>
    <w:tbl>
      <w:tblPr>
        <w:tblW w:w="8212" w:type="dxa"/>
        <w:jc w:val="center"/>
        <w:tblCellMar>
          <w:left w:w="70" w:type="dxa"/>
          <w:right w:w="70" w:type="dxa"/>
        </w:tblCellMar>
        <w:tblLook w:val="04A0" w:firstRow="1" w:lastRow="0" w:firstColumn="1" w:lastColumn="0" w:noHBand="0" w:noVBand="1"/>
      </w:tblPr>
      <w:tblGrid>
        <w:gridCol w:w="2200"/>
        <w:gridCol w:w="2752"/>
        <w:gridCol w:w="3260"/>
      </w:tblGrid>
      <w:tr w:rsidR="001F5D0C" w:rsidRPr="0051774F" w14:paraId="1CBD51B0" w14:textId="77777777" w:rsidTr="001F5D0C">
        <w:trPr>
          <w:trHeight w:val="389"/>
          <w:jc w:val="center"/>
        </w:trPr>
        <w:tc>
          <w:tcPr>
            <w:tcW w:w="2200" w:type="dxa"/>
            <w:vMerge w:val="restart"/>
            <w:tcBorders>
              <w:top w:val="single" w:sz="8" w:space="0" w:color="0070C0"/>
              <w:left w:val="single" w:sz="8" w:space="0" w:color="0070C0"/>
              <w:bottom w:val="single" w:sz="8" w:space="0" w:color="0070C0"/>
              <w:right w:val="single" w:sz="8" w:space="0" w:color="0070C0"/>
            </w:tcBorders>
            <w:shd w:val="clear" w:color="000000" w:fill="D0CECE"/>
            <w:vAlign w:val="center"/>
            <w:hideMark/>
          </w:tcPr>
          <w:p w14:paraId="20EA8494"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Servicio</w:t>
            </w:r>
          </w:p>
        </w:tc>
        <w:tc>
          <w:tcPr>
            <w:tcW w:w="6012" w:type="dxa"/>
            <w:gridSpan w:val="2"/>
            <w:tcBorders>
              <w:top w:val="single" w:sz="8" w:space="0" w:color="0070C0"/>
              <w:left w:val="nil"/>
              <w:bottom w:val="single" w:sz="8" w:space="0" w:color="0070C0"/>
              <w:right w:val="single" w:sz="8" w:space="0" w:color="0070C0"/>
            </w:tcBorders>
            <w:shd w:val="clear" w:color="000000" w:fill="D0CECE"/>
            <w:vAlign w:val="center"/>
            <w:hideMark/>
          </w:tcPr>
          <w:p w14:paraId="5FECDBE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DISTRIBUCIÓN PRESUPUESTAL</w:t>
            </w:r>
          </w:p>
        </w:tc>
      </w:tr>
      <w:tr w:rsidR="001F5D0C" w:rsidRPr="0051774F" w14:paraId="71E82A13" w14:textId="77777777" w:rsidTr="001F5D0C">
        <w:trPr>
          <w:trHeight w:val="541"/>
          <w:jc w:val="center"/>
        </w:trPr>
        <w:tc>
          <w:tcPr>
            <w:tcW w:w="2200" w:type="dxa"/>
            <w:vMerge/>
            <w:tcBorders>
              <w:top w:val="single" w:sz="8" w:space="0" w:color="0070C0"/>
              <w:left w:val="single" w:sz="8" w:space="0" w:color="0070C0"/>
              <w:bottom w:val="single" w:sz="8" w:space="0" w:color="0070C0"/>
              <w:right w:val="single" w:sz="8" w:space="0" w:color="0070C0"/>
            </w:tcBorders>
            <w:vAlign w:val="center"/>
            <w:hideMark/>
          </w:tcPr>
          <w:p w14:paraId="25F390D3" w14:textId="77777777" w:rsidR="001F5D0C" w:rsidRPr="001F5D0C" w:rsidRDefault="001F5D0C" w:rsidP="001F5D0C">
            <w:pPr>
              <w:ind w:left="0"/>
              <w:rPr>
                <w:rFonts w:ascii="Arial Narrow" w:hAnsi="Arial Narrow" w:cs="Calibri"/>
                <w:b/>
                <w:bCs/>
                <w:color w:val="000000"/>
                <w:sz w:val="20"/>
                <w:szCs w:val="20"/>
                <w:lang w:eastAsia="es-CO"/>
              </w:rPr>
            </w:pPr>
          </w:p>
        </w:tc>
        <w:tc>
          <w:tcPr>
            <w:tcW w:w="2752" w:type="dxa"/>
            <w:tcBorders>
              <w:top w:val="nil"/>
              <w:left w:val="nil"/>
              <w:bottom w:val="single" w:sz="8" w:space="0" w:color="0070C0"/>
              <w:right w:val="single" w:sz="8" w:space="0" w:color="0070C0"/>
            </w:tcBorders>
            <w:shd w:val="clear" w:color="000000" w:fill="D0CECE"/>
            <w:vAlign w:val="center"/>
            <w:hideMark/>
          </w:tcPr>
          <w:p w14:paraId="0C07B7DC"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Base presupuestal liquidación contribución especial 2020</w:t>
            </w:r>
          </w:p>
        </w:tc>
        <w:tc>
          <w:tcPr>
            <w:tcW w:w="3260" w:type="dxa"/>
            <w:tcBorders>
              <w:top w:val="nil"/>
              <w:left w:val="nil"/>
              <w:bottom w:val="single" w:sz="8" w:space="0" w:color="0070C0"/>
              <w:right w:val="single" w:sz="8" w:space="0" w:color="0070C0"/>
            </w:tcBorders>
            <w:shd w:val="clear" w:color="000000" w:fill="D0CECE"/>
            <w:vAlign w:val="center"/>
            <w:hideMark/>
          </w:tcPr>
          <w:p w14:paraId="1F253828"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 xml:space="preserve">% </w:t>
            </w:r>
            <w:proofErr w:type="spellStart"/>
            <w:r w:rsidRPr="001F5D0C">
              <w:rPr>
                <w:rFonts w:ascii="Arial Narrow" w:hAnsi="Arial Narrow" w:cs="Calibri"/>
                <w:b/>
                <w:bCs/>
                <w:color w:val="000000"/>
                <w:sz w:val="20"/>
                <w:szCs w:val="20"/>
                <w:lang w:eastAsia="es-CO"/>
              </w:rPr>
              <w:t>Participacion</w:t>
            </w:r>
            <w:proofErr w:type="spellEnd"/>
            <w:r w:rsidRPr="001F5D0C">
              <w:rPr>
                <w:rFonts w:ascii="Arial Narrow" w:hAnsi="Arial Narrow" w:cs="Calibri"/>
                <w:b/>
                <w:bCs/>
                <w:color w:val="000000"/>
                <w:sz w:val="20"/>
                <w:szCs w:val="20"/>
                <w:lang w:eastAsia="es-CO"/>
              </w:rPr>
              <w:t xml:space="preserve"> con base en la media </w:t>
            </w:r>
            <w:proofErr w:type="spellStart"/>
            <w:r w:rsidRPr="001F5D0C">
              <w:rPr>
                <w:rFonts w:ascii="Arial Narrow" w:hAnsi="Arial Narrow" w:cs="Calibri"/>
                <w:b/>
                <w:bCs/>
                <w:color w:val="000000"/>
                <w:sz w:val="20"/>
                <w:szCs w:val="20"/>
                <w:lang w:eastAsia="es-CO"/>
              </w:rPr>
              <w:t>artimética</w:t>
            </w:r>
            <w:proofErr w:type="spellEnd"/>
          </w:p>
        </w:tc>
      </w:tr>
      <w:tr w:rsidR="001F5D0C" w:rsidRPr="0051774F" w14:paraId="5D830DFC" w14:textId="77777777" w:rsidTr="001F5D0C">
        <w:trPr>
          <w:trHeight w:val="453"/>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72A3090B"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Energía y gas combustible (GN, GLP).</w:t>
            </w:r>
          </w:p>
        </w:tc>
        <w:tc>
          <w:tcPr>
            <w:tcW w:w="2752" w:type="dxa"/>
            <w:tcBorders>
              <w:top w:val="nil"/>
              <w:left w:val="nil"/>
              <w:bottom w:val="single" w:sz="8" w:space="0" w:color="0070C0"/>
              <w:right w:val="single" w:sz="8" w:space="0" w:color="0070C0"/>
            </w:tcBorders>
            <w:shd w:val="clear" w:color="000000" w:fill="FFFFFF"/>
            <w:vAlign w:val="center"/>
            <w:hideMark/>
          </w:tcPr>
          <w:p w14:paraId="739EEBCC"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30.459.998.090</w:t>
            </w:r>
          </w:p>
        </w:tc>
        <w:tc>
          <w:tcPr>
            <w:tcW w:w="3260" w:type="dxa"/>
            <w:tcBorders>
              <w:top w:val="nil"/>
              <w:left w:val="nil"/>
              <w:bottom w:val="single" w:sz="8" w:space="0" w:color="0070C0"/>
              <w:right w:val="single" w:sz="8" w:space="0" w:color="0070C0"/>
            </w:tcBorders>
            <w:shd w:val="clear" w:color="000000" w:fill="FFFFFF"/>
            <w:noWrap/>
            <w:vAlign w:val="center"/>
            <w:hideMark/>
          </w:tcPr>
          <w:p w14:paraId="32C8D43E"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83,07%</w:t>
            </w:r>
          </w:p>
        </w:tc>
      </w:tr>
      <w:tr w:rsidR="001F5D0C" w:rsidRPr="0051774F" w14:paraId="129D8BBD" w14:textId="77777777" w:rsidTr="001F5D0C">
        <w:trPr>
          <w:trHeight w:val="415"/>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07BC76FC"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Combustibles Líquidos.</w:t>
            </w:r>
          </w:p>
        </w:tc>
        <w:tc>
          <w:tcPr>
            <w:tcW w:w="2752" w:type="dxa"/>
            <w:tcBorders>
              <w:top w:val="nil"/>
              <w:left w:val="nil"/>
              <w:bottom w:val="single" w:sz="8" w:space="0" w:color="0070C0"/>
              <w:right w:val="single" w:sz="8" w:space="0" w:color="0070C0"/>
            </w:tcBorders>
            <w:shd w:val="clear" w:color="000000" w:fill="FFFFFF"/>
            <w:vAlign w:val="center"/>
            <w:hideMark/>
          </w:tcPr>
          <w:p w14:paraId="642D4D61"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6.207.870.081</w:t>
            </w:r>
          </w:p>
        </w:tc>
        <w:tc>
          <w:tcPr>
            <w:tcW w:w="3260" w:type="dxa"/>
            <w:tcBorders>
              <w:top w:val="nil"/>
              <w:left w:val="nil"/>
              <w:bottom w:val="single" w:sz="8" w:space="0" w:color="0070C0"/>
              <w:right w:val="single" w:sz="8" w:space="0" w:color="0070C0"/>
            </w:tcBorders>
            <w:shd w:val="clear" w:color="000000" w:fill="FFFFFF"/>
            <w:noWrap/>
            <w:vAlign w:val="center"/>
            <w:hideMark/>
          </w:tcPr>
          <w:p w14:paraId="38FE660B"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16,93%</w:t>
            </w:r>
          </w:p>
        </w:tc>
      </w:tr>
      <w:tr w:rsidR="001F5D0C" w:rsidRPr="0051774F" w14:paraId="332EA614" w14:textId="77777777" w:rsidTr="001F5D0C">
        <w:trPr>
          <w:trHeight w:val="254"/>
          <w:jc w:val="center"/>
        </w:trPr>
        <w:tc>
          <w:tcPr>
            <w:tcW w:w="2200" w:type="dxa"/>
            <w:tcBorders>
              <w:top w:val="nil"/>
              <w:left w:val="single" w:sz="8" w:space="0" w:color="0070C0"/>
              <w:bottom w:val="single" w:sz="8" w:space="0" w:color="0070C0"/>
              <w:right w:val="single" w:sz="8" w:space="0" w:color="0070C0"/>
            </w:tcBorders>
            <w:shd w:val="clear" w:color="000000" w:fill="D0CECE"/>
            <w:noWrap/>
            <w:vAlign w:val="center"/>
            <w:hideMark/>
          </w:tcPr>
          <w:p w14:paraId="4106A00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TOTAL</w:t>
            </w:r>
          </w:p>
        </w:tc>
        <w:tc>
          <w:tcPr>
            <w:tcW w:w="2752" w:type="dxa"/>
            <w:tcBorders>
              <w:top w:val="nil"/>
              <w:left w:val="nil"/>
              <w:bottom w:val="single" w:sz="8" w:space="0" w:color="0070C0"/>
              <w:right w:val="single" w:sz="8" w:space="0" w:color="0070C0"/>
            </w:tcBorders>
            <w:shd w:val="clear" w:color="000000" w:fill="D0CECE"/>
            <w:noWrap/>
            <w:vAlign w:val="center"/>
            <w:hideMark/>
          </w:tcPr>
          <w:p w14:paraId="363652F6"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36.667.868.171</w:t>
            </w:r>
          </w:p>
        </w:tc>
        <w:tc>
          <w:tcPr>
            <w:tcW w:w="3260" w:type="dxa"/>
            <w:tcBorders>
              <w:top w:val="nil"/>
              <w:left w:val="nil"/>
              <w:bottom w:val="single" w:sz="8" w:space="0" w:color="0070C0"/>
              <w:right w:val="single" w:sz="8" w:space="0" w:color="0070C0"/>
            </w:tcBorders>
            <w:shd w:val="clear" w:color="000000" w:fill="D0CECE"/>
            <w:noWrap/>
            <w:vAlign w:val="center"/>
            <w:hideMark/>
          </w:tcPr>
          <w:p w14:paraId="5D196B1A"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100%</w:t>
            </w:r>
          </w:p>
        </w:tc>
      </w:tr>
    </w:tbl>
    <w:p w14:paraId="6A6F0228" w14:textId="77777777" w:rsidR="001F5D0C" w:rsidRDefault="001F5D0C" w:rsidP="001F5D0C">
      <w:pPr>
        <w:ind w:left="0"/>
        <w:jc w:val="both"/>
        <w:rPr>
          <w:rFonts w:ascii="Bookman Old Style" w:hAnsi="Bookman Old Style" w:cs="Arial"/>
        </w:rPr>
      </w:pPr>
    </w:p>
    <w:p w14:paraId="42D8A144" w14:textId="6DA00BA5" w:rsidR="0016312D" w:rsidRDefault="00261394" w:rsidP="00733B4E">
      <w:pPr>
        <w:ind w:left="0"/>
        <w:jc w:val="both"/>
        <w:rPr>
          <w:rFonts w:ascii="Bookman Old Style" w:hAnsi="Bookman Old Style" w:cs="Arial"/>
        </w:rPr>
      </w:pPr>
      <w:r w:rsidRPr="00261394">
        <w:rPr>
          <w:rFonts w:ascii="Bookman Old Style" w:hAnsi="Bookman Old Style" w:cs="Arial"/>
        </w:rPr>
        <w:t>Por tanto, la suma de $30.459.998.090 es la porción de la contribución especial a pagar a favor de la CREG, por parte de las personas prestadoras del servicio de energía y gas combustible, el cual financia en un 83,07% el total del presupuesto vigente 2020 de la CREG de gastos de funcionamiento e inversión que asciende a $36.667.868.171, y la porción restante, es decir, el 16.93% que corresponde a $6.207.870.081</w:t>
      </w:r>
      <w:r w:rsidR="00AD7CFD">
        <w:rPr>
          <w:rFonts w:ascii="Bookman Old Style" w:hAnsi="Bookman Old Style" w:cs="Arial"/>
        </w:rPr>
        <w:t>,</w:t>
      </w:r>
      <w:r w:rsidRPr="00261394">
        <w:rPr>
          <w:rFonts w:ascii="Bookman Old Style" w:hAnsi="Bookman Old Style" w:cs="Arial"/>
        </w:rPr>
        <w:t xml:space="preserve"> es la suma de la contribución especial a pagar por parte de personas prestadoras de la cadena de combustibles líquidos.</w:t>
      </w:r>
    </w:p>
    <w:p w14:paraId="0816C31B" w14:textId="6C47A62B" w:rsidR="00717FB2" w:rsidRDefault="00717FB2" w:rsidP="00733B4E">
      <w:pPr>
        <w:ind w:left="0"/>
        <w:jc w:val="both"/>
        <w:rPr>
          <w:rFonts w:ascii="Bookman Old Style" w:hAnsi="Bookman Old Style" w:cs="Arial"/>
        </w:rPr>
      </w:pPr>
    </w:p>
    <w:p w14:paraId="038CE552" w14:textId="27959D18" w:rsidR="00225209" w:rsidRPr="00225209" w:rsidRDefault="00225209" w:rsidP="00225209">
      <w:pPr>
        <w:ind w:left="0"/>
        <w:jc w:val="both"/>
        <w:rPr>
          <w:rFonts w:ascii="Bookman Old Style" w:hAnsi="Bookman Old Style" w:cs="Arial"/>
        </w:rPr>
      </w:pPr>
      <w:r w:rsidRPr="002F6A43">
        <w:rPr>
          <w:rFonts w:ascii="Bookman Old Style" w:hAnsi="Bookman Old Style" w:cs="Arial"/>
        </w:rPr>
        <w:t>A efectos de evitar incurrir en un detrimento, en el sentido de no recuperar los costos</w:t>
      </w:r>
      <w:r w:rsidR="00F760D8">
        <w:rPr>
          <w:rFonts w:ascii="Bookman Old Style" w:hAnsi="Bookman Old Style" w:cs="Arial"/>
        </w:rPr>
        <w:t xml:space="preserve"> </w:t>
      </w:r>
      <w:r w:rsidRPr="002F6A43">
        <w:rPr>
          <w:rFonts w:ascii="Bookman Old Style" w:hAnsi="Bookman Old Style" w:cs="Arial"/>
        </w:rPr>
        <w:t>representados en recursos humanos, tecnológicos y financieros incurridos por la CREG en el procedimiento de cálculo, liquidación, recaudo y gestión de cartera de la contribución especial 2020, la Comisión determinó una cuantía óptima de $285,119 por debajo de la cual resulta ineficiente liquidar la contribución especial a los sujetos pasivos en la presente vigencia.</w:t>
      </w:r>
    </w:p>
    <w:p w14:paraId="6E05F0AB" w14:textId="77777777" w:rsidR="00733B4E" w:rsidRPr="00733B4E" w:rsidRDefault="00733B4E" w:rsidP="00733B4E">
      <w:pPr>
        <w:ind w:left="0"/>
        <w:jc w:val="both"/>
        <w:rPr>
          <w:rFonts w:ascii="Bookman Old Style" w:hAnsi="Bookman Old Style" w:cs="Arial"/>
        </w:rPr>
      </w:pPr>
    </w:p>
    <w:p w14:paraId="6FA3C407" w14:textId="22DD0623"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w:t>
      </w:r>
      <w:r w:rsidR="00AD7CFD">
        <w:rPr>
          <w:rFonts w:ascii="Bookman Old Style" w:hAnsi="Bookman Old Style" w:cs="Arial"/>
          <w:sz w:val="24"/>
          <w:szCs w:val="24"/>
        </w:rPr>
        <w:t>. E</w:t>
      </w:r>
      <w:r w:rsidRPr="006E21B3">
        <w:rPr>
          <w:rFonts w:ascii="Bookman Old Style" w:hAnsi="Bookman Old Style" w:cs="Arial"/>
          <w:sz w:val="24"/>
          <w:szCs w:val="24"/>
        </w:rPr>
        <w:t xml:space="preserve">ste resultado se denomina costos y gastos totales depurados. </w:t>
      </w:r>
    </w:p>
    <w:p w14:paraId="78A4349B" w14:textId="77777777" w:rsidR="006E21B3" w:rsidRPr="006E21B3" w:rsidRDefault="006E21B3" w:rsidP="006E21B3">
      <w:pPr>
        <w:pStyle w:val="Textoindependiente"/>
        <w:spacing w:after="0"/>
        <w:rPr>
          <w:rFonts w:ascii="Bookman Old Style" w:hAnsi="Bookman Old Style" w:cs="Arial"/>
          <w:sz w:val="24"/>
          <w:szCs w:val="24"/>
        </w:rPr>
      </w:pPr>
    </w:p>
    <w:p w14:paraId="4E830615"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 xml:space="preserve">Este valor se multiplicará por la división de los ingresos por actividades ordinarias reguladas y el total de ingresos por actividades ordinarias, conforme a los estados financieros de la vigencia fiscal anterior a la cual se haga su cobro. </w:t>
      </w:r>
    </w:p>
    <w:p w14:paraId="138D4380" w14:textId="77777777" w:rsidR="006E21B3" w:rsidRPr="006E21B3" w:rsidRDefault="006E21B3" w:rsidP="006E21B3">
      <w:pPr>
        <w:pStyle w:val="Textoindependiente"/>
        <w:spacing w:after="0"/>
        <w:rPr>
          <w:rFonts w:ascii="Bookman Old Style" w:hAnsi="Bookman Old Style" w:cs="Arial"/>
          <w:sz w:val="24"/>
          <w:szCs w:val="24"/>
        </w:rPr>
      </w:pPr>
    </w:p>
    <w:p w14:paraId="2D63403F"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w:t>
      </w:r>
      <w:proofErr w:type="spellStart"/>
      <w:r w:rsidRPr="006E21B3">
        <w:rPr>
          <w:rFonts w:ascii="Bookman Old Style" w:hAnsi="Bookman Old Style" w:cs="Arial"/>
          <w:sz w:val="24"/>
          <w:szCs w:val="24"/>
        </w:rPr>
        <w:t>Bg</w:t>
      </w:r>
      <w:proofErr w:type="spellEnd"/>
      <w:r w:rsidRPr="006E21B3">
        <w:rPr>
          <w:rFonts w:ascii="Bookman Old Style" w:hAnsi="Bookman Old Style" w:cs="Arial"/>
          <w:sz w:val="24"/>
          <w:szCs w:val="24"/>
        </w:rPr>
        <w:t>) descrita se calculará para cada sujeto pasivo así:</w:t>
      </w:r>
    </w:p>
    <w:p w14:paraId="53A473F2" w14:textId="77777777" w:rsidR="006E21B3" w:rsidRPr="006E21B3" w:rsidRDefault="006E21B3" w:rsidP="006E21B3">
      <w:pPr>
        <w:pStyle w:val="Textoindependiente"/>
        <w:spacing w:after="0"/>
        <w:rPr>
          <w:rFonts w:ascii="Bookman Old Style" w:hAnsi="Bookman Old Style" w:cs="Arial"/>
          <w:sz w:val="24"/>
          <w:szCs w:val="24"/>
        </w:rPr>
      </w:pPr>
    </w:p>
    <w:p w14:paraId="6700FA8E"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cgtd</w:t>
      </w:r>
      <w:proofErr w:type="spellEnd"/>
      <w:r w:rsidRPr="006E21B3">
        <w:rPr>
          <w:rFonts w:ascii="Bookman Old Style" w:hAnsi="Bookman Old Style" w:cs="Arial"/>
          <w:sz w:val="24"/>
          <w:szCs w:val="24"/>
        </w:rPr>
        <w:t>: costos y gastos totales depurados.</w:t>
      </w:r>
    </w:p>
    <w:p w14:paraId="2B990C27" w14:textId="00B3F68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tiar</w:t>
      </w:r>
      <w:proofErr w:type="spellEnd"/>
      <w:r w:rsidRPr="006E21B3">
        <w:rPr>
          <w:rFonts w:ascii="Bookman Old Style" w:hAnsi="Bookman Old Style" w:cs="Arial"/>
          <w:sz w:val="24"/>
          <w:szCs w:val="24"/>
        </w:rPr>
        <w:t>: total ingresos actividades ordinarias y comple</w:t>
      </w:r>
      <w:r w:rsidR="00FB5FBD">
        <w:rPr>
          <w:rFonts w:ascii="Bookman Old Style" w:hAnsi="Bookman Old Style" w:cs="Arial"/>
          <w:sz w:val="24"/>
          <w:szCs w:val="24"/>
        </w:rPr>
        <w:t>men</w:t>
      </w:r>
      <w:r w:rsidRPr="006E21B3">
        <w:rPr>
          <w:rFonts w:ascii="Bookman Old Style" w:hAnsi="Bookman Old Style" w:cs="Arial"/>
          <w:sz w:val="24"/>
          <w:szCs w:val="24"/>
        </w:rPr>
        <w:t>tarias reguladas</w:t>
      </w:r>
    </w:p>
    <w:p w14:paraId="29740398"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lastRenderedPageBreak/>
        <w:t>tiao</w:t>
      </w:r>
      <w:proofErr w:type="spellEnd"/>
      <w:r w:rsidRPr="006E21B3">
        <w:rPr>
          <w:rFonts w:ascii="Bookman Old Style" w:hAnsi="Bookman Old Style" w:cs="Arial"/>
          <w:sz w:val="24"/>
          <w:szCs w:val="24"/>
        </w:rPr>
        <w:t>: total ingresos de actividades ordinarias</w:t>
      </w:r>
    </w:p>
    <w:p w14:paraId="62BAA65F" w14:textId="77777777" w:rsidR="006E21B3" w:rsidRPr="006E21B3" w:rsidRDefault="006E21B3" w:rsidP="006E21B3">
      <w:pPr>
        <w:pStyle w:val="Textoindependiente"/>
        <w:spacing w:after="0"/>
        <w:rPr>
          <w:rFonts w:ascii="Bookman Old Style" w:hAnsi="Bookman Old Style" w:cs="Arial"/>
          <w:sz w:val="22"/>
          <w:szCs w:val="22"/>
        </w:rPr>
      </w:pPr>
    </w:p>
    <w:p w14:paraId="2D8D87A5" w14:textId="7ED86CFF" w:rsidR="006E21B3" w:rsidRPr="006E21B3" w:rsidRDefault="006E21B3" w:rsidP="00532572">
      <w:pPr>
        <w:pStyle w:val="Textoindependiente"/>
        <w:spacing w:after="0"/>
        <w:jc w:val="center"/>
        <w:rPr>
          <w:rFonts w:ascii="Bookman Old Style" w:hAnsi="Bookman Old Style" w:cs="Arial"/>
          <w:sz w:val="28"/>
          <w:szCs w:val="28"/>
        </w:rPr>
      </w:pPr>
      <m:oMath>
        <m:r>
          <w:rPr>
            <w:rFonts w:ascii="Cambria Math" w:hAnsi="Cambria Math" w:cs="Arial"/>
            <w:sz w:val="28"/>
            <w:szCs w:val="28"/>
          </w:rPr>
          <m:t xml:space="preserve">Bg=cgtd* </m:t>
        </m:r>
        <m:f>
          <m:fPr>
            <m:ctrlPr>
              <w:rPr>
                <w:rFonts w:ascii="Cambria Math" w:hAnsi="Cambria Math" w:cs="Arial"/>
                <w:i/>
                <w:sz w:val="28"/>
                <w:szCs w:val="28"/>
              </w:rPr>
            </m:ctrlPr>
          </m:fPr>
          <m:num>
            <m:r>
              <w:rPr>
                <w:rFonts w:ascii="Cambria Math" w:hAnsi="Cambria Math" w:cs="Arial"/>
                <w:sz w:val="28"/>
                <w:szCs w:val="28"/>
              </w:rPr>
              <m:t xml:space="preserve">tiar </m:t>
            </m:r>
          </m:num>
          <m:den>
            <m:r>
              <w:rPr>
                <w:rFonts w:ascii="Cambria Math" w:hAnsi="Cambria Math" w:cs="Arial"/>
                <w:sz w:val="28"/>
                <w:szCs w:val="28"/>
              </w:rPr>
              <m:t>tiao</m:t>
            </m:r>
          </m:den>
        </m:f>
      </m:oMath>
      <w:r w:rsidR="00532572">
        <w:rPr>
          <w:rFonts w:ascii="Bookman Old Style" w:hAnsi="Bookman Old Style" w:cs="Arial"/>
          <w:sz w:val="28"/>
          <w:szCs w:val="28"/>
        </w:rPr>
        <w:t xml:space="preserve">                   </w:t>
      </w:r>
      <w:r w:rsidR="00532572" w:rsidRPr="00532572">
        <w:rPr>
          <w:rFonts w:ascii="Bookman Old Style" w:hAnsi="Bookman Old Style" w:cs="Arial"/>
          <w:sz w:val="24"/>
          <w:szCs w:val="24"/>
        </w:rPr>
        <w:t>(1)</w:t>
      </w:r>
    </w:p>
    <w:p w14:paraId="54EB29A8" w14:textId="15FDFB35" w:rsidR="0082409F" w:rsidRDefault="0082409F" w:rsidP="00733B4E">
      <w:pPr>
        <w:ind w:left="0"/>
        <w:jc w:val="both"/>
        <w:rPr>
          <w:rFonts w:ascii="Bookman Old Style" w:hAnsi="Bookman Old Style" w:cs="Arial"/>
        </w:rPr>
      </w:pPr>
    </w:p>
    <w:p w14:paraId="6EAEEADB"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La tarifa es un factor general con el cual se determina el valor a pagar por cada regulado contribuyente de la contribución especial en una vigencia específica. </w:t>
      </w:r>
    </w:p>
    <w:p w14:paraId="686B2BE5" w14:textId="77777777" w:rsidR="00354789" w:rsidRDefault="00354789" w:rsidP="00532572">
      <w:pPr>
        <w:ind w:left="0"/>
        <w:jc w:val="both"/>
        <w:rPr>
          <w:rFonts w:ascii="Bookman Old Style" w:hAnsi="Bookman Old Style" w:cs="Arial"/>
        </w:rPr>
      </w:pPr>
    </w:p>
    <w:p w14:paraId="2E02E939"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Esta tarifa será hallada tomando el presupuesto vigente de la CREG el cual será dividido sobre la sumatoria de las bases gravables de los sujetos pasivos. </w:t>
      </w:r>
    </w:p>
    <w:p w14:paraId="39C86BA8" w14:textId="77777777" w:rsidR="00354789" w:rsidRDefault="00354789" w:rsidP="00532572">
      <w:pPr>
        <w:ind w:left="0"/>
        <w:jc w:val="both"/>
        <w:rPr>
          <w:rFonts w:ascii="Bookman Old Style" w:hAnsi="Bookman Old Style" w:cs="Arial"/>
        </w:rPr>
      </w:pPr>
    </w:p>
    <w:p w14:paraId="45718260"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La tarifa no podrá ser superior al uno por ciento (1%) de las respectivas bases gravables. </w:t>
      </w:r>
    </w:p>
    <w:p w14:paraId="5110D083" w14:textId="77777777" w:rsidR="00354789" w:rsidRDefault="00354789" w:rsidP="00532572">
      <w:pPr>
        <w:ind w:left="0"/>
        <w:jc w:val="both"/>
        <w:rPr>
          <w:rFonts w:ascii="Bookman Old Style" w:hAnsi="Bookman Old Style" w:cs="Arial"/>
        </w:rPr>
      </w:pPr>
    </w:p>
    <w:p w14:paraId="27001008" w14:textId="2EA37D75" w:rsidR="00532572" w:rsidRPr="00532572" w:rsidRDefault="00532572" w:rsidP="00532572">
      <w:pPr>
        <w:ind w:left="0"/>
        <w:jc w:val="both"/>
        <w:rPr>
          <w:rFonts w:ascii="Bookman Old Style" w:hAnsi="Bookman Old Style" w:cs="Arial"/>
        </w:rPr>
      </w:pPr>
      <w:r w:rsidRPr="00532572">
        <w:rPr>
          <w:rFonts w:ascii="Bookman Old Style" w:hAnsi="Bookman Old Style" w:cs="Arial"/>
        </w:rPr>
        <w:t>La tarifa descrita se calculará de la siguiente manera:</w:t>
      </w:r>
    </w:p>
    <w:p w14:paraId="4873C332" w14:textId="77777777" w:rsidR="00532572" w:rsidRPr="00532572" w:rsidRDefault="00532572" w:rsidP="00532572">
      <w:pPr>
        <w:pStyle w:val="Textoindependiente"/>
        <w:spacing w:after="0"/>
        <w:rPr>
          <w:rFonts w:ascii="Bookman Old Style" w:hAnsi="Bookman Old Style" w:cs="Arial"/>
          <w:sz w:val="22"/>
          <w:szCs w:val="22"/>
        </w:rPr>
      </w:pPr>
      <w:bookmarkStart w:id="1" w:name="_Hlk51792520"/>
    </w:p>
    <w:p w14:paraId="1C142929"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Tce</w:t>
      </w:r>
      <w:proofErr w:type="spellEnd"/>
      <w:r w:rsidRPr="00532572">
        <w:rPr>
          <w:rFonts w:ascii="Bookman Old Style" w:hAnsi="Bookman Old Style" w:cs="Arial"/>
          <w:sz w:val="22"/>
          <w:szCs w:val="22"/>
        </w:rPr>
        <w:t>: tarifa de la contribución especial.</w:t>
      </w:r>
    </w:p>
    <w:p w14:paraId="4C7BD51F"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Pv</w:t>
      </w:r>
      <w:proofErr w:type="spellEnd"/>
      <w:r w:rsidRPr="00532572">
        <w:rPr>
          <w:rFonts w:ascii="Bookman Old Style" w:hAnsi="Bookman Old Style" w:cs="Arial"/>
          <w:sz w:val="22"/>
          <w:szCs w:val="22"/>
        </w:rPr>
        <w:t>: presupuesto vigente.</w:t>
      </w:r>
    </w:p>
    <w:p w14:paraId="45ABEE30" w14:textId="77777777" w:rsidR="00532572" w:rsidRPr="00532572" w:rsidRDefault="00B9519B" w:rsidP="00532572">
      <w:pPr>
        <w:pStyle w:val="Textoindependiente"/>
        <w:spacing w:after="0"/>
        <w:rPr>
          <w:rFonts w:ascii="Bookman Old Style" w:hAnsi="Bookman Old Style" w:cs="Arial"/>
          <w:sz w:val="22"/>
          <w:szCs w:val="22"/>
        </w:rPr>
      </w:pPr>
      <m:oMath>
        <m:nary>
          <m:naryPr>
            <m:chr m:val="∑"/>
            <m:subHide m:val="1"/>
            <m:supHide m:val="1"/>
            <m:ctrlPr>
              <w:rPr>
                <w:rFonts w:ascii="Cambria Math" w:hAnsi="Cambria Math" w:cs="Arial"/>
                <w:i/>
                <w:sz w:val="22"/>
                <w:szCs w:val="22"/>
              </w:rPr>
            </m:ctrlPr>
          </m:naryPr>
          <m:sub/>
          <m:sup/>
          <m:e>
            <m:r>
              <w:rPr>
                <w:rFonts w:ascii="Cambria Math" w:hAnsi="Cambria Math" w:cs="Arial"/>
                <w:sz w:val="22"/>
                <w:szCs w:val="22"/>
              </w:rPr>
              <m:t>bg</m:t>
            </m:r>
          </m:e>
        </m:nary>
        <m:r>
          <w:rPr>
            <w:rFonts w:ascii="Cambria Math" w:hAnsi="Cambria Math" w:cs="Arial"/>
            <w:sz w:val="22"/>
            <w:szCs w:val="22"/>
          </w:rPr>
          <m:t xml:space="preserve">: </m:t>
        </m:r>
      </m:oMath>
      <w:r w:rsidR="00532572" w:rsidRPr="00532572">
        <w:rPr>
          <w:rFonts w:ascii="Bookman Old Style" w:hAnsi="Bookman Old Style" w:cs="Arial"/>
          <w:sz w:val="22"/>
          <w:szCs w:val="22"/>
        </w:rPr>
        <w:t xml:space="preserve">Sumatoria de las bases gravables de los sujetos pasivos. </w:t>
      </w:r>
    </w:p>
    <w:p w14:paraId="6FDD7ECD" w14:textId="77777777" w:rsidR="00532572" w:rsidRPr="00E428C3" w:rsidRDefault="00532572" w:rsidP="00532572">
      <w:pPr>
        <w:pStyle w:val="Textoindependiente"/>
        <w:spacing w:after="0"/>
        <w:rPr>
          <w:rFonts w:cs="Arial"/>
          <w:sz w:val="28"/>
          <w:szCs w:val="28"/>
        </w:rPr>
      </w:pPr>
    </w:p>
    <w:p w14:paraId="1F5676BC" w14:textId="06055DB2" w:rsidR="00532572" w:rsidRPr="00323A3F" w:rsidRDefault="00532572" w:rsidP="00532572">
      <w:pPr>
        <w:pStyle w:val="Textoindependiente"/>
        <w:spacing w:after="0"/>
        <w:jc w:val="center"/>
        <w:rPr>
          <w:rFonts w:cs="Arial"/>
          <w:sz w:val="22"/>
          <w:szCs w:val="22"/>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xml:space="preserve">Pv </m:t>
            </m:r>
          </m:num>
          <m:den>
            <m:nary>
              <m:naryPr>
                <m:chr m:val="∑"/>
                <m:subHide m:val="1"/>
                <m:supHide m:val="1"/>
                <m:ctrlPr>
                  <w:rPr>
                    <w:rFonts w:ascii="Cambria Math" w:hAnsi="Cambria Math" w:cs="Arial"/>
                    <w:i/>
                    <w:sz w:val="28"/>
                    <w:szCs w:val="28"/>
                  </w:rPr>
                </m:ctrlPr>
              </m:naryPr>
              <m:sub/>
              <m:sup/>
              <m:e>
                <m:r>
                  <w:rPr>
                    <w:rFonts w:ascii="Cambria Math" w:hAnsi="Cambria Math" w:cs="Arial"/>
                    <w:sz w:val="28"/>
                    <w:szCs w:val="28"/>
                  </w:rPr>
                  <m:t>bg</m:t>
                </m:r>
              </m:e>
            </m:nary>
          </m:den>
        </m:f>
      </m:oMath>
      <w:r>
        <w:rPr>
          <w:rFonts w:cs="Arial"/>
          <w:sz w:val="28"/>
          <w:szCs w:val="28"/>
        </w:rPr>
        <w:t xml:space="preserve">          </w:t>
      </w:r>
      <w:r w:rsidRPr="00323A3F">
        <w:rPr>
          <w:rFonts w:cs="Arial"/>
          <w:sz w:val="24"/>
          <w:szCs w:val="24"/>
        </w:rPr>
        <w:t xml:space="preserve">   </w:t>
      </w:r>
      <w:r>
        <w:rPr>
          <w:rFonts w:cs="Arial"/>
          <w:sz w:val="24"/>
          <w:szCs w:val="24"/>
        </w:rPr>
        <w:t xml:space="preserve">                 </w:t>
      </w:r>
      <w:r w:rsidRPr="00323A3F">
        <w:rPr>
          <w:rFonts w:cs="Arial"/>
          <w:sz w:val="24"/>
          <w:szCs w:val="24"/>
        </w:rPr>
        <w:t xml:space="preserve"> </w:t>
      </w:r>
      <w:r>
        <w:rPr>
          <w:rFonts w:cs="Arial"/>
          <w:sz w:val="24"/>
          <w:szCs w:val="24"/>
        </w:rPr>
        <w:t xml:space="preserve">  </w:t>
      </w:r>
      <w:r w:rsidRPr="00323A3F">
        <w:rPr>
          <w:rFonts w:cs="Arial"/>
          <w:sz w:val="22"/>
          <w:szCs w:val="22"/>
        </w:rPr>
        <w:t>(2)</w:t>
      </w:r>
    </w:p>
    <w:p w14:paraId="33CC1B8E" w14:textId="77777777" w:rsidR="008913A7" w:rsidRDefault="008913A7" w:rsidP="003560B7">
      <w:pPr>
        <w:ind w:left="0"/>
        <w:jc w:val="both"/>
        <w:rPr>
          <w:rFonts w:ascii="Bookman Old Style" w:hAnsi="Bookman Old Style" w:cs="Arial"/>
        </w:rPr>
      </w:pPr>
      <w:bookmarkStart w:id="2" w:name="_Hlk51792478"/>
      <w:bookmarkEnd w:id="1"/>
    </w:p>
    <w:p w14:paraId="0D940369" w14:textId="71A3C079" w:rsidR="003560B7" w:rsidRDefault="003560B7" w:rsidP="003560B7">
      <w:pPr>
        <w:ind w:left="0"/>
        <w:jc w:val="both"/>
        <w:rPr>
          <w:rFonts w:ascii="Bookman Old Style" w:hAnsi="Bookman Old Style" w:cs="Arial"/>
        </w:rPr>
      </w:pPr>
      <w:r w:rsidRPr="002216F7">
        <w:rPr>
          <w:rFonts w:ascii="Bookman Old Style" w:hAnsi="Bookman Old Style" w:cs="Arial"/>
        </w:rPr>
        <w:t>Teniendo en</w:t>
      </w:r>
      <w:r w:rsidR="00A63808">
        <w:rPr>
          <w:rFonts w:ascii="Bookman Old Style" w:hAnsi="Bookman Old Style" w:cs="Arial"/>
        </w:rPr>
        <w:t xml:space="preserve"> </w:t>
      </w:r>
      <w:r w:rsidRPr="002216F7">
        <w:rPr>
          <w:rFonts w:ascii="Bookman Old Style" w:hAnsi="Bookman Old Style" w:cs="Arial"/>
        </w:rPr>
        <w:t xml:space="preserve">cuenta </w:t>
      </w:r>
      <w:r>
        <w:rPr>
          <w:rFonts w:ascii="Bookman Old Style" w:hAnsi="Bookman Old Style" w:cs="Arial"/>
        </w:rPr>
        <w:t xml:space="preserve">la </w:t>
      </w:r>
      <w:r w:rsidRPr="002216F7">
        <w:rPr>
          <w:rFonts w:ascii="Bookman Old Style" w:hAnsi="Bookman Old Style" w:cs="Arial"/>
        </w:rPr>
        <w:t xml:space="preserve">sumatoria de </w:t>
      </w:r>
      <w:r w:rsidR="000A387A" w:rsidRPr="002216F7">
        <w:rPr>
          <w:rFonts w:ascii="Bookman Old Style" w:hAnsi="Bookman Old Style" w:cs="Arial"/>
        </w:rPr>
        <w:t>las bases gravables</w:t>
      </w:r>
      <w:r>
        <w:rPr>
          <w:rFonts w:ascii="Bookman Old Style" w:hAnsi="Bookman Old Style" w:cs="Arial"/>
        </w:rPr>
        <w:t xml:space="preserve"> de los regulados,</w:t>
      </w:r>
      <w:r w:rsidRPr="002216F7">
        <w:rPr>
          <w:rFonts w:ascii="Bookman Old Style" w:hAnsi="Bookman Old Style" w:cs="Arial"/>
        </w:rPr>
        <w:t xml:space="preserve"> con base en la información financiera 2019 reportada por las personas prestadoras </w:t>
      </w:r>
      <w:r w:rsidR="00C86602">
        <w:rPr>
          <w:rFonts w:ascii="Bookman Old Style" w:hAnsi="Bookman Old Style" w:cs="Arial"/>
        </w:rPr>
        <w:t>de la cadena de combustibles líquidos</w:t>
      </w:r>
      <w:r w:rsidR="00F760D8">
        <w:rPr>
          <w:rFonts w:ascii="Bookman Old Style" w:hAnsi="Bookman Old Style" w:cs="Arial"/>
        </w:rPr>
        <w:t xml:space="preserve"> y aquella calculada por la CREG</w:t>
      </w:r>
      <w:r w:rsidRPr="002216F7">
        <w:rPr>
          <w:rFonts w:ascii="Bookman Old Style" w:hAnsi="Bookman Old Style" w:cs="Arial"/>
        </w:rPr>
        <w:t>, el valor a financiar del total del presupuesto de la CREG por parte de estos regulados por $</w:t>
      </w:r>
      <w:r w:rsidR="006E7DB3">
        <w:rPr>
          <w:rFonts w:ascii="Bookman Old Style" w:hAnsi="Bookman Old Style" w:cs="Arial"/>
        </w:rPr>
        <w:t xml:space="preserve">6.207.879.081 </w:t>
      </w:r>
      <w:r w:rsidRPr="002216F7">
        <w:rPr>
          <w:rFonts w:ascii="Bookman Old Style" w:hAnsi="Bookman Old Style" w:cs="Arial"/>
        </w:rPr>
        <w:t>(</w:t>
      </w:r>
      <w:r w:rsidR="006E7DB3">
        <w:rPr>
          <w:rFonts w:ascii="Bookman Old Style" w:hAnsi="Bookman Old Style" w:cs="Arial"/>
        </w:rPr>
        <w:t>16</w:t>
      </w:r>
      <w:r w:rsidRPr="002216F7">
        <w:rPr>
          <w:rFonts w:ascii="Bookman Old Style" w:hAnsi="Bookman Old Style" w:cs="Arial"/>
        </w:rPr>
        <w:t>.</w:t>
      </w:r>
      <w:r w:rsidR="006E7DB3">
        <w:rPr>
          <w:rFonts w:ascii="Bookman Old Style" w:hAnsi="Bookman Old Style" w:cs="Arial"/>
        </w:rPr>
        <w:t>93</w:t>
      </w:r>
      <w:r w:rsidRPr="002216F7">
        <w:rPr>
          <w:rFonts w:ascii="Bookman Old Style" w:hAnsi="Bookman Old Style" w:cs="Arial"/>
        </w:rPr>
        <w:t>%)</w:t>
      </w:r>
      <w:r>
        <w:rPr>
          <w:rFonts w:ascii="Bookman Old Style" w:hAnsi="Bookman Old Style" w:cs="Arial"/>
        </w:rPr>
        <w:t>,</w:t>
      </w:r>
      <w:r w:rsidRPr="002216F7">
        <w:rPr>
          <w:rFonts w:ascii="Bookman Old Style" w:hAnsi="Bookman Old Style" w:cs="Arial"/>
        </w:rPr>
        <w:t xml:space="preserve"> </w:t>
      </w:r>
      <w:r w:rsidR="00354789">
        <w:rPr>
          <w:rFonts w:ascii="Bookman Old Style" w:hAnsi="Bookman Old Style" w:cs="Arial"/>
        </w:rPr>
        <w:t xml:space="preserve">la CREG estableció </w:t>
      </w:r>
      <w:r w:rsidR="00A63808" w:rsidRPr="00A63808">
        <w:rPr>
          <w:rFonts w:ascii="Bookman Old Style" w:hAnsi="Bookman Old Style" w:cs="Arial"/>
        </w:rPr>
        <w:t>el factor o tarifa usando la fórmula (2):</w:t>
      </w:r>
    </w:p>
    <w:p w14:paraId="0B42DFB9" w14:textId="157EE061" w:rsidR="00A63808" w:rsidRDefault="00A63808" w:rsidP="003560B7">
      <w:pPr>
        <w:ind w:left="0"/>
        <w:jc w:val="both"/>
        <w:rPr>
          <w:rFonts w:ascii="Bookman Old Style" w:hAnsi="Bookman Old Style" w:cs="Arial"/>
        </w:rPr>
      </w:pPr>
    </w:p>
    <w:p w14:paraId="3F72B477" w14:textId="0663A363" w:rsidR="00A63808" w:rsidRDefault="00A63808" w:rsidP="003560B7">
      <w:pPr>
        <w:ind w:left="0"/>
        <w:jc w:val="both"/>
        <w:rPr>
          <w:rFonts w:ascii="Bookman Old Style" w:hAnsi="Bookman Old Style" w:cs="Arial"/>
        </w:rPr>
      </w:pPr>
      <w:r w:rsidRPr="00A63808">
        <w:rPr>
          <w:rFonts w:ascii="Bookman Old Style" w:hAnsi="Bookman Old Style" w:cs="Arial"/>
        </w:rPr>
        <w:t xml:space="preserve">Reemplazando en la fórmula, </w:t>
      </w:r>
      <w:r w:rsidR="009B6603">
        <w:rPr>
          <w:rFonts w:ascii="Bookman Old Style" w:hAnsi="Bookman Old Style" w:cs="Arial"/>
        </w:rPr>
        <w:t>se obtuvo</w:t>
      </w:r>
      <w:r w:rsidRPr="00A63808">
        <w:rPr>
          <w:rFonts w:ascii="Bookman Old Style" w:hAnsi="Bookman Old Style" w:cs="Arial"/>
        </w:rPr>
        <w:t xml:space="preserve"> el siguiente resultado:</w:t>
      </w:r>
    </w:p>
    <w:p w14:paraId="25C8D265" w14:textId="77777777" w:rsidR="0088575C" w:rsidRDefault="0088575C" w:rsidP="0088575C">
      <w:pPr>
        <w:rPr>
          <w:rFonts w:ascii="Bookman Old Style" w:hAnsi="Bookman Old Style" w:cs="Arial"/>
        </w:rPr>
      </w:pPr>
    </w:p>
    <w:p w14:paraId="243C3F31" w14:textId="155E6FCF" w:rsidR="0088575C" w:rsidRPr="0088575C" w:rsidRDefault="0088575C" w:rsidP="0088575C">
      <w:pPr>
        <w:rPr>
          <w:rFonts w:ascii="Bookman Old Style" w:hAnsi="Bookman Old Style" w:cs="Arial"/>
          <w:sz w:val="20"/>
          <w:szCs w:val="20"/>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$ 6.207.870.081</m:t>
            </m:r>
          </m:num>
          <m:den>
            <m:r>
              <m:rPr>
                <m:sty m:val="p"/>
              </m:rPr>
              <w:rPr>
                <w:rFonts w:ascii="Cambria Math" w:hAnsi="Cambria Math" w:cs="Arial"/>
                <w:sz w:val="28"/>
                <w:szCs w:val="28"/>
                <w:lang w:eastAsia="es-CO"/>
              </w:rPr>
              <m:t xml:space="preserve">$51.675.711.329.225 </m:t>
            </m:r>
          </m:den>
        </m:f>
      </m:oMath>
      <w:r>
        <w:rPr>
          <w:rFonts w:ascii="Bookman Old Style" w:hAnsi="Bookman Old Style" w:cs="Arial"/>
        </w:rPr>
        <w:t xml:space="preserve"> = </w:t>
      </w:r>
      <w:r w:rsidR="00F760D8" w:rsidRPr="00F760D8">
        <w:rPr>
          <w:rFonts w:ascii="Bookman Old Style" w:hAnsi="Bookman Old Style" w:cs="Arial"/>
          <w:sz w:val="20"/>
          <w:szCs w:val="20"/>
          <w:lang w:eastAsia="es-CO"/>
        </w:rPr>
        <w:t>0,000120131294</w:t>
      </w:r>
      <w:r w:rsidRPr="0088575C">
        <w:rPr>
          <w:rFonts w:ascii="Bookman Old Style" w:hAnsi="Bookman Old Style" w:cs="Arial"/>
          <w:sz w:val="20"/>
          <w:szCs w:val="20"/>
          <w:lang w:eastAsia="es-CO"/>
        </w:rPr>
        <w:t xml:space="preserve"> </w:t>
      </w:r>
      <w:r w:rsidRPr="0088575C">
        <w:rPr>
          <w:rFonts w:ascii="Cambria Math" w:hAnsi="Cambria Math" w:cs="Cambria Math"/>
          <w:sz w:val="20"/>
          <w:szCs w:val="20"/>
        </w:rPr>
        <w:t xml:space="preserve">∴ </w:t>
      </w:r>
      <w:r w:rsidR="00F760D8" w:rsidRPr="00F760D8">
        <w:rPr>
          <w:rFonts w:ascii="Bookman Old Style" w:hAnsi="Bookman Old Style" w:cs="Arial"/>
          <w:sz w:val="20"/>
          <w:szCs w:val="20"/>
          <w:lang w:eastAsia="es-CO"/>
        </w:rPr>
        <w:t>0,01201312942</w:t>
      </w:r>
      <w:r w:rsidRPr="00F760D8">
        <w:rPr>
          <w:rFonts w:ascii="Bookman Old Style" w:hAnsi="Bookman Old Style" w:cs="Arial"/>
          <w:sz w:val="20"/>
          <w:szCs w:val="20"/>
          <w:lang w:eastAsia="es-CO"/>
        </w:rPr>
        <w:t>%</w:t>
      </w:r>
    </w:p>
    <w:p w14:paraId="3650EDC1" w14:textId="77777777" w:rsidR="0088575C" w:rsidRDefault="0088575C" w:rsidP="0088575C">
      <w:pPr>
        <w:rPr>
          <w:rFonts w:ascii="Bookman Old Style" w:hAnsi="Bookman Old Style" w:cs="Arial"/>
        </w:rPr>
      </w:pPr>
    </w:p>
    <w:p w14:paraId="59BDCC5E" w14:textId="77777777" w:rsidR="0088575C" w:rsidRPr="00354789" w:rsidRDefault="0088575C" w:rsidP="00354789">
      <w:pPr>
        <w:ind w:left="0"/>
        <w:jc w:val="both"/>
        <w:rPr>
          <w:rFonts w:ascii="Bookman Old Style" w:hAnsi="Bookman Old Style" w:cs="Arial"/>
        </w:rPr>
      </w:pPr>
      <w:bookmarkStart w:id="3" w:name="_Hlk51792921"/>
      <w:r w:rsidRPr="00354789">
        <w:rPr>
          <w:rFonts w:ascii="Bookman Old Style" w:hAnsi="Bookman Old Style" w:cs="Arial"/>
        </w:rPr>
        <w:t>De esta forma, el factor o tarifa hallado para señalar el porcentaje de la contribución especial 2020 a favor de la CREG es el siguiente:</w:t>
      </w:r>
    </w:p>
    <w:p w14:paraId="61562862" w14:textId="77777777" w:rsidR="0088575C" w:rsidRDefault="0088575C" w:rsidP="0088575C">
      <w:pPr>
        <w:rPr>
          <w:rFonts w:cs="Arial"/>
        </w:rPr>
      </w:pPr>
    </w:p>
    <w:p w14:paraId="41582991" w14:textId="01BFF91A" w:rsidR="0088575C" w:rsidRPr="004437BD" w:rsidRDefault="0088575C" w:rsidP="0088575C">
      <w:pPr>
        <w:rPr>
          <w:rFonts w:ascii="Bookman Old Style" w:hAnsi="Bookman Old Style" w:cs="Arial"/>
          <w:b/>
          <w:bCs/>
          <w:color w:val="000000"/>
          <w:sz w:val="22"/>
          <w:szCs w:val="22"/>
          <w:lang w:eastAsia="es-CO"/>
        </w:rPr>
      </w:pPr>
      <w:r w:rsidRPr="004437BD">
        <w:rPr>
          <w:rFonts w:ascii="Bookman Old Style" w:hAnsi="Bookman Old Style" w:cs="Arial"/>
          <w:sz w:val="22"/>
          <w:szCs w:val="22"/>
        </w:rPr>
        <w:t xml:space="preserve">Factor: </w:t>
      </w:r>
      <w:r w:rsidR="00F760D8" w:rsidRPr="00F760D8">
        <w:rPr>
          <w:rFonts w:ascii="Bookman Old Style" w:hAnsi="Bookman Old Style" w:cs="Arial"/>
          <w:b/>
          <w:bCs/>
          <w:sz w:val="22"/>
          <w:szCs w:val="22"/>
          <w:lang w:eastAsia="es-CO"/>
        </w:rPr>
        <w:t>0,000120131294</w:t>
      </w:r>
      <w:r w:rsidR="00F760D8">
        <w:rPr>
          <w:rFonts w:ascii="Bookman Old Style" w:hAnsi="Bookman Old Style" w:cs="Arial"/>
          <w:b/>
          <w:bCs/>
          <w:sz w:val="22"/>
          <w:szCs w:val="22"/>
          <w:lang w:eastAsia="es-CO"/>
        </w:rPr>
        <w:t>.</w:t>
      </w:r>
    </w:p>
    <w:p w14:paraId="6E3F8414" w14:textId="5B2B8363" w:rsidR="0088575C" w:rsidRPr="004437BD" w:rsidRDefault="0088575C" w:rsidP="0088575C">
      <w:pPr>
        <w:rPr>
          <w:rFonts w:ascii="Bookman Old Style" w:hAnsi="Bookman Old Style" w:cs="Arial"/>
          <w:sz w:val="22"/>
          <w:szCs w:val="22"/>
        </w:rPr>
      </w:pPr>
      <w:r w:rsidRPr="004437BD">
        <w:rPr>
          <w:rFonts w:ascii="Bookman Old Style" w:hAnsi="Bookman Old Style" w:cs="Arial"/>
          <w:color w:val="000000"/>
          <w:sz w:val="22"/>
          <w:szCs w:val="22"/>
          <w:lang w:eastAsia="es-CO"/>
        </w:rPr>
        <w:t>Tarifa:</w:t>
      </w:r>
      <w:r w:rsidRPr="004437BD">
        <w:rPr>
          <w:rFonts w:ascii="Bookman Old Style" w:hAnsi="Bookman Old Style" w:cs="Arial"/>
          <w:b/>
          <w:bCs/>
          <w:color w:val="000000"/>
          <w:sz w:val="22"/>
          <w:szCs w:val="22"/>
          <w:lang w:eastAsia="es-CO"/>
        </w:rPr>
        <w:t xml:space="preserve"> </w:t>
      </w:r>
      <w:r w:rsidR="00F760D8" w:rsidRPr="00F760D8">
        <w:rPr>
          <w:rFonts w:ascii="Bookman Old Style" w:hAnsi="Bookman Old Style" w:cs="Arial"/>
          <w:b/>
          <w:bCs/>
          <w:color w:val="000000"/>
          <w:sz w:val="22"/>
          <w:szCs w:val="22"/>
          <w:lang w:eastAsia="es-CO"/>
        </w:rPr>
        <w:t>0,01201312942</w:t>
      </w:r>
      <w:r w:rsidRPr="004437BD">
        <w:rPr>
          <w:rFonts w:ascii="Bookman Old Style" w:hAnsi="Bookman Old Style" w:cs="Arial"/>
          <w:b/>
          <w:bCs/>
          <w:color w:val="000000"/>
          <w:sz w:val="22"/>
          <w:szCs w:val="22"/>
          <w:lang w:eastAsia="es-CO"/>
        </w:rPr>
        <w:t>%</w:t>
      </w:r>
    </w:p>
    <w:bookmarkEnd w:id="3"/>
    <w:p w14:paraId="62EDA5E2" w14:textId="52A700DC" w:rsidR="00A63808" w:rsidRDefault="00A63808" w:rsidP="00C4627C">
      <w:pPr>
        <w:ind w:left="0"/>
        <w:jc w:val="both"/>
        <w:rPr>
          <w:rFonts w:ascii="Bookman Old Style" w:hAnsi="Bookman Old Style" w:cs="Arial"/>
        </w:rPr>
      </w:pPr>
    </w:p>
    <w:p w14:paraId="7EB76762" w14:textId="345EA945" w:rsidR="00516CEE" w:rsidRDefault="00A7762D" w:rsidP="00516CEE">
      <w:pPr>
        <w:ind w:left="0"/>
        <w:jc w:val="both"/>
        <w:rPr>
          <w:rFonts w:ascii="Bookman Old Style" w:hAnsi="Bookman Old Style" w:cs="Arial"/>
          <w:i/>
          <w:iCs/>
        </w:rPr>
      </w:pPr>
      <w:r w:rsidRPr="00A7762D">
        <w:rPr>
          <w:rFonts w:ascii="Bookman Old Style" w:hAnsi="Bookman Old Style" w:cs="Arial"/>
        </w:rPr>
        <w:t xml:space="preserve">En cumplimiento de lo dispuesto en el artículo 8 del Código de Procedimiento Administrativo y de lo Contencioso Administrativo, y del artículo 33 de la Resolución CREG 039 de 2017, </w:t>
      </w:r>
      <w:r>
        <w:rPr>
          <w:rFonts w:ascii="Bookman Old Style" w:hAnsi="Bookman Old Style" w:cs="Arial"/>
        </w:rPr>
        <w:t>l</w:t>
      </w:r>
      <w:r w:rsidR="00516CEE">
        <w:rPr>
          <w:rFonts w:ascii="Bookman Old Style" w:hAnsi="Bookman Old Style" w:cs="Arial"/>
        </w:rPr>
        <w:t xml:space="preserve">as consideraciones anteriormente expuestas fueron objeto de consulta </w:t>
      </w:r>
      <w:r w:rsidR="00516CEE" w:rsidRPr="00AB1823">
        <w:rPr>
          <w:rFonts w:ascii="Bookman Old Style" w:hAnsi="Bookman Old Style" w:cs="Arial"/>
        </w:rPr>
        <w:t xml:space="preserve">mediante Resolución CREG </w:t>
      </w:r>
      <w:r w:rsidR="00516CEE">
        <w:rPr>
          <w:rFonts w:ascii="Bookman Old Style" w:hAnsi="Bookman Old Style" w:cs="Arial"/>
        </w:rPr>
        <w:t>23</w:t>
      </w:r>
      <w:r w:rsidR="002E39AC">
        <w:rPr>
          <w:rFonts w:ascii="Bookman Old Style" w:hAnsi="Bookman Old Style" w:cs="Arial"/>
        </w:rPr>
        <w:t>9</w:t>
      </w:r>
      <w:r w:rsidR="00516CEE" w:rsidRPr="00AB1823">
        <w:rPr>
          <w:rFonts w:ascii="Bookman Old Style" w:hAnsi="Bookman Old Style" w:cs="Arial"/>
        </w:rPr>
        <w:t xml:space="preserve"> del </w:t>
      </w:r>
      <w:r w:rsidR="002E39AC">
        <w:rPr>
          <w:rFonts w:ascii="Bookman Old Style" w:hAnsi="Bookman Old Style" w:cs="Arial"/>
        </w:rPr>
        <w:t>28 de diciembre</w:t>
      </w:r>
      <w:r w:rsidR="00516CEE">
        <w:rPr>
          <w:rFonts w:ascii="Bookman Old Style" w:hAnsi="Bookman Old Style" w:cs="Arial"/>
        </w:rPr>
        <w:t xml:space="preserve"> </w:t>
      </w:r>
      <w:r w:rsidR="00516CEE" w:rsidRPr="00AB1823">
        <w:rPr>
          <w:rFonts w:ascii="Bookman Old Style" w:hAnsi="Bookman Old Style" w:cs="Arial"/>
        </w:rPr>
        <w:t>de 20</w:t>
      </w:r>
      <w:r w:rsidR="00516CEE">
        <w:rPr>
          <w:rFonts w:ascii="Bookman Old Style" w:hAnsi="Bookman Old Style" w:cs="Arial"/>
        </w:rPr>
        <w:t>20</w:t>
      </w:r>
      <w:r w:rsidR="00516CEE" w:rsidRPr="00AB1823">
        <w:rPr>
          <w:rFonts w:ascii="Bookman Old Style" w:hAnsi="Bookman Old Style" w:cs="Arial"/>
        </w:rPr>
        <w:t xml:space="preserve">, </w:t>
      </w:r>
      <w:r w:rsidR="00516CEE">
        <w:rPr>
          <w:rFonts w:ascii="Bookman Old Style" w:hAnsi="Bookman Old Style" w:cs="Arial"/>
        </w:rPr>
        <w:t xml:space="preserve">la cual ordenó hacer </w:t>
      </w:r>
      <w:r w:rsidR="00516CEE" w:rsidRPr="00AB1823">
        <w:rPr>
          <w:rFonts w:ascii="Bookman Old Style" w:hAnsi="Bookman Old Style" w:cs="Arial"/>
        </w:rPr>
        <w:t xml:space="preserve">público </w:t>
      </w:r>
      <w:r w:rsidR="00516CEE">
        <w:rPr>
          <w:rFonts w:ascii="Bookman Old Style" w:hAnsi="Bookman Old Style" w:cs="Arial"/>
        </w:rPr>
        <w:t xml:space="preserve">el </w:t>
      </w:r>
      <w:r w:rsidR="00516CEE" w:rsidRPr="00AB1823">
        <w:rPr>
          <w:rFonts w:ascii="Bookman Old Style" w:hAnsi="Bookman Old Style" w:cs="Arial"/>
        </w:rPr>
        <w:t xml:space="preserve">proyecto de resolución </w:t>
      </w:r>
      <w:r w:rsidR="00516CEE" w:rsidRPr="00C377BF">
        <w:rPr>
          <w:rFonts w:ascii="Bookman Old Style" w:hAnsi="Bookman Old Style" w:cs="Arial"/>
          <w:i/>
          <w:iCs/>
        </w:rPr>
        <w:t>“</w:t>
      </w:r>
      <w:r w:rsidR="002E39AC" w:rsidRPr="002E39AC">
        <w:rPr>
          <w:rFonts w:ascii="Bookman Old Style" w:hAnsi="Bookman Old Style" w:cs="Arial"/>
          <w:i/>
          <w:iCs/>
        </w:rPr>
        <w:t>Por la cual se señala el porcentaje de la contribución especial que deben pagar las personas prestadoras de la cadena de combustibles líquidos sometidas a la regulación de la Comisión de Regulación de Energía y Gas en el año 2020 y se dictan otras disposiciones”.</w:t>
      </w:r>
    </w:p>
    <w:p w14:paraId="6CECF89F" w14:textId="77777777" w:rsidR="00A7762D" w:rsidRPr="00AB1823" w:rsidRDefault="00A7762D" w:rsidP="00516CEE">
      <w:pPr>
        <w:ind w:left="0"/>
        <w:jc w:val="both"/>
        <w:rPr>
          <w:rFonts w:ascii="Bookman Old Style" w:hAnsi="Bookman Old Style" w:cs="Arial"/>
        </w:rPr>
      </w:pPr>
    </w:p>
    <w:p w14:paraId="5D0623F2" w14:textId="3E5F9A07" w:rsidR="00516CEE" w:rsidRDefault="00516CEE" w:rsidP="00516CEE">
      <w:pPr>
        <w:ind w:left="0"/>
        <w:jc w:val="both"/>
        <w:rPr>
          <w:rFonts w:ascii="Bookman Old Style" w:hAnsi="Bookman Old Style" w:cs="Arial"/>
        </w:rPr>
      </w:pPr>
      <w:r>
        <w:rPr>
          <w:rFonts w:ascii="Bookman Old Style" w:hAnsi="Bookman Old Style" w:cs="Arial"/>
        </w:rPr>
        <w:lastRenderedPageBreak/>
        <w:t>D</w:t>
      </w:r>
      <w:r w:rsidRPr="00AB1823">
        <w:rPr>
          <w:rFonts w:ascii="Bookman Old Style" w:hAnsi="Bookman Old Style" w:cs="Arial"/>
        </w:rPr>
        <w:t xml:space="preserve">e igual forma </w:t>
      </w:r>
      <w:r>
        <w:rPr>
          <w:rFonts w:ascii="Bookman Old Style" w:hAnsi="Bookman Old Style" w:cs="Arial"/>
        </w:rPr>
        <w:t>la Comisión p</w:t>
      </w:r>
      <w:r w:rsidRPr="00AB1823">
        <w:rPr>
          <w:rFonts w:ascii="Bookman Old Style" w:hAnsi="Bookman Old Style" w:cs="Arial"/>
        </w:rPr>
        <w:t xml:space="preserve">ublicó el documento CREG </w:t>
      </w:r>
      <w:proofErr w:type="spellStart"/>
      <w:r w:rsidRPr="00AB1823">
        <w:rPr>
          <w:rFonts w:ascii="Bookman Old Style" w:hAnsi="Bookman Old Style" w:cs="Arial"/>
        </w:rPr>
        <w:t>N°</w:t>
      </w:r>
      <w:proofErr w:type="spellEnd"/>
      <w:r w:rsidRPr="00AB1823">
        <w:rPr>
          <w:rFonts w:ascii="Bookman Old Style" w:hAnsi="Bookman Old Style" w:cs="Arial"/>
        </w:rPr>
        <w:t xml:space="preserve"> </w:t>
      </w:r>
      <w:r>
        <w:rPr>
          <w:rFonts w:ascii="Bookman Old Style" w:hAnsi="Bookman Old Style" w:cs="Arial"/>
        </w:rPr>
        <w:t>1</w:t>
      </w:r>
      <w:r w:rsidR="002E39AC">
        <w:rPr>
          <w:rFonts w:ascii="Bookman Old Style" w:hAnsi="Bookman Old Style" w:cs="Arial"/>
        </w:rPr>
        <w:t>93</w:t>
      </w:r>
      <w:r w:rsidR="00F72B1C">
        <w:rPr>
          <w:rFonts w:ascii="Bookman Old Style" w:hAnsi="Bookman Old Style" w:cs="Arial"/>
        </w:rPr>
        <w:t xml:space="preserve"> </w:t>
      </w:r>
      <w:r w:rsidR="00F72B1C" w:rsidRPr="00F72B1C">
        <w:rPr>
          <w:rFonts w:ascii="Bookman Old Style" w:hAnsi="Bookman Old Style" w:cs="Arial"/>
          <w:i/>
          <w:iCs/>
        </w:rPr>
        <w:t>“liquidación de la contribución especial para el año 2020 que deben pagar las personas prestadoras del servicio de combustibles líquidos sometidas a la regulación de la CREG”</w:t>
      </w:r>
      <w:r w:rsidR="00F72B1C" w:rsidRPr="00AB1823">
        <w:rPr>
          <w:rFonts w:ascii="Bookman Old Style" w:hAnsi="Bookman Old Style" w:cs="Arial"/>
        </w:rPr>
        <w:t xml:space="preserve"> </w:t>
      </w:r>
      <w:r w:rsidR="002E39AC">
        <w:rPr>
          <w:rFonts w:ascii="Bookman Old Style" w:hAnsi="Bookman Old Style" w:cs="Arial"/>
        </w:rPr>
        <w:t>de la misma fecha</w:t>
      </w:r>
      <w:r w:rsidR="00F65027">
        <w:rPr>
          <w:rFonts w:ascii="Bookman Old Style" w:hAnsi="Bookman Old Style" w:cs="Arial"/>
        </w:rPr>
        <w:t>,</w:t>
      </w:r>
      <w:r w:rsidRPr="00AB1823">
        <w:rPr>
          <w:rFonts w:ascii="Bookman Old Style" w:hAnsi="Bookman Old Style" w:cs="Arial"/>
        </w:rPr>
        <w:t xml:space="preserve"> </w:t>
      </w:r>
      <w:r>
        <w:rPr>
          <w:rFonts w:ascii="Bookman Old Style" w:hAnsi="Bookman Old Style" w:cs="Arial"/>
        </w:rPr>
        <w:t>como soporte de la Resolución 2</w:t>
      </w:r>
      <w:r w:rsidR="002E39AC">
        <w:rPr>
          <w:rFonts w:ascii="Bookman Old Style" w:hAnsi="Bookman Old Style" w:cs="Arial"/>
        </w:rPr>
        <w:t>39</w:t>
      </w:r>
      <w:r>
        <w:rPr>
          <w:rFonts w:ascii="Bookman Old Style" w:hAnsi="Bookman Old Style" w:cs="Arial"/>
        </w:rPr>
        <w:t xml:space="preserve"> de 2020</w:t>
      </w:r>
      <w:r w:rsidR="00F65027">
        <w:rPr>
          <w:rFonts w:ascii="Bookman Old Style" w:hAnsi="Bookman Old Style" w:cs="Arial"/>
        </w:rPr>
        <w:t>,</w:t>
      </w:r>
      <w:r>
        <w:rPr>
          <w:rFonts w:ascii="Bookman Old Style" w:hAnsi="Bookman Old Style" w:cs="Arial"/>
        </w:rPr>
        <w:t xml:space="preserve"> y </w:t>
      </w:r>
      <w:r w:rsidRPr="00AB1823">
        <w:rPr>
          <w:rFonts w:ascii="Bookman Old Style" w:hAnsi="Bookman Old Style" w:cs="Arial"/>
        </w:rPr>
        <w:t xml:space="preserve">el </w:t>
      </w:r>
      <w:r>
        <w:rPr>
          <w:rFonts w:ascii="Bookman Old Style" w:hAnsi="Bookman Old Style" w:cs="Arial"/>
        </w:rPr>
        <w:t>cual</w:t>
      </w:r>
      <w:r w:rsidRPr="00AB1823">
        <w:rPr>
          <w:rFonts w:ascii="Bookman Old Style" w:hAnsi="Bookman Old Style" w:cs="Arial"/>
        </w:rPr>
        <w:t xml:space="preserve"> contiene la metodología de depuración, cálculo y liquidación de la contribución especial para la vigencia 2020 a favor de la CREG, señalada en el artículo 85 de la Ley 142 de 1994, </w:t>
      </w:r>
      <w:r w:rsidR="002E39AC">
        <w:rPr>
          <w:rFonts w:ascii="Bookman Old Style" w:hAnsi="Bookman Old Style" w:cs="Arial"/>
        </w:rPr>
        <w:t>para las personas prestadoras de la cadena de combustibles líquidos.</w:t>
      </w:r>
    </w:p>
    <w:p w14:paraId="6D0A4CEF" w14:textId="77777777" w:rsidR="00F72B1C" w:rsidRDefault="00F72B1C" w:rsidP="00516CEE">
      <w:pPr>
        <w:ind w:left="0"/>
        <w:jc w:val="both"/>
        <w:rPr>
          <w:rFonts w:ascii="Bookman Old Style" w:hAnsi="Bookman Old Style" w:cs="Arial"/>
        </w:rPr>
      </w:pPr>
    </w:p>
    <w:p w14:paraId="30C6968D" w14:textId="71984A15" w:rsidR="00436B52" w:rsidRDefault="00436B52" w:rsidP="00436B52">
      <w:pPr>
        <w:ind w:left="0"/>
        <w:jc w:val="both"/>
        <w:rPr>
          <w:rFonts w:ascii="Bookman Old Style" w:hAnsi="Bookman Old Style" w:cs="Arial"/>
        </w:rPr>
      </w:pPr>
      <w:r w:rsidRPr="00A7762D">
        <w:rPr>
          <w:rFonts w:ascii="Bookman Old Style" w:hAnsi="Bookman Old Style" w:cs="Arial"/>
        </w:rPr>
        <w:t>Durante el per</w:t>
      </w:r>
      <w:r w:rsidR="00F65027">
        <w:rPr>
          <w:rFonts w:ascii="Bookman Old Style" w:hAnsi="Bookman Old Style" w:cs="Arial"/>
        </w:rPr>
        <w:t>í</w:t>
      </w:r>
      <w:r w:rsidRPr="00A7762D">
        <w:rPr>
          <w:rFonts w:ascii="Bookman Old Style" w:hAnsi="Bookman Old Style" w:cs="Arial"/>
        </w:rPr>
        <w:t>odo de consulta de la Resolución 23</w:t>
      </w:r>
      <w:r>
        <w:rPr>
          <w:rFonts w:ascii="Bookman Old Style" w:hAnsi="Bookman Old Style" w:cs="Arial"/>
        </w:rPr>
        <w:t>9</w:t>
      </w:r>
      <w:r w:rsidRPr="00A7762D">
        <w:rPr>
          <w:rFonts w:ascii="Bookman Old Style" w:hAnsi="Bookman Old Style" w:cs="Arial"/>
        </w:rPr>
        <w:t xml:space="preserve"> de 2020, se recibieron comentarios cuyo análisis y respuesta se incluye en documento anexo a la presente Resolución.</w:t>
      </w:r>
      <w:r>
        <w:rPr>
          <w:rFonts w:ascii="Bookman Old Style" w:hAnsi="Bookman Old Style" w:cs="Arial"/>
        </w:rPr>
        <w:t xml:space="preserve"> </w:t>
      </w:r>
    </w:p>
    <w:p w14:paraId="4D8A5A1E" w14:textId="77777777" w:rsidR="00436B52" w:rsidRDefault="00436B52" w:rsidP="00436B52">
      <w:pPr>
        <w:ind w:left="0"/>
        <w:jc w:val="both"/>
        <w:rPr>
          <w:rFonts w:ascii="Bookman Old Style" w:hAnsi="Bookman Old Style" w:cs="Arial"/>
        </w:rPr>
      </w:pPr>
    </w:p>
    <w:p w14:paraId="78B4114A" w14:textId="4FA95A76" w:rsidR="00436B52" w:rsidRDefault="00436B52" w:rsidP="00436B52">
      <w:pPr>
        <w:ind w:left="0"/>
        <w:jc w:val="both"/>
        <w:rPr>
          <w:rFonts w:ascii="Bookman Old Style" w:hAnsi="Bookman Old Style" w:cs="Arial"/>
        </w:rPr>
      </w:pPr>
      <w:r>
        <w:rPr>
          <w:rFonts w:ascii="Bookman Old Style" w:hAnsi="Bookman Old Style" w:cs="Arial"/>
        </w:rPr>
        <w:t xml:space="preserve">Como resultado del análisis realizado por la CREG sobre los comentarios recibidos, el acto administrativo sometido a consulta no será modificado. No obstante, durante el término de publicación se recibieron reportes extemporáneos de información financiera por parte de los agentes a </w:t>
      </w:r>
      <w:r w:rsidR="0019472B">
        <w:rPr>
          <w:rFonts w:ascii="Bookman Old Style" w:hAnsi="Bookman Old Style" w:cs="Arial"/>
        </w:rPr>
        <w:t>quienes</w:t>
      </w:r>
      <w:r>
        <w:rPr>
          <w:rFonts w:ascii="Bookman Old Style" w:hAnsi="Bookman Old Style" w:cs="Arial"/>
        </w:rPr>
        <w:t xml:space="preserve"> les fue requerida la presentación de ésta, </w:t>
      </w:r>
      <w:r w:rsidR="0019472B">
        <w:rPr>
          <w:rFonts w:ascii="Bookman Old Style" w:hAnsi="Bookman Old Style" w:cs="Arial"/>
        </w:rPr>
        <w:t>por</w:t>
      </w:r>
      <w:r>
        <w:rPr>
          <w:rFonts w:ascii="Bookman Old Style" w:hAnsi="Bookman Old Style" w:cs="Arial"/>
        </w:rPr>
        <w:t xml:space="preserve"> lo cual</w:t>
      </w:r>
      <w:r w:rsidR="0019472B">
        <w:rPr>
          <w:rFonts w:ascii="Bookman Old Style" w:hAnsi="Bookman Old Style" w:cs="Arial"/>
        </w:rPr>
        <w:t>,</w:t>
      </w:r>
      <w:r>
        <w:rPr>
          <w:rFonts w:ascii="Bookman Old Style" w:hAnsi="Bookman Old Style" w:cs="Arial"/>
        </w:rPr>
        <w:t xml:space="preserve"> </w:t>
      </w:r>
      <w:r w:rsidR="0019472B">
        <w:rPr>
          <w:rFonts w:ascii="Bookman Old Style" w:hAnsi="Bookman Old Style" w:cs="Arial"/>
        </w:rPr>
        <w:t>en atención a las solicitudes de ampliación del término para reporte que fueron recibidas</w:t>
      </w:r>
      <w:r w:rsidR="00D62994">
        <w:rPr>
          <w:rFonts w:ascii="Bookman Old Style" w:hAnsi="Bookman Old Style" w:cs="Arial"/>
        </w:rPr>
        <w:t>,</w:t>
      </w:r>
      <w:r w:rsidR="0019472B">
        <w:rPr>
          <w:rFonts w:ascii="Bookman Old Style" w:hAnsi="Bookman Old Style" w:cs="Arial"/>
        </w:rPr>
        <w:t xml:space="preserve"> </w:t>
      </w:r>
      <w:r>
        <w:rPr>
          <w:rFonts w:ascii="Bookman Old Style" w:hAnsi="Bookman Old Style" w:cs="Arial"/>
        </w:rPr>
        <w:t>y en aras de la completitud y confiabilidad de la información, fueron tenidos en cuenta los reportes de información presentados hasta el 30 de diciembre de 2020, e incluidos para la determinación y ajuste de la base gravable.</w:t>
      </w:r>
      <w:r w:rsidR="00C724B1">
        <w:rPr>
          <w:rFonts w:ascii="Bookman Old Style" w:hAnsi="Bookman Old Style" w:cs="Arial"/>
        </w:rPr>
        <w:t xml:space="preserve"> De igual forma, fueron depurados los registros inconsistentes, con el fin de eliminar asimetrías presentadas por la falta de calidad de información.</w:t>
      </w:r>
    </w:p>
    <w:p w14:paraId="18AAA29C" w14:textId="652CEE25" w:rsidR="00436B52" w:rsidRDefault="00436B52" w:rsidP="00436B52">
      <w:pPr>
        <w:ind w:left="0"/>
        <w:jc w:val="both"/>
        <w:rPr>
          <w:rFonts w:ascii="Bookman Old Style" w:hAnsi="Bookman Old Style" w:cs="Arial"/>
        </w:rPr>
      </w:pPr>
    </w:p>
    <w:p w14:paraId="5E4796B5" w14:textId="2F003AC8" w:rsidR="00436B52" w:rsidRDefault="00436B52" w:rsidP="00436B52">
      <w:pPr>
        <w:ind w:left="0"/>
        <w:jc w:val="both"/>
        <w:rPr>
          <w:rFonts w:ascii="Bookman Old Style" w:hAnsi="Bookman Old Style" w:cs="Arial"/>
        </w:rPr>
      </w:pPr>
      <w:r>
        <w:rPr>
          <w:rFonts w:ascii="Bookman Old Style" w:hAnsi="Bookman Old Style" w:cs="Arial"/>
        </w:rPr>
        <w:t xml:space="preserve">En atención a lo anterior, y teniendo </w:t>
      </w:r>
      <w:r w:rsidRPr="002216F7">
        <w:rPr>
          <w:rFonts w:ascii="Bookman Old Style" w:hAnsi="Bookman Old Style" w:cs="Arial"/>
        </w:rPr>
        <w:t>en</w:t>
      </w:r>
      <w:r>
        <w:rPr>
          <w:rFonts w:ascii="Bookman Old Style" w:hAnsi="Bookman Old Style" w:cs="Arial"/>
        </w:rPr>
        <w:t xml:space="preserve"> </w:t>
      </w:r>
      <w:r w:rsidRPr="002216F7">
        <w:rPr>
          <w:rFonts w:ascii="Bookman Old Style" w:hAnsi="Bookman Old Style" w:cs="Arial"/>
        </w:rPr>
        <w:t xml:space="preserve">cuenta </w:t>
      </w:r>
      <w:r>
        <w:rPr>
          <w:rFonts w:ascii="Bookman Old Style" w:hAnsi="Bookman Old Style" w:cs="Arial"/>
        </w:rPr>
        <w:t xml:space="preserve">la </w:t>
      </w:r>
      <w:r w:rsidRPr="002216F7">
        <w:rPr>
          <w:rFonts w:ascii="Bookman Old Style" w:hAnsi="Bookman Old Style" w:cs="Arial"/>
        </w:rPr>
        <w:t>sumatoria de las bases gravables</w:t>
      </w:r>
      <w:r>
        <w:rPr>
          <w:rFonts w:ascii="Bookman Old Style" w:hAnsi="Bookman Old Style" w:cs="Arial"/>
        </w:rPr>
        <w:t xml:space="preserve"> de </w:t>
      </w:r>
      <w:r w:rsidRPr="002216F7">
        <w:rPr>
          <w:rFonts w:ascii="Bookman Old Style" w:hAnsi="Bookman Old Style" w:cs="Arial"/>
        </w:rPr>
        <w:t xml:space="preserve">la información financiera 2019 reportada por las personas prestadoras </w:t>
      </w:r>
      <w:r>
        <w:rPr>
          <w:rFonts w:ascii="Bookman Old Style" w:hAnsi="Bookman Old Style" w:cs="Arial"/>
        </w:rPr>
        <w:t>de la cadena de combustibles líquidos</w:t>
      </w:r>
      <w:r w:rsidR="00D62994">
        <w:rPr>
          <w:rFonts w:ascii="Bookman Old Style" w:hAnsi="Bookman Old Style" w:cs="Arial"/>
        </w:rPr>
        <w:t>,</w:t>
      </w:r>
      <w:r w:rsidR="00C724B1">
        <w:rPr>
          <w:rFonts w:ascii="Bookman Old Style" w:hAnsi="Bookman Old Style" w:cs="Arial"/>
        </w:rPr>
        <w:t xml:space="preserve"> y</w:t>
      </w:r>
      <w:r w:rsidRPr="002216F7">
        <w:rPr>
          <w:rFonts w:ascii="Bookman Old Style" w:hAnsi="Bookman Old Style" w:cs="Arial"/>
        </w:rPr>
        <w:t xml:space="preserve"> </w:t>
      </w:r>
      <w:r w:rsidR="00C724B1">
        <w:rPr>
          <w:rFonts w:ascii="Bookman Old Style" w:hAnsi="Bookman Old Style" w:cs="Arial"/>
        </w:rPr>
        <w:t>la proporción d</w:t>
      </w:r>
      <w:r w:rsidRPr="002216F7">
        <w:rPr>
          <w:rFonts w:ascii="Bookman Old Style" w:hAnsi="Bookman Old Style" w:cs="Arial"/>
        </w:rPr>
        <w:t>el valor a financiar del total del presupuesto de la CREG por parte de estos regulados</w:t>
      </w:r>
      <w:r w:rsidR="00C724B1">
        <w:rPr>
          <w:rFonts w:ascii="Bookman Old Style" w:hAnsi="Bookman Old Style" w:cs="Arial"/>
        </w:rPr>
        <w:t xml:space="preserve"> que asciende a </w:t>
      </w:r>
      <w:r w:rsidRPr="002216F7">
        <w:rPr>
          <w:rFonts w:ascii="Bookman Old Style" w:hAnsi="Bookman Old Style" w:cs="Arial"/>
        </w:rPr>
        <w:t>$</w:t>
      </w:r>
      <w:r>
        <w:rPr>
          <w:rFonts w:ascii="Bookman Old Style" w:hAnsi="Bookman Old Style" w:cs="Arial"/>
        </w:rPr>
        <w:t xml:space="preserve">6.207.879.081 </w:t>
      </w:r>
      <w:r w:rsidRPr="002216F7">
        <w:rPr>
          <w:rFonts w:ascii="Bookman Old Style" w:hAnsi="Bookman Old Style" w:cs="Arial"/>
        </w:rPr>
        <w:t>(</w:t>
      </w:r>
      <w:r>
        <w:rPr>
          <w:rFonts w:ascii="Bookman Old Style" w:hAnsi="Bookman Old Style" w:cs="Arial"/>
        </w:rPr>
        <w:t>16</w:t>
      </w:r>
      <w:r w:rsidRPr="002216F7">
        <w:rPr>
          <w:rFonts w:ascii="Bookman Old Style" w:hAnsi="Bookman Old Style" w:cs="Arial"/>
        </w:rPr>
        <w:t>.</w:t>
      </w:r>
      <w:r>
        <w:rPr>
          <w:rFonts w:ascii="Bookman Old Style" w:hAnsi="Bookman Old Style" w:cs="Arial"/>
        </w:rPr>
        <w:t>93</w:t>
      </w:r>
      <w:r w:rsidRPr="002216F7">
        <w:rPr>
          <w:rFonts w:ascii="Bookman Old Style" w:hAnsi="Bookman Old Style" w:cs="Arial"/>
        </w:rPr>
        <w:t>%)</w:t>
      </w:r>
      <w:r>
        <w:rPr>
          <w:rFonts w:ascii="Bookman Old Style" w:hAnsi="Bookman Old Style" w:cs="Arial"/>
        </w:rPr>
        <w:t>,</w:t>
      </w:r>
      <w:r w:rsidRPr="002216F7">
        <w:rPr>
          <w:rFonts w:ascii="Bookman Old Style" w:hAnsi="Bookman Old Style" w:cs="Arial"/>
        </w:rPr>
        <w:t xml:space="preserve"> </w:t>
      </w:r>
      <w:r w:rsidR="00C724B1">
        <w:rPr>
          <w:rFonts w:ascii="Bookman Old Style" w:hAnsi="Bookman Old Style" w:cs="Arial"/>
        </w:rPr>
        <w:t xml:space="preserve">se ajustó </w:t>
      </w:r>
      <w:r w:rsidRPr="00A63808">
        <w:rPr>
          <w:rFonts w:ascii="Bookman Old Style" w:hAnsi="Bookman Old Style" w:cs="Arial"/>
        </w:rPr>
        <w:t>el factor o tarifa usando la fórmula (2):</w:t>
      </w:r>
    </w:p>
    <w:p w14:paraId="7B6D9257" w14:textId="77777777" w:rsidR="00436B52" w:rsidRDefault="00436B52" w:rsidP="00436B52">
      <w:pPr>
        <w:ind w:left="0"/>
        <w:jc w:val="both"/>
        <w:rPr>
          <w:rFonts w:ascii="Bookman Old Style" w:hAnsi="Bookman Old Style" w:cs="Arial"/>
        </w:rPr>
      </w:pPr>
    </w:p>
    <w:p w14:paraId="359405B9" w14:textId="77777777" w:rsidR="00436B52" w:rsidRDefault="00436B52" w:rsidP="00436B52">
      <w:pPr>
        <w:ind w:left="0"/>
        <w:jc w:val="both"/>
        <w:rPr>
          <w:rFonts w:ascii="Bookman Old Style" w:hAnsi="Bookman Old Style" w:cs="Arial"/>
        </w:rPr>
      </w:pPr>
      <w:r w:rsidRPr="00A63808">
        <w:rPr>
          <w:rFonts w:ascii="Bookman Old Style" w:hAnsi="Bookman Old Style" w:cs="Arial"/>
        </w:rPr>
        <w:t xml:space="preserve">Reemplazando en la fórmula, </w:t>
      </w:r>
      <w:r>
        <w:rPr>
          <w:rFonts w:ascii="Bookman Old Style" w:hAnsi="Bookman Old Style" w:cs="Arial"/>
        </w:rPr>
        <w:t>se obtuvo</w:t>
      </w:r>
      <w:r w:rsidRPr="00A63808">
        <w:rPr>
          <w:rFonts w:ascii="Bookman Old Style" w:hAnsi="Bookman Old Style" w:cs="Arial"/>
        </w:rPr>
        <w:t xml:space="preserve"> el siguiente resultado:</w:t>
      </w:r>
    </w:p>
    <w:p w14:paraId="0AAC5643" w14:textId="77777777" w:rsidR="00436B52" w:rsidRDefault="00436B52" w:rsidP="00436B52">
      <w:pPr>
        <w:rPr>
          <w:rFonts w:ascii="Bookman Old Style" w:hAnsi="Bookman Old Style" w:cs="Arial"/>
        </w:rPr>
      </w:pPr>
      <w:bookmarkStart w:id="4" w:name="_Hlk60272816"/>
    </w:p>
    <w:p w14:paraId="107609D5" w14:textId="40255D39" w:rsidR="00436B52" w:rsidRPr="0088575C" w:rsidRDefault="00436B52" w:rsidP="00436B52">
      <w:pPr>
        <w:rPr>
          <w:rFonts w:ascii="Bookman Old Style" w:hAnsi="Bookman Old Style" w:cs="Arial"/>
          <w:sz w:val="20"/>
          <w:szCs w:val="20"/>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$ 6.207.870.081</m:t>
            </m:r>
          </m:num>
          <m:den>
            <m:r>
              <m:rPr>
                <m:sty m:val="p"/>
              </m:rPr>
              <w:rPr>
                <w:rFonts w:ascii="Cambria Math" w:hAnsi="Cambria Math" w:cs="Arial"/>
                <w:sz w:val="28"/>
                <w:szCs w:val="28"/>
                <w:lang w:eastAsia="es-CO"/>
              </w:rPr>
              <m:t xml:space="preserve">$24.272.322.606.893 </m:t>
            </m:r>
          </m:den>
        </m:f>
      </m:oMath>
      <w:r>
        <w:rPr>
          <w:rFonts w:ascii="Bookman Old Style" w:hAnsi="Bookman Old Style" w:cs="Arial"/>
        </w:rPr>
        <w:t xml:space="preserve"> = </w:t>
      </w:r>
      <w:r w:rsidR="00C724B1" w:rsidRPr="00C724B1">
        <w:rPr>
          <w:rFonts w:ascii="Bookman Old Style" w:hAnsi="Bookman Old Style" w:cs="Arial"/>
          <w:sz w:val="20"/>
          <w:szCs w:val="20"/>
          <w:lang w:eastAsia="es-CO"/>
        </w:rPr>
        <w:t>0,0002557592111</w:t>
      </w:r>
      <w:r w:rsidR="00C724B1">
        <w:rPr>
          <w:rFonts w:ascii="Bookman Old Style" w:hAnsi="Bookman Old Style" w:cs="Arial"/>
          <w:sz w:val="20"/>
          <w:szCs w:val="20"/>
          <w:lang w:eastAsia="es-CO"/>
        </w:rPr>
        <w:t xml:space="preserve"> </w:t>
      </w:r>
      <w:r w:rsidR="00C724B1" w:rsidRPr="0088575C">
        <w:rPr>
          <w:rFonts w:ascii="Cambria Math" w:hAnsi="Cambria Math" w:cs="Cambria Math"/>
          <w:sz w:val="20"/>
          <w:szCs w:val="20"/>
        </w:rPr>
        <w:t xml:space="preserve">∴ </w:t>
      </w:r>
      <w:r w:rsidR="00C724B1" w:rsidRPr="00914528">
        <w:rPr>
          <w:rFonts w:ascii="Bookman Old Style" w:hAnsi="Bookman Old Style" w:cs="Arial"/>
          <w:sz w:val="20"/>
          <w:szCs w:val="20"/>
          <w:lang w:eastAsia="es-CO"/>
        </w:rPr>
        <w:t>0</w:t>
      </w:r>
      <w:r w:rsidR="00C724B1" w:rsidRPr="00C724B1">
        <w:rPr>
          <w:rFonts w:ascii="Bookman Old Style" w:hAnsi="Bookman Old Style" w:cs="Arial"/>
          <w:sz w:val="20"/>
          <w:szCs w:val="20"/>
          <w:lang w:eastAsia="es-CO"/>
        </w:rPr>
        <w:t>,02557592111%</w:t>
      </w:r>
    </w:p>
    <w:p w14:paraId="1B63DA6B" w14:textId="77777777" w:rsidR="00436B52" w:rsidRDefault="00436B52" w:rsidP="00436B52">
      <w:pPr>
        <w:rPr>
          <w:rFonts w:ascii="Bookman Old Style" w:hAnsi="Bookman Old Style" w:cs="Arial"/>
        </w:rPr>
      </w:pPr>
    </w:p>
    <w:bookmarkEnd w:id="4"/>
    <w:p w14:paraId="60BEEA86" w14:textId="77777777" w:rsidR="00436B52" w:rsidRPr="00354789" w:rsidRDefault="00436B52" w:rsidP="00436B52">
      <w:pPr>
        <w:ind w:left="0"/>
        <w:jc w:val="both"/>
        <w:rPr>
          <w:rFonts w:ascii="Bookman Old Style" w:hAnsi="Bookman Old Style" w:cs="Arial"/>
        </w:rPr>
      </w:pPr>
      <w:r w:rsidRPr="00354789">
        <w:rPr>
          <w:rFonts w:ascii="Bookman Old Style" w:hAnsi="Bookman Old Style" w:cs="Arial"/>
        </w:rPr>
        <w:t>De esta forma, el factor o tarifa hallado para señalar el porcentaje de la contribución especial 2020 a favor de la CREG es el siguiente:</w:t>
      </w:r>
    </w:p>
    <w:p w14:paraId="1738049A" w14:textId="77777777" w:rsidR="00436B52" w:rsidRDefault="00436B52" w:rsidP="00436B52">
      <w:pPr>
        <w:rPr>
          <w:rFonts w:cs="Arial"/>
        </w:rPr>
      </w:pPr>
    </w:p>
    <w:p w14:paraId="5B154D54" w14:textId="09D3F1B0" w:rsidR="00436B52" w:rsidRPr="004437BD" w:rsidRDefault="00436B52" w:rsidP="00436B52">
      <w:pPr>
        <w:rPr>
          <w:rFonts w:ascii="Bookman Old Style" w:hAnsi="Bookman Old Style" w:cs="Arial"/>
          <w:b/>
          <w:bCs/>
          <w:color w:val="000000"/>
          <w:sz w:val="22"/>
          <w:szCs w:val="22"/>
          <w:lang w:eastAsia="es-CO"/>
        </w:rPr>
      </w:pPr>
      <w:r w:rsidRPr="004437BD">
        <w:rPr>
          <w:rFonts w:ascii="Bookman Old Style" w:hAnsi="Bookman Old Style" w:cs="Arial"/>
          <w:sz w:val="22"/>
          <w:szCs w:val="22"/>
        </w:rPr>
        <w:t xml:space="preserve">Factor: </w:t>
      </w:r>
      <w:bookmarkStart w:id="5" w:name="_Hlk60272831"/>
      <w:r w:rsidR="00C724B1" w:rsidRPr="00C724B1">
        <w:rPr>
          <w:rFonts w:ascii="Bookman Old Style" w:hAnsi="Bookman Old Style" w:cs="Arial"/>
          <w:b/>
          <w:bCs/>
          <w:sz w:val="22"/>
          <w:szCs w:val="22"/>
          <w:lang w:eastAsia="es-CO"/>
        </w:rPr>
        <w:t>0,0002557592111</w:t>
      </w:r>
      <w:r>
        <w:rPr>
          <w:rFonts w:ascii="Bookman Old Style" w:hAnsi="Bookman Old Style" w:cs="Arial"/>
          <w:b/>
          <w:bCs/>
          <w:sz w:val="22"/>
          <w:szCs w:val="22"/>
          <w:lang w:eastAsia="es-CO"/>
        </w:rPr>
        <w:t>.</w:t>
      </w:r>
      <w:bookmarkEnd w:id="5"/>
    </w:p>
    <w:p w14:paraId="5B4470FF" w14:textId="43256951" w:rsidR="00436B52" w:rsidRPr="004437BD" w:rsidRDefault="00436B52" w:rsidP="00436B52">
      <w:pPr>
        <w:rPr>
          <w:rFonts w:ascii="Bookman Old Style" w:hAnsi="Bookman Old Style" w:cs="Arial"/>
          <w:sz w:val="22"/>
          <w:szCs w:val="22"/>
        </w:rPr>
      </w:pPr>
      <w:r w:rsidRPr="004437BD">
        <w:rPr>
          <w:rFonts w:ascii="Bookman Old Style" w:hAnsi="Bookman Old Style" w:cs="Arial"/>
          <w:color w:val="000000"/>
          <w:sz w:val="22"/>
          <w:szCs w:val="22"/>
          <w:lang w:eastAsia="es-CO"/>
        </w:rPr>
        <w:t>Tarifa:</w:t>
      </w:r>
      <w:r w:rsidRPr="004437BD">
        <w:rPr>
          <w:rFonts w:ascii="Bookman Old Style" w:hAnsi="Bookman Old Style" w:cs="Arial"/>
          <w:b/>
          <w:bCs/>
          <w:color w:val="000000"/>
          <w:sz w:val="22"/>
          <w:szCs w:val="22"/>
          <w:lang w:eastAsia="es-CO"/>
        </w:rPr>
        <w:t xml:space="preserve"> </w:t>
      </w:r>
      <w:bookmarkStart w:id="6" w:name="_Hlk60272844"/>
      <w:r w:rsidR="00C724B1" w:rsidRPr="00C724B1">
        <w:rPr>
          <w:rFonts w:ascii="Bookman Old Style" w:hAnsi="Bookman Old Style" w:cs="Arial"/>
          <w:b/>
          <w:bCs/>
          <w:color w:val="000000"/>
          <w:sz w:val="22"/>
          <w:szCs w:val="22"/>
          <w:lang w:eastAsia="es-CO"/>
        </w:rPr>
        <w:t>0,02557592111%</w:t>
      </w:r>
      <w:r w:rsidR="00C724B1">
        <w:rPr>
          <w:rFonts w:ascii="Bookman Old Style" w:hAnsi="Bookman Old Style" w:cs="Arial"/>
          <w:b/>
          <w:bCs/>
          <w:color w:val="000000"/>
          <w:sz w:val="22"/>
          <w:szCs w:val="22"/>
          <w:lang w:eastAsia="es-CO"/>
        </w:rPr>
        <w:t>.</w:t>
      </w:r>
      <w:bookmarkEnd w:id="6"/>
    </w:p>
    <w:p w14:paraId="07B8F97B" w14:textId="77777777" w:rsidR="00436B52" w:rsidRDefault="00436B52" w:rsidP="00436B52">
      <w:pPr>
        <w:ind w:left="0"/>
        <w:jc w:val="both"/>
        <w:rPr>
          <w:rFonts w:ascii="Bookman Old Style" w:hAnsi="Bookman Old Style" w:cs="Arial"/>
        </w:rPr>
      </w:pPr>
    </w:p>
    <w:p w14:paraId="65EC34CF" w14:textId="2FFB1FD6" w:rsidR="00C4627C" w:rsidRDefault="006A00CC" w:rsidP="00C4627C">
      <w:pPr>
        <w:ind w:left="0"/>
        <w:jc w:val="both"/>
        <w:rPr>
          <w:rFonts w:ascii="Bookman Old Style" w:hAnsi="Bookman Old Style" w:cs="Arial"/>
        </w:rPr>
      </w:pPr>
      <w:r>
        <w:rPr>
          <w:rFonts w:ascii="Bookman Old Style" w:hAnsi="Bookman Old Style" w:cs="Arial"/>
        </w:rPr>
        <w:t>La Comisión de Regulación de Energía y Gas, en sesión 1072 del 31 de diciembre de 2020, aprobó la presente resolución.</w:t>
      </w:r>
      <w:bookmarkEnd w:id="2"/>
    </w:p>
    <w:p w14:paraId="5001322D" w14:textId="77777777" w:rsidR="006A00CC" w:rsidRPr="00FE55BD" w:rsidRDefault="006A00CC" w:rsidP="00C4627C">
      <w:pPr>
        <w:ind w:left="0"/>
        <w:jc w:val="both"/>
        <w:rPr>
          <w:rFonts w:ascii="Bookman Old Style" w:hAnsi="Bookman Old Style" w:cs="Arial"/>
        </w:rPr>
      </w:pPr>
    </w:p>
    <w:p w14:paraId="1366F737" w14:textId="77777777" w:rsidR="00D0527D" w:rsidRPr="00AB5B2E" w:rsidRDefault="00D0527D" w:rsidP="00182AB0">
      <w:pPr>
        <w:ind w:left="0"/>
        <w:jc w:val="both"/>
        <w:rPr>
          <w:rFonts w:ascii="Bookman Old Style" w:hAnsi="Bookman Old Style" w:cs="Arial"/>
          <w:sz w:val="16"/>
          <w:szCs w:val="16"/>
        </w:rPr>
      </w:pPr>
    </w:p>
    <w:p w14:paraId="0940B93D" w14:textId="77777777" w:rsidR="00182AB0" w:rsidRPr="00754AD8" w:rsidRDefault="00182AB0" w:rsidP="00D7711F">
      <w:pPr>
        <w:ind w:left="0"/>
        <w:jc w:val="center"/>
        <w:rPr>
          <w:rFonts w:ascii="Bookman Old Style" w:hAnsi="Bookman Old Style"/>
          <w:b/>
          <w:sz w:val="28"/>
          <w:szCs w:val="28"/>
        </w:rPr>
      </w:pPr>
      <w:r w:rsidRPr="00754AD8">
        <w:rPr>
          <w:rFonts w:ascii="Bookman Old Style" w:hAnsi="Bookman Old Style"/>
          <w:b/>
          <w:sz w:val="28"/>
          <w:szCs w:val="28"/>
        </w:rPr>
        <w:t>R E S U E L V E:</w:t>
      </w:r>
    </w:p>
    <w:p w14:paraId="42BB0284" w14:textId="77777777" w:rsidR="000F4DE3" w:rsidRDefault="000F4DE3" w:rsidP="00182AB0">
      <w:pPr>
        <w:jc w:val="center"/>
        <w:rPr>
          <w:rFonts w:ascii="Bookman Old Style" w:hAnsi="Bookman Old Style"/>
          <w:b/>
        </w:rPr>
      </w:pPr>
    </w:p>
    <w:p w14:paraId="76BD6773" w14:textId="07F7A2BA" w:rsidR="00314E9E" w:rsidRDefault="00182AB0" w:rsidP="00182AB0">
      <w:pPr>
        <w:pStyle w:val="Ttulo1"/>
        <w:ind w:left="0"/>
        <w:jc w:val="both"/>
        <w:rPr>
          <w:rFonts w:ascii="Bookman Old Style" w:hAnsi="Bookman Old Style" w:cs="Arial"/>
          <w:b w:val="0"/>
          <w:szCs w:val="24"/>
        </w:rPr>
      </w:pPr>
      <w:r w:rsidRPr="00A96759">
        <w:rPr>
          <w:rFonts w:ascii="Bookman Old Style" w:hAnsi="Bookman Old Style"/>
          <w:szCs w:val="24"/>
        </w:rPr>
        <w:t xml:space="preserve">ARTÍCULO 1. </w:t>
      </w:r>
      <w:r w:rsidR="0082513F" w:rsidRPr="00354789">
        <w:rPr>
          <w:rFonts w:ascii="Bookman Old Style" w:hAnsi="Bookman Old Style"/>
          <w:b w:val="0"/>
          <w:bCs/>
          <w:szCs w:val="24"/>
        </w:rPr>
        <w:t>S</w:t>
      </w:r>
      <w:r w:rsidRPr="00354789">
        <w:rPr>
          <w:rFonts w:ascii="Bookman Old Style" w:hAnsi="Bookman Old Style" w:cs="Arial"/>
          <w:b w:val="0"/>
          <w:szCs w:val="24"/>
        </w:rPr>
        <w:t xml:space="preserve">eñalar </w:t>
      </w:r>
      <w:r w:rsidR="00314E9E" w:rsidRPr="00354789">
        <w:rPr>
          <w:rFonts w:ascii="Bookman Old Style" w:hAnsi="Bookman Old Style" w:cs="Arial"/>
          <w:b w:val="0"/>
          <w:szCs w:val="24"/>
        </w:rPr>
        <w:t xml:space="preserve">por concepto de contribución especial para el año 2020 </w:t>
      </w:r>
      <w:r w:rsidR="002216F7" w:rsidRPr="00354789">
        <w:rPr>
          <w:rFonts w:ascii="Bookman Old Style" w:hAnsi="Bookman Old Style" w:cs="Arial"/>
          <w:b w:val="0"/>
          <w:szCs w:val="24"/>
        </w:rPr>
        <w:t>el</w:t>
      </w:r>
      <w:r w:rsidR="004148DC" w:rsidRPr="00354789">
        <w:rPr>
          <w:rFonts w:ascii="Bookman Old Style" w:hAnsi="Bookman Old Style" w:cs="Arial"/>
          <w:b w:val="0"/>
          <w:szCs w:val="24"/>
        </w:rPr>
        <w:t xml:space="preserve"> </w:t>
      </w:r>
      <w:r w:rsidR="002216F7" w:rsidRPr="005D10F5">
        <w:rPr>
          <w:rFonts w:ascii="Bookman Old Style" w:hAnsi="Bookman Old Style" w:cs="Arial"/>
          <w:b w:val="0"/>
          <w:szCs w:val="24"/>
        </w:rPr>
        <w:t>factor</w:t>
      </w:r>
      <w:r w:rsidR="006E7DB3">
        <w:rPr>
          <w:rFonts w:ascii="Bookman Old Style" w:hAnsi="Bookman Old Style" w:cs="Arial"/>
          <w:b w:val="0"/>
          <w:szCs w:val="24"/>
        </w:rPr>
        <w:t xml:space="preserve"> </w:t>
      </w:r>
      <w:r w:rsidR="002216F7" w:rsidRPr="005D10F5">
        <w:rPr>
          <w:rFonts w:ascii="Bookman Old Style" w:hAnsi="Bookman Old Style" w:cs="Arial"/>
          <w:b w:val="0"/>
          <w:szCs w:val="24"/>
        </w:rPr>
        <w:t>de</w:t>
      </w:r>
      <w:r w:rsidR="006E7DB3">
        <w:rPr>
          <w:rFonts w:ascii="Bookman Old Style" w:hAnsi="Bookman Old Style" w:cs="Arial"/>
          <w:b w:val="0"/>
          <w:szCs w:val="24"/>
        </w:rPr>
        <w:t xml:space="preserve"> </w:t>
      </w:r>
      <w:r w:rsidR="00C724B1" w:rsidRPr="00C724B1">
        <w:rPr>
          <w:rFonts w:ascii="Bookman Old Style" w:hAnsi="Bookman Old Style" w:cs="Arial"/>
          <w:b w:val="0"/>
          <w:szCs w:val="24"/>
        </w:rPr>
        <w:t>0,0002557592111</w:t>
      </w:r>
      <w:r w:rsidR="00C724B1">
        <w:rPr>
          <w:rFonts w:ascii="Bookman Old Style" w:hAnsi="Bookman Old Style" w:cs="Arial"/>
          <w:b w:val="0"/>
          <w:szCs w:val="24"/>
        </w:rPr>
        <w:t xml:space="preserve"> </w:t>
      </w:r>
      <w:r w:rsidR="002216F7" w:rsidRPr="005D10F5">
        <w:rPr>
          <w:rFonts w:ascii="Bookman Old Style" w:hAnsi="Bookman Old Style" w:cs="Arial"/>
          <w:b w:val="0"/>
          <w:bCs/>
          <w:szCs w:val="24"/>
          <w:lang w:eastAsia="es-CO"/>
        </w:rPr>
        <w:t xml:space="preserve">que equivale al </w:t>
      </w:r>
      <w:bookmarkStart w:id="7" w:name="_Hlk60272560"/>
      <w:r w:rsidR="00C724B1" w:rsidRPr="00C724B1">
        <w:rPr>
          <w:rFonts w:ascii="Bookman Old Style" w:hAnsi="Bookman Old Style" w:cs="Arial"/>
          <w:b w:val="0"/>
          <w:bCs/>
          <w:szCs w:val="24"/>
          <w:lang w:eastAsia="es-CO"/>
        </w:rPr>
        <w:t>0,02557592111%</w:t>
      </w:r>
      <w:r w:rsidR="00C724B1">
        <w:rPr>
          <w:rFonts w:ascii="Bookman Old Style" w:hAnsi="Bookman Old Style" w:cs="Arial"/>
          <w:b w:val="0"/>
          <w:bCs/>
          <w:szCs w:val="24"/>
          <w:lang w:eastAsia="es-CO"/>
        </w:rPr>
        <w:t xml:space="preserve"> </w:t>
      </w:r>
      <w:bookmarkEnd w:id="7"/>
      <w:r w:rsidR="00870D04" w:rsidRPr="00A9645D">
        <w:rPr>
          <w:rFonts w:ascii="Bookman Old Style" w:hAnsi="Bookman Old Style" w:cs="Arial"/>
          <w:b w:val="0"/>
          <w:bCs/>
          <w:szCs w:val="24"/>
        </w:rPr>
        <w:t xml:space="preserve">como </w:t>
      </w:r>
      <w:r w:rsidR="00870D04" w:rsidRPr="00A9645D">
        <w:rPr>
          <w:rFonts w:ascii="Bookman Old Style" w:hAnsi="Bookman Old Style" w:cs="Arial"/>
          <w:b w:val="0"/>
          <w:szCs w:val="24"/>
        </w:rPr>
        <w:t xml:space="preserve">tarifa para </w:t>
      </w:r>
      <w:r w:rsidR="00314E9E" w:rsidRPr="00A9645D">
        <w:rPr>
          <w:rFonts w:ascii="Bookman Old Style" w:hAnsi="Bookman Old Style" w:cs="Arial"/>
          <w:b w:val="0"/>
          <w:szCs w:val="24"/>
        </w:rPr>
        <w:lastRenderedPageBreak/>
        <w:t>las personas prestadoras</w:t>
      </w:r>
      <w:r w:rsidR="001A4001">
        <w:rPr>
          <w:rFonts w:ascii="Bookman Old Style" w:hAnsi="Bookman Old Style" w:cs="Arial"/>
          <w:b w:val="0"/>
          <w:szCs w:val="24"/>
        </w:rPr>
        <w:t xml:space="preserve"> de la cadena de combustibles líquidos</w:t>
      </w:r>
      <w:r w:rsidR="006E7DB3">
        <w:rPr>
          <w:rFonts w:ascii="Bookman Old Style" w:hAnsi="Bookman Old Style" w:cs="Arial"/>
          <w:b w:val="0"/>
          <w:szCs w:val="24"/>
        </w:rPr>
        <w:t xml:space="preserve"> </w:t>
      </w:r>
      <w:r w:rsidR="00870D04" w:rsidRPr="00870D04">
        <w:rPr>
          <w:rFonts w:ascii="Bookman Old Style" w:hAnsi="Bookman Old Style" w:cs="Arial"/>
          <w:b w:val="0"/>
          <w:szCs w:val="24"/>
        </w:rPr>
        <w:t>que</w:t>
      </w:r>
      <w:r w:rsidR="00AD7CFD">
        <w:rPr>
          <w:rFonts w:ascii="Bookman Old Style" w:hAnsi="Bookman Old Style" w:cs="Arial"/>
          <w:b w:val="0"/>
          <w:szCs w:val="24"/>
        </w:rPr>
        <w:t>,</w:t>
      </w:r>
      <w:r w:rsidR="00870D04" w:rsidRPr="00870D04">
        <w:rPr>
          <w:rFonts w:ascii="Bookman Old Style" w:hAnsi="Bookman Old Style" w:cs="Arial"/>
          <w:b w:val="0"/>
          <w:szCs w:val="24"/>
        </w:rPr>
        <w:t xml:space="preserve"> multiplicada por el valor de la base gravable </w:t>
      </w:r>
      <w:r w:rsidR="00870D04">
        <w:rPr>
          <w:rFonts w:ascii="Bookman Old Style" w:hAnsi="Bookman Old Style" w:cs="Arial"/>
          <w:b w:val="0"/>
          <w:szCs w:val="24"/>
        </w:rPr>
        <w:t xml:space="preserve">de cada </w:t>
      </w:r>
      <w:r w:rsidR="00C724B1">
        <w:rPr>
          <w:rFonts w:ascii="Bookman Old Style" w:hAnsi="Bookman Old Style" w:cs="Arial"/>
          <w:b w:val="0"/>
          <w:szCs w:val="24"/>
        </w:rPr>
        <w:t>contribuyente</w:t>
      </w:r>
      <w:r w:rsidR="00AD7CFD">
        <w:rPr>
          <w:rFonts w:ascii="Bookman Old Style" w:hAnsi="Bookman Old Style" w:cs="Arial"/>
          <w:b w:val="0"/>
          <w:szCs w:val="24"/>
        </w:rPr>
        <w:t>,</w:t>
      </w:r>
      <w:r w:rsidR="00870D04">
        <w:rPr>
          <w:rFonts w:ascii="Bookman Old Style" w:hAnsi="Bookman Old Style" w:cs="Arial"/>
          <w:b w:val="0"/>
          <w:szCs w:val="24"/>
        </w:rPr>
        <w:t xml:space="preserve"> </w:t>
      </w:r>
      <w:r w:rsidR="00DD41CD">
        <w:rPr>
          <w:rFonts w:ascii="Bookman Old Style" w:hAnsi="Bookman Old Style" w:cs="Arial"/>
          <w:b w:val="0"/>
          <w:szCs w:val="24"/>
        </w:rPr>
        <w:t>d</w:t>
      </w:r>
      <w:r w:rsidR="004F030C">
        <w:rPr>
          <w:rFonts w:ascii="Bookman Old Style" w:hAnsi="Bookman Old Style" w:cs="Arial"/>
          <w:b w:val="0"/>
          <w:szCs w:val="24"/>
        </w:rPr>
        <w:t xml:space="preserve">a como resultado el valor a </w:t>
      </w:r>
      <w:r w:rsidR="00DD41CD">
        <w:rPr>
          <w:rFonts w:ascii="Bookman Old Style" w:hAnsi="Bookman Old Style" w:cs="Arial"/>
          <w:b w:val="0"/>
          <w:szCs w:val="24"/>
        </w:rPr>
        <w:t>pagar por concepto de contribución</w:t>
      </w:r>
      <w:r w:rsidR="00870D04">
        <w:rPr>
          <w:rFonts w:ascii="Bookman Old Style" w:hAnsi="Bookman Old Style" w:cs="Arial"/>
          <w:b w:val="0"/>
          <w:szCs w:val="24"/>
        </w:rPr>
        <w:t xml:space="preserve"> especial por cada regulado. </w:t>
      </w:r>
      <w:bookmarkStart w:id="8" w:name="_Hlk60272655"/>
      <w:r w:rsidR="00870D04">
        <w:rPr>
          <w:rFonts w:ascii="Bookman Old Style" w:hAnsi="Bookman Old Style" w:cs="Arial"/>
          <w:b w:val="0"/>
          <w:szCs w:val="24"/>
        </w:rPr>
        <w:t>Lo anterior</w:t>
      </w:r>
      <w:r w:rsidR="00314E9E">
        <w:rPr>
          <w:rFonts w:ascii="Bookman Old Style" w:hAnsi="Bookman Old Style" w:cs="Arial"/>
          <w:b w:val="0"/>
          <w:szCs w:val="24"/>
        </w:rPr>
        <w:t xml:space="preserve"> </w:t>
      </w:r>
      <w:r w:rsidR="00870D04">
        <w:rPr>
          <w:rFonts w:ascii="Bookman Old Style" w:hAnsi="Bookman Old Style" w:cs="Arial"/>
          <w:b w:val="0"/>
          <w:szCs w:val="24"/>
        </w:rPr>
        <w:t xml:space="preserve">con el fin de financiar en </w:t>
      </w:r>
      <w:r w:rsidR="00C724B1">
        <w:rPr>
          <w:rFonts w:ascii="Bookman Old Style" w:hAnsi="Bookman Old Style" w:cs="Arial"/>
          <w:b w:val="0"/>
          <w:szCs w:val="24"/>
        </w:rPr>
        <w:t xml:space="preserve">la proporción de </w:t>
      </w:r>
      <w:r w:rsidR="006E7DB3">
        <w:rPr>
          <w:rFonts w:ascii="Bookman Old Style" w:hAnsi="Bookman Old Style" w:cs="Arial"/>
          <w:b w:val="0"/>
          <w:szCs w:val="24"/>
        </w:rPr>
        <w:t>16</w:t>
      </w:r>
      <w:r w:rsidR="00870D04">
        <w:rPr>
          <w:rFonts w:ascii="Bookman Old Style" w:hAnsi="Bookman Old Style" w:cs="Arial"/>
          <w:b w:val="0"/>
          <w:szCs w:val="24"/>
        </w:rPr>
        <w:t>.</w:t>
      </w:r>
      <w:r w:rsidR="006E7DB3">
        <w:rPr>
          <w:rFonts w:ascii="Bookman Old Style" w:hAnsi="Bookman Old Style" w:cs="Arial"/>
          <w:b w:val="0"/>
          <w:szCs w:val="24"/>
        </w:rPr>
        <w:t>93</w:t>
      </w:r>
      <w:r w:rsidR="00870D04">
        <w:rPr>
          <w:rFonts w:ascii="Bookman Old Style" w:hAnsi="Bookman Old Style" w:cs="Arial"/>
          <w:b w:val="0"/>
          <w:szCs w:val="24"/>
        </w:rPr>
        <w:t>%</w:t>
      </w:r>
      <w:r w:rsidR="00C724B1">
        <w:rPr>
          <w:rFonts w:ascii="Bookman Old Style" w:hAnsi="Bookman Old Style" w:cs="Arial"/>
          <w:b w:val="0"/>
          <w:szCs w:val="24"/>
        </w:rPr>
        <w:t xml:space="preserve"> (equivalente a </w:t>
      </w:r>
      <w:r w:rsidR="00C724B1" w:rsidRPr="00314E9E">
        <w:rPr>
          <w:rFonts w:ascii="Bookman Old Style" w:hAnsi="Bookman Old Style" w:cs="Arial"/>
          <w:b w:val="0"/>
          <w:szCs w:val="24"/>
        </w:rPr>
        <w:t>$</w:t>
      </w:r>
      <w:r w:rsidR="00C724B1">
        <w:rPr>
          <w:rFonts w:ascii="Bookman Old Style" w:hAnsi="Bookman Old Style" w:cs="Arial"/>
          <w:b w:val="0"/>
          <w:szCs w:val="24"/>
        </w:rPr>
        <w:t xml:space="preserve">6.207.870.081) sobre </w:t>
      </w:r>
      <w:r w:rsidR="00870D04">
        <w:rPr>
          <w:rFonts w:ascii="Bookman Old Style" w:hAnsi="Bookman Old Style" w:cs="Arial"/>
          <w:b w:val="0"/>
          <w:szCs w:val="24"/>
        </w:rPr>
        <w:t>el</w:t>
      </w:r>
      <w:r w:rsidR="00314E9E">
        <w:rPr>
          <w:rFonts w:ascii="Bookman Old Style" w:hAnsi="Bookman Old Style" w:cs="Arial"/>
          <w:b w:val="0"/>
          <w:szCs w:val="24"/>
        </w:rPr>
        <w:t xml:space="preserve"> total del presupuesto vigente de la CREG</w:t>
      </w:r>
      <w:r w:rsidR="00870D04">
        <w:rPr>
          <w:rFonts w:ascii="Bookman Old Style" w:hAnsi="Bookman Old Style" w:cs="Arial"/>
          <w:b w:val="0"/>
          <w:szCs w:val="24"/>
        </w:rPr>
        <w:t xml:space="preserve"> para 2020</w:t>
      </w:r>
      <w:r w:rsidR="00AD7CFD">
        <w:rPr>
          <w:rFonts w:ascii="Bookman Old Style" w:hAnsi="Bookman Old Style" w:cs="Arial"/>
          <w:b w:val="0"/>
          <w:szCs w:val="24"/>
        </w:rPr>
        <w:t>,</w:t>
      </w:r>
      <w:r w:rsidR="00870D04">
        <w:rPr>
          <w:rFonts w:ascii="Bookman Old Style" w:hAnsi="Bookman Old Style" w:cs="Arial"/>
          <w:b w:val="0"/>
          <w:szCs w:val="24"/>
        </w:rPr>
        <w:t xml:space="preserve"> que asciende a </w:t>
      </w:r>
      <w:r w:rsidR="00870D04" w:rsidRPr="00870D04">
        <w:rPr>
          <w:rFonts w:ascii="Bookman Old Style" w:hAnsi="Bookman Old Style" w:cs="Arial"/>
          <w:b w:val="0"/>
          <w:szCs w:val="24"/>
        </w:rPr>
        <w:t>$36.667.868.171</w:t>
      </w:r>
      <w:r w:rsidR="00870D04">
        <w:rPr>
          <w:rFonts w:ascii="Bookman Old Style" w:hAnsi="Bookman Old Style" w:cs="Arial"/>
          <w:b w:val="0"/>
          <w:szCs w:val="24"/>
        </w:rPr>
        <w:t>.</w:t>
      </w:r>
    </w:p>
    <w:bookmarkEnd w:id="8"/>
    <w:p w14:paraId="0684BC2C" w14:textId="77777777" w:rsidR="00314E9E" w:rsidRDefault="00314E9E" w:rsidP="00182AB0">
      <w:pPr>
        <w:pStyle w:val="Ttulo1"/>
        <w:ind w:left="0"/>
        <w:jc w:val="both"/>
        <w:rPr>
          <w:rFonts w:ascii="Bookman Old Style" w:hAnsi="Bookman Old Style" w:cs="Arial"/>
          <w:b w:val="0"/>
          <w:szCs w:val="24"/>
        </w:rPr>
      </w:pPr>
    </w:p>
    <w:p w14:paraId="625C9CF3" w14:textId="0B0DD803" w:rsidR="0082513F" w:rsidRDefault="00DC2D21" w:rsidP="00182AB0">
      <w:pPr>
        <w:ind w:left="0"/>
        <w:jc w:val="both"/>
        <w:rPr>
          <w:rFonts w:ascii="Bookman Old Style" w:hAnsi="Bookman Old Style" w:cs="Arial"/>
          <w:bCs/>
        </w:rPr>
      </w:pPr>
      <w:r>
        <w:rPr>
          <w:rFonts w:ascii="Bookman Old Style" w:hAnsi="Bookman Old Style" w:cs="Arial"/>
          <w:b/>
        </w:rPr>
        <w:t>PARÁGRAFO.</w:t>
      </w:r>
      <w:r w:rsidR="00182AB0">
        <w:rPr>
          <w:rFonts w:ascii="Bookman Old Style" w:hAnsi="Bookman Old Style" w:cs="Arial"/>
          <w:b/>
        </w:rPr>
        <w:t xml:space="preserve"> </w:t>
      </w:r>
      <w:bookmarkStart w:id="9" w:name="_Hlk51786664"/>
      <w:r w:rsidR="00266DB6">
        <w:rPr>
          <w:rFonts w:ascii="Bookman Old Style" w:hAnsi="Bookman Old Style" w:cs="Arial"/>
          <w:bCs/>
          <w:lang w:val="es-CO"/>
        </w:rPr>
        <w:t>Con base en e</w:t>
      </w:r>
      <w:r w:rsidR="00266DB6" w:rsidRPr="00FE15DA">
        <w:rPr>
          <w:rFonts w:ascii="Bookman Old Style" w:hAnsi="Bookman Old Style" w:cs="Arial"/>
          <w:bCs/>
          <w:lang w:val="es-CO"/>
        </w:rPr>
        <w:t>l</w:t>
      </w:r>
      <w:r w:rsidR="00266DB6">
        <w:rPr>
          <w:rFonts w:ascii="Bookman Old Style" w:hAnsi="Bookman Old Style" w:cs="Arial"/>
          <w:bCs/>
          <w:lang w:val="es-CO"/>
        </w:rPr>
        <w:t xml:space="preserve"> parágrafo del</w:t>
      </w:r>
      <w:r w:rsidR="00266DB6" w:rsidRPr="00FE15DA">
        <w:rPr>
          <w:rFonts w:ascii="Bookman Old Style" w:hAnsi="Bookman Old Style" w:cs="Arial"/>
          <w:bCs/>
          <w:lang w:val="es-CO"/>
        </w:rPr>
        <w:t xml:space="preserve"> artículo 2.2.9.9.</w:t>
      </w:r>
      <w:r w:rsidR="00346695">
        <w:rPr>
          <w:rFonts w:ascii="Bookman Old Style" w:hAnsi="Bookman Old Style" w:cs="Arial"/>
          <w:bCs/>
          <w:lang w:val="es-CO"/>
        </w:rPr>
        <w:t>2</w:t>
      </w:r>
      <w:r w:rsidR="00266DB6" w:rsidRPr="00FE15DA">
        <w:rPr>
          <w:rFonts w:ascii="Bookman Old Style" w:hAnsi="Bookman Old Style" w:cs="Arial"/>
          <w:bCs/>
          <w:lang w:val="es-CO"/>
        </w:rPr>
        <w:t xml:space="preserve"> del Decreto 1082 de 2015</w:t>
      </w:r>
      <w:bookmarkEnd w:id="9"/>
      <w:r w:rsidR="00266DB6">
        <w:rPr>
          <w:rFonts w:ascii="Bookman Old Style" w:hAnsi="Bookman Old Style" w:cs="Arial"/>
          <w:bCs/>
          <w:lang w:val="es-CO"/>
        </w:rPr>
        <w:t>, p</w:t>
      </w:r>
      <w:r w:rsidR="006A4C59" w:rsidRPr="006A4C59">
        <w:rPr>
          <w:rFonts w:ascii="Bookman Old Style" w:hAnsi="Bookman Old Style" w:cs="Arial"/>
          <w:bCs/>
        </w:rPr>
        <w:t>ara efectos de la liquidación y pago de la contribuci</w:t>
      </w:r>
      <w:r w:rsidR="006A4C59">
        <w:rPr>
          <w:rFonts w:ascii="Bookman Old Style" w:hAnsi="Bookman Old Style" w:cs="Arial"/>
          <w:bCs/>
        </w:rPr>
        <w:t>ón</w:t>
      </w:r>
      <w:r w:rsidR="006A4C59" w:rsidRPr="006A4C59">
        <w:rPr>
          <w:rFonts w:ascii="Bookman Old Style" w:hAnsi="Bookman Old Style" w:cs="Arial"/>
          <w:bCs/>
        </w:rPr>
        <w:t xml:space="preserve"> especial, se tendrán en cuenta los prestadores que se encuentren en proceso de liquidación, fusión, escisión, etapa de administración temporal o liquidación, o en proceso de reestructuración; de conformidad con lo previsto en la Ley 550 de 1999 o en la Ley 1116 de 2006, según corresponda, o que suspendan la prestación del servicio. </w:t>
      </w:r>
    </w:p>
    <w:p w14:paraId="1D31D191" w14:textId="77777777" w:rsidR="00C26B94" w:rsidRDefault="00C26B94" w:rsidP="00182AB0">
      <w:pPr>
        <w:ind w:left="0"/>
        <w:jc w:val="both"/>
        <w:rPr>
          <w:rFonts w:ascii="Bookman Old Style" w:hAnsi="Bookman Old Style" w:cs="Arial"/>
          <w:bCs/>
        </w:rPr>
      </w:pPr>
    </w:p>
    <w:p w14:paraId="162C001B" w14:textId="7598467A" w:rsidR="00266DB6" w:rsidRDefault="006A4C59" w:rsidP="00182AB0">
      <w:pPr>
        <w:ind w:left="0"/>
        <w:jc w:val="both"/>
        <w:rPr>
          <w:rFonts w:ascii="Bookman Old Style" w:hAnsi="Bookman Old Style" w:cs="Arial"/>
          <w:bCs/>
        </w:rPr>
      </w:pPr>
      <w:r w:rsidRPr="006A4C59">
        <w:rPr>
          <w:rFonts w:ascii="Bookman Old Style" w:hAnsi="Bookman Old Style" w:cs="Arial"/>
          <w:bCs/>
        </w:rPr>
        <w:t>En este caso, el monto de la contribución será proporcional al tiempo en que hayan prestado el servicio público objeto de regulación</w:t>
      </w:r>
      <w:r w:rsidR="001A4001">
        <w:rPr>
          <w:rFonts w:ascii="Bookman Old Style" w:hAnsi="Bookman Old Style" w:cs="Arial"/>
          <w:bCs/>
        </w:rPr>
        <w:t xml:space="preserve">, </w:t>
      </w:r>
      <w:r w:rsidRPr="006A4C59">
        <w:rPr>
          <w:rFonts w:ascii="Bookman Old Style" w:hAnsi="Bookman Old Style" w:cs="Arial"/>
          <w:bCs/>
        </w:rPr>
        <w:t>para lo cual deberán certificar la información financiera para tal fin.</w:t>
      </w:r>
      <w:r>
        <w:rPr>
          <w:rFonts w:ascii="Bookman Old Style" w:hAnsi="Bookman Old Style" w:cs="Arial"/>
          <w:bCs/>
        </w:rPr>
        <w:t xml:space="preserve"> </w:t>
      </w:r>
    </w:p>
    <w:p w14:paraId="54B95B29" w14:textId="77777777" w:rsidR="00266DB6" w:rsidRDefault="00266DB6" w:rsidP="00182AB0">
      <w:pPr>
        <w:ind w:left="0"/>
        <w:jc w:val="both"/>
        <w:rPr>
          <w:rFonts w:ascii="Bookman Old Style" w:hAnsi="Bookman Old Style" w:cs="Arial"/>
          <w:bCs/>
        </w:rPr>
      </w:pPr>
    </w:p>
    <w:p w14:paraId="654AC697" w14:textId="36DBE34C" w:rsidR="00DC2D21" w:rsidRDefault="006A4C59" w:rsidP="00182AB0">
      <w:pPr>
        <w:ind w:left="0"/>
        <w:jc w:val="both"/>
        <w:rPr>
          <w:rFonts w:ascii="Bookman Old Style" w:hAnsi="Bookman Old Style" w:cs="Arial"/>
        </w:rPr>
      </w:pPr>
      <w:r>
        <w:rPr>
          <w:rFonts w:ascii="Bookman Old Style" w:hAnsi="Bookman Old Style" w:cs="Arial"/>
        </w:rPr>
        <w:t>Por tanto</w:t>
      </w:r>
      <w:r w:rsidR="00AD7CFD">
        <w:rPr>
          <w:rFonts w:ascii="Bookman Old Style" w:hAnsi="Bookman Old Style" w:cs="Arial"/>
        </w:rPr>
        <w:t>,</w:t>
      </w:r>
      <w:r>
        <w:rPr>
          <w:rFonts w:ascii="Bookman Old Style" w:hAnsi="Bookman Old Style" w:cs="Arial"/>
        </w:rPr>
        <w:t xml:space="preserve"> </w:t>
      </w:r>
      <w:r w:rsidR="00AD7CFD">
        <w:rPr>
          <w:rFonts w:ascii="Bookman Old Style" w:hAnsi="Bookman Old Style" w:cs="Arial"/>
        </w:rPr>
        <w:t xml:space="preserve">a </w:t>
      </w:r>
      <w:r>
        <w:rPr>
          <w:rFonts w:ascii="Bookman Old Style" w:hAnsi="Bookman Old Style" w:cs="Arial"/>
        </w:rPr>
        <w:t>las empresas</w:t>
      </w:r>
      <w:r w:rsidR="00182AB0">
        <w:rPr>
          <w:rFonts w:ascii="Bookman Old Style" w:hAnsi="Bookman Old Style" w:cs="Arial"/>
        </w:rPr>
        <w:t xml:space="preserve"> que hubieren operado al menos un día durante la vigencia 20</w:t>
      </w:r>
      <w:r w:rsidR="001D788F">
        <w:rPr>
          <w:rFonts w:ascii="Bookman Old Style" w:hAnsi="Bookman Old Style" w:cs="Arial"/>
        </w:rPr>
        <w:t>20</w:t>
      </w:r>
      <w:r w:rsidR="0030667C">
        <w:rPr>
          <w:rFonts w:ascii="Bookman Old Style" w:hAnsi="Bookman Old Style" w:cs="Arial"/>
        </w:rPr>
        <w:t>, s</w:t>
      </w:r>
      <w:r w:rsidR="00182AB0">
        <w:rPr>
          <w:rFonts w:ascii="Bookman Old Style" w:hAnsi="Bookman Old Style" w:cs="Arial"/>
        </w:rPr>
        <w:t xml:space="preserve">e </w:t>
      </w:r>
      <w:r w:rsidR="00AD7CFD">
        <w:rPr>
          <w:rFonts w:ascii="Bookman Old Style" w:hAnsi="Bookman Old Style" w:cs="Arial"/>
        </w:rPr>
        <w:t xml:space="preserve">les </w:t>
      </w:r>
      <w:r w:rsidR="00182AB0">
        <w:rPr>
          <w:rFonts w:ascii="Bookman Old Style" w:hAnsi="Bookman Old Style" w:cs="Arial"/>
        </w:rPr>
        <w:t>liquidará la contribución especial para la presente vigencia</w:t>
      </w:r>
      <w:r w:rsidR="00341C00">
        <w:rPr>
          <w:rFonts w:ascii="Bookman Old Style" w:hAnsi="Bookman Old Style" w:cs="Arial"/>
        </w:rPr>
        <w:t xml:space="preserve"> </w:t>
      </w:r>
      <w:r w:rsidR="00182AB0">
        <w:rPr>
          <w:rFonts w:ascii="Bookman Old Style" w:hAnsi="Bookman Old Style" w:cs="Arial"/>
        </w:rPr>
        <w:t xml:space="preserve">con base en la información </w:t>
      </w:r>
      <w:r w:rsidR="001231FF">
        <w:rPr>
          <w:rFonts w:ascii="Bookman Old Style" w:hAnsi="Bookman Old Style" w:cs="Arial"/>
        </w:rPr>
        <w:t xml:space="preserve">financiera </w:t>
      </w:r>
      <w:r w:rsidR="0082409F">
        <w:rPr>
          <w:rFonts w:ascii="Bookman Old Style" w:hAnsi="Bookman Old Style" w:cs="Arial"/>
        </w:rPr>
        <w:t>de 201</w:t>
      </w:r>
      <w:r w:rsidR="00F40390">
        <w:rPr>
          <w:rFonts w:ascii="Bookman Old Style" w:hAnsi="Bookman Old Style" w:cs="Arial"/>
        </w:rPr>
        <w:t>9</w:t>
      </w:r>
      <w:r w:rsidR="0082409F">
        <w:rPr>
          <w:rFonts w:ascii="Bookman Old Style" w:hAnsi="Bookman Old Style" w:cs="Arial"/>
        </w:rPr>
        <w:t xml:space="preserve"> r</w:t>
      </w:r>
      <w:r w:rsidR="00182AB0">
        <w:rPr>
          <w:rFonts w:ascii="Bookman Old Style" w:hAnsi="Bookman Old Style" w:cs="Arial"/>
        </w:rPr>
        <w:t xml:space="preserve">eportada </w:t>
      </w:r>
      <w:r w:rsidR="006E7DB3">
        <w:rPr>
          <w:rFonts w:ascii="Bookman Old Style" w:hAnsi="Bookman Old Style" w:cs="Arial"/>
        </w:rPr>
        <w:t>a la CREG</w:t>
      </w:r>
      <w:r w:rsidR="00C724B1">
        <w:rPr>
          <w:rFonts w:ascii="Bookman Old Style" w:hAnsi="Bookman Old Style" w:cs="Arial"/>
        </w:rPr>
        <w:t>,</w:t>
      </w:r>
      <w:r w:rsidR="006E7DB3">
        <w:rPr>
          <w:rFonts w:ascii="Bookman Old Style" w:hAnsi="Bookman Old Style" w:cs="Arial"/>
        </w:rPr>
        <w:t xml:space="preserve"> </w:t>
      </w:r>
      <w:r w:rsidR="00DC2D21">
        <w:rPr>
          <w:rFonts w:ascii="Bookman Old Style" w:hAnsi="Bookman Old Style" w:cs="Arial"/>
        </w:rPr>
        <w:t xml:space="preserve">de conformidad con </w:t>
      </w:r>
      <w:r w:rsidR="00C724B1">
        <w:rPr>
          <w:rFonts w:ascii="Bookman Old Style" w:hAnsi="Bookman Old Style" w:cs="Arial"/>
        </w:rPr>
        <w:t>lo establecido</w:t>
      </w:r>
      <w:r w:rsidR="00DC2D21">
        <w:rPr>
          <w:rFonts w:ascii="Bookman Old Style" w:hAnsi="Bookman Old Style" w:cs="Arial"/>
        </w:rPr>
        <w:t xml:space="preserve"> en </w:t>
      </w:r>
      <w:r w:rsidR="00DC2D21" w:rsidRPr="00DC2D21">
        <w:rPr>
          <w:rFonts w:ascii="Bookman Old Style" w:hAnsi="Bookman Old Style" w:cs="Arial"/>
        </w:rPr>
        <w:t xml:space="preserve">el artículo 85 de </w:t>
      </w:r>
      <w:r w:rsidR="00DC2D21">
        <w:rPr>
          <w:rFonts w:ascii="Bookman Old Style" w:hAnsi="Bookman Old Style" w:cs="Arial"/>
        </w:rPr>
        <w:t>la Ley 142 de 1994</w:t>
      </w:r>
      <w:r w:rsidR="00D62994">
        <w:rPr>
          <w:rFonts w:ascii="Bookman Old Style" w:hAnsi="Bookman Old Style" w:cs="Arial"/>
        </w:rPr>
        <w:t>,</w:t>
      </w:r>
      <w:r w:rsidR="001A4001">
        <w:rPr>
          <w:rFonts w:ascii="Bookman Old Style" w:hAnsi="Bookman Old Style" w:cs="Arial"/>
        </w:rPr>
        <w:t xml:space="preserve"> </w:t>
      </w:r>
      <w:r w:rsidR="00DC2D21">
        <w:rPr>
          <w:rFonts w:ascii="Bookman Old Style" w:hAnsi="Bookman Old Style" w:cs="Arial"/>
        </w:rPr>
        <w:t>y causados hasta la fecha de finalización de actividades.</w:t>
      </w:r>
    </w:p>
    <w:p w14:paraId="59CAF06D" w14:textId="77777777" w:rsidR="00182AB0" w:rsidRPr="000F4DE3" w:rsidRDefault="00182AB0" w:rsidP="00182AB0">
      <w:pPr>
        <w:spacing w:after="200" w:line="276" w:lineRule="auto"/>
        <w:ind w:left="0"/>
        <w:contextualSpacing/>
        <w:jc w:val="both"/>
        <w:rPr>
          <w:rFonts w:ascii="Bookman Old Style" w:hAnsi="Bookman Old Style" w:cs="Arial"/>
          <w:color w:val="000000"/>
          <w:sz w:val="28"/>
          <w:szCs w:val="28"/>
        </w:rPr>
      </w:pPr>
    </w:p>
    <w:p w14:paraId="1E317E17" w14:textId="7565A6BF" w:rsidR="00D0527D" w:rsidRDefault="00C26B94" w:rsidP="00DC2D21">
      <w:pPr>
        <w:spacing w:after="200"/>
        <w:ind w:left="0"/>
        <w:contextualSpacing/>
        <w:jc w:val="both"/>
        <w:rPr>
          <w:rFonts w:ascii="Bookman Old Style" w:hAnsi="Bookman Old Style" w:cs="Arial"/>
          <w:bCs/>
          <w:lang w:val="es-CO"/>
        </w:rPr>
      </w:pPr>
      <w:r>
        <w:rPr>
          <w:rFonts w:ascii="Bookman Old Style" w:hAnsi="Bookman Old Style" w:cs="Arial"/>
          <w:b/>
          <w:color w:val="000000"/>
        </w:rPr>
        <w:t>ARTÍCULO 2</w:t>
      </w:r>
      <w:r w:rsidR="00DC2D21">
        <w:rPr>
          <w:rFonts w:ascii="Bookman Old Style" w:hAnsi="Bookman Old Style" w:cs="Arial"/>
          <w:b/>
          <w:color w:val="000000"/>
        </w:rPr>
        <w:t>.</w:t>
      </w:r>
      <w:r w:rsidR="00F84E2A">
        <w:rPr>
          <w:rFonts w:ascii="Bookman Old Style" w:hAnsi="Bookman Old Style" w:cs="Arial"/>
          <w:color w:val="000000"/>
        </w:rPr>
        <w:t xml:space="preserve"> </w:t>
      </w:r>
      <w:bookmarkStart w:id="10" w:name="_Hlk59718559"/>
      <w:bookmarkStart w:id="11" w:name="_Hlk60273078"/>
      <w:r w:rsidR="00F84E2A" w:rsidRPr="00F84E2A">
        <w:rPr>
          <w:rFonts w:ascii="Bookman Old Style" w:hAnsi="Bookman Old Style" w:cs="Arial"/>
          <w:color w:val="000000"/>
        </w:rPr>
        <w:t>S</w:t>
      </w:r>
      <w:proofErr w:type="spellStart"/>
      <w:r w:rsidR="00F84E2A" w:rsidRPr="00DC2D21">
        <w:rPr>
          <w:rFonts w:ascii="Bookman Old Style" w:hAnsi="Bookman Old Style" w:cs="Arial"/>
          <w:bCs/>
          <w:lang w:val="es-CO"/>
        </w:rPr>
        <w:t>e</w:t>
      </w:r>
      <w:proofErr w:type="spellEnd"/>
      <w:r w:rsidR="00F84E2A" w:rsidRPr="00DC2D21">
        <w:rPr>
          <w:rFonts w:ascii="Bookman Old Style" w:hAnsi="Bookman Old Style" w:cs="Arial"/>
          <w:bCs/>
          <w:lang w:val="es-CO"/>
        </w:rPr>
        <w:t xml:space="preserve"> considerarán </w:t>
      </w:r>
      <w:r w:rsidR="00C724B1">
        <w:rPr>
          <w:rFonts w:ascii="Bookman Old Style" w:hAnsi="Bookman Old Style" w:cs="Arial"/>
          <w:bCs/>
          <w:lang w:val="es-CO"/>
        </w:rPr>
        <w:t>contribuyentes</w:t>
      </w:r>
      <w:r w:rsidR="00F84E2A" w:rsidRPr="00DC2D21">
        <w:rPr>
          <w:rFonts w:ascii="Bookman Old Style" w:hAnsi="Bookman Old Style" w:cs="Arial"/>
          <w:bCs/>
          <w:lang w:val="es-CO"/>
        </w:rPr>
        <w:t xml:space="preserve"> </w:t>
      </w:r>
      <w:r w:rsidR="00C724B1">
        <w:rPr>
          <w:rFonts w:ascii="Bookman Old Style" w:hAnsi="Bookman Old Style" w:cs="Arial"/>
          <w:bCs/>
          <w:lang w:val="es-CO"/>
        </w:rPr>
        <w:t xml:space="preserve">omisos </w:t>
      </w:r>
      <w:r w:rsidR="00F84E2A" w:rsidRPr="00DC2D21">
        <w:rPr>
          <w:rFonts w:ascii="Bookman Old Style" w:hAnsi="Bookman Old Style" w:cs="Arial"/>
          <w:bCs/>
          <w:lang w:val="es-CO"/>
        </w:rPr>
        <w:t>aquell</w:t>
      </w:r>
      <w:r w:rsidR="00C724B1">
        <w:rPr>
          <w:rFonts w:ascii="Bookman Old Style" w:hAnsi="Bookman Old Style" w:cs="Arial"/>
          <w:bCs/>
          <w:lang w:val="es-CO"/>
        </w:rPr>
        <w:t>o</w:t>
      </w:r>
      <w:r w:rsidR="00F84E2A" w:rsidRPr="00DC2D21">
        <w:rPr>
          <w:rFonts w:ascii="Bookman Old Style" w:hAnsi="Bookman Old Style" w:cs="Arial"/>
          <w:bCs/>
          <w:lang w:val="es-CO"/>
        </w:rPr>
        <w:t xml:space="preserve">s que, </w:t>
      </w:r>
      <w:r w:rsidR="005E4017">
        <w:rPr>
          <w:rFonts w:ascii="Bookman Old Style" w:hAnsi="Bookman Old Style" w:cs="Arial"/>
          <w:bCs/>
          <w:lang w:val="es-CO"/>
        </w:rPr>
        <w:t xml:space="preserve">al momento de </w:t>
      </w:r>
      <w:r w:rsidR="00C724B1">
        <w:rPr>
          <w:rFonts w:ascii="Bookman Old Style" w:hAnsi="Bookman Old Style" w:cs="Arial"/>
          <w:bCs/>
          <w:lang w:val="es-CO"/>
        </w:rPr>
        <w:t xml:space="preserve">la </w:t>
      </w:r>
      <w:r w:rsidR="005E4017">
        <w:rPr>
          <w:rFonts w:ascii="Bookman Old Style" w:hAnsi="Bookman Old Style" w:cs="Arial"/>
          <w:bCs/>
          <w:lang w:val="es-CO"/>
        </w:rPr>
        <w:t>expedición de la presente Resolución</w:t>
      </w:r>
      <w:r w:rsidR="00F84E2A" w:rsidRPr="00DC2D21">
        <w:rPr>
          <w:rFonts w:ascii="Bookman Old Style" w:hAnsi="Bookman Old Style" w:cs="Arial"/>
          <w:bCs/>
          <w:lang w:val="es-CO"/>
        </w:rPr>
        <w:t>, no se</w:t>
      </w:r>
      <w:r w:rsidR="001A4001">
        <w:rPr>
          <w:rFonts w:ascii="Bookman Old Style" w:hAnsi="Bookman Old Style" w:cs="Arial"/>
          <w:bCs/>
          <w:lang w:val="es-CO"/>
        </w:rPr>
        <w:t xml:space="preserve"> </w:t>
      </w:r>
      <w:proofErr w:type="gramStart"/>
      <w:r w:rsidR="00346695">
        <w:rPr>
          <w:rFonts w:ascii="Bookman Old Style" w:hAnsi="Bookman Old Style" w:cs="Arial"/>
          <w:bCs/>
          <w:lang w:val="es-CO"/>
        </w:rPr>
        <w:t>les</w:t>
      </w:r>
      <w:proofErr w:type="gramEnd"/>
      <w:r w:rsidR="00346695">
        <w:rPr>
          <w:rFonts w:ascii="Bookman Old Style" w:hAnsi="Bookman Old Style" w:cs="Arial"/>
          <w:bCs/>
          <w:lang w:val="es-CO"/>
        </w:rPr>
        <w:t xml:space="preserve"> haya liquidado </w:t>
      </w:r>
      <w:r w:rsidR="00F84E2A" w:rsidRPr="00DC2D21">
        <w:rPr>
          <w:rFonts w:ascii="Bookman Old Style" w:hAnsi="Bookman Old Style" w:cs="Arial"/>
          <w:bCs/>
          <w:lang w:val="es-CO"/>
        </w:rPr>
        <w:t xml:space="preserve">la contribución correspondiente a </w:t>
      </w:r>
      <w:r w:rsidR="005D6CB7">
        <w:rPr>
          <w:rFonts w:ascii="Bookman Old Style" w:hAnsi="Bookman Old Style" w:cs="Arial"/>
          <w:bCs/>
          <w:lang w:val="es-CO"/>
        </w:rPr>
        <w:t xml:space="preserve">la vigencia </w:t>
      </w:r>
      <w:r w:rsidR="00F84E2A" w:rsidRPr="00DC2D21">
        <w:rPr>
          <w:rFonts w:ascii="Bookman Old Style" w:hAnsi="Bookman Old Style" w:cs="Arial"/>
          <w:bCs/>
          <w:lang w:val="es-CO"/>
        </w:rPr>
        <w:t>20</w:t>
      </w:r>
      <w:r w:rsidR="00E8132D">
        <w:rPr>
          <w:rFonts w:ascii="Bookman Old Style" w:hAnsi="Bookman Old Style" w:cs="Arial"/>
          <w:bCs/>
          <w:lang w:val="es-CO"/>
        </w:rPr>
        <w:t>20</w:t>
      </w:r>
      <w:r w:rsidR="00F84E2A" w:rsidRPr="00DC2D21">
        <w:rPr>
          <w:rFonts w:ascii="Bookman Old Style" w:hAnsi="Bookman Old Style" w:cs="Arial"/>
          <w:bCs/>
          <w:lang w:val="es-CO"/>
        </w:rPr>
        <w:t>, debido</w:t>
      </w:r>
      <w:r w:rsidR="00AD7CFD">
        <w:rPr>
          <w:rFonts w:ascii="Bookman Old Style" w:hAnsi="Bookman Old Style" w:cs="Arial"/>
          <w:bCs/>
          <w:lang w:val="es-CO"/>
        </w:rPr>
        <w:t>,</w:t>
      </w:r>
      <w:r w:rsidR="00F84E2A" w:rsidRPr="00DC2D21">
        <w:rPr>
          <w:rFonts w:ascii="Bookman Old Style" w:hAnsi="Bookman Old Style" w:cs="Arial"/>
          <w:bCs/>
          <w:lang w:val="es-CO"/>
        </w:rPr>
        <w:t xml:space="preserve"> entre otras causales, </w:t>
      </w:r>
      <w:r w:rsidR="00AD7CFD">
        <w:rPr>
          <w:rFonts w:ascii="Bookman Old Style" w:hAnsi="Bookman Old Style" w:cs="Arial"/>
          <w:bCs/>
          <w:lang w:val="es-CO"/>
        </w:rPr>
        <w:t>a</w:t>
      </w:r>
      <w:r w:rsidR="00F84E2A" w:rsidRPr="00DC2D21">
        <w:rPr>
          <w:rFonts w:ascii="Bookman Old Style" w:hAnsi="Bookman Old Style" w:cs="Arial"/>
          <w:bCs/>
          <w:lang w:val="es-CO"/>
        </w:rPr>
        <w:t xml:space="preserve">l no reporte de estados financieros </w:t>
      </w:r>
      <w:r w:rsidR="005D6CB7">
        <w:rPr>
          <w:rFonts w:ascii="Bookman Old Style" w:hAnsi="Bookman Old Style" w:cs="Arial"/>
          <w:bCs/>
          <w:lang w:val="es-CO"/>
        </w:rPr>
        <w:t>a la CREG</w:t>
      </w:r>
      <w:r w:rsidR="00C724B1">
        <w:rPr>
          <w:rFonts w:ascii="Bookman Old Style" w:hAnsi="Bookman Old Style" w:cs="Arial"/>
          <w:bCs/>
          <w:lang w:val="es-CO"/>
        </w:rPr>
        <w:t>, al reporte de información asimétrica o inconsistente,</w:t>
      </w:r>
      <w:r w:rsidR="005D6CB7">
        <w:rPr>
          <w:rFonts w:ascii="Bookman Old Style" w:hAnsi="Bookman Old Style" w:cs="Arial"/>
          <w:bCs/>
          <w:lang w:val="es-CO"/>
        </w:rPr>
        <w:t xml:space="preserve"> </w:t>
      </w:r>
      <w:r w:rsidR="00F84E2A" w:rsidRPr="00DC2D21">
        <w:rPr>
          <w:rFonts w:ascii="Bookman Old Style" w:hAnsi="Bookman Old Style" w:cs="Arial"/>
          <w:bCs/>
          <w:lang w:val="es-CO"/>
        </w:rPr>
        <w:t xml:space="preserve">o </w:t>
      </w:r>
      <w:r w:rsidR="00C724B1">
        <w:rPr>
          <w:rFonts w:ascii="Bookman Old Style" w:hAnsi="Bookman Old Style" w:cs="Arial"/>
          <w:bCs/>
          <w:lang w:val="es-CO"/>
        </w:rPr>
        <w:t xml:space="preserve">por realizar </w:t>
      </w:r>
      <w:r w:rsidR="00825C0F">
        <w:rPr>
          <w:rFonts w:ascii="Bookman Old Style" w:hAnsi="Bookman Old Style" w:cs="Arial"/>
          <w:bCs/>
          <w:lang w:val="es-CO"/>
        </w:rPr>
        <w:t>e</w:t>
      </w:r>
      <w:r w:rsidR="00C724B1" w:rsidRPr="00DC2D21">
        <w:rPr>
          <w:rFonts w:ascii="Bookman Old Style" w:hAnsi="Bookman Old Style" w:cs="Arial"/>
          <w:bCs/>
          <w:lang w:val="es-CO"/>
        </w:rPr>
        <w:t xml:space="preserve">l </w:t>
      </w:r>
      <w:r w:rsidR="00F84E2A" w:rsidRPr="00DC2D21">
        <w:rPr>
          <w:rFonts w:ascii="Bookman Old Style" w:hAnsi="Bookman Old Style" w:cs="Arial"/>
          <w:bCs/>
          <w:lang w:val="es-CO"/>
        </w:rPr>
        <w:t xml:space="preserve">registro en el </w:t>
      </w:r>
      <w:r w:rsidR="005D6CB7">
        <w:rPr>
          <w:rFonts w:ascii="Bookman Old Style" w:hAnsi="Bookman Old Style" w:cs="Arial"/>
          <w:bCs/>
          <w:lang w:val="es-CO"/>
        </w:rPr>
        <w:t xml:space="preserve">SICOM </w:t>
      </w:r>
      <w:r w:rsidR="00C724B1">
        <w:rPr>
          <w:rFonts w:ascii="Bookman Old Style" w:hAnsi="Bookman Old Style" w:cs="Arial"/>
          <w:bCs/>
          <w:lang w:val="es-CO"/>
        </w:rPr>
        <w:t xml:space="preserve">con </w:t>
      </w:r>
      <w:r w:rsidR="00F84E2A" w:rsidRPr="00DC2D21">
        <w:rPr>
          <w:rFonts w:ascii="Bookman Old Style" w:hAnsi="Bookman Old Style" w:cs="Arial"/>
          <w:bCs/>
          <w:lang w:val="es-CO"/>
        </w:rPr>
        <w:t xml:space="preserve">fecha posterior a la liquidación de la contribución </w:t>
      </w:r>
      <w:r w:rsidR="005D6CB7">
        <w:rPr>
          <w:rFonts w:ascii="Bookman Old Style" w:hAnsi="Bookman Old Style" w:cs="Arial"/>
          <w:bCs/>
          <w:lang w:val="es-CO"/>
        </w:rPr>
        <w:t>especial</w:t>
      </w:r>
      <w:r w:rsidR="00F84E2A" w:rsidRPr="00DC2D21">
        <w:rPr>
          <w:rFonts w:ascii="Bookman Old Style" w:hAnsi="Bookman Old Style" w:cs="Arial"/>
          <w:bCs/>
          <w:lang w:val="es-CO"/>
        </w:rPr>
        <w:t>.</w:t>
      </w:r>
      <w:bookmarkEnd w:id="10"/>
    </w:p>
    <w:p w14:paraId="59E91349" w14:textId="77777777" w:rsidR="0023732E" w:rsidRDefault="0023732E" w:rsidP="00DC2D21">
      <w:pPr>
        <w:spacing w:after="200"/>
        <w:ind w:left="0"/>
        <w:contextualSpacing/>
        <w:jc w:val="both"/>
        <w:rPr>
          <w:rFonts w:ascii="Bookman Old Style" w:hAnsi="Bookman Old Style" w:cs="Arial"/>
          <w:bCs/>
          <w:lang w:val="es-CO"/>
        </w:rPr>
      </w:pPr>
    </w:p>
    <w:p w14:paraId="73C0AF54" w14:textId="59A4402C" w:rsidR="00742A9C" w:rsidRDefault="00F84E2A" w:rsidP="00DC2D21">
      <w:pPr>
        <w:spacing w:after="200"/>
        <w:ind w:left="0"/>
        <w:contextualSpacing/>
        <w:jc w:val="both"/>
        <w:rPr>
          <w:rFonts w:ascii="Bookman Old Style" w:hAnsi="Bookman Old Style" w:cs="Arial"/>
          <w:bCs/>
          <w:lang w:val="es-CO"/>
        </w:rPr>
      </w:pPr>
      <w:r w:rsidRPr="00DC2D21">
        <w:rPr>
          <w:rFonts w:ascii="Bookman Old Style" w:hAnsi="Bookman Old Style" w:cs="Arial"/>
          <w:bCs/>
          <w:lang w:val="es-CO"/>
        </w:rPr>
        <w:t>Aquellas empresas reguladas que no han reportado</w:t>
      </w:r>
      <w:r w:rsidR="000926F0">
        <w:rPr>
          <w:rFonts w:ascii="Bookman Old Style" w:hAnsi="Bookman Old Style" w:cs="Arial"/>
          <w:bCs/>
          <w:lang w:val="es-CO"/>
        </w:rPr>
        <w:t>,</w:t>
      </w:r>
      <w:r w:rsidRPr="00DC2D21">
        <w:rPr>
          <w:rFonts w:ascii="Bookman Old Style" w:hAnsi="Bookman Old Style" w:cs="Arial"/>
          <w:bCs/>
          <w:lang w:val="es-CO"/>
        </w:rPr>
        <w:t xml:space="preserve"> </w:t>
      </w:r>
      <w:r w:rsidR="00825C0F">
        <w:rPr>
          <w:rFonts w:ascii="Bookman Old Style" w:hAnsi="Bookman Old Style" w:cs="Arial"/>
          <w:bCs/>
          <w:lang w:val="es-CO"/>
        </w:rPr>
        <w:t>o</w:t>
      </w:r>
      <w:r w:rsidR="00825C0F" w:rsidRPr="00DC2D21">
        <w:rPr>
          <w:rFonts w:ascii="Bookman Old Style" w:hAnsi="Bookman Old Style" w:cs="Arial"/>
          <w:bCs/>
          <w:lang w:val="es-CO"/>
        </w:rPr>
        <w:t xml:space="preserve"> </w:t>
      </w:r>
      <w:r w:rsidRPr="00DC2D21">
        <w:rPr>
          <w:rFonts w:ascii="Bookman Old Style" w:hAnsi="Bookman Old Style" w:cs="Arial"/>
          <w:bCs/>
          <w:lang w:val="es-CO"/>
        </w:rPr>
        <w:t xml:space="preserve">que reporten </w:t>
      </w:r>
      <w:r w:rsidR="00825C0F">
        <w:rPr>
          <w:rFonts w:ascii="Bookman Old Style" w:hAnsi="Bookman Old Style" w:cs="Arial"/>
          <w:bCs/>
          <w:lang w:val="es-CO"/>
        </w:rPr>
        <w:t xml:space="preserve">información </w:t>
      </w:r>
      <w:r w:rsidRPr="00DC2D21">
        <w:rPr>
          <w:rFonts w:ascii="Bookman Old Style" w:hAnsi="Bookman Old Style" w:cs="Arial"/>
          <w:bCs/>
          <w:lang w:val="es-CO"/>
        </w:rPr>
        <w:t>posterior a la publicación de la presente resolución de contribución especial, se liquidar</w:t>
      </w:r>
      <w:r w:rsidR="000926F0">
        <w:rPr>
          <w:rFonts w:ascii="Bookman Old Style" w:hAnsi="Bookman Old Style" w:cs="Arial"/>
          <w:bCs/>
          <w:lang w:val="es-CO"/>
        </w:rPr>
        <w:t>á</w:t>
      </w:r>
      <w:r w:rsidRPr="00DC2D21">
        <w:rPr>
          <w:rFonts w:ascii="Bookman Old Style" w:hAnsi="Bookman Old Style" w:cs="Arial"/>
          <w:bCs/>
          <w:lang w:val="es-CO"/>
        </w:rPr>
        <w:t xml:space="preserve">n en las próximas vigencias al factor generado en </w:t>
      </w:r>
      <w:r w:rsidR="005D6CB7">
        <w:rPr>
          <w:rFonts w:ascii="Bookman Old Style" w:hAnsi="Bookman Old Style" w:cs="Arial"/>
          <w:bCs/>
          <w:lang w:val="es-CO"/>
        </w:rPr>
        <w:t>la presente Resolución</w:t>
      </w:r>
      <w:r w:rsidR="00DC2D21" w:rsidRPr="00DC2D21">
        <w:rPr>
          <w:rFonts w:ascii="Bookman Old Style" w:hAnsi="Bookman Old Style" w:cs="Arial"/>
          <w:bCs/>
          <w:lang w:val="es-CO"/>
        </w:rPr>
        <w:t xml:space="preserve">, teniendo en cuenta la metodología para hallar la base gravable al año </w:t>
      </w:r>
      <w:r w:rsidR="005D6CB7">
        <w:rPr>
          <w:rFonts w:ascii="Bookman Old Style" w:hAnsi="Bookman Old Style" w:cs="Arial"/>
          <w:bCs/>
          <w:lang w:val="es-CO"/>
        </w:rPr>
        <w:t>2020</w:t>
      </w:r>
      <w:r w:rsidR="00DC2D21" w:rsidRPr="00DC2D21">
        <w:rPr>
          <w:rFonts w:ascii="Bookman Old Style" w:hAnsi="Bookman Old Style" w:cs="Arial"/>
          <w:bCs/>
          <w:lang w:val="es-CO"/>
        </w:rPr>
        <w:t>.</w:t>
      </w:r>
    </w:p>
    <w:bookmarkEnd w:id="11"/>
    <w:p w14:paraId="2A117467" w14:textId="77777777" w:rsidR="00D0527D" w:rsidRDefault="00D0527D" w:rsidP="00DC2D21">
      <w:pPr>
        <w:spacing w:after="200"/>
        <w:ind w:left="0"/>
        <w:contextualSpacing/>
        <w:jc w:val="both"/>
        <w:rPr>
          <w:rFonts w:ascii="Bookman Old Style" w:hAnsi="Bookman Old Style" w:cs="Arial"/>
          <w:color w:val="000000"/>
        </w:rPr>
      </w:pPr>
    </w:p>
    <w:p w14:paraId="187DC8D9" w14:textId="249612C9" w:rsidR="00D0527D" w:rsidRDefault="0030667C" w:rsidP="00E8132D">
      <w:pPr>
        <w:ind w:left="0"/>
        <w:jc w:val="both"/>
        <w:rPr>
          <w:rFonts w:ascii="Bookman Old Style" w:hAnsi="Bookman Old Style" w:cs="Arial"/>
          <w:bCs/>
          <w:lang w:val="es-CO"/>
        </w:rPr>
      </w:pPr>
      <w:r w:rsidRPr="00A96759">
        <w:rPr>
          <w:rFonts w:ascii="Bookman Old Style" w:hAnsi="Bookman Old Style" w:cs="Arial"/>
          <w:b/>
        </w:rPr>
        <w:t xml:space="preserve">ARTÍCULO </w:t>
      </w:r>
      <w:r w:rsidR="00DC2D21">
        <w:rPr>
          <w:rFonts w:ascii="Bookman Old Style" w:hAnsi="Bookman Old Style" w:cs="Arial"/>
          <w:b/>
        </w:rPr>
        <w:t>3</w:t>
      </w:r>
      <w:r w:rsidRPr="00A96759">
        <w:rPr>
          <w:rFonts w:ascii="Bookman Old Style" w:hAnsi="Bookman Old Style" w:cs="Arial"/>
          <w:b/>
        </w:rPr>
        <w:t xml:space="preserve">. </w:t>
      </w:r>
      <w:r w:rsidR="00F84E2A" w:rsidRPr="00F84E2A">
        <w:rPr>
          <w:rFonts w:ascii="Bookman Old Style" w:hAnsi="Bookman Old Style" w:cs="Arial"/>
          <w:bCs/>
          <w:lang w:val="es-CO"/>
        </w:rPr>
        <w:t xml:space="preserve">La contribución especial será calculada </w:t>
      </w:r>
      <w:r w:rsidR="004148DC">
        <w:rPr>
          <w:rFonts w:ascii="Bookman Old Style" w:hAnsi="Bookman Old Style" w:cs="Arial"/>
          <w:bCs/>
          <w:lang w:val="es-CO"/>
        </w:rPr>
        <w:t xml:space="preserve">y liquidada </w:t>
      </w:r>
      <w:r w:rsidR="00E8132D">
        <w:rPr>
          <w:rFonts w:ascii="Bookman Old Style" w:hAnsi="Bookman Old Style" w:cs="Arial"/>
          <w:bCs/>
          <w:lang w:val="es-CO"/>
        </w:rPr>
        <w:t xml:space="preserve">por la CREG </w:t>
      </w:r>
      <w:r w:rsidR="00F84E2A" w:rsidRPr="00F84E2A">
        <w:rPr>
          <w:rFonts w:ascii="Bookman Old Style" w:hAnsi="Bookman Old Style" w:cs="Arial"/>
          <w:bCs/>
          <w:lang w:val="es-CO"/>
        </w:rPr>
        <w:t>a través de una liquidación oficial</w:t>
      </w:r>
      <w:r w:rsidR="00E8132D">
        <w:rPr>
          <w:rFonts w:ascii="Bookman Old Style" w:hAnsi="Bookman Old Style" w:cs="Arial"/>
          <w:bCs/>
          <w:lang w:val="es-CO"/>
        </w:rPr>
        <w:t xml:space="preserve"> </w:t>
      </w:r>
      <w:r w:rsidR="00F84E2A" w:rsidRPr="00F84E2A">
        <w:rPr>
          <w:rFonts w:ascii="Bookman Old Style" w:hAnsi="Bookman Old Style" w:cs="Arial"/>
          <w:bCs/>
          <w:lang w:val="es-CO"/>
        </w:rPr>
        <w:t>para cada uno de los regulados</w:t>
      </w:r>
      <w:r w:rsidR="00E8132D">
        <w:rPr>
          <w:rFonts w:ascii="Bookman Old Style" w:hAnsi="Bookman Old Style" w:cs="Arial"/>
          <w:bCs/>
          <w:lang w:val="es-CO"/>
        </w:rPr>
        <w:t>,</w:t>
      </w:r>
      <w:r w:rsidR="00F84E2A" w:rsidRPr="00F84E2A">
        <w:rPr>
          <w:rFonts w:ascii="Bookman Old Style" w:hAnsi="Bookman Old Style" w:cs="Arial"/>
          <w:bCs/>
          <w:lang w:val="es-CO"/>
        </w:rPr>
        <w:t xml:space="preserve"> </w:t>
      </w:r>
      <w:r w:rsidR="00F84E2A">
        <w:rPr>
          <w:rFonts w:ascii="Bookman Old Style" w:hAnsi="Bookman Old Style" w:cs="Arial"/>
          <w:bCs/>
          <w:lang w:val="es-CO"/>
        </w:rPr>
        <w:t xml:space="preserve">la cual será </w:t>
      </w:r>
      <w:r w:rsidR="00F84E2A" w:rsidRPr="00F84E2A">
        <w:rPr>
          <w:rFonts w:ascii="Bookman Old Style" w:hAnsi="Bookman Old Style" w:cs="Arial"/>
          <w:bCs/>
          <w:lang w:val="es-CO"/>
        </w:rPr>
        <w:t>notifi</w:t>
      </w:r>
      <w:r w:rsidR="00F84E2A">
        <w:rPr>
          <w:rFonts w:ascii="Bookman Old Style" w:hAnsi="Bookman Old Style" w:cs="Arial"/>
          <w:bCs/>
          <w:lang w:val="es-CO"/>
        </w:rPr>
        <w:t xml:space="preserve">cada </w:t>
      </w:r>
      <w:r w:rsidR="00DE48BB">
        <w:rPr>
          <w:rFonts w:ascii="Bookman Old Style" w:hAnsi="Bookman Old Style" w:cs="Arial"/>
          <w:bCs/>
          <w:lang w:val="es-CO"/>
        </w:rPr>
        <w:t>conforme a lo previsto en las disposiciones legales vigentes</w:t>
      </w:r>
      <w:r w:rsidR="000926F0">
        <w:rPr>
          <w:rFonts w:ascii="Bookman Old Style" w:hAnsi="Bookman Old Style" w:cs="Arial"/>
          <w:bCs/>
          <w:lang w:val="es-CO"/>
        </w:rPr>
        <w:t>,</w:t>
      </w:r>
      <w:r w:rsidR="00DE48BB">
        <w:rPr>
          <w:rFonts w:ascii="Bookman Old Style" w:hAnsi="Bookman Old Style" w:cs="Arial"/>
          <w:bCs/>
          <w:lang w:val="es-CO"/>
        </w:rPr>
        <w:t xml:space="preserve"> y contra ella procede el recurso de reposición, el cual podrá interponerse ante la Dirección </w:t>
      </w:r>
      <w:r w:rsidR="00CE3697">
        <w:rPr>
          <w:rFonts w:ascii="Bookman Old Style" w:hAnsi="Bookman Old Style" w:cs="Arial"/>
          <w:bCs/>
          <w:lang w:val="es-CO"/>
        </w:rPr>
        <w:t>E</w:t>
      </w:r>
      <w:r w:rsidR="00DE48BB">
        <w:rPr>
          <w:rFonts w:ascii="Bookman Old Style" w:hAnsi="Bookman Old Style" w:cs="Arial"/>
          <w:bCs/>
          <w:lang w:val="es-CO"/>
        </w:rPr>
        <w:t xml:space="preserve">jecutiva de la </w:t>
      </w:r>
      <w:r w:rsidR="00CE3697">
        <w:rPr>
          <w:rFonts w:ascii="Bookman Old Style" w:hAnsi="Bookman Old Style" w:cs="Arial"/>
          <w:bCs/>
          <w:lang w:val="es-CO"/>
        </w:rPr>
        <w:t>CREG</w:t>
      </w:r>
      <w:r w:rsidR="00DE48BB">
        <w:rPr>
          <w:rFonts w:ascii="Bookman Old Style" w:hAnsi="Bookman Old Style" w:cs="Arial"/>
          <w:bCs/>
          <w:lang w:val="es-CO"/>
        </w:rPr>
        <w:t>, dentro de los cinco (5) días hábiles siguientes a la diligencia de notificación.</w:t>
      </w:r>
      <w:r w:rsidR="00CE3697">
        <w:rPr>
          <w:rFonts w:ascii="Bookman Old Style" w:hAnsi="Bookman Old Style" w:cs="Arial"/>
          <w:bCs/>
          <w:lang w:val="es-CO"/>
        </w:rPr>
        <w:t xml:space="preserve"> </w:t>
      </w:r>
    </w:p>
    <w:p w14:paraId="0222F2A6" w14:textId="77777777" w:rsidR="00D0527D" w:rsidRDefault="00D0527D" w:rsidP="00E8132D">
      <w:pPr>
        <w:ind w:left="0"/>
        <w:jc w:val="both"/>
        <w:rPr>
          <w:rFonts w:ascii="Bookman Old Style" w:hAnsi="Bookman Old Style" w:cs="Arial"/>
          <w:bCs/>
          <w:lang w:val="es-CO"/>
        </w:rPr>
      </w:pPr>
    </w:p>
    <w:p w14:paraId="1307254C" w14:textId="1D186B53" w:rsidR="00E8132D" w:rsidRPr="00D86515" w:rsidRDefault="00CE3697" w:rsidP="00E8132D">
      <w:pPr>
        <w:ind w:left="0"/>
        <w:jc w:val="both"/>
        <w:rPr>
          <w:rFonts w:ascii="Bookman Old Style" w:hAnsi="Bookman Old Style" w:cs="Arial"/>
          <w:bCs/>
          <w:lang w:val="es-CO"/>
        </w:rPr>
      </w:pPr>
      <w:r w:rsidRPr="00D86515">
        <w:rPr>
          <w:rFonts w:ascii="Bookman Old Style" w:hAnsi="Bookman Old Style" w:cs="Arial"/>
          <w:b/>
          <w:lang w:val="es-CO"/>
        </w:rPr>
        <w:t xml:space="preserve">PARÁGRAFO </w:t>
      </w:r>
      <w:r w:rsidR="001A4001">
        <w:rPr>
          <w:rFonts w:ascii="Bookman Old Style" w:hAnsi="Bookman Old Style" w:cs="Arial"/>
          <w:b/>
          <w:lang w:val="es-CO"/>
        </w:rPr>
        <w:t>1</w:t>
      </w:r>
      <w:r w:rsidRPr="00D86515">
        <w:rPr>
          <w:rFonts w:ascii="Bookman Old Style" w:hAnsi="Bookman Old Style" w:cs="Arial"/>
          <w:b/>
          <w:lang w:val="es-CO"/>
        </w:rPr>
        <w:t>.</w:t>
      </w:r>
      <w:r w:rsidRPr="00D86515">
        <w:rPr>
          <w:rFonts w:ascii="Bookman Old Style" w:hAnsi="Bookman Old Style" w:cs="Arial"/>
          <w:bCs/>
          <w:lang w:val="es-CO"/>
        </w:rPr>
        <w:t xml:space="preserve"> </w:t>
      </w:r>
      <w:r w:rsidR="00FE15DA">
        <w:rPr>
          <w:rFonts w:ascii="Bookman Old Style" w:hAnsi="Bookman Old Style" w:cs="Arial"/>
          <w:bCs/>
          <w:lang w:val="es-CO"/>
        </w:rPr>
        <w:t xml:space="preserve">En virtud del cuarto inciso del artículo 21 de la Ley 143 de 1994, </w:t>
      </w:r>
      <w:r w:rsidRPr="00D86515">
        <w:rPr>
          <w:rFonts w:ascii="Bookman Old Style" w:hAnsi="Bookman Old Style" w:cs="Arial"/>
          <w:bCs/>
          <w:lang w:val="es-CO"/>
        </w:rPr>
        <w:t>e</w:t>
      </w:r>
      <w:r w:rsidR="00E8132D" w:rsidRPr="00D86515">
        <w:rPr>
          <w:rFonts w:ascii="Bookman Old Style" w:hAnsi="Bookman Old Style" w:cs="Arial"/>
          <w:bCs/>
          <w:lang w:val="es-CO"/>
        </w:rPr>
        <w:t xml:space="preserve">l pago </w:t>
      </w:r>
      <w:r w:rsidR="00D86515">
        <w:rPr>
          <w:rFonts w:ascii="Bookman Old Style" w:hAnsi="Bookman Old Style" w:cs="Arial"/>
          <w:bCs/>
          <w:lang w:val="es-CO"/>
        </w:rPr>
        <w:t xml:space="preserve">de la contribución especial 2020 </w:t>
      </w:r>
      <w:r w:rsidRPr="00D86515">
        <w:rPr>
          <w:rFonts w:ascii="Bookman Old Style" w:hAnsi="Bookman Old Style" w:cs="Arial"/>
          <w:bCs/>
          <w:lang w:val="es-CO"/>
        </w:rPr>
        <w:t>se realizará</w:t>
      </w:r>
      <w:r w:rsidR="00E8132D" w:rsidRPr="00D86515">
        <w:rPr>
          <w:rFonts w:ascii="Bookman Old Style" w:hAnsi="Bookman Old Style" w:cs="Arial"/>
          <w:bCs/>
          <w:lang w:val="es-CO"/>
        </w:rPr>
        <w:t xml:space="preserve"> en la cuenta bancaria </w:t>
      </w:r>
      <w:r w:rsidR="00D86515" w:rsidRPr="00D86515">
        <w:rPr>
          <w:rFonts w:ascii="Bookman Old Style" w:hAnsi="Bookman Old Style" w:cs="Arial"/>
          <w:bCs/>
          <w:lang w:val="es-CO"/>
        </w:rPr>
        <w:t xml:space="preserve">de </w:t>
      </w:r>
      <w:r w:rsidR="00D86515">
        <w:rPr>
          <w:rFonts w:ascii="Bookman Old Style" w:hAnsi="Bookman Old Style" w:cs="Arial"/>
          <w:bCs/>
          <w:lang w:val="es-CO"/>
        </w:rPr>
        <w:t>la fiducia mercantil</w:t>
      </w:r>
      <w:r w:rsidR="00FE15DA">
        <w:rPr>
          <w:rFonts w:ascii="Bookman Old Style" w:hAnsi="Bookman Old Style" w:cs="Arial"/>
          <w:bCs/>
          <w:lang w:val="es-CO"/>
        </w:rPr>
        <w:t xml:space="preserve"> </w:t>
      </w:r>
      <w:r w:rsidR="00D86515">
        <w:rPr>
          <w:rFonts w:ascii="Bookman Old Style" w:hAnsi="Bookman Old Style" w:cs="Arial"/>
          <w:bCs/>
          <w:lang w:val="es-CO"/>
        </w:rPr>
        <w:t>que</w:t>
      </w:r>
      <w:r w:rsidR="00FE15DA">
        <w:rPr>
          <w:rFonts w:ascii="Bookman Old Style" w:hAnsi="Bookman Old Style" w:cs="Arial"/>
          <w:bCs/>
          <w:lang w:val="es-CO"/>
        </w:rPr>
        <w:t xml:space="preserve"> </w:t>
      </w:r>
      <w:r w:rsidR="00D86515">
        <w:rPr>
          <w:rFonts w:ascii="Bookman Old Style" w:hAnsi="Bookman Old Style" w:cs="Arial"/>
          <w:bCs/>
          <w:lang w:val="es-CO"/>
        </w:rPr>
        <w:t>administr</w:t>
      </w:r>
      <w:r w:rsidR="0071597C">
        <w:rPr>
          <w:rFonts w:ascii="Bookman Old Style" w:hAnsi="Bookman Old Style" w:cs="Arial"/>
          <w:bCs/>
          <w:lang w:val="es-CO"/>
        </w:rPr>
        <w:t>a</w:t>
      </w:r>
      <w:r w:rsidR="00D86515">
        <w:rPr>
          <w:rFonts w:ascii="Bookman Old Style" w:hAnsi="Bookman Old Style" w:cs="Arial"/>
          <w:bCs/>
          <w:lang w:val="es-CO"/>
        </w:rPr>
        <w:t xml:space="preserve"> los </w:t>
      </w:r>
      <w:r w:rsidR="00DB1EA4">
        <w:rPr>
          <w:rFonts w:ascii="Bookman Old Style" w:hAnsi="Bookman Old Style" w:cs="Arial"/>
          <w:bCs/>
          <w:lang w:val="es-CO"/>
        </w:rPr>
        <w:t>recursos</w:t>
      </w:r>
      <w:r w:rsidR="00D86515">
        <w:rPr>
          <w:rFonts w:ascii="Bookman Old Style" w:hAnsi="Bookman Old Style" w:cs="Arial"/>
          <w:bCs/>
          <w:lang w:val="es-CO"/>
        </w:rPr>
        <w:t xml:space="preserve"> del fideicomiso </w:t>
      </w:r>
      <w:r w:rsidR="00FE15DA">
        <w:rPr>
          <w:rFonts w:ascii="Bookman Old Style" w:hAnsi="Bookman Old Style" w:cs="Arial"/>
          <w:bCs/>
          <w:lang w:val="es-CO"/>
        </w:rPr>
        <w:t xml:space="preserve">del patrimonio autónomo de la CREG, de </w:t>
      </w:r>
      <w:r w:rsidR="00D86515" w:rsidRPr="00D86515">
        <w:rPr>
          <w:rFonts w:ascii="Bookman Old Style" w:hAnsi="Bookman Old Style" w:cs="Arial"/>
          <w:bCs/>
          <w:lang w:val="es-CO"/>
        </w:rPr>
        <w:t xml:space="preserve">acuerdo </w:t>
      </w:r>
      <w:r w:rsidR="00C26B94">
        <w:rPr>
          <w:rFonts w:ascii="Bookman Old Style" w:hAnsi="Bookman Old Style" w:cs="Arial"/>
          <w:bCs/>
          <w:lang w:val="es-CO"/>
        </w:rPr>
        <w:t>con el</w:t>
      </w:r>
      <w:r w:rsidR="00E8132D" w:rsidRPr="00D86515">
        <w:rPr>
          <w:rFonts w:ascii="Bookman Old Style" w:hAnsi="Bookman Old Style" w:cs="Arial"/>
          <w:bCs/>
          <w:lang w:val="es-CO"/>
        </w:rPr>
        <w:t xml:space="preserve"> procedimiento descrito en la liquidación oficial</w:t>
      </w:r>
      <w:r w:rsidR="00FE15DA">
        <w:rPr>
          <w:rFonts w:ascii="Bookman Old Style" w:hAnsi="Bookman Old Style" w:cs="Arial"/>
          <w:bCs/>
          <w:lang w:val="es-CO"/>
        </w:rPr>
        <w:t xml:space="preserve"> </w:t>
      </w:r>
      <w:r w:rsidR="00D86515" w:rsidRPr="00D86515">
        <w:rPr>
          <w:rFonts w:ascii="Bookman Old Style" w:hAnsi="Bookman Old Style" w:cs="Arial"/>
          <w:bCs/>
          <w:lang w:val="es-CO"/>
        </w:rPr>
        <w:t>a través de la plataforma de pagos virtuales o banca electrónica.</w:t>
      </w:r>
    </w:p>
    <w:p w14:paraId="5B85EA5E" w14:textId="77777777" w:rsidR="00E8132D" w:rsidRDefault="00E8132D" w:rsidP="00D93B42">
      <w:pPr>
        <w:ind w:left="0"/>
        <w:jc w:val="both"/>
        <w:rPr>
          <w:rFonts w:ascii="Bookman Old Style" w:hAnsi="Bookman Old Style" w:cs="Arial"/>
          <w:bCs/>
          <w:color w:val="FF0000"/>
          <w:lang w:val="es-CO"/>
        </w:rPr>
      </w:pPr>
    </w:p>
    <w:p w14:paraId="18E27F9A" w14:textId="6655619C" w:rsidR="00D0527D" w:rsidRDefault="00B16AC6" w:rsidP="00C4627C">
      <w:pPr>
        <w:ind w:left="0"/>
        <w:jc w:val="both"/>
        <w:rPr>
          <w:rFonts w:ascii="Bookman Old Style" w:hAnsi="Bookman Old Style" w:cs="Arial"/>
          <w:bCs/>
          <w:lang w:val="es-CO"/>
        </w:rPr>
      </w:pPr>
      <w:r w:rsidRPr="00AB5B2E">
        <w:rPr>
          <w:rFonts w:ascii="Bookman Old Style" w:hAnsi="Bookman Old Style" w:cs="Arial"/>
          <w:b/>
          <w:bCs/>
          <w:lang w:val="es-CO"/>
        </w:rPr>
        <w:lastRenderedPageBreak/>
        <w:t>PARÁGRAFO</w:t>
      </w:r>
      <w:r w:rsidR="00AB5B2E" w:rsidRPr="00AB5B2E">
        <w:rPr>
          <w:rFonts w:ascii="Bookman Old Style" w:hAnsi="Bookman Old Style" w:cs="Arial"/>
          <w:b/>
          <w:bCs/>
          <w:lang w:val="es-CO"/>
        </w:rPr>
        <w:t xml:space="preserve"> </w:t>
      </w:r>
      <w:r w:rsidR="001A4001">
        <w:rPr>
          <w:rFonts w:ascii="Bookman Old Style" w:hAnsi="Bookman Old Style" w:cs="Arial"/>
          <w:b/>
          <w:bCs/>
          <w:lang w:val="es-CO"/>
        </w:rPr>
        <w:t>2</w:t>
      </w:r>
      <w:r w:rsidRPr="00AB5B2E">
        <w:rPr>
          <w:rFonts w:ascii="Bookman Old Style" w:hAnsi="Bookman Old Style" w:cs="Arial"/>
          <w:bCs/>
          <w:lang w:val="es-CO"/>
        </w:rPr>
        <w:t xml:space="preserve">. </w:t>
      </w:r>
      <w:r w:rsidR="00D93B42" w:rsidRPr="00AB5B2E">
        <w:rPr>
          <w:rFonts w:ascii="Bookman Old Style" w:hAnsi="Bookman Old Style" w:cs="Arial"/>
          <w:bCs/>
          <w:lang w:val="es-CO"/>
        </w:rPr>
        <w:t xml:space="preserve">Se aplicará el mismo régimen de sanción por mora </w:t>
      </w:r>
      <w:r w:rsidRPr="00AB5B2E">
        <w:rPr>
          <w:rFonts w:ascii="Bookman Old Style" w:hAnsi="Bookman Old Style" w:cs="Arial"/>
          <w:bCs/>
          <w:lang w:val="es-CO"/>
        </w:rPr>
        <w:t>determinado para e</w:t>
      </w:r>
      <w:r w:rsidR="00D93B42" w:rsidRPr="00AB5B2E">
        <w:rPr>
          <w:rFonts w:ascii="Bookman Old Style" w:hAnsi="Bookman Old Style" w:cs="Arial"/>
          <w:bCs/>
          <w:lang w:val="es-CO"/>
        </w:rPr>
        <w:t xml:space="preserve">l impuesto sobre la renta y complementarios, sin perjuicio de las demás sanciones establecidas en la </w:t>
      </w:r>
      <w:r w:rsidR="005859D7" w:rsidRPr="00AB5B2E">
        <w:rPr>
          <w:rFonts w:ascii="Bookman Old Style" w:hAnsi="Bookman Old Style" w:cs="Arial"/>
          <w:bCs/>
          <w:lang w:val="es-CO"/>
        </w:rPr>
        <w:t>normatividad vigente</w:t>
      </w:r>
      <w:r w:rsidR="00D86515">
        <w:rPr>
          <w:rFonts w:ascii="Bookman Old Style" w:hAnsi="Bookman Old Style" w:cs="Arial"/>
          <w:bCs/>
          <w:lang w:val="es-CO"/>
        </w:rPr>
        <w:t xml:space="preserve">. </w:t>
      </w:r>
      <w:bookmarkStart w:id="12" w:name="_Hlk51792755"/>
    </w:p>
    <w:p w14:paraId="4B4FEB1C" w14:textId="77777777" w:rsidR="00D0527D" w:rsidRDefault="00D0527D" w:rsidP="00C4627C">
      <w:pPr>
        <w:ind w:left="0"/>
        <w:jc w:val="both"/>
        <w:rPr>
          <w:rFonts w:ascii="Bookman Old Style" w:hAnsi="Bookman Old Style" w:cs="Arial"/>
          <w:bCs/>
          <w:lang w:val="es-CO"/>
        </w:rPr>
      </w:pPr>
    </w:p>
    <w:p w14:paraId="633EB6FD" w14:textId="1C432375" w:rsidR="00C4627C" w:rsidRPr="00AB5B2E" w:rsidRDefault="00C26B94" w:rsidP="00C4627C">
      <w:pPr>
        <w:ind w:left="0"/>
        <w:jc w:val="both"/>
        <w:rPr>
          <w:rFonts w:ascii="Bookman Old Style" w:hAnsi="Bookman Old Style" w:cs="Arial"/>
        </w:rPr>
      </w:pPr>
      <w:r w:rsidRPr="00C26B94">
        <w:rPr>
          <w:rFonts w:ascii="Bookman Old Style" w:hAnsi="Bookman Old Style" w:cs="Arial"/>
          <w:b/>
          <w:lang w:val="es-CO"/>
        </w:rPr>
        <w:t xml:space="preserve">PARÁGRAFO </w:t>
      </w:r>
      <w:r w:rsidR="001A4001">
        <w:rPr>
          <w:rFonts w:ascii="Bookman Old Style" w:hAnsi="Bookman Old Style" w:cs="Arial"/>
          <w:b/>
          <w:lang w:val="es-CO"/>
        </w:rPr>
        <w:t>3</w:t>
      </w:r>
      <w:r w:rsidRPr="00C26B94">
        <w:rPr>
          <w:rFonts w:ascii="Bookman Old Style" w:hAnsi="Bookman Old Style" w:cs="Arial"/>
          <w:b/>
          <w:lang w:val="es-CO"/>
        </w:rPr>
        <w:t xml:space="preserve">. </w:t>
      </w:r>
      <w:r w:rsidR="00D86515">
        <w:rPr>
          <w:rFonts w:ascii="Bookman Old Style" w:hAnsi="Bookman Old Style" w:cs="Arial"/>
          <w:bCs/>
          <w:lang w:val="es-CO"/>
        </w:rPr>
        <w:t xml:space="preserve">En virtud </w:t>
      </w:r>
      <w:r w:rsidR="00D86515" w:rsidRPr="00D86515">
        <w:rPr>
          <w:rFonts w:ascii="Bookman Old Style" w:hAnsi="Bookman Old Style" w:cs="Arial"/>
          <w:bCs/>
          <w:lang w:val="es-CO"/>
        </w:rPr>
        <w:t>del parágrafo 3º del artículo 2º de la Ley 901 de 2004, y del numeral 5º del artículo 2º de la Ley 1066 de 2006</w:t>
      </w:r>
      <w:bookmarkEnd w:id="12"/>
      <w:r w:rsidR="00D86515">
        <w:rPr>
          <w:rFonts w:ascii="Bookman Old Style" w:hAnsi="Bookman Old Style" w:cs="Arial"/>
          <w:bCs/>
          <w:lang w:val="es-CO"/>
        </w:rPr>
        <w:t>,</w:t>
      </w:r>
      <w:r w:rsidR="00AB5B2E" w:rsidRPr="00AB5B2E">
        <w:rPr>
          <w:rFonts w:ascii="Bookman Old Style" w:hAnsi="Bookman Old Style" w:cs="Arial"/>
          <w:bCs/>
          <w:lang w:val="es-CO"/>
        </w:rPr>
        <w:t xml:space="preserve"> la</w:t>
      </w:r>
      <w:r w:rsidR="00607653" w:rsidRPr="00AB5B2E">
        <w:rPr>
          <w:rFonts w:ascii="Bookman Old Style" w:hAnsi="Bookman Old Style" w:cs="Arial"/>
        </w:rPr>
        <w:t xml:space="preserve"> CREG</w:t>
      </w:r>
      <w:r w:rsidR="00C4627C" w:rsidRPr="00AB5B2E">
        <w:rPr>
          <w:rFonts w:ascii="Bookman Old Style" w:hAnsi="Bookman Old Style" w:cs="Arial"/>
        </w:rPr>
        <w:t xml:space="preserve"> </w:t>
      </w:r>
      <w:r w:rsidR="00607653" w:rsidRPr="00AB5B2E">
        <w:rPr>
          <w:rFonts w:ascii="Bookman Old Style" w:hAnsi="Bookman Old Style" w:cs="Arial"/>
        </w:rPr>
        <w:t xml:space="preserve">reportará </w:t>
      </w:r>
      <w:r w:rsidR="00C4627C" w:rsidRPr="00AB5B2E">
        <w:rPr>
          <w:rFonts w:ascii="Bookman Old Style" w:hAnsi="Bookman Old Style" w:cs="Arial"/>
        </w:rPr>
        <w:t xml:space="preserve">en el </w:t>
      </w:r>
      <w:r w:rsidR="00607653" w:rsidRPr="00AB5B2E">
        <w:rPr>
          <w:rFonts w:ascii="Bookman Old Style" w:hAnsi="Bookman Old Style" w:cs="Arial"/>
        </w:rPr>
        <w:t>Boletín de Deudores Morosos del Estado (</w:t>
      </w:r>
      <w:r w:rsidR="00C4627C" w:rsidRPr="00AB5B2E">
        <w:rPr>
          <w:rFonts w:ascii="Bookman Old Style" w:hAnsi="Bookman Old Style" w:cs="Arial"/>
        </w:rPr>
        <w:t>BDME</w:t>
      </w:r>
      <w:r w:rsidR="00607653" w:rsidRPr="00AB5B2E">
        <w:rPr>
          <w:rFonts w:ascii="Bookman Old Style" w:hAnsi="Bookman Old Style" w:cs="Arial"/>
        </w:rPr>
        <w:t xml:space="preserve">) a </w:t>
      </w:r>
      <w:r w:rsidR="00C4627C" w:rsidRPr="00AB5B2E">
        <w:rPr>
          <w:rFonts w:ascii="Bookman Old Style" w:hAnsi="Bookman Old Style" w:cs="Arial"/>
        </w:rPr>
        <w:t>aquellos regulados que presente</w:t>
      </w:r>
      <w:r w:rsidR="00886720">
        <w:rPr>
          <w:rFonts w:ascii="Bookman Old Style" w:hAnsi="Bookman Old Style" w:cs="Arial"/>
        </w:rPr>
        <w:t>n</w:t>
      </w:r>
      <w:r w:rsidR="00C4627C" w:rsidRPr="00AB5B2E">
        <w:rPr>
          <w:rFonts w:ascii="Bookman Old Style" w:hAnsi="Bookman Old Style" w:cs="Arial"/>
        </w:rPr>
        <w:t xml:space="preserve"> morosidad en el pago de la contribución espe</w:t>
      </w:r>
      <w:r w:rsidR="001220F9" w:rsidRPr="00AB5B2E">
        <w:rPr>
          <w:rFonts w:ascii="Bookman Old Style" w:hAnsi="Bookman Old Style" w:cs="Arial"/>
        </w:rPr>
        <w:t xml:space="preserve">cial en las </w:t>
      </w:r>
      <w:r w:rsidR="00CE3697">
        <w:rPr>
          <w:rFonts w:ascii="Bookman Old Style" w:hAnsi="Bookman Old Style" w:cs="Arial"/>
        </w:rPr>
        <w:t xml:space="preserve">condiciones y </w:t>
      </w:r>
      <w:r w:rsidR="001220F9" w:rsidRPr="00AB5B2E">
        <w:rPr>
          <w:rFonts w:ascii="Bookman Old Style" w:hAnsi="Bookman Old Style" w:cs="Arial"/>
        </w:rPr>
        <w:t>fechas de corte establecidas para tal fin.</w:t>
      </w:r>
    </w:p>
    <w:p w14:paraId="19FA35C5" w14:textId="77777777" w:rsidR="00BD069A" w:rsidRDefault="00BD069A" w:rsidP="00182AB0">
      <w:pPr>
        <w:ind w:left="0"/>
        <w:jc w:val="both"/>
        <w:rPr>
          <w:rFonts w:ascii="Bookman Old Style" w:hAnsi="Bookman Old Style" w:cs="Arial"/>
          <w:b/>
        </w:rPr>
      </w:pPr>
    </w:p>
    <w:p w14:paraId="0C7CE281" w14:textId="7EB2E8F5" w:rsidR="00182AB0" w:rsidRDefault="00182AB0" w:rsidP="00182AB0">
      <w:pPr>
        <w:ind w:left="0"/>
        <w:jc w:val="both"/>
        <w:rPr>
          <w:rFonts w:ascii="Bookman Old Style" w:hAnsi="Bookman Old Style" w:cs="Arial"/>
          <w:bCs/>
        </w:rPr>
      </w:pPr>
      <w:r w:rsidRPr="00A96759">
        <w:rPr>
          <w:rFonts w:ascii="Bookman Old Style" w:hAnsi="Bookman Old Style" w:cs="Arial"/>
          <w:b/>
        </w:rPr>
        <w:t xml:space="preserve">ARTÍCULO </w:t>
      </w:r>
      <w:r w:rsidR="00886720">
        <w:rPr>
          <w:rFonts w:ascii="Bookman Old Style" w:hAnsi="Bookman Old Style" w:cs="Arial"/>
          <w:b/>
        </w:rPr>
        <w:t>4</w:t>
      </w:r>
      <w:r w:rsidRPr="00A96759">
        <w:rPr>
          <w:rFonts w:ascii="Bookman Old Style" w:hAnsi="Bookman Old Style" w:cs="Arial"/>
          <w:b/>
        </w:rPr>
        <w:t xml:space="preserve">. </w:t>
      </w:r>
      <w:r w:rsidRPr="00A96759">
        <w:rPr>
          <w:rFonts w:ascii="Bookman Old Style" w:hAnsi="Bookman Old Style" w:cs="Arial"/>
          <w:bCs/>
        </w:rPr>
        <w:t xml:space="preserve">La presente </w:t>
      </w:r>
      <w:r>
        <w:rPr>
          <w:rFonts w:ascii="Bookman Old Style" w:hAnsi="Bookman Old Style" w:cs="Arial"/>
          <w:bCs/>
        </w:rPr>
        <w:t>r</w:t>
      </w:r>
      <w:r w:rsidRPr="00A96759">
        <w:rPr>
          <w:rFonts w:ascii="Bookman Old Style" w:hAnsi="Bookman Old Style" w:cs="Arial"/>
          <w:bCs/>
        </w:rPr>
        <w:t>esolución rige a partir de la fecha de su expedición.</w:t>
      </w:r>
    </w:p>
    <w:p w14:paraId="210A204D" w14:textId="77777777" w:rsidR="003560B7" w:rsidRDefault="003560B7" w:rsidP="00182AB0">
      <w:pPr>
        <w:ind w:left="0"/>
        <w:jc w:val="both"/>
        <w:rPr>
          <w:rFonts w:ascii="Bookman Old Style" w:hAnsi="Bookman Old Style" w:cs="Arial"/>
          <w:bCs/>
        </w:rPr>
      </w:pPr>
    </w:p>
    <w:p w14:paraId="13525860" w14:textId="77777777" w:rsidR="00825C0F" w:rsidRDefault="00825C0F" w:rsidP="00182AB0">
      <w:pPr>
        <w:jc w:val="center"/>
        <w:rPr>
          <w:rFonts w:ascii="Bookman Old Style" w:hAnsi="Bookman Old Style" w:cs="Arial"/>
          <w:b/>
        </w:rPr>
      </w:pPr>
    </w:p>
    <w:p w14:paraId="3AC398E1" w14:textId="711D7D07" w:rsidR="00182AB0" w:rsidRPr="00A96759" w:rsidRDefault="00182AB0" w:rsidP="00182AB0">
      <w:pPr>
        <w:jc w:val="center"/>
        <w:rPr>
          <w:rFonts w:ascii="Bookman Old Style" w:hAnsi="Bookman Old Style"/>
          <w:lang w:eastAsia="ar-SA"/>
        </w:rPr>
      </w:pPr>
      <w:r w:rsidRPr="00A96759">
        <w:rPr>
          <w:rFonts w:ascii="Bookman Old Style" w:hAnsi="Bookman Old Style" w:cs="Arial"/>
          <w:b/>
        </w:rPr>
        <w:t>PUBLÍQUESE Y CÚMPLASE</w:t>
      </w:r>
    </w:p>
    <w:p w14:paraId="582F87CE" w14:textId="2E781E20" w:rsidR="00AF394D" w:rsidRDefault="00AF394D" w:rsidP="00182AB0">
      <w:pPr>
        <w:ind w:left="0"/>
        <w:rPr>
          <w:rFonts w:ascii="Bookman Old Style" w:hAnsi="Bookman Old Style" w:cs="Arial"/>
        </w:rPr>
      </w:pPr>
    </w:p>
    <w:p w14:paraId="51286EB1" w14:textId="77777777" w:rsidR="0045758B" w:rsidRDefault="0045758B" w:rsidP="00182AB0">
      <w:pPr>
        <w:ind w:left="0"/>
        <w:rPr>
          <w:rFonts w:ascii="Bookman Old Style" w:hAnsi="Bookman Old Style" w:cs="Arial"/>
        </w:rPr>
      </w:pPr>
    </w:p>
    <w:p w14:paraId="3279CFF7" w14:textId="77777777" w:rsidR="00AF394D" w:rsidRDefault="00AF394D" w:rsidP="00182AB0">
      <w:pPr>
        <w:ind w:left="0"/>
        <w:rPr>
          <w:rFonts w:ascii="Bookman Old Style" w:hAnsi="Bookman Old Style" w:cs="Arial"/>
        </w:rPr>
      </w:pPr>
    </w:p>
    <w:p w14:paraId="7EDDBF62" w14:textId="77777777" w:rsidR="00FF742A" w:rsidRDefault="00FF742A" w:rsidP="00182AB0">
      <w:pPr>
        <w:ind w:left="0"/>
        <w:rPr>
          <w:rFonts w:ascii="Bookman Old Style" w:hAnsi="Bookman Old Style" w:cs="Arial"/>
        </w:rPr>
      </w:pPr>
    </w:p>
    <w:p w14:paraId="6114BEC6" w14:textId="591524D4" w:rsidR="00182AB0" w:rsidRDefault="00182AB0" w:rsidP="00182AB0">
      <w:pPr>
        <w:rPr>
          <w:rFonts w:ascii="Bookman Old Style" w:hAnsi="Bookman Old Style" w:cs="Arial"/>
        </w:rPr>
      </w:pPr>
    </w:p>
    <w:p w14:paraId="1B32BD92" w14:textId="77777777" w:rsidR="00825C0F" w:rsidRDefault="00825C0F" w:rsidP="00182AB0">
      <w:pPr>
        <w:rPr>
          <w:rFonts w:ascii="Bookman Old Style" w:hAnsi="Bookman Old Style" w:cs="Arial"/>
        </w:rPr>
      </w:pPr>
    </w:p>
    <w:tbl>
      <w:tblPr>
        <w:tblW w:w="9498" w:type="dxa"/>
        <w:tblInd w:w="-147" w:type="dxa"/>
        <w:tblLayout w:type="fixed"/>
        <w:tblCellMar>
          <w:left w:w="0" w:type="dxa"/>
          <w:right w:w="0" w:type="dxa"/>
        </w:tblCellMar>
        <w:tblLook w:val="04A0" w:firstRow="1" w:lastRow="0" w:firstColumn="1" w:lastColumn="0" w:noHBand="0" w:noVBand="1"/>
      </w:tblPr>
      <w:tblGrid>
        <w:gridCol w:w="4825"/>
        <w:gridCol w:w="4673"/>
      </w:tblGrid>
      <w:tr w:rsidR="002E5869" w:rsidRPr="001A11B2" w14:paraId="2120CEE1" w14:textId="77777777" w:rsidTr="004D044D">
        <w:tc>
          <w:tcPr>
            <w:tcW w:w="4825" w:type="dxa"/>
            <w:hideMark/>
          </w:tcPr>
          <w:p w14:paraId="73E7973B" w14:textId="05E29DDB" w:rsidR="00227325" w:rsidRDefault="00B7316C" w:rsidP="004D4F43">
            <w:pPr>
              <w:snapToGrid w:val="0"/>
              <w:ind w:left="0"/>
              <w:jc w:val="center"/>
              <w:rPr>
                <w:rFonts w:ascii="Bookman Old Style" w:hAnsi="Bookman Old Style" w:cs="Arial"/>
                <w:b/>
                <w:bCs/>
              </w:rPr>
            </w:pPr>
            <w:r>
              <w:rPr>
                <w:rFonts w:ascii="Bookman Old Style" w:hAnsi="Bookman Old Style" w:cs="Arial"/>
                <w:b/>
                <w:bCs/>
              </w:rPr>
              <w:t>MIGUEL LOTERO ROBLEDO</w:t>
            </w:r>
          </w:p>
          <w:p w14:paraId="16A1A274" w14:textId="137A2FBD" w:rsidR="002E5869" w:rsidRPr="00B00EAD" w:rsidRDefault="002E5869" w:rsidP="004D4F43">
            <w:pPr>
              <w:snapToGrid w:val="0"/>
              <w:ind w:left="0"/>
              <w:jc w:val="center"/>
              <w:rPr>
                <w:rFonts w:ascii="Bookman Old Style" w:hAnsi="Bookman Old Style" w:cs="Arial"/>
                <w:bCs/>
              </w:rPr>
            </w:pPr>
          </w:p>
        </w:tc>
        <w:tc>
          <w:tcPr>
            <w:tcW w:w="4673" w:type="dxa"/>
            <w:hideMark/>
          </w:tcPr>
          <w:p w14:paraId="66E2AD57" w14:textId="2FEE52F4" w:rsidR="002E5869" w:rsidRPr="001A11B2" w:rsidRDefault="006F3A9D" w:rsidP="00316C3E">
            <w:pPr>
              <w:snapToGrid w:val="0"/>
              <w:ind w:left="141"/>
              <w:jc w:val="center"/>
              <w:rPr>
                <w:rFonts w:ascii="Bookman Old Style" w:hAnsi="Bookman Old Style" w:cs="Arial"/>
                <w:b/>
                <w:bCs/>
              </w:rPr>
            </w:pPr>
            <w:r>
              <w:rPr>
                <w:rFonts w:ascii="Bookman Old Style" w:hAnsi="Bookman Old Style" w:cs="Arial"/>
                <w:b/>
                <w:bCs/>
              </w:rPr>
              <w:t>JORGE ALBERTO VALENCIA MARÍN</w:t>
            </w:r>
          </w:p>
        </w:tc>
      </w:tr>
      <w:tr w:rsidR="002E5869" w:rsidRPr="001A11B2" w14:paraId="2DAF118C" w14:textId="77777777" w:rsidTr="004D044D">
        <w:tc>
          <w:tcPr>
            <w:tcW w:w="4825" w:type="dxa"/>
            <w:hideMark/>
          </w:tcPr>
          <w:p w14:paraId="02AD5347" w14:textId="6C4DF76E" w:rsidR="002E5869" w:rsidRDefault="00B7316C" w:rsidP="004D4F43">
            <w:pPr>
              <w:snapToGrid w:val="0"/>
              <w:ind w:left="0"/>
              <w:jc w:val="center"/>
              <w:rPr>
                <w:rFonts w:ascii="Bookman Old Style" w:hAnsi="Bookman Old Style" w:cs="Arial"/>
              </w:rPr>
            </w:pPr>
            <w:r>
              <w:rPr>
                <w:rFonts w:ascii="Bookman Old Style" w:hAnsi="Bookman Old Style" w:cs="Arial"/>
              </w:rPr>
              <w:t xml:space="preserve">Viceministro de Energía, delegado del </w:t>
            </w:r>
            <w:proofErr w:type="gramStart"/>
            <w:r w:rsidR="002E5869" w:rsidRPr="001A11B2">
              <w:rPr>
                <w:rFonts w:ascii="Bookman Old Style" w:hAnsi="Bookman Old Style" w:cs="Arial"/>
              </w:rPr>
              <w:t>Ministr</w:t>
            </w:r>
            <w:r w:rsidR="006F3A9D">
              <w:rPr>
                <w:rFonts w:ascii="Bookman Old Style" w:hAnsi="Bookman Old Style" w:cs="Arial"/>
              </w:rPr>
              <w:t>o</w:t>
            </w:r>
            <w:proofErr w:type="gramEnd"/>
            <w:r w:rsidR="002E5869" w:rsidRPr="001A11B2">
              <w:rPr>
                <w:rFonts w:ascii="Bookman Old Style" w:hAnsi="Bookman Old Style" w:cs="Arial"/>
              </w:rPr>
              <w:t xml:space="preserve"> de Minas y Energía</w:t>
            </w:r>
          </w:p>
          <w:p w14:paraId="061A1E5E" w14:textId="5088DAF6" w:rsidR="00B7316C" w:rsidRPr="001A11B2" w:rsidRDefault="00B7316C" w:rsidP="004D4F43">
            <w:pPr>
              <w:snapToGrid w:val="0"/>
              <w:ind w:left="0"/>
              <w:jc w:val="center"/>
              <w:rPr>
                <w:rFonts w:ascii="Bookman Old Style" w:hAnsi="Bookman Old Style" w:cs="Arial"/>
              </w:rPr>
            </w:pPr>
            <w:r>
              <w:rPr>
                <w:rFonts w:ascii="Bookman Old Style" w:hAnsi="Bookman Old Style" w:cs="Arial"/>
              </w:rPr>
              <w:t>Presidente</w:t>
            </w:r>
          </w:p>
          <w:p w14:paraId="4E606D7C" w14:textId="77777777" w:rsidR="002E5869" w:rsidRPr="001A11B2" w:rsidRDefault="002E5869" w:rsidP="004D4F43">
            <w:pPr>
              <w:snapToGrid w:val="0"/>
              <w:ind w:left="0"/>
              <w:jc w:val="center"/>
              <w:rPr>
                <w:rFonts w:ascii="Bookman Old Style" w:hAnsi="Bookman Old Style" w:cs="Arial"/>
              </w:rPr>
            </w:pPr>
          </w:p>
        </w:tc>
        <w:tc>
          <w:tcPr>
            <w:tcW w:w="4673" w:type="dxa"/>
            <w:hideMark/>
          </w:tcPr>
          <w:p w14:paraId="64550BB5" w14:textId="77777777" w:rsidR="002E5869" w:rsidRPr="001A11B2" w:rsidRDefault="002E5869" w:rsidP="00316C3E">
            <w:pPr>
              <w:snapToGrid w:val="0"/>
              <w:ind w:left="0"/>
              <w:jc w:val="center"/>
              <w:rPr>
                <w:rFonts w:ascii="Bookman Old Style" w:hAnsi="Bookman Old Style" w:cs="Arial"/>
              </w:rPr>
            </w:pPr>
            <w:r w:rsidRPr="001A11B2">
              <w:rPr>
                <w:rFonts w:ascii="Bookman Old Style" w:hAnsi="Bookman Old Style" w:cs="Arial"/>
              </w:rPr>
              <w:t>Director Ejecutivo</w:t>
            </w:r>
          </w:p>
        </w:tc>
      </w:tr>
    </w:tbl>
    <w:p w14:paraId="726DB0FC" w14:textId="77777777" w:rsidR="003344CF" w:rsidRDefault="003344CF" w:rsidP="00FF742A">
      <w:pPr>
        <w:ind w:left="0"/>
        <w:rPr>
          <w:rFonts w:ascii="Bookman Old Style" w:hAnsi="Bookman Old Style" w:cs="Arial"/>
        </w:rPr>
      </w:pPr>
    </w:p>
    <w:sectPr w:rsidR="003344CF" w:rsidSect="004D4F43">
      <w:headerReference w:type="default" r:id="rId10"/>
      <w:headerReference w:type="first" r:id="rId11"/>
      <w:pgSz w:w="12242" w:h="18722" w:code="259"/>
      <w:pgMar w:top="2448" w:right="1181" w:bottom="1757"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A5A81" w14:textId="77777777" w:rsidR="007327E8" w:rsidRDefault="007327E8" w:rsidP="00182AB0">
      <w:r>
        <w:separator/>
      </w:r>
    </w:p>
  </w:endnote>
  <w:endnote w:type="continuationSeparator" w:id="0">
    <w:p w14:paraId="7B8E7EEB" w14:textId="77777777" w:rsidR="007327E8" w:rsidRDefault="007327E8" w:rsidP="0018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10A2E" w14:textId="77777777" w:rsidR="007327E8" w:rsidRDefault="007327E8" w:rsidP="00182AB0">
      <w:r>
        <w:separator/>
      </w:r>
    </w:p>
  </w:footnote>
  <w:footnote w:type="continuationSeparator" w:id="0">
    <w:p w14:paraId="0E7EAD7C" w14:textId="77777777" w:rsidR="007327E8" w:rsidRDefault="007327E8" w:rsidP="00182AB0">
      <w:r>
        <w:continuationSeparator/>
      </w:r>
    </w:p>
  </w:footnote>
  <w:footnote w:id="1">
    <w:p w14:paraId="7F20C73B"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2">
    <w:p w14:paraId="278817B3"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del cual se expide el Decreto Único Reglamentario – DUR de las Normas de Contabilidad, de Información Financiera y Aseguramiento de la Información y se dictan otras disposiciones.</w:t>
      </w:r>
    </w:p>
  </w:footnote>
  <w:footnote w:id="3">
    <w:p w14:paraId="2B01EBD8"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4">
    <w:p w14:paraId="03C191B1"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para algunas empresas sujetas a su ámbito y se dictan otras disposiciones.</w:t>
      </w:r>
    </w:p>
  </w:footnote>
  <w:footnote w:id="5">
    <w:p w14:paraId="33FEED12"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a entidades de gobierno y se dictan otras disposiciones.</w:t>
      </w:r>
    </w:p>
  </w:footnote>
  <w:footnote w:id="6">
    <w:p w14:paraId="55D9A71A" w14:textId="77777777" w:rsidR="00793462" w:rsidRPr="00C75D50" w:rsidRDefault="00793462"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 el marco normativo para empresas que coticen en el Mercado de Valores o que capten o administren ahorro del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DFF2" w14:textId="77777777" w:rsidR="00793462" w:rsidRDefault="00793462" w:rsidP="004D4F43">
    <w:pPr>
      <w:pStyle w:val="Ttulo1"/>
      <w:ind w:right="6"/>
      <w:jc w:val="left"/>
      <w:rPr>
        <w:rFonts w:ascii="Bookman Old Style" w:hAnsi="Bookman Old Style" w:cs="Arial"/>
        <w:b w:val="0"/>
        <w:sz w:val="22"/>
        <w:szCs w:val="22"/>
      </w:rPr>
    </w:pPr>
  </w:p>
  <w:p w14:paraId="45D7F91E" w14:textId="0F4AB48B" w:rsidR="00793462" w:rsidRPr="00951F79" w:rsidRDefault="00793462" w:rsidP="004D4F4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6E0EA9">
      <w:rPr>
        <w:rFonts w:ascii="Bookman Old Style" w:hAnsi="Bookman Old Style" w:cs="Arial"/>
        <w:bCs/>
        <w:szCs w:val="24"/>
      </w:rPr>
      <w:t xml:space="preserve"> </w:t>
    </w:r>
    <w:r w:rsidR="006E0EA9">
      <w:rPr>
        <w:rFonts w:ascii="Bookman Old Style" w:hAnsi="Bookman Old Style" w:cs="Arial"/>
        <w:bCs/>
        <w:szCs w:val="24"/>
        <w:u w:val="single"/>
      </w:rPr>
      <w:t xml:space="preserve">  </w:t>
    </w:r>
    <w:proofErr w:type="gramEnd"/>
    <w:r w:rsidR="006E0EA9">
      <w:rPr>
        <w:rFonts w:ascii="Bookman Old Style" w:hAnsi="Bookman Old Style" w:cs="Arial"/>
        <w:bCs/>
        <w:szCs w:val="24"/>
        <w:u w:val="single"/>
      </w:rPr>
      <w:t xml:space="preserve">  241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bCs/>
        <w:sz w:val="22"/>
        <w:szCs w:val="22"/>
        <w:u w:val="single"/>
      </w:rPr>
      <w:t xml:space="preserve">   </w:t>
    </w:r>
    <w:r w:rsidR="006E0EA9">
      <w:rPr>
        <w:rFonts w:ascii="Bookman Old Style" w:hAnsi="Bookman Old Style" w:cs="Arial"/>
        <w:bCs/>
        <w:sz w:val="22"/>
        <w:szCs w:val="22"/>
        <w:u w:val="single"/>
      </w:rPr>
      <w:t xml:space="preserve">31 DIC. 2020       </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9519B">
      <w:fldChar w:fldCharType="begin"/>
    </w:r>
    <w:r w:rsidR="00B9519B">
      <w:instrText xml:space="preserve"> NUMPAGES  \* MERGEFORMAT </w:instrText>
    </w:r>
    <w:r w:rsidR="00B9519B">
      <w:fldChar w:fldCharType="separate"/>
    </w:r>
    <w:r w:rsidRPr="00BA5660">
      <w:rPr>
        <w:rFonts w:ascii="Bookman Old Style" w:hAnsi="Bookman Old Style" w:cs="Arial"/>
        <w:b w:val="0"/>
        <w:noProof/>
        <w:sz w:val="22"/>
        <w:szCs w:val="22"/>
      </w:rPr>
      <w:t>13</w:t>
    </w:r>
    <w:r w:rsidR="00B9519B">
      <w:rPr>
        <w:rFonts w:ascii="Bookman Old Style" w:hAnsi="Bookman Old Style" w:cs="Arial"/>
        <w:b w:val="0"/>
        <w:noProof/>
        <w:sz w:val="22"/>
        <w:szCs w:val="22"/>
      </w:rPr>
      <w:fldChar w:fldCharType="end"/>
    </w:r>
  </w:p>
  <w:p w14:paraId="097CC234" w14:textId="77777777" w:rsidR="00793462" w:rsidRDefault="00793462" w:rsidP="004D4F43">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880B7FD" wp14:editId="1D1F365C">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2C007"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QmIwIAABcEAAAOAAAAZHJzL2Uyb0RvYy54bWysU1GO0zAQ/UfiDpb/adKq291GTVerLouQ&#10;FlixcADXcRIL22PGbtPlNpyFizF2uqXAHyIf1kxm/ObNm/Hq+mAN2ysMGlzNp5OSM+UkNNp1Nf/8&#10;6e7VFWchCtcIA07V/EkFfr1++WI1+ErNoAfTKGQE4kI1+Jr3MfqqKILslRVhAl45CraAVkRysSsa&#10;FAOhW1PMynJRDICNR5AqBPp7Owb5OuO3rZLxQ9sGFZmpOXGL+cR8btNZrFei6lD4XssjDfEPLKzQ&#10;joqeoG5FFGyH+i8oqyVCgDZOJNgC2lZLlXugbqblH9089sKr3AuJE/xJpvD/YOX7/QMy3dR8xpkT&#10;lkb0kUT78d11OwNslgQafKgo79E/YGox+HuQXwJzsOmF69QNIgy9Eg3Rmqb84rcLyQl0lW2Hd9AQ&#10;vthFyFodWrQJkFRghzySp9NI1CEyST8Xs8Xl/IImJym2XJblcpaHVojq+brHEN8osCwZNUein+HF&#10;/j7EREdUzympmoM7bUyeu3FsIM7LkgrkzsDoJkWzg912Y5DtRVqd/OXmSIDzNKsjLbDRtuZXpyRR&#10;JT1euyaXiUKb0SYqxh0FSpqM2m6heSJ9EMbtpNdERg/4jbOBNrPm4etOoOLMvHWk8XI6n6dVzs78&#10;4pIEYXge2Z5HhJMEVfPI2Whu4rj+O4+666nSNPfu4Ibm0uqsWJrZyOpIlrYvC3l8KWm9z/2c9es9&#10;r38CAAD//wMAUEsDBBQABgAIAAAAIQBXFkFY4wAAAAsBAAAPAAAAZHJzL2Rvd25yZXYueG1sTI9B&#10;S8NAEIXvgv9hGcGLtJuENk1iNqUInhSk0UJ72+6OSTC7G7PbNv33jic9Du/jvW/K9WR6dsbRd84K&#10;iOcRMLTK6c42Aj7en2cZMB+k1bJ3FgVc0cO6ur0pZaHdxW7xXIeGUYn1hRTQhjAUnHvVopF+7ga0&#10;lH260chA59hwPcoLlZueJ1GUciM7SwutHPCpRfVVn4yAh0Vq9G7/fR0P9ct+95apzatXQtzfTZtH&#10;YAGn8AfDrz6pQ0VOR3ey2rNewCxZpYQKSOIcGAH5Ml8AOxK5zOIYeFXy/z9UPwAAAP//AwBQSwEC&#10;LQAUAAYACAAAACEAtoM4kv4AAADhAQAAEwAAAAAAAAAAAAAAAAAAAAAAW0NvbnRlbnRfVHlwZXNd&#10;LnhtbFBLAQItABQABgAIAAAAIQA4/SH/1gAAAJQBAAALAAAAAAAAAAAAAAAAAC8BAABfcmVscy8u&#10;cmVsc1BLAQItABQABgAIAAAAIQAxe4QmIwIAABcEAAAOAAAAAAAAAAAAAAAAAC4CAABkcnMvZTJv&#10;RG9jLnhtbFBLAQItABQABgAIAAAAIQBXFkFY4wAAAAsBAAAPAAAAAAAAAAAAAAAAAH0EAABkcnMv&#10;ZG93bnJldi54bWxQSwUGAAAAAAQABADzAAAAjQUAAAAA&#10;" filled="f" strokeweight="1.5pt"/>
          </w:pict>
        </mc:Fallback>
      </mc:AlternateContent>
    </w:r>
  </w:p>
  <w:p w14:paraId="4C46BC20" w14:textId="38868283" w:rsidR="00793462" w:rsidRPr="00917385" w:rsidRDefault="00793462" w:rsidP="00AC5ED2">
    <w:pPr>
      <w:ind w:left="0"/>
      <w:jc w:val="both"/>
      <w:rPr>
        <w:rFonts w:ascii="Bookman Old Style" w:hAnsi="Bookman Old Style" w:cs="Arial"/>
        <w:sz w:val="20"/>
        <w:szCs w:val="20"/>
      </w:rPr>
    </w:pPr>
    <w:r w:rsidRPr="00917385">
      <w:rPr>
        <w:rFonts w:ascii="Bookman Old Style" w:hAnsi="Bookman Old Style" w:cs="Arial"/>
        <w:sz w:val="20"/>
        <w:szCs w:val="20"/>
      </w:rPr>
      <w:t xml:space="preserve">Por la cual se señala el porcentaje de la contribución especial que deben pagar las personas prestadoras </w:t>
    </w:r>
    <w:r>
      <w:rPr>
        <w:rFonts w:ascii="Bookman Old Style" w:hAnsi="Bookman Old Style" w:cs="Arial"/>
        <w:sz w:val="20"/>
        <w:szCs w:val="20"/>
      </w:rPr>
      <w:t>de la cadena de combustibles líquidos</w:t>
    </w:r>
    <w:r w:rsidRPr="00917385">
      <w:rPr>
        <w:rFonts w:ascii="Bookman Old Style" w:hAnsi="Bookman Old Style" w:cs="Arial"/>
        <w:sz w:val="20"/>
        <w:szCs w:val="20"/>
      </w:rPr>
      <w:t xml:space="preserve"> sometidas a la regulación de la Comisión de Regulación de Energía y Gas en el año 2020</w:t>
    </w:r>
    <w:r w:rsidR="00F65027">
      <w:rPr>
        <w:rFonts w:ascii="Bookman Old Style" w:hAnsi="Bookman Old Style" w:cs="Arial"/>
        <w:sz w:val="20"/>
        <w:szCs w:val="20"/>
      </w:rPr>
      <w:t>,</w:t>
    </w:r>
    <w:r w:rsidRPr="00917385">
      <w:rPr>
        <w:rFonts w:ascii="Bookman Old Style" w:hAnsi="Bookman Old Style" w:cs="Arial"/>
        <w:sz w:val="20"/>
        <w:szCs w:val="20"/>
      </w:rPr>
      <w:t xml:space="preserve"> y se dictan otras disposiciones</w:t>
    </w:r>
  </w:p>
  <w:p w14:paraId="475DEC1B" w14:textId="77777777" w:rsidR="00793462" w:rsidRDefault="00793462" w:rsidP="00E36C0E">
    <w:pPr>
      <w:ind w:left="0"/>
      <w:jc w:val="both"/>
      <w:rPr>
        <w:rFonts w:ascii="Bookman Old Style" w:hAnsi="Bookman Old Style" w:cs="Arial"/>
        <w:sz w:val="22"/>
        <w:szCs w:val="22"/>
      </w:rPr>
    </w:pPr>
    <w:r>
      <w:rPr>
        <w:rFonts w:ascii="Bookman Old Style" w:hAnsi="Bookman Old Style" w:cs="Arial"/>
        <w:noProof/>
        <w:sz w:val="22"/>
        <w:szCs w:val="22"/>
        <w:lang w:val="es-CO" w:eastAsia="es-CO"/>
      </w:rPr>
      <mc:AlternateContent>
        <mc:Choice Requires="wps">
          <w:drawing>
            <wp:anchor distT="0" distB="0" distL="114300" distR="114300" simplePos="0" relativeHeight="251661312" behindDoc="0" locked="0" layoutInCell="1" allowOverlap="1" wp14:anchorId="51752BE8" wp14:editId="17223DDF">
              <wp:simplePos x="0" y="0"/>
              <wp:positionH relativeFrom="margin">
                <wp:align>center</wp:align>
              </wp:positionH>
              <wp:positionV relativeFrom="paragraph">
                <wp:posOffset>77173</wp:posOffset>
              </wp:positionV>
              <wp:extent cx="5998779" cy="0"/>
              <wp:effectExtent l="0" t="0" r="21590" b="19050"/>
              <wp:wrapNone/>
              <wp:docPr id="4" name="Conector recto 4"/>
              <wp:cNvGraphicFramePr/>
              <a:graphic xmlns:a="http://schemas.openxmlformats.org/drawingml/2006/main">
                <a:graphicData uri="http://schemas.microsoft.com/office/word/2010/wordprocessingShape">
                  <wps:wsp>
                    <wps:cNvCnPr/>
                    <wps:spPr>
                      <a:xfrm>
                        <a:off x="0" y="0"/>
                        <a:ext cx="59987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06578" id="Conector recto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1pt" to="472.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cT0wEAAAgEAAAOAAAAZHJzL2Uyb0RvYy54bWysU8tu2zAQvBfoPxC817KNuIkFyzk4SC9F&#10;a7TpBzDU0iLAF5asJf99l5QtB22BokEufO7M7gyXm/vBGnYEjNq7hi9mc87ASd9qd2j4j6fHD3ec&#10;xSRcK4x30PATRH6/ff9u04calr7zpgVkROJi3YeGdymFuqqi7MCKOPMBHF0qj1Yk2uKhalH0xG5N&#10;tZzPP1a9xzaglxAjnT6Ml3xb+JUCmb4qFSEx03CqLZURy/icx2q7EfUBRei0PJchXlGFFdpR0onq&#10;QSTBfqL+g8pqiT56lWbS28orpSUUDaRmMf9NzfdOBChayJwYJpvi29HKL8c9Mt02/IYzJyw90Y4e&#10;SiaPDPPEbrJHfYg1he7cHs+7GPaYBQ8KbZ5JChuKr6fJVxgSk3S4Wq/vbm/XnMnLXXUFBozpE3jL&#10;8qLhRrssWdTi+DkmSkahl5B8bBzrG75eLVclKnqj20dtTL4rXQM7g+wo6L3TsMi1E8GLKNoZR4dZ&#10;0aihrNLJwEj/DRT5QVUvxgS5E6+cQkpw6cJrHEVnmKIKJuD838BzfIZC6dL/AU+Iktm7NIGtdh7/&#10;lv1qhRrjLw6MurMFz749ldct1lC7FefOXyP388t9gV8/8PYXAAAA//8DAFBLAwQUAAYACAAAACEA&#10;lG6IxNsAAAAGAQAADwAAAGRycy9kb3ducmV2LnhtbEyPwU7DMBBE70j9B2srcaNO3QhoiFMV1F64&#10;tVDB0YmXJCJep7Hbhr9nEQc4zsxq5m2+Gl0nzjiE1pOG+SwBgVR521Kt4fVle3MPIkRD1nSeUMMX&#10;BlgVk6vcZNZfaIfnfawFl1DIjIYmxj6TMlQNOhNmvkfi7MMPzkSWQy3tYC5c7jqpkuRWOtMSLzSm&#10;x6cGq8/9yWkoN8eNWryPb7vDIk3U/PHwXC23Wl9Px/UDiIhj/DuGH3xGh4KZSn8iG0SngR+J7CoF&#10;gtNlmt6BKH8NWeTyP37xDQAA//8DAFBLAQItABQABgAIAAAAIQC2gziS/gAAAOEBAAATAAAAAAAA&#10;AAAAAAAAAAAAAABbQ29udGVudF9UeXBlc10ueG1sUEsBAi0AFAAGAAgAAAAhADj9If/WAAAAlAEA&#10;AAsAAAAAAAAAAAAAAAAALwEAAF9yZWxzLy5yZWxzUEsBAi0AFAAGAAgAAAAhAL0BBxPTAQAACAQA&#10;AA4AAAAAAAAAAAAAAAAALgIAAGRycy9lMm9Eb2MueG1sUEsBAi0AFAAGAAgAAAAhAJRuiMTbAAAA&#10;BgEAAA8AAAAAAAAAAAAAAAAALQQAAGRycy9kb3ducmV2LnhtbFBLBQYAAAAABAAEAPMAAAA1BQAA&#10;AAA=&#10;" strokecolor="black [3213]">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DC22C" w14:textId="77777777" w:rsidR="00793462" w:rsidRDefault="00793462" w:rsidP="004D4F43">
    <w:pPr>
      <w:pStyle w:val="Encabezado"/>
      <w:jc w:val="both"/>
      <w:rPr>
        <w:rFonts w:ascii="Arial" w:hAnsi="Arial" w:cs="Arial"/>
        <w:spacing w:val="20"/>
        <w:sz w:val="20"/>
      </w:rPr>
    </w:pPr>
    <w:r>
      <w:rPr>
        <w:rFonts w:ascii="Arial" w:hAnsi="Arial" w:cs="Arial"/>
        <w:spacing w:val="20"/>
        <w:sz w:val="20"/>
      </w:rPr>
      <w:tab/>
      <w:t xml:space="preserve">      República de Colombia</w:t>
    </w:r>
  </w:p>
  <w:p w14:paraId="12EEF977" w14:textId="77777777" w:rsidR="00793462" w:rsidRDefault="00793462">
    <w:pPr>
      <w:pStyle w:val="Encabezado"/>
      <w:jc w:val="center"/>
      <w:rPr>
        <w:rFonts w:ascii="Arial" w:hAnsi="Arial" w:cs="Arial"/>
        <w:spacing w:val="20"/>
        <w:sz w:val="20"/>
      </w:rPr>
    </w:pPr>
  </w:p>
  <w:p w14:paraId="74E4F7C9" w14:textId="77777777" w:rsidR="00793462" w:rsidRDefault="00793462" w:rsidP="004D4F4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7AC5EA5" wp14:editId="4AB7901F">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60D63"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3zHwIAABcEAAAOAAAAZHJzL2Uyb0RvYy54bWysU12O0zAQfkfiDpbfafpPGzVdrbosQlpg&#10;xcIBXMdJLByPGbtNy232LFyMsdOWAm+IPFgzmfE333wzXt0cWsP2Cr0GW/DRYMiZshJKbeuCf/l8&#10;/2rBmQ/ClsKAVQU/Ks9v1i9frDqXqzE0YEqFjECszztX8CYEl2eZl41qhR+AU5aCFWArArlYZyWK&#10;jtBbk42Hw3nWAZYOQSrv6e9dH+TrhF9VSoaPVeVVYKbgxC2kE9O5jWe2Xom8RuEaLU80xD+waIW2&#10;VPQCdSeCYDvUf0G1WiJ4qMJAQptBVWmpUg/UzWj4RzdPjXAq9ULieHeRyf8/WPlh/4hMlzQ7zqxo&#10;aUSfSLQfz7beGWCjKFDnfE55T+4RY4vePYD86pmFTSNsrW4RoWuUKIlWys9+uxAdT1fZtnsPJeGL&#10;XYCk1aHCNgKSCuyQRnK8jEQdApP0cz6ZTuYzmpyk2HIxWU7Gs8gpE/n5ukMf3ipoWTQKjkQ/wYv9&#10;gw996jklVrNwr41JczeWdcR5OaQCqTMwuozR5GC93RhkexFXJ32nwv46rdWBFtjotuCLS5LIox5v&#10;bJnKBKFNbxNrY4n8WZNe2y2UR9IHod9Oek1kNIDfOetoMwvuv+0EKs7MO0saL0fTaVzl5Exnr8fk&#10;4HVkex0RVhJUwQNnvbkJ/frvHOq6oUqj1LuFW5pLpZNikV/P6kSWti9pfnopcb2v/ZT16z2vfwIA&#10;AP//AwBQSwMEFAAGAAgAAAAhAKhwkK7iAAAACwEAAA8AAABkcnMvZG93bnJldi54bWxMj8FOwzAM&#10;hu9IvENkJC5oS2Fb1Jam04TECSREYdK4ZUloKxqnJNnWvT3mBDdb/vT7+6v15AZ2tCH2HiXczjNg&#10;FrU3PbYS3t8eZzmwmBQaNXi0Es42wrq+vKhUafwJX+2xSS2jEIylktClNJacR91Zp+Lcjxbp9umD&#10;U4nW0HIT1InC3cDvskxwp3qkD50a7UNn9VdzcBJulsKZ7e77HD6ap932Jdeb56ilvL6aNvfAkp3S&#10;Hwy/+qQONTnt/QFNZIOE2WIhCJWwKpbACCjEioY9kSLLC+B1xf93qH8AAAD//wMAUEsBAi0AFAAG&#10;AAgAAAAhALaDOJL+AAAA4QEAABMAAAAAAAAAAAAAAAAAAAAAAFtDb250ZW50X1R5cGVzXS54bWxQ&#10;SwECLQAUAAYACAAAACEAOP0h/9YAAACUAQAACwAAAAAAAAAAAAAAAAAvAQAAX3JlbHMvLnJlbHNQ&#10;SwECLQAUAAYACAAAACEAd4ht8x8CAAAXBAAADgAAAAAAAAAAAAAAAAAuAgAAZHJzL2Uyb0RvYy54&#10;bWxQSwECLQAUAAYACAAAACEAqHCQruIAAAALAQAADwAAAAAAAAAAAAAAAAB5BAAAZHJzL2Rvd25y&#10;ZXYueG1sUEsFBgAAAAAEAAQA8wAAAIg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4217300"/>
    <w:multiLevelType w:val="hybridMultilevel"/>
    <w:tmpl w:val="0A54803E"/>
    <w:lvl w:ilvl="0" w:tplc="435EDE02">
      <w:start w:val="2"/>
      <w:numFmt w:val="decimal"/>
      <w:lvlText w:val="%1."/>
      <w:lvlJc w:val="left"/>
      <w:pPr>
        <w:tabs>
          <w:tab w:val="num" w:pos="720"/>
        </w:tabs>
        <w:ind w:left="720" w:hanging="360"/>
      </w:pPr>
    </w:lvl>
    <w:lvl w:ilvl="1" w:tplc="87CC477C" w:tentative="1">
      <w:start w:val="1"/>
      <w:numFmt w:val="decimal"/>
      <w:lvlText w:val="%2."/>
      <w:lvlJc w:val="left"/>
      <w:pPr>
        <w:tabs>
          <w:tab w:val="num" w:pos="1440"/>
        </w:tabs>
        <w:ind w:left="1440" w:hanging="360"/>
      </w:pPr>
    </w:lvl>
    <w:lvl w:ilvl="2" w:tplc="C9C8A3FC" w:tentative="1">
      <w:start w:val="1"/>
      <w:numFmt w:val="decimal"/>
      <w:lvlText w:val="%3."/>
      <w:lvlJc w:val="left"/>
      <w:pPr>
        <w:tabs>
          <w:tab w:val="num" w:pos="2160"/>
        </w:tabs>
        <w:ind w:left="2160" w:hanging="360"/>
      </w:pPr>
    </w:lvl>
    <w:lvl w:ilvl="3" w:tplc="AC2A7CD2" w:tentative="1">
      <w:start w:val="1"/>
      <w:numFmt w:val="decimal"/>
      <w:lvlText w:val="%4."/>
      <w:lvlJc w:val="left"/>
      <w:pPr>
        <w:tabs>
          <w:tab w:val="num" w:pos="2880"/>
        </w:tabs>
        <w:ind w:left="2880" w:hanging="360"/>
      </w:pPr>
    </w:lvl>
    <w:lvl w:ilvl="4" w:tplc="116E0896" w:tentative="1">
      <w:start w:val="1"/>
      <w:numFmt w:val="decimal"/>
      <w:lvlText w:val="%5."/>
      <w:lvlJc w:val="left"/>
      <w:pPr>
        <w:tabs>
          <w:tab w:val="num" w:pos="3600"/>
        </w:tabs>
        <w:ind w:left="3600" w:hanging="360"/>
      </w:pPr>
    </w:lvl>
    <w:lvl w:ilvl="5" w:tplc="BE2C3BD4" w:tentative="1">
      <w:start w:val="1"/>
      <w:numFmt w:val="decimal"/>
      <w:lvlText w:val="%6."/>
      <w:lvlJc w:val="left"/>
      <w:pPr>
        <w:tabs>
          <w:tab w:val="num" w:pos="4320"/>
        </w:tabs>
        <w:ind w:left="4320" w:hanging="360"/>
      </w:pPr>
    </w:lvl>
    <w:lvl w:ilvl="6" w:tplc="BFC6A0A2" w:tentative="1">
      <w:start w:val="1"/>
      <w:numFmt w:val="decimal"/>
      <w:lvlText w:val="%7."/>
      <w:lvlJc w:val="left"/>
      <w:pPr>
        <w:tabs>
          <w:tab w:val="num" w:pos="5040"/>
        </w:tabs>
        <w:ind w:left="5040" w:hanging="360"/>
      </w:pPr>
    </w:lvl>
    <w:lvl w:ilvl="7" w:tplc="05A284A4" w:tentative="1">
      <w:start w:val="1"/>
      <w:numFmt w:val="decimal"/>
      <w:lvlText w:val="%8."/>
      <w:lvlJc w:val="left"/>
      <w:pPr>
        <w:tabs>
          <w:tab w:val="num" w:pos="5760"/>
        </w:tabs>
        <w:ind w:left="5760" w:hanging="360"/>
      </w:pPr>
    </w:lvl>
    <w:lvl w:ilvl="8" w:tplc="15A0DE0E" w:tentative="1">
      <w:start w:val="1"/>
      <w:numFmt w:val="decimal"/>
      <w:lvlText w:val="%9."/>
      <w:lvlJc w:val="left"/>
      <w:pPr>
        <w:tabs>
          <w:tab w:val="num" w:pos="6480"/>
        </w:tabs>
        <w:ind w:left="6480" w:hanging="360"/>
      </w:pPr>
    </w:lvl>
  </w:abstractNum>
  <w:abstractNum w:abstractNumId="2" w15:restartNumberingAfterBreak="0">
    <w:nsid w:val="6E9C2651"/>
    <w:multiLevelType w:val="hybridMultilevel"/>
    <w:tmpl w:val="3A6CABDA"/>
    <w:lvl w:ilvl="0" w:tplc="3B2E9EBA">
      <w:start w:val="1"/>
      <w:numFmt w:val="decimal"/>
      <w:lvlText w:val="%1."/>
      <w:lvlJc w:val="left"/>
      <w:pPr>
        <w:tabs>
          <w:tab w:val="num" w:pos="720"/>
        </w:tabs>
        <w:ind w:left="720" w:hanging="360"/>
      </w:pPr>
    </w:lvl>
    <w:lvl w:ilvl="1" w:tplc="F3C68C80">
      <w:start w:val="1"/>
      <w:numFmt w:val="lowerLetter"/>
      <w:lvlText w:val="%2."/>
      <w:lvlJc w:val="left"/>
      <w:pPr>
        <w:tabs>
          <w:tab w:val="num" w:pos="1440"/>
        </w:tabs>
        <w:ind w:left="1440" w:hanging="360"/>
      </w:pPr>
    </w:lvl>
    <w:lvl w:ilvl="2" w:tplc="72686F16" w:tentative="1">
      <w:start w:val="1"/>
      <w:numFmt w:val="decimal"/>
      <w:lvlText w:val="%3."/>
      <w:lvlJc w:val="left"/>
      <w:pPr>
        <w:tabs>
          <w:tab w:val="num" w:pos="2160"/>
        </w:tabs>
        <w:ind w:left="2160" w:hanging="360"/>
      </w:pPr>
    </w:lvl>
    <w:lvl w:ilvl="3" w:tplc="0392775E" w:tentative="1">
      <w:start w:val="1"/>
      <w:numFmt w:val="decimal"/>
      <w:lvlText w:val="%4."/>
      <w:lvlJc w:val="left"/>
      <w:pPr>
        <w:tabs>
          <w:tab w:val="num" w:pos="2880"/>
        </w:tabs>
        <w:ind w:left="2880" w:hanging="360"/>
      </w:pPr>
    </w:lvl>
    <w:lvl w:ilvl="4" w:tplc="E8A0EE9C" w:tentative="1">
      <w:start w:val="1"/>
      <w:numFmt w:val="decimal"/>
      <w:lvlText w:val="%5."/>
      <w:lvlJc w:val="left"/>
      <w:pPr>
        <w:tabs>
          <w:tab w:val="num" w:pos="3600"/>
        </w:tabs>
        <w:ind w:left="3600" w:hanging="360"/>
      </w:pPr>
    </w:lvl>
    <w:lvl w:ilvl="5" w:tplc="6B701588" w:tentative="1">
      <w:start w:val="1"/>
      <w:numFmt w:val="decimal"/>
      <w:lvlText w:val="%6."/>
      <w:lvlJc w:val="left"/>
      <w:pPr>
        <w:tabs>
          <w:tab w:val="num" w:pos="4320"/>
        </w:tabs>
        <w:ind w:left="4320" w:hanging="360"/>
      </w:pPr>
    </w:lvl>
    <w:lvl w:ilvl="6" w:tplc="49B04160" w:tentative="1">
      <w:start w:val="1"/>
      <w:numFmt w:val="decimal"/>
      <w:lvlText w:val="%7."/>
      <w:lvlJc w:val="left"/>
      <w:pPr>
        <w:tabs>
          <w:tab w:val="num" w:pos="5040"/>
        </w:tabs>
        <w:ind w:left="5040" w:hanging="360"/>
      </w:pPr>
    </w:lvl>
    <w:lvl w:ilvl="7" w:tplc="8F1819F8" w:tentative="1">
      <w:start w:val="1"/>
      <w:numFmt w:val="decimal"/>
      <w:lvlText w:val="%8."/>
      <w:lvlJc w:val="left"/>
      <w:pPr>
        <w:tabs>
          <w:tab w:val="num" w:pos="5760"/>
        </w:tabs>
        <w:ind w:left="5760" w:hanging="360"/>
      </w:pPr>
    </w:lvl>
    <w:lvl w:ilvl="8" w:tplc="B4943D62"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B0"/>
    <w:rsid w:val="00011451"/>
    <w:rsid w:val="00013146"/>
    <w:rsid w:val="0001566D"/>
    <w:rsid w:val="00015C20"/>
    <w:rsid w:val="00020980"/>
    <w:rsid w:val="000420C4"/>
    <w:rsid w:val="000429C9"/>
    <w:rsid w:val="00044CA8"/>
    <w:rsid w:val="00050202"/>
    <w:rsid w:val="00065EEC"/>
    <w:rsid w:val="00065F88"/>
    <w:rsid w:val="00073B0F"/>
    <w:rsid w:val="000926F0"/>
    <w:rsid w:val="000A387A"/>
    <w:rsid w:val="000B2934"/>
    <w:rsid w:val="000C2547"/>
    <w:rsid w:val="000D2309"/>
    <w:rsid w:val="000D55C8"/>
    <w:rsid w:val="000E040A"/>
    <w:rsid w:val="000E140F"/>
    <w:rsid w:val="000F11D6"/>
    <w:rsid w:val="000F4DE3"/>
    <w:rsid w:val="00110C3F"/>
    <w:rsid w:val="00114CE4"/>
    <w:rsid w:val="00117D67"/>
    <w:rsid w:val="001220F9"/>
    <w:rsid w:val="001231FF"/>
    <w:rsid w:val="0012420F"/>
    <w:rsid w:val="00127AB5"/>
    <w:rsid w:val="00134F00"/>
    <w:rsid w:val="001414CD"/>
    <w:rsid w:val="0014567B"/>
    <w:rsid w:val="00146CCD"/>
    <w:rsid w:val="00155AF8"/>
    <w:rsid w:val="001626B2"/>
    <w:rsid w:val="0016312D"/>
    <w:rsid w:val="00180E7A"/>
    <w:rsid w:val="0018150D"/>
    <w:rsid w:val="00182AB0"/>
    <w:rsid w:val="0019472B"/>
    <w:rsid w:val="001979B1"/>
    <w:rsid w:val="001979FF"/>
    <w:rsid w:val="00197EB7"/>
    <w:rsid w:val="001A4001"/>
    <w:rsid w:val="001B2414"/>
    <w:rsid w:val="001B676C"/>
    <w:rsid w:val="001B6B8C"/>
    <w:rsid w:val="001B7B4F"/>
    <w:rsid w:val="001C090B"/>
    <w:rsid w:val="001C6CCF"/>
    <w:rsid w:val="001D788F"/>
    <w:rsid w:val="001F0CA9"/>
    <w:rsid w:val="001F128B"/>
    <w:rsid w:val="001F1E4A"/>
    <w:rsid w:val="001F5D0C"/>
    <w:rsid w:val="00200823"/>
    <w:rsid w:val="00207DC8"/>
    <w:rsid w:val="002159AD"/>
    <w:rsid w:val="002216F7"/>
    <w:rsid w:val="00225209"/>
    <w:rsid w:val="00227325"/>
    <w:rsid w:val="00227EAC"/>
    <w:rsid w:val="0023732E"/>
    <w:rsid w:val="00244EF0"/>
    <w:rsid w:val="00247C1B"/>
    <w:rsid w:val="00247EC6"/>
    <w:rsid w:val="00261394"/>
    <w:rsid w:val="00266A32"/>
    <w:rsid w:val="00266DB6"/>
    <w:rsid w:val="00280335"/>
    <w:rsid w:val="0028142E"/>
    <w:rsid w:val="00294E7F"/>
    <w:rsid w:val="002A50AF"/>
    <w:rsid w:val="002A758F"/>
    <w:rsid w:val="002D0B56"/>
    <w:rsid w:val="002E39AC"/>
    <w:rsid w:val="002E5869"/>
    <w:rsid w:val="002F1450"/>
    <w:rsid w:val="002F6A43"/>
    <w:rsid w:val="00301459"/>
    <w:rsid w:val="003031ED"/>
    <w:rsid w:val="0030667C"/>
    <w:rsid w:val="00314E9E"/>
    <w:rsid w:val="00315DCC"/>
    <w:rsid w:val="00316C3E"/>
    <w:rsid w:val="003229C8"/>
    <w:rsid w:val="00327616"/>
    <w:rsid w:val="00327E77"/>
    <w:rsid w:val="003344CF"/>
    <w:rsid w:val="00341C00"/>
    <w:rsid w:val="00346695"/>
    <w:rsid w:val="00350725"/>
    <w:rsid w:val="003523EA"/>
    <w:rsid w:val="00354789"/>
    <w:rsid w:val="003553A3"/>
    <w:rsid w:val="003560B7"/>
    <w:rsid w:val="00361DE7"/>
    <w:rsid w:val="00367BDB"/>
    <w:rsid w:val="00370F0B"/>
    <w:rsid w:val="00373574"/>
    <w:rsid w:val="003A306B"/>
    <w:rsid w:val="003A3073"/>
    <w:rsid w:val="003B08D1"/>
    <w:rsid w:val="003B0E71"/>
    <w:rsid w:val="003C12CE"/>
    <w:rsid w:val="003C12D1"/>
    <w:rsid w:val="003C553E"/>
    <w:rsid w:val="003C6F78"/>
    <w:rsid w:val="003D0457"/>
    <w:rsid w:val="004148DC"/>
    <w:rsid w:val="004307AA"/>
    <w:rsid w:val="00430A10"/>
    <w:rsid w:val="004332AA"/>
    <w:rsid w:val="00436B52"/>
    <w:rsid w:val="0044111D"/>
    <w:rsid w:val="0044370C"/>
    <w:rsid w:val="004437BD"/>
    <w:rsid w:val="00456973"/>
    <w:rsid w:val="0045758B"/>
    <w:rsid w:val="00460949"/>
    <w:rsid w:val="0046717C"/>
    <w:rsid w:val="00482643"/>
    <w:rsid w:val="00486B52"/>
    <w:rsid w:val="004A5273"/>
    <w:rsid w:val="004B32D2"/>
    <w:rsid w:val="004B7AA8"/>
    <w:rsid w:val="004D044D"/>
    <w:rsid w:val="004D4F43"/>
    <w:rsid w:val="004E636C"/>
    <w:rsid w:val="004E67B9"/>
    <w:rsid w:val="004F030C"/>
    <w:rsid w:val="00500DFC"/>
    <w:rsid w:val="00515AB6"/>
    <w:rsid w:val="00516CEE"/>
    <w:rsid w:val="005269AA"/>
    <w:rsid w:val="00531FF7"/>
    <w:rsid w:val="00532572"/>
    <w:rsid w:val="00534FE2"/>
    <w:rsid w:val="0054190B"/>
    <w:rsid w:val="00547A5A"/>
    <w:rsid w:val="00551A95"/>
    <w:rsid w:val="00575DEB"/>
    <w:rsid w:val="00576126"/>
    <w:rsid w:val="005774E0"/>
    <w:rsid w:val="005859D7"/>
    <w:rsid w:val="00592AB9"/>
    <w:rsid w:val="00594E59"/>
    <w:rsid w:val="005A568C"/>
    <w:rsid w:val="005A77BA"/>
    <w:rsid w:val="005B3D0E"/>
    <w:rsid w:val="005B61A0"/>
    <w:rsid w:val="005D10F5"/>
    <w:rsid w:val="005D6CB7"/>
    <w:rsid w:val="005E2AB5"/>
    <w:rsid w:val="005E4017"/>
    <w:rsid w:val="005E60BC"/>
    <w:rsid w:val="005F1355"/>
    <w:rsid w:val="005F767F"/>
    <w:rsid w:val="00602132"/>
    <w:rsid w:val="00607653"/>
    <w:rsid w:val="006101D8"/>
    <w:rsid w:val="0064160C"/>
    <w:rsid w:val="0065221D"/>
    <w:rsid w:val="00652489"/>
    <w:rsid w:val="00667464"/>
    <w:rsid w:val="00671B25"/>
    <w:rsid w:val="0068067F"/>
    <w:rsid w:val="006873EF"/>
    <w:rsid w:val="006A00CC"/>
    <w:rsid w:val="006A43B4"/>
    <w:rsid w:val="006A4C59"/>
    <w:rsid w:val="006B0BA3"/>
    <w:rsid w:val="006B12FE"/>
    <w:rsid w:val="006D00DF"/>
    <w:rsid w:val="006D568F"/>
    <w:rsid w:val="006E0EA9"/>
    <w:rsid w:val="006E21B3"/>
    <w:rsid w:val="006E3741"/>
    <w:rsid w:val="006E51CD"/>
    <w:rsid w:val="006E7DB3"/>
    <w:rsid w:val="006F3A9D"/>
    <w:rsid w:val="006F72B5"/>
    <w:rsid w:val="00702D59"/>
    <w:rsid w:val="00703BD6"/>
    <w:rsid w:val="0071597C"/>
    <w:rsid w:val="00716E59"/>
    <w:rsid w:val="00717FB2"/>
    <w:rsid w:val="0072159E"/>
    <w:rsid w:val="00724E99"/>
    <w:rsid w:val="007327E8"/>
    <w:rsid w:val="00733B4E"/>
    <w:rsid w:val="00740A6B"/>
    <w:rsid w:val="00742A9C"/>
    <w:rsid w:val="00744F2D"/>
    <w:rsid w:val="00754AD8"/>
    <w:rsid w:val="0076030A"/>
    <w:rsid w:val="0077153B"/>
    <w:rsid w:val="00771E02"/>
    <w:rsid w:val="00772E19"/>
    <w:rsid w:val="00776189"/>
    <w:rsid w:val="00777CDE"/>
    <w:rsid w:val="00791C82"/>
    <w:rsid w:val="00792CB9"/>
    <w:rsid w:val="00793462"/>
    <w:rsid w:val="00796BCB"/>
    <w:rsid w:val="007B0C19"/>
    <w:rsid w:val="007B26F2"/>
    <w:rsid w:val="007D6B21"/>
    <w:rsid w:val="007E49D8"/>
    <w:rsid w:val="007F6B42"/>
    <w:rsid w:val="007F7F5D"/>
    <w:rsid w:val="00803B18"/>
    <w:rsid w:val="00810A58"/>
    <w:rsid w:val="00813378"/>
    <w:rsid w:val="0081376C"/>
    <w:rsid w:val="00817EB7"/>
    <w:rsid w:val="0082155C"/>
    <w:rsid w:val="0082409F"/>
    <w:rsid w:val="0082513F"/>
    <w:rsid w:val="00825371"/>
    <w:rsid w:val="00825C0F"/>
    <w:rsid w:val="00831409"/>
    <w:rsid w:val="00837E95"/>
    <w:rsid w:val="00842BD2"/>
    <w:rsid w:val="00843E86"/>
    <w:rsid w:val="008466E3"/>
    <w:rsid w:val="008479BB"/>
    <w:rsid w:val="00857EC3"/>
    <w:rsid w:val="00866464"/>
    <w:rsid w:val="008702DD"/>
    <w:rsid w:val="00870D04"/>
    <w:rsid w:val="00874660"/>
    <w:rsid w:val="00877BED"/>
    <w:rsid w:val="0088575C"/>
    <w:rsid w:val="00885F10"/>
    <w:rsid w:val="00886720"/>
    <w:rsid w:val="00886D9B"/>
    <w:rsid w:val="008913A7"/>
    <w:rsid w:val="008938C3"/>
    <w:rsid w:val="008A2768"/>
    <w:rsid w:val="008B42D1"/>
    <w:rsid w:val="008B6DB0"/>
    <w:rsid w:val="008D27F1"/>
    <w:rsid w:val="008D3F9E"/>
    <w:rsid w:val="008E4804"/>
    <w:rsid w:val="008E6E98"/>
    <w:rsid w:val="008F0DD7"/>
    <w:rsid w:val="008F707D"/>
    <w:rsid w:val="00910CC8"/>
    <w:rsid w:val="00914528"/>
    <w:rsid w:val="00917385"/>
    <w:rsid w:val="00927948"/>
    <w:rsid w:val="0093781E"/>
    <w:rsid w:val="00967F39"/>
    <w:rsid w:val="00970820"/>
    <w:rsid w:val="009741FC"/>
    <w:rsid w:val="0099543A"/>
    <w:rsid w:val="009A171B"/>
    <w:rsid w:val="009A6DBE"/>
    <w:rsid w:val="009B0983"/>
    <w:rsid w:val="009B43D0"/>
    <w:rsid w:val="009B6603"/>
    <w:rsid w:val="009C4573"/>
    <w:rsid w:val="009D015D"/>
    <w:rsid w:val="009D17F2"/>
    <w:rsid w:val="009D43B2"/>
    <w:rsid w:val="009D7111"/>
    <w:rsid w:val="009E29D4"/>
    <w:rsid w:val="009F1528"/>
    <w:rsid w:val="00A06DA7"/>
    <w:rsid w:val="00A06DF4"/>
    <w:rsid w:val="00A10383"/>
    <w:rsid w:val="00A1154C"/>
    <w:rsid w:val="00A12423"/>
    <w:rsid w:val="00A133DF"/>
    <w:rsid w:val="00A176C3"/>
    <w:rsid w:val="00A22B0B"/>
    <w:rsid w:val="00A309C8"/>
    <w:rsid w:val="00A35DF7"/>
    <w:rsid w:val="00A40DD8"/>
    <w:rsid w:val="00A46E2A"/>
    <w:rsid w:val="00A51595"/>
    <w:rsid w:val="00A63808"/>
    <w:rsid w:val="00A724A6"/>
    <w:rsid w:val="00A76756"/>
    <w:rsid w:val="00A7762D"/>
    <w:rsid w:val="00A916A3"/>
    <w:rsid w:val="00A9645D"/>
    <w:rsid w:val="00A969A1"/>
    <w:rsid w:val="00AA28D4"/>
    <w:rsid w:val="00AB5B2E"/>
    <w:rsid w:val="00AC5ED2"/>
    <w:rsid w:val="00AD7CFD"/>
    <w:rsid w:val="00AE13F8"/>
    <w:rsid w:val="00AE2A32"/>
    <w:rsid w:val="00AE3425"/>
    <w:rsid w:val="00AF394D"/>
    <w:rsid w:val="00B00EAD"/>
    <w:rsid w:val="00B06A49"/>
    <w:rsid w:val="00B11936"/>
    <w:rsid w:val="00B16AC6"/>
    <w:rsid w:val="00B36345"/>
    <w:rsid w:val="00B36FD2"/>
    <w:rsid w:val="00B43967"/>
    <w:rsid w:val="00B4539E"/>
    <w:rsid w:val="00B60D40"/>
    <w:rsid w:val="00B66401"/>
    <w:rsid w:val="00B7316C"/>
    <w:rsid w:val="00B73FE6"/>
    <w:rsid w:val="00B85445"/>
    <w:rsid w:val="00B9519B"/>
    <w:rsid w:val="00BA5660"/>
    <w:rsid w:val="00BB2892"/>
    <w:rsid w:val="00BB293C"/>
    <w:rsid w:val="00BD069A"/>
    <w:rsid w:val="00BD4499"/>
    <w:rsid w:val="00BD6F85"/>
    <w:rsid w:val="00BF13B8"/>
    <w:rsid w:val="00BF2033"/>
    <w:rsid w:val="00BF3F93"/>
    <w:rsid w:val="00BF516F"/>
    <w:rsid w:val="00C006A3"/>
    <w:rsid w:val="00C169EE"/>
    <w:rsid w:val="00C26B94"/>
    <w:rsid w:val="00C32891"/>
    <w:rsid w:val="00C377BF"/>
    <w:rsid w:val="00C41F3D"/>
    <w:rsid w:val="00C4627C"/>
    <w:rsid w:val="00C724B1"/>
    <w:rsid w:val="00C7262B"/>
    <w:rsid w:val="00C73BC0"/>
    <w:rsid w:val="00C75D50"/>
    <w:rsid w:val="00C8065F"/>
    <w:rsid w:val="00C86602"/>
    <w:rsid w:val="00C92610"/>
    <w:rsid w:val="00CB0396"/>
    <w:rsid w:val="00CB1244"/>
    <w:rsid w:val="00CC689F"/>
    <w:rsid w:val="00CC75AD"/>
    <w:rsid w:val="00CE3697"/>
    <w:rsid w:val="00CF1F96"/>
    <w:rsid w:val="00D0527D"/>
    <w:rsid w:val="00D204AC"/>
    <w:rsid w:val="00D21FEB"/>
    <w:rsid w:val="00D22622"/>
    <w:rsid w:val="00D30626"/>
    <w:rsid w:val="00D36671"/>
    <w:rsid w:val="00D369FC"/>
    <w:rsid w:val="00D44198"/>
    <w:rsid w:val="00D57566"/>
    <w:rsid w:val="00D62994"/>
    <w:rsid w:val="00D65E78"/>
    <w:rsid w:val="00D66761"/>
    <w:rsid w:val="00D720E7"/>
    <w:rsid w:val="00D7711F"/>
    <w:rsid w:val="00D84CE1"/>
    <w:rsid w:val="00D86515"/>
    <w:rsid w:val="00D91178"/>
    <w:rsid w:val="00D93B42"/>
    <w:rsid w:val="00D94AC0"/>
    <w:rsid w:val="00DB1EA4"/>
    <w:rsid w:val="00DB44A3"/>
    <w:rsid w:val="00DC2D21"/>
    <w:rsid w:val="00DC56A1"/>
    <w:rsid w:val="00DC7FD0"/>
    <w:rsid w:val="00DD009A"/>
    <w:rsid w:val="00DD41CD"/>
    <w:rsid w:val="00DD482E"/>
    <w:rsid w:val="00DD74F0"/>
    <w:rsid w:val="00DE4534"/>
    <w:rsid w:val="00DE48BB"/>
    <w:rsid w:val="00DF45DD"/>
    <w:rsid w:val="00E34F30"/>
    <w:rsid w:val="00E36C0E"/>
    <w:rsid w:val="00E42BC0"/>
    <w:rsid w:val="00E44A58"/>
    <w:rsid w:val="00E5064C"/>
    <w:rsid w:val="00E50E45"/>
    <w:rsid w:val="00E5224D"/>
    <w:rsid w:val="00E53D76"/>
    <w:rsid w:val="00E54308"/>
    <w:rsid w:val="00E7210F"/>
    <w:rsid w:val="00E7351A"/>
    <w:rsid w:val="00E77BBC"/>
    <w:rsid w:val="00E8132D"/>
    <w:rsid w:val="00E85B1A"/>
    <w:rsid w:val="00E9044B"/>
    <w:rsid w:val="00EC0C08"/>
    <w:rsid w:val="00EC15AF"/>
    <w:rsid w:val="00EC3DD1"/>
    <w:rsid w:val="00EC52B2"/>
    <w:rsid w:val="00ED4AF3"/>
    <w:rsid w:val="00EE21AD"/>
    <w:rsid w:val="00EF0C78"/>
    <w:rsid w:val="00F05394"/>
    <w:rsid w:val="00F1173E"/>
    <w:rsid w:val="00F151C6"/>
    <w:rsid w:val="00F16887"/>
    <w:rsid w:val="00F245CE"/>
    <w:rsid w:val="00F30B37"/>
    <w:rsid w:val="00F31A31"/>
    <w:rsid w:val="00F40390"/>
    <w:rsid w:val="00F40504"/>
    <w:rsid w:val="00F607B7"/>
    <w:rsid w:val="00F65027"/>
    <w:rsid w:val="00F72B1C"/>
    <w:rsid w:val="00F760D8"/>
    <w:rsid w:val="00F77794"/>
    <w:rsid w:val="00F804BE"/>
    <w:rsid w:val="00F80D08"/>
    <w:rsid w:val="00F84E2A"/>
    <w:rsid w:val="00F948B0"/>
    <w:rsid w:val="00FA25F4"/>
    <w:rsid w:val="00FA6A9D"/>
    <w:rsid w:val="00FB45BF"/>
    <w:rsid w:val="00FB5FBD"/>
    <w:rsid w:val="00FC1FD3"/>
    <w:rsid w:val="00FD3852"/>
    <w:rsid w:val="00FD3B83"/>
    <w:rsid w:val="00FE08E5"/>
    <w:rsid w:val="00FE15DA"/>
    <w:rsid w:val="00FE55BD"/>
    <w:rsid w:val="00FF5AA6"/>
    <w:rsid w:val="00FF74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743C6"/>
  <w15:chartTrackingRefBased/>
  <w15:docId w15:val="{3EDA31B1-AE61-43A4-B95A-2B9BCD4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2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82AB0"/>
    <w:pPr>
      <w:keepNext/>
      <w:jc w:val="center"/>
      <w:outlineLvl w:val="0"/>
    </w:pPr>
    <w:rPr>
      <w:rFonts w:ascii="CG Times" w:hAnsi="CG Times"/>
      <w:b/>
      <w:szCs w:val="20"/>
      <w:lang w:val="es-CO"/>
    </w:rPr>
  </w:style>
  <w:style w:type="paragraph" w:styleId="Ttulo3">
    <w:name w:val="heading 3"/>
    <w:basedOn w:val="Normal"/>
    <w:next w:val="Normal"/>
    <w:link w:val="Ttulo3Car"/>
    <w:qFormat/>
    <w:rsid w:val="00182AB0"/>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182AB0"/>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182AB0"/>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182AB0"/>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A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182AB0"/>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182AB0"/>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182AB0"/>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182AB0"/>
    <w:rPr>
      <w:rFonts w:ascii="Calibri" w:eastAsia="Times New Roman" w:hAnsi="Calibri" w:cs="Times New Roman"/>
      <w:b/>
      <w:bCs/>
      <w:lang w:val="x-none" w:eastAsia="x-none"/>
    </w:rPr>
  </w:style>
  <w:style w:type="paragraph" w:styleId="Encabezado">
    <w:name w:val="header"/>
    <w:basedOn w:val="Normal"/>
    <w:link w:val="EncabezadoCar"/>
    <w:uiPriority w:val="99"/>
    <w:rsid w:val="00182AB0"/>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182AB0"/>
    <w:rPr>
      <w:rFonts w:ascii="CG Times" w:eastAsia="Times New Roman" w:hAnsi="CG Times" w:cs="Times New Roman"/>
      <w:sz w:val="24"/>
      <w:szCs w:val="20"/>
      <w:lang w:eastAsia="x-none"/>
    </w:rPr>
  </w:style>
  <w:style w:type="paragraph" w:customStyle="1" w:styleId="TableHeading">
    <w:name w:val="Table Heading"/>
    <w:basedOn w:val="Normal"/>
    <w:rsid w:val="00182AB0"/>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182AB0"/>
    <w:rPr>
      <w:sz w:val="20"/>
      <w:szCs w:val="20"/>
    </w:rPr>
  </w:style>
  <w:style w:type="character" w:customStyle="1" w:styleId="TextonotapieCar">
    <w:name w:val="Texto nota pie Car"/>
    <w:basedOn w:val="Fuentedeprrafopredeter"/>
    <w:link w:val="Textonotapie"/>
    <w:uiPriority w:val="99"/>
    <w:semiHidden/>
    <w:rsid w:val="00182AB0"/>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182AB0"/>
    <w:rPr>
      <w:vertAlign w:val="superscript"/>
    </w:rPr>
  </w:style>
  <w:style w:type="paragraph" w:styleId="Piedepgina">
    <w:name w:val="footer"/>
    <w:basedOn w:val="Normal"/>
    <w:link w:val="PiedepginaCar"/>
    <w:uiPriority w:val="99"/>
    <w:unhideWhenUsed/>
    <w:rsid w:val="00182AB0"/>
    <w:pPr>
      <w:tabs>
        <w:tab w:val="center" w:pos="4419"/>
        <w:tab w:val="right" w:pos="8838"/>
      </w:tabs>
    </w:pPr>
  </w:style>
  <w:style w:type="character" w:customStyle="1" w:styleId="PiedepginaCar">
    <w:name w:val="Pie de página Car"/>
    <w:basedOn w:val="Fuentedeprrafopredeter"/>
    <w:link w:val="Piedepgina"/>
    <w:uiPriority w:val="99"/>
    <w:rsid w:val="00182AB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82643"/>
    <w:pPr>
      <w:spacing w:before="100" w:beforeAutospacing="1" w:after="100" w:afterAutospacing="1"/>
      <w:ind w:left="0"/>
    </w:pPr>
    <w:rPr>
      <w:lang w:val="es-CO" w:eastAsia="es-CO"/>
    </w:rPr>
  </w:style>
  <w:style w:type="paragraph" w:styleId="Textodeglobo">
    <w:name w:val="Balloon Text"/>
    <w:basedOn w:val="Normal"/>
    <w:link w:val="TextodegloboCar"/>
    <w:uiPriority w:val="99"/>
    <w:semiHidden/>
    <w:unhideWhenUsed/>
    <w:rsid w:val="00F16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887"/>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A35DF7"/>
    <w:rPr>
      <w:color w:val="0563C1" w:themeColor="hyperlink"/>
      <w:u w:val="single"/>
    </w:rPr>
  </w:style>
  <w:style w:type="paragraph" w:styleId="Textoindependiente">
    <w:name w:val="Body Text"/>
    <w:basedOn w:val="Normal"/>
    <w:link w:val="TextoindependienteCar"/>
    <w:semiHidden/>
    <w:rsid w:val="00A35DF7"/>
    <w:pPr>
      <w:spacing w:after="220" w:line="220" w:lineRule="atLeast"/>
      <w:ind w:left="0"/>
      <w:jc w:val="both"/>
    </w:pPr>
    <w:rPr>
      <w:rFonts w:ascii="Arial" w:hAnsi="Arial"/>
      <w:spacing w:val="-5"/>
      <w:sz w:val="20"/>
      <w:szCs w:val="20"/>
      <w:lang w:val="es-CO" w:eastAsia="en-US"/>
    </w:rPr>
  </w:style>
  <w:style w:type="character" w:customStyle="1" w:styleId="TextoindependienteCar">
    <w:name w:val="Texto independiente Car"/>
    <w:basedOn w:val="Fuentedeprrafopredeter"/>
    <w:link w:val="Textoindependiente"/>
    <w:semiHidden/>
    <w:rsid w:val="00A35DF7"/>
    <w:rPr>
      <w:rFonts w:ascii="Arial" w:eastAsia="Times New Roman" w:hAnsi="Arial" w:cs="Times New Roman"/>
      <w:spacing w:val="-5"/>
      <w:sz w:val="20"/>
      <w:szCs w:val="20"/>
    </w:rPr>
  </w:style>
  <w:style w:type="table" w:styleId="Tablaconcuadrcula">
    <w:name w:val="Table Grid"/>
    <w:basedOn w:val="Tablanormal"/>
    <w:uiPriority w:val="39"/>
    <w:rsid w:val="00A3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D4F43"/>
    <w:rPr>
      <w:color w:val="954F72"/>
      <w:u w:val="single"/>
    </w:rPr>
  </w:style>
  <w:style w:type="paragraph" w:customStyle="1" w:styleId="msonormal0">
    <w:name w:val="msonormal"/>
    <w:basedOn w:val="Normal"/>
    <w:rsid w:val="004D4F43"/>
    <w:pPr>
      <w:spacing w:before="100" w:beforeAutospacing="1" w:after="100" w:afterAutospacing="1"/>
      <w:ind w:left="0"/>
    </w:pPr>
    <w:rPr>
      <w:lang w:val="en-US" w:eastAsia="en-US"/>
    </w:rPr>
  </w:style>
  <w:style w:type="paragraph" w:customStyle="1" w:styleId="xl67">
    <w:name w:val="xl67"/>
    <w:basedOn w:val="Normal"/>
    <w:rsid w:val="004D4F43"/>
    <w:pPr>
      <w:pBdr>
        <w:top w:val="single" w:sz="8" w:space="0" w:color="auto"/>
        <w:left w:val="single" w:sz="8"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8">
    <w:name w:val="xl68"/>
    <w:basedOn w:val="Normal"/>
    <w:rsid w:val="004D4F43"/>
    <w:pPr>
      <w:pBdr>
        <w:top w:val="single" w:sz="8" w:space="0" w:color="auto"/>
        <w:left w:val="single" w:sz="8"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9">
    <w:name w:val="xl69"/>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0">
    <w:name w:val="xl70"/>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1">
    <w:name w:val="xl71"/>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2">
    <w:name w:val="xl72"/>
    <w:basedOn w:val="Normal"/>
    <w:rsid w:val="004D4F43"/>
    <w:pPr>
      <w:pBdr>
        <w:top w:val="single" w:sz="8" w:space="0" w:color="auto"/>
        <w:left w:val="single" w:sz="4"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3">
    <w:name w:val="xl73"/>
    <w:basedOn w:val="Normal"/>
    <w:rsid w:val="004D4F43"/>
    <w:pPr>
      <w:spacing w:before="100" w:beforeAutospacing="1" w:after="100" w:afterAutospacing="1"/>
      <w:ind w:left="0"/>
      <w:textAlignment w:val="center"/>
    </w:pPr>
    <w:rPr>
      <w:sz w:val="18"/>
      <w:szCs w:val="18"/>
      <w:lang w:val="en-US" w:eastAsia="en-US"/>
    </w:rPr>
  </w:style>
  <w:style w:type="paragraph" w:customStyle="1" w:styleId="xl74">
    <w:name w:val="xl74"/>
    <w:basedOn w:val="Normal"/>
    <w:rsid w:val="004D4F43"/>
    <w:pPr>
      <w:pBdr>
        <w:top w:val="single" w:sz="8"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75">
    <w:name w:val="xl75"/>
    <w:basedOn w:val="Normal"/>
    <w:rsid w:val="004D4F43"/>
    <w:pPr>
      <w:pBdr>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76">
    <w:name w:val="xl76"/>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7">
    <w:name w:val="xl77"/>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8">
    <w:name w:val="xl78"/>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9">
    <w:name w:val="xl79"/>
    <w:basedOn w:val="Normal"/>
    <w:rsid w:val="004D4F43"/>
    <w:pPr>
      <w:pBdr>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0">
    <w:name w:val="xl80"/>
    <w:basedOn w:val="Normal"/>
    <w:rsid w:val="004D4F43"/>
    <w:pPr>
      <w:pBdr>
        <w:top w:val="single" w:sz="4"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81">
    <w:name w:val="xl81"/>
    <w:basedOn w:val="Normal"/>
    <w:rsid w:val="004D4F43"/>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2">
    <w:name w:val="xl82"/>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3">
    <w:name w:val="xl83"/>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4">
    <w:name w:val="xl84"/>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5">
    <w:name w:val="xl85"/>
    <w:basedOn w:val="Normal"/>
    <w:rsid w:val="004D4F43"/>
    <w:pPr>
      <w:pBdr>
        <w:top w:val="single" w:sz="4" w:space="0" w:color="auto"/>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6">
    <w:name w:val="xl86"/>
    <w:basedOn w:val="Normal"/>
    <w:rsid w:val="004D4F43"/>
    <w:pPr>
      <w:pBdr>
        <w:top w:val="single" w:sz="4"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7">
    <w:name w:val="xl87"/>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8">
    <w:name w:val="xl88"/>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9">
    <w:name w:val="xl89"/>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90">
    <w:name w:val="xl90"/>
    <w:basedOn w:val="Normal"/>
    <w:rsid w:val="004D4F43"/>
    <w:pPr>
      <w:pBdr>
        <w:top w:val="single" w:sz="4" w:space="0" w:color="auto"/>
        <w:left w:val="single" w:sz="4" w:space="0" w:color="auto"/>
        <w:bottom w:val="single" w:sz="8"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91">
    <w:name w:val="xl91"/>
    <w:basedOn w:val="Normal"/>
    <w:rsid w:val="004D4F43"/>
    <w:pPr>
      <w:spacing w:before="100" w:beforeAutospacing="1" w:after="100" w:afterAutospacing="1"/>
      <w:ind w:left="0"/>
      <w:textAlignment w:val="center"/>
    </w:pPr>
    <w:rPr>
      <w:sz w:val="18"/>
      <w:szCs w:val="18"/>
      <w:lang w:val="en-US" w:eastAsia="en-US"/>
    </w:rPr>
  </w:style>
  <w:style w:type="paragraph" w:customStyle="1" w:styleId="xl92">
    <w:name w:val="xl92"/>
    <w:basedOn w:val="Normal"/>
    <w:rsid w:val="004D4F43"/>
    <w:pPr>
      <w:spacing w:before="100" w:beforeAutospacing="1" w:after="100" w:afterAutospacing="1"/>
      <w:ind w:left="0"/>
      <w:textAlignment w:val="center"/>
    </w:pPr>
    <w:rPr>
      <w:sz w:val="18"/>
      <w:szCs w:val="18"/>
      <w:lang w:val="en-US" w:eastAsia="en-US"/>
    </w:rPr>
  </w:style>
  <w:style w:type="character" w:styleId="Textodelmarcadordeposicin">
    <w:name w:val="Placeholder Text"/>
    <w:basedOn w:val="Fuentedeprrafopredeter"/>
    <w:uiPriority w:val="99"/>
    <w:semiHidden/>
    <w:rsid w:val="009D43B2"/>
    <w:rPr>
      <w:color w:val="808080"/>
    </w:rPr>
  </w:style>
  <w:style w:type="character" w:styleId="Refdecomentario">
    <w:name w:val="annotation reference"/>
    <w:basedOn w:val="Fuentedeprrafopredeter"/>
    <w:uiPriority w:val="99"/>
    <w:semiHidden/>
    <w:unhideWhenUsed/>
    <w:rsid w:val="00AD7CFD"/>
    <w:rPr>
      <w:sz w:val="16"/>
      <w:szCs w:val="16"/>
    </w:rPr>
  </w:style>
  <w:style w:type="paragraph" w:styleId="Textocomentario">
    <w:name w:val="annotation text"/>
    <w:basedOn w:val="Normal"/>
    <w:link w:val="TextocomentarioCar"/>
    <w:uiPriority w:val="99"/>
    <w:semiHidden/>
    <w:unhideWhenUsed/>
    <w:rsid w:val="00AD7CFD"/>
    <w:rPr>
      <w:sz w:val="20"/>
      <w:szCs w:val="20"/>
    </w:rPr>
  </w:style>
  <w:style w:type="character" w:customStyle="1" w:styleId="TextocomentarioCar">
    <w:name w:val="Texto comentario Car"/>
    <w:basedOn w:val="Fuentedeprrafopredeter"/>
    <w:link w:val="Textocomentario"/>
    <w:uiPriority w:val="99"/>
    <w:semiHidden/>
    <w:rsid w:val="00AD7CF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7CFD"/>
    <w:rPr>
      <w:b/>
      <w:bCs/>
    </w:rPr>
  </w:style>
  <w:style w:type="character" w:customStyle="1" w:styleId="AsuntodelcomentarioCar">
    <w:name w:val="Asunto del comentario Car"/>
    <w:basedOn w:val="TextocomentarioCar"/>
    <w:link w:val="Asuntodelcomentario"/>
    <w:uiPriority w:val="99"/>
    <w:semiHidden/>
    <w:rsid w:val="00AD7CFD"/>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92AB9"/>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6821">
      <w:bodyDiv w:val="1"/>
      <w:marLeft w:val="0"/>
      <w:marRight w:val="0"/>
      <w:marTop w:val="0"/>
      <w:marBottom w:val="0"/>
      <w:divBdr>
        <w:top w:val="none" w:sz="0" w:space="0" w:color="auto"/>
        <w:left w:val="none" w:sz="0" w:space="0" w:color="auto"/>
        <w:bottom w:val="none" w:sz="0" w:space="0" w:color="auto"/>
        <w:right w:val="none" w:sz="0" w:space="0" w:color="auto"/>
      </w:divBdr>
    </w:div>
    <w:div w:id="135149494">
      <w:bodyDiv w:val="1"/>
      <w:marLeft w:val="0"/>
      <w:marRight w:val="0"/>
      <w:marTop w:val="0"/>
      <w:marBottom w:val="0"/>
      <w:divBdr>
        <w:top w:val="none" w:sz="0" w:space="0" w:color="auto"/>
        <w:left w:val="none" w:sz="0" w:space="0" w:color="auto"/>
        <w:bottom w:val="none" w:sz="0" w:space="0" w:color="auto"/>
        <w:right w:val="none" w:sz="0" w:space="0" w:color="auto"/>
      </w:divBdr>
    </w:div>
    <w:div w:id="384644816">
      <w:bodyDiv w:val="1"/>
      <w:marLeft w:val="0"/>
      <w:marRight w:val="0"/>
      <w:marTop w:val="0"/>
      <w:marBottom w:val="0"/>
      <w:divBdr>
        <w:top w:val="none" w:sz="0" w:space="0" w:color="auto"/>
        <w:left w:val="none" w:sz="0" w:space="0" w:color="auto"/>
        <w:bottom w:val="none" w:sz="0" w:space="0" w:color="auto"/>
        <w:right w:val="none" w:sz="0" w:space="0" w:color="auto"/>
      </w:divBdr>
    </w:div>
    <w:div w:id="498808813">
      <w:bodyDiv w:val="1"/>
      <w:marLeft w:val="0"/>
      <w:marRight w:val="0"/>
      <w:marTop w:val="0"/>
      <w:marBottom w:val="0"/>
      <w:divBdr>
        <w:top w:val="none" w:sz="0" w:space="0" w:color="auto"/>
        <w:left w:val="none" w:sz="0" w:space="0" w:color="auto"/>
        <w:bottom w:val="none" w:sz="0" w:space="0" w:color="auto"/>
        <w:right w:val="none" w:sz="0" w:space="0" w:color="auto"/>
      </w:divBdr>
      <w:divsChild>
        <w:div w:id="58022174">
          <w:marLeft w:val="720"/>
          <w:marRight w:val="0"/>
          <w:marTop w:val="0"/>
          <w:marBottom w:val="0"/>
          <w:divBdr>
            <w:top w:val="none" w:sz="0" w:space="0" w:color="auto"/>
            <w:left w:val="none" w:sz="0" w:space="0" w:color="auto"/>
            <w:bottom w:val="none" w:sz="0" w:space="0" w:color="auto"/>
            <w:right w:val="none" w:sz="0" w:space="0" w:color="auto"/>
          </w:divBdr>
        </w:div>
        <w:div w:id="1443650801">
          <w:marLeft w:val="1440"/>
          <w:marRight w:val="0"/>
          <w:marTop w:val="0"/>
          <w:marBottom w:val="0"/>
          <w:divBdr>
            <w:top w:val="none" w:sz="0" w:space="0" w:color="auto"/>
            <w:left w:val="none" w:sz="0" w:space="0" w:color="auto"/>
            <w:bottom w:val="none" w:sz="0" w:space="0" w:color="auto"/>
            <w:right w:val="none" w:sz="0" w:space="0" w:color="auto"/>
          </w:divBdr>
        </w:div>
        <w:div w:id="239995639">
          <w:marLeft w:val="1440"/>
          <w:marRight w:val="0"/>
          <w:marTop w:val="0"/>
          <w:marBottom w:val="0"/>
          <w:divBdr>
            <w:top w:val="none" w:sz="0" w:space="0" w:color="auto"/>
            <w:left w:val="none" w:sz="0" w:space="0" w:color="auto"/>
            <w:bottom w:val="none" w:sz="0" w:space="0" w:color="auto"/>
            <w:right w:val="none" w:sz="0" w:space="0" w:color="auto"/>
          </w:divBdr>
        </w:div>
        <w:div w:id="1376346787">
          <w:marLeft w:val="720"/>
          <w:marRight w:val="0"/>
          <w:marTop w:val="0"/>
          <w:marBottom w:val="0"/>
          <w:divBdr>
            <w:top w:val="none" w:sz="0" w:space="0" w:color="auto"/>
            <w:left w:val="none" w:sz="0" w:space="0" w:color="auto"/>
            <w:bottom w:val="none" w:sz="0" w:space="0" w:color="auto"/>
            <w:right w:val="none" w:sz="0" w:space="0" w:color="auto"/>
          </w:divBdr>
        </w:div>
      </w:divsChild>
    </w:div>
    <w:div w:id="595139953">
      <w:bodyDiv w:val="1"/>
      <w:marLeft w:val="0"/>
      <w:marRight w:val="0"/>
      <w:marTop w:val="0"/>
      <w:marBottom w:val="0"/>
      <w:divBdr>
        <w:top w:val="none" w:sz="0" w:space="0" w:color="auto"/>
        <w:left w:val="none" w:sz="0" w:space="0" w:color="auto"/>
        <w:bottom w:val="none" w:sz="0" w:space="0" w:color="auto"/>
        <w:right w:val="none" w:sz="0" w:space="0" w:color="auto"/>
      </w:divBdr>
    </w:div>
    <w:div w:id="638997342">
      <w:bodyDiv w:val="1"/>
      <w:marLeft w:val="0"/>
      <w:marRight w:val="0"/>
      <w:marTop w:val="0"/>
      <w:marBottom w:val="0"/>
      <w:divBdr>
        <w:top w:val="none" w:sz="0" w:space="0" w:color="auto"/>
        <w:left w:val="none" w:sz="0" w:space="0" w:color="auto"/>
        <w:bottom w:val="none" w:sz="0" w:space="0" w:color="auto"/>
        <w:right w:val="none" w:sz="0" w:space="0" w:color="auto"/>
      </w:divBdr>
      <w:divsChild>
        <w:div w:id="1023869256">
          <w:marLeft w:val="720"/>
          <w:marRight w:val="0"/>
          <w:marTop w:val="0"/>
          <w:marBottom w:val="0"/>
          <w:divBdr>
            <w:top w:val="none" w:sz="0" w:space="0" w:color="auto"/>
            <w:left w:val="none" w:sz="0" w:space="0" w:color="auto"/>
            <w:bottom w:val="none" w:sz="0" w:space="0" w:color="auto"/>
            <w:right w:val="none" w:sz="0" w:space="0" w:color="auto"/>
          </w:divBdr>
        </w:div>
        <w:div w:id="391779310">
          <w:marLeft w:val="1440"/>
          <w:marRight w:val="0"/>
          <w:marTop w:val="0"/>
          <w:marBottom w:val="0"/>
          <w:divBdr>
            <w:top w:val="none" w:sz="0" w:space="0" w:color="auto"/>
            <w:left w:val="none" w:sz="0" w:space="0" w:color="auto"/>
            <w:bottom w:val="none" w:sz="0" w:space="0" w:color="auto"/>
            <w:right w:val="none" w:sz="0" w:space="0" w:color="auto"/>
          </w:divBdr>
        </w:div>
        <w:div w:id="1427965446">
          <w:marLeft w:val="1440"/>
          <w:marRight w:val="0"/>
          <w:marTop w:val="0"/>
          <w:marBottom w:val="0"/>
          <w:divBdr>
            <w:top w:val="none" w:sz="0" w:space="0" w:color="auto"/>
            <w:left w:val="none" w:sz="0" w:space="0" w:color="auto"/>
            <w:bottom w:val="none" w:sz="0" w:space="0" w:color="auto"/>
            <w:right w:val="none" w:sz="0" w:space="0" w:color="auto"/>
          </w:divBdr>
        </w:div>
        <w:div w:id="276520777">
          <w:marLeft w:val="720"/>
          <w:marRight w:val="0"/>
          <w:marTop w:val="0"/>
          <w:marBottom w:val="0"/>
          <w:divBdr>
            <w:top w:val="none" w:sz="0" w:space="0" w:color="auto"/>
            <w:left w:val="none" w:sz="0" w:space="0" w:color="auto"/>
            <w:bottom w:val="none" w:sz="0" w:space="0" w:color="auto"/>
            <w:right w:val="none" w:sz="0" w:space="0" w:color="auto"/>
          </w:divBdr>
        </w:div>
      </w:divsChild>
    </w:div>
    <w:div w:id="925921060">
      <w:bodyDiv w:val="1"/>
      <w:marLeft w:val="0"/>
      <w:marRight w:val="0"/>
      <w:marTop w:val="0"/>
      <w:marBottom w:val="0"/>
      <w:divBdr>
        <w:top w:val="none" w:sz="0" w:space="0" w:color="auto"/>
        <w:left w:val="none" w:sz="0" w:space="0" w:color="auto"/>
        <w:bottom w:val="none" w:sz="0" w:space="0" w:color="auto"/>
        <w:right w:val="none" w:sz="0" w:space="0" w:color="auto"/>
      </w:divBdr>
    </w:div>
    <w:div w:id="958101745">
      <w:bodyDiv w:val="1"/>
      <w:marLeft w:val="0"/>
      <w:marRight w:val="0"/>
      <w:marTop w:val="0"/>
      <w:marBottom w:val="0"/>
      <w:divBdr>
        <w:top w:val="none" w:sz="0" w:space="0" w:color="auto"/>
        <w:left w:val="none" w:sz="0" w:space="0" w:color="auto"/>
        <w:bottom w:val="none" w:sz="0" w:space="0" w:color="auto"/>
        <w:right w:val="none" w:sz="0" w:space="0" w:color="auto"/>
      </w:divBdr>
    </w:div>
    <w:div w:id="1221669579">
      <w:bodyDiv w:val="1"/>
      <w:marLeft w:val="0"/>
      <w:marRight w:val="0"/>
      <w:marTop w:val="0"/>
      <w:marBottom w:val="0"/>
      <w:divBdr>
        <w:top w:val="none" w:sz="0" w:space="0" w:color="auto"/>
        <w:left w:val="none" w:sz="0" w:space="0" w:color="auto"/>
        <w:bottom w:val="none" w:sz="0" w:space="0" w:color="auto"/>
        <w:right w:val="none" w:sz="0" w:space="0" w:color="auto"/>
      </w:divBdr>
    </w:div>
    <w:div w:id="1335574473">
      <w:bodyDiv w:val="1"/>
      <w:marLeft w:val="0"/>
      <w:marRight w:val="0"/>
      <w:marTop w:val="0"/>
      <w:marBottom w:val="0"/>
      <w:divBdr>
        <w:top w:val="none" w:sz="0" w:space="0" w:color="auto"/>
        <w:left w:val="none" w:sz="0" w:space="0" w:color="auto"/>
        <w:bottom w:val="none" w:sz="0" w:space="0" w:color="auto"/>
        <w:right w:val="none" w:sz="0" w:space="0" w:color="auto"/>
      </w:divBdr>
    </w:div>
    <w:div w:id="1371144493">
      <w:bodyDiv w:val="1"/>
      <w:marLeft w:val="0"/>
      <w:marRight w:val="0"/>
      <w:marTop w:val="0"/>
      <w:marBottom w:val="0"/>
      <w:divBdr>
        <w:top w:val="none" w:sz="0" w:space="0" w:color="auto"/>
        <w:left w:val="none" w:sz="0" w:space="0" w:color="auto"/>
        <w:bottom w:val="none" w:sz="0" w:space="0" w:color="auto"/>
        <w:right w:val="none" w:sz="0" w:space="0" w:color="auto"/>
      </w:divBdr>
    </w:div>
    <w:div w:id="1422019859">
      <w:bodyDiv w:val="1"/>
      <w:marLeft w:val="0"/>
      <w:marRight w:val="0"/>
      <w:marTop w:val="0"/>
      <w:marBottom w:val="0"/>
      <w:divBdr>
        <w:top w:val="none" w:sz="0" w:space="0" w:color="auto"/>
        <w:left w:val="none" w:sz="0" w:space="0" w:color="auto"/>
        <w:bottom w:val="none" w:sz="0" w:space="0" w:color="auto"/>
        <w:right w:val="none" w:sz="0" w:space="0" w:color="auto"/>
      </w:divBdr>
    </w:div>
    <w:div w:id="1489785418">
      <w:bodyDiv w:val="1"/>
      <w:marLeft w:val="0"/>
      <w:marRight w:val="0"/>
      <w:marTop w:val="0"/>
      <w:marBottom w:val="0"/>
      <w:divBdr>
        <w:top w:val="none" w:sz="0" w:space="0" w:color="auto"/>
        <w:left w:val="none" w:sz="0" w:space="0" w:color="auto"/>
        <w:bottom w:val="none" w:sz="0" w:space="0" w:color="auto"/>
        <w:right w:val="none" w:sz="0" w:space="0" w:color="auto"/>
      </w:divBdr>
    </w:div>
    <w:div w:id="1534927776">
      <w:bodyDiv w:val="1"/>
      <w:marLeft w:val="0"/>
      <w:marRight w:val="0"/>
      <w:marTop w:val="0"/>
      <w:marBottom w:val="0"/>
      <w:divBdr>
        <w:top w:val="none" w:sz="0" w:space="0" w:color="auto"/>
        <w:left w:val="none" w:sz="0" w:space="0" w:color="auto"/>
        <w:bottom w:val="none" w:sz="0" w:space="0" w:color="auto"/>
        <w:right w:val="none" w:sz="0" w:space="0" w:color="auto"/>
      </w:divBdr>
    </w:div>
    <w:div w:id="1603225915">
      <w:bodyDiv w:val="1"/>
      <w:marLeft w:val="0"/>
      <w:marRight w:val="0"/>
      <w:marTop w:val="0"/>
      <w:marBottom w:val="0"/>
      <w:divBdr>
        <w:top w:val="none" w:sz="0" w:space="0" w:color="auto"/>
        <w:left w:val="none" w:sz="0" w:space="0" w:color="auto"/>
        <w:bottom w:val="none" w:sz="0" w:space="0" w:color="auto"/>
        <w:right w:val="none" w:sz="0" w:space="0" w:color="auto"/>
      </w:divBdr>
    </w:div>
    <w:div w:id="1834293935">
      <w:bodyDiv w:val="1"/>
      <w:marLeft w:val="0"/>
      <w:marRight w:val="0"/>
      <w:marTop w:val="0"/>
      <w:marBottom w:val="0"/>
      <w:divBdr>
        <w:top w:val="none" w:sz="0" w:space="0" w:color="auto"/>
        <w:left w:val="none" w:sz="0" w:space="0" w:color="auto"/>
        <w:bottom w:val="none" w:sz="0" w:space="0" w:color="auto"/>
        <w:right w:val="none" w:sz="0" w:space="0" w:color="auto"/>
      </w:divBdr>
    </w:div>
    <w:div w:id="20382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8211-B6FB-4C45-8F77-D81BDD36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4227</Words>
  <Characters>23254</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Diana Patino</cp:lastModifiedBy>
  <cp:revision>2</cp:revision>
  <cp:lastPrinted>2020-12-31T14:21:00Z</cp:lastPrinted>
  <dcterms:created xsi:type="dcterms:W3CDTF">2020-12-31T16:31:00Z</dcterms:created>
  <dcterms:modified xsi:type="dcterms:W3CDTF">2020-12-31T16:31:00Z</dcterms:modified>
</cp:coreProperties>
</file>