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94" w:rsidRDefault="0067015D" w:rsidP="006021A6">
      <w:pPr>
        <w:pStyle w:val="Encabezado"/>
        <w:tabs>
          <w:tab w:val="clear" w:pos="8504"/>
          <w:tab w:val="left" w:pos="0"/>
          <w:tab w:val="right" w:pos="9356"/>
        </w:tabs>
        <w:ind w:left="0"/>
        <w:jc w:val="both"/>
        <w:rPr>
          <w:rFonts w:ascii="Bookman Old Style" w:hAnsi="Bookman Old Style"/>
          <w:b/>
          <w:bCs/>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8240" fillcolor="#0c9">
            <v:imagedata r:id="rId7" o:title=""/>
          </v:shape>
          <o:OLEObject Type="Embed" ProgID="PBrush" ShapeID="_x0000_s1027" DrawAspect="Content" ObjectID="_1544278334" r:id="rId8"/>
        </w:object>
      </w:r>
    </w:p>
    <w:p w:rsidR="00E01A94" w:rsidRPr="007417BB" w:rsidRDefault="00E01A94" w:rsidP="00E01A94">
      <w:pPr>
        <w:pStyle w:val="Ttulo4"/>
        <w:tabs>
          <w:tab w:val="left" w:pos="0"/>
          <w:tab w:val="right" w:pos="9356"/>
        </w:tabs>
        <w:ind w:left="0"/>
        <w:rPr>
          <w:rFonts w:ascii="Bookman Old Style" w:hAnsi="Bookman Old Style"/>
          <w:b w:val="0"/>
          <w:bCs/>
          <w:noProof/>
          <w:sz w:val="24"/>
          <w:szCs w:val="24"/>
          <w:lang w:val="es-ES"/>
        </w:rPr>
      </w:pPr>
      <w:r w:rsidRPr="007417BB">
        <w:rPr>
          <w:rFonts w:ascii="Bookman Old Style" w:hAnsi="Bookman Old Style"/>
          <w:b w:val="0"/>
          <w:bCs/>
          <w:sz w:val="24"/>
          <w:szCs w:val="24"/>
        </w:rPr>
        <w:t>Ministerio de Minas y Energía</w:t>
      </w:r>
    </w:p>
    <w:p w:rsidR="00E01A94" w:rsidRDefault="00E01A94" w:rsidP="00E01A94">
      <w:pPr>
        <w:pStyle w:val="Ttulo4"/>
        <w:tabs>
          <w:tab w:val="left" w:pos="0"/>
          <w:tab w:val="right" w:pos="9356"/>
        </w:tabs>
        <w:ind w:left="0"/>
        <w:rPr>
          <w:rFonts w:ascii="Bookman Old Style" w:hAnsi="Bookman Old Style"/>
          <w:b w:val="0"/>
          <w:bCs/>
          <w:sz w:val="24"/>
          <w:szCs w:val="24"/>
        </w:rPr>
      </w:pPr>
    </w:p>
    <w:p w:rsidR="007417BB" w:rsidRDefault="007417BB" w:rsidP="007417BB">
      <w:pPr>
        <w:rPr>
          <w:lang w:val="es-ES_tradnl"/>
        </w:rPr>
      </w:pPr>
    </w:p>
    <w:p w:rsidR="00E01A94" w:rsidRPr="007417BB" w:rsidRDefault="00E01A94" w:rsidP="00E01A94">
      <w:pPr>
        <w:pStyle w:val="Ttulo3"/>
        <w:tabs>
          <w:tab w:val="left" w:pos="0"/>
          <w:tab w:val="right" w:pos="9356"/>
        </w:tabs>
        <w:ind w:left="0"/>
        <w:rPr>
          <w:rFonts w:ascii="Bookman Old Style" w:hAnsi="Bookman Old Style" w:cs="Arial"/>
          <w:spacing w:val="20"/>
          <w:szCs w:val="24"/>
        </w:rPr>
      </w:pPr>
      <w:r w:rsidRPr="007417BB">
        <w:rPr>
          <w:rFonts w:ascii="Bookman Old Style" w:hAnsi="Bookman Old Style" w:cs="Arial"/>
          <w:spacing w:val="20"/>
          <w:szCs w:val="24"/>
        </w:rPr>
        <w:t>COMISIÓN DE REGULACIÓN DE ENERGÍA Y GAS -CREG-</w:t>
      </w:r>
    </w:p>
    <w:p w:rsidR="00E01A94" w:rsidRDefault="00E01A94" w:rsidP="00E01A94">
      <w:pPr>
        <w:pStyle w:val="Ttulo5"/>
        <w:tabs>
          <w:tab w:val="left" w:pos="0"/>
          <w:tab w:val="right" w:pos="9356"/>
        </w:tabs>
        <w:ind w:left="0"/>
        <w:rPr>
          <w:rFonts w:ascii="Bookman Old Style" w:hAnsi="Bookman Old Style"/>
          <w:sz w:val="24"/>
          <w:szCs w:val="24"/>
        </w:rPr>
      </w:pPr>
    </w:p>
    <w:p w:rsidR="00E01A94" w:rsidRPr="007417BB" w:rsidRDefault="00E01A94" w:rsidP="00E01A94">
      <w:pPr>
        <w:pStyle w:val="Ttulo5"/>
        <w:tabs>
          <w:tab w:val="left" w:pos="0"/>
          <w:tab w:val="right" w:pos="9356"/>
        </w:tabs>
        <w:ind w:left="0"/>
        <w:rPr>
          <w:rFonts w:ascii="Bookman Old Style" w:hAnsi="Bookman Old Style"/>
          <w:sz w:val="24"/>
          <w:szCs w:val="24"/>
        </w:rPr>
      </w:pPr>
      <w:r w:rsidRPr="007417BB">
        <w:rPr>
          <w:rFonts w:ascii="Bookman Old Style" w:hAnsi="Bookman Old Style"/>
          <w:sz w:val="24"/>
          <w:szCs w:val="24"/>
        </w:rPr>
        <w:t xml:space="preserve">RESOLUCIÓN No.    </w:t>
      </w:r>
      <w:r w:rsidR="006021A6">
        <w:rPr>
          <w:rFonts w:ascii="Bookman Old Style" w:hAnsi="Bookman Old Style"/>
          <w:sz w:val="24"/>
          <w:szCs w:val="24"/>
        </w:rPr>
        <w:t xml:space="preserve">      </w:t>
      </w:r>
      <w:r w:rsidRPr="007417BB">
        <w:rPr>
          <w:rFonts w:ascii="Bookman Old Style" w:hAnsi="Bookman Old Style"/>
          <w:sz w:val="24"/>
          <w:szCs w:val="24"/>
        </w:rPr>
        <w:t xml:space="preserve">      DE 2016</w:t>
      </w:r>
    </w:p>
    <w:p w:rsidR="00E01A94" w:rsidRDefault="00E01A94" w:rsidP="00E01A94">
      <w:pPr>
        <w:tabs>
          <w:tab w:val="left" w:pos="0"/>
          <w:tab w:val="right" w:pos="9356"/>
        </w:tabs>
        <w:ind w:left="0"/>
        <w:jc w:val="center"/>
        <w:rPr>
          <w:rFonts w:ascii="Bookman Old Style" w:hAnsi="Bookman Old Style" w:cs="Arial"/>
          <w:b/>
          <w:snapToGrid w:val="0"/>
          <w:color w:val="000000"/>
          <w:lang w:val="es-ES_tradnl"/>
        </w:rPr>
      </w:pPr>
    </w:p>
    <w:p w:rsidR="00E01A94" w:rsidRPr="007417BB" w:rsidRDefault="00E01A94" w:rsidP="00E01A94">
      <w:pPr>
        <w:pStyle w:val="Ttulo3"/>
        <w:tabs>
          <w:tab w:val="left" w:pos="0"/>
          <w:tab w:val="right" w:pos="9356"/>
        </w:tabs>
        <w:ind w:left="0"/>
        <w:rPr>
          <w:rFonts w:ascii="Bookman Old Style" w:hAnsi="Bookman Old Style"/>
          <w:b w:val="0"/>
          <w:szCs w:val="24"/>
        </w:rPr>
      </w:pPr>
      <w:r w:rsidRPr="007417BB">
        <w:rPr>
          <w:rFonts w:ascii="Bookman Old Style" w:hAnsi="Bookman Old Style"/>
          <w:b w:val="0"/>
          <w:szCs w:val="24"/>
        </w:rPr>
        <w:t xml:space="preserve">(        </w:t>
      </w:r>
      <w:r w:rsidR="006021A6">
        <w:rPr>
          <w:rFonts w:ascii="Bookman Old Style" w:hAnsi="Bookman Old Style"/>
          <w:b w:val="0"/>
          <w:szCs w:val="24"/>
        </w:rPr>
        <w:t xml:space="preserve">           </w:t>
      </w:r>
      <w:r w:rsidRPr="007417BB">
        <w:rPr>
          <w:rFonts w:ascii="Bookman Old Style" w:hAnsi="Bookman Old Style"/>
          <w:b w:val="0"/>
          <w:szCs w:val="24"/>
        </w:rPr>
        <w:t xml:space="preserve">         )</w:t>
      </w:r>
    </w:p>
    <w:p w:rsidR="00E01A94" w:rsidRDefault="00E01A94" w:rsidP="00E01A94">
      <w:pPr>
        <w:tabs>
          <w:tab w:val="left" w:pos="0"/>
          <w:tab w:val="right" w:pos="9356"/>
        </w:tabs>
        <w:ind w:left="0"/>
        <w:jc w:val="center"/>
        <w:rPr>
          <w:rFonts w:ascii="Bookman Old Style" w:hAnsi="Bookman Old Style"/>
          <w:lang w:val="es-ES_tradnl"/>
        </w:rPr>
      </w:pPr>
    </w:p>
    <w:p w:rsidR="007417BB" w:rsidRDefault="007417BB" w:rsidP="00E01A94">
      <w:pPr>
        <w:tabs>
          <w:tab w:val="left" w:pos="0"/>
          <w:tab w:val="right" w:pos="9356"/>
        </w:tabs>
        <w:ind w:left="0"/>
        <w:jc w:val="center"/>
        <w:rPr>
          <w:rFonts w:ascii="Bookman Old Style" w:hAnsi="Bookman Old Style"/>
          <w:lang w:val="es-ES_tradnl"/>
        </w:rPr>
      </w:pPr>
    </w:p>
    <w:p w:rsidR="007417BB" w:rsidRPr="007417BB" w:rsidRDefault="007417BB" w:rsidP="00E01A94">
      <w:pPr>
        <w:tabs>
          <w:tab w:val="left" w:pos="0"/>
          <w:tab w:val="right" w:pos="9356"/>
        </w:tabs>
        <w:ind w:left="0"/>
        <w:jc w:val="center"/>
        <w:rPr>
          <w:rFonts w:ascii="Bookman Old Style" w:hAnsi="Bookman Old Style"/>
          <w:lang w:val="es-ES_tradnl"/>
        </w:rPr>
      </w:pPr>
    </w:p>
    <w:p w:rsidR="00E01A94" w:rsidRPr="007417BB" w:rsidRDefault="00E01A94" w:rsidP="00E01A94">
      <w:pPr>
        <w:ind w:left="0"/>
        <w:rPr>
          <w:rFonts w:ascii="Bookman Old Style" w:hAnsi="Bookman Old Style"/>
          <w:bCs/>
          <w:lang w:val="es-ES_tradnl"/>
        </w:rPr>
      </w:pPr>
    </w:p>
    <w:p w:rsidR="00E01A94" w:rsidRDefault="00E01A94" w:rsidP="006021A6">
      <w:pPr>
        <w:ind w:left="0" w:right="-142"/>
        <w:jc w:val="center"/>
        <w:rPr>
          <w:rFonts w:ascii="Bookman Old Style" w:hAnsi="Bookman Old Style"/>
        </w:rPr>
      </w:pPr>
      <w:r w:rsidRPr="007417BB">
        <w:rPr>
          <w:rFonts w:ascii="Bookman Old Style" w:hAnsi="Bookman Old Style"/>
        </w:rPr>
        <w:t>Por medio de la cual se resuelve un recurso de reposición en contra de la Resolución CREG 188 de 2016</w:t>
      </w:r>
      <w:r w:rsidR="006021A6">
        <w:rPr>
          <w:rFonts w:ascii="Bookman Old Style" w:hAnsi="Bookman Old Style"/>
        </w:rPr>
        <w:t xml:space="preserve">, interpuesto por la </w:t>
      </w:r>
      <w:r w:rsidR="006021A6" w:rsidRPr="007417BB">
        <w:rPr>
          <w:rFonts w:ascii="Bookman Old Style" w:hAnsi="Bookman Old Style" w:cs="Arial"/>
        </w:rPr>
        <w:t>EMPRESA DE ENERGÍA DEL QUINDIO E.S.P. S.A</w:t>
      </w:r>
    </w:p>
    <w:p w:rsidR="006021A6" w:rsidRPr="007417BB" w:rsidRDefault="006021A6" w:rsidP="006021A6">
      <w:pPr>
        <w:ind w:left="0" w:right="-142"/>
        <w:jc w:val="center"/>
        <w:rPr>
          <w:rFonts w:ascii="Bookman Old Style" w:hAnsi="Bookman Old Style"/>
        </w:rPr>
      </w:pPr>
    </w:p>
    <w:p w:rsidR="00E01A94" w:rsidRPr="007417BB" w:rsidRDefault="00E01A94" w:rsidP="00E01A94">
      <w:pPr>
        <w:ind w:left="170" w:right="-454"/>
        <w:jc w:val="both"/>
        <w:rPr>
          <w:rFonts w:ascii="Bookman Old Style" w:hAnsi="Bookman Old Style"/>
        </w:rPr>
      </w:pPr>
    </w:p>
    <w:p w:rsidR="00E01A94" w:rsidRPr="007417BB" w:rsidRDefault="00E01A94" w:rsidP="00E01A94">
      <w:pPr>
        <w:ind w:left="170" w:right="-454"/>
        <w:jc w:val="center"/>
        <w:rPr>
          <w:rFonts w:ascii="Bookman Old Style" w:hAnsi="Bookman Old Style"/>
          <w:b/>
        </w:rPr>
      </w:pPr>
      <w:r w:rsidRPr="007417BB">
        <w:rPr>
          <w:rFonts w:ascii="Bookman Old Style" w:hAnsi="Bookman Old Style"/>
          <w:b/>
        </w:rPr>
        <w:t>LA COMISIÓN DE REGULACIÓN DE ENERGÍA Y GAS -CREG-</w:t>
      </w:r>
    </w:p>
    <w:p w:rsidR="00E01A94" w:rsidRPr="007417BB" w:rsidRDefault="00E01A94" w:rsidP="00E01A94">
      <w:pPr>
        <w:ind w:left="170" w:right="-454"/>
        <w:jc w:val="both"/>
        <w:rPr>
          <w:rFonts w:ascii="Bookman Old Style" w:hAnsi="Bookman Old Style"/>
        </w:rPr>
      </w:pPr>
    </w:p>
    <w:p w:rsidR="00E01A94" w:rsidRPr="007417BB" w:rsidRDefault="00E01A94" w:rsidP="00E01A94">
      <w:pPr>
        <w:ind w:left="170"/>
        <w:jc w:val="both"/>
        <w:rPr>
          <w:rFonts w:ascii="Bookman Old Style" w:hAnsi="Bookman Old Style"/>
        </w:rPr>
      </w:pPr>
      <w:r w:rsidRPr="007417BB">
        <w:rPr>
          <w:rFonts w:ascii="Bookman Old Style" w:hAnsi="Bookman Old Style"/>
        </w:rPr>
        <w:t xml:space="preserve">En uso de sus facultades legales, en especial las conferidas por las Leyes 142 de 1994 y 143 de 1994, y en desarrollo de los decretos 1524 y 2253 de 1994, </w:t>
      </w:r>
    </w:p>
    <w:p w:rsidR="00E01A94" w:rsidRPr="007417BB" w:rsidRDefault="00E01A94" w:rsidP="00E01A94">
      <w:pPr>
        <w:ind w:left="0" w:right="-454"/>
        <w:jc w:val="both"/>
        <w:rPr>
          <w:rFonts w:ascii="Bookman Old Style" w:hAnsi="Bookman Old Style"/>
        </w:rPr>
      </w:pPr>
    </w:p>
    <w:p w:rsidR="00E01A94" w:rsidRPr="007417BB" w:rsidRDefault="00E01A94" w:rsidP="00E01A94">
      <w:pPr>
        <w:tabs>
          <w:tab w:val="center" w:pos="4512"/>
        </w:tabs>
        <w:suppressAutoHyphens/>
        <w:ind w:left="170" w:right="-454"/>
        <w:jc w:val="center"/>
        <w:rPr>
          <w:rFonts w:ascii="Bookman Old Style" w:hAnsi="Bookman Old Style"/>
          <w:b/>
          <w:spacing w:val="-3"/>
        </w:rPr>
      </w:pPr>
      <w:r w:rsidRPr="007417BB">
        <w:rPr>
          <w:rFonts w:ascii="Bookman Old Style" w:hAnsi="Bookman Old Style"/>
          <w:b/>
          <w:spacing w:val="-3"/>
        </w:rPr>
        <w:t>C O N S I D E R A N D O:</w:t>
      </w:r>
    </w:p>
    <w:p w:rsidR="00E01A94" w:rsidRPr="007417BB" w:rsidRDefault="00E01A94"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E01A94" w:rsidRPr="007417BB" w:rsidRDefault="00E01A94" w:rsidP="00E01A94">
      <w:pPr>
        <w:ind w:left="0"/>
        <w:jc w:val="both"/>
        <w:rPr>
          <w:rFonts w:ascii="Bookman Old Style" w:hAnsi="Bookman Old Style" w:cs="Arial"/>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E01A94" w:rsidRPr="007417BB" w:rsidRDefault="00E01A94" w:rsidP="00E01A94">
      <w:pPr>
        <w:pStyle w:val="Prrafodelista"/>
        <w:ind w:left="720"/>
        <w:jc w:val="both"/>
        <w:rPr>
          <w:rFonts w:ascii="Bookman Old Style" w:hAnsi="Bookman Old Style" w:cs="Arial"/>
          <w:sz w:val="24"/>
          <w:szCs w:val="24"/>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Que mediante resolución CREG-188 DE 2016 se señala la contribución que debe pagar a la Comisión de Regulación de Energía y Gas –CREG- cada una de las entidades reguladas por el año 2016.</w:t>
      </w: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 xml:space="preserve"> </w:t>
      </w: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 xml:space="preserve">Que la </w:t>
      </w:r>
      <w:r w:rsidR="006E14B5" w:rsidRPr="007417BB">
        <w:rPr>
          <w:rFonts w:ascii="Bookman Old Style" w:hAnsi="Bookman Old Style" w:cs="Arial"/>
        </w:rPr>
        <w:t>EMPRESA DE ENERGÍA DEL QUINDIO E.S.P. S.A.</w:t>
      </w:r>
      <w:r w:rsidR="00307B21" w:rsidRPr="007417BB">
        <w:rPr>
          <w:rFonts w:ascii="Bookman Old Style" w:hAnsi="Bookman Old Style" w:cs="Arial"/>
        </w:rPr>
        <w:t>,</w:t>
      </w:r>
      <w:r w:rsidR="006E14B5" w:rsidRPr="007417BB">
        <w:rPr>
          <w:rFonts w:ascii="Bookman Old Style" w:hAnsi="Bookman Old Style" w:cs="Arial"/>
        </w:rPr>
        <w:t xml:space="preserve"> </w:t>
      </w:r>
      <w:r w:rsidRPr="007417BB">
        <w:rPr>
          <w:rFonts w:ascii="Bookman Old Style" w:hAnsi="Bookman Old Style" w:cs="Arial"/>
        </w:rPr>
        <w:t xml:space="preserve">fue notificada de manera oportuna del contenido de la resolución CREG-188 de 2016. </w:t>
      </w:r>
    </w:p>
    <w:p w:rsidR="00E01A94" w:rsidRPr="007417BB" w:rsidRDefault="00E01A94" w:rsidP="00E01A94">
      <w:pPr>
        <w:pStyle w:val="Prrafodelista"/>
        <w:rPr>
          <w:rFonts w:ascii="Bookman Old Style" w:hAnsi="Bookman Old Style" w:cs="Arial"/>
          <w:sz w:val="24"/>
          <w:szCs w:val="24"/>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Que encontrándose dentro del término legal, mediante escrito presentado en la Comisión de Regulación de Energía y Gas -CREG- bajo radicado número E-2016-01</w:t>
      </w:r>
      <w:r w:rsidR="00CD7BB7" w:rsidRPr="007417BB">
        <w:rPr>
          <w:rFonts w:ascii="Bookman Old Style" w:hAnsi="Bookman Old Style" w:cs="Arial"/>
        </w:rPr>
        <w:t>3758 del catorce</w:t>
      </w:r>
      <w:r w:rsidRPr="007417BB">
        <w:rPr>
          <w:rFonts w:ascii="Bookman Old Style" w:hAnsi="Bookman Old Style" w:cs="Arial"/>
        </w:rPr>
        <w:t xml:space="preserve"> (1</w:t>
      </w:r>
      <w:r w:rsidR="00CD7BB7" w:rsidRPr="007417BB">
        <w:rPr>
          <w:rFonts w:ascii="Bookman Old Style" w:hAnsi="Bookman Old Style" w:cs="Arial"/>
        </w:rPr>
        <w:t>4</w:t>
      </w:r>
      <w:r w:rsidRPr="007417BB">
        <w:rPr>
          <w:rFonts w:ascii="Bookman Old Style" w:hAnsi="Bookman Old Style" w:cs="Arial"/>
        </w:rPr>
        <w:t xml:space="preserve">) de diciembre de 2016., el </w:t>
      </w:r>
      <w:r w:rsidR="00307B21" w:rsidRPr="007417BB">
        <w:rPr>
          <w:rFonts w:ascii="Bookman Old Style" w:hAnsi="Bookman Old Style" w:cs="Arial"/>
        </w:rPr>
        <w:t xml:space="preserve">Gerente General </w:t>
      </w:r>
      <w:r w:rsidRPr="007417BB">
        <w:rPr>
          <w:rFonts w:ascii="Bookman Old Style" w:hAnsi="Bookman Old Style" w:cs="Arial"/>
        </w:rPr>
        <w:t xml:space="preserve">de la </w:t>
      </w:r>
      <w:r w:rsidR="00307B21" w:rsidRPr="007417BB">
        <w:rPr>
          <w:rFonts w:ascii="Bookman Old Style" w:hAnsi="Bookman Old Style" w:cs="Arial"/>
        </w:rPr>
        <w:lastRenderedPageBreak/>
        <w:t xml:space="preserve">EMPRESA DE ENERGÍA DEL QUINDIO E.S.P. S.A., </w:t>
      </w:r>
      <w:r w:rsidRPr="007417BB">
        <w:rPr>
          <w:rFonts w:ascii="Bookman Old Style" w:hAnsi="Bookman Old Style" w:cs="Arial"/>
        </w:rPr>
        <w:t>presentó recurso de reposición contra la resolución CREG-188 de 2016;</w:t>
      </w:r>
    </w:p>
    <w:p w:rsidR="00E01A94" w:rsidRPr="007417BB" w:rsidRDefault="00E01A94" w:rsidP="00E01A94">
      <w:pPr>
        <w:ind w:left="0"/>
        <w:jc w:val="both"/>
        <w:rPr>
          <w:rFonts w:ascii="Bookman Old Style" w:hAnsi="Bookman Old Style" w:cs="Arial"/>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Que mediante la presente resolución, se procede a resolver este recurso en contra de la Resolución CREG 188 de 2016, con base en las siguientes consideraciones;</w:t>
      </w:r>
    </w:p>
    <w:p w:rsidR="00E01A94" w:rsidRPr="007417BB" w:rsidRDefault="00E01A94" w:rsidP="00E01A94">
      <w:pPr>
        <w:ind w:left="0"/>
        <w:jc w:val="both"/>
        <w:rPr>
          <w:rFonts w:ascii="Bookman Old Style" w:hAnsi="Bookman Old Style" w:cs="Arial"/>
        </w:rPr>
      </w:pPr>
    </w:p>
    <w:p w:rsidR="00E01A94" w:rsidRPr="007417BB" w:rsidRDefault="00E01A94" w:rsidP="00E01A94">
      <w:pPr>
        <w:pStyle w:val="Prrafodelista"/>
        <w:numPr>
          <w:ilvl w:val="0"/>
          <w:numId w:val="2"/>
        </w:numPr>
        <w:jc w:val="both"/>
        <w:rPr>
          <w:rFonts w:ascii="Bookman Old Style" w:hAnsi="Bookman Old Style" w:cs="Arial"/>
          <w:b/>
          <w:sz w:val="24"/>
          <w:szCs w:val="24"/>
        </w:rPr>
      </w:pPr>
      <w:r w:rsidRPr="007417BB">
        <w:rPr>
          <w:rFonts w:ascii="Bookman Old Style" w:hAnsi="Bookman Old Style" w:cs="Arial"/>
          <w:b/>
          <w:sz w:val="24"/>
          <w:szCs w:val="24"/>
        </w:rPr>
        <w:t>EL RECURSO DE REPOSICIÓN</w:t>
      </w:r>
    </w:p>
    <w:p w:rsidR="00E01A94" w:rsidRPr="007417BB" w:rsidRDefault="00E01A94" w:rsidP="00E01A94">
      <w:pPr>
        <w:ind w:left="0"/>
        <w:jc w:val="both"/>
        <w:rPr>
          <w:rFonts w:ascii="Bookman Old Style" w:hAnsi="Bookman Old Style" w:cs="Arial"/>
        </w:rPr>
      </w:pPr>
    </w:p>
    <w:p w:rsidR="00E01A94" w:rsidRPr="007417BB" w:rsidRDefault="00E01A94" w:rsidP="00E01A94">
      <w:pPr>
        <w:pStyle w:val="Prrafodelista"/>
        <w:numPr>
          <w:ilvl w:val="0"/>
          <w:numId w:val="1"/>
        </w:numPr>
        <w:rPr>
          <w:rFonts w:ascii="Bookman Old Style" w:hAnsi="Bookman Old Style" w:cs="Arial"/>
          <w:b/>
          <w:sz w:val="24"/>
          <w:szCs w:val="24"/>
        </w:rPr>
      </w:pPr>
      <w:r w:rsidRPr="007417BB">
        <w:rPr>
          <w:rFonts w:ascii="Bookman Old Style" w:hAnsi="Bookman Old Style" w:cs="Arial"/>
          <w:b/>
          <w:sz w:val="24"/>
          <w:szCs w:val="24"/>
        </w:rPr>
        <w:t>PROCEDENCIA DEL RECURSO</w:t>
      </w:r>
    </w:p>
    <w:p w:rsidR="00E01A94" w:rsidRPr="007417BB" w:rsidRDefault="00E01A94" w:rsidP="00E01A94">
      <w:pPr>
        <w:pStyle w:val="Prrafodelista"/>
        <w:ind w:left="720"/>
        <w:rPr>
          <w:rFonts w:ascii="Bookman Old Style" w:hAnsi="Bookman Old Style" w:cs="Arial"/>
          <w:b/>
          <w:sz w:val="24"/>
          <w:szCs w:val="24"/>
        </w:rPr>
      </w:pPr>
    </w:p>
    <w:p w:rsidR="00E01A94" w:rsidRPr="007417BB" w:rsidRDefault="00E01A94" w:rsidP="00E01A94">
      <w:pPr>
        <w:ind w:left="0"/>
        <w:jc w:val="both"/>
        <w:rPr>
          <w:rFonts w:ascii="Bookman Old Style" w:hAnsi="Bookman Old Style" w:cs="Arial"/>
        </w:rPr>
      </w:pPr>
      <w:r w:rsidRPr="007417BB">
        <w:rPr>
          <w:rFonts w:ascii="Bookman Old Style" w:hAnsi="Bookman Old Style" w:cs="Arial"/>
        </w:rPr>
        <w:t>El recurrente presentó el recurso de reposición contra el artículo 1 de la resolución CREG-188 de  2016, proferida por la Comisión de Regulación de Energía y Gas –CREG-, por medio de la cual se señala la contribución que debe pagar a la Comisión de Regulación de Energía y Gas –CREG- cada una de las entidades reguladas por el año 2016.</w:t>
      </w:r>
    </w:p>
    <w:p w:rsidR="00E01A94" w:rsidRPr="007417BB" w:rsidRDefault="00E01A94" w:rsidP="00E01A94">
      <w:pPr>
        <w:pStyle w:val="Prrafodelista"/>
        <w:ind w:left="0"/>
        <w:jc w:val="both"/>
        <w:rPr>
          <w:rFonts w:ascii="Bookman Old Style" w:hAnsi="Bookman Old Style" w:cs="Arial"/>
          <w:sz w:val="24"/>
          <w:szCs w:val="24"/>
        </w:rPr>
      </w:pPr>
    </w:p>
    <w:p w:rsidR="00E01A94" w:rsidRPr="007417BB" w:rsidRDefault="00E01A94" w:rsidP="00E01A94">
      <w:pPr>
        <w:pStyle w:val="Prrafodelista"/>
        <w:ind w:left="0"/>
        <w:jc w:val="both"/>
        <w:rPr>
          <w:rFonts w:ascii="Bookman Old Style" w:hAnsi="Bookman Old Style" w:cs="Arial"/>
          <w:sz w:val="24"/>
          <w:szCs w:val="24"/>
        </w:rPr>
      </w:pPr>
      <w:r w:rsidRPr="007417BB">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E01A94" w:rsidRPr="007417BB" w:rsidRDefault="00E01A94" w:rsidP="00E01A94">
      <w:pPr>
        <w:pStyle w:val="Prrafodelista"/>
        <w:ind w:left="0"/>
        <w:jc w:val="both"/>
        <w:rPr>
          <w:rFonts w:ascii="Bookman Old Style" w:hAnsi="Bookman Old Style" w:cs="Arial"/>
          <w:sz w:val="24"/>
          <w:szCs w:val="24"/>
        </w:rPr>
      </w:pPr>
    </w:p>
    <w:p w:rsidR="00E01A94" w:rsidRPr="007417BB" w:rsidRDefault="00E01A94" w:rsidP="00E01A94">
      <w:pPr>
        <w:pStyle w:val="Prrafodelista"/>
        <w:ind w:left="0"/>
        <w:jc w:val="both"/>
        <w:rPr>
          <w:rFonts w:ascii="Bookman Old Style" w:hAnsi="Bookman Old Style" w:cs="Arial"/>
          <w:sz w:val="24"/>
          <w:szCs w:val="24"/>
        </w:rPr>
      </w:pPr>
      <w:r w:rsidRPr="007417BB">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E01A94" w:rsidRPr="007417BB" w:rsidRDefault="00E01A94" w:rsidP="00E01A94">
      <w:pPr>
        <w:pStyle w:val="Prrafodelista"/>
        <w:ind w:left="0"/>
        <w:jc w:val="both"/>
        <w:rPr>
          <w:rFonts w:ascii="Bookman Old Style" w:hAnsi="Bookman Old Style" w:cs="Arial"/>
          <w:sz w:val="24"/>
          <w:szCs w:val="24"/>
        </w:rPr>
      </w:pPr>
    </w:p>
    <w:p w:rsidR="00E01A94" w:rsidRPr="007417BB" w:rsidRDefault="00E01A94" w:rsidP="00E01A94">
      <w:pPr>
        <w:pStyle w:val="Prrafodelista"/>
        <w:numPr>
          <w:ilvl w:val="0"/>
          <w:numId w:val="1"/>
        </w:numPr>
        <w:rPr>
          <w:rFonts w:ascii="Bookman Old Style" w:hAnsi="Bookman Old Style" w:cs="Arial"/>
          <w:b/>
          <w:sz w:val="24"/>
          <w:szCs w:val="24"/>
        </w:rPr>
      </w:pPr>
      <w:r w:rsidRPr="007417BB">
        <w:rPr>
          <w:rFonts w:ascii="Bookman Old Style" w:hAnsi="Bookman Old Style" w:cs="Arial"/>
          <w:b/>
          <w:sz w:val="24"/>
          <w:szCs w:val="24"/>
        </w:rPr>
        <w:t>RAZONES Y FUNDAMENTOS DEL RECURSO DE REPOSICIÓN</w:t>
      </w:r>
    </w:p>
    <w:p w:rsidR="00E01A94" w:rsidRPr="007417BB" w:rsidRDefault="00E01A94"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rPr>
      </w:pPr>
      <w:r w:rsidRPr="007417BB">
        <w:rPr>
          <w:rFonts w:ascii="Bookman Old Style" w:hAnsi="Bookman Old Style"/>
        </w:rPr>
        <w:t>Los fundamentos del recurrente se exponen a continuación:</w:t>
      </w:r>
    </w:p>
    <w:p w:rsidR="00E01A94" w:rsidRPr="007417BB" w:rsidRDefault="00E01A94" w:rsidP="00E01A94">
      <w:pPr>
        <w:ind w:left="170"/>
        <w:jc w:val="both"/>
        <w:rPr>
          <w:rFonts w:ascii="Bookman Old Style" w:hAnsi="Bookman Old Style"/>
        </w:rPr>
      </w:pPr>
    </w:p>
    <w:p w:rsidR="00E01A94" w:rsidRPr="007417BB" w:rsidRDefault="00E01A94" w:rsidP="00E01A94">
      <w:pPr>
        <w:ind w:left="170"/>
        <w:jc w:val="both"/>
        <w:rPr>
          <w:rFonts w:ascii="Bookman Old Style" w:hAnsi="Bookman Old Style"/>
        </w:rPr>
      </w:pPr>
      <w:r w:rsidRPr="007417BB">
        <w:rPr>
          <w:rFonts w:ascii="Bookman Old Style" w:hAnsi="Bookman Old Style"/>
        </w:rPr>
        <w:t>Argumenta el recurrente que:</w:t>
      </w:r>
    </w:p>
    <w:p w:rsidR="00E01A94" w:rsidRPr="007417BB" w:rsidRDefault="00E01A94" w:rsidP="00E01A94">
      <w:pPr>
        <w:ind w:left="0"/>
        <w:jc w:val="both"/>
        <w:rPr>
          <w:rFonts w:ascii="Bookman Old Style" w:hAnsi="Bookman Old Style"/>
        </w:rPr>
      </w:pPr>
    </w:p>
    <w:p w:rsidR="008E729D"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r w:rsidRPr="007417BB">
        <w:rPr>
          <w:rStyle w:val="CharStyle10"/>
          <w:rFonts w:ascii="Bookman Old Style" w:eastAsiaTheme="minorHAnsi" w:hAnsi="Bookman Old Style"/>
          <w:i/>
          <w:color w:val="000000"/>
          <w:lang w:val="es-CO" w:eastAsia="es-ES_tradnl"/>
        </w:rPr>
        <w:t>“</w:t>
      </w:r>
      <w:r w:rsidRPr="007417BB">
        <w:rPr>
          <w:rStyle w:val="CharStyle10"/>
          <w:rFonts w:ascii="Bookman Old Style" w:eastAsiaTheme="minorHAnsi" w:hAnsi="Bookman Old Style"/>
          <w:i/>
          <w:color w:val="000000"/>
          <w:sz w:val="24"/>
          <w:szCs w:val="24"/>
          <w:lang w:val="es-CO" w:eastAsia="es-ES_tradnl"/>
        </w:rPr>
        <w:t>Es necesario que la Comisión revise la información que le sirvió para sacar la base de la contribución, pues los estados financieros reportados al SUI puede generar, que sean incluidas las cuentas 53 (Provisiones, depreciaciones y amortización); cuentas que por su naturaleza, no obedecen a gastos de funcionamiento y que por sus valores incrementarán considerablemente el valor de la contribución.</w:t>
      </w:r>
    </w:p>
    <w:p w:rsidR="008E729D"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p>
    <w:p w:rsidR="007417BB" w:rsidRDefault="008E729D" w:rsidP="008E729D">
      <w:pPr>
        <w:ind w:left="0"/>
        <w:jc w:val="both"/>
        <w:rPr>
          <w:rStyle w:val="CharStyle10"/>
          <w:rFonts w:ascii="Bookman Old Style" w:eastAsiaTheme="minorHAnsi" w:hAnsi="Bookman Old Style"/>
          <w:i/>
          <w:color w:val="000000"/>
          <w:sz w:val="24"/>
          <w:szCs w:val="24"/>
          <w:lang w:val="es-CO" w:eastAsia="es-ES_tradnl"/>
        </w:rPr>
      </w:pPr>
      <w:r w:rsidRPr="007417BB">
        <w:rPr>
          <w:rStyle w:val="CharStyle10"/>
          <w:rFonts w:ascii="Bookman Old Style" w:eastAsiaTheme="minorHAnsi" w:hAnsi="Bookman Old Style"/>
          <w:i/>
          <w:color w:val="000000"/>
          <w:sz w:val="24"/>
          <w:szCs w:val="24"/>
          <w:lang w:val="es-CO" w:eastAsia="es-ES_tradnl"/>
        </w:rPr>
        <w:t>Lo anterior, debido a que la información presentada por EDEQ al SUI hasta la vigencia 2015, correspondía a la establecida de conformidad con la norma contable vigente en Colombia hasta ese momento, es decir el Decreto 2649 de 1993 (COLGAAP). Dado que en enero de 2015 la empresa hizo la declaratoria de entrada a Normas Internacionales de Información Financiera (NIIF), esto es, empezó a llevar contabilidad de manera oficial bajo los parámetros establecidos por el International Accounting Standards Board (IASB), la información presentada al SUI en 2016 difiere sustancialmente de la de años anteriores, lo cual por la manera en que se entregaron los datos alteró significativamente y sin sustento lógico, legal ni reglamentario la base para la liquidación de la contribución.</w:t>
      </w:r>
    </w:p>
    <w:p w:rsidR="007417BB" w:rsidRDefault="007417BB" w:rsidP="008E729D">
      <w:pPr>
        <w:ind w:left="0"/>
        <w:jc w:val="both"/>
        <w:rPr>
          <w:rStyle w:val="CharStyle10"/>
          <w:rFonts w:ascii="Bookman Old Style" w:eastAsiaTheme="minorHAnsi" w:hAnsi="Bookman Old Style"/>
          <w:i/>
          <w:color w:val="000000"/>
          <w:sz w:val="24"/>
          <w:szCs w:val="24"/>
          <w:lang w:val="es-CO" w:eastAsia="es-ES_tradnl"/>
        </w:rPr>
      </w:pPr>
    </w:p>
    <w:p w:rsidR="008E729D"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r w:rsidRPr="007417BB">
        <w:rPr>
          <w:rStyle w:val="CharStyle10"/>
          <w:rFonts w:ascii="Bookman Old Style" w:eastAsiaTheme="minorHAnsi" w:hAnsi="Bookman Old Style"/>
          <w:i/>
          <w:color w:val="000000"/>
          <w:sz w:val="24"/>
          <w:szCs w:val="24"/>
          <w:lang w:val="es-CO" w:eastAsia="es-ES_tradnl"/>
        </w:rPr>
        <w:t xml:space="preserve">En efecto, en esta vigencia (2016) la SSPD solicitó la remisión al SUI del formato FC 001, formato complementario de costos y gastos, y la Dirección Contabilidad de EPM se encargó de que cada uno de los renglones solicitados correspondiera con los estados financieros NIIF. En este punto se gestaron las diferencias sustanciales en la base de la contribución de 2016 frente a los años precedentes, puesto que cuando en años anteriores se tomaba como base para liquidar la contribución los gastos de administración, se acudía únicamente a las cuentas 51, pero en este período, en dichas cuentas se agruparon de un lado las cuentas 53 (Provisiones, amortizaciones y depreciaciones) </w:t>
      </w:r>
    </w:p>
    <w:p w:rsidR="008E729D"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p>
    <w:p w:rsidR="00E01A94"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r w:rsidRPr="007417BB">
        <w:rPr>
          <w:rStyle w:val="CharStyle10"/>
          <w:rFonts w:ascii="Bookman Old Style" w:eastAsiaTheme="minorHAnsi" w:hAnsi="Bookman Old Style"/>
          <w:i/>
          <w:color w:val="000000"/>
          <w:sz w:val="24"/>
          <w:szCs w:val="24"/>
          <w:lang w:val="es-CO" w:eastAsia="es-ES_tradnl"/>
        </w:rPr>
        <w:t>Las cuentas del grupo 53 no corresponden a un gasto de administración, veamos:</w:t>
      </w:r>
    </w:p>
    <w:p w:rsidR="008E729D" w:rsidRPr="007417BB" w:rsidRDefault="008E729D" w:rsidP="008E729D">
      <w:pPr>
        <w:ind w:left="0"/>
        <w:jc w:val="both"/>
        <w:rPr>
          <w:rStyle w:val="CharStyle10"/>
          <w:rFonts w:ascii="Bookman Old Style" w:eastAsiaTheme="minorHAnsi" w:hAnsi="Bookman Old Style"/>
          <w:i/>
          <w:color w:val="000000"/>
          <w:sz w:val="24"/>
          <w:szCs w:val="24"/>
          <w:lang w:val="es-CO" w:eastAsia="es-ES_tradnl"/>
        </w:rPr>
      </w:pPr>
    </w:p>
    <w:p w:rsidR="008E729D" w:rsidRPr="007417BB" w:rsidRDefault="008E729D"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 xml:space="preserve">Estas cuentas se registran gastos no efectivos que realmente no corresponden a un gasto de administración, ni siquiera se trata de </w:t>
      </w:r>
      <w:r w:rsidR="00307B21" w:rsidRPr="007417BB">
        <w:rPr>
          <w:rStyle w:val="CharStyle10"/>
          <w:rFonts w:ascii="Bookman Old Style" w:hAnsi="Bookman Old Style"/>
          <w:i/>
          <w:color w:val="000000"/>
          <w:sz w:val="24"/>
          <w:szCs w:val="24"/>
          <w:lang w:eastAsia="es-ES_tradnl"/>
        </w:rPr>
        <w:t>una</w:t>
      </w:r>
      <w:r w:rsidRPr="007417BB">
        <w:rPr>
          <w:rStyle w:val="CharStyle10"/>
          <w:rFonts w:ascii="Bookman Old Style" w:hAnsi="Bookman Old Style"/>
          <w:i/>
          <w:color w:val="000000"/>
          <w:sz w:val="24"/>
          <w:szCs w:val="24"/>
          <w:lang w:eastAsia="es-ES_tradnl"/>
        </w:rPr>
        <w:t xml:space="preserve"> erogación real sino de un reconocimiento contable, por lo cual no deben ser base para la liquidación de la contribución. La Contaduría General de la Nación define los conceptos Provisiones, amortizaciones y depreciaciones en los siguientes términos:</w:t>
      </w:r>
    </w:p>
    <w:p w:rsidR="008E729D" w:rsidRPr="007417BB" w:rsidRDefault="008E729D" w:rsidP="008E729D">
      <w:pPr>
        <w:ind w:left="0"/>
        <w:jc w:val="both"/>
        <w:rPr>
          <w:rStyle w:val="CharStyle10"/>
          <w:rFonts w:ascii="Bookman Old Style" w:hAnsi="Bookman Old Style"/>
          <w:i/>
          <w:color w:val="000000"/>
          <w:sz w:val="24"/>
          <w:szCs w:val="24"/>
          <w:lang w:eastAsia="es-ES_tradnl"/>
        </w:rPr>
      </w:pPr>
    </w:p>
    <w:p w:rsidR="008E729D" w:rsidRDefault="008E729D"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“PROVISI</w:t>
      </w:r>
      <w:r w:rsidR="00D057FB" w:rsidRPr="007417BB">
        <w:rPr>
          <w:rStyle w:val="CharStyle10"/>
          <w:rFonts w:ascii="Bookman Old Style" w:hAnsi="Bookman Old Style"/>
          <w:i/>
          <w:color w:val="000000"/>
          <w:sz w:val="24"/>
          <w:szCs w:val="24"/>
          <w:lang w:eastAsia="es-ES_tradnl"/>
        </w:rPr>
        <w:t>ÓN:</w:t>
      </w:r>
      <w:r w:rsidRPr="007417BB">
        <w:rPr>
          <w:rStyle w:val="CharStyle10"/>
          <w:rFonts w:ascii="Bookman Old Style" w:hAnsi="Bookman Old Style"/>
          <w:i/>
          <w:color w:val="000000"/>
          <w:sz w:val="24"/>
          <w:szCs w:val="24"/>
          <w:lang w:eastAsia="es-ES_tradnl"/>
        </w:rPr>
        <w:t xml:space="preserve"> Representa </w:t>
      </w:r>
      <w:r w:rsidR="00D057FB" w:rsidRPr="007417BB">
        <w:rPr>
          <w:rStyle w:val="CharStyle10"/>
          <w:rFonts w:ascii="Bookman Old Style" w:hAnsi="Bookman Old Style"/>
          <w:i/>
          <w:color w:val="000000"/>
          <w:sz w:val="24"/>
          <w:szCs w:val="24"/>
          <w:lang w:eastAsia="es-ES_tradnl"/>
        </w:rPr>
        <w:t xml:space="preserve">el valor de las estimaciones que </w:t>
      </w:r>
      <w:r w:rsidRPr="007417BB">
        <w:rPr>
          <w:rStyle w:val="CharStyle10"/>
          <w:rFonts w:ascii="Bookman Old Style" w:hAnsi="Bookman Old Style"/>
          <w:i/>
          <w:color w:val="000000"/>
          <w:sz w:val="24"/>
          <w:szCs w:val="24"/>
          <w:lang w:eastAsia="es-ES_tradnl"/>
        </w:rPr>
        <w:t>debe efectuar e</w:t>
      </w:r>
      <w:r w:rsidR="00D057FB" w:rsidRPr="007417BB">
        <w:rPr>
          <w:rStyle w:val="CharStyle10"/>
          <w:rFonts w:ascii="Bookman Old Style" w:hAnsi="Bookman Old Style"/>
          <w:i/>
          <w:color w:val="000000"/>
          <w:sz w:val="24"/>
          <w:szCs w:val="24"/>
          <w:lang w:eastAsia="es-ES_tradnl"/>
        </w:rPr>
        <w:t>l</w:t>
      </w:r>
      <w:r w:rsidRPr="007417BB">
        <w:rPr>
          <w:rStyle w:val="CharStyle10"/>
          <w:rFonts w:ascii="Bookman Old Style" w:hAnsi="Bookman Old Style"/>
          <w:i/>
          <w:color w:val="000000"/>
          <w:sz w:val="24"/>
          <w:szCs w:val="24"/>
          <w:lang w:eastAsia="es-ES_tradnl"/>
        </w:rPr>
        <w:t xml:space="preserve"> ente</w:t>
      </w:r>
      <w:r w:rsidR="00D057FB" w:rsidRPr="007417BB">
        <w:rPr>
          <w:rStyle w:val="CharStyle10"/>
          <w:rFonts w:ascii="Bookman Old Style" w:hAnsi="Bookman Old Style"/>
          <w:i/>
          <w:color w:val="000000"/>
          <w:sz w:val="24"/>
          <w:szCs w:val="24"/>
          <w:lang w:eastAsia="es-ES_tradnl"/>
        </w:rPr>
        <w:t xml:space="preserve"> </w:t>
      </w:r>
      <w:r w:rsidRPr="007417BB">
        <w:rPr>
          <w:rStyle w:val="CharStyle10"/>
          <w:rFonts w:ascii="Bookman Old Style" w:hAnsi="Bookman Old Style"/>
          <w:i/>
          <w:color w:val="000000"/>
          <w:sz w:val="24"/>
          <w:szCs w:val="24"/>
          <w:lang w:eastAsia="es-ES_tradnl"/>
        </w:rPr>
        <w:t>púb</w:t>
      </w:r>
      <w:r w:rsidR="00D057FB" w:rsidRPr="007417BB">
        <w:rPr>
          <w:rStyle w:val="CharStyle10"/>
          <w:rFonts w:ascii="Bookman Old Style" w:hAnsi="Bookman Old Style"/>
          <w:i/>
          <w:color w:val="000000"/>
          <w:sz w:val="24"/>
          <w:szCs w:val="24"/>
          <w:lang w:eastAsia="es-ES_tradnl"/>
        </w:rPr>
        <w:t xml:space="preserve">lico para cubrir las contingencias de perdidas como resultado del riesgo de incobrabilidad, mercado o demerito del costo de los activos, así como las estimaciones para cubrir obligaciones, costos </w:t>
      </w:r>
      <w:r w:rsidRPr="007417BB">
        <w:rPr>
          <w:rStyle w:val="CharStyle10"/>
          <w:rFonts w:ascii="Bookman Old Style" w:hAnsi="Bookman Old Style"/>
          <w:i/>
          <w:color w:val="000000"/>
          <w:sz w:val="24"/>
          <w:szCs w:val="24"/>
          <w:lang w:eastAsia="es-ES_tradnl"/>
        </w:rPr>
        <w:t>y</w:t>
      </w:r>
      <w:r w:rsidR="00D057FB" w:rsidRPr="007417BB">
        <w:rPr>
          <w:rStyle w:val="CharStyle10"/>
          <w:rFonts w:ascii="Bookman Old Style" w:hAnsi="Bookman Old Style"/>
          <w:i/>
          <w:color w:val="000000"/>
          <w:sz w:val="24"/>
          <w:szCs w:val="24"/>
          <w:lang w:eastAsia="es-ES_tradnl"/>
        </w:rPr>
        <w:t xml:space="preserve"> </w:t>
      </w:r>
      <w:r w:rsidRPr="007417BB">
        <w:rPr>
          <w:rStyle w:val="CharStyle10"/>
          <w:rFonts w:ascii="Bookman Old Style" w:hAnsi="Bookman Old Style"/>
          <w:i/>
          <w:color w:val="000000"/>
          <w:sz w:val="24"/>
          <w:szCs w:val="24"/>
          <w:lang w:eastAsia="es-ES_tradnl"/>
        </w:rPr>
        <w:t xml:space="preserve">gastos futuros no </w:t>
      </w:r>
      <w:r w:rsidR="00D057FB" w:rsidRPr="007417BB">
        <w:rPr>
          <w:rStyle w:val="CharStyle10"/>
          <w:rFonts w:ascii="Bookman Old Style" w:hAnsi="Bookman Old Style"/>
          <w:i/>
          <w:color w:val="000000"/>
          <w:sz w:val="24"/>
          <w:szCs w:val="24"/>
          <w:lang w:eastAsia="es-ES_tradnl"/>
        </w:rPr>
        <w:t>determinados o acreencias laborales no consoli</w:t>
      </w:r>
      <w:r w:rsidRPr="007417BB">
        <w:rPr>
          <w:rStyle w:val="CharStyle10"/>
          <w:rFonts w:ascii="Bookman Old Style" w:hAnsi="Bookman Old Style"/>
          <w:i/>
          <w:color w:val="000000"/>
          <w:sz w:val="24"/>
          <w:szCs w:val="24"/>
          <w:lang w:eastAsia="es-ES_tradnl"/>
        </w:rPr>
        <w:t xml:space="preserve">dadas, como </w:t>
      </w:r>
      <w:r w:rsidR="00D057FB" w:rsidRPr="007417BB">
        <w:rPr>
          <w:rStyle w:val="CharStyle10"/>
          <w:rFonts w:ascii="Bookman Old Style" w:hAnsi="Bookman Old Style"/>
          <w:i/>
          <w:color w:val="000000"/>
          <w:sz w:val="24"/>
          <w:szCs w:val="24"/>
          <w:lang w:eastAsia="es-ES_tradnl"/>
        </w:rPr>
        <w:t>consecuencia</w:t>
      </w:r>
      <w:r w:rsidRPr="007417BB">
        <w:rPr>
          <w:rStyle w:val="CharStyle10"/>
          <w:rFonts w:ascii="Bookman Old Style" w:hAnsi="Bookman Old Style"/>
          <w:i/>
          <w:color w:val="000000"/>
          <w:sz w:val="24"/>
          <w:szCs w:val="24"/>
          <w:lang w:eastAsia="es-ES_tradnl"/>
        </w:rPr>
        <w:t xml:space="preserve"> </w:t>
      </w:r>
      <w:r w:rsidR="00D057FB" w:rsidRPr="007417BB">
        <w:rPr>
          <w:rStyle w:val="CharStyle10"/>
          <w:rFonts w:ascii="Bookman Old Style" w:hAnsi="Bookman Old Style"/>
          <w:i/>
          <w:color w:val="000000"/>
          <w:sz w:val="24"/>
          <w:szCs w:val="24"/>
          <w:lang w:eastAsia="es-ES_tradnl"/>
        </w:rPr>
        <w:t xml:space="preserve">del </w:t>
      </w:r>
      <w:r w:rsidRPr="007417BB">
        <w:rPr>
          <w:rStyle w:val="CharStyle10"/>
          <w:rFonts w:ascii="Bookman Old Style" w:hAnsi="Bookman Old Style"/>
          <w:i/>
          <w:color w:val="000000"/>
          <w:sz w:val="24"/>
          <w:szCs w:val="24"/>
          <w:lang w:eastAsia="es-ES_tradnl"/>
        </w:rPr>
        <w:t xml:space="preserve">proceso </w:t>
      </w:r>
      <w:r w:rsidR="00D057FB" w:rsidRPr="007417BB">
        <w:rPr>
          <w:rStyle w:val="CharStyle10"/>
          <w:rFonts w:ascii="Bookman Old Style" w:hAnsi="Bookman Old Style"/>
          <w:i/>
          <w:color w:val="000000"/>
          <w:sz w:val="24"/>
          <w:szCs w:val="24"/>
          <w:lang w:eastAsia="es-ES_tradnl"/>
        </w:rPr>
        <w:t xml:space="preserve">operacional </w:t>
      </w:r>
      <w:r w:rsidRPr="007417BB">
        <w:rPr>
          <w:rStyle w:val="CharStyle10"/>
          <w:rFonts w:ascii="Bookman Old Style" w:hAnsi="Bookman Old Style"/>
          <w:i/>
          <w:color w:val="000000"/>
          <w:sz w:val="24"/>
          <w:szCs w:val="24"/>
          <w:lang w:eastAsia="es-ES_tradnl"/>
        </w:rPr>
        <w:t>o</w:t>
      </w:r>
      <w:r w:rsidR="00D057FB" w:rsidRPr="007417BB">
        <w:rPr>
          <w:rStyle w:val="CharStyle10"/>
          <w:rFonts w:ascii="Bookman Old Style" w:hAnsi="Bookman Old Style"/>
          <w:i/>
          <w:color w:val="000000"/>
          <w:sz w:val="24"/>
          <w:szCs w:val="24"/>
          <w:lang w:eastAsia="es-ES_tradnl"/>
        </w:rPr>
        <w:t xml:space="preserve"> actividades </w:t>
      </w:r>
      <w:r w:rsidRPr="007417BB">
        <w:rPr>
          <w:rStyle w:val="CharStyle10"/>
          <w:rFonts w:ascii="Bookman Old Style" w:hAnsi="Bookman Old Style"/>
          <w:i/>
          <w:color w:val="000000"/>
          <w:sz w:val="24"/>
          <w:szCs w:val="24"/>
          <w:lang w:eastAsia="es-ES_tradnl"/>
        </w:rPr>
        <w:t xml:space="preserve">permanentes </w:t>
      </w:r>
      <w:r w:rsidR="006021A6">
        <w:rPr>
          <w:rStyle w:val="CharStyle10"/>
          <w:rFonts w:ascii="Bookman Old Style" w:hAnsi="Bookman Old Style"/>
          <w:i/>
          <w:color w:val="000000"/>
          <w:sz w:val="24"/>
          <w:szCs w:val="24"/>
          <w:lang w:eastAsia="es-ES_tradnl"/>
        </w:rPr>
        <w:t xml:space="preserve">que lleve a cabo. </w:t>
      </w:r>
    </w:p>
    <w:p w:rsidR="006021A6" w:rsidRPr="007417BB" w:rsidRDefault="006021A6" w:rsidP="008E729D">
      <w:pPr>
        <w:ind w:left="0"/>
        <w:jc w:val="both"/>
        <w:rPr>
          <w:rStyle w:val="CharStyle10"/>
          <w:rFonts w:ascii="Bookman Old Style" w:hAnsi="Bookman Old Style"/>
          <w:i/>
          <w:color w:val="000000"/>
          <w:sz w:val="24"/>
          <w:szCs w:val="24"/>
          <w:lang w:eastAsia="es-ES_tradnl"/>
        </w:rPr>
      </w:pPr>
    </w:p>
    <w:p w:rsidR="008E729D" w:rsidRPr="007417BB" w:rsidRDefault="00D057FB"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AMORTIZACIÓN: Reducción al valor en libros de una partida de activo fijo</w:t>
      </w:r>
      <w:r w:rsidR="008E729D" w:rsidRPr="007417BB">
        <w:rPr>
          <w:rStyle w:val="CharStyle10"/>
          <w:rFonts w:ascii="Bookman Old Style" w:hAnsi="Bookman Old Style"/>
          <w:i/>
          <w:color w:val="000000"/>
          <w:sz w:val="24"/>
          <w:szCs w:val="24"/>
          <w:lang w:eastAsia="es-ES_tradnl"/>
        </w:rPr>
        <w:t>.</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Es té</w:t>
      </w:r>
      <w:r w:rsidRPr="007417BB">
        <w:rPr>
          <w:rStyle w:val="CharStyle10"/>
          <w:rFonts w:ascii="Bookman Old Style" w:hAnsi="Bookman Old Style"/>
          <w:i/>
          <w:color w:val="000000"/>
          <w:sz w:val="24"/>
          <w:szCs w:val="24"/>
          <w:lang w:eastAsia="es-ES_tradnl"/>
        </w:rPr>
        <w:t xml:space="preserve">rmino genérico para depreciación, agotamiento, baja </w:t>
      </w:r>
      <w:r w:rsidR="008E729D" w:rsidRPr="007417BB">
        <w:rPr>
          <w:rStyle w:val="CharStyle10"/>
          <w:rFonts w:ascii="Bookman Old Style" w:hAnsi="Bookman Old Style"/>
          <w:i/>
          <w:color w:val="000000"/>
          <w:sz w:val="24"/>
          <w:szCs w:val="24"/>
          <w:lang w:eastAsia="es-ES_tradnl"/>
        </w:rPr>
        <w:t xml:space="preserve">en </w:t>
      </w:r>
      <w:r w:rsidRPr="007417BB">
        <w:rPr>
          <w:rStyle w:val="CharStyle10"/>
          <w:rFonts w:ascii="Bookman Old Style" w:hAnsi="Bookman Old Style"/>
          <w:i/>
          <w:color w:val="000000"/>
          <w:sz w:val="24"/>
          <w:szCs w:val="24"/>
          <w:lang w:eastAsia="es-ES_tradnl"/>
        </w:rPr>
        <w:t>li</w:t>
      </w:r>
      <w:r w:rsidR="008E729D" w:rsidRPr="007417BB">
        <w:rPr>
          <w:rStyle w:val="CharStyle10"/>
          <w:rFonts w:ascii="Bookman Old Style" w:hAnsi="Bookman Old Style"/>
          <w:i/>
          <w:color w:val="000000"/>
          <w:sz w:val="24"/>
          <w:szCs w:val="24"/>
          <w:lang w:eastAsia="es-ES_tradnl"/>
        </w:rPr>
        <w:t>bros,</w:t>
      </w:r>
      <w:r w:rsidRPr="007417BB">
        <w:rPr>
          <w:rStyle w:val="CharStyle10"/>
          <w:rFonts w:ascii="Bookman Old Style" w:hAnsi="Bookman Old Style"/>
          <w:i/>
          <w:color w:val="000000"/>
          <w:sz w:val="24"/>
          <w:szCs w:val="24"/>
          <w:lang w:eastAsia="es-ES_tradnl"/>
        </w:rPr>
        <w:t xml:space="preserve"> de </w:t>
      </w:r>
      <w:r w:rsidR="008E729D" w:rsidRPr="007417BB">
        <w:rPr>
          <w:rStyle w:val="CharStyle10"/>
          <w:rFonts w:ascii="Bookman Old Style" w:hAnsi="Bookman Old Style"/>
          <w:i/>
          <w:color w:val="000000"/>
          <w:sz w:val="24"/>
          <w:szCs w:val="24"/>
          <w:lang w:eastAsia="es-ES_tradnl"/>
        </w:rPr>
        <w:t xml:space="preserve">una </w:t>
      </w:r>
      <w:r w:rsidRPr="007417BB">
        <w:rPr>
          <w:rStyle w:val="CharStyle10"/>
          <w:rFonts w:ascii="Bookman Old Style" w:hAnsi="Bookman Old Style"/>
          <w:i/>
          <w:color w:val="000000"/>
          <w:sz w:val="24"/>
          <w:szCs w:val="24"/>
          <w:lang w:eastAsia="es-ES_tradnl"/>
        </w:rPr>
        <w:t xml:space="preserve">partida </w:t>
      </w:r>
      <w:r w:rsidR="008E729D" w:rsidRPr="007417BB">
        <w:rPr>
          <w:rStyle w:val="CharStyle10"/>
          <w:rFonts w:ascii="Bookman Old Style" w:hAnsi="Bookman Old Style"/>
          <w:i/>
          <w:color w:val="000000"/>
          <w:sz w:val="24"/>
          <w:szCs w:val="24"/>
          <w:lang w:eastAsia="es-ES_tradnl"/>
        </w:rPr>
        <w:t>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 xml:space="preserve">grupo de partidas de activo de </w:t>
      </w:r>
      <w:r w:rsidRPr="007417BB">
        <w:rPr>
          <w:rStyle w:val="CharStyle10"/>
          <w:rFonts w:ascii="Bookman Old Style" w:hAnsi="Bookman Old Style"/>
          <w:i/>
          <w:color w:val="000000"/>
          <w:sz w:val="24"/>
          <w:szCs w:val="24"/>
          <w:lang w:eastAsia="es-ES_tradnl"/>
        </w:rPr>
        <w:t>vida limitada</w:t>
      </w:r>
      <w:r w:rsidR="008E729D" w:rsidRPr="007417BB">
        <w:rPr>
          <w:rStyle w:val="CharStyle10"/>
          <w:rFonts w:ascii="Bookman Old Style" w:hAnsi="Bookman Old Style"/>
          <w:i/>
          <w:color w:val="000000"/>
          <w:sz w:val="24"/>
          <w:szCs w:val="24"/>
          <w:lang w:eastAsia="es-ES_tradnl"/>
        </w:rPr>
        <w:t>, bien sea mediante un crédito directo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por medio de una cuenta de va</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uación, por tanto, e</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 xml:space="preserve"> importe de esta reducción constituye genéricamente una amortización, 2, </w:t>
      </w:r>
      <w:r w:rsidRPr="007417BB">
        <w:rPr>
          <w:rStyle w:val="CharStyle10"/>
          <w:rFonts w:ascii="Bookman Old Style" w:hAnsi="Bookman Old Style"/>
          <w:i/>
          <w:color w:val="000000"/>
          <w:sz w:val="24"/>
          <w:szCs w:val="24"/>
          <w:lang w:eastAsia="es-ES_tradnl"/>
        </w:rPr>
        <w:t>Devolución gradual</w:t>
      </w:r>
      <w:r w:rsidR="008E729D" w:rsidRPr="007417BB">
        <w:rPr>
          <w:rStyle w:val="CharStyle10"/>
          <w:rFonts w:ascii="Bookman Old Style" w:hAnsi="Bookman Old Style"/>
          <w:i/>
          <w:color w:val="000000"/>
          <w:sz w:val="24"/>
          <w:szCs w:val="24"/>
          <w:lang w:eastAsia="es-ES_tradnl"/>
        </w:rPr>
        <w:t xml:space="preserve"> de una deuda</w:t>
      </w:r>
      <w:r w:rsidRPr="007417BB">
        <w:rPr>
          <w:rStyle w:val="CharStyle10"/>
          <w:rFonts w:ascii="Bookman Old Style" w:hAnsi="Bookman Old Style"/>
          <w:i/>
          <w:color w:val="000000"/>
          <w:sz w:val="24"/>
          <w:szCs w:val="24"/>
          <w:lang w:eastAsia="es-ES_tradnl"/>
        </w:rPr>
        <w:t>;</w:t>
      </w:r>
      <w:r w:rsidR="008E729D" w:rsidRPr="007417BB">
        <w:rPr>
          <w:rStyle w:val="CharStyle10"/>
          <w:rFonts w:ascii="Bookman Old Style" w:hAnsi="Bookman Old Style"/>
          <w:i/>
          <w:color w:val="000000"/>
          <w:sz w:val="24"/>
          <w:szCs w:val="24"/>
          <w:lang w:eastAsia="es-ES_tradnl"/>
        </w:rPr>
        <w:t xml:space="preserve"> también se </w:t>
      </w:r>
      <w:r w:rsidRPr="007417BB">
        <w:rPr>
          <w:rStyle w:val="CharStyle10"/>
          <w:rFonts w:ascii="Bookman Old Style" w:hAnsi="Bookman Old Style"/>
          <w:i/>
          <w:color w:val="000000"/>
          <w:sz w:val="24"/>
          <w:szCs w:val="24"/>
          <w:lang w:eastAsia="es-ES_tradnl"/>
        </w:rPr>
        <w:t xml:space="preserve">utiliza </w:t>
      </w:r>
      <w:r w:rsidR="008E729D" w:rsidRPr="007417BB">
        <w:rPr>
          <w:rStyle w:val="CharStyle10"/>
          <w:rFonts w:ascii="Bookman Old Style" w:hAnsi="Bookman Old Style"/>
          <w:i/>
          <w:color w:val="000000"/>
          <w:sz w:val="24"/>
          <w:szCs w:val="24"/>
          <w:lang w:eastAsia="es-ES_tradnl"/>
        </w:rPr>
        <w:t>e</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 xml:space="preserve"> término para</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referirse</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Pr="007417BB">
        <w:rPr>
          <w:rStyle w:val="CharStyle10"/>
          <w:rFonts w:ascii="Bookman Old Style" w:hAnsi="Bookman Old Style"/>
          <w:i/>
          <w:color w:val="000000"/>
          <w:sz w:val="24"/>
          <w:szCs w:val="24"/>
          <w:lang w:eastAsia="es-ES_tradnl"/>
        </w:rPr>
        <w:t xml:space="preserve"> la redención de l</w:t>
      </w:r>
      <w:r w:rsidR="008E729D" w:rsidRPr="007417BB">
        <w:rPr>
          <w:rStyle w:val="CharStyle10"/>
          <w:rFonts w:ascii="Bookman Old Style" w:hAnsi="Bookman Old Style"/>
          <w:i/>
          <w:color w:val="000000"/>
          <w:sz w:val="24"/>
          <w:szCs w:val="24"/>
          <w:lang w:eastAsia="es-ES_tradnl"/>
        </w:rPr>
        <w:t xml:space="preserve">os </w:t>
      </w:r>
      <w:r w:rsidRPr="007417BB">
        <w:rPr>
          <w:rStyle w:val="CharStyle10"/>
          <w:rFonts w:ascii="Bookman Old Style" w:hAnsi="Bookman Old Style"/>
          <w:i/>
          <w:color w:val="000000"/>
          <w:sz w:val="24"/>
          <w:szCs w:val="24"/>
          <w:lang w:eastAsia="es-ES_tradnl"/>
        </w:rPr>
        <w:t>valores</w:t>
      </w:r>
      <w:r w:rsidR="008E729D" w:rsidRPr="007417BB">
        <w:rPr>
          <w:rStyle w:val="CharStyle10"/>
          <w:rFonts w:ascii="Bookman Old Style" w:hAnsi="Bookman Old Style"/>
          <w:i/>
          <w:color w:val="000000"/>
          <w:sz w:val="24"/>
          <w:szCs w:val="24"/>
          <w:lang w:eastAsia="es-ES_tradnl"/>
        </w:rPr>
        <w:t xml:space="preserve"> mediante pagos</w:t>
      </w:r>
      <w:r w:rsidRPr="007417BB">
        <w:rPr>
          <w:rStyle w:val="CharStyle10"/>
          <w:rFonts w:ascii="Bookman Old Style" w:hAnsi="Bookman Old Style"/>
          <w:i/>
          <w:color w:val="000000"/>
          <w:sz w:val="24"/>
          <w:szCs w:val="24"/>
          <w:lang w:eastAsia="es-ES_tradnl"/>
        </w:rPr>
        <w:t xml:space="preserve"> periódicos, s</w:t>
      </w:r>
      <w:r w:rsidR="008E729D" w:rsidRPr="007417BB">
        <w:rPr>
          <w:rStyle w:val="CharStyle10"/>
          <w:rFonts w:ascii="Bookman Old Style" w:hAnsi="Bookman Old Style"/>
          <w:i/>
          <w:color w:val="000000"/>
          <w:sz w:val="24"/>
          <w:szCs w:val="24"/>
          <w:lang w:eastAsia="es-ES_tradnl"/>
        </w:rPr>
        <w:t>e refiere</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Pr="007417BB">
        <w:rPr>
          <w:rStyle w:val="CharStyle10"/>
          <w:rFonts w:ascii="Bookman Old Style" w:hAnsi="Bookman Old Style"/>
          <w:i/>
          <w:color w:val="000000"/>
          <w:sz w:val="24"/>
          <w:szCs w:val="24"/>
          <w:lang w:eastAsia="es-ES_tradnl"/>
        </w:rPr>
        <w:t xml:space="preserve"> la distribución del </w:t>
      </w:r>
      <w:r w:rsidR="008E729D" w:rsidRPr="007417BB">
        <w:rPr>
          <w:rStyle w:val="CharStyle10"/>
          <w:rFonts w:ascii="Bookman Old Style" w:hAnsi="Bookman Old Style"/>
          <w:i/>
          <w:color w:val="000000"/>
          <w:sz w:val="24"/>
          <w:szCs w:val="24"/>
          <w:lang w:eastAsia="es-ES_tradnl"/>
        </w:rPr>
        <w:t xml:space="preserve">costo de un activo </w:t>
      </w:r>
      <w:r w:rsidRPr="007417BB">
        <w:rPr>
          <w:rStyle w:val="CharStyle10"/>
          <w:rFonts w:ascii="Bookman Old Style" w:hAnsi="Bookman Old Style"/>
          <w:i/>
          <w:color w:val="000000"/>
          <w:sz w:val="24"/>
          <w:szCs w:val="24"/>
          <w:lang w:eastAsia="es-ES_tradnl"/>
        </w:rPr>
        <w:t>amortizable</w:t>
      </w:r>
      <w:r w:rsidR="008E729D" w:rsidRPr="007417BB">
        <w:rPr>
          <w:rStyle w:val="CharStyle10"/>
          <w:rFonts w:ascii="Bookman Old Style" w:hAnsi="Bookman Old Style"/>
          <w:i/>
          <w:color w:val="000000"/>
          <w:sz w:val="24"/>
          <w:szCs w:val="24"/>
          <w:lang w:eastAsia="es-ES_tradnl"/>
        </w:rPr>
        <w:t xml:space="preserve"> durante et tiempo en </w:t>
      </w:r>
      <w:r w:rsidRPr="007417BB">
        <w:rPr>
          <w:rStyle w:val="CharStyle10"/>
          <w:rFonts w:ascii="Bookman Old Style" w:hAnsi="Bookman Old Style"/>
          <w:i/>
          <w:color w:val="000000"/>
          <w:sz w:val="24"/>
          <w:szCs w:val="24"/>
          <w:lang w:eastAsia="es-ES_tradnl"/>
        </w:rPr>
        <w:t xml:space="preserve">que </w:t>
      </w:r>
      <w:r w:rsidR="008E729D" w:rsidRPr="007417BB">
        <w:rPr>
          <w:rStyle w:val="CharStyle10"/>
          <w:rFonts w:ascii="Bookman Old Style" w:hAnsi="Bookman Old Style"/>
          <w:i/>
          <w:color w:val="000000"/>
          <w:sz w:val="24"/>
          <w:szCs w:val="24"/>
          <w:lang w:eastAsia="es-ES_tradnl"/>
        </w:rPr>
        <w:t>contribuye</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Pr="007417BB">
        <w:rPr>
          <w:rStyle w:val="CharStyle10"/>
          <w:rFonts w:ascii="Bookman Old Style" w:hAnsi="Bookman Old Style"/>
          <w:i/>
          <w:color w:val="000000"/>
          <w:sz w:val="24"/>
          <w:szCs w:val="24"/>
          <w:lang w:eastAsia="es-ES_tradnl"/>
        </w:rPr>
        <w:t xml:space="preserve"> l</w:t>
      </w:r>
      <w:r w:rsidR="008E729D" w:rsidRPr="007417BB">
        <w:rPr>
          <w:rStyle w:val="CharStyle10"/>
          <w:rFonts w:ascii="Bookman Old Style" w:hAnsi="Bookman Old Style"/>
          <w:i/>
          <w:color w:val="000000"/>
          <w:sz w:val="24"/>
          <w:szCs w:val="24"/>
          <w:lang w:eastAsia="es-ES_tradnl"/>
        </w:rPr>
        <w:t xml:space="preserve">a generación </w:t>
      </w:r>
      <w:r w:rsidRPr="007417BB">
        <w:rPr>
          <w:rStyle w:val="CharStyle10"/>
          <w:rFonts w:ascii="Bookman Old Style" w:hAnsi="Bookman Old Style"/>
          <w:i/>
          <w:color w:val="000000"/>
          <w:sz w:val="24"/>
          <w:szCs w:val="24"/>
          <w:lang w:eastAsia="es-ES_tradnl"/>
        </w:rPr>
        <w:t xml:space="preserve">del </w:t>
      </w:r>
      <w:r w:rsidR="008E729D" w:rsidRPr="007417BB">
        <w:rPr>
          <w:rStyle w:val="CharStyle10"/>
          <w:rFonts w:ascii="Bookman Old Style" w:hAnsi="Bookman Old Style"/>
          <w:i/>
          <w:color w:val="000000"/>
          <w:sz w:val="24"/>
          <w:szCs w:val="24"/>
          <w:lang w:eastAsia="es-ES_tradnl"/>
        </w:rPr>
        <w:t>ingreso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w:t>
      </w:r>
      <w:r w:rsidRPr="007417BB">
        <w:rPr>
          <w:rStyle w:val="CharStyle10"/>
          <w:rFonts w:ascii="Bookman Old Style" w:hAnsi="Bookman Old Style"/>
          <w:i/>
          <w:color w:val="000000"/>
          <w:sz w:val="24"/>
          <w:szCs w:val="24"/>
          <w:lang w:eastAsia="es-ES_tradnl"/>
        </w:rPr>
        <w:t xml:space="preserve"> al cumplimiento de las actividades propias de l</w:t>
      </w:r>
      <w:r w:rsidR="008E729D" w:rsidRPr="007417BB">
        <w:rPr>
          <w:rStyle w:val="CharStyle10"/>
          <w:rFonts w:ascii="Bookman Old Style" w:hAnsi="Bookman Old Style"/>
          <w:i/>
          <w:color w:val="000000"/>
          <w:sz w:val="24"/>
          <w:szCs w:val="24"/>
          <w:lang w:eastAsia="es-ES_tradnl"/>
        </w:rPr>
        <w:t>a función administrativa</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cometido</w:t>
      </w:r>
      <w:r w:rsidRPr="007417BB">
        <w:rPr>
          <w:rStyle w:val="CharStyle10"/>
          <w:rFonts w:ascii="Bookman Old Style" w:hAnsi="Bookman Old Style"/>
          <w:i/>
          <w:color w:val="000000"/>
          <w:sz w:val="24"/>
          <w:szCs w:val="24"/>
          <w:lang w:eastAsia="es-ES_tradnl"/>
        </w:rPr>
        <w:t xml:space="preserve"> estatal del</w:t>
      </w:r>
      <w:r w:rsidR="008E729D" w:rsidRPr="007417BB">
        <w:rPr>
          <w:rStyle w:val="CharStyle10"/>
          <w:rFonts w:ascii="Bookman Old Style" w:hAnsi="Bookman Old Style"/>
          <w:i/>
          <w:color w:val="000000"/>
          <w:sz w:val="24"/>
          <w:szCs w:val="24"/>
          <w:lang w:eastAsia="es-ES_tradnl"/>
        </w:rPr>
        <w:t xml:space="preserve"> ente </w:t>
      </w:r>
      <w:r w:rsidRPr="007417BB">
        <w:rPr>
          <w:rStyle w:val="CharStyle10"/>
          <w:rFonts w:ascii="Bookman Old Style" w:hAnsi="Bookman Old Style"/>
          <w:i/>
          <w:color w:val="000000"/>
          <w:sz w:val="24"/>
          <w:szCs w:val="24"/>
          <w:lang w:eastAsia="es-ES_tradnl"/>
        </w:rPr>
        <w:t>público</w:t>
      </w:r>
    </w:p>
    <w:p w:rsidR="00D057FB" w:rsidRPr="007417BB" w:rsidRDefault="00D057FB" w:rsidP="008E729D">
      <w:pPr>
        <w:ind w:left="0"/>
        <w:jc w:val="both"/>
        <w:rPr>
          <w:rStyle w:val="CharStyle10"/>
          <w:rFonts w:ascii="Bookman Old Style" w:hAnsi="Bookman Old Style"/>
          <w:i/>
          <w:color w:val="000000"/>
          <w:sz w:val="24"/>
          <w:szCs w:val="24"/>
          <w:lang w:eastAsia="es-ES_tradnl"/>
        </w:rPr>
      </w:pPr>
    </w:p>
    <w:p w:rsidR="008E729D" w:rsidRPr="007417BB" w:rsidRDefault="00D057FB"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DEPRECIACION</w:t>
      </w:r>
      <w:r w:rsidR="008E729D" w:rsidRPr="007417BB">
        <w:rPr>
          <w:rStyle w:val="CharStyle10"/>
          <w:rFonts w:ascii="Bookman Old Style" w:hAnsi="Bookman Old Style"/>
          <w:i/>
          <w:color w:val="000000"/>
          <w:sz w:val="24"/>
          <w:szCs w:val="24"/>
          <w:lang w:eastAsia="es-ES_tradnl"/>
        </w:rPr>
        <w:t xml:space="preserve">, Reconocimiento </w:t>
      </w:r>
      <w:r w:rsidRPr="007417BB">
        <w:rPr>
          <w:rStyle w:val="CharStyle10"/>
          <w:rFonts w:ascii="Bookman Old Style" w:hAnsi="Bookman Old Style"/>
          <w:i/>
          <w:color w:val="000000"/>
          <w:sz w:val="24"/>
          <w:szCs w:val="24"/>
          <w:lang w:eastAsia="es-ES_tradnl"/>
        </w:rPr>
        <w:t xml:space="preserve">racional </w:t>
      </w:r>
      <w:r w:rsidR="008E729D" w:rsidRPr="007417BB">
        <w:rPr>
          <w:rStyle w:val="CharStyle10"/>
          <w:rFonts w:ascii="Bookman Old Style" w:hAnsi="Bookman Old Style"/>
          <w:i/>
          <w:color w:val="000000"/>
          <w:sz w:val="24"/>
          <w:szCs w:val="24"/>
          <w:lang w:eastAsia="es-ES_tradnl"/>
        </w:rPr>
        <w:t xml:space="preserve">y sistemático </w:t>
      </w:r>
      <w:r w:rsidRPr="007417BB">
        <w:rPr>
          <w:rStyle w:val="CharStyle10"/>
          <w:rFonts w:ascii="Bookman Old Style" w:hAnsi="Bookman Old Style"/>
          <w:i/>
          <w:color w:val="000000"/>
          <w:sz w:val="24"/>
          <w:szCs w:val="24"/>
          <w:lang w:eastAsia="es-ES_tradnl"/>
        </w:rPr>
        <w:t>del costo de l</w:t>
      </w:r>
      <w:r w:rsidR="008E729D" w:rsidRPr="007417BB">
        <w:rPr>
          <w:rStyle w:val="CharStyle10"/>
          <w:rFonts w:ascii="Bookman Old Style" w:hAnsi="Bookman Old Style"/>
          <w:i/>
          <w:color w:val="000000"/>
          <w:sz w:val="24"/>
          <w:szCs w:val="24"/>
          <w:lang w:eastAsia="es-ES_tradnl"/>
        </w:rPr>
        <w:t>os bienes, distribuido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durante</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 xml:space="preserve">su vida </w:t>
      </w:r>
      <w:r w:rsidR="00307B21" w:rsidRPr="007417BB">
        <w:rPr>
          <w:rStyle w:val="CharStyle10"/>
          <w:rFonts w:ascii="Bookman Old Style" w:hAnsi="Bookman Old Style"/>
          <w:i/>
          <w:color w:val="000000"/>
          <w:sz w:val="24"/>
          <w:szCs w:val="24"/>
          <w:lang w:eastAsia="es-ES_tradnl"/>
        </w:rPr>
        <w:t>útil</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estimada, con</w:t>
      </w:r>
      <w:r w:rsidRPr="007417BB">
        <w:rPr>
          <w:rStyle w:val="CharStyle10"/>
          <w:rFonts w:ascii="Bookman Old Style" w:hAnsi="Bookman Old Style"/>
          <w:i/>
          <w:color w:val="000000"/>
          <w:sz w:val="24"/>
          <w:szCs w:val="24"/>
          <w:lang w:eastAsia="es-ES_tradnl"/>
        </w:rPr>
        <w:t xml:space="preserve"> </w:t>
      </w:r>
      <w:r w:rsidR="00307B21" w:rsidRPr="007417BB">
        <w:rPr>
          <w:rStyle w:val="CharStyle10"/>
          <w:rFonts w:ascii="Bookman Old Style" w:hAnsi="Bookman Old Style"/>
          <w:i/>
          <w:color w:val="000000"/>
          <w:sz w:val="24"/>
          <w:szCs w:val="24"/>
          <w:lang w:eastAsia="es-ES_tradnl"/>
        </w:rPr>
        <w:t>el</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fin</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 xml:space="preserve">de obtener </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os re</w:t>
      </w:r>
      <w:r w:rsidRPr="007417BB">
        <w:rPr>
          <w:rStyle w:val="CharStyle10"/>
          <w:rFonts w:ascii="Bookman Old Style" w:hAnsi="Bookman Old Style"/>
          <w:i/>
          <w:color w:val="000000"/>
          <w:sz w:val="24"/>
          <w:szCs w:val="24"/>
          <w:lang w:eastAsia="es-ES_tradnl"/>
        </w:rPr>
        <w:t>cursos necesarios para l</w:t>
      </w:r>
      <w:r w:rsidR="008E729D" w:rsidRPr="007417BB">
        <w:rPr>
          <w:rStyle w:val="CharStyle10"/>
          <w:rFonts w:ascii="Bookman Old Style" w:hAnsi="Bookman Old Style"/>
          <w:i/>
          <w:color w:val="000000"/>
          <w:sz w:val="24"/>
          <w:szCs w:val="24"/>
          <w:lang w:eastAsia="es-ES_tradnl"/>
        </w:rPr>
        <w:t xml:space="preserve">a reposición de </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 xml:space="preserve">os bienes, de manera </w:t>
      </w:r>
      <w:r w:rsidRPr="007417BB">
        <w:rPr>
          <w:rStyle w:val="CharStyle10"/>
          <w:rFonts w:ascii="Bookman Old Style" w:hAnsi="Bookman Old Style"/>
          <w:i/>
          <w:color w:val="000000"/>
          <w:sz w:val="24"/>
          <w:szCs w:val="24"/>
          <w:lang w:eastAsia="es-ES_tradnl"/>
        </w:rPr>
        <w:t>que</w:t>
      </w:r>
      <w:r w:rsidR="008E729D" w:rsidRPr="007417BB">
        <w:rPr>
          <w:rStyle w:val="CharStyle10"/>
          <w:rFonts w:ascii="Bookman Old Style" w:hAnsi="Bookman Old Style"/>
          <w:i/>
          <w:color w:val="000000"/>
          <w:sz w:val="24"/>
          <w:szCs w:val="24"/>
          <w:lang w:eastAsia="es-ES_tradnl"/>
        </w:rPr>
        <w:t xml:space="preserve"> se conserve </w:t>
      </w:r>
      <w:r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a capacidad</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operativa</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 xml:space="preserve">productiva </w:t>
      </w:r>
      <w:r w:rsidR="00CD7BB7" w:rsidRPr="007417BB">
        <w:rPr>
          <w:rStyle w:val="CharStyle10"/>
          <w:rFonts w:ascii="Bookman Old Style" w:hAnsi="Bookman Old Style"/>
          <w:i/>
          <w:color w:val="000000"/>
          <w:sz w:val="24"/>
          <w:szCs w:val="24"/>
          <w:lang w:eastAsia="es-ES_tradnl"/>
        </w:rPr>
        <w:t>del</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ente</w:t>
      </w:r>
      <w:r w:rsidRPr="007417BB">
        <w:rPr>
          <w:rStyle w:val="CharStyle10"/>
          <w:rFonts w:ascii="Bookman Old Style" w:hAnsi="Bookman Old Style"/>
          <w:i/>
          <w:color w:val="000000"/>
          <w:sz w:val="24"/>
          <w:szCs w:val="24"/>
          <w:lang w:eastAsia="es-ES_tradnl"/>
        </w:rPr>
        <w:t xml:space="preserve"> </w:t>
      </w:r>
      <w:r w:rsidR="00CD7BB7" w:rsidRPr="007417BB">
        <w:rPr>
          <w:rStyle w:val="CharStyle10"/>
          <w:rFonts w:ascii="Bookman Old Style" w:hAnsi="Bookman Old Style"/>
          <w:i/>
          <w:color w:val="000000"/>
          <w:sz w:val="24"/>
          <w:szCs w:val="24"/>
          <w:lang w:eastAsia="es-ES_tradnl"/>
        </w:rPr>
        <w:t>público</w:t>
      </w:r>
      <w:r w:rsidRPr="007417BB">
        <w:rPr>
          <w:rStyle w:val="CharStyle10"/>
          <w:rFonts w:ascii="Bookman Old Style" w:hAnsi="Bookman Old Style"/>
          <w:i/>
          <w:color w:val="000000"/>
          <w:sz w:val="24"/>
          <w:szCs w:val="24"/>
          <w:lang w:eastAsia="es-ES_tradnl"/>
        </w:rPr>
        <w:t>, s</w:t>
      </w:r>
      <w:r w:rsidR="008E729D" w:rsidRPr="007417BB">
        <w:rPr>
          <w:rStyle w:val="CharStyle10"/>
          <w:rFonts w:ascii="Bookman Old Style" w:hAnsi="Bookman Old Style"/>
          <w:i/>
          <w:color w:val="000000"/>
          <w:sz w:val="24"/>
          <w:szCs w:val="24"/>
          <w:lang w:eastAsia="es-ES_tradnl"/>
        </w:rPr>
        <w:t xml:space="preserve">u distribución debe hacerse </w:t>
      </w:r>
      <w:r w:rsidRPr="007417BB">
        <w:rPr>
          <w:rStyle w:val="CharStyle10"/>
          <w:rFonts w:ascii="Bookman Old Style" w:hAnsi="Bookman Old Style"/>
          <w:i/>
          <w:color w:val="000000"/>
          <w:sz w:val="24"/>
          <w:szCs w:val="24"/>
          <w:lang w:eastAsia="es-ES_tradnl"/>
        </w:rPr>
        <w:t>empleando l</w:t>
      </w:r>
      <w:r w:rsidR="008E729D" w:rsidRPr="007417BB">
        <w:rPr>
          <w:rStyle w:val="CharStyle10"/>
          <w:rFonts w:ascii="Bookman Old Style" w:hAnsi="Bookman Old Style"/>
          <w:i/>
          <w:color w:val="000000"/>
          <w:sz w:val="24"/>
          <w:szCs w:val="24"/>
          <w:lang w:eastAsia="es-ES_tradnl"/>
        </w:rPr>
        <w:t>os criterios de tiempo</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y</w:t>
      </w:r>
      <w:r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productividad,</w:t>
      </w:r>
      <w:r w:rsidRPr="007417BB">
        <w:rPr>
          <w:rStyle w:val="CharStyle10"/>
          <w:rFonts w:ascii="Bookman Old Style" w:hAnsi="Bookman Old Style"/>
          <w:i/>
          <w:color w:val="000000"/>
          <w:sz w:val="24"/>
          <w:szCs w:val="24"/>
          <w:lang w:eastAsia="es-ES_tradnl"/>
        </w:rPr>
        <w:t xml:space="preserve"> mediante uno de l</w:t>
      </w:r>
      <w:r w:rsidR="008E729D" w:rsidRPr="007417BB">
        <w:rPr>
          <w:rStyle w:val="CharStyle10"/>
          <w:rFonts w:ascii="Bookman Old Style" w:hAnsi="Bookman Old Style"/>
          <w:i/>
          <w:color w:val="000000"/>
          <w:sz w:val="24"/>
          <w:szCs w:val="24"/>
          <w:lang w:eastAsia="es-ES_tradnl"/>
        </w:rPr>
        <w:t xml:space="preserve">os siguientes métodos. </w:t>
      </w:r>
      <w:r w:rsidRPr="007417BB">
        <w:rPr>
          <w:rStyle w:val="CharStyle10"/>
          <w:rFonts w:ascii="Bookman Old Style" w:hAnsi="Bookman Old Style"/>
          <w:i/>
          <w:color w:val="000000"/>
          <w:sz w:val="24"/>
          <w:szCs w:val="24"/>
          <w:lang w:eastAsia="es-ES_tradnl"/>
        </w:rPr>
        <w:t>Línea</w:t>
      </w:r>
      <w:r w:rsidR="008E729D" w:rsidRPr="007417BB">
        <w:rPr>
          <w:rStyle w:val="CharStyle10"/>
          <w:rFonts w:ascii="Bookman Old Style" w:hAnsi="Bookman Old Style"/>
          <w:i/>
          <w:color w:val="000000"/>
          <w:sz w:val="24"/>
          <w:szCs w:val="24"/>
          <w:lang w:eastAsia="es-ES_tradnl"/>
        </w:rPr>
        <w:t xml:space="preserve"> recta,</w:t>
      </w:r>
      <w:r w:rsidRPr="007417BB">
        <w:rPr>
          <w:rStyle w:val="CharStyle10"/>
          <w:rFonts w:ascii="Bookman Old Style" w:hAnsi="Bookman Old Style"/>
          <w:i/>
          <w:color w:val="000000"/>
          <w:sz w:val="24"/>
          <w:szCs w:val="24"/>
          <w:lang w:eastAsia="es-ES_tradnl"/>
        </w:rPr>
        <w:t xml:space="preserve"> suma de l</w:t>
      </w:r>
      <w:r w:rsidR="008E729D" w:rsidRPr="007417BB">
        <w:rPr>
          <w:rStyle w:val="CharStyle10"/>
          <w:rFonts w:ascii="Bookman Old Style" w:hAnsi="Bookman Old Style"/>
          <w:i/>
          <w:color w:val="000000"/>
          <w:sz w:val="24"/>
          <w:szCs w:val="24"/>
          <w:lang w:eastAsia="es-ES_tradnl"/>
        </w:rPr>
        <w:t xml:space="preserve">os </w:t>
      </w:r>
      <w:r w:rsidRPr="007417BB">
        <w:rPr>
          <w:rStyle w:val="CharStyle10"/>
          <w:rFonts w:ascii="Bookman Old Style" w:hAnsi="Bookman Old Style"/>
          <w:i/>
          <w:color w:val="000000"/>
          <w:sz w:val="24"/>
          <w:szCs w:val="24"/>
          <w:lang w:eastAsia="es-ES_tradnl"/>
        </w:rPr>
        <w:t>dígitos de l</w:t>
      </w:r>
      <w:r w:rsidR="008E729D" w:rsidRPr="007417BB">
        <w:rPr>
          <w:rStyle w:val="CharStyle10"/>
          <w:rFonts w:ascii="Bookman Old Style" w:hAnsi="Bookman Old Style"/>
          <w:i/>
          <w:color w:val="000000"/>
          <w:sz w:val="24"/>
          <w:szCs w:val="24"/>
          <w:lang w:eastAsia="es-ES_tradnl"/>
        </w:rPr>
        <w:t xml:space="preserve">os años, </w:t>
      </w:r>
      <w:r w:rsidRPr="007417BB">
        <w:rPr>
          <w:rStyle w:val="CharStyle10"/>
          <w:rFonts w:ascii="Bookman Old Style" w:hAnsi="Bookman Old Style"/>
          <w:i/>
          <w:color w:val="000000"/>
          <w:sz w:val="24"/>
          <w:szCs w:val="24"/>
          <w:lang w:eastAsia="es-ES_tradnl"/>
        </w:rPr>
        <w:t>saldos</w:t>
      </w:r>
      <w:r w:rsidR="008E729D" w:rsidRPr="007417BB">
        <w:rPr>
          <w:rStyle w:val="CharStyle10"/>
          <w:rFonts w:ascii="Bookman Old Style" w:hAnsi="Bookman Old Style"/>
          <w:i/>
          <w:color w:val="000000"/>
          <w:sz w:val="24"/>
          <w:szCs w:val="24"/>
          <w:lang w:eastAsia="es-ES_tradnl"/>
        </w:rPr>
        <w:t xml:space="preserve"> decrecientes, número de unidades producidas o número de </w:t>
      </w:r>
      <w:r w:rsidRPr="007417BB">
        <w:rPr>
          <w:rStyle w:val="CharStyle10"/>
          <w:rFonts w:ascii="Bookman Old Style" w:hAnsi="Bookman Old Style"/>
          <w:i/>
          <w:color w:val="000000"/>
          <w:sz w:val="24"/>
          <w:szCs w:val="24"/>
          <w:lang w:eastAsia="es-ES_tradnl"/>
        </w:rPr>
        <w:t>horas</w:t>
      </w:r>
      <w:r w:rsidR="008E729D" w:rsidRPr="007417BB">
        <w:rPr>
          <w:rStyle w:val="CharStyle10"/>
          <w:rFonts w:ascii="Bookman Old Style" w:hAnsi="Bookman Old Style"/>
          <w:i/>
          <w:color w:val="000000"/>
          <w:sz w:val="24"/>
          <w:szCs w:val="24"/>
          <w:lang w:eastAsia="es-ES_tradnl"/>
        </w:rPr>
        <w:t xml:space="preserve"> de funcionamiento, o </w:t>
      </w:r>
      <w:r w:rsidRPr="007417BB">
        <w:rPr>
          <w:rStyle w:val="CharStyle10"/>
          <w:rFonts w:ascii="Bookman Old Style" w:hAnsi="Bookman Old Style"/>
          <w:i/>
          <w:color w:val="000000"/>
          <w:sz w:val="24"/>
          <w:szCs w:val="24"/>
          <w:lang w:eastAsia="es-ES_tradnl"/>
        </w:rPr>
        <w:t>cualquier</w:t>
      </w:r>
      <w:r w:rsidR="008E729D" w:rsidRPr="007417BB">
        <w:rPr>
          <w:rStyle w:val="CharStyle10"/>
          <w:rFonts w:ascii="Bookman Old Style" w:hAnsi="Bookman Old Style"/>
          <w:i/>
          <w:color w:val="000000"/>
          <w:sz w:val="24"/>
          <w:szCs w:val="24"/>
          <w:lang w:eastAsia="es-ES_tradnl"/>
        </w:rPr>
        <w:t xml:space="preserve"> otro de reconocido </w:t>
      </w:r>
      <w:r w:rsidRPr="007417BB">
        <w:rPr>
          <w:rStyle w:val="CharStyle10"/>
          <w:rFonts w:ascii="Bookman Old Style" w:hAnsi="Bookman Old Style"/>
          <w:i/>
          <w:color w:val="000000"/>
          <w:sz w:val="24"/>
          <w:szCs w:val="24"/>
          <w:lang w:eastAsia="es-ES_tradnl"/>
        </w:rPr>
        <w:t>valor</w:t>
      </w:r>
      <w:r w:rsidR="008E729D" w:rsidRPr="007417BB">
        <w:rPr>
          <w:rStyle w:val="CharStyle10"/>
          <w:rFonts w:ascii="Bookman Old Style" w:hAnsi="Bookman Old Style"/>
          <w:i/>
          <w:color w:val="000000"/>
          <w:sz w:val="24"/>
          <w:szCs w:val="24"/>
          <w:lang w:eastAsia="es-ES_tradnl"/>
        </w:rPr>
        <w:t xml:space="preserve"> </w:t>
      </w:r>
      <w:r w:rsidR="00CD7BB7" w:rsidRPr="007417BB">
        <w:rPr>
          <w:rStyle w:val="CharStyle10"/>
          <w:rFonts w:ascii="Bookman Old Style" w:hAnsi="Bookman Old Style"/>
          <w:i/>
          <w:color w:val="000000"/>
          <w:sz w:val="24"/>
          <w:szCs w:val="24"/>
          <w:lang w:eastAsia="es-ES_tradnl"/>
        </w:rPr>
        <w:t xml:space="preserve">técnico, </w:t>
      </w:r>
      <w:r w:rsidR="00307B21" w:rsidRPr="007417BB">
        <w:rPr>
          <w:rStyle w:val="CharStyle10"/>
          <w:rFonts w:ascii="Bookman Old Style" w:hAnsi="Bookman Old Style"/>
          <w:i/>
          <w:color w:val="000000"/>
          <w:sz w:val="24"/>
          <w:szCs w:val="24"/>
          <w:lang w:eastAsia="es-ES_tradnl"/>
        </w:rPr>
        <w:t>que</w:t>
      </w:r>
      <w:r w:rsidR="00CD7BB7" w:rsidRPr="007417BB">
        <w:rPr>
          <w:rStyle w:val="CharStyle10"/>
          <w:rFonts w:ascii="Bookman Old Style" w:hAnsi="Bookman Old Style"/>
          <w:i/>
          <w:color w:val="000000"/>
          <w:sz w:val="24"/>
          <w:szCs w:val="24"/>
          <w:lang w:eastAsia="es-ES_tradnl"/>
        </w:rPr>
        <w:t xml:space="preserve"> debe revelarse en l</w:t>
      </w:r>
      <w:r w:rsidR="008E729D" w:rsidRPr="007417BB">
        <w:rPr>
          <w:rStyle w:val="CharStyle10"/>
          <w:rFonts w:ascii="Bookman Old Style" w:hAnsi="Bookman Old Style"/>
          <w:i/>
          <w:color w:val="000000"/>
          <w:sz w:val="24"/>
          <w:szCs w:val="24"/>
          <w:lang w:eastAsia="es-ES_tradnl"/>
        </w:rPr>
        <w:t>as notas</w:t>
      </w:r>
      <w:r w:rsidR="00CD7BB7"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00CD7BB7" w:rsidRPr="007417BB">
        <w:rPr>
          <w:rStyle w:val="CharStyle10"/>
          <w:rFonts w:ascii="Bookman Old Style" w:hAnsi="Bookman Old Style"/>
          <w:i/>
          <w:color w:val="000000"/>
          <w:sz w:val="24"/>
          <w:szCs w:val="24"/>
          <w:lang w:eastAsia="es-ES_tradnl"/>
        </w:rPr>
        <w:t xml:space="preserve"> l</w:t>
      </w:r>
      <w:r w:rsidR="008E729D" w:rsidRPr="007417BB">
        <w:rPr>
          <w:rStyle w:val="CharStyle10"/>
          <w:rFonts w:ascii="Bookman Old Style" w:hAnsi="Bookman Old Style"/>
          <w:i/>
          <w:color w:val="000000"/>
          <w:sz w:val="24"/>
          <w:szCs w:val="24"/>
          <w:lang w:eastAsia="es-ES_tradnl"/>
        </w:rPr>
        <w:t xml:space="preserve">os estados </w:t>
      </w:r>
      <w:r w:rsidR="00CD7BB7" w:rsidRPr="007417BB">
        <w:rPr>
          <w:rStyle w:val="CharStyle10"/>
          <w:rFonts w:ascii="Bookman Old Style" w:hAnsi="Bookman Old Style"/>
          <w:i/>
          <w:color w:val="000000"/>
          <w:sz w:val="24"/>
          <w:szCs w:val="24"/>
          <w:lang w:eastAsia="es-ES_tradnl"/>
        </w:rPr>
        <w:t>contables, 2, D</w:t>
      </w:r>
      <w:r w:rsidR="008E729D" w:rsidRPr="007417BB">
        <w:rPr>
          <w:rStyle w:val="CharStyle10"/>
          <w:rFonts w:ascii="Bookman Old Style" w:hAnsi="Bookman Old Style"/>
          <w:i/>
          <w:color w:val="000000"/>
          <w:sz w:val="24"/>
          <w:szCs w:val="24"/>
          <w:lang w:eastAsia="es-ES_tradnl"/>
        </w:rPr>
        <w:t xml:space="preserve">ecremento continuado en </w:t>
      </w:r>
      <w:r w:rsidR="00CD7BB7" w:rsidRPr="007417BB">
        <w:rPr>
          <w:rStyle w:val="CharStyle10"/>
          <w:rFonts w:ascii="Bookman Old Style" w:hAnsi="Bookman Old Style"/>
          <w:i/>
          <w:color w:val="000000"/>
          <w:sz w:val="24"/>
          <w:szCs w:val="24"/>
          <w:lang w:eastAsia="es-ES_tradnl"/>
        </w:rPr>
        <w:t>valor</w:t>
      </w:r>
      <w:r w:rsidR="008E729D" w:rsidRPr="007417BB">
        <w:rPr>
          <w:rStyle w:val="CharStyle10"/>
          <w:rFonts w:ascii="Bookman Old Style" w:hAnsi="Bookman Old Style"/>
          <w:i/>
          <w:color w:val="000000"/>
          <w:sz w:val="24"/>
          <w:szCs w:val="24"/>
          <w:lang w:eastAsia="es-ES_tradnl"/>
        </w:rPr>
        <w:t>, cantidad</w:t>
      </w:r>
      <w:r w:rsidR="00CD7BB7" w:rsidRPr="007417BB">
        <w:rPr>
          <w:rStyle w:val="CharStyle10"/>
          <w:rFonts w:ascii="Bookman Old Style" w:hAnsi="Bookman Old Style"/>
          <w:i/>
          <w:color w:val="000000"/>
          <w:sz w:val="24"/>
          <w:szCs w:val="24"/>
          <w:lang w:eastAsia="es-ES_tradnl"/>
        </w:rPr>
        <w:t xml:space="preserve"> o cal</w:t>
      </w:r>
      <w:r w:rsidR="008E729D" w:rsidRPr="007417BB">
        <w:rPr>
          <w:rStyle w:val="CharStyle10"/>
          <w:rFonts w:ascii="Bookman Old Style" w:hAnsi="Bookman Old Style"/>
          <w:i/>
          <w:color w:val="000000"/>
          <w:sz w:val="24"/>
          <w:szCs w:val="24"/>
          <w:lang w:eastAsia="es-ES_tradnl"/>
        </w:rPr>
        <w:t>idad</w:t>
      </w:r>
      <w:r w:rsidR="00CD7BB7"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de un activo, debido</w:t>
      </w:r>
      <w:r w:rsidR="00CD7BB7"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00CD7BB7" w:rsidRPr="007417BB">
        <w:rPr>
          <w:rStyle w:val="CharStyle10"/>
          <w:rFonts w:ascii="Bookman Old Style" w:hAnsi="Bookman Old Style"/>
          <w:i/>
          <w:color w:val="000000"/>
          <w:sz w:val="24"/>
          <w:szCs w:val="24"/>
          <w:lang w:eastAsia="es-ES_tradnl"/>
        </w:rPr>
        <w:t xml:space="preserve">l </w:t>
      </w:r>
      <w:r w:rsidR="008E729D" w:rsidRPr="007417BB">
        <w:rPr>
          <w:rStyle w:val="CharStyle10"/>
          <w:rFonts w:ascii="Bookman Old Style" w:hAnsi="Bookman Old Style"/>
          <w:i/>
          <w:color w:val="000000"/>
          <w:sz w:val="24"/>
          <w:szCs w:val="24"/>
          <w:lang w:eastAsia="es-ES_tradnl"/>
        </w:rPr>
        <w:t xml:space="preserve">transcurso </w:t>
      </w:r>
      <w:r w:rsidR="00CD7BB7" w:rsidRPr="007417BB">
        <w:rPr>
          <w:rStyle w:val="CharStyle10"/>
          <w:rFonts w:ascii="Bookman Old Style" w:hAnsi="Bookman Old Style"/>
          <w:i/>
          <w:color w:val="000000"/>
          <w:sz w:val="24"/>
          <w:szCs w:val="24"/>
          <w:lang w:eastAsia="es-ES_tradnl"/>
        </w:rPr>
        <w:t>del</w:t>
      </w:r>
      <w:r w:rsidR="008E729D" w:rsidRPr="007417BB">
        <w:rPr>
          <w:rStyle w:val="CharStyle10"/>
          <w:rFonts w:ascii="Bookman Old Style" w:hAnsi="Bookman Old Style"/>
          <w:i/>
          <w:color w:val="000000"/>
          <w:sz w:val="24"/>
          <w:szCs w:val="24"/>
          <w:lang w:eastAsia="es-ES_tradnl"/>
        </w:rPr>
        <w:t xml:space="preserve"> tiempo, </w:t>
      </w:r>
      <w:r w:rsidR="00CD7BB7" w:rsidRPr="007417BB">
        <w:rPr>
          <w:rStyle w:val="CharStyle10"/>
          <w:rFonts w:ascii="Bookman Old Style" w:hAnsi="Bookman Old Style"/>
          <w:i/>
          <w:color w:val="000000"/>
          <w:sz w:val="24"/>
          <w:szCs w:val="24"/>
          <w:lang w:eastAsia="es-ES_tradnl"/>
        </w:rPr>
        <w:t>al</w:t>
      </w:r>
      <w:r w:rsidR="008E729D" w:rsidRPr="007417BB">
        <w:rPr>
          <w:rStyle w:val="CharStyle10"/>
          <w:rFonts w:ascii="Bookman Old Style" w:hAnsi="Bookman Old Style"/>
          <w:i/>
          <w:color w:val="000000"/>
          <w:sz w:val="24"/>
          <w:szCs w:val="24"/>
          <w:lang w:eastAsia="es-ES_tradnl"/>
        </w:rPr>
        <w:t xml:space="preserve"> desgaste, a</w:t>
      </w:r>
      <w:r w:rsidR="00CD7BB7" w:rsidRPr="007417BB">
        <w:rPr>
          <w:rStyle w:val="CharStyle10"/>
          <w:rFonts w:ascii="Bookman Old Style" w:hAnsi="Bookman Old Style"/>
          <w:i/>
          <w:color w:val="000000"/>
          <w:sz w:val="24"/>
          <w:szCs w:val="24"/>
          <w:lang w:eastAsia="es-ES_tradnl"/>
        </w:rPr>
        <w:t xml:space="preserve"> l</w:t>
      </w:r>
      <w:r w:rsidR="008E729D" w:rsidRPr="007417BB">
        <w:rPr>
          <w:rStyle w:val="CharStyle10"/>
          <w:rFonts w:ascii="Bookman Old Style" w:hAnsi="Bookman Old Style"/>
          <w:i/>
          <w:color w:val="000000"/>
          <w:sz w:val="24"/>
          <w:szCs w:val="24"/>
          <w:lang w:eastAsia="es-ES_tradnl"/>
        </w:rPr>
        <w:t xml:space="preserve">a </w:t>
      </w:r>
      <w:r w:rsidR="00CD7BB7" w:rsidRPr="007417BB">
        <w:rPr>
          <w:rStyle w:val="CharStyle10"/>
          <w:rFonts w:ascii="Bookman Old Style" w:hAnsi="Bookman Old Style"/>
          <w:i/>
          <w:color w:val="000000"/>
          <w:sz w:val="24"/>
          <w:szCs w:val="24"/>
          <w:lang w:eastAsia="es-ES_tradnl"/>
        </w:rPr>
        <w:t>obsolescencia</w:t>
      </w:r>
      <w:r w:rsidR="008E729D" w:rsidRPr="007417BB">
        <w:rPr>
          <w:rStyle w:val="CharStyle10"/>
          <w:rFonts w:ascii="Bookman Old Style" w:hAnsi="Bookman Old Style"/>
          <w:i/>
          <w:color w:val="000000"/>
          <w:sz w:val="24"/>
          <w:szCs w:val="24"/>
          <w:lang w:eastAsia="es-ES_tradnl"/>
        </w:rPr>
        <w:t>,</w:t>
      </w:r>
      <w:r w:rsidR="00CD7BB7"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a</w:t>
      </w:r>
      <w:r w:rsidR="00CD7BB7" w:rsidRPr="007417BB">
        <w:rPr>
          <w:rStyle w:val="CharStyle10"/>
          <w:rFonts w:ascii="Bookman Old Style" w:hAnsi="Bookman Old Style"/>
          <w:i/>
          <w:color w:val="000000"/>
          <w:sz w:val="24"/>
          <w:szCs w:val="24"/>
          <w:lang w:eastAsia="es-ES_tradnl"/>
        </w:rPr>
        <w:t xml:space="preserve"> l</w:t>
      </w:r>
      <w:r w:rsidR="008E729D" w:rsidRPr="007417BB">
        <w:rPr>
          <w:rStyle w:val="CharStyle10"/>
          <w:rFonts w:ascii="Bookman Old Style" w:hAnsi="Bookman Old Style"/>
          <w:i/>
          <w:color w:val="000000"/>
          <w:sz w:val="24"/>
          <w:szCs w:val="24"/>
          <w:lang w:eastAsia="es-ES_tradnl"/>
        </w:rPr>
        <w:t>a</w:t>
      </w:r>
      <w:r w:rsidR="00CD7BB7" w:rsidRPr="007417BB">
        <w:rPr>
          <w:rStyle w:val="CharStyle10"/>
          <w:rFonts w:ascii="Bookman Old Style" w:hAnsi="Bookman Old Style"/>
          <w:i/>
          <w:color w:val="000000"/>
          <w:sz w:val="24"/>
          <w:szCs w:val="24"/>
          <w:lang w:eastAsia="es-ES_tradnl"/>
        </w:rPr>
        <w:t xml:space="preserve"> baj</w:t>
      </w:r>
      <w:r w:rsidR="008E729D" w:rsidRPr="007417BB">
        <w:rPr>
          <w:rStyle w:val="CharStyle10"/>
          <w:rFonts w:ascii="Bookman Old Style" w:hAnsi="Bookman Old Style"/>
          <w:i/>
          <w:color w:val="000000"/>
          <w:sz w:val="24"/>
          <w:szCs w:val="24"/>
          <w:lang w:eastAsia="es-ES_tradnl"/>
        </w:rPr>
        <w:t xml:space="preserve">a en </w:t>
      </w:r>
      <w:r w:rsidR="00CD7BB7" w:rsidRPr="007417BB">
        <w:rPr>
          <w:rStyle w:val="CharStyle10"/>
          <w:rFonts w:ascii="Bookman Old Style" w:hAnsi="Bookman Old Style"/>
          <w:i/>
          <w:color w:val="000000"/>
          <w:sz w:val="24"/>
          <w:szCs w:val="24"/>
          <w:lang w:eastAsia="es-ES_tradnl"/>
        </w:rPr>
        <w:t xml:space="preserve">los </w:t>
      </w:r>
      <w:r w:rsidR="008E729D" w:rsidRPr="007417BB">
        <w:rPr>
          <w:rStyle w:val="CharStyle10"/>
          <w:rFonts w:ascii="Bookman Old Style" w:hAnsi="Bookman Old Style"/>
          <w:i/>
          <w:color w:val="000000"/>
          <w:sz w:val="24"/>
          <w:szCs w:val="24"/>
          <w:lang w:eastAsia="es-ES_tradnl"/>
        </w:rPr>
        <w:t>precios de mercado</w:t>
      </w:r>
      <w:r w:rsidR="00CD7BB7" w:rsidRPr="007417BB">
        <w:rPr>
          <w:rStyle w:val="CharStyle10"/>
          <w:rFonts w:ascii="Bookman Old Style" w:hAnsi="Bookman Old Style"/>
          <w:i/>
          <w:color w:val="000000"/>
          <w:sz w:val="24"/>
          <w:szCs w:val="24"/>
          <w:lang w:eastAsia="es-ES_tradnl"/>
        </w:rPr>
        <w:t xml:space="preserve"> </w:t>
      </w:r>
      <w:r w:rsidR="008E729D" w:rsidRPr="007417BB">
        <w:rPr>
          <w:rStyle w:val="CharStyle10"/>
          <w:rFonts w:ascii="Bookman Old Style" w:hAnsi="Bookman Old Style"/>
          <w:i/>
          <w:color w:val="000000"/>
          <w:sz w:val="24"/>
          <w:szCs w:val="24"/>
          <w:lang w:eastAsia="es-ES_tradnl"/>
        </w:rPr>
        <w:t>o</w:t>
      </w:r>
      <w:r w:rsidR="00CD7BB7" w:rsidRPr="007417BB">
        <w:rPr>
          <w:rStyle w:val="CharStyle10"/>
          <w:rFonts w:ascii="Bookman Old Style" w:hAnsi="Bookman Old Style"/>
          <w:i/>
          <w:color w:val="000000"/>
          <w:sz w:val="24"/>
          <w:szCs w:val="24"/>
          <w:lang w:eastAsia="es-ES_tradnl"/>
        </w:rPr>
        <w:t xml:space="preserve"> cualq</w:t>
      </w:r>
      <w:r w:rsidR="008E729D" w:rsidRPr="007417BB">
        <w:rPr>
          <w:rStyle w:val="CharStyle10"/>
          <w:rFonts w:ascii="Bookman Old Style" w:hAnsi="Bookman Old Style"/>
          <w:i/>
          <w:color w:val="000000"/>
          <w:sz w:val="24"/>
          <w:szCs w:val="24"/>
          <w:lang w:eastAsia="es-ES_tradnl"/>
        </w:rPr>
        <w:t xml:space="preserve">uiera otra causa </w:t>
      </w:r>
      <w:r w:rsidR="00CD7BB7" w:rsidRPr="007417BB">
        <w:rPr>
          <w:rStyle w:val="CharStyle10"/>
          <w:rFonts w:ascii="Bookman Old Style" w:hAnsi="Bookman Old Style"/>
          <w:i/>
          <w:color w:val="000000"/>
          <w:sz w:val="24"/>
          <w:szCs w:val="24"/>
          <w:lang w:eastAsia="es-ES_tradnl"/>
        </w:rPr>
        <w:t>que</w:t>
      </w:r>
      <w:r w:rsidR="008E729D" w:rsidRPr="007417BB">
        <w:rPr>
          <w:rStyle w:val="CharStyle10"/>
          <w:rFonts w:ascii="Bookman Old Style" w:hAnsi="Bookman Old Style"/>
          <w:i/>
          <w:color w:val="000000"/>
          <w:sz w:val="24"/>
          <w:szCs w:val="24"/>
          <w:lang w:eastAsia="es-ES_tradnl"/>
        </w:rPr>
        <w:t xml:space="preserve"> deteriore et</w:t>
      </w:r>
      <w:r w:rsidR="00CD7BB7" w:rsidRPr="007417BB">
        <w:rPr>
          <w:rStyle w:val="CharStyle10"/>
          <w:rFonts w:ascii="Bookman Old Style" w:hAnsi="Bookman Old Style"/>
          <w:i/>
          <w:color w:val="000000"/>
          <w:sz w:val="24"/>
          <w:szCs w:val="24"/>
          <w:lang w:eastAsia="es-ES_tradnl"/>
        </w:rPr>
        <w:t xml:space="preserve"> val</w:t>
      </w:r>
      <w:r w:rsidR="008E729D" w:rsidRPr="007417BB">
        <w:rPr>
          <w:rStyle w:val="CharStyle10"/>
          <w:rFonts w:ascii="Bookman Old Style" w:hAnsi="Bookman Old Style"/>
          <w:i/>
          <w:color w:val="000000"/>
          <w:sz w:val="24"/>
          <w:szCs w:val="24"/>
          <w:lang w:eastAsia="es-ES_tradnl"/>
        </w:rPr>
        <w:t>or de</w:t>
      </w:r>
      <w:r w:rsidR="00CD7BB7" w:rsidRPr="007417BB">
        <w:rPr>
          <w:rStyle w:val="CharStyle10"/>
          <w:rFonts w:ascii="Bookman Old Style" w:hAnsi="Bookman Old Style"/>
          <w:i/>
          <w:color w:val="000000"/>
          <w:sz w:val="24"/>
          <w:szCs w:val="24"/>
          <w:lang w:eastAsia="es-ES_tradnl"/>
        </w:rPr>
        <w:t>l</w:t>
      </w:r>
      <w:r w:rsidR="008E729D" w:rsidRPr="007417BB">
        <w:rPr>
          <w:rStyle w:val="CharStyle10"/>
          <w:rFonts w:ascii="Bookman Old Style" w:hAnsi="Bookman Old Style"/>
          <w:i/>
          <w:color w:val="000000"/>
          <w:sz w:val="24"/>
          <w:szCs w:val="24"/>
          <w:lang w:eastAsia="es-ES_tradnl"/>
        </w:rPr>
        <w:t xml:space="preserve"> activo en cuestión ^</w:t>
      </w:r>
    </w:p>
    <w:p w:rsidR="008E729D" w:rsidRPr="007417BB" w:rsidRDefault="008E729D"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Las definiciones citadas sustentan el hecho de que estos rubros no pueden ser considerados como gastos de administración que constituyan base para la liquidación de la contribución a la CREG, por ello, no se ha tenido en cuenta para tasar la contribución en años anteriores cuando la información que recibía de las empresas era el listado completo de sus cuentas contables conforme a lo anterior resulta claro que la QREG no debe incluir las cuentas 53 para determinar la base gravable de la contribución.</w:t>
      </w:r>
    </w:p>
    <w:p w:rsidR="008E729D" w:rsidRPr="007417BB" w:rsidRDefault="008E729D" w:rsidP="008E729D">
      <w:pPr>
        <w:ind w:left="0"/>
        <w:jc w:val="both"/>
        <w:rPr>
          <w:rStyle w:val="CharStyle10"/>
          <w:rFonts w:ascii="Bookman Old Style" w:hAnsi="Bookman Old Style"/>
          <w:i/>
          <w:color w:val="000000"/>
          <w:sz w:val="24"/>
          <w:szCs w:val="24"/>
          <w:lang w:eastAsia="es-ES_tradnl"/>
        </w:rPr>
      </w:pPr>
    </w:p>
    <w:p w:rsidR="008E729D" w:rsidRDefault="008E729D" w:rsidP="008E729D">
      <w:pPr>
        <w:ind w:left="0"/>
        <w:jc w:val="both"/>
        <w:rPr>
          <w:rStyle w:val="CharStyle10"/>
          <w:rFonts w:ascii="Bookman Old Style" w:hAnsi="Bookman Old Style"/>
          <w:i/>
          <w:color w:val="000000"/>
          <w:sz w:val="24"/>
          <w:szCs w:val="24"/>
          <w:lang w:eastAsia="es-ES_tradnl"/>
        </w:rPr>
      </w:pPr>
      <w:r w:rsidRPr="007417BB">
        <w:rPr>
          <w:rStyle w:val="CharStyle10"/>
          <w:rFonts w:ascii="Bookman Old Style" w:hAnsi="Bookman Old Style"/>
          <w:i/>
          <w:color w:val="000000"/>
          <w:sz w:val="24"/>
          <w:szCs w:val="24"/>
          <w:lang w:eastAsia="es-ES_tradnl"/>
        </w:rPr>
        <w:t>A continuación, se ilustra la diferencia planteada en el presente recurso, determinándose la base gravable y la contribución liquidada por la CREG y la base gravable y la contribución sin las cuentas 53, para indicar la diferencia que debe excluirse:</w:t>
      </w:r>
    </w:p>
    <w:p w:rsidR="006021A6" w:rsidRPr="007417BB" w:rsidRDefault="006021A6" w:rsidP="008E729D">
      <w:pPr>
        <w:ind w:left="0"/>
        <w:jc w:val="both"/>
        <w:rPr>
          <w:rStyle w:val="CharStyle10"/>
          <w:rFonts w:ascii="Bookman Old Style" w:hAnsi="Bookman Old Style"/>
          <w:i/>
          <w:color w:val="000000"/>
          <w:sz w:val="24"/>
          <w:szCs w:val="24"/>
          <w:lang w:eastAsia="es-ES_tradnl"/>
        </w:rPr>
      </w:pPr>
    </w:p>
    <w:tbl>
      <w:tblPr>
        <w:tblW w:w="0" w:type="auto"/>
        <w:jc w:val="center"/>
        <w:tblLayout w:type="fixed"/>
        <w:tblCellMar>
          <w:left w:w="0" w:type="dxa"/>
          <w:right w:w="0" w:type="dxa"/>
        </w:tblCellMar>
        <w:tblLook w:val="0000" w:firstRow="0" w:lastRow="0" w:firstColumn="0" w:lastColumn="0" w:noHBand="0" w:noVBand="0"/>
      </w:tblPr>
      <w:tblGrid>
        <w:gridCol w:w="3081"/>
        <w:gridCol w:w="1225"/>
        <w:gridCol w:w="1544"/>
      </w:tblGrid>
      <w:tr w:rsidR="008E729D" w:rsidRPr="007417BB" w:rsidTr="008E729D">
        <w:trPr>
          <w:trHeight w:hRule="exact" w:val="346"/>
          <w:jc w:val="center"/>
        </w:trPr>
        <w:tc>
          <w:tcPr>
            <w:tcW w:w="3081" w:type="dxa"/>
            <w:tcBorders>
              <w:top w:val="nil"/>
              <w:left w:val="nil"/>
              <w:bottom w:val="nil"/>
              <w:right w:val="nil"/>
            </w:tcBorders>
            <w:shd w:val="clear" w:color="auto" w:fill="FFFFFF"/>
          </w:tcPr>
          <w:p w:rsidR="008E729D" w:rsidRPr="007417BB" w:rsidRDefault="008E729D" w:rsidP="008E729D">
            <w:pPr>
              <w:rPr>
                <w:rFonts w:ascii="Bookman Old Style" w:hAnsi="Bookman Old Style"/>
                <w:sz w:val="10"/>
                <w:szCs w:val="10"/>
                <w:lang w:eastAsia="es-CO"/>
              </w:rPr>
            </w:pPr>
            <w:r w:rsidRPr="007417BB">
              <w:rPr>
                <w:rStyle w:val="CharStyle10"/>
                <w:rFonts w:ascii="Bookman Old Style" w:hAnsi="Bookman Old Style"/>
                <w:i/>
                <w:color w:val="000000"/>
                <w:lang w:eastAsia="es-ES_tradnl"/>
              </w:rPr>
              <w:tab/>
            </w:r>
          </w:p>
        </w:tc>
        <w:tc>
          <w:tcPr>
            <w:tcW w:w="2769" w:type="dxa"/>
            <w:gridSpan w:val="2"/>
            <w:tcBorders>
              <w:top w:val="single" w:sz="4" w:space="0" w:color="auto"/>
              <w:left w:val="single" w:sz="4" w:space="0" w:color="auto"/>
              <w:bottom w:val="nil"/>
              <w:right w:val="single" w:sz="4" w:space="0" w:color="auto"/>
            </w:tcBorders>
            <w:shd w:val="clear" w:color="auto" w:fill="FFFFFF"/>
            <w:vAlign w:val="center"/>
          </w:tcPr>
          <w:p w:rsidR="008E729D" w:rsidRPr="007417BB" w:rsidRDefault="008E729D" w:rsidP="008E729D">
            <w:pPr>
              <w:pStyle w:val="Style8"/>
              <w:shd w:val="clear" w:color="auto" w:fill="auto"/>
              <w:spacing w:before="0" w:line="110" w:lineRule="exact"/>
              <w:ind w:firstLine="0"/>
              <w:jc w:val="center"/>
              <w:rPr>
                <w:rFonts w:ascii="Bookman Old Style" w:hAnsi="Bookman Old Style"/>
              </w:rPr>
            </w:pPr>
            <w:r w:rsidRPr="007417BB">
              <w:rPr>
                <w:rStyle w:val="CharStyle21"/>
                <w:rFonts w:ascii="Bookman Old Style" w:hAnsi="Bookman Old Style"/>
                <w:color w:val="000000"/>
                <w:lang w:eastAsia="es-ES_tradnl"/>
              </w:rPr>
              <w:t>EDEQ</w:t>
            </w:r>
          </w:p>
        </w:tc>
      </w:tr>
      <w:tr w:rsidR="008E729D" w:rsidRPr="007417BB" w:rsidTr="008E729D">
        <w:trPr>
          <w:trHeight w:hRule="exact" w:val="346"/>
          <w:jc w:val="center"/>
        </w:trPr>
        <w:tc>
          <w:tcPr>
            <w:tcW w:w="3081" w:type="dxa"/>
            <w:tcBorders>
              <w:top w:val="single" w:sz="4" w:space="0" w:color="auto"/>
              <w:left w:val="single" w:sz="4" w:space="0" w:color="auto"/>
              <w:bottom w:val="nil"/>
              <w:right w:val="nil"/>
            </w:tcBorders>
            <w:shd w:val="clear" w:color="auto" w:fill="FFFFFF"/>
            <w:vAlign w:val="center"/>
          </w:tcPr>
          <w:p w:rsidR="008E729D" w:rsidRPr="007417BB" w:rsidRDefault="008E729D" w:rsidP="008E729D">
            <w:pPr>
              <w:pStyle w:val="Style8"/>
              <w:shd w:val="clear" w:color="auto" w:fill="auto"/>
              <w:spacing w:before="0" w:line="110" w:lineRule="exact"/>
              <w:ind w:left="60" w:firstLine="0"/>
              <w:jc w:val="left"/>
              <w:rPr>
                <w:rFonts w:ascii="Bookman Old Style" w:hAnsi="Bookman Old Style"/>
              </w:rPr>
            </w:pPr>
            <w:r w:rsidRPr="007417BB">
              <w:rPr>
                <w:rStyle w:val="CharStyle21"/>
                <w:rFonts w:ascii="Bookman Old Style" w:hAnsi="Bookman Old Style"/>
                <w:color w:val="000000"/>
                <w:lang w:eastAsia="es-ES_tradnl"/>
              </w:rPr>
              <w:t>LIQUIDACION</w:t>
            </w:r>
          </w:p>
        </w:tc>
        <w:tc>
          <w:tcPr>
            <w:tcW w:w="1225" w:type="dxa"/>
            <w:tcBorders>
              <w:top w:val="single" w:sz="4" w:space="0" w:color="auto"/>
              <w:left w:val="single" w:sz="4" w:space="0" w:color="auto"/>
              <w:bottom w:val="nil"/>
              <w:right w:val="nil"/>
            </w:tcBorders>
            <w:shd w:val="clear" w:color="auto" w:fill="FFFFFF"/>
            <w:vAlign w:val="center"/>
          </w:tcPr>
          <w:p w:rsidR="008E729D" w:rsidRPr="007417BB" w:rsidRDefault="008E729D" w:rsidP="008E729D">
            <w:pPr>
              <w:pStyle w:val="Style8"/>
              <w:shd w:val="clear" w:color="auto" w:fill="auto"/>
              <w:spacing w:before="0" w:line="110" w:lineRule="exact"/>
              <w:ind w:firstLine="0"/>
              <w:jc w:val="center"/>
              <w:rPr>
                <w:rFonts w:ascii="Bookman Old Style" w:hAnsi="Bookman Old Style"/>
              </w:rPr>
            </w:pPr>
            <w:r w:rsidRPr="007417BB">
              <w:rPr>
                <w:rStyle w:val="CharStyle21"/>
                <w:rFonts w:ascii="Bookman Old Style" w:hAnsi="Bookman Old Style"/>
                <w:color w:val="000000"/>
                <w:lang w:eastAsia="es-ES_tradnl"/>
              </w:rPr>
              <w:t>BASE</w:t>
            </w:r>
          </w:p>
        </w:tc>
        <w:tc>
          <w:tcPr>
            <w:tcW w:w="1544" w:type="dxa"/>
            <w:tcBorders>
              <w:top w:val="single" w:sz="4" w:space="0" w:color="auto"/>
              <w:left w:val="single" w:sz="4" w:space="0" w:color="auto"/>
              <w:bottom w:val="nil"/>
              <w:right w:val="single" w:sz="4" w:space="0" w:color="auto"/>
            </w:tcBorders>
            <w:shd w:val="clear" w:color="auto" w:fill="FFFFFF"/>
            <w:vAlign w:val="center"/>
          </w:tcPr>
          <w:p w:rsidR="008E729D" w:rsidRPr="007417BB" w:rsidRDefault="008E729D" w:rsidP="008E729D">
            <w:pPr>
              <w:pStyle w:val="Style8"/>
              <w:shd w:val="clear" w:color="auto" w:fill="auto"/>
              <w:spacing w:before="0" w:line="110" w:lineRule="exact"/>
              <w:ind w:right="80" w:firstLine="0"/>
              <w:jc w:val="right"/>
              <w:rPr>
                <w:rFonts w:ascii="Bookman Old Style" w:hAnsi="Bookman Old Style"/>
              </w:rPr>
            </w:pPr>
            <w:r w:rsidRPr="007417BB">
              <w:rPr>
                <w:rStyle w:val="CharStyle21"/>
                <w:rFonts w:ascii="Bookman Old Style" w:hAnsi="Bookman Old Style"/>
                <w:color w:val="000000"/>
                <w:lang w:eastAsia="es-ES_tradnl"/>
              </w:rPr>
              <w:t>VALOR CONTRIBUCIÓN</w:t>
            </w:r>
          </w:p>
        </w:tc>
      </w:tr>
      <w:tr w:rsidR="008E729D" w:rsidRPr="007417BB" w:rsidTr="008E729D">
        <w:trPr>
          <w:trHeight w:hRule="exact" w:val="353"/>
          <w:jc w:val="center"/>
        </w:trPr>
        <w:tc>
          <w:tcPr>
            <w:tcW w:w="3081" w:type="dxa"/>
            <w:tcBorders>
              <w:top w:val="single" w:sz="4" w:space="0" w:color="auto"/>
              <w:left w:val="single" w:sz="4" w:space="0" w:color="auto"/>
              <w:bottom w:val="nil"/>
              <w:right w:val="nil"/>
            </w:tcBorders>
            <w:shd w:val="clear" w:color="auto" w:fill="FFFFFF"/>
            <w:vAlign w:val="center"/>
          </w:tcPr>
          <w:p w:rsidR="008E729D" w:rsidRPr="007417BB" w:rsidRDefault="008E729D" w:rsidP="008E729D">
            <w:pPr>
              <w:pStyle w:val="Style8"/>
              <w:shd w:val="clear" w:color="auto" w:fill="auto"/>
              <w:spacing w:before="0" w:line="110" w:lineRule="exact"/>
              <w:ind w:left="60" w:firstLine="0"/>
              <w:jc w:val="left"/>
              <w:rPr>
                <w:rFonts w:ascii="Bookman Old Style" w:hAnsi="Bookman Old Style"/>
              </w:rPr>
            </w:pPr>
            <w:r w:rsidRPr="007417BB">
              <w:rPr>
                <w:rStyle w:val="CharStyle21"/>
                <w:rFonts w:ascii="Bookman Old Style" w:hAnsi="Bookman Old Style"/>
                <w:color w:val="000000"/>
                <w:lang w:eastAsia="es-ES_tradnl"/>
              </w:rPr>
              <w:t>CREG</w:t>
            </w:r>
          </w:p>
        </w:tc>
        <w:tc>
          <w:tcPr>
            <w:tcW w:w="1225" w:type="dxa"/>
            <w:tcBorders>
              <w:top w:val="single" w:sz="4" w:space="0" w:color="auto"/>
              <w:left w:val="single" w:sz="4" w:space="0" w:color="auto"/>
              <w:bottom w:val="nil"/>
              <w:right w:val="nil"/>
            </w:tcBorders>
            <w:shd w:val="clear" w:color="auto" w:fill="FFFFFF"/>
            <w:vAlign w:val="bottom"/>
          </w:tcPr>
          <w:p w:rsidR="008E729D" w:rsidRPr="007417BB" w:rsidRDefault="008E729D" w:rsidP="008E729D">
            <w:pPr>
              <w:pStyle w:val="Style8"/>
              <w:shd w:val="clear" w:color="auto" w:fill="auto"/>
              <w:spacing w:before="0" w:line="110" w:lineRule="exact"/>
              <w:ind w:left="60" w:firstLine="0"/>
              <w:jc w:val="left"/>
              <w:rPr>
                <w:rFonts w:ascii="Bookman Old Style" w:hAnsi="Bookman Old Style"/>
              </w:rPr>
            </w:pPr>
            <w:r w:rsidRPr="007417BB">
              <w:rPr>
                <w:rStyle w:val="CharStyle21"/>
                <w:rFonts w:ascii="Bookman Old Style" w:hAnsi="Bookman Old Style"/>
                <w:color w:val="000000"/>
                <w:lang w:eastAsia="es-ES_tradnl"/>
              </w:rPr>
              <w:t>$18.145.901.000,00</w:t>
            </w:r>
          </w:p>
        </w:tc>
        <w:tc>
          <w:tcPr>
            <w:tcW w:w="1544" w:type="dxa"/>
            <w:tcBorders>
              <w:top w:val="single" w:sz="4" w:space="0" w:color="auto"/>
              <w:left w:val="single" w:sz="4" w:space="0" w:color="auto"/>
              <w:bottom w:val="nil"/>
              <w:right w:val="single" w:sz="4" w:space="0" w:color="auto"/>
            </w:tcBorders>
            <w:shd w:val="clear" w:color="auto" w:fill="FFFFFF"/>
            <w:vAlign w:val="bottom"/>
          </w:tcPr>
          <w:p w:rsidR="008E729D" w:rsidRPr="007417BB" w:rsidRDefault="008E729D" w:rsidP="008E729D">
            <w:pPr>
              <w:pStyle w:val="Style8"/>
              <w:shd w:val="clear" w:color="auto" w:fill="auto"/>
              <w:spacing w:before="0" w:line="110" w:lineRule="exact"/>
              <w:ind w:right="80" w:firstLine="0"/>
              <w:jc w:val="right"/>
              <w:rPr>
                <w:rFonts w:ascii="Bookman Old Style" w:hAnsi="Bookman Old Style"/>
              </w:rPr>
            </w:pPr>
            <w:r w:rsidRPr="007417BB">
              <w:rPr>
                <w:rStyle w:val="CharStyle21"/>
                <w:rFonts w:ascii="Bookman Old Style" w:hAnsi="Bookman Old Style"/>
                <w:color w:val="000000"/>
                <w:lang w:eastAsia="es-ES_tradnl"/>
              </w:rPr>
              <w:t>$150.493.030,00</w:t>
            </w:r>
          </w:p>
        </w:tc>
      </w:tr>
      <w:tr w:rsidR="008E729D" w:rsidRPr="007417BB" w:rsidTr="008E729D">
        <w:trPr>
          <w:trHeight w:hRule="exact" w:val="353"/>
          <w:jc w:val="center"/>
        </w:trPr>
        <w:tc>
          <w:tcPr>
            <w:tcW w:w="3081" w:type="dxa"/>
            <w:tcBorders>
              <w:top w:val="single" w:sz="4" w:space="0" w:color="auto"/>
              <w:left w:val="single" w:sz="4" w:space="0" w:color="auto"/>
              <w:bottom w:val="nil"/>
              <w:right w:val="nil"/>
            </w:tcBorders>
            <w:shd w:val="clear" w:color="auto" w:fill="FFFFFF"/>
            <w:vAlign w:val="center"/>
          </w:tcPr>
          <w:p w:rsidR="008E729D" w:rsidRPr="007417BB" w:rsidRDefault="008E729D" w:rsidP="008E729D">
            <w:pPr>
              <w:pStyle w:val="Style8"/>
              <w:shd w:val="clear" w:color="auto" w:fill="auto"/>
              <w:spacing w:before="0" w:line="110" w:lineRule="exact"/>
              <w:ind w:left="60" w:firstLine="0"/>
              <w:jc w:val="left"/>
              <w:rPr>
                <w:rFonts w:ascii="Bookman Old Style" w:hAnsi="Bookman Old Style"/>
              </w:rPr>
            </w:pPr>
            <w:r w:rsidRPr="007417BB">
              <w:rPr>
                <w:rStyle w:val="CharStyle21"/>
                <w:rFonts w:ascii="Bookman Old Style" w:hAnsi="Bookman Old Style"/>
                <w:color w:val="000000"/>
                <w:lang w:eastAsia="es-ES_tradnl"/>
              </w:rPr>
              <w:t>LIQUIDACIÓN SIN LAS CUENTAS 53</w:t>
            </w:r>
          </w:p>
        </w:tc>
        <w:tc>
          <w:tcPr>
            <w:tcW w:w="1225" w:type="dxa"/>
            <w:tcBorders>
              <w:top w:val="single" w:sz="4" w:space="0" w:color="auto"/>
              <w:left w:val="single" w:sz="4" w:space="0" w:color="auto"/>
              <w:bottom w:val="nil"/>
              <w:right w:val="nil"/>
            </w:tcBorders>
            <w:shd w:val="clear" w:color="auto" w:fill="FFFFFF"/>
            <w:vAlign w:val="bottom"/>
          </w:tcPr>
          <w:p w:rsidR="008E729D" w:rsidRPr="007417BB" w:rsidRDefault="008E729D" w:rsidP="008E729D">
            <w:pPr>
              <w:pStyle w:val="Style8"/>
              <w:shd w:val="clear" w:color="auto" w:fill="auto"/>
              <w:spacing w:before="0" w:line="110" w:lineRule="exact"/>
              <w:ind w:right="60" w:firstLine="0"/>
              <w:jc w:val="right"/>
              <w:rPr>
                <w:rFonts w:ascii="Bookman Old Style" w:hAnsi="Bookman Old Style"/>
              </w:rPr>
            </w:pPr>
            <w:r w:rsidRPr="007417BB">
              <w:rPr>
                <w:rStyle w:val="CharStyle21"/>
                <w:rFonts w:ascii="Bookman Old Style" w:hAnsi="Bookman Old Style"/>
                <w:color w:val="000000"/>
                <w:lang w:eastAsia="es-ES_tradnl"/>
              </w:rPr>
              <w:t>$14.623.991.307,13</w:t>
            </w:r>
          </w:p>
        </w:tc>
        <w:tc>
          <w:tcPr>
            <w:tcW w:w="1544" w:type="dxa"/>
            <w:tcBorders>
              <w:top w:val="single" w:sz="4" w:space="0" w:color="auto"/>
              <w:left w:val="single" w:sz="4" w:space="0" w:color="auto"/>
              <w:bottom w:val="nil"/>
              <w:right w:val="single" w:sz="4" w:space="0" w:color="auto"/>
            </w:tcBorders>
            <w:shd w:val="clear" w:color="auto" w:fill="FFFFFF"/>
            <w:vAlign w:val="center"/>
          </w:tcPr>
          <w:p w:rsidR="008E729D" w:rsidRPr="007417BB" w:rsidRDefault="008E729D" w:rsidP="008E729D">
            <w:pPr>
              <w:pStyle w:val="Style8"/>
              <w:shd w:val="clear" w:color="auto" w:fill="auto"/>
              <w:spacing w:before="0" w:line="110" w:lineRule="exact"/>
              <w:ind w:right="80" w:firstLine="0"/>
              <w:jc w:val="right"/>
              <w:rPr>
                <w:rFonts w:ascii="Bookman Old Style" w:hAnsi="Bookman Old Style"/>
              </w:rPr>
            </w:pPr>
            <w:r w:rsidRPr="007417BB">
              <w:rPr>
                <w:rStyle w:val="CharStyle21"/>
                <w:rFonts w:ascii="Bookman Old Style" w:hAnsi="Bookman Old Style"/>
                <w:color w:val="000000"/>
                <w:lang w:eastAsia="es-ES_tradnl"/>
              </w:rPr>
              <w:t>$121.284.071,95</w:t>
            </w:r>
          </w:p>
        </w:tc>
      </w:tr>
      <w:tr w:rsidR="008E729D" w:rsidRPr="007417BB" w:rsidTr="008E729D">
        <w:trPr>
          <w:trHeight w:hRule="exact" w:val="360"/>
          <w:jc w:val="center"/>
        </w:trPr>
        <w:tc>
          <w:tcPr>
            <w:tcW w:w="3081" w:type="dxa"/>
            <w:tcBorders>
              <w:top w:val="single" w:sz="4" w:space="0" w:color="auto"/>
              <w:left w:val="single" w:sz="4" w:space="0" w:color="auto"/>
              <w:bottom w:val="single" w:sz="4" w:space="0" w:color="auto"/>
              <w:right w:val="nil"/>
            </w:tcBorders>
            <w:shd w:val="clear" w:color="auto" w:fill="FFFFFF"/>
            <w:vAlign w:val="center"/>
          </w:tcPr>
          <w:p w:rsidR="008E729D" w:rsidRPr="007417BB" w:rsidRDefault="008E729D" w:rsidP="008E729D">
            <w:pPr>
              <w:pStyle w:val="Style8"/>
              <w:shd w:val="clear" w:color="auto" w:fill="auto"/>
              <w:spacing w:before="0" w:line="110" w:lineRule="exact"/>
              <w:ind w:left="60" w:firstLine="0"/>
              <w:jc w:val="left"/>
              <w:rPr>
                <w:rFonts w:ascii="Bookman Old Style" w:hAnsi="Bookman Old Style"/>
              </w:rPr>
            </w:pPr>
            <w:r w:rsidRPr="007417BB">
              <w:rPr>
                <w:rStyle w:val="CharStyle21"/>
                <w:rFonts w:ascii="Bookman Old Style" w:hAnsi="Bookman Old Style"/>
                <w:color w:val="000000"/>
                <w:lang w:eastAsia="es-ES_tradnl"/>
              </w:rPr>
              <w:t>DIFERENCIA A EXCLUIR</w:t>
            </w:r>
          </w:p>
        </w:tc>
        <w:tc>
          <w:tcPr>
            <w:tcW w:w="1225" w:type="dxa"/>
            <w:tcBorders>
              <w:top w:val="single" w:sz="4" w:space="0" w:color="auto"/>
              <w:left w:val="single" w:sz="4" w:space="0" w:color="auto"/>
              <w:bottom w:val="single" w:sz="4" w:space="0" w:color="auto"/>
              <w:right w:val="nil"/>
            </w:tcBorders>
            <w:shd w:val="clear" w:color="auto" w:fill="FFFFFF"/>
            <w:vAlign w:val="bottom"/>
          </w:tcPr>
          <w:p w:rsidR="008E729D" w:rsidRPr="007417BB" w:rsidRDefault="008E729D" w:rsidP="008E729D">
            <w:pPr>
              <w:pStyle w:val="Style8"/>
              <w:shd w:val="clear" w:color="auto" w:fill="auto"/>
              <w:spacing w:before="0" w:line="110" w:lineRule="exact"/>
              <w:ind w:right="60" w:firstLine="0"/>
              <w:jc w:val="right"/>
              <w:rPr>
                <w:rFonts w:ascii="Bookman Old Style" w:hAnsi="Bookman Old Style"/>
              </w:rPr>
            </w:pPr>
            <w:r w:rsidRPr="007417BB">
              <w:rPr>
                <w:rStyle w:val="CharStyle21"/>
                <w:rFonts w:ascii="Bookman Old Style" w:hAnsi="Bookman Old Style"/>
                <w:color w:val="000000"/>
                <w:lang w:eastAsia="es-ES_tradnl"/>
              </w:rPr>
              <w:t>$3.521.909.503,95</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bottom"/>
          </w:tcPr>
          <w:p w:rsidR="008E729D" w:rsidRPr="007417BB" w:rsidRDefault="008E729D" w:rsidP="008E729D">
            <w:pPr>
              <w:pStyle w:val="Style8"/>
              <w:shd w:val="clear" w:color="auto" w:fill="auto"/>
              <w:spacing w:before="0" w:line="110" w:lineRule="exact"/>
              <w:ind w:right="80" w:firstLine="0"/>
              <w:jc w:val="right"/>
              <w:rPr>
                <w:rFonts w:ascii="Bookman Old Style" w:hAnsi="Bookman Old Style"/>
              </w:rPr>
            </w:pPr>
            <w:r w:rsidRPr="007417BB">
              <w:rPr>
                <w:rStyle w:val="CharStyle21"/>
                <w:rFonts w:ascii="Bookman Old Style" w:hAnsi="Bookman Old Style"/>
                <w:color w:val="000000"/>
                <w:lang w:eastAsia="es-ES_tradnl"/>
              </w:rPr>
              <w:t>$29.208.956,48</w:t>
            </w:r>
          </w:p>
        </w:tc>
      </w:tr>
    </w:tbl>
    <w:p w:rsidR="008E729D" w:rsidRPr="007417BB" w:rsidRDefault="008E729D" w:rsidP="008E729D">
      <w:pPr>
        <w:ind w:left="0"/>
        <w:jc w:val="both"/>
        <w:rPr>
          <w:rStyle w:val="CharStyle10"/>
          <w:rFonts w:ascii="Bookman Old Style" w:hAnsi="Bookman Old Style"/>
          <w:i/>
          <w:color w:val="000000"/>
          <w:lang w:eastAsia="es-ES_tradnl"/>
        </w:rPr>
      </w:pPr>
    </w:p>
    <w:p w:rsidR="00E01A94" w:rsidRPr="007417BB" w:rsidRDefault="00E01A94" w:rsidP="00E01A94">
      <w:pPr>
        <w:ind w:left="0"/>
        <w:jc w:val="both"/>
        <w:rPr>
          <w:rFonts w:ascii="Bookman Old Style" w:hAnsi="Bookman Old Style"/>
        </w:rPr>
      </w:pPr>
    </w:p>
    <w:p w:rsidR="00E01A94" w:rsidRPr="007417BB" w:rsidRDefault="00E01A94" w:rsidP="00E01A94">
      <w:pPr>
        <w:pStyle w:val="Prrafodelista"/>
        <w:numPr>
          <w:ilvl w:val="0"/>
          <w:numId w:val="2"/>
        </w:numPr>
        <w:jc w:val="both"/>
        <w:rPr>
          <w:rFonts w:ascii="Bookman Old Style" w:hAnsi="Bookman Old Style"/>
          <w:b/>
          <w:sz w:val="24"/>
          <w:szCs w:val="24"/>
        </w:rPr>
      </w:pPr>
      <w:r w:rsidRPr="007417BB">
        <w:rPr>
          <w:rFonts w:ascii="Bookman Old Style" w:hAnsi="Bookman Old Style"/>
          <w:b/>
          <w:sz w:val="24"/>
          <w:szCs w:val="24"/>
        </w:rPr>
        <w:t>CONSIDERACIONES DE LA CREG</w:t>
      </w:r>
    </w:p>
    <w:p w:rsidR="00E01A94" w:rsidRPr="007417BB" w:rsidRDefault="00E01A94"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rPr>
      </w:pPr>
      <w:r w:rsidRPr="007417BB">
        <w:rPr>
          <w:rFonts w:ascii="Bookman Old Style" w:hAnsi="Bookman Old Style"/>
        </w:rPr>
        <w:t>De acuerdo con los argumentos del recurrente, estos se circunscriben a un aspecto fundamental:</w:t>
      </w:r>
    </w:p>
    <w:p w:rsidR="00E01A94" w:rsidRPr="007417BB" w:rsidRDefault="00E01A94" w:rsidP="00E01A94">
      <w:pPr>
        <w:ind w:left="0"/>
        <w:jc w:val="both"/>
        <w:rPr>
          <w:rFonts w:ascii="Bookman Old Style" w:hAnsi="Bookman Old Style"/>
        </w:rPr>
      </w:pPr>
    </w:p>
    <w:p w:rsidR="00E01A94" w:rsidRDefault="00CD7BB7" w:rsidP="00E01A94">
      <w:pPr>
        <w:ind w:left="0"/>
        <w:jc w:val="both"/>
        <w:rPr>
          <w:rFonts w:ascii="Bookman Old Style" w:hAnsi="Bookman Old Style"/>
          <w:i/>
        </w:rPr>
      </w:pPr>
      <w:r w:rsidRPr="007417BB">
        <w:rPr>
          <w:rFonts w:ascii="Bookman Old Style" w:hAnsi="Bookman Old Style"/>
          <w:i/>
        </w:rPr>
        <w:t>Con base en lo anteriormente expuesto, respetuosamente solicito se reponga la Resolución 188 del 15 de noviembre de 2016 “Por medio de la cual se señala el valor de la contribución que debe pagar a la Comisión de Regulación de Energía y Gas- CREG- cada una de las entidades reguladas por el año 2016 y que se liquide la contribución a cargo de EDEQ sin incluir dentro de la base gravable las cuentas 53</w:t>
      </w:r>
      <w:r w:rsidR="006021A6">
        <w:rPr>
          <w:rFonts w:ascii="Bookman Old Style" w:hAnsi="Bookman Old Style"/>
          <w:i/>
        </w:rPr>
        <w:t>”.</w:t>
      </w:r>
    </w:p>
    <w:p w:rsidR="006021A6" w:rsidRPr="007417BB" w:rsidRDefault="006021A6"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rPr>
      </w:pPr>
      <w:r w:rsidRPr="007417BB">
        <w:rPr>
          <w:rFonts w:ascii="Bookman Old Style" w:hAnsi="Bookman Old Style"/>
        </w:rPr>
        <w:t>Para dilucidar el planteamiento del recurso de reposición, la Comisión de Regulación de Energía y Gas –CREG efectuará un análisis acerca de los requisitos de la contribución.</w:t>
      </w:r>
    </w:p>
    <w:p w:rsidR="00E01A94" w:rsidRPr="006021A6" w:rsidRDefault="00E01A94" w:rsidP="00E01A94">
      <w:pPr>
        <w:ind w:left="0"/>
        <w:jc w:val="both"/>
        <w:rPr>
          <w:rFonts w:ascii="Bookman Old Style" w:hAnsi="Bookman Old Style"/>
          <w:sz w:val="22"/>
        </w:rPr>
      </w:pPr>
    </w:p>
    <w:p w:rsidR="00E01A94" w:rsidRPr="007417BB" w:rsidRDefault="00E01A94" w:rsidP="00E01A94">
      <w:pPr>
        <w:ind w:left="0"/>
        <w:jc w:val="both"/>
        <w:rPr>
          <w:rFonts w:ascii="Bookman Old Style" w:hAnsi="Bookman Old Style"/>
        </w:rPr>
      </w:pPr>
      <w:r w:rsidRPr="007417BB">
        <w:rPr>
          <w:rFonts w:ascii="Bookman Old Style" w:hAnsi="Bookman Old Style"/>
        </w:rPr>
        <w:t>La contribución que se liquidó en el acto administrativo recurrido, fue establecida por la Ley 142 de 1992 “</w:t>
      </w:r>
      <w:r w:rsidRPr="007417BB">
        <w:rPr>
          <w:rFonts w:ascii="Bookman Old Style" w:hAnsi="Bookman Old Style"/>
          <w:i/>
        </w:rPr>
        <w:t>Ley de servicios públicos domiciliarios</w:t>
      </w:r>
      <w:r w:rsidRPr="007417BB">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E01A94" w:rsidRPr="006021A6" w:rsidRDefault="00E01A94" w:rsidP="00E01A94">
      <w:pPr>
        <w:ind w:left="0"/>
        <w:jc w:val="both"/>
        <w:rPr>
          <w:rFonts w:ascii="Bookman Old Style" w:hAnsi="Bookman Old Style"/>
          <w:sz w:val="20"/>
        </w:rPr>
      </w:pPr>
    </w:p>
    <w:p w:rsidR="00E01A94" w:rsidRDefault="00E01A94" w:rsidP="00E01A94">
      <w:pPr>
        <w:ind w:left="0"/>
        <w:jc w:val="both"/>
        <w:rPr>
          <w:rFonts w:ascii="Bookman Old Style" w:hAnsi="Bookman Old Style"/>
        </w:rPr>
      </w:pPr>
      <w:r w:rsidRPr="007417BB">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6021A6" w:rsidRPr="007417BB" w:rsidRDefault="006021A6" w:rsidP="00E01A94">
      <w:pPr>
        <w:ind w:left="0"/>
        <w:jc w:val="both"/>
        <w:rPr>
          <w:rFonts w:ascii="Bookman Old Style" w:hAnsi="Bookman Old Style"/>
        </w:rPr>
      </w:pPr>
    </w:p>
    <w:p w:rsidR="006021A6" w:rsidRDefault="006021A6" w:rsidP="00E01A94">
      <w:pPr>
        <w:ind w:left="0"/>
        <w:jc w:val="both"/>
        <w:rPr>
          <w:rFonts w:ascii="Bookman Old Style" w:hAnsi="Bookman Old Style"/>
        </w:rPr>
      </w:pPr>
    </w:p>
    <w:p w:rsidR="006021A6" w:rsidRDefault="006021A6" w:rsidP="00E01A94">
      <w:pPr>
        <w:ind w:left="0"/>
        <w:jc w:val="both"/>
        <w:rPr>
          <w:rFonts w:ascii="Bookman Old Style" w:hAnsi="Bookman Old Style"/>
        </w:rPr>
      </w:pPr>
    </w:p>
    <w:p w:rsidR="006021A6" w:rsidRDefault="006021A6"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rPr>
      </w:pPr>
      <w:r w:rsidRPr="007417BB">
        <w:rPr>
          <w:rFonts w:ascii="Bookman Old Style" w:hAnsi="Bookman Old Style"/>
        </w:rPr>
        <w:t>En este orden de ideas son sujetos pasivos de la contribución a favor de la CREG las entidades sometidas a su regulación control y vigilancia</w:t>
      </w:r>
      <w:r w:rsidRPr="007417BB">
        <w:rPr>
          <w:rStyle w:val="Refdenotaalpie"/>
          <w:rFonts w:ascii="Bookman Old Style" w:hAnsi="Bookman Old Style"/>
        </w:rPr>
        <w:footnoteReference w:id="1"/>
      </w:r>
      <w:r w:rsidRPr="007417BB">
        <w:rPr>
          <w:rFonts w:ascii="Bookman Old Style" w:hAnsi="Bookman Old Style"/>
        </w:rPr>
        <w:t xml:space="preserve">, </w:t>
      </w:r>
    </w:p>
    <w:p w:rsidR="00E01A94" w:rsidRPr="007417BB" w:rsidRDefault="00E01A94"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cs="Arial"/>
          <w:bCs/>
        </w:rPr>
      </w:pPr>
      <w:r w:rsidRPr="007417BB">
        <w:rPr>
          <w:rFonts w:ascii="Bookman Old Style" w:hAnsi="Bookman Old Style" w:cs="Arial"/>
          <w:bCs/>
        </w:rPr>
        <w:t xml:space="preserve">La Comisión de Regulación de Energía y Gas- CREG-, para llevar a cabo la contribución especial se fundamentó en la información del Registro Único de Prestadores de Servicios Públicos –RUPS, encontrando que la </w:t>
      </w:r>
      <w:r w:rsidR="006E14B5" w:rsidRPr="007417BB">
        <w:rPr>
          <w:rFonts w:ascii="Bookman Old Style" w:hAnsi="Bookman Old Style"/>
          <w:bCs/>
        </w:rPr>
        <w:t>EMPRESA DE ENERGÍA DEL QUINDIO E.S.P. S.A.,</w:t>
      </w:r>
      <w:r w:rsidRPr="007417BB">
        <w:rPr>
          <w:rFonts w:ascii="Bookman Old Style" w:hAnsi="Bookman Old Style"/>
          <w:bCs/>
        </w:rPr>
        <w:t xml:space="preserve"> desarrolla actividades objeto de regulación.</w:t>
      </w:r>
    </w:p>
    <w:p w:rsidR="00E01A94" w:rsidRPr="007417BB" w:rsidRDefault="00E01A94" w:rsidP="00E01A94">
      <w:pPr>
        <w:pStyle w:val="NormalWeb"/>
        <w:spacing w:before="0" w:beforeAutospacing="0" w:after="0" w:afterAutospacing="0"/>
        <w:jc w:val="both"/>
        <w:rPr>
          <w:rFonts w:ascii="Bookman Old Style" w:hAnsi="Bookman Old Style" w:cs="Arial"/>
          <w:bCs/>
          <w:lang w:val="es-MX"/>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Igualmente es importante señalar lo siguiente:</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E01A94" w:rsidRPr="007417BB" w:rsidRDefault="00E01A94" w:rsidP="00E01A94">
      <w:pPr>
        <w:pStyle w:val="NormalWeb"/>
        <w:jc w:val="both"/>
        <w:rPr>
          <w:rFonts w:ascii="Bookman Old Style" w:hAnsi="Bookman Old Style" w:cs="Arial"/>
          <w:iCs/>
        </w:rPr>
      </w:pPr>
      <w:r w:rsidRPr="007417BB">
        <w:rPr>
          <w:rFonts w:ascii="Bookman Old Style" w:hAnsi="Bookman Old Style"/>
        </w:rPr>
        <w:t>IMPUESTOS: R</w:t>
      </w:r>
      <w:r w:rsidRPr="007417BB">
        <w:rPr>
          <w:rFonts w:ascii="Bookman Old Style" w:hAnsi="Bookman Old Style" w:cs="Arial"/>
          <w:iCs/>
        </w:rPr>
        <w:t>epresentan la obligación para el contribuyente de hacer un pago, sin que exista una retribución particular por parte del Estado.</w:t>
      </w: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 xml:space="preserve">TASAS: </w:t>
      </w:r>
      <w:r w:rsidRPr="007417BB">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cs="Arial"/>
          <w:iCs/>
          <w:sz w:val="24"/>
          <w:szCs w:val="24"/>
        </w:rPr>
      </w:pPr>
      <w:r w:rsidRPr="007417BB">
        <w:rPr>
          <w:rFonts w:ascii="Bookman Old Style" w:hAnsi="Bookman Old Style"/>
          <w:sz w:val="24"/>
          <w:szCs w:val="24"/>
        </w:rPr>
        <w:t>CONTRIBUCIONES:</w:t>
      </w:r>
      <w:r w:rsidRPr="007417BB">
        <w:rPr>
          <w:rFonts w:ascii="Bookman Old Style" w:hAnsi="Bookman Old Style" w:cs="Arial"/>
          <w:iCs/>
          <w:sz w:val="24"/>
          <w:szCs w:val="24"/>
        </w:rPr>
        <w:t xml:space="preserve"> Todas las cargas fiscales al patrimonio particular, sustentadas en la potestad tributaria del Estado.</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 xml:space="preserve">CONTRIBUCIONES ESPECIALES: </w:t>
      </w:r>
      <w:r w:rsidRPr="007417BB">
        <w:rPr>
          <w:rFonts w:ascii="Bookman Old Style" w:hAnsi="Bookman Old Style" w:cs="Arial"/>
          <w:iCs/>
          <w:sz w:val="24"/>
          <w:szCs w:val="24"/>
        </w:rPr>
        <w:t>Es un pago por una inversión que beneficia a un grupo de personas.</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ind w:left="0"/>
        <w:jc w:val="both"/>
        <w:rPr>
          <w:rFonts w:ascii="Bookman Old Style" w:hAnsi="Bookman Old Style" w:cs="Arial"/>
          <w:lang w:eastAsia="es-CO"/>
        </w:rPr>
      </w:pPr>
      <w:r w:rsidRPr="007417BB">
        <w:rPr>
          <w:rFonts w:ascii="Bookman Old Style" w:hAnsi="Bookman Old Style" w:cs="Arial"/>
          <w:bCs/>
          <w:lang w:val="es-CO" w:eastAsia="es-CO"/>
        </w:rPr>
        <w:t>De acuerdo con la Teoría General del</w:t>
      </w:r>
      <w:r w:rsidRPr="007417BB">
        <w:rPr>
          <w:rFonts w:ascii="Bookman Old Style" w:hAnsi="Bookman Old Style" w:cs="Arial"/>
          <w:bCs/>
          <w:lang w:eastAsia="es-CO"/>
        </w:rPr>
        <w:t xml:space="preserve"> Acto Administrativo, e</w:t>
      </w:r>
      <w:r w:rsidRPr="007417BB">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E01A94" w:rsidRPr="007417BB" w:rsidRDefault="00E01A94" w:rsidP="00E01A94">
      <w:pPr>
        <w:ind w:left="0"/>
        <w:jc w:val="both"/>
        <w:rPr>
          <w:rFonts w:ascii="Bookman Old Style" w:hAnsi="Bookman Old Style" w:cs="Arial"/>
          <w:lang w:eastAsia="es-CO"/>
        </w:rPr>
      </w:pPr>
    </w:p>
    <w:p w:rsidR="006021A6" w:rsidRDefault="006021A6" w:rsidP="00E01A94">
      <w:pPr>
        <w:ind w:left="0"/>
        <w:jc w:val="both"/>
        <w:rPr>
          <w:rFonts w:ascii="Bookman Old Style" w:hAnsi="Bookman Old Style" w:cs="Arial"/>
          <w:lang w:eastAsia="es-CO"/>
        </w:rPr>
      </w:pPr>
    </w:p>
    <w:p w:rsidR="00E01A94" w:rsidRPr="007417BB" w:rsidRDefault="00E01A94" w:rsidP="00E01A94">
      <w:pPr>
        <w:ind w:left="0"/>
        <w:jc w:val="both"/>
        <w:rPr>
          <w:rFonts w:ascii="Bookman Old Style" w:hAnsi="Bookman Old Style" w:cs="Arial"/>
          <w:lang w:eastAsia="es-CO"/>
        </w:rPr>
      </w:pPr>
      <w:r w:rsidRPr="007417BB">
        <w:rPr>
          <w:rFonts w:ascii="Bookman Old Style" w:hAnsi="Bookman Old Style" w:cs="Arial"/>
          <w:lang w:eastAsia="es-CO"/>
        </w:rPr>
        <w:t>Dentro de la clasificación de los actos administrativos pueden ser de carácter general o de carácter particular y concreto así:</w:t>
      </w:r>
    </w:p>
    <w:p w:rsidR="00E01A94" w:rsidRPr="007417BB" w:rsidRDefault="00E01A94" w:rsidP="00E01A94">
      <w:pPr>
        <w:spacing w:before="120" w:after="120"/>
        <w:ind w:left="0"/>
        <w:jc w:val="both"/>
        <w:rPr>
          <w:rFonts w:ascii="Bookman Old Style" w:hAnsi="Bookman Old Style" w:cs="Arial"/>
          <w:lang w:eastAsia="es-CO"/>
        </w:rPr>
      </w:pPr>
      <w:r w:rsidRPr="007417BB">
        <w:rPr>
          <w:rFonts w:ascii="Bookman Old Style" w:hAnsi="Bookman Old Style" w:cs="Arial"/>
          <w:iCs/>
          <w:lang w:eastAsia="es-CO"/>
        </w:rPr>
        <w:t>Son actos administrativos de carácter general</w:t>
      </w:r>
      <w:r w:rsidRPr="007417BB">
        <w:rPr>
          <w:rFonts w:ascii="Bookman Old Style" w:hAnsi="Bookman Old Style" w:cs="Arial"/>
          <w:lang w:eastAsia="es-CO"/>
        </w:rPr>
        <w:t xml:space="preserve"> los que recaen sobre un grupo general o indeterminado de personas, o cuando el texto del Acto Administrativo no especifica a quien va dirigido. </w:t>
      </w: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cs="Arial"/>
          <w:bCs/>
          <w:sz w:val="24"/>
          <w:szCs w:val="24"/>
          <w:lang w:eastAsia="es-CO"/>
        </w:rPr>
        <w:t>Son Actos Administrativos de carácter particular y concreto los que recaen sobre un sujeto</w:t>
      </w:r>
      <w:r w:rsidRPr="007417BB">
        <w:rPr>
          <w:rFonts w:ascii="Bookman Old Style" w:hAnsi="Bookman Old Style" w:cs="Arial"/>
          <w:b/>
          <w:bCs/>
          <w:sz w:val="24"/>
          <w:szCs w:val="24"/>
          <w:lang w:eastAsia="es-CO"/>
        </w:rPr>
        <w:t xml:space="preserve"> </w:t>
      </w:r>
      <w:r w:rsidRPr="007417BB">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o más personas y conservar las características de un acto administrativo particular, </w:t>
      </w:r>
      <w:r w:rsidRPr="007417BB">
        <w:rPr>
          <w:rFonts w:ascii="Bookman Old Style" w:hAnsi="Bookman Old Style" w:cs="Arial"/>
          <w:bCs/>
          <w:sz w:val="24"/>
          <w:szCs w:val="24"/>
          <w:lang w:eastAsia="es-CO"/>
        </w:rPr>
        <w:t>por citar un ejemplo, esto puede suceder c</w:t>
      </w:r>
      <w:r w:rsidRPr="007417BB">
        <w:rPr>
          <w:rFonts w:ascii="Bookman Old Style" w:hAnsi="Bookman Old Style" w:cs="Arial"/>
          <w:sz w:val="24"/>
          <w:szCs w:val="24"/>
          <w:lang w:eastAsia="es-CO"/>
        </w:rPr>
        <w:t>uando se otorga una pensión a una persona, o cuando se les da a más de una persona.</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Por lo tanto, siempre que los afectados por el acto estén nominalmente identificados, individualizados, el acto es particular independientemente del número de personas afectadas. Sobre éste punto el Honorable Consejo de Estado ha expuesto:</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jc w:val="both"/>
        <w:rPr>
          <w:rFonts w:ascii="Bookman Old Style" w:hAnsi="Bookman Old Style"/>
          <w:i/>
          <w:sz w:val="24"/>
          <w:szCs w:val="24"/>
        </w:rPr>
      </w:pPr>
      <w:r w:rsidRPr="007417BB">
        <w:rPr>
          <w:rFonts w:ascii="Bookman Old Style" w:hAnsi="Bookman Old Style"/>
          <w:i/>
          <w:sz w:val="24"/>
          <w:szCs w:val="24"/>
        </w:rPr>
        <w:t>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7417BB">
        <w:rPr>
          <w:rStyle w:val="Refdenotaalpie"/>
          <w:rFonts w:ascii="Bookman Old Style" w:hAnsi="Bookman Old Style"/>
          <w:i/>
          <w:sz w:val="24"/>
          <w:szCs w:val="24"/>
        </w:rPr>
        <w:footnoteReference w:id="2"/>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sz w:val="24"/>
          <w:szCs w:val="24"/>
        </w:rPr>
      </w:pPr>
      <w:r w:rsidRPr="007417BB">
        <w:rPr>
          <w:rFonts w:ascii="Bookman Old Style" w:hAnsi="Bookman Old Style"/>
          <w:sz w:val="24"/>
          <w:szCs w:val="24"/>
        </w:rPr>
        <w:t>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E01A94" w:rsidRPr="007417BB" w:rsidRDefault="00E01A94" w:rsidP="00E01A94">
      <w:pPr>
        <w:pStyle w:val="Prrafodelista"/>
        <w:ind w:left="0"/>
        <w:jc w:val="both"/>
        <w:rPr>
          <w:rFonts w:ascii="Bookman Old Style" w:hAnsi="Bookman Old Style"/>
          <w:sz w:val="24"/>
          <w:szCs w:val="24"/>
        </w:rPr>
      </w:pPr>
    </w:p>
    <w:p w:rsidR="00E01A94" w:rsidRPr="007417BB" w:rsidRDefault="00E01A94" w:rsidP="00E01A94">
      <w:pPr>
        <w:pStyle w:val="Prrafodelista"/>
        <w:ind w:left="0"/>
        <w:jc w:val="both"/>
        <w:rPr>
          <w:rFonts w:ascii="Bookman Old Style" w:hAnsi="Bookman Old Style"/>
          <w:i/>
          <w:sz w:val="24"/>
          <w:szCs w:val="24"/>
        </w:rPr>
      </w:pPr>
      <w:r w:rsidRPr="007417BB">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E01A94" w:rsidRPr="007417BB" w:rsidRDefault="00E01A94" w:rsidP="00E01A94">
      <w:pPr>
        <w:pStyle w:val="Prrafodelista"/>
        <w:ind w:left="0"/>
        <w:jc w:val="both"/>
        <w:rPr>
          <w:rFonts w:ascii="Bookman Old Style" w:hAnsi="Bookman Old Style"/>
          <w:i/>
          <w:sz w:val="24"/>
          <w:szCs w:val="24"/>
        </w:rPr>
      </w:pPr>
    </w:p>
    <w:p w:rsidR="00E01A94" w:rsidRPr="007417BB" w:rsidRDefault="00E01A94" w:rsidP="00E01A94">
      <w:pPr>
        <w:pStyle w:val="Prrafodelista"/>
        <w:ind w:left="0"/>
        <w:jc w:val="both"/>
        <w:rPr>
          <w:rFonts w:ascii="Bookman Old Style" w:hAnsi="Bookman Old Style"/>
          <w:i/>
          <w:sz w:val="24"/>
          <w:szCs w:val="24"/>
        </w:rPr>
      </w:pPr>
      <w:r w:rsidRPr="007417BB">
        <w:rPr>
          <w:rFonts w:ascii="Bookman Old Style" w:hAnsi="Bookman Old Style"/>
          <w:i/>
          <w:sz w:val="24"/>
          <w:szCs w:val="24"/>
        </w:rPr>
        <w:t>•</w:t>
      </w:r>
      <w:r w:rsidRPr="007417BB">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E01A94" w:rsidRPr="007417BB" w:rsidRDefault="00E01A94" w:rsidP="00E01A94">
      <w:pPr>
        <w:pStyle w:val="Prrafodelista"/>
        <w:ind w:left="0"/>
        <w:jc w:val="both"/>
        <w:rPr>
          <w:rFonts w:ascii="Bookman Old Style" w:hAnsi="Bookman Old Style"/>
          <w:i/>
          <w:sz w:val="24"/>
          <w:szCs w:val="24"/>
        </w:rPr>
      </w:pPr>
    </w:p>
    <w:p w:rsidR="00E01A94" w:rsidRPr="007417BB" w:rsidRDefault="00E01A94" w:rsidP="00E01A94">
      <w:pPr>
        <w:pStyle w:val="Prrafodelista"/>
        <w:ind w:left="0"/>
        <w:jc w:val="both"/>
        <w:rPr>
          <w:rFonts w:ascii="Bookman Old Style" w:hAnsi="Bookman Old Style"/>
          <w:i/>
          <w:sz w:val="24"/>
          <w:szCs w:val="24"/>
          <w:highlight w:val="yellow"/>
        </w:rPr>
      </w:pPr>
      <w:r w:rsidRPr="007417BB">
        <w:rPr>
          <w:rFonts w:ascii="Bookman Old Style" w:hAnsi="Bookman Old Style"/>
          <w:i/>
          <w:sz w:val="24"/>
          <w:szCs w:val="24"/>
        </w:rPr>
        <w:t>•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base gravable del tributo con erogaciones que (no) hacen parte de los gastos de funcionamiento de las entidades vigiladas".</w:t>
      </w:r>
    </w:p>
    <w:p w:rsidR="00E01A94" w:rsidRPr="007417BB" w:rsidRDefault="00E01A94" w:rsidP="00E01A94">
      <w:pPr>
        <w:pStyle w:val="Prrafodelista"/>
        <w:ind w:left="0"/>
        <w:jc w:val="both"/>
        <w:rPr>
          <w:rFonts w:ascii="Bookman Old Style" w:hAnsi="Bookman Old Style"/>
          <w:i/>
          <w:sz w:val="24"/>
          <w:szCs w:val="24"/>
          <w:highlight w:val="yellow"/>
        </w:rPr>
      </w:pPr>
    </w:p>
    <w:p w:rsidR="00E01A94" w:rsidRPr="007417BB" w:rsidRDefault="00E01A94" w:rsidP="00E01A94">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7417BB">
        <w:rPr>
          <w:rFonts w:ascii="Bookman Old Style" w:eastAsia="Times New Roman" w:hAnsi="Bookman Old Style" w:cs="Times New Roman"/>
          <w:sz w:val="24"/>
          <w:szCs w:val="24"/>
          <w:lang w:eastAsia="es-ES"/>
        </w:rPr>
        <w:t xml:space="preserve">Igualmente la Ley 142 de 1994 en su artículo 85 establece que para efectos de la contribución especial se tomarán los estados financieros, con corte a 31 de diciembre del año anterior, </w:t>
      </w:r>
      <w:r w:rsidR="00980C21" w:rsidRPr="007417BB">
        <w:rPr>
          <w:rFonts w:ascii="Bookman Old Style" w:eastAsia="Times New Roman" w:hAnsi="Bookman Old Style" w:cs="Times New Roman"/>
          <w:sz w:val="24"/>
          <w:szCs w:val="24"/>
          <w:lang w:eastAsia="es-ES"/>
        </w:rPr>
        <w:t>reportados oportunamente al SUI</w:t>
      </w:r>
      <w:r w:rsidRPr="007417BB">
        <w:rPr>
          <w:rFonts w:ascii="Bookman Old Style" w:eastAsia="Times New Roman" w:hAnsi="Bookman Old Style" w:cs="Times New Roman"/>
          <w:sz w:val="24"/>
          <w:szCs w:val="24"/>
          <w:lang w:eastAsia="es-ES"/>
        </w:rPr>
        <w:t>.</w:t>
      </w:r>
    </w:p>
    <w:p w:rsidR="00E01A94" w:rsidRPr="007417BB" w:rsidRDefault="00E01A94" w:rsidP="00E01A94">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7417BB">
        <w:rPr>
          <w:rFonts w:ascii="Bookman Old Style" w:eastAsia="Times New Roman" w:hAnsi="Bookman Old Style" w:cs="Times New Roman"/>
          <w:sz w:val="24"/>
          <w:szCs w:val="24"/>
          <w:lang w:eastAsia="es-ES"/>
        </w:rPr>
        <w:t xml:space="preserve">La Ley 1314 de 2009, establece el proceso de convergencia a normas internacionales de información financiera, que fue reglamentado para el Grupo 1 mediante el Decreto 2784 de 2012, estableciendo los requisitos para pertenecer a este grupo, así como el cronograma de aplicación de marco normativo internacional (NIIF PLENAS), el cual estableció como período de aplicación el año 2015, por lo tanto, los primeros estados financieros de la empresas clasificados en este grupo son con corte a 31 de diciembre de 2015, como es el caso de </w:t>
      </w:r>
      <w:r w:rsidR="006E14B5" w:rsidRPr="007417BB">
        <w:rPr>
          <w:rFonts w:ascii="Bookman Old Style" w:eastAsia="Times New Roman" w:hAnsi="Bookman Old Style" w:cs="Times New Roman"/>
          <w:sz w:val="24"/>
          <w:szCs w:val="24"/>
          <w:lang w:eastAsia="es-ES"/>
        </w:rPr>
        <w:t xml:space="preserve">EMPRESA DE ENERGÍA DEL QUINDIO E.S.P. S.A. </w:t>
      </w:r>
    </w:p>
    <w:p w:rsidR="00E01A94" w:rsidRPr="007417BB" w:rsidRDefault="00E01A94" w:rsidP="00E01A94">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7417BB">
        <w:rPr>
          <w:rFonts w:ascii="Bookman Old Style" w:eastAsia="Times New Roman" w:hAnsi="Bookman Old Style" w:cs="Times New Roman"/>
          <w:sz w:val="24"/>
          <w:szCs w:val="24"/>
          <w:lang w:eastAsia="es-ES"/>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 la cual también quedó sustentada en los actos administrativos expedidos por la Superintendencia.</w:t>
      </w:r>
    </w:p>
    <w:p w:rsidR="00E01A94" w:rsidRPr="007417BB" w:rsidRDefault="00E01A94" w:rsidP="00E01A94">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7417BB">
        <w:rPr>
          <w:rFonts w:ascii="Bookman Old Style" w:eastAsia="Times New Roman" w:hAnsi="Bookman Old Style" w:cs="Times New Roman"/>
          <w:sz w:val="24"/>
          <w:szCs w:val="24"/>
          <w:lang w:eastAsia="es-ES"/>
        </w:rPr>
        <w:t>Adicionalmente, es importante aclarar que la Ley 142 de 1994, no establece que la contribución especial este sujeto a un régimen financiero o contable, sino a los estados financieros vigentes.</w:t>
      </w:r>
    </w:p>
    <w:p w:rsidR="007417BB" w:rsidRDefault="00E01A94" w:rsidP="007417BB">
      <w:pPr>
        <w:ind w:left="0"/>
        <w:jc w:val="both"/>
        <w:rPr>
          <w:rFonts w:ascii="Bookman Old Style" w:hAnsi="Bookman Old Style"/>
        </w:rPr>
      </w:pPr>
      <w:r w:rsidRPr="007417BB">
        <w:rPr>
          <w:rFonts w:ascii="Bookman Old Style" w:hAnsi="Bookman Old Style"/>
        </w:rPr>
        <w:t xml:space="preserve">Sin embargo y en atención a lo señalado por el recurrente </w:t>
      </w:r>
      <w:r w:rsidR="009E6F65" w:rsidRPr="007417BB">
        <w:rPr>
          <w:rFonts w:ascii="Bookman Old Style" w:hAnsi="Bookman Old Style"/>
        </w:rPr>
        <w:t xml:space="preserve">en el recurso en el sentido que el reporte de información al SUI se realizó </w:t>
      </w:r>
      <w:r w:rsidRPr="007417BB">
        <w:rPr>
          <w:rFonts w:ascii="Bookman Old Style" w:hAnsi="Bookman Old Style"/>
        </w:rPr>
        <w:t xml:space="preserve">con los estados financieros NIIF y que por esto se gestaron diferencias sustanciales en la base de la contribución de 2016, frente a los años precedentes, puesto que cuando en años anteriores </w:t>
      </w:r>
      <w:r w:rsidR="009E6F65" w:rsidRPr="007417BB">
        <w:rPr>
          <w:rFonts w:ascii="Bookman Old Style" w:hAnsi="Bookman Old Style"/>
        </w:rPr>
        <w:t>se</w:t>
      </w:r>
      <w:r w:rsidRPr="007417BB">
        <w:rPr>
          <w:rFonts w:ascii="Bookman Old Style" w:hAnsi="Bookman Old Style"/>
        </w:rPr>
        <w:t xml:space="preserve"> tomaba </w:t>
      </w:r>
      <w:r w:rsidR="009E6F65" w:rsidRPr="007417BB">
        <w:rPr>
          <w:rFonts w:ascii="Bookman Old Style" w:hAnsi="Bookman Old Style"/>
        </w:rPr>
        <w:t xml:space="preserve">por parte de la CREG </w:t>
      </w:r>
      <w:r w:rsidRPr="007417BB">
        <w:rPr>
          <w:rFonts w:ascii="Bookman Old Style" w:hAnsi="Bookman Old Style"/>
        </w:rPr>
        <w:t xml:space="preserve">como base para liquidar la contribución los gastos de administración, acudía únicamente a las cuentas del Grupo 51, pero en este período, en dichas cuentas se agruparon de un lado las cuentas del Grupo 53 (Provisiones, amortizaciones y depreciaciones) y de otro, la cuenta activos sociales (511167) procedió esta Superintendencia a verificar las notas de los estados financieros del prestador, encontrando que </w:t>
      </w:r>
      <w:r w:rsidR="00980C21" w:rsidRPr="007417BB">
        <w:rPr>
          <w:rFonts w:ascii="Bookman Old Style" w:hAnsi="Bookman Old Style"/>
        </w:rPr>
        <w:t>la empresa recurrente</w:t>
      </w:r>
      <w:r w:rsidRPr="007417BB">
        <w:rPr>
          <w:rFonts w:ascii="Bookman Old Style" w:hAnsi="Bookman Old Style"/>
        </w:rPr>
        <w:t>, reporto en el rubro "GASTOS DE ADMINISTRACIÓN" el concepto "PROVISIONES, A</w:t>
      </w:r>
      <w:r w:rsidR="007417BB">
        <w:rPr>
          <w:rFonts w:ascii="Bookman Old Style" w:hAnsi="Bookman Old Style"/>
        </w:rPr>
        <w:t>MORTIZACIONES Y DEPRECIACIONES”.</w:t>
      </w:r>
    </w:p>
    <w:p w:rsidR="007417BB" w:rsidRDefault="007417BB" w:rsidP="007417BB">
      <w:pPr>
        <w:ind w:left="0"/>
        <w:jc w:val="both"/>
        <w:rPr>
          <w:rFonts w:ascii="Bookman Old Style" w:hAnsi="Bookman Old Style"/>
        </w:rPr>
      </w:pPr>
    </w:p>
    <w:p w:rsidR="00E01A94" w:rsidRDefault="00E01A94" w:rsidP="007417BB">
      <w:pPr>
        <w:ind w:left="0"/>
        <w:jc w:val="both"/>
      </w:pPr>
      <w:r w:rsidRPr="007417BB">
        <w:rPr>
          <w:rFonts w:ascii="Bookman Old Style" w:hAnsi="Bookman Old Style"/>
        </w:rPr>
        <w:t>En este sentido, en atención a que el Consejo de Estado en la sentencia 16874 del 23 de septiembre del año 2010, señaló que “</w:t>
      </w:r>
      <w:r w:rsidRPr="007417BB">
        <w:rPr>
          <w:rFonts w:ascii="Bookman Old Style" w:hAnsi="Bookman Old Style"/>
          <w:i/>
        </w:rPr>
        <w:t xml:space="preserve">Para la Sala es evidente que no corresponden a la definición que la jurisprudencia de esta Sección ha desarrollado de gastos de funcionamiento, las erogaciones incluidas en el Grupo 53 referidas a provisiones, agotamiento, depreciaciones y amortizaciones, porque no representan salidas de recursos para lograr el funcionamiento de la entidad”, procederá la CREG a excluir de la base gravable establecida en la Resolución 188 de 2016, correspondiente a la contribución especial año 2016, a cargo de </w:t>
      </w:r>
      <w:r w:rsidR="009E6F65" w:rsidRPr="007417BB">
        <w:rPr>
          <w:rFonts w:ascii="Bookman Old Style" w:hAnsi="Bookman Old Style"/>
          <w:i/>
        </w:rPr>
        <w:t xml:space="preserve">la EMPRESA DE ENERGÍA DEL QUINDIO E.S.P. S.A., </w:t>
      </w:r>
      <w:r w:rsidRPr="007417BB">
        <w:rPr>
          <w:rFonts w:ascii="Bookman Old Style" w:hAnsi="Bookman Old Style"/>
          <w:i/>
        </w:rPr>
        <w:t>por el servicio público de energía, el valor correspondiente a “PROVISIONES, AMORTIZACIONES Y DEPRECIACIONE</w:t>
      </w:r>
      <w:r w:rsidRPr="007417BB">
        <w:rPr>
          <w:rFonts w:ascii="Bookman Old Style" w:hAnsi="Bookman Old Style"/>
        </w:rPr>
        <w:t>S</w:t>
      </w:r>
      <w:r w:rsidRPr="007417BB">
        <w:t>".</w:t>
      </w:r>
    </w:p>
    <w:p w:rsidR="007417BB" w:rsidRPr="007417BB" w:rsidRDefault="007417BB" w:rsidP="007417BB">
      <w:pPr>
        <w:jc w:val="both"/>
      </w:pPr>
    </w:p>
    <w:p w:rsidR="00FB6189" w:rsidRDefault="00E01A94" w:rsidP="00FB6189">
      <w:pPr>
        <w:ind w:left="0"/>
        <w:jc w:val="both"/>
        <w:rPr>
          <w:rFonts w:ascii="Bookman Old Style" w:hAnsi="Bookman Old Style"/>
        </w:rPr>
      </w:pPr>
      <w:r w:rsidRPr="007417BB">
        <w:rPr>
          <w:rFonts w:ascii="Bookman Old Style" w:hAnsi="Bookman Old Style"/>
        </w:rPr>
        <w:t xml:space="preserve">En este orden de ideas, una vez efectuada la exclusión solicitada la base gravable de contribución para </w:t>
      </w:r>
      <w:r w:rsidR="006E14B5" w:rsidRPr="007417BB">
        <w:rPr>
          <w:rFonts w:ascii="Bookman Old Style" w:hAnsi="Bookman Old Style"/>
        </w:rPr>
        <w:t xml:space="preserve">EMPRESA DE ENERGÍA DEL QUINDIO E.S.P. S.A. </w:t>
      </w:r>
      <w:r w:rsidRPr="007417BB">
        <w:rPr>
          <w:rFonts w:ascii="Bookman Old Style" w:hAnsi="Bookman Old Style"/>
        </w:rPr>
        <w:t xml:space="preserve">, corresponde al valor de </w:t>
      </w:r>
      <w:r w:rsidR="0046735C">
        <w:rPr>
          <w:rFonts w:ascii="Bookman Old Style" w:hAnsi="Bookman Old Style"/>
        </w:rPr>
        <w:t xml:space="preserve">CATORCE MIL SEISCIENTOS VEINTITRES MILLONES NOVECIENTOS NOVENTA Y UN MIL TRESCIENTOS SIETE PESOS </w:t>
      </w:r>
      <w:r w:rsidRPr="007417BB">
        <w:rPr>
          <w:rFonts w:ascii="Bookman Old Style" w:hAnsi="Bookman Old Style"/>
        </w:rPr>
        <w:t>$</w:t>
      </w:r>
      <w:r w:rsidR="0046735C">
        <w:rPr>
          <w:rFonts w:ascii="Bookman Old Style" w:hAnsi="Bookman Old Style"/>
        </w:rPr>
        <w:t>14</w:t>
      </w:r>
      <w:r w:rsidRPr="007417BB">
        <w:rPr>
          <w:rFonts w:ascii="Bookman Old Style" w:hAnsi="Bookman Old Style"/>
        </w:rPr>
        <w:t>.</w:t>
      </w:r>
      <w:r w:rsidR="0046735C">
        <w:rPr>
          <w:rFonts w:ascii="Bookman Old Style" w:hAnsi="Bookman Old Style"/>
        </w:rPr>
        <w:t>623</w:t>
      </w:r>
      <w:r w:rsidRPr="007417BB">
        <w:rPr>
          <w:rFonts w:ascii="Bookman Old Style" w:hAnsi="Bookman Old Style"/>
        </w:rPr>
        <w:t>.</w:t>
      </w:r>
      <w:r w:rsidR="0046735C">
        <w:rPr>
          <w:rFonts w:ascii="Bookman Old Style" w:hAnsi="Bookman Old Style"/>
        </w:rPr>
        <w:t>991</w:t>
      </w:r>
      <w:r w:rsidRPr="007417BB">
        <w:rPr>
          <w:rFonts w:ascii="Bookman Old Style" w:hAnsi="Bookman Old Style"/>
        </w:rPr>
        <w:t>.</w:t>
      </w:r>
      <w:r w:rsidR="0046735C">
        <w:rPr>
          <w:rFonts w:ascii="Bookman Old Style" w:hAnsi="Bookman Old Style"/>
        </w:rPr>
        <w:t>307</w:t>
      </w:r>
      <w:r w:rsidRPr="007417BB">
        <w:rPr>
          <w:rFonts w:ascii="Bookman Old Style" w:hAnsi="Bookman Old Style"/>
        </w:rPr>
        <w:t>.oo)</w:t>
      </w:r>
      <w:r w:rsidR="00FB6189" w:rsidRPr="007417BB">
        <w:rPr>
          <w:rFonts w:ascii="Bookman Old Style" w:hAnsi="Bookman Old Style"/>
        </w:rPr>
        <w:t xml:space="preserve"> M/cte.</w:t>
      </w:r>
      <w:r w:rsidRPr="007417BB">
        <w:rPr>
          <w:rFonts w:ascii="Bookman Old Style" w:hAnsi="Bookman Old Style"/>
        </w:rPr>
        <w:t xml:space="preserve"> y el valor correspondiente a pagar por concepto de contribución asciende a la suma de </w:t>
      </w:r>
      <w:r w:rsidR="00FB6189" w:rsidRPr="007417BB">
        <w:rPr>
          <w:rFonts w:ascii="Bookman Old Style" w:hAnsi="Bookman Old Style"/>
        </w:rPr>
        <w:t>CIENTO VEINTIUN MIL DOSCIENTOS OCHENTA Y CUATRO MIL SETENTA Y DOS PESOS ($121.284.072.oo) M/cte.</w:t>
      </w:r>
    </w:p>
    <w:p w:rsidR="005E4F23" w:rsidRDefault="005E4F23" w:rsidP="00FB6189">
      <w:pPr>
        <w:ind w:left="0"/>
        <w:jc w:val="both"/>
        <w:rPr>
          <w:rFonts w:ascii="Bookman Old Style" w:hAnsi="Bookman Old Style"/>
        </w:rPr>
      </w:pPr>
    </w:p>
    <w:p w:rsidR="007A09BA" w:rsidRDefault="007A09BA" w:rsidP="007A09BA">
      <w:pPr>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 754 del 26 de diciembre de 2016.</w:t>
      </w:r>
    </w:p>
    <w:p w:rsidR="005E4F23" w:rsidRPr="007417BB" w:rsidRDefault="005E4F23" w:rsidP="00FB6189">
      <w:pPr>
        <w:ind w:left="0"/>
        <w:jc w:val="both"/>
        <w:rPr>
          <w:rFonts w:ascii="Bookman Old Style" w:hAnsi="Bookman Old Style"/>
        </w:rPr>
      </w:pPr>
    </w:p>
    <w:p w:rsidR="00E01A94" w:rsidRDefault="00E01A94" w:rsidP="00E01A94">
      <w:pPr>
        <w:tabs>
          <w:tab w:val="center" w:pos="4512"/>
        </w:tabs>
        <w:suppressAutoHyphens/>
        <w:ind w:left="0"/>
        <w:jc w:val="both"/>
        <w:rPr>
          <w:rFonts w:ascii="Bookman Old Style" w:hAnsi="Bookman Old Style"/>
          <w:b/>
          <w:i/>
          <w:spacing w:val="-3"/>
        </w:rPr>
      </w:pPr>
    </w:p>
    <w:p w:rsidR="007417BB" w:rsidRDefault="007417BB" w:rsidP="00E01A94">
      <w:pPr>
        <w:tabs>
          <w:tab w:val="center" w:pos="4512"/>
        </w:tabs>
        <w:suppressAutoHyphens/>
        <w:ind w:left="0"/>
        <w:jc w:val="both"/>
        <w:rPr>
          <w:rFonts w:ascii="Bookman Old Style" w:hAnsi="Bookman Old Style"/>
          <w:b/>
          <w:i/>
          <w:spacing w:val="-3"/>
        </w:rPr>
      </w:pPr>
    </w:p>
    <w:p w:rsidR="00E01A94" w:rsidRPr="007417BB" w:rsidRDefault="00E01A94" w:rsidP="00E01A94">
      <w:pPr>
        <w:tabs>
          <w:tab w:val="center" w:pos="4512"/>
        </w:tabs>
        <w:suppressAutoHyphens/>
        <w:ind w:left="170"/>
        <w:jc w:val="center"/>
        <w:rPr>
          <w:rFonts w:ascii="Bookman Old Style" w:hAnsi="Bookman Old Style"/>
          <w:b/>
          <w:spacing w:val="-3"/>
        </w:rPr>
      </w:pPr>
      <w:r w:rsidRPr="007417BB">
        <w:rPr>
          <w:rFonts w:ascii="Bookman Old Style" w:hAnsi="Bookman Old Style"/>
          <w:b/>
          <w:spacing w:val="-3"/>
        </w:rPr>
        <w:t>R E S U E L V E:</w:t>
      </w:r>
    </w:p>
    <w:p w:rsidR="00E01A94" w:rsidRDefault="00E01A94" w:rsidP="00E01A94">
      <w:pPr>
        <w:ind w:left="0"/>
        <w:jc w:val="both"/>
        <w:rPr>
          <w:rFonts w:ascii="Bookman Old Style" w:hAnsi="Bookman Old Style"/>
          <w:b/>
        </w:rPr>
      </w:pPr>
    </w:p>
    <w:p w:rsidR="007417BB" w:rsidRPr="007417BB" w:rsidRDefault="007417BB" w:rsidP="00E01A94">
      <w:pPr>
        <w:ind w:left="0"/>
        <w:jc w:val="both"/>
        <w:rPr>
          <w:rFonts w:ascii="Bookman Old Style" w:hAnsi="Bookman Old Style"/>
          <w:b/>
        </w:rPr>
      </w:pPr>
    </w:p>
    <w:p w:rsidR="00E01A94" w:rsidRPr="007417BB" w:rsidRDefault="00E01A94" w:rsidP="00E01A94">
      <w:pPr>
        <w:ind w:left="0"/>
        <w:jc w:val="both"/>
        <w:rPr>
          <w:rFonts w:ascii="Bookman Old Style" w:hAnsi="Bookman Old Style"/>
        </w:rPr>
      </w:pPr>
      <w:r w:rsidRPr="007417BB">
        <w:rPr>
          <w:rFonts w:ascii="Bookman Old Style" w:hAnsi="Bookman Old Style"/>
          <w:b/>
        </w:rPr>
        <w:t>ARTÍCULO 1.</w:t>
      </w:r>
      <w:r w:rsidRPr="007417BB">
        <w:rPr>
          <w:rFonts w:ascii="Bookman Old Style" w:hAnsi="Bookman Old Style"/>
        </w:rPr>
        <w:t xml:space="preserve"> </w:t>
      </w:r>
      <w:r w:rsidRPr="007417BB">
        <w:rPr>
          <w:rFonts w:ascii="Bookman Old Style" w:hAnsi="Bookman Old Style"/>
          <w:b/>
        </w:rPr>
        <w:t xml:space="preserve">MODIFICAR, </w:t>
      </w:r>
      <w:r w:rsidRPr="007417BB">
        <w:rPr>
          <w:rFonts w:ascii="Bookman Old Style" w:hAnsi="Bookman Old Style"/>
        </w:rPr>
        <w:t xml:space="preserve">El artículo primero de la resolución CREG-188 de 2016, en la cual se señala la base gravable y el valor a pagar por la </w:t>
      </w:r>
      <w:r w:rsidR="006E14B5" w:rsidRPr="007417BB">
        <w:rPr>
          <w:rFonts w:ascii="Bookman Old Style" w:hAnsi="Bookman Old Style"/>
          <w:bCs/>
        </w:rPr>
        <w:t>EMPRESA DE ENERGÍA DEL QUINDIO E.S.P. S.A.</w:t>
      </w:r>
      <w:r w:rsidRPr="007417BB">
        <w:rPr>
          <w:rFonts w:ascii="Bookman Old Style" w:hAnsi="Bookman Old Style"/>
          <w:bCs/>
        </w:rPr>
        <w:t>,</w:t>
      </w:r>
      <w:r w:rsidRPr="007417BB">
        <w:rPr>
          <w:rFonts w:ascii="Bookman Old Style" w:hAnsi="Bookman Old Style"/>
        </w:rPr>
        <w:t xml:space="preserve"> con fundamento en las razones expuestas en la parte motiva de este proveído.</w:t>
      </w:r>
    </w:p>
    <w:p w:rsidR="00E01A94" w:rsidRPr="007417BB" w:rsidRDefault="00E01A94" w:rsidP="00E01A94">
      <w:pPr>
        <w:ind w:left="0"/>
        <w:jc w:val="both"/>
        <w:rPr>
          <w:rFonts w:ascii="Bookman Old Style" w:hAnsi="Bookman Old Style"/>
          <w:b/>
        </w:rPr>
      </w:pPr>
    </w:p>
    <w:p w:rsidR="00E01A94" w:rsidRPr="007417BB" w:rsidRDefault="00E01A94" w:rsidP="00E01A94">
      <w:pPr>
        <w:ind w:left="0"/>
        <w:jc w:val="both"/>
        <w:rPr>
          <w:rFonts w:ascii="Bookman Old Style" w:hAnsi="Bookman Old Style"/>
        </w:rPr>
      </w:pPr>
      <w:r w:rsidRPr="007417BB">
        <w:rPr>
          <w:rFonts w:ascii="Bookman Old Style" w:hAnsi="Bookman Old Style"/>
          <w:b/>
        </w:rPr>
        <w:t>Parágrafo:</w:t>
      </w:r>
      <w:r w:rsidRPr="007417BB">
        <w:rPr>
          <w:rFonts w:ascii="Bookman Old Style" w:hAnsi="Bookman Old Style"/>
        </w:rPr>
        <w:t xml:space="preserve"> En consecuencia de lo anterior, el valor a pagar por parte de </w:t>
      </w:r>
      <w:r w:rsidR="006E14B5" w:rsidRPr="007417BB">
        <w:rPr>
          <w:rFonts w:ascii="Bookman Old Style" w:hAnsi="Bookman Old Style"/>
          <w:bCs/>
        </w:rPr>
        <w:t>EMPRESA DE ENERGÍA DEL QUINDIO E.S.P. S.A.</w:t>
      </w:r>
      <w:r w:rsidRPr="007417BB">
        <w:rPr>
          <w:rFonts w:ascii="Bookman Old Style" w:hAnsi="Bookman Old Style"/>
          <w:bCs/>
        </w:rPr>
        <w:t xml:space="preserve">, corresponde a la suma de </w:t>
      </w:r>
      <w:r w:rsidR="00FB6189" w:rsidRPr="007417BB">
        <w:rPr>
          <w:rFonts w:ascii="Bookman Old Style" w:hAnsi="Bookman Old Style"/>
        </w:rPr>
        <w:t>CIENTO VEINTIUN MIL DOSCIENTOS OCHENTA Y CUATRO MIL SETENTA Y DOS PESOS ($121.284.072.oo) M/cte.</w:t>
      </w:r>
    </w:p>
    <w:p w:rsidR="00FB6189" w:rsidRPr="007417BB" w:rsidRDefault="00FB6189" w:rsidP="00E01A94">
      <w:pPr>
        <w:ind w:left="0"/>
        <w:jc w:val="both"/>
        <w:rPr>
          <w:rFonts w:ascii="Bookman Old Style" w:hAnsi="Bookman Old Style"/>
        </w:rPr>
      </w:pPr>
    </w:p>
    <w:p w:rsidR="00E01A94" w:rsidRPr="007417BB" w:rsidRDefault="00E01A94" w:rsidP="00E01A94">
      <w:pPr>
        <w:ind w:left="0"/>
        <w:jc w:val="both"/>
        <w:rPr>
          <w:rFonts w:ascii="Bookman Old Style" w:hAnsi="Bookman Old Style"/>
        </w:rPr>
      </w:pPr>
      <w:r w:rsidRPr="007417BB">
        <w:rPr>
          <w:rFonts w:ascii="Bookman Old Style" w:hAnsi="Bookman Old Style"/>
          <w:b/>
        </w:rPr>
        <w:t>ARTÍCULO 2.</w:t>
      </w:r>
      <w:r w:rsidRPr="007417BB">
        <w:rPr>
          <w:rFonts w:ascii="Bookman Old Style" w:hAnsi="Bookman Old Style"/>
        </w:rPr>
        <w:t xml:space="preserve"> </w:t>
      </w:r>
      <w:r w:rsidRPr="007417BB">
        <w:rPr>
          <w:rFonts w:ascii="Bookman Old Style" w:hAnsi="Bookman Old Style"/>
          <w:b/>
        </w:rPr>
        <w:t xml:space="preserve">INFORMAR, </w:t>
      </w:r>
      <w:r w:rsidRPr="007417BB">
        <w:rPr>
          <w:rFonts w:ascii="Bookman Old Style" w:hAnsi="Bookman Old Style"/>
        </w:rPr>
        <w:t>a quien corresponda el contenido de la presente resolución para que efectué los ajustes contables necesarios y se emita el respectivo paz y salvo de la resolución 188 de 2016 con destino al recurrente.</w:t>
      </w:r>
    </w:p>
    <w:p w:rsidR="00E01A94" w:rsidRPr="007417BB" w:rsidRDefault="00E01A94" w:rsidP="00E01A94">
      <w:pPr>
        <w:ind w:left="0"/>
        <w:jc w:val="both"/>
        <w:rPr>
          <w:rFonts w:ascii="Bookman Old Style" w:hAnsi="Bookman Old Style" w:cs="Arial"/>
          <w:color w:val="000000"/>
        </w:rPr>
      </w:pPr>
    </w:p>
    <w:p w:rsidR="00E01A94" w:rsidRPr="007417BB" w:rsidRDefault="00E01A94" w:rsidP="00E01A94">
      <w:pPr>
        <w:ind w:left="0"/>
        <w:jc w:val="both"/>
        <w:rPr>
          <w:rFonts w:ascii="Bookman Old Style" w:hAnsi="Bookman Old Style" w:cs="Arial"/>
        </w:rPr>
      </w:pPr>
      <w:r w:rsidRPr="007417BB">
        <w:rPr>
          <w:rFonts w:ascii="Bookman Old Style" w:hAnsi="Bookman Old Style"/>
          <w:b/>
        </w:rPr>
        <w:t xml:space="preserve">ARTÍCULO 3. NOTIFICAR </w:t>
      </w:r>
      <w:r w:rsidRPr="007417BB">
        <w:rPr>
          <w:rFonts w:ascii="Bookman Old Style" w:hAnsi="Bookman Old Style"/>
        </w:rPr>
        <w:t xml:space="preserve">al representante legal de la </w:t>
      </w:r>
      <w:r w:rsidR="006E14B5" w:rsidRPr="007417BB">
        <w:rPr>
          <w:rFonts w:ascii="Bookman Old Style" w:hAnsi="Bookman Old Style"/>
          <w:bCs/>
        </w:rPr>
        <w:t xml:space="preserve">EMPRESA DE ENERGÍA DEL QUINDIO E.S.P. S.A. </w:t>
      </w:r>
      <w:r w:rsidRPr="007417BB">
        <w:rPr>
          <w:rFonts w:ascii="Bookman Old Style" w:hAnsi="Bookman Old Style"/>
          <w:bCs/>
        </w:rPr>
        <w:t xml:space="preserve">, </w:t>
      </w:r>
      <w:r w:rsidRPr="007417BB">
        <w:rPr>
          <w:rFonts w:ascii="Bookman Old Style" w:hAnsi="Bookman Old Style" w:cs="Arial"/>
        </w:rPr>
        <w:t xml:space="preserve">el contenido de la presente resolución, conforme con lo establecido en los artículos 67 y </w:t>
      </w:r>
      <w:r w:rsidRPr="002D4302">
        <w:rPr>
          <w:rFonts w:ascii="Bookman Old Style" w:hAnsi="Bookman Old Style" w:cs="Arial"/>
          <w:color w:val="000000" w:themeColor="text1"/>
        </w:rPr>
        <w:t xml:space="preserve">ss </w:t>
      </w:r>
      <w:r w:rsidRPr="007417BB">
        <w:rPr>
          <w:rFonts w:ascii="Bookman Old Style" w:hAnsi="Bookman Old Style" w:cs="Arial"/>
        </w:rPr>
        <w:t xml:space="preserve">del Código de Procedimiento Administrativo y de lo Contencioso Administrativo. </w:t>
      </w:r>
    </w:p>
    <w:p w:rsidR="00E01A94" w:rsidRPr="007417BB" w:rsidRDefault="00E01A94" w:rsidP="00E01A94">
      <w:pPr>
        <w:ind w:left="170"/>
        <w:jc w:val="both"/>
        <w:rPr>
          <w:rFonts w:ascii="Bookman Old Style" w:hAnsi="Bookman Old Style" w:cs="Arial"/>
        </w:rPr>
      </w:pPr>
    </w:p>
    <w:p w:rsidR="00E01A94" w:rsidRPr="007417BB" w:rsidRDefault="00E01A94" w:rsidP="00E01A94">
      <w:pPr>
        <w:ind w:left="0"/>
        <w:jc w:val="both"/>
        <w:rPr>
          <w:rFonts w:ascii="Bookman Old Style" w:hAnsi="Bookman Old Style"/>
        </w:rPr>
      </w:pPr>
      <w:r w:rsidRPr="007417BB">
        <w:rPr>
          <w:rFonts w:ascii="Bookman Old Style" w:hAnsi="Bookman Old Style"/>
          <w:b/>
        </w:rPr>
        <w:t xml:space="preserve">ARTÍCULO 4. </w:t>
      </w:r>
      <w:r w:rsidRPr="007417BB">
        <w:rPr>
          <w:rFonts w:ascii="Bookman Old Style" w:hAnsi="Bookman Old Style"/>
        </w:rPr>
        <w:t>Contra la presente resolución no procede recurso alguno, quedando por lo tanto agotada la vía gubernativa.</w:t>
      </w:r>
    </w:p>
    <w:p w:rsidR="00E01A94" w:rsidRDefault="00E01A94" w:rsidP="00E01A94">
      <w:pPr>
        <w:ind w:left="0"/>
        <w:jc w:val="both"/>
        <w:rPr>
          <w:rFonts w:ascii="Bookman Old Style" w:hAnsi="Bookman Old Style" w:cs="Arial"/>
        </w:rPr>
      </w:pPr>
    </w:p>
    <w:p w:rsidR="0077116F" w:rsidRPr="007417BB" w:rsidRDefault="0077116F" w:rsidP="00E01A94">
      <w:pPr>
        <w:ind w:left="0"/>
        <w:jc w:val="both"/>
        <w:rPr>
          <w:rFonts w:ascii="Bookman Old Style" w:hAnsi="Bookman Old Style" w:cs="Arial"/>
        </w:rPr>
      </w:pPr>
    </w:p>
    <w:p w:rsidR="00E01A94" w:rsidRPr="007417BB" w:rsidRDefault="00E01A94" w:rsidP="00E01A94">
      <w:pPr>
        <w:ind w:left="0"/>
        <w:jc w:val="center"/>
        <w:rPr>
          <w:rFonts w:ascii="Bookman Old Style" w:hAnsi="Bookman Old Style" w:cs="Arial"/>
          <w:b/>
        </w:rPr>
      </w:pPr>
      <w:r w:rsidRPr="007417BB">
        <w:rPr>
          <w:rFonts w:ascii="Bookman Old Style" w:hAnsi="Bookman Old Style" w:cs="Arial"/>
          <w:b/>
        </w:rPr>
        <w:t>NOTIFÍQUESE Y CÚMPLASE</w:t>
      </w:r>
    </w:p>
    <w:p w:rsidR="00E01A94" w:rsidRPr="007417BB" w:rsidRDefault="00E01A94" w:rsidP="00E01A94">
      <w:pPr>
        <w:ind w:left="0"/>
        <w:jc w:val="center"/>
        <w:rPr>
          <w:rFonts w:ascii="Bookman Old Style" w:hAnsi="Bookman Old Style" w:cs="Arial"/>
          <w:b/>
        </w:rPr>
      </w:pPr>
    </w:p>
    <w:p w:rsidR="00E01A94" w:rsidRPr="007417BB" w:rsidRDefault="00E01A94" w:rsidP="00E01A94">
      <w:pPr>
        <w:ind w:left="0"/>
        <w:rPr>
          <w:rFonts w:ascii="Bookman Old Style" w:hAnsi="Bookman Old Style" w:cs="Arial"/>
        </w:rPr>
      </w:pPr>
    </w:p>
    <w:p w:rsidR="00E01A94" w:rsidRPr="007417BB" w:rsidRDefault="00E01A94" w:rsidP="00E01A94">
      <w:pPr>
        <w:ind w:left="0"/>
        <w:rPr>
          <w:rFonts w:ascii="Bookman Old Style" w:hAnsi="Bookman Old Style" w:cs="Arial"/>
        </w:rPr>
      </w:pPr>
      <w:r w:rsidRPr="007417BB">
        <w:rPr>
          <w:rFonts w:ascii="Bookman Old Style" w:hAnsi="Bookman Old Style" w:cs="Arial"/>
        </w:rPr>
        <w:t xml:space="preserve">Dada en Bogotá D.C, a </w:t>
      </w:r>
    </w:p>
    <w:p w:rsidR="00E01A94" w:rsidRPr="007417BB" w:rsidRDefault="00E01A94" w:rsidP="00E01A94">
      <w:pPr>
        <w:ind w:left="0"/>
        <w:jc w:val="both"/>
        <w:rPr>
          <w:rFonts w:ascii="Bookman Old Style" w:hAnsi="Bookman Old Style" w:cs="Arial"/>
          <w:b/>
        </w:rPr>
      </w:pPr>
    </w:p>
    <w:p w:rsidR="00E01A94" w:rsidRPr="007417BB" w:rsidRDefault="00E01A94" w:rsidP="00E01A94">
      <w:pPr>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9708FF" w:rsidRPr="00A14C71" w:rsidTr="00B74957">
        <w:trPr>
          <w:tblCellSpacing w:w="0" w:type="dxa"/>
          <w:jc w:val="center"/>
        </w:trPr>
        <w:tc>
          <w:tcPr>
            <w:tcW w:w="5529" w:type="dxa"/>
            <w:hideMark/>
          </w:tcPr>
          <w:p w:rsidR="009708FF" w:rsidRPr="00A14C71" w:rsidRDefault="009708FF" w:rsidP="00B74957">
            <w:pPr>
              <w:ind w:left="0"/>
              <w:rPr>
                <w:rFonts w:ascii="Bookman Old Style" w:hAnsi="Bookman Old Style" w:cs="Arial"/>
                <w:b/>
                <w:spacing w:val="-3"/>
              </w:rPr>
            </w:pPr>
          </w:p>
          <w:p w:rsidR="009708FF" w:rsidRDefault="009708FF" w:rsidP="00B74957">
            <w:pPr>
              <w:ind w:left="0"/>
              <w:rPr>
                <w:rFonts w:ascii="Bookman Old Style" w:hAnsi="Bookman Old Style" w:cs="Arial"/>
                <w:b/>
                <w:spacing w:val="-3"/>
              </w:rPr>
            </w:pPr>
          </w:p>
          <w:p w:rsidR="002D4302" w:rsidRPr="00A14C71" w:rsidRDefault="002D4302" w:rsidP="00B74957">
            <w:pPr>
              <w:ind w:left="0"/>
              <w:rPr>
                <w:rFonts w:ascii="Bookman Old Style" w:hAnsi="Bookman Old Style" w:cs="Arial"/>
                <w:b/>
                <w:spacing w:val="-3"/>
              </w:rPr>
            </w:pPr>
          </w:p>
          <w:p w:rsidR="009708FF" w:rsidRPr="00A14C71" w:rsidRDefault="009708FF" w:rsidP="00B74957">
            <w:pPr>
              <w:ind w:left="66"/>
              <w:jc w:val="center"/>
              <w:rPr>
                <w:rFonts w:ascii="Bookman Old Style" w:hAnsi="Bookman Old Style" w:cs="Arial"/>
                <w:b/>
                <w:spacing w:val="-3"/>
              </w:rPr>
            </w:pPr>
          </w:p>
          <w:p w:rsidR="009708FF" w:rsidRPr="00A14C71" w:rsidRDefault="009708FF" w:rsidP="00B74957">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9708FF" w:rsidRPr="00A14C71" w:rsidRDefault="009708FF" w:rsidP="00B74957">
            <w:pPr>
              <w:ind w:left="89"/>
              <w:jc w:val="center"/>
              <w:rPr>
                <w:rFonts w:ascii="Bookman Old Style" w:hAnsi="Bookman Old Style" w:cs="Arial"/>
                <w:b/>
                <w:spacing w:val="-3"/>
              </w:rPr>
            </w:pPr>
          </w:p>
          <w:p w:rsidR="009708FF" w:rsidRPr="00A14C71" w:rsidRDefault="009708FF" w:rsidP="00B74957">
            <w:pPr>
              <w:ind w:left="89"/>
              <w:jc w:val="center"/>
              <w:rPr>
                <w:rFonts w:ascii="Bookman Old Style" w:hAnsi="Bookman Old Style" w:cs="Arial"/>
                <w:b/>
                <w:spacing w:val="-3"/>
              </w:rPr>
            </w:pPr>
          </w:p>
          <w:p w:rsidR="009708FF" w:rsidRPr="00A14C71" w:rsidRDefault="009708FF" w:rsidP="00B74957">
            <w:pPr>
              <w:ind w:left="89"/>
              <w:jc w:val="center"/>
              <w:rPr>
                <w:rFonts w:ascii="Bookman Old Style" w:hAnsi="Bookman Old Style" w:cs="Arial"/>
                <w:b/>
                <w:spacing w:val="-3"/>
              </w:rPr>
            </w:pPr>
          </w:p>
          <w:p w:rsidR="009708FF" w:rsidRPr="00A14C71" w:rsidRDefault="009708FF" w:rsidP="00B74957">
            <w:pPr>
              <w:ind w:left="89"/>
              <w:jc w:val="center"/>
              <w:rPr>
                <w:rFonts w:ascii="Bookman Old Style" w:hAnsi="Bookman Old Style" w:cs="Arial"/>
                <w:b/>
                <w:spacing w:val="-3"/>
              </w:rPr>
            </w:pPr>
          </w:p>
          <w:p w:rsidR="009708FF" w:rsidRPr="00A14C71" w:rsidRDefault="009708FF" w:rsidP="00B74957">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9708FF" w:rsidRPr="00A14C71" w:rsidTr="00B74957">
        <w:trPr>
          <w:tblCellSpacing w:w="0" w:type="dxa"/>
          <w:jc w:val="center"/>
        </w:trPr>
        <w:tc>
          <w:tcPr>
            <w:tcW w:w="5529" w:type="dxa"/>
            <w:hideMark/>
          </w:tcPr>
          <w:p w:rsidR="009708FF" w:rsidRDefault="009708FF" w:rsidP="00B74957">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9708FF" w:rsidRPr="00A14C71" w:rsidRDefault="009708FF" w:rsidP="00B74957">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9708FF" w:rsidRPr="00A14C71" w:rsidRDefault="009708FF" w:rsidP="00B74957">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9708FF" w:rsidRPr="00A14C71" w:rsidTr="00B74957">
        <w:trPr>
          <w:tblCellSpacing w:w="0" w:type="dxa"/>
          <w:jc w:val="center"/>
        </w:trPr>
        <w:tc>
          <w:tcPr>
            <w:tcW w:w="5529" w:type="dxa"/>
            <w:hideMark/>
          </w:tcPr>
          <w:p w:rsidR="009708FF" w:rsidRPr="00A14C71" w:rsidRDefault="009708FF" w:rsidP="00B74957">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9708FF" w:rsidRPr="00A14C71" w:rsidRDefault="009708FF" w:rsidP="00B74957">
            <w:pPr>
              <w:ind w:left="0"/>
              <w:jc w:val="center"/>
              <w:rPr>
                <w:rFonts w:ascii="Bookman Old Style" w:eastAsia="Arial Unicode MS" w:hAnsi="Bookman Old Style" w:cs="Arial"/>
                <w:color w:val="000000"/>
              </w:rPr>
            </w:pPr>
          </w:p>
        </w:tc>
      </w:tr>
    </w:tbl>
    <w:p w:rsidR="00E01A94" w:rsidRDefault="00E01A94" w:rsidP="00E01A94">
      <w:pPr>
        <w:rPr>
          <w:rFonts w:ascii="Bookman Old Style" w:hAnsi="Bookman Old Style" w:cs="Arial"/>
          <w:szCs w:val="20"/>
        </w:rPr>
      </w:pPr>
    </w:p>
    <w:p w:rsidR="00E01A94" w:rsidRPr="007417BB" w:rsidRDefault="00E01A94" w:rsidP="00E01A94">
      <w:pPr>
        <w:rPr>
          <w:rFonts w:ascii="Bookman Old Style" w:hAnsi="Bookman Old Style"/>
        </w:rPr>
      </w:pPr>
    </w:p>
    <w:p w:rsidR="00E01A94" w:rsidRPr="007417BB" w:rsidRDefault="00E01A94" w:rsidP="00E01A94">
      <w:pPr>
        <w:rPr>
          <w:rFonts w:ascii="Bookman Old Style" w:hAnsi="Bookman Old Style"/>
        </w:rPr>
      </w:pPr>
    </w:p>
    <w:p w:rsidR="003C6F78" w:rsidRPr="007417BB" w:rsidRDefault="003C6F78" w:rsidP="00E01A94">
      <w:pPr>
        <w:rPr>
          <w:rFonts w:ascii="Bookman Old Style" w:hAnsi="Bookman Old Style"/>
        </w:rPr>
      </w:pPr>
    </w:p>
    <w:sectPr w:rsidR="003C6F78" w:rsidRPr="007417BB" w:rsidSect="00337231">
      <w:headerReference w:type="default" r:id="rId9"/>
      <w:headerReference w:type="first" r:id="rId1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B73" w:rsidRDefault="001F2B73" w:rsidP="00E01A94">
      <w:r>
        <w:separator/>
      </w:r>
    </w:p>
  </w:endnote>
  <w:endnote w:type="continuationSeparator" w:id="0">
    <w:p w:rsidR="001F2B73" w:rsidRDefault="001F2B73" w:rsidP="00E0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B73" w:rsidRDefault="001F2B73" w:rsidP="00E01A94">
      <w:r>
        <w:separator/>
      </w:r>
    </w:p>
  </w:footnote>
  <w:footnote w:type="continuationSeparator" w:id="0">
    <w:p w:rsidR="001F2B73" w:rsidRDefault="001F2B73" w:rsidP="00E01A94">
      <w:r>
        <w:continuationSeparator/>
      </w:r>
    </w:p>
  </w:footnote>
  <w:footnote w:id="1">
    <w:p w:rsidR="00E01A94" w:rsidRPr="000C6060" w:rsidRDefault="00E01A94" w:rsidP="00E01A94">
      <w:pPr>
        <w:pStyle w:val="Textonotapie"/>
      </w:pPr>
      <w:r>
        <w:rPr>
          <w:rStyle w:val="Refdenotaalpie"/>
        </w:rPr>
        <w:footnoteRef/>
      </w:r>
      <w:r>
        <w:t xml:space="preserve"> Artículo 85 Ley 142 de 1994</w:t>
      </w:r>
    </w:p>
  </w:footnote>
  <w:footnote w:id="2">
    <w:p w:rsidR="00E01A94" w:rsidRPr="003D5A97" w:rsidRDefault="00E01A94" w:rsidP="00E01A94">
      <w:pPr>
        <w:pStyle w:val="Textonotapie"/>
        <w:rPr>
          <w:b/>
        </w:rPr>
      </w:pPr>
      <w:r>
        <w:rPr>
          <w:rStyle w:val="Refdenotaalpie"/>
        </w:rPr>
        <w:footnoteRef/>
      </w:r>
      <w:r>
        <w:t xml:space="preserve"> </w:t>
      </w:r>
    </w:p>
    <w:p w:rsidR="00E01A94" w:rsidRPr="003D5A97" w:rsidRDefault="00E01A94" w:rsidP="00E01A94">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67015D" w:rsidP="00951F79">
    <w:pPr>
      <w:pStyle w:val="Ttulo1"/>
      <w:ind w:right="6"/>
      <w:jc w:val="left"/>
      <w:rPr>
        <w:rFonts w:ascii="Bookman Old Style" w:hAnsi="Bookman Old Style" w:cs="Arial"/>
        <w:b w:val="0"/>
        <w:sz w:val="22"/>
        <w:szCs w:val="22"/>
      </w:rPr>
    </w:pPr>
  </w:p>
  <w:p w:rsidR="00227116" w:rsidRPr="00951F79" w:rsidRDefault="003721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7015D">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7015D">
      <w:fldChar w:fldCharType="begin"/>
    </w:r>
    <w:r w:rsidR="0067015D">
      <w:instrText xml:space="preserve"> NUMPAGES  \* MERGEFORMAT </w:instrText>
    </w:r>
    <w:r w:rsidR="0067015D">
      <w:fldChar w:fldCharType="separate"/>
    </w:r>
    <w:r w:rsidR="0067015D" w:rsidRPr="0067015D">
      <w:rPr>
        <w:rFonts w:ascii="Bookman Old Style" w:hAnsi="Bookman Old Style" w:cs="Arial"/>
        <w:b w:val="0"/>
        <w:noProof/>
        <w:sz w:val="22"/>
        <w:szCs w:val="22"/>
      </w:rPr>
      <w:t>9</w:t>
    </w:r>
    <w:r w:rsidR="0067015D">
      <w:rPr>
        <w:rFonts w:ascii="Bookman Old Style" w:hAnsi="Bookman Old Style" w:cs="Arial"/>
        <w:b w:val="0"/>
        <w:noProof/>
        <w:sz w:val="22"/>
        <w:szCs w:val="22"/>
      </w:rPr>
      <w:fldChar w:fldCharType="end"/>
    </w:r>
  </w:p>
  <w:p w:rsidR="00227116" w:rsidRDefault="003721A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6B359F0E" wp14:editId="0323D327">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A2D1"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021A6" w:rsidRPr="006021A6" w:rsidRDefault="006021A6" w:rsidP="006021A6">
    <w:pPr>
      <w:ind w:left="0" w:right="-142"/>
      <w:rPr>
        <w:rFonts w:ascii="Bookman Old Style" w:hAnsi="Bookman Old Style"/>
        <w:sz w:val="22"/>
        <w:szCs w:val="22"/>
      </w:rPr>
    </w:pPr>
    <w:r w:rsidRPr="006021A6">
      <w:rPr>
        <w:rFonts w:ascii="Bookman Old Style" w:hAnsi="Bookman Old Style"/>
        <w:sz w:val="22"/>
        <w:szCs w:val="22"/>
      </w:rPr>
      <w:t xml:space="preserve">Por medio de la cual se resuelve un recurso de reposición en contra de la Resolución CREG 188 de 2016, interpuesto por la </w:t>
    </w:r>
    <w:r w:rsidRPr="006021A6">
      <w:rPr>
        <w:rFonts w:ascii="Bookman Old Style" w:hAnsi="Bookman Old Style" w:cs="Arial"/>
        <w:sz w:val="22"/>
        <w:szCs w:val="22"/>
      </w:rPr>
      <w:t>EMPRESA DE ENERGÍA DEL QUINDIO E.S.P. S.A</w:t>
    </w:r>
  </w:p>
  <w:p w:rsidR="00227116" w:rsidRPr="006021A6" w:rsidRDefault="0067015D" w:rsidP="006021A6">
    <w:pPr>
      <w:pBdr>
        <w:bottom w:val="single" w:sz="4" w:space="1" w:color="auto"/>
      </w:pBd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3721A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67015D">
    <w:pPr>
      <w:pStyle w:val="Encabezado"/>
      <w:jc w:val="center"/>
      <w:rPr>
        <w:rFonts w:ascii="Arial" w:hAnsi="Arial" w:cs="Arial"/>
        <w:spacing w:val="20"/>
        <w:sz w:val="20"/>
      </w:rPr>
    </w:pPr>
  </w:p>
  <w:p w:rsidR="00227116" w:rsidRDefault="003721A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0682469" wp14:editId="06498E3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13E9"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94"/>
    <w:rsid w:val="0001566D"/>
    <w:rsid w:val="000234D6"/>
    <w:rsid w:val="00042B85"/>
    <w:rsid w:val="001601C1"/>
    <w:rsid w:val="001B7B4F"/>
    <w:rsid w:val="001D5C63"/>
    <w:rsid w:val="001F2B73"/>
    <w:rsid w:val="002D4302"/>
    <w:rsid w:val="00307B21"/>
    <w:rsid w:val="003721A4"/>
    <w:rsid w:val="003C6F78"/>
    <w:rsid w:val="0046735C"/>
    <w:rsid w:val="00524F5A"/>
    <w:rsid w:val="005B5CE9"/>
    <w:rsid w:val="005E4F23"/>
    <w:rsid w:val="006021A6"/>
    <w:rsid w:val="0067015D"/>
    <w:rsid w:val="006E14B5"/>
    <w:rsid w:val="007417BB"/>
    <w:rsid w:val="0077116F"/>
    <w:rsid w:val="007A09BA"/>
    <w:rsid w:val="008010AE"/>
    <w:rsid w:val="00820838"/>
    <w:rsid w:val="008E729D"/>
    <w:rsid w:val="009708FF"/>
    <w:rsid w:val="00980C21"/>
    <w:rsid w:val="009E6F65"/>
    <w:rsid w:val="00A165A9"/>
    <w:rsid w:val="00AB4832"/>
    <w:rsid w:val="00B52EB8"/>
    <w:rsid w:val="00CD7BB7"/>
    <w:rsid w:val="00D057FB"/>
    <w:rsid w:val="00E01A94"/>
    <w:rsid w:val="00E14201"/>
    <w:rsid w:val="00E44A58"/>
    <w:rsid w:val="00EE2D2E"/>
    <w:rsid w:val="00FB61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2E18401-1D67-40C5-A088-DCD95BA1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94"/>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01A94"/>
    <w:pPr>
      <w:keepNext/>
      <w:jc w:val="center"/>
      <w:outlineLvl w:val="0"/>
    </w:pPr>
    <w:rPr>
      <w:rFonts w:ascii="CG Times" w:hAnsi="CG Times"/>
      <w:b/>
      <w:szCs w:val="20"/>
      <w:lang w:val="es-CO"/>
    </w:rPr>
  </w:style>
  <w:style w:type="paragraph" w:styleId="Ttulo3">
    <w:name w:val="heading 3"/>
    <w:basedOn w:val="Normal"/>
    <w:next w:val="Normal"/>
    <w:link w:val="Ttulo3Car"/>
    <w:qFormat/>
    <w:rsid w:val="00E01A94"/>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01A94"/>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01A94"/>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1A94"/>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E01A94"/>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01A94"/>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01A94"/>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E01A94"/>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E01A94"/>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E01A94"/>
    <w:pPr>
      <w:ind w:left="708"/>
    </w:pPr>
    <w:rPr>
      <w:sz w:val="20"/>
      <w:szCs w:val="20"/>
      <w:lang w:val="es-CO"/>
    </w:rPr>
  </w:style>
  <w:style w:type="character" w:customStyle="1" w:styleId="PrrafodelistaCar">
    <w:name w:val="Párrafo de lista Car"/>
    <w:basedOn w:val="Fuentedeprrafopredeter"/>
    <w:link w:val="Prrafodelista"/>
    <w:uiPriority w:val="34"/>
    <w:rsid w:val="00E01A9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E01A94"/>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E01A94"/>
    <w:rPr>
      <w:sz w:val="20"/>
      <w:szCs w:val="20"/>
    </w:rPr>
  </w:style>
  <w:style w:type="character" w:customStyle="1" w:styleId="TextonotapieCar">
    <w:name w:val="Texto nota pie Car"/>
    <w:basedOn w:val="Fuentedeprrafopredeter"/>
    <w:link w:val="Textonotapie"/>
    <w:uiPriority w:val="99"/>
    <w:semiHidden/>
    <w:rsid w:val="00E01A9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01A94"/>
    <w:rPr>
      <w:vertAlign w:val="superscript"/>
    </w:rPr>
  </w:style>
  <w:style w:type="character" w:customStyle="1" w:styleId="CharStyle25">
    <w:name w:val="Char Style 25"/>
    <w:basedOn w:val="Fuentedeprrafopredeter"/>
    <w:link w:val="Style24"/>
    <w:uiPriority w:val="99"/>
    <w:rsid w:val="00E01A94"/>
    <w:rPr>
      <w:rFonts w:ascii="Arial" w:hAnsi="Arial" w:cs="Arial"/>
      <w:sz w:val="17"/>
      <w:szCs w:val="17"/>
      <w:shd w:val="clear" w:color="auto" w:fill="FFFFFF"/>
    </w:rPr>
  </w:style>
  <w:style w:type="paragraph" w:customStyle="1" w:styleId="Style24">
    <w:name w:val="Style 24"/>
    <w:basedOn w:val="Normal"/>
    <w:link w:val="CharStyle25"/>
    <w:uiPriority w:val="99"/>
    <w:rsid w:val="00E01A94"/>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41">
    <w:name w:val="Char Style 41"/>
    <w:basedOn w:val="CharStyle25"/>
    <w:link w:val="Style40"/>
    <w:uiPriority w:val="99"/>
    <w:rsid w:val="00E01A94"/>
    <w:rPr>
      <w:rFonts w:ascii="Arial" w:hAnsi="Arial" w:cs="Arial"/>
      <w:i/>
      <w:iCs/>
      <w:sz w:val="17"/>
      <w:szCs w:val="17"/>
      <w:shd w:val="clear" w:color="auto" w:fill="FFFFFF"/>
    </w:rPr>
  </w:style>
  <w:style w:type="character" w:customStyle="1" w:styleId="CharStyle10">
    <w:name w:val="Char Style 10"/>
    <w:basedOn w:val="Fuentedeprrafopredeter"/>
    <w:link w:val="Style9"/>
    <w:uiPriority w:val="99"/>
    <w:rsid w:val="00E01A94"/>
    <w:rPr>
      <w:rFonts w:ascii="Arial" w:hAnsi="Arial" w:cs="Arial"/>
      <w:sz w:val="19"/>
      <w:szCs w:val="19"/>
      <w:shd w:val="clear" w:color="auto" w:fill="FFFFFF"/>
    </w:rPr>
  </w:style>
  <w:style w:type="character" w:customStyle="1" w:styleId="CharStyle16">
    <w:name w:val="Char Style 16"/>
    <w:basedOn w:val="Fuentedeprrafopredeter"/>
    <w:link w:val="Style15"/>
    <w:uiPriority w:val="99"/>
    <w:rsid w:val="00E01A94"/>
    <w:rPr>
      <w:rFonts w:ascii="Arial" w:hAnsi="Arial" w:cs="Arial"/>
      <w:b/>
      <w:bCs/>
      <w:sz w:val="19"/>
      <w:szCs w:val="19"/>
      <w:shd w:val="clear" w:color="auto" w:fill="FFFFFF"/>
    </w:rPr>
  </w:style>
  <w:style w:type="character" w:customStyle="1" w:styleId="CharStyle81">
    <w:name w:val="Char Style 81"/>
    <w:basedOn w:val="CharStyle41"/>
    <w:uiPriority w:val="99"/>
    <w:rsid w:val="00E01A94"/>
    <w:rPr>
      <w:rFonts w:ascii="Arial" w:hAnsi="Arial" w:cs="Arial"/>
      <w:i w:val="0"/>
      <w:iCs w:val="0"/>
      <w:sz w:val="18"/>
      <w:szCs w:val="18"/>
      <w:shd w:val="clear" w:color="auto" w:fill="FFFFFF"/>
    </w:rPr>
  </w:style>
  <w:style w:type="character" w:customStyle="1" w:styleId="CharStyle82">
    <w:name w:val="Char Style 82"/>
    <w:basedOn w:val="CharStyle41"/>
    <w:uiPriority w:val="99"/>
    <w:rsid w:val="00E01A94"/>
    <w:rPr>
      <w:rFonts w:ascii="Arial" w:hAnsi="Arial" w:cs="Arial"/>
      <w:b/>
      <w:bCs/>
      <w:i w:val="0"/>
      <w:iCs w:val="0"/>
      <w:sz w:val="17"/>
      <w:szCs w:val="17"/>
      <w:shd w:val="clear" w:color="auto" w:fill="FFFFFF"/>
    </w:rPr>
  </w:style>
  <w:style w:type="character" w:customStyle="1" w:styleId="CharStyle83">
    <w:name w:val="Char Style 83"/>
    <w:basedOn w:val="CharStyle41"/>
    <w:uiPriority w:val="99"/>
    <w:rsid w:val="00E01A94"/>
    <w:rPr>
      <w:rFonts w:ascii="Arial" w:hAnsi="Arial" w:cs="Arial"/>
      <w:i w:val="0"/>
      <w:iCs w:val="0"/>
      <w:sz w:val="17"/>
      <w:szCs w:val="17"/>
      <w:shd w:val="clear" w:color="auto" w:fill="FFFFFF"/>
    </w:rPr>
  </w:style>
  <w:style w:type="character" w:customStyle="1" w:styleId="CharStyle84">
    <w:name w:val="Char Style 84"/>
    <w:basedOn w:val="CharStyle16"/>
    <w:uiPriority w:val="99"/>
    <w:rsid w:val="00E01A94"/>
    <w:rPr>
      <w:rFonts w:ascii="Arial" w:hAnsi="Arial" w:cs="Arial"/>
      <w:b w:val="0"/>
      <w:bCs w:val="0"/>
      <w:sz w:val="19"/>
      <w:szCs w:val="19"/>
      <w:shd w:val="clear" w:color="auto" w:fill="FFFFFF"/>
    </w:rPr>
  </w:style>
  <w:style w:type="paragraph" w:customStyle="1" w:styleId="Style9">
    <w:name w:val="Style 9"/>
    <w:basedOn w:val="Normal"/>
    <w:link w:val="CharStyle10"/>
    <w:uiPriority w:val="99"/>
    <w:rsid w:val="00E01A94"/>
    <w:pPr>
      <w:widowControl w:val="0"/>
      <w:shd w:val="clear" w:color="auto" w:fill="FFFFFF"/>
      <w:spacing w:before="720" w:line="240" w:lineRule="atLeast"/>
      <w:ind w:left="0"/>
    </w:pPr>
    <w:rPr>
      <w:rFonts w:ascii="Arial" w:eastAsiaTheme="minorHAnsi" w:hAnsi="Arial" w:cs="Arial"/>
      <w:sz w:val="19"/>
      <w:szCs w:val="19"/>
      <w:lang w:val="es-CO" w:eastAsia="en-US"/>
    </w:rPr>
  </w:style>
  <w:style w:type="paragraph" w:customStyle="1" w:styleId="Style15">
    <w:name w:val="Style 15"/>
    <w:basedOn w:val="Normal"/>
    <w:link w:val="CharStyle16"/>
    <w:uiPriority w:val="99"/>
    <w:rsid w:val="00E01A94"/>
    <w:pPr>
      <w:widowControl w:val="0"/>
      <w:shd w:val="clear" w:color="auto" w:fill="FFFFFF"/>
      <w:spacing w:before="180" w:after="300" w:line="240" w:lineRule="atLeast"/>
      <w:ind w:left="0"/>
      <w:jc w:val="right"/>
    </w:pPr>
    <w:rPr>
      <w:rFonts w:ascii="Arial" w:eastAsiaTheme="minorHAnsi" w:hAnsi="Arial" w:cs="Arial"/>
      <w:b/>
      <w:bCs/>
      <w:sz w:val="19"/>
      <w:szCs w:val="19"/>
      <w:lang w:val="es-CO" w:eastAsia="en-US"/>
    </w:rPr>
  </w:style>
  <w:style w:type="paragraph" w:customStyle="1" w:styleId="Style40">
    <w:name w:val="Style 40"/>
    <w:basedOn w:val="Normal"/>
    <w:link w:val="CharStyle41"/>
    <w:uiPriority w:val="99"/>
    <w:rsid w:val="00E01A94"/>
    <w:pPr>
      <w:widowControl w:val="0"/>
      <w:shd w:val="clear" w:color="auto" w:fill="FFFFFF"/>
      <w:spacing w:before="180" w:after="180" w:line="240" w:lineRule="exact"/>
      <w:ind w:left="0"/>
      <w:jc w:val="both"/>
    </w:pPr>
    <w:rPr>
      <w:rFonts w:ascii="Arial" w:eastAsiaTheme="minorHAnsi" w:hAnsi="Arial" w:cs="Arial"/>
      <w:i/>
      <w:iCs/>
      <w:sz w:val="17"/>
      <w:szCs w:val="17"/>
      <w:lang w:val="es-CO" w:eastAsia="en-US"/>
    </w:rPr>
  </w:style>
  <w:style w:type="character" w:customStyle="1" w:styleId="CharStyle87">
    <w:name w:val="Char Style 87"/>
    <w:basedOn w:val="Fuentedeprrafopredeter"/>
    <w:link w:val="Style86"/>
    <w:uiPriority w:val="99"/>
    <w:rsid w:val="00E01A94"/>
    <w:rPr>
      <w:rFonts w:ascii="Arial" w:hAnsi="Arial" w:cs="Arial"/>
      <w:sz w:val="19"/>
      <w:szCs w:val="19"/>
      <w:shd w:val="clear" w:color="auto" w:fill="FFFFFF"/>
    </w:rPr>
  </w:style>
  <w:style w:type="character" w:customStyle="1" w:styleId="CharStyle88">
    <w:name w:val="Char Style 88"/>
    <w:basedOn w:val="CharStyle10"/>
    <w:uiPriority w:val="99"/>
    <w:rsid w:val="00E01A94"/>
    <w:rPr>
      <w:rFonts w:ascii="Arial" w:hAnsi="Arial" w:cs="Arial"/>
      <w:b/>
      <w:bCs/>
      <w:sz w:val="19"/>
      <w:szCs w:val="19"/>
      <w:u w:val="none"/>
      <w:shd w:val="clear" w:color="auto" w:fill="FFFFFF"/>
    </w:rPr>
  </w:style>
  <w:style w:type="character" w:customStyle="1" w:styleId="CharStyle89">
    <w:name w:val="Char Style 89"/>
    <w:basedOn w:val="CharStyle10"/>
    <w:uiPriority w:val="99"/>
    <w:rsid w:val="00E01A94"/>
    <w:rPr>
      <w:rFonts w:ascii="Arial" w:hAnsi="Arial" w:cs="Arial"/>
      <w:spacing w:val="50"/>
      <w:sz w:val="19"/>
      <w:szCs w:val="19"/>
      <w:u w:val="none"/>
      <w:shd w:val="clear" w:color="auto" w:fill="FFFFFF"/>
    </w:rPr>
  </w:style>
  <w:style w:type="paragraph" w:customStyle="1" w:styleId="Style86">
    <w:name w:val="Style 86"/>
    <w:basedOn w:val="Normal"/>
    <w:link w:val="CharStyle87"/>
    <w:uiPriority w:val="99"/>
    <w:rsid w:val="00E01A94"/>
    <w:pPr>
      <w:widowControl w:val="0"/>
      <w:shd w:val="clear" w:color="auto" w:fill="FFFFFF"/>
      <w:spacing w:line="240" w:lineRule="atLeast"/>
      <w:ind w:left="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8E729D"/>
    <w:rPr>
      <w:rFonts w:ascii="Arial" w:hAnsi="Arial" w:cs="Arial"/>
      <w:sz w:val="16"/>
      <w:szCs w:val="16"/>
      <w:shd w:val="clear" w:color="auto" w:fill="FFFFFF"/>
    </w:rPr>
  </w:style>
  <w:style w:type="character" w:customStyle="1" w:styleId="CharStyle21">
    <w:name w:val="Char Style 21"/>
    <w:basedOn w:val="CharStyle9"/>
    <w:uiPriority w:val="99"/>
    <w:rsid w:val="008E729D"/>
    <w:rPr>
      <w:rFonts w:ascii="Arial" w:hAnsi="Arial" w:cs="Arial"/>
      <w:b/>
      <w:bCs/>
      <w:sz w:val="11"/>
      <w:szCs w:val="11"/>
      <w:shd w:val="clear" w:color="auto" w:fill="FFFFFF"/>
    </w:rPr>
  </w:style>
  <w:style w:type="paragraph" w:customStyle="1" w:styleId="Style8">
    <w:name w:val="Style 8"/>
    <w:basedOn w:val="Normal"/>
    <w:link w:val="CharStyle9"/>
    <w:uiPriority w:val="99"/>
    <w:rsid w:val="008E729D"/>
    <w:pPr>
      <w:widowControl w:val="0"/>
      <w:shd w:val="clear" w:color="auto" w:fill="FFFFFF"/>
      <w:spacing w:before="180" w:line="240" w:lineRule="atLeast"/>
      <w:ind w:left="0" w:hanging="260"/>
      <w:jc w:val="both"/>
    </w:pPr>
    <w:rPr>
      <w:rFonts w:ascii="Arial" w:eastAsiaTheme="minorHAnsi" w:hAnsi="Arial" w:cs="Arial"/>
      <w:sz w:val="16"/>
      <w:szCs w:val="16"/>
      <w:lang w:val="es-CO" w:eastAsia="en-US"/>
    </w:rPr>
  </w:style>
  <w:style w:type="paragraph" w:styleId="Piedepgina">
    <w:name w:val="footer"/>
    <w:basedOn w:val="Normal"/>
    <w:link w:val="PiedepginaCar"/>
    <w:uiPriority w:val="99"/>
    <w:unhideWhenUsed/>
    <w:rsid w:val="005B5CE9"/>
    <w:pPr>
      <w:tabs>
        <w:tab w:val="center" w:pos="4419"/>
        <w:tab w:val="right" w:pos="8838"/>
      </w:tabs>
    </w:pPr>
  </w:style>
  <w:style w:type="character" w:customStyle="1" w:styleId="PiedepginaCar">
    <w:name w:val="Pie de página Car"/>
    <w:basedOn w:val="Fuentedeprrafopredeter"/>
    <w:link w:val="Piedepgina"/>
    <w:uiPriority w:val="99"/>
    <w:rsid w:val="005B5CE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673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35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95158">
      <w:bodyDiv w:val="1"/>
      <w:marLeft w:val="0"/>
      <w:marRight w:val="0"/>
      <w:marTop w:val="0"/>
      <w:marBottom w:val="0"/>
      <w:divBdr>
        <w:top w:val="none" w:sz="0" w:space="0" w:color="auto"/>
        <w:left w:val="none" w:sz="0" w:space="0" w:color="auto"/>
        <w:bottom w:val="none" w:sz="0" w:space="0" w:color="auto"/>
        <w:right w:val="none" w:sz="0" w:space="0" w:color="auto"/>
      </w:divBdr>
    </w:div>
    <w:div w:id="18620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3486</Words>
  <Characters>19176</Characters>
  <Application>Microsoft Office Word</Application>
  <DocSecurity>0</DocSecurity>
  <Lines>159</Lines>
  <Paragraphs>45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 -CREG-</vt:lpstr>
      <vt:lpstr>        (                            )</vt:lpstr>
    </vt:vector>
  </TitlesOfParts>
  <Company/>
  <LinksUpToDate>false</LinksUpToDate>
  <CharactersWithSpaces>22617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2016-12-26T16:32:00Z</cp:lastPrinted>
  <dcterms:created xsi:type="dcterms:W3CDTF">2016-12-26T22:26:00Z</dcterms:created>
  <dcterms:modified xsi:type="dcterms:W3CDTF">2016-12-26T22:26:00Z</dcterms:modified>
</cp:coreProperties>
</file>