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B63267"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416"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Default="003E628D" w:rsidP="00D126E3">
      <w:pPr>
        <w:tabs>
          <w:tab w:val="right" w:pos="9498"/>
        </w:tabs>
        <w:ind w:left="0" w:right="-142"/>
        <w:rPr>
          <w:rFonts w:ascii="Bookman Old Style" w:hAnsi="Bookman Old Style"/>
          <w:bCs/>
          <w:sz w:val="22"/>
          <w:lang w:val="es-CO"/>
        </w:rPr>
      </w:pPr>
    </w:p>
    <w:p w:rsidR="00F610C8" w:rsidRPr="007507BF" w:rsidRDefault="00F610C8"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B43C3D">
        <w:rPr>
          <w:rFonts w:ascii="Bookman Old Style" w:hAnsi="Bookman Old Style"/>
          <w:bCs/>
          <w:lang w:val="es-CO"/>
        </w:rPr>
        <w:t xml:space="preserve">Fedegas S.A.S. </w:t>
      </w:r>
      <w:r w:rsidR="00A00879">
        <w:rPr>
          <w:rFonts w:ascii="Bookman Old Style" w:hAnsi="Bookman Old Style"/>
          <w:bCs/>
          <w:lang w:val="es-CO"/>
        </w:rPr>
        <w:t xml:space="preserve">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w:t>
      </w:r>
      <w:r w:rsidRPr="00EC3BB2">
        <w:rPr>
          <w:rFonts w:ascii="Bookman Old Style" w:hAnsi="Bookman Old Style" w:cs="Arial"/>
          <w:spacing w:val="-5"/>
          <w:lang w:val="es-CO" w:eastAsia="en-US"/>
        </w:rPr>
        <w:lastRenderedPageBreak/>
        <w:t>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A07A09" w:rsidRDefault="00A07A09"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A07A09"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B63267"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B63267"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B63267"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A07A09"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A07A09"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A07A09" w:rsidRDefault="00B63267"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B63267"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B63267"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A07A09"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A07A09"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A07A09" w:rsidRDefault="00A07A09"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A07A09"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A07A09"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A07A09" w:rsidRDefault="00A07A09"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A07A0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A07A0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A07A09"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A07A0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A07A0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A07A09" w:rsidRDefault="00A07A09"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A07A0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A07A0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A07A09"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A07A09" w:rsidRDefault="00A07A09"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A07A09"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A07A09"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A07A09"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A07A09"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A07A09"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9A6D21">
        <w:rPr>
          <w:rFonts w:ascii="Bookman Old Style" w:hAnsi="Bookman Old Style" w:cs="Arial"/>
          <w:sz w:val="22"/>
          <w:szCs w:val="22"/>
          <w:lang w:val="es-ES_tradnl" w:eastAsia="ar-SA"/>
        </w:rPr>
        <w:t xml:space="preserve">Corresponde a la Superintendencia de Servicios Públicos Domiciliarios, en desarrollo de sus funciones de inspección y vigilancia, establecer, administrar, mantener y operar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9A6D21">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F610C8" w:rsidRDefault="00EC3BB2" w:rsidP="00BD1622">
      <w:pPr>
        <w:ind w:left="284" w:right="284"/>
        <w:jc w:val="both"/>
        <w:rPr>
          <w:rFonts w:ascii="Bookman Old Style" w:hAnsi="Bookman Old Style" w:cs="Arial"/>
          <w:color w:val="000000"/>
          <w:sz w:val="22"/>
          <w:szCs w:val="22"/>
          <w:lang w:val="es-CO" w:eastAsia="es-CO"/>
        </w:rPr>
      </w:pPr>
      <w:r w:rsidRPr="00F610C8">
        <w:rPr>
          <w:rFonts w:ascii="Bookman Old Style" w:eastAsia="MS Mincho" w:hAnsi="Bookman Old Style" w:cs="Arial"/>
          <w:b/>
          <w:sz w:val="22"/>
          <w:szCs w:val="22"/>
          <w:lang w:eastAsia="en-US"/>
        </w:rPr>
        <w:t xml:space="preserve">“Artículo 1º. Capacidad de Compra: </w:t>
      </w:r>
      <w:r w:rsidRPr="00F610C8">
        <w:rPr>
          <w:rFonts w:ascii="Bookman Old Style" w:eastAsia="MS Mincho" w:hAnsi="Bookman Old Style" w:cs="Arial"/>
          <w:sz w:val="22"/>
          <w:szCs w:val="22"/>
          <w:lang w:eastAsia="en-US"/>
        </w:rPr>
        <w:t xml:space="preserve">La siguiente corresponde a la Capacidad de Compra </w:t>
      </w:r>
      <w:r w:rsidRPr="00F610C8">
        <w:rPr>
          <w:rFonts w:ascii="Bookman Old Style" w:hAnsi="Bookman Old Style" w:cs="Arial"/>
          <w:iCs/>
          <w:sz w:val="22"/>
          <w:szCs w:val="22"/>
          <w:lang w:val="es-CO" w:eastAsia="en-US"/>
        </w:rPr>
        <w:t>para cada uno de los códigos SUI de las empresas</w:t>
      </w:r>
      <w:r w:rsidRPr="00F610C8">
        <w:rPr>
          <w:rFonts w:ascii="Bookman Old Style" w:hAnsi="Bookman Old Style" w:cs="Arial"/>
          <w:color w:val="000000"/>
          <w:sz w:val="22"/>
          <w:szCs w:val="22"/>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788" w:type="dxa"/>
        <w:jc w:val="center"/>
        <w:tblCellMar>
          <w:left w:w="70" w:type="dxa"/>
          <w:right w:w="70" w:type="dxa"/>
        </w:tblCellMar>
        <w:tblLook w:val="04A0" w:firstRow="1" w:lastRow="0" w:firstColumn="1" w:lastColumn="0" w:noHBand="0" w:noVBand="1"/>
      </w:tblPr>
      <w:tblGrid>
        <w:gridCol w:w="2268"/>
        <w:gridCol w:w="4111"/>
        <w:gridCol w:w="2409"/>
      </w:tblGrid>
      <w:tr w:rsidR="00EC3BB2" w:rsidRPr="00406B33" w:rsidTr="00A07A09">
        <w:trPr>
          <w:trHeight w:val="405"/>
          <w:tblHeader/>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406B33" w:rsidRDefault="00EC3BB2" w:rsidP="00A07A09">
            <w:pPr>
              <w:ind w:left="0"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Código SUI</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A07A09">
            <w:pPr>
              <w:ind w:left="0"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Agente</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A07A09">
            <w:pPr>
              <w:ind w:left="0"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B43C3D" w:rsidRPr="00EE0855" w:rsidTr="00A07A09">
        <w:trPr>
          <w:trHeight w:val="40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B43C3D" w:rsidRPr="00B43C3D" w:rsidRDefault="00B43C3D" w:rsidP="00A07A09">
            <w:pPr>
              <w:ind w:left="0"/>
              <w:rPr>
                <w:rFonts w:ascii="Bookman Old Style" w:hAnsi="Bookman Old Style"/>
                <w:sz w:val="18"/>
                <w:szCs w:val="18"/>
              </w:rPr>
            </w:pPr>
            <w:r w:rsidRPr="00B43C3D">
              <w:rPr>
                <w:rFonts w:ascii="Bookman Old Style" w:hAnsi="Bookman Old Style"/>
                <w:sz w:val="18"/>
                <w:szCs w:val="18"/>
              </w:rPr>
              <w:t>24860</w:t>
            </w:r>
          </w:p>
        </w:tc>
        <w:tc>
          <w:tcPr>
            <w:tcW w:w="4111" w:type="dxa"/>
            <w:tcBorders>
              <w:top w:val="nil"/>
              <w:left w:val="nil"/>
              <w:bottom w:val="single" w:sz="4" w:space="0" w:color="auto"/>
              <w:right w:val="single" w:sz="4" w:space="0" w:color="auto"/>
            </w:tcBorders>
            <w:shd w:val="clear" w:color="auto" w:fill="auto"/>
            <w:noWrap/>
            <w:vAlign w:val="center"/>
            <w:hideMark/>
          </w:tcPr>
          <w:p w:rsidR="00B43C3D" w:rsidRPr="00B43C3D" w:rsidRDefault="00B43C3D" w:rsidP="00A07A09">
            <w:pPr>
              <w:ind w:left="0"/>
              <w:rPr>
                <w:rFonts w:ascii="Bookman Old Style" w:hAnsi="Bookman Old Style"/>
                <w:sz w:val="18"/>
                <w:szCs w:val="18"/>
                <w:lang w:val="en-US"/>
              </w:rPr>
            </w:pPr>
            <w:r w:rsidRPr="00B43C3D">
              <w:rPr>
                <w:rFonts w:ascii="Bookman Old Style" w:hAnsi="Bookman Old Style"/>
                <w:sz w:val="18"/>
                <w:szCs w:val="18"/>
                <w:lang w:val="en-US"/>
              </w:rPr>
              <w:t>FEDEGAS S.A.S. E.S.P.</w:t>
            </w:r>
          </w:p>
        </w:tc>
        <w:tc>
          <w:tcPr>
            <w:tcW w:w="2409" w:type="dxa"/>
            <w:tcBorders>
              <w:top w:val="nil"/>
              <w:left w:val="nil"/>
              <w:bottom w:val="single" w:sz="4" w:space="0" w:color="auto"/>
              <w:right w:val="single" w:sz="4" w:space="0" w:color="auto"/>
            </w:tcBorders>
            <w:shd w:val="clear" w:color="auto" w:fill="auto"/>
            <w:noWrap/>
            <w:vAlign w:val="center"/>
            <w:hideMark/>
          </w:tcPr>
          <w:p w:rsidR="00B43C3D" w:rsidRPr="00B43C3D" w:rsidRDefault="00B43C3D" w:rsidP="00A07A09">
            <w:pPr>
              <w:ind w:left="0"/>
              <w:rPr>
                <w:rFonts w:ascii="Bookman Old Style" w:hAnsi="Bookman Old Style"/>
                <w:sz w:val="18"/>
                <w:szCs w:val="18"/>
              </w:rPr>
            </w:pPr>
            <w:r w:rsidRPr="00B43C3D">
              <w:rPr>
                <w:rFonts w:ascii="Bookman Old Style" w:hAnsi="Bookman Old Style"/>
                <w:sz w:val="18"/>
                <w:szCs w:val="18"/>
              </w:rPr>
              <w:t>190.061</w:t>
            </w:r>
          </w:p>
        </w:tc>
      </w:tr>
    </w:tbl>
    <w:p w:rsidR="003E628D" w:rsidRPr="00EE0855" w:rsidRDefault="00AC20F9" w:rsidP="00AC20F9">
      <w:pPr>
        <w:ind w:left="284" w:right="284"/>
        <w:jc w:val="both"/>
        <w:rPr>
          <w:rFonts w:ascii="Bookman Old Style" w:eastAsia="MS Mincho" w:hAnsi="Bookman Old Style" w:cs="Arial"/>
          <w:sz w:val="20"/>
          <w:szCs w:val="20"/>
          <w:lang w:val="es-CO" w:eastAsia="en-US"/>
        </w:rPr>
      </w:pPr>
      <w:r w:rsidRPr="00EE0855">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F610C8" w:rsidRDefault="00EC3BB2" w:rsidP="00BD1622">
      <w:pPr>
        <w:ind w:left="284" w:right="284"/>
        <w:jc w:val="both"/>
        <w:rPr>
          <w:rFonts w:ascii="Bookman Old Style" w:eastAsia="MS Mincho" w:hAnsi="Bookman Old Style" w:cs="Arial"/>
          <w:sz w:val="22"/>
          <w:szCs w:val="22"/>
          <w:lang w:val="es-CO" w:eastAsia="en-US"/>
        </w:rPr>
      </w:pPr>
      <w:r w:rsidRPr="00F610C8">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B43C3D">
        <w:rPr>
          <w:rFonts w:ascii="Bookman Old Style" w:hAnsi="Bookman Old Style" w:cs="Arial"/>
          <w:spacing w:val="-5"/>
          <w:lang w:val="es-CO" w:eastAsia="en-US"/>
        </w:rPr>
        <w:t>007317</w:t>
      </w:r>
      <w:r w:rsidRPr="00EC3BB2">
        <w:rPr>
          <w:rFonts w:ascii="Bookman Old Style" w:hAnsi="Bookman Old Style" w:cs="Arial"/>
          <w:spacing w:val="-5"/>
          <w:lang w:val="es-CO" w:eastAsia="en-US"/>
        </w:rPr>
        <w:t xml:space="preserve"> de </w:t>
      </w:r>
      <w:r w:rsidR="00043EB9">
        <w:rPr>
          <w:rFonts w:ascii="Bookman Old Style" w:hAnsi="Bookman Old Style" w:cs="Arial"/>
          <w:spacing w:val="-5"/>
          <w:lang w:val="es-CO" w:eastAsia="en-US"/>
        </w:rPr>
        <w:t>28</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B43C3D">
        <w:rPr>
          <w:rFonts w:ascii="Bookman Old Style" w:hAnsi="Bookman Old Style" w:cs="Arial"/>
          <w:spacing w:val="-5"/>
          <w:lang w:val="es-CO" w:eastAsia="en-US"/>
        </w:rPr>
        <w:t>Fedegas S.A.S</w:t>
      </w:r>
      <w:r w:rsidR="00B16D10">
        <w:rPr>
          <w:rFonts w:ascii="Bookman Old Style" w:hAnsi="Bookman Old Style" w:cs="Arial"/>
          <w:spacing w:val="-5"/>
          <w:lang w:val="es-CO" w:eastAsia="en-US"/>
        </w:rPr>
        <w:t xml:space="preserve">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48634C" w:rsidRDefault="007D1246" w:rsidP="0048634C">
      <w:pPr>
        <w:ind w:left="284" w:right="284"/>
        <w:jc w:val="both"/>
        <w:rPr>
          <w:rFonts w:ascii="Bookman Old Style" w:hAnsi="Bookman Old Style" w:cs="Arial"/>
          <w:i/>
          <w:sz w:val="22"/>
          <w:szCs w:val="22"/>
        </w:rPr>
      </w:pPr>
      <w:r w:rsidRPr="007D1246">
        <w:rPr>
          <w:rStyle w:val="CharStyle18"/>
          <w:rFonts w:ascii="Bookman Old Style" w:hAnsi="Bookman Old Style"/>
          <w:i/>
          <w:color w:val="000000"/>
          <w:sz w:val="22"/>
          <w:szCs w:val="22"/>
          <w:lang w:eastAsia="es-ES_tradnl"/>
        </w:rPr>
        <w:t>“</w:t>
      </w:r>
      <w:r w:rsidR="0048634C" w:rsidRPr="00B43C3D">
        <w:rPr>
          <w:rFonts w:ascii="Bookman Old Style" w:hAnsi="Bookman Old Style" w:cs="Arial"/>
          <w:i/>
          <w:sz w:val="22"/>
          <w:szCs w:val="22"/>
        </w:rPr>
        <w:t>1. Que se revoque la resolución 075 de 2016, en su parte resolutiva en cuanto establece la capacidad de compra de la compañía FEDEGAS SAS ESP.</w:t>
      </w:r>
    </w:p>
    <w:p w:rsidR="0048634C" w:rsidRPr="00B43C3D" w:rsidRDefault="0048634C" w:rsidP="0048634C">
      <w:pPr>
        <w:ind w:left="284" w:right="284"/>
        <w:jc w:val="both"/>
        <w:rPr>
          <w:rFonts w:ascii="Bookman Old Style" w:hAnsi="Bookman Old Style" w:cs="Arial"/>
          <w:i/>
          <w:sz w:val="22"/>
          <w:szCs w:val="22"/>
        </w:rPr>
      </w:pPr>
    </w:p>
    <w:p w:rsidR="0048634C" w:rsidRPr="00B43C3D" w:rsidRDefault="0048634C" w:rsidP="0048634C">
      <w:pPr>
        <w:ind w:left="284" w:right="284"/>
        <w:jc w:val="both"/>
        <w:rPr>
          <w:rFonts w:ascii="Bookman Old Style" w:hAnsi="Bookman Old Style" w:cs="Arial"/>
          <w:i/>
          <w:sz w:val="22"/>
          <w:szCs w:val="22"/>
        </w:rPr>
      </w:pPr>
      <w:r w:rsidRPr="00B43C3D">
        <w:rPr>
          <w:rFonts w:ascii="Bookman Old Style" w:hAnsi="Bookman Old Style" w:cs="Arial"/>
          <w:i/>
          <w:sz w:val="22"/>
          <w:szCs w:val="22"/>
        </w:rPr>
        <w:t>2. Que se determine la nueva capacidad de compra de la compañía FEDEGAS SAS ESP, con base a la información reportada al SUI, la cual corresponde a una capacidad de envase en cilindros Cap.Cil it de 1.769.369</w:t>
      </w:r>
      <w:r>
        <w:rPr>
          <w:rFonts w:ascii="Bookman Old Style" w:hAnsi="Bookman Old Style" w:cs="Arial"/>
          <w:i/>
          <w:sz w:val="22"/>
          <w:szCs w:val="22"/>
        </w:rPr>
        <w:t>”</w:t>
      </w:r>
    </w:p>
    <w:p w:rsidR="0045042D" w:rsidRDefault="0045042D" w:rsidP="00BA05D2">
      <w:pPr>
        <w:pStyle w:val="Textoindependiente2"/>
        <w:spacing w:after="0" w:line="240" w:lineRule="auto"/>
        <w:ind w:left="0"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BD1AAE">
        <w:rPr>
          <w:rFonts w:ascii="Bookman Old Style" w:hAnsi="Bookman Old Style" w:cs="Arial"/>
          <w:spacing w:val="-5"/>
          <w:lang w:val="es-CO" w:eastAsia="en-US"/>
        </w:rPr>
        <w:t>Fedegas</w:t>
      </w:r>
      <w:r w:rsidRPr="00BA05D2">
        <w:rPr>
          <w:rFonts w:ascii="Bookman Old Style" w:hAnsi="Bookman Old Style" w:cs="Arial"/>
          <w:spacing w:val="-5"/>
          <w:lang w:val="es-CO" w:eastAsia="en-US"/>
        </w:rPr>
        <w:t xml:space="preserve"> mediante notificación personal I-2016-</w:t>
      </w:r>
      <w:r w:rsidR="00043EB9">
        <w:rPr>
          <w:rFonts w:ascii="Bookman Old Style" w:hAnsi="Bookman Old Style" w:cs="Arial"/>
          <w:spacing w:val="-5"/>
          <w:lang w:val="es-CO" w:eastAsia="en-US"/>
        </w:rPr>
        <w:t>003158</w:t>
      </w:r>
      <w:r w:rsidRPr="00BA05D2">
        <w:rPr>
          <w:rFonts w:ascii="Bookman Old Style" w:hAnsi="Bookman Old Style" w:cs="Arial"/>
          <w:spacing w:val="-5"/>
          <w:lang w:val="es-CO" w:eastAsia="en-US"/>
        </w:rPr>
        <w:t xml:space="preserve"> de </w:t>
      </w:r>
      <w:r w:rsidR="00043EB9">
        <w:rPr>
          <w:rFonts w:ascii="Bookman Old Style" w:hAnsi="Bookman Old Style" w:cs="Arial"/>
          <w:spacing w:val="-5"/>
          <w:lang w:val="es-CO" w:eastAsia="en-US"/>
        </w:rPr>
        <w:t>21</w:t>
      </w:r>
      <w:r w:rsidRPr="00BA05D2">
        <w:rPr>
          <w:rFonts w:ascii="Bookman Old Style" w:hAnsi="Bookman Old Style" w:cs="Arial"/>
          <w:spacing w:val="-5"/>
          <w:lang w:val="es-CO" w:eastAsia="en-US"/>
        </w:rPr>
        <w:t xml:space="preserve"> de junio de 2016 atendiendo lo dispuesto en el artículo 67</w:t>
      </w:r>
      <w:r w:rsidRPr="00BA05D2">
        <w:rPr>
          <w:rFonts w:ascii="Bookman Old Style" w:hAnsi="Bookman Old Style" w:cs="Arial"/>
          <w:spacing w:val="-5"/>
          <w:vertAlign w:val="superscript"/>
          <w:lang w:val="es-CO" w:eastAsia="en-US"/>
        </w:rPr>
        <w:footnoteReference w:id="3"/>
      </w:r>
      <w:r w:rsidRPr="00BA05D2">
        <w:rPr>
          <w:rFonts w:ascii="Bookman Old Style" w:hAnsi="Bookman Old Style" w:cs="Arial"/>
          <w:spacing w:val="-5"/>
          <w:lang w:val="es-CO" w:eastAsia="en-US"/>
        </w:rPr>
        <w:t xml:space="preserve"> de la Ley 1437 de 2011.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en tiempo, toda vez que el plazo máximo vencía el día </w:t>
      </w:r>
      <w:r w:rsidR="00043EB9">
        <w:rPr>
          <w:rFonts w:ascii="Bookman Old Style" w:hAnsi="Bookman Old Style" w:cs="Arial"/>
          <w:spacing w:val="-5"/>
          <w:lang w:val="es-CO" w:eastAsia="en-US"/>
        </w:rPr>
        <w:t>28</w:t>
      </w:r>
      <w:r w:rsidRPr="00BA05D2">
        <w:rPr>
          <w:rFonts w:ascii="Bookman Old Style" w:hAnsi="Bookman Old Style" w:cs="Arial"/>
          <w:spacing w:val="-5"/>
          <w:lang w:val="es-CO" w:eastAsia="en-US"/>
        </w:rPr>
        <w:t xml:space="preserve"> de junio del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w:t>
      </w:r>
      <w:r w:rsidRPr="00D549B1">
        <w:rPr>
          <w:rFonts w:ascii="Bookman Old Style" w:hAnsi="Bookman Old Style"/>
          <w:szCs w:val="27"/>
        </w:rPr>
        <w:lastRenderedPageBreak/>
        <w:t>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BD1AAE">
        <w:rPr>
          <w:rFonts w:ascii="Bookman Old Style" w:hAnsi="Bookman Old Style"/>
          <w:szCs w:val="27"/>
        </w:rPr>
        <w:t>Fedegas</w:t>
      </w:r>
      <w:r w:rsidR="00652F6D">
        <w:rPr>
          <w:rFonts w:ascii="Bookman Old Style" w:hAnsi="Bookman Old Style"/>
          <w:szCs w:val="27"/>
        </w:rPr>
        <w:t xml:space="preserve"> </w:t>
      </w:r>
      <w:r w:rsidR="002A452D">
        <w:rPr>
          <w:rFonts w:ascii="Bookman Old Style" w:hAnsi="Bookman Old Style"/>
          <w:szCs w:val="27"/>
        </w:rPr>
        <w:t>hacen referencia a lo siguiente:</w:t>
      </w:r>
    </w:p>
    <w:p w:rsidR="002A452D" w:rsidRPr="00FA4085" w:rsidRDefault="002A452D" w:rsidP="002A452D">
      <w:pPr>
        <w:ind w:left="284" w:right="284"/>
        <w:jc w:val="both"/>
        <w:rPr>
          <w:rFonts w:ascii="Bookman Old Style" w:hAnsi="Bookman Old Style" w:cs="Arial"/>
          <w:i/>
          <w:sz w:val="22"/>
          <w:szCs w:val="22"/>
        </w:rPr>
      </w:pPr>
    </w:p>
    <w:p w:rsidR="00B43C3D" w:rsidRPr="00B43C3D" w:rsidRDefault="0045042D" w:rsidP="00B43C3D">
      <w:pPr>
        <w:ind w:left="284" w:right="284"/>
        <w:jc w:val="both"/>
        <w:rPr>
          <w:rFonts w:ascii="Bookman Old Style" w:hAnsi="Bookman Old Style" w:cs="Arial"/>
          <w:i/>
          <w:sz w:val="22"/>
          <w:szCs w:val="22"/>
        </w:rPr>
      </w:pPr>
      <w:r w:rsidRPr="00FA4085">
        <w:rPr>
          <w:rFonts w:ascii="Bookman Old Style" w:hAnsi="Bookman Old Style" w:cs="Arial"/>
          <w:i/>
          <w:sz w:val="22"/>
          <w:szCs w:val="22"/>
        </w:rPr>
        <w:t>“</w:t>
      </w:r>
      <w:r w:rsidR="00043EB9" w:rsidRPr="00FA4085">
        <w:rPr>
          <w:rFonts w:ascii="Bookman Old Style" w:hAnsi="Bookman Old Style" w:cs="Arial"/>
          <w:i/>
          <w:sz w:val="22"/>
          <w:szCs w:val="22"/>
        </w:rPr>
        <w:t xml:space="preserve"> </w:t>
      </w:r>
      <w:r w:rsidR="00B43C3D" w:rsidRPr="00B43C3D">
        <w:rPr>
          <w:rFonts w:ascii="Bookman Old Style" w:hAnsi="Bookman Old Style" w:cs="Arial"/>
          <w:i/>
          <w:sz w:val="22"/>
          <w:szCs w:val="22"/>
        </w:rPr>
        <w:t>1. Que la compañía AIC PROYECTOS, informo los cilindros de propiedad de FEDEGAS SAS ESP, a través del sistema SUI, desde el año 2008, hasta octubre de 2012, los cuales correspondían a 2.383</w:t>
      </w:r>
    </w:p>
    <w:p w:rsidR="00B43C3D" w:rsidRDefault="00B43C3D" w:rsidP="00B43C3D">
      <w:pPr>
        <w:ind w:left="284" w:right="284"/>
        <w:jc w:val="both"/>
        <w:rPr>
          <w:rFonts w:ascii="Bookman Old Style" w:hAnsi="Bookman Old Style" w:cs="Arial"/>
          <w:i/>
          <w:sz w:val="22"/>
          <w:szCs w:val="22"/>
        </w:rPr>
      </w:pP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2. En cumplimiento de las directrices establecidas por la Comisión de Regulación de Energía y Gas y la Superintendencia de Servicios Públicos Domiciliarios, la compañía FEDEGAS SAS ESP, ha venido cumpliendo con los parámetros de presentación de la información al sistema de información SUI, en el cual se establece que la cantidad de cilindros reportados por la compañía para el periodo noviembre de 2012 hasta la fecha febrero de 2016 es de:</w:t>
      </w:r>
    </w:p>
    <w:p w:rsidR="00B43C3D" w:rsidRDefault="00B43C3D" w:rsidP="00B43C3D">
      <w:pPr>
        <w:ind w:left="284" w:right="284"/>
        <w:jc w:val="both"/>
        <w:rPr>
          <w:rFonts w:ascii="Bookman Old Style" w:hAnsi="Bookman Old Style" w:cs="Arial"/>
          <w:i/>
          <w:sz w:val="22"/>
          <w:szCs w:val="22"/>
        </w:rPr>
      </w:pP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Descripción Peso Cantidad</w:t>
      </w: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Cilindros: 5 kilos 19 cilindros</w:t>
      </w: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Cilindros: 9 kilos 31 cilindros</w:t>
      </w: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Cilindros: 15 kilos 488 cilindros</w:t>
      </w: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Cilindros: 18 kilos 13.673 cilindros</w:t>
      </w: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_________________________________________</w:t>
      </w:r>
    </w:p>
    <w:p w:rsid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Total 14.211 cilindros</w:t>
      </w:r>
    </w:p>
    <w:p w:rsidR="00B43C3D" w:rsidRPr="00B43C3D" w:rsidRDefault="00B43C3D" w:rsidP="00B43C3D">
      <w:pPr>
        <w:ind w:left="284" w:right="284"/>
        <w:jc w:val="both"/>
        <w:rPr>
          <w:rFonts w:ascii="Bookman Old Style" w:hAnsi="Bookman Old Style" w:cs="Arial"/>
          <w:i/>
          <w:sz w:val="22"/>
          <w:szCs w:val="22"/>
        </w:rPr>
      </w:pP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3. La resolución 075 del 25 de mayo de 2016, emanada de la Comisión de Regulación de Energía y Gas estableció la capacidad de compra a que hace referencia los artículos 8 y 9 de la resolución CREG 063 de 2016.</w:t>
      </w:r>
    </w:p>
    <w:p w:rsidR="00B43C3D" w:rsidRDefault="00B43C3D" w:rsidP="00B43C3D">
      <w:pPr>
        <w:ind w:left="284" w:right="284"/>
        <w:jc w:val="both"/>
        <w:rPr>
          <w:rFonts w:ascii="Bookman Old Style" w:hAnsi="Bookman Old Style" w:cs="Arial"/>
          <w:i/>
          <w:sz w:val="22"/>
          <w:szCs w:val="22"/>
        </w:rPr>
      </w:pP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4. Que la mencionada resolución 075 de 2016,</w:t>
      </w:r>
      <w:r>
        <w:rPr>
          <w:rFonts w:ascii="Bookman Old Style" w:hAnsi="Bookman Old Style" w:cs="Arial"/>
          <w:i/>
          <w:sz w:val="22"/>
          <w:szCs w:val="22"/>
        </w:rPr>
        <w:t xml:space="preserve"> determino la manera como debía </w:t>
      </w:r>
      <w:r w:rsidRPr="00B43C3D">
        <w:rPr>
          <w:rFonts w:ascii="Bookman Old Style" w:hAnsi="Bookman Old Style" w:cs="Arial"/>
          <w:i/>
          <w:sz w:val="22"/>
          <w:szCs w:val="22"/>
        </w:rPr>
        <w:t>calcularse la capacidad total de envase en cilindros</w:t>
      </w:r>
      <w:r>
        <w:rPr>
          <w:rFonts w:ascii="Bookman Old Style" w:hAnsi="Bookman Old Style" w:cs="Arial"/>
          <w:i/>
          <w:sz w:val="22"/>
          <w:szCs w:val="22"/>
        </w:rPr>
        <w:t xml:space="preserve">, de propiedad del distribuidor </w:t>
      </w:r>
      <w:r w:rsidRPr="00B43C3D">
        <w:rPr>
          <w:rFonts w:ascii="Bookman Old Style" w:hAnsi="Bookman Old Style" w:cs="Arial"/>
          <w:i/>
          <w:sz w:val="22"/>
          <w:szCs w:val="22"/>
        </w:rPr>
        <w:t>que para el caso que nos ocupa corresponde a la siguiente formula:</w:t>
      </w:r>
    </w:p>
    <w:p w:rsidR="00B43C3D" w:rsidRDefault="00B43C3D" w:rsidP="00B43C3D">
      <w:pPr>
        <w:ind w:left="284" w:right="284"/>
        <w:jc w:val="both"/>
        <w:rPr>
          <w:rFonts w:ascii="Bookman Old Style" w:hAnsi="Bookman Old Style" w:cs="Arial"/>
          <w:i/>
          <w:sz w:val="22"/>
          <w:szCs w:val="22"/>
        </w:rPr>
      </w:pPr>
    </w:p>
    <w:p w:rsidR="00B43C3D" w:rsidRPr="00B43C3D" w:rsidRDefault="00B43C3D" w:rsidP="00B43C3D">
      <w:pPr>
        <w:ind w:left="284" w:right="284"/>
        <w:jc w:val="both"/>
        <w:rPr>
          <w:rFonts w:ascii="Bookman Old Style" w:hAnsi="Bookman Old Style" w:cs="Arial"/>
          <w:i/>
          <w:sz w:val="22"/>
          <w:szCs w:val="22"/>
          <w:lang w:val="en-US"/>
        </w:rPr>
      </w:pPr>
      <w:r w:rsidRPr="00B43C3D">
        <w:rPr>
          <w:rFonts w:ascii="Bookman Old Style" w:hAnsi="Bookman Old Style" w:cs="Arial"/>
          <w:i/>
          <w:sz w:val="22"/>
          <w:szCs w:val="22"/>
          <w:lang w:val="en-US"/>
        </w:rPr>
        <w:t>Cap. Cil,it = Cap.1it + Cap. 2it Cap. Cil,it = 233.433 Cap.1it + 379.668 Cap. 2it</w:t>
      </w:r>
    </w:p>
    <w:p w:rsidR="00B43C3D" w:rsidRPr="009A6D21" w:rsidRDefault="00B43C3D" w:rsidP="00B43C3D">
      <w:pPr>
        <w:ind w:left="284" w:right="284"/>
        <w:jc w:val="both"/>
        <w:rPr>
          <w:rFonts w:ascii="Bookman Old Style" w:hAnsi="Bookman Old Style" w:cs="Arial"/>
          <w:i/>
          <w:sz w:val="22"/>
          <w:szCs w:val="22"/>
          <w:lang w:val="en-US"/>
        </w:rPr>
      </w:pP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Cap Cil it = 613.101</w:t>
      </w:r>
    </w:p>
    <w:p w:rsidR="00B43C3D" w:rsidRDefault="00B43C3D" w:rsidP="00B43C3D">
      <w:pPr>
        <w:ind w:left="284" w:right="284"/>
        <w:jc w:val="both"/>
        <w:rPr>
          <w:rFonts w:ascii="Bookman Old Style" w:hAnsi="Bookman Old Style" w:cs="Arial"/>
          <w:i/>
          <w:sz w:val="22"/>
          <w:szCs w:val="22"/>
        </w:rPr>
      </w:pPr>
    </w:p>
    <w:p w:rsid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5. Que la resolución 075 del 25 de mayo de 2016</w:t>
      </w:r>
      <w:r>
        <w:rPr>
          <w:rFonts w:ascii="Bookman Old Style" w:hAnsi="Bookman Old Style" w:cs="Arial"/>
          <w:i/>
          <w:sz w:val="22"/>
          <w:szCs w:val="22"/>
        </w:rPr>
        <w:t xml:space="preserve">, determino que la capacidad de </w:t>
      </w:r>
      <w:r w:rsidRPr="00B43C3D">
        <w:rPr>
          <w:rFonts w:ascii="Bookman Old Style" w:hAnsi="Bookman Old Style" w:cs="Arial"/>
          <w:i/>
          <w:sz w:val="22"/>
          <w:szCs w:val="22"/>
        </w:rPr>
        <w:t>compra de la compañía FEDEGAS SAS ESP, corresponde a 190.061.</w:t>
      </w:r>
    </w:p>
    <w:p w:rsidR="00B43C3D" w:rsidRPr="00B43C3D" w:rsidRDefault="00B43C3D" w:rsidP="00B43C3D">
      <w:pPr>
        <w:ind w:left="284" w:right="284"/>
        <w:jc w:val="both"/>
        <w:rPr>
          <w:rFonts w:ascii="Bookman Old Style" w:hAnsi="Bookman Old Style" w:cs="Arial"/>
          <w:i/>
          <w:sz w:val="22"/>
          <w:szCs w:val="22"/>
        </w:rPr>
      </w:pPr>
    </w:p>
    <w:p w:rsid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6. Que la compañía FEDEGAS SAS ESP, solicito a</w:t>
      </w:r>
      <w:r>
        <w:rPr>
          <w:rFonts w:ascii="Bookman Old Style" w:hAnsi="Bookman Old Style" w:cs="Arial"/>
          <w:i/>
          <w:sz w:val="22"/>
          <w:szCs w:val="22"/>
        </w:rPr>
        <w:t xml:space="preserve"> la Superintendencia revisar la </w:t>
      </w:r>
      <w:r w:rsidRPr="00B43C3D">
        <w:rPr>
          <w:rFonts w:ascii="Bookman Old Style" w:hAnsi="Bookman Old Style" w:cs="Arial"/>
          <w:i/>
          <w:sz w:val="22"/>
          <w:szCs w:val="22"/>
        </w:rPr>
        <w:t>información cargada en el SUI, por inconsistencia</w:t>
      </w:r>
      <w:r>
        <w:rPr>
          <w:rFonts w:ascii="Bookman Old Style" w:hAnsi="Bookman Old Style" w:cs="Arial"/>
          <w:i/>
          <w:sz w:val="22"/>
          <w:szCs w:val="22"/>
        </w:rPr>
        <w:t xml:space="preserve">s que no permitían el cargue de </w:t>
      </w:r>
      <w:r w:rsidRPr="00B43C3D">
        <w:rPr>
          <w:rFonts w:ascii="Bookman Old Style" w:hAnsi="Bookman Old Style" w:cs="Arial"/>
          <w:i/>
          <w:sz w:val="22"/>
          <w:szCs w:val="22"/>
        </w:rPr>
        <w:t>alguna información, esto se realizó mediante radicado N 2016- 529-037516-2.</w:t>
      </w:r>
    </w:p>
    <w:p w:rsidR="009A6D21" w:rsidRPr="00B43C3D" w:rsidRDefault="009A6D21" w:rsidP="00B43C3D">
      <w:pPr>
        <w:ind w:left="284" w:right="284"/>
        <w:jc w:val="both"/>
        <w:rPr>
          <w:rFonts w:ascii="Bookman Old Style" w:hAnsi="Bookman Old Style" w:cs="Arial"/>
          <w:i/>
          <w:sz w:val="22"/>
          <w:szCs w:val="22"/>
        </w:rPr>
      </w:pPr>
    </w:p>
    <w:p w:rsidR="00B43C3D" w:rsidRPr="00B43C3D" w:rsidRDefault="00B43C3D" w:rsidP="00B43C3D">
      <w:pPr>
        <w:ind w:left="284" w:right="284"/>
        <w:jc w:val="both"/>
        <w:rPr>
          <w:rFonts w:ascii="Bookman Old Style" w:hAnsi="Bookman Old Style" w:cs="Arial"/>
          <w:i/>
          <w:sz w:val="22"/>
          <w:szCs w:val="22"/>
        </w:rPr>
      </w:pPr>
      <w:r w:rsidRPr="00B43C3D">
        <w:rPr>
          <w:rFonts w:ascii="Bookman Old Style" w:hAnsi="Bookman Old Style" w:cs="Arial"/>
          <w:i/>
          <w:sz w:val="22"/>
          <w:szCs w:val="22"/>
        </w:rPr>
        <w:t>7. Que la compañía FEDEGAS SAS ESP, de acuerd</w:t>
      </w:r>
      <w:r>
        <w:rPr>
          <w:rFonts w:ascii="Bookman Old Style" w:hAnsi="Bookman Old Style" w:cs="Arial"/>
          <w:i/>
          <w:sz w:val="22"/>
          <w:szCs w:val="22"/>
        </w:rPr>
        <w:t xml:space="preserve">o a la información reportada al </w:t>
      </w:r>
      <w:r w:rsidRPr="00B43C3D">
        <w:rPr>
          <w:rFonts w:ascii="Bookman Old Style" w:hAnsi="Bookman Old Style" w:cs="Arial"/>
          <w:i/>
          <w:sz w:val="22"/>
          <w:szCs w:val="22"/>
        </w:rPr>
        <w:t>sistema de información SUI, el periodo Noviem</w:t>
      </w:r>
      <w:r>
        <w:rPr>
          <w:rFonts w:ascii="Bookman Old Style" w:hAnsi="Bookman Old Style" w:cs="Arial"/>
          <w:i/>
          <w:sz w:val="22"/>
          <w:szCs w:val="22"/>
        </w:rPr>
        <w:t xml:space="preserve">bre de 2012, a Febrero de 2016, </w:t>
      </w:r>
      <w:r w:rsidRPr="00B43C3D">
        <w:rPr>
          <w:rFonts w:ascii="Bookman Old Style" w:hAnsi="Bookman Old Style" w:cs="Arial"/>
          <w:i/>
          <w:sz w:val="22"/>
          <w:szCs w:val="22"/>
        </w:rPr>
        <w:t>tiene una capacidad Cap 2 it de 1.535.936 de acuerdo al siguiente calculo:.</w:t>
      </w:r>
    </w:p>
    <w:p w:rsidR="00B43C3D" w:rsidRDefault="00B43C3D" w:rsidP="00B43C3D">
      <w:pPr>
        <w:ind w:left="284" w:right="284"/>
        <w:jc w:val="both"/>
        <w:rPr>
          <w:rFonts w:ascii="Bookman Old Style" w:hAnsi="Bookman Old Style" w:cs="Arial"/>
          <w:i/>
          <w:sz w:val="22"/>
          <w:szCs w:val="22"/>
        </w:rPr>
      </w:pPr>
    </w:p>
    <w:p w:rsidR="00B43C3D" w:rsidRPr="0048634C" w:rsidRDefault="00A07A09" w:rsidP="0048634C">
      <w:pPr>
        <w:ind w:left="284" w:right="284"/>
        <w:jc w:val="center"/>
        <w:rPr>
          <w:rFonts w:ascii="Bookman Old Style" w:hAnsi="Bookman Old Style" w:cs="Arial"/>
          <w:i/>
          <w:sz w:val="22"/>
          <w:szCs w:val="22"/>
        </w:rPr>
      </w:pPr>
      <w:r w:rsidRPr="00B43C3D">
        <w:rPr>
          <w:rFonts w:ascii="Bookman Old Style" w:hAnsi="Bookman Old Style" w:cs="Arial"/>
          <w:i/>
          <w:noProof/>
          <w:sz w:val="22"/>
          <w:szCs w:val="22"/>
          <w:lang w:val="es-CO" w:eastAsia="es-CO"/>
        </w:rPr>
        <w:drawing>
          <wp:inline distT="0" distB="0" distL="0" distR="0">
            <wp:extent cx="5000625" cy="2046514"/>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4822" cy="2048231"/>
                    </a:xfrm>
                    <a:prstGeom prst="rect">
                      <a:avLst/>
                    </a:prstGeom>
                    <a:noFill/>
                    <a:ln>
                      <a:noFill/>
                    </a:ln>
                  </pic:spPr>
                </pic:pic>
              </a:graphicData>
            </a:graphic>
          </wp:inline>
        </w:drawing>
      </w:r>
    </w:p>
    <w:p w:rsidR="00494422" w:rsidRDefault="000E312A" w:rsidP="000E312A">
      <w:pPr>
        <w:pStyle w:val="Textoindependiente2"/>
        <w:spacing w:after="0" w:line="240" w:lineRule="auto"/>
        <w:ind w:left="284" w:right="284"/>
        <w:jc w:val="both"/>
        <w:rPr>
          <w:rFonts w:ascii="Bookman Old Style" w:hAnsi="Bookman Old Style" w:cs="Arial"/>
          <w:i/>
          <w:sz w:val="22"/>
          <w:szCs w:val="22"/>
        </w:rPr>
      </w:pPr>
      <w:r>
        <w:rPr>
          <w:rFonts w:ascii="Bookman Old Style" w:hAnsi="Bookman Old Style"/>
          <w:sz w:val="22"/>
          <w:szCs w:val="22"/>
        </w:rPr>
        <w:t>(…)</w:t>
      </w:r>
      <w:r>
        <w:rPr>
          <w:rFonts w:ascii="Bookman Old Style" w:hAnsi="Bookman Old Style" w:cs="Arial"/>
          <w:i/>
          <w:sz w:val="22"/>
          <w:szCs w:val="22"/>
        </w:rPr>
        <w:t xml:space="preserve">” </w:t>
      </w:r>
    </w:p>
    <w:p w:rsidR="004454DA" w:rsidRDefault="004454DA" w:rsidP="004454DA">
      <w:pPr>
        <w:ind w:left="0" w:right="284"/>
        <w:jc w:val="both"/>
        <w:rPr>
          <w:rFonts w:ascii="Bookman Old Style" w:hAnsi="Bookman Old Style" w:cs="Arial"/>
          <w:i/>
          <w:sz w:val="22"/>
          <w:szCs w:val="22"/>
        </w:rPr>
      </w:pPr>
    </w:p>
    <w:p w:rsidR="00B12F18" w:rsidRPr="004454DA" w:rsidRDefault="004454DA" w:rsidP="00BD1AAE">
      <w:pPr>
        <w:pStyle w:val="Textoindependiente2"/>
        <w:spacing w:after="0" w:line="240" w:lineRule="auto"/>
        <w:ind w:left="-142" w:right="-142"/>
        <w:jc w:val="both"/>
        <w:rPr>
          <w:rFonts w:ascii="Bookman Old Style" w:hAnsi="Bookman Old Style"/>
        </w:rPr>
      </w:pPr>
      <w:r w:rsidRPr="004454DA">
        <w:rPr>
          <w:rFonts w:ascii="Bookman Old Style" w:hAnsi="Bookman Old Style" w:cs="Arial"/>
        </w:rPr>
        <w:t>Adicionalme</w:t>
      </w:r>
      <w:r w:rsidRPr="004454DA">
        <w:rPr>
          <w:rFonts w:ascii="Bookman Old Style" w:hAnsi="Bookman Old Style"/>
        </w:rPr>
        <w:t xml:space="preserve">nte, </w:t>
      </w:r>
      <w:r w:rsidR="0048634C">
        <w:rPr>
          <w:rFonts w:ascii="Bookman Old Style" w:hAnsi="Bookman Old Style"/>
        </w:rPr>
        <w:t>Fedegas</w:t>
      </w:r>
      <w:r w:rsidRPr="004454DA">
        <w:rPr>
          <w:rFonts w:ascii="Bookman Old Style" w:hAnsi="Bookman Old Style"/>
        </w:rPr>
        <w:t xml:space="preserve"> solicita se tenga como prueba </w:t>
      </w:r>
      <w:r>
        <w:rPr>
          <w:rFonts w:ascii="Bookman Old Style" w:hAnsi="Bookman Old Style"/>
        </w:rPr>
        <w:t xml:space="preserve">y soporte de sus argumentos </w:t>
      </w:r>
      <w:r w:rsidR="00C722B1">
        <w:rPr>
          <w:rFonts w:ascii="Bookman Old Style" w:hAnsi="Bookman Old Style"/>
        </w:rPr>
        <w:t xml:space="preserve">una comunicación dirigida a la Superintendencia de Servicios Públicos </w:t>
      </w:r>
      <w:r w:rsidR="00C722B1" w:rsidRPr="00BD1AAE">
        <w:rPr>
          <w:rFonts w:ascii="Bookman Old Style" w:hAnsi="Bookman Old Style"/>
          <w:szCs w:val="27"/>
        </w:rPr>
        <w:t>Domiciliarios</w:t>
      </w:r>
      <w:r w:rsidR="00C722B1">
        <w:rPr>
          <w:rFonts w:ascii="Bookman Old Style" w:hAnsi="Bookman Old Style"/>
        </w:rPr>
        <w:t xml:space="preserve"> con respecto a las</w:t>
      </w:r>
      <w:r w:rsidR="000E312A">
        <w:rPr>
          <w:rFonts w:ascii="Bookman Old Style" w:hAnsi="Bookman Old Style"/>
        </w:rPr>
        <w:t xml:space="preserve"> </w:t>
      </w:r>
      <w:r>
        <w:rPr>
          <w:rFonts w:ascii="Bookman Old Style" w:hAnsi="Bookman Old Style"/>
        </w:rPr>
        <w:t xml:space="preserve">gestiones </w:t>
      </w:r>
      <w:r w:rsidR="00C722B1">
        <w:rPr>
          <w:rFonts w:ascii="Bookman Old Style" w:hAnsi="Bookman Old Style"/>
        </w:rPr>
        <w:t xml:space="preserve">que </w:t>
      </w:r>
      <w:r>
        <w:rPr>
          <w:rFonts w:ascii="Bookman Old Style" w:hAnsi="Bookman Old Style"/>
        </w:rPr>
        <w:t xml:space="preserve">en este sentido </w:t>
      </w:r>
      <w:r w:rsidR="00C722B1">
        <w:rPr>
          <w:rFonts w:ascii="Bookman Old Style" w:hAnsi="Bookman Old Style"/>
        </w:rPr>
        <w:t xml:space="preserve">han sido </w:t>
      </w:r>
      <w:r>
        <w:rPr>
          <w:rFonts w:ascii="Bookman Old Style" w:hAnsi="Bookman Old Style"/>
        </w:rPr>
        <w:t xml:space="preserve">llevadas a cabo ante </w:t>
      </w:r>
      <w:r w:rsidR="00C722B1">
        <w:rPr>
          <w:rFonts w:ascii="Bookman Old Style" w:hAnsi="Bookman Old Style"/>
        </w:rPr>
        <w:t xml:space="preserve">dicha </w:t>
      </w:r>
      <w:r w:rsidR="009A6D21">
        <w:rPr>
          <w:rFonts w:ascii="Bookman Old Style" w:hAnsi="Bookman Old Style"/>
        </w:rPr>
        <w:t>entidad</w:t>
      </w:r>
      <w:r w:rsidR="00C722B1">
        <w:rPr>
          <w:rFonts w:ascii="Bookman Old Style" w:hAnsi="Bookman Old Style"/>
        </w:rPr>
        <w:t xml:space="preserve"> con respecto al reporte de información al SUI</w:t>
      </w:r>
      <w:r>
        <w:rPr>
          <w:rFonts w:ascii="Bookman Old Style" w:hAnsi="Bookman Old Style"/>
        </w:rPr>
        <w:t>.</w:t>
      </w:r>
    </w:p>
    <w:p w:rsidR="0045042D" w:rsidRPr="004454DA" w:rsidRDefault="0045042D" w:rsidP="004454DA">
      <w:pPr>
        <w:ind w:left="284" w:right="284"/>
        <w:jc w:val="both"/>
        <w:rPr>
          <w:rFonts w:ascii="Bookman Old Style" w:hAnsi="Bookman Old Style" w:cs="Arial"/>
          <w:i/>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w:t>
      </w:r>
      <w:r w:rsidR="007D1246">
        <w:rPr>
          <w:rFonts w:ascii="Bookman Old Style" w:hAnsi="Bookman Old Style"/>
          <w:szCs w:val="27"/>
        </w:rPr>
        <w:t xml:space="preserve">de cilindros marcados y de </w:t>
      </w:r>
      <w:r w:rsidR="004D7892">
        <w:rPr>
          <w:rFonts w:ascii="Bookman Old Style" w:hAnsi="Bookman Old Style"/>
          <w:szCs w:val="27"/>
        </w:rPr>
        <w:t>tanques estacionarios</w:t>
      </w:r>
      <w:r w:rsidRPr="00EE6670">
        <w:rPr>
          <w:rFonts w:ascii="Bookman Old Style" w:hAnsi="Bookman Old Style"/>
          <w:szCs w:val="27"/>
        </w:rPr>
        <w:t xml:space="preserve"> efectivamente reportados por </w:t>
      </w:r>
      <w:r w:rsidR="004274BE">
        <w:rPr>
          <w:rFonts w:ascii="Bookman Old Style" w:hAnsi="Bookman Old Style"/>
          <w:szCs w:val="27"/>
        </w:rPr>
        <w:t>Fedegas</w:t>
      </w:r>
      <w:r w:rsidR="00B13E0A">
        <w:rPr>
          <w:rFonts w:ascii="Bookman Old Style" w:hAnsi="Bookman Old Style"/>
          <w:szCs w:val="27"/>
        </w:rPr>
        <w:t xml:space="preserve">, </w:t>
      </w:r>
      <w:r w:rsidR="000E4A6C">
        <w:rPr>
          <w:rFonts w:ascii="Bookman Old Style" w:hAnsi="Bookman Old Style"/>
          <w:szCs w:val="27"/>
        </w:rPr>
        <w:t xml:space="preserve">por lo que </w:t>
      </w:r>
      <w:r w:rsidR="004D7892">
        <w:rPr>
          <w:rFonts w:ascii="Bookman Old Style" w:hAnsi="Bookman Old Style"/>
          <w:szCs w:val="27"/>
        </w:rPr>
        <w:t>esta Comisión de acuerdo con las</w:t>
      </w:r>
      <w:r w:rsidRPr="00EE6670">
        <w:rPr>
          <w:rFonts w:ascii="Bookman Old Style" w:hAnsi="Bookman Old Style"/>
          <w:szCs w:val="27"/>
        </w:rPr>
        <w:t xml:space="preserve"> facultades </w:t>
      </w:r>
      <w:r w:rsidR="004D7892">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w:t>
      </w:r>
      <w:r w:rsidRPr="00EE6670">
        <w:rPr>
          <w:rFonts w:ascii="Bookman Old Style" w:hAnsi="Bookman Old Style" w:cs="Arial"/>
          <w:i/>
          <w:sz w:val="22"/>
          <w:szCs w:val="22"/>
        </w:rPr>
        <w:lastRenderedPageBreak/>
        <w:t>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Ahora, mediante el Auto I-2016-004402 se amplió el plazo otorgado en los Autos I-2017-003755 e I-2017-004099 en 30 días adicionales al inicialmente previsto  informando de esta situación a la Superintendencia de Servicios Públicos Domiciliarios.  </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Default="004274BE" w:rsidP="004274BE">
      <w:pPr>
        <w:pStyle w:val="Textoindependiente2"/>
        <w:spacing w:after="0" w:line="240" w:lineRule="auto"/>
        <w:ind w:left="-142" w:right="-142"/>
        <w:jc w:val="both"/>
        <w:rPr>
          <w:rFonts w:ascii="Bookman Old Style" w:hAnsi="Bookman Old Style"/>
          <w:szCs w:val="27"/>
        </w:rPr>
      </w:pPr>
      <w:r w:rsidRPr="004274BE">
        <w:rPr>
          <w:rFonts w:ascii="Bookman Old Style" w:hAnsi="Bookman Old Style"/>
          <w:szCs w:val="27"/>
        </w:rPr>
        <w:t xml:space="preserve">Mediante oficio con radicado CREG E-2016-010390 de 23 de septiembre de 2016 la Superintendencia de Servicios Públicos Domiciliarios  a través de la Delegada de Energía Eléctrica y Gas Combustible remitió la información solicitada por esta Comisión. En atención a lo anterior procederá esta Comisión a exponer el análisis de los resultados de la misma, así como resolver las consideraciones y argumentos expuestos por parte de </w:t>
      </w:r>
      <w:r>
        <w:rPr>
          <w:rFonts w:ascii="Bookman Old Style" w:hAnsi="Bookman Old Style"/>
          <w:szCs w:val="27"/>
        </w:rPr>
        <w:t>Fedegas</w:t>
      </w:r>
      <w:r w:rsidRPr="004274BE">
        <w:rPr>
          <w:rFonts w:ascii="Bookman Old Style" w:hAnsi="Bookman Old Style"/>
          <w:szCs w:val="27"/>
        </w:rPr>
        <w:t xml:space="preserve"> en su recurso frente a la Resolución CREG 075 de 2016.</w:t>
      </w:r>
    </w:p>
    <w:p w:rsidR="004274BE" w:rsidRDefault="004274BE" w:rsidP="004274BE">
      <w:pPr>
        <w:pStyle w:val="Textoindependiente2"/>
        <w:spacing w:after="0" w:line="240" w:lineRule="auto"/>
        <w:ind w:left="-142"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0E4A6C" w:rsidRPr="004D378D" w:rsidRDefault="000E4A6C" w:rsidP="000E312A">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4274BE">
        <w:rPr>
          <w:rFonts w:ascii="Bookman Old Style" w:hAnsi="Bookman Old Style"/>
          <w:szCs w:val="27"/>
        </w:rPr>
        <w:t>Fedegas</w:t>
      </w:r>
      <w:r>
        <w:rPr>
          <w:rFonts w:ascii="Bookman Old Style" w:hAnsi="Bookman Old Style"/>
          <w:szCs w:val="27"/>
        </w:rPr>
        <w:t xml:space="preserve">, </w:t>
      </w:r>
      <w:r w:rsidR="000E312A">
        <w:rPr>
          <w:rFonts w:ascii="Bookman Old Style" w:hAnsi="Bookman Old Style"/>
          <w:szCs w:val="27"/>
        </w:rPr>
        <w:t xml:space="preserve">toda vez que la </w:t>
      </w:r>
      <w:r w:rsidRPr="004D378D">
        <w:rPr>
          <w:rFonts w:ascii="Bookman Old Style" w:hAnsi="Bookman Old Style"/>
          <w:szCs w:val="27"/>
        </w:rPr>
        <w:t xml:space="preserve">empresa advierte una diferencia en la información reportada en el Sistema Único de Información – SUI, utilizada por esta </w:t>
      </w:r>
      <w:r w:rsidRPr="004D378D">
        <w:rPr>
          <w:rFonts w:ascii="Bookman Old Style" w:hAnsi="Bookman Old Style"/>
          <w:szCs w:val="27"/>
        </w:rPr>
        <w:lastRenderedPageBreak/>
        <w:t xml:space="preserve">Comisión para efectos de llevar a cabo la definición de la capacidad de compra a nivel de </w:t>
      </w:r>
      <w:r w:rsidR="005853B5" w:rsidRPr="004D378D">
        <w:rPr>
          <w:rFonts w:ascii="Bookman Old Style" w:hAnsi="Bookman Old Style"/>
          <w:szCs w:val="27"/>
        </w:rPr>
        <w:t xml:space="preserve">cilindros marcados, como de </w:t>
      </w:r>
      <w:r w:rsidRPr="004D378D">
        <w:rPr>
          <w:rFonts w:ascii="Bookman Old Style" w:hAnsi="Bookman Old Style"/>
          <w:szCs w:val="27"/>
        </w:rPr>
        <w:t>tanques estacionarios.</w:t>
      </w:r>
      <w:r w:rsidR="004D378D">
        <w:rPr>
          <w:rFonts w:ascii="Bookman Old Style" w:hAnsi="Bookman Old Style"/>
          <w:szCs w:val="27"/>
        </w:rPr>
        <w:t xml:space="preserve"> </w:t>
      </w:r>
    </w:p>
    <w:p w:rsidR="00BE1396" w:rsidRDefault="00BE1396" w:rsidP="000E312A">
      <w:pPr>
        <w:pStyle w:val="Textoindependiente2"/>
        <w:spacing w:after="0" w:line="240" w:lineRule="auto"/>
        <w:ind w:left="0" w:right="-142"/>
        <w:jc w:val="both"/>
        <w:rPr>
          <w:rFonts w:ascii="Bookman Old Style" w:hAnsi="Bookman Old Style"/>
          <w:szCs w:val="27"/>
        </w:rPr>
      </w:pPr>
    </w:p>
    <w:p w:rsidR="004274BE" w:rsidRDefault="004274BE" w:rsidP="004274BE">
      <w:pPr>
        <w:ind w:left="-142" w:right="-142"/>
        <w:jc w:val="both"/>
        <w:rPr>
          <w:rFonts w:ascii="Bookman Old Style" w:hAnsi="Bookman Old Style"/>
          <w:szCs w:val="27"/>
        </w:rPr>
      </w:pPr>
      <w:r w:rsidRPr="00AF57EF">
        <w:rPr>
          <w:rFonts w:ascii="Bookman Old Style" w:hAnsi="Bookman Old Style"/>
          <w:szCs w:val="27"/>
        </w:rPr>
        <w:t>Frente a la información remitida a esta Comisión en atención a los autos de prueba decretados, la Superintendencia de Servicios Públicos Domiciliarios informa lo siguiente</w:t>
      </w:r>
      <w:r w:rsidRPr="00AF57EF">
        <w:rPr>
          <w:rFonts w:ascii="Bookman Old Style" w:hAnsi="Bookman Old Style"/>
          <w:szCs w:val="27"/>
          <w:vertAlign w:val="superscript"/>
        </w:rPr>
        <w:footnoteReference w:id="5"/>
      </w:r>
      <w:r w:rsidRPr="00AF57EF">
        <w:rPr>
          <w:rFonts w:ascii="Bookman Old Style" w:hAnsi="Bookman Old Style"/>
          <w:szCs w:val="27"/>
        </w:rPr>
        <w:t>:</w:t>
      </w:r>
    </w:p>
    <w:p w:rsidR="004274BE" w:rsidRDefault="004274BE" w:rsidP="004274BE">
      <w:pPr>
        <w:ind w:left="-142" w:right="-142"/>
        <w:jc w:val="both"/>
        <w:rPr>
          <w:rFonts w:ascii="Bookman Old Style" w:hAnsi="Bookman Old Style"/>
          <w:szCs w:val="27"/>
        </w:rPr>
      </w:pPr>
    </w:p>
    <w:p w:rsidR="004274BE" w:rsidRDefault="00A07A09" w:rsidP="004274BE">
      <w:pPr>
        <w:ind w:left="-142" w:right="-142"/>
        <w:jc w:val="both"/>
        <w:rPr>
          <w:rFonts w:ascii="Bookman Old Style" w:hAnsi="Bookman Old Style"/>
          <w:szCs w:val="27"/>
        </w:rPr>
      </w:pPr>
      <w:r w:rsidRPr="004274BE">
        <w:rPr>
          <w:rFonts w:ascii="Bookman Old Style" w:hAnsi="Bookman Old Style"/>
          <w:noProof/>
          <w:szCs w:val="27"/>
          <w:lang w:val="es-CO" w:eastAsia="es-CO"/>
        </w:rPr>
        <w:drawing>
          <wp:inline distT="0" distB="0" distL="0" distR="0">
            <wp:extent cx="5943600" cy="3352800"/>
            <wp:effectExtent l="0" t="0" r="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614" cy="3353372"/>
                    </a:xfrm>
                    <a:prstGeom prst="rect">
                      <a:avLst/>
                    </a:prstGeom>
                    <a:noFill/>
                    <a:ln>
                      <a:noFill/>
                    </a:ln>
                  </pic:spPr>
                </pic:pic>
              </a:graphicData>
            </a:graphic>
          </wp:inline>
        </w:drawing>
      </w:r>
    </w:p>
    <w:p w:rsidR="004274BE" w:rsidRPr="00AF57EF" w:rsidRDefault="004274BE" w:rsidP="004274BE">
      <w:pPr>
        <w:ind w:left="-142" w:right="-142"/>
        <w:jc w:val="both"/>
        <w:rPr>
          <w:rFonts w:ascii="Bookman Old Style" w:hAnsi="Bookman Old Style"/>
          <w:szCs w:val="27"/>
        </w:rPr>
      </w:pPr>
    </w:p>
    <w:p w:rsidR="00BE32F9" w:rsidRPr="00BE32F9" w:rsidRDefault="00BE32F9" w:rsidP="00BE32F9">
      <w:pPr>
        <w:ind w:left="-142" w:right="-142"/>
        <w:jc w:val="both"/>
        <w:rPr>
          <w:rFonts w:ascii="Bookman Old Style" w:hAnsi="Bookman Old Style"/>
          <w:szCs w:val="27"/>
        </w:rPr>
      </w:pPr>
      <w:r w:rsidRPr="00BE32F9">
        <w:rPr>
          <w:rFonts w:ascii="Bookman Old Style" w:hAnsi="Bookman Old Style"/>
          <w:szCs w:val="27"/>
        </w:rPr>
        <w:t xml:space="preserve">Adicionalmente, dentro del Auto de pruebas Auto I-2016-003755 esta Comisión manifestó lo siguiente: </w:t>
      </w:r>
    </w:p>
    <w:p w:rsidR="00BE32F9" w:rsidRPr="00BE32F9" w:rsidRDefault="00BE32F9" w:rsidP="00BE32F9">
      <w:pPr>
        <w:ind w:left="284" w:right="284"/>
        <w:jc w:val="both"/>
        <w:rPr>
          <w:rFonts w:ascii="Bookman Old Style" w:hAnsi="Bookman Old Style" w:cs="Arial"/>
          <w:i/>
          <w:sz w:val="22"/>
          <w:szCs w:val="22"/>
        </w:rPr>
      </w:pPr>
    </w:p>
    <w:p w:rsidR="00BE32F9" w:rsidRPr="00BE32F9" w:rsidRDefault="00BE32F9" w:rsidP="00BE32F9">
      <w:pPr>
        <w:ind w:left="284" w:right="284"/>
        <w:jc w:val="both"/>
        <w:rPr>
          <w:rFonts w:ascii="Bookman Old Style" w:hAnsi="Bookman Old Style" w:cs="Arial"/>
          <w:i/>
          <w:sz w:val="22"/>
          <w:szCs w:val="22"/>
        </w:rPr>
      </w:pPr>
      <w:r w:rsidRPr="00BE32F9">
        <w:rPr>
          <w:rFonts w:ascii="Bookman Old Style" w:hAnsi="Bookman Old Style" w:cs="Arial"/>
          <w:i/>
          <w:sz w:val="22"/>
          <w:szCs w:val="22"/>
        </w:rPr>
        <w:t xml:space="preserve">“Artículo 1. (….) 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BE32F9" w:rsidRPr="00BE32F9" w:rsidRDefault="00BE32F9" w:rsidP="00BE32F9">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BE32F9" w:rsidRPr="00BE32F9" w:rsidTr="00FA3F4C">
        <w:trPr>
          <w:jc w:val="center"/>
        </w:trPr>
        <w:tc>
          <w:tcPr>
            <w:tcW w:w="2408" w:type="dxa"/>
            <w:shd w:val="clear" w:color="auto" w:fill="auto"/>
            <w:vAlign w:val="center"/>
          </w:tcPr>
          <w:p w:rsidR="00BE32F9" w:rsidRPr="00BE32F9" w:rsidRDefault="00BE32F9" w:rsidP="00BE32F9">
            <w:pPr>
              <w:rPr>
                <w:rFonts w:ascii="Bookman Old Style" w:hAnsi="Bookman Old Style" w:cs="Arial"/>
                <w:bCs/>
                <w:sz w:val="20"/>
                <w:szCs w:val="20"/>
              </w:rPr>
            </w:pPr>
            <w:r w:rsidRPr="00BE32F9">
              <w:rPr>
                <w:rFonts w:ascii="Bookman Old Style" w:hAnsi="Bookman Old Style" w:cs="Arial"/>
                <w:bCs/>
                <w:sz w:val="20"/>
                <w:szCs w:val="20"/>
              </w:rPr>
              <w:t>Identificador de empresa (código SUI)</w:t>
            </w:r>
          </w:p>
        </w:tc>
        <w:tc>
          <w:tcPr>
            <w:tcW w:w="2442" w:type="dxa"/>
            <w:shd w:val="clear" w:color="auto" w:fill="auto"/>
            <w:vAlign w:val="center"/>
          </w:tcPr>
          <w:p w:rsidR="00BE32F9" w:rsidRPr="00BE32F9" w:rsidRDefault="00BE32F9" w:rsidP="00BE32F9">
            <w:pPr>
              <w:rPr>
                <w:rFonts w:ascii="Bookman Old Style" w:hAnsi="Bookman Old Style" w:cs="Arial"/>
                <w:bCs/>
                <w:sz w:val="20"/>
                <w:szCs w:val="20"/>
              </w:rPr>
            </w:pPr>
            <w:r w:rsidRPr="00BE32F9">
              <w:rPr>
                <w:rFonts w:ascii="Bookman Old Style" w:hAnsi="Bookman Old Style" w:cs="Arial"/>
                <w:bCs/>
                <w:sz w:val="20"/>
                <w:szCs w:val="20"/>
              </w:rPr>
              <w:t>Código de presentación del cilindro</w:t>
            </w:r>
          </w:p>
        </w:tc>
        <w:tc>
          <w:tcPr>
            <w:tcW w:w="2929" w:type="dxa"/>
            <w:shd w:val="clear" w:color="auto" w:fill="auto"/>
            <w:vAlign w:val="center"/>
          </w:tcPr>
          <w:p w:rsidR="00BE32F9" w:rsidRPr="00BE32F9" w:rsidRDefault="00BE32F9" w:rsidP="00BE32F9">
            <w:pPr>
              <w:rPr>
                <w:rFonts w:ascii="Bookman Old Style" w:hAnsi="Bookman Old Style" w:cs="Arial"/>
                <w:bCs/>
                <w:sz w:val="20"/>
                <w:szCs w:val="20"/>
              </w:rPr>
            </w:pPr>
            <w:r w:rsidRPr="00BE32F9">
              <w:rPr>
                <w:rFonts w:ascii="Bookman Old Style" w:hAnsi="Bookman Old Style" w:cs="Arial"/>
                <w:bCs/>
                <w:sz w:val="20"/>
                <w:szCs w:val="20"/>
              </w:rPr>
              <w:t xml:space="preserve">Cantidad de cilindros por cada código de presentación </w:t>
            </w:r>
          </w:p>
        </w:tc>
      </w:tr>
    </w:tbl>
    <w:p w:rsidR="00BE32F9" w:rsidRPr="00BE32F9" w:rsidRDefault="00BE32F9" w:rsidP="00BE32F9">
      <w:pPr>
        <w:jc w:val="center"/>
        <w:rPr>
          <w:rFonts w:ascii="Arial" w:hAnsi="Arial" w:cs="Arial"/>
          <w:b/>
          <w:bCs/>
          <w:sz w:val="22"/>
          <w:szCs w:val="22"/>
        </w:rPr>
      </w:pPr>
    </w:p>
    <w:p w:rsidR="00BE32F9" w:rsidRPr="00BE32F9" w:rsidRDefault="00BE32F9" w:rsidP="00BE32F9">
      <w:pPr>
        <w:ind w:left="284" w:right="284"/>
        <w:jc w:val="both"/>
        <w:rPr>
          <w:rFonts w:ascii="Bookman Old Style" w:hAnsi="Bookman Old Style" w:cs="Arial"/>
          <w:i/>
          <w:sz w:val="22"/>
          <w:szCs w:val="22"/>
        </w:rPr>
      </w:pPr>
      <w:r w:rsidRPr="00BE32F9">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p>
    <w:p w:rsidR="00BE32F9" w:rsidRPr="00BE32F9" w:rsidRDefault="00BE32F9" w:rsidP="00BE32F9">
      <w:pPr>
        <w:ind w:left="-142" w:right="-142"/>
        <w:jc w:val="both"/>
        <w:rPr>
          <w:rFonts w:ascii="Bookman Old Style" w:hAnsi="Bookman Old Style"/>
          <w:szCs w:val="27"/>
        </w:rPr>
      </w:pPr>
    </w:p>
    <w:p w:rsidR="00BE32F9" w:rsidRPr="00BE32F9" w:rsidRDefault="00BE32F9" w:rsidP="00BE32F9">
      <w:pPr>
        <w:ind w:left="-142" w:right="-142"/>
        <w:jc w:val="both"/>
        <w:rPr>
          <w:rFonts w:ascii="Bookman Old Style" w:hAnsi="Bookman Old Style"/>
          <w:szCs w:val="27"/>
        </w:rPr>
      </w:pPr>
      <w:r w:rsidRPr="00BE32F9">
        <w:rPr>
          <w:rFonts w:ascii="Bookman Old Style" w:hAnsi="Bookman Old Style"/>
          <w:szCs w:val="27"/>
        </w:rPr>
        <w:t>En relación con esta solicitud la Superintendencia de Servicios Públicos Domiciliarios expuso:</w:t>
      </w:r>
    </w:p>
    <w:p w:rsidR="00BE32F9" w:rsidRPr="00BE32F9" w:rsidRDefault="00BE32F9" w:rsidP="00BE32F9">
      <w:pPr>
        <w:ind w:left="0" w:right="-142"/>
        <w:jc w:val="both"/>
        <w:rPr>
          <w:rFonts w:ascii="Bookman Old Style" w:hAnsi="Bookman Old Style"/>
          <w:szCs w:val="27"/>
        </w:rPr>
      </w:pPr>
    </w:p>
    <w:p w:rsidR="00BE32F9" w:rsidRPr="00BE32F9" w:rsidRDefault="00A07A09" w:rsidP="00BE32F9">
      <w:pPr>
        <w:ind w:left="-142" w:right="-142"/>
        <w:jc w:val="both"/>
        <w:rPr>
          <w:rFonts w:ascii="Bookman Old Style" w:hAnsi="Bookman Old Style"/>
          <w:szCs w:val="27"/>
        </w:rPr>
      </w:pPr>
      <w:r w:rsidRPr="00BE32F9">
        <w:rPr>
          <w:rFonts w:ascii="Bookman Old Style" w:hAnsi="Bookman Old Style"/>
          <w:noProof/>
          <w:szCs w:val="27"/>
          <w:lang w:val="es-CO" w:eastAsia="es-CO"/>
        </w:rPr>
        <w:drawing>
          <wp:inline distT="0" distB="0" distL="0" distR="0">
            <wp:extent cx="5934075" cy="933450"/>
            <wp:effectExtent l="0" t="0" r="952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933450"/>
                    </a:xfrm>
                    <a:prstGeom prst="rect">
                      <a:avLst/>
                    </a:prstGeom>
                    <a:noFill/>
                    <a:ln>
                      <a:noFill/>
                    </a:ln>
                  </pic:spPr>
                </pic:pic>
              </a:graphicData>
            </a:graphic>
          </wp:inline>
        </w:drawing>
      </w:r>
    </w:p>
    <w:p w:rsidR="004274BE" w:rsidRDefault="004274BE" w:rsidP="009A6D21">
      <w:pPr>
        <w:pStyle w:val="Textoindependiente2"/>
        <w:spacing w:after="0" w:line="240" w:lineRule="auto"/>
        <w:ind w:left="0" w:right="-142"/>
        <w:rPr>
          <w:rFonts w:ascii="Bookman Old Style" w:hAnsi="Bookman Old Style"/>
          <w:szCs w:val="27"/>
        </w:rPr>
      </w:pPr>
    </w:p>
    <w:p w:rsidR="004274BE" w:rsidRDefault="004274BE" w:rsidP="004274BE">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r>
        <w:rPr>
          <w:rFonts w:ascii="Bookman Old Style" w:hAnsi="Bookman Old Style"/>
          <w:szCs w:val="27"/>
        </w:rPr>
        <w:t xml:space="preserve"> La Superintendencia advierte en este punto que no existe ninguna modificación o ajuste a la información utilizada para la definición de la capacidad de compra en este punto.</w:t>
      </w:r>
    </w:p>
    <w:p w:rsidR="004274BE" w:rsidRDefault="004274BE" w:rsidP="004274BE">
      <w:pPr>
        <w:pStyle w:val="Textoindependiente2"/>
        <w:spacing w:after="0" w:line="240" w:lineRule="auto"/>
        <w:ind w:left="0" w:right="-142"/>
        <w:jc w:val="both"/>
        <w:rPr>
          <w:rFonts w:ascii="Bookman Old Style" w:hAnsi="Bookman Old Style"/>
          <w:szCs w:val="27"/>
        </w:rPr>
      </w:pPr>
    </w:p>
    <w:p w:rsidR="004274BE" w:rsidRDefault="004274BE" w:rsidP="004274BE">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en atención a lo expuesto por parte de la Superintendencia de Servicios Públicos Domiciliarios como resultado del decretó y práctica de pruebas llevado a cabo por la CREG, se establece la procedencia de modificar la Resolución CREG 075 de 2016 en relación con la definición de la capacidad de compra para la empresa </w:t>
      </w:r>
      <w:r w:rsidR="00BE32F9">
        <w:rPr>
          <w:rFonts w:ascii="Bookman Old Style" w:hAnsi="Bookman Old Style"/>
          <w:szCs w:val="27"/>
        </w:rPr>
        <w:t>Fedegas S.A.S</w:t>
      </w:r>
      <w:r>
        <w:rPr>
          <w:rFonts w:ascii="Bookman Old Style" w:hAnsi="Bookman Old Style"/>
          <w:szCs w:val="27"/>
        </w:rPr>
        <w:t xml:space="preserve"> E.S.P., </w:t>
      </w:r>
      <w:r w:rsidR="009A6D21">
        <w:rPr>
          <w:rFonts w:ascii="Bookman Old Style" w:hAnsi="Bookman Old Style"/>
          <w:szCs w:val="27"/>
        </w:rPr>
        <w:t>con base en la información de</w:t>
      </w:r>
      <w:r>
        <w:rPr>
          <w:rFonts w:ascii="Bookman Old Style" w:hAnsi="Bookman Old Style"/>
          <w:szCs w:val="27"/>
        </w:rPr>
        <w:t xml:space="preserve"> cilindros marcados.</w:t>
      </w:r>
      <w:r w:rsidR="00BE32F9">
        <w:rPr>
          <w:rFonts w:ascii="Bookman Old Style" w:hAnsi="Bookman Old Style"/>
          <w:szCs w:val="27"/>
        </w:rPr>
        <w:t xml:space="preserve"> </w:t>
      </w:r>
      <w:r>
        <w:rPr>
          <w:rFonts w:ascii="Bookman Old Style" w:hAnsi="Bookman Old Style"/>
          <w:szCs w:val="27"/>
        </w:rPr>
        <w:t xml:space="preserve"> </w:t>
      </w:r>
    </w:p>
    <w:p w:rsidR="004274BE" w:rsidRDefault="004274BE" w:rsidP="004274BE">
      <w:pPr>
        <w:pStyle w:val="Textoindependiente2"/>
        <w:spacing w:after="0" w:line="240" w:lineRule="auto"/>
        <w:ind w:left="0" w:right="-142"/>
        <w:jc w:val="both"/>
        <w:rPr>
          <w:rFonts w:ascii="Bookman Old Style" w:hAnsi="Bookman Old Style"/>
          <w:szCs w:val="27"/>
        </w:rPr>
      </w:pPr>
    </w:p>
    <w:p w:rsidR="004274BE" w:rsidRPr="003E59E7" w:rsidRDefault="004274BE" w:rsidP="004274BE">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F65EEC">
        <w:rPr>
          <w:rFonts w:ascii="Bookman Old Style" w:hAnsi="Bookman Old Style"/>
          <w:szCs w:val="27"/>
        </w:rPr>
        <w:t>746</w:t>
      </w:r>
      <w:r w:rsidRPr="003E59E7">
        <w:rPr>
          <w:rFonts w:ascii="Bookman Old Style" w:hAnsi="Bookman Old Style"/>
          <w:szCs w:val="27"/>
        </w:rPr>
        <w:t xml:space="preserve"> del </w:t>
      </w:r>
      <w:r w:rsidR="00F65EEC">
        <w:rPr>
          <w:rFonts w:ascii="Bookman Old Style" w:hAnsi="Bookman Old Style"/>
          <w:szCs w:val="27"/>
        </w:rPr>
        <w:t>21</w:t>
      </w:r>
      <w:r w:rsidRPr="003E59E7">
        <w:rPr>
          <w:rFonts w:ascii="Bookman Old Style" w:hAnsi="Bookman Old Style"/>
          <w:szCs w:val="27"/>
        </w:rPr>
        <w:t xml:space="preserve"> de </w:t>
      </w:r>
      <w:r w:rsidR="00F65EEC">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4274BE" w:rsidRDefault="004274BE" w:rsidP="004274BE">
      <w:pPr>
        <w:pStyle w:val="Textoindependiente2"/>
        <w:spacing w:after="0" w:line="240" w:lineRule="auto"/>
        <w:ind w:left="-142" w:right="-142"/>
        <w:jc w:val="both"/>
        <w:rPr>
          <w:rFonts w:ascii="Bookman Old Style" w:hAnsi="Bookman Old Style"/>
          <w:szCs w:val="27"/>
        </w:rPr>
      </w:pPr>
    </w:p>
    <w:p w:rsidR="004274BE" w:rsidRPr="003234E2" w:rsidRDefault="004274BE" w:rsidP="004274BE">
      <w:pPr>
        <w:tabs>
          <w:tab w:val="right" w:pos="9498"/>
        </w:tabs>
        <w:ind w:left="0" w:right="-142"/>
        <w:jc w:val="both"/>
        <w:rPr>
          <w:rFonts w:ascii="Bookman Old Style" w:hAnsi="Bookman Old Style"/>
          <w:bCs/>
          <w:sz w:val="20"/>
        </w:rPr>
      </w:pPr>
    </w:p>
    <w:p w:rsidR="004274BE" w:rsidRPr="00BB7AEA" w:rsidRDefault="004274BE" w:rsidP="004274BE">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Pr>
          <w:rFonts w:ascii="Bookman Old Style" w:hAnsi="Bookman Old Style" w:cs="Arial"/>
        </w:rPr>
        <w:t>:</w:t>
      </w:r>
    </w:p>
    <w:p w:rsidR="004274BE" w:rsidRPr="003234E2" w:rsidRDefault="004274BE" w:rsidP="004274BE">
      <w:pPr>
        <w:tabs>
          <w:tab w:val="right" w:pos="9498"/>
        </w:tabs>
        <w:ind w:left="0" w:right="-142"/>
        <w:jc w:val="both"/>
        <w:rPr>
          <w:rFonts w:ascii="Bookman Old Style" w:hAnsi="Bookman Old Style" w:cs="Arial"/>
          <w:b/>
          <w:spacing w:val="-3"/>
          <w:sz w:val="20"/>
        </w:rPr>
      </w:pPr>
    </w:p>
    <w:p w:rsidR="004274BE" w:rsidRDefault="004274BE" w:rsidP="004274BE">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Pr>
          <w:rFonts w:ascii="Bookman Old Style" w:hAnsi="Bookman Old Style"/>
          <w:szCs w:val="27"/>
        </w:rPr>
        <w:t>Modificar el artículo 1 de la Resolución CREG 075 de 2016 de la siguiente forma:</w:t>
      </w:r>
    </w:p>
    <w:p w:rsidR="004274BE" w:rsidRDefault="004274BE" w:rsidP="004274BE">
      <w:pPr>
        <w:pStyle w:val="Textoindependiente2"/>
        <w:spacing w:after="0" w:line="240" w:lineRule="auto"/>
        <w:ind w:left="-142" w:right="-142"/>
        <w:jc w:val="both"/>
        <w:rPr>
          <w:rFonts w:ascii="Bookman Old Style" w:hAnsi="Bookman Old Style"/>
          <w:szCs w:val="27"/>
        </w:rPr>
      </w:pPr>
    </w:p>
    <w:p w:rsidR="004274BE" w:rsidRDefault="004274BE" w:rsidP="004274BE">
      <w:pPr>
        <w:pStyle w:val="Textoindependiente2"/>
        <w:spacing w:after="0" w:line="240" w:lineRule="auto"/>
        <w:ind w:left="-142" w:right="-142"/>
        <w:jc w:val="both"/>
        <w:rPr>
          <w:rFonts w:ascii="Bookman Old Style" w:hAnsi="Bookman Old Style"/>
          <w:szCs w:val="27"/>
        </w:rPr>
      </w:pPr>
      <w:r w:rsidRPr="00E16D13">
        <w:rPr>
          <w:rFonts w:ascii="Bookman Old Style" w:hAnsi="Bookman Old Style"/>
          <w:szCs w:val="27"/>
        </w:rPr>
        <w:t>La siguiente corresponde a la Capacidad de Compra para cada uno de los códigos SUI de las empresas:</w:t>
      </w:r>
    </w:p>
    <w:p w:rsidR="004274BE" w:rsidRDefault="004274BE" w:rsidP="004274BE">
      <w:pPr>
        <w:pStyle w:val="Textoindependiente2"/>
        <w:spacing w:after="0" w:line="240" w:lineRule="auto"/>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4274BE" w:rsidRPr="00C139AB" w:rsidTr="00FA3F4C">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74BE" w:rsidRPr="00C139AB" w:rsidRDefault="004274BE" w:rsidP="00A07A09">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4274BE" w:rsidRPr="00A07A09" w:rsidRDefault="004274BE" w:rsidP="00A07A09">
            <w:pPr>
              <w:ind w:left="0"/>
              <w:jc w:val="center"/>
              <w:rPr>
                <w:rFonts w:ascii="Bookman Old Style" w:hAnsi="Bookman Old Style"/>
                <w:b/>
                <w:bCs/>
                <w:color w:val="000000"/>
                <w:sz w:val="18"/>
                <w:szCs w:val="18"/>
                <w:lang w:eastAsia="es-CO"/>
              </w:rPr>
            </w:pPr>
            <w:r w:rsidRPr="00A07A09">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4274BE" w:rsidRPr="00C139AB" w:rsidRDefault="004274BE" w:rsidP="00A07A09">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Capacidad de compra</w:t>
            </w:r>
            <w:r>
              <w:rPr>
                <w:rFonts w:ascii="Bookman Old Style" w:hAnsi="Bookman Old Style"/>
                <w:b/>
                <w:bCs/>
                <w:color w:val="000000"/>
                <w:sz w:val="18"/>
                <w:szCs w:val="18"/>
                <w:lang w:eastAsia="es-CO"/>
              </w:rPr>
              <w:t xml:space="preserve">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4274BE" w:rsidRPr="00FB4BC2" w:rsidTr="00A07A09">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4BE" w:rsidRPr="00E16D13" w:rsidRDefault="00BE32F9" w:rsidP="00A07A09">
            <w:pPr>
              <w:ind w:left="0"/>
              <w:rPr>
                <w:rFonts w:ascii="Bookman Old Style" w:hAnsi="Bookman Old Style"/>
                <w:sz w:val="18"/>
                <w:szCs w:val="18"/>
              </w:rPr>
            </w:pPr>
            <w:r>
              <w:rPr>
                <w:rFonts w:ascii="Bookman Old Style" w:hAnsi="Bookman Old Style"/>
                <w:sz w:val="18"/>
                <w:szCs w:val="18"/>
              </w:rPr>
              <w:t>24860</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4274BE" w:rsidRPr="009A6D21" w:rsidRDefault="00BE32F9" w:rsidP="00A07A09">
            <w:pPr>
              <w:ind w:left="0"/>
              <w:rPr>
                <w:rFonts w:ascii="Bookman Old Style" w:hAnsi="Bookman Old Style"/>
                <w:sz w:val="18"/>
                <w:szCs w:val="18"/>
                <w:lang w:val="en-US"/>
              </w:rPr>
            </w:pPr>
            <w:r w:rsidRPr="009A6D21">
              <w:rPr>
                <w:rFonts w:ascii="Bookman Old Style" w:hAnsi="Bookman Old Style"/>
                <w:sz w:val="18"/>
                <w:szCs w:val="18"/>
                <w:lang w:val="en-US"/>
              </w:rPr>
              <w:t>FEDEGAS S.A.S.</w:t>
            </w:r>
            <w:r w:rsidR="004274BE" w:rsidRPr="009A6D21">
              <w:rPr>
                <w:rFonts w:ascii="Bookman Old Style" w:hAnsi="Bookman Old Style"/>
                <w:sz w:val="18"/>
                <w:szCs w:val="18"/>
                <w:lang w:val="en-US"/>
              </w:rPr>
              <w:t xml:space="preserve">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4274BE" w:rsidRPr="00E16D13" w:rsidRDefault="00A07A09" w:rsidP="00A07A09">
            <w:pPr>
              <w:ind w:left="0"/>
              <w:rPr>
                <w:rFonts w:ascii="Bookman Old Style" w:hAnsi="Bookman Old Style"/>
                <w:sz w:val="18"/>
                <w:szCs w:val="18"/>
              </w:rPr>
            </w:pPr>
            <w:r>
              <w:rPr>
                <w:rFonts w:ascii="Bookman Old Style" w:hAnsi="Bookman Old Style"/>
                <w:sz w:val="18"/>
                <w:szCs w:val="18"/>
              </w:rPr>
              <w:t>890.181</w:t>
            </w:r>
          </w:p>
        </w:tc>
      </w:tr>
    </w:tbl>
    <w:p w:rsidR="004274BE" w:rsidRDefault="004274BE" w:rsidP="004274BE">
      <w:pPr>
        <w:tabs>
          <w:tab w:val="right" w:pos="9498"/>
        </w:tabs>
        <w:ind w:left="0" w:right="-142"/>
        <w:jc w:val="both"/>
        <w:rPr>
          <w:rFonts w:ascii="Bookman Old Style" w:hAnsi="Bookman Old Style" w:cs="Arial"/>
          <w:b/>
          <w:bCs/>
          <w:color w:val="666666"/>
          <w:sz w:val="27"/>
          <w:szCs w:val="27"/>
          <w:lang w:val="es-CO" w:eastAsia="es-CO"/>
        </w:rPr>
      </w:pPr>
    </w:p>
    <w:p w:rsidR="004274BE" w:rsidRDefault="004274BE" w:rsidP="004274BE">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2.</w:t>
      </w:r>
      <w:r>
        <w:rPr>
          <w:rFonts w:ascii="Bookman Old Style" w:hAnsi="Bookman Old Style"/>
          <w:szCs w:val="27"/>
        </w:rPr>
        <w:t xml:space="preserve"> Modificar el Anexo de la </w:t>
      </w:r>
      <w:r w:rsidRPr="00E16D13">
        <w:rPr>
          <w:rFonts w:ascii="Bookman Old Style" w:hAnsi="Bookman Old Style"/>
          <w:szCs w:val="27"/>
        </w:rPr>
        <w:t>Resolución CREG 075 de 2016 de la siguiente forma:</w:t>
      </w:r>
    </w:p>
    <w:p w:rsidR="004274BE" w:rsidRDefault="004274BE" w:rsidP="004274BE">
      <w:pPr>
        <w:pStyle w:val="Textoindependiente2"/>
        <w:spacing w:after="0" w:line="240" w:lineRule="auto"/>
        <w:ind w:left="-142" w:right="-142"/>
        <w:jc w:val="both"/>
        <w:rPr>
          <w:rFonts w:ascii="Bookman Old Style" w:hAnsi="Bookman Old Style"/>
          <w:szCs w:val="27"/>
        </w:rPr>
      </w:pPr>
    </w:p>
    <w:p w:rsidR="00A07A09" w:rsidRPr="00CD74B5" w:rsidRDefault="00A07A09" w:rsidP="00A07A09">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A07A09" w:rsidRDefault="00A07A09" w:rsidP="00A07A09">
      <w:pPr>
        <w:jc w:val="both"/>
        <w:rPr>
          <w:rFonts w:ascii="Bookman Old Style" w:hAnsi="Bookman Old Style"/>
        </w:rPr>
      </w:pPr>
    </w:p>
    <w:p w:rsidR="00A07A09" w:rsidRDefault="00A07A09" w:rsidP="00A07A09">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A07A09" w:rsidRDefault="00A07A09" w:rsidP="00A07A09">
      <w:pPr>
        <w:jc w:val="both"/>
        <w:rPr>
          <w:rFonts w:ascii="Bookman Old Style" w:hAnsi="Bookman Old Style"/>
        </w:rPr>
      </w:pPr>
    </w:p>
    <w:p w:rsidR="00A07A09" w:rsidRDefault="00A07A09" w:rsidP="00A07A09">
      <w:pPr>
        <w:pStyle w:val="Prrafodelista"/>
        <w:numPr>
          <w:ilvl w:val="0"/>
          <w:numId w:val="46"/>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A07A09">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A07A09" w:rsidRPr="001C513B" w:rsidRDefault="00A07A09" w:rsidP="00A07A09">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A07A09" w:rsidRPr="00CF4873" w:rsidTr="00A167F8">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A07A09" w:rsidRPr="00313D63" w:rsidRDefault="00A07A09" w:rsidP="00A07A09">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A07A09" w:rsidRPr="00A07A09" w:rsidRDefault="00A07A09" w:rsidP="00A07A09">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A07A09" w:rsidRPr="00CF4873" w:rsidTr="00A167F8">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A07A09" w:rsidRPr="0093479E" w:rsidRDefault="00A07A09" w:rsidP="00A07A09">
            <w:pPr>
              <w:ind w:left="0"/>
              <w:jc w:val="center"/>
              <w:rPr>
                <w:rFonts w:ascii="Bookman Old Style" w:hAnsi="Bookman Old Style"/>
                <w:color w:val="000000"/>
                <w:sz w:val="18"/>
                <w:szCs w:val="20"/>
              </w:rPr>
            </w:pPr>
            <w:r>
              <w:rPr>
                <w:rFonts w:ascii="Bookman Old Style" w:hAnsi="Bookman Old Style"/>
                <w:color w:val="000000"/>
                <w:sz w:val="18"/>
                <w:szCs w:val="20"/>
              </w:rPr>
              <w:t>24860</w:t>
            </w:r>
          </w:p>
        </w:tc>
        <w:tc>
          <w:tcPr>
            <w:tcW w:w="868"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sidRPr="00211461">
              <w:rPr>
                <w:rFonts w:ascii="Bookman Old Style" w:hAnsi="Bookman Old Style"/>
                <w:color w:val="000000"/>
                <w:sz w:val="18"/>
                <w:szCs w:val="18"/>
              </w:rPr>
              <w:t>NR*</w:t>
            </w:r>
          </w:p>
        </w:tc>
        <w:tc>
          <w:tcPr>
            <w:tcW w:w="688"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Pr>
                <w:rFonts w:ascii="Bookman Old Style" w:hAnsi="Bookman Old Style"/>
                <w:color w:val="000000"/>
                <w:sz w:val="18"/>
                <w:szCs w:val="18"/>
              </w:rPr>
              <w:t>1.375</w:t>
            </w:r>
          </w:p>
        </w:tc>
        <w:tc>
          <w:tcPr>
            <w:tcW w:w="868"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Pr>
                <w:rFonts w:ascii="Bookman Old Style" w:hAnsi="Bookman Old Style"/>
                <w:color w:val="000000"/>
                <w:sz w:val="18"/>
                <w:szCs w:val="18"/>
              </w:rPr>
              <w:t>1.008</w:t>
            </w:r>
          </w:p>
        </w:tc>
        <w:tc>
          <w:tcPr>
            <w:tcW w:w="704"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sidRPr="00211461">
              <w:rPr>
                <w:rFonts w:ascii="Bookman Old Style" w:hAnsi="Bookman Old Style"/>
                <w:color w:val="000000"/>
                <w:sz w:val="18"/>
                <w:szCs w:val="18"/>
              </w:rPr>
              <w:t>NR*</w:t>
            </w:r>
          </w:p>
        </w:tc>
        <w:tc>
          <w:tcPr>
            <w:tcW w:w="1037"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Pr>
                <w:rFonts w:ascii="Bookman Old Style" w:hAnsi="Bookman Old Style"/>
                <w:color w:val="000000"/>
                <w:sz w:val="18"/>
                <w:szCs w:val="18"/>
              </w:rPr>
              <w:t>2.383</w:t>
            </w:r>
          </w:p>
        </w:tc>
        <w:tc>
          <w:tcPr>
            <w:tcW w:w="1266" w:type="dxa"/>
            <w:tcBorders>
              <w:top w:val="nil"/>
              <w:left w:val="nil"/>
              <w:bottom w:val="single" w:sz="4" w:space="0" w:color="auto"/>
              <w:right w:val="single" w:sz="4" w:space="0" w:color="auto"/>
            </w:tcBorders>
            <w:shd w:val="clear" w:color="auto" w:fill="auto"/>
            <w:noWrap/>
          </w:tcPr>
          <w:p w:rsidR="00A07A09" w:rsidRDefault="00A07A09" w:rsidP="00A07A09">
            <w:pPr>
              <w:ind w:left="0"/>
              <w:jc w:val="center"/>
            </w:pPr>
            <w:r>
              <w:rPr>
                <w:rFonts w:ascii="Bookman Old Style" w:hAnsi="Bookman Old Style"/>
                <w:color w:val="000000"/>
                <w:sz w:val="18"/>
                <w:szCs w:val="18"/>
              </w:rPr>
              <w:t>233.433</w:t>
            </w:r>
          </w:p>
        </w:tc>
      </w:tr>
    </w:tbl>
    <w:p w:rsidR="00A07A09" w:rsidRDefault="00A07A09" w:rsidP="00A07A09">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A07A09" w:rsidRDefault="00A07A09" w:rsidP="00A07A09">
      <w:pPr>
        <w:jc w:val="center"/>
        <w:rPr>
          <w:rFonts w:ascii="Bookman Old Style" w:hAnsi="Bookman Old Style"/>
        </w:rPr>
      </w:pPr>
    </w:p>
    <w:p w:rsidR="00A07A09" w:rsidRPr="00F610C8" w:rsidRDefault="00A07A09" w:rsidP="00A07A09">
      <w:pPr>
        <w:pStyle w:val="Prrafodelista"/>
        <w:numPr>
          <w:ilvl w:val="0"/>
          <w:numId w:val="46"/>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A07A09">
        <w:rPr>
          <w:rFonts w:ascii="Bookman Old Style" w:hAnsi="Bookman Old Style"/>
          <w:iCs/>
          <w:sz w:val="24"/>
          <w:szCs w:val="24"/>
        </w:rPr>
        <w:t xml:space="preserve">, a continuación se muestra el conteo de cilindros por código de presentación para cada uno de los códigos SUI de las empresas. </w:t>
      </w:r>
    </w:p>
    <w:p w:rsidR="00F610C8" w:rsidRPr="002E47EE" w:rsidRDefault="00F610C8" w:rsidP="00F610C8">
      <w:pPr>
        <w:pStyle w:val="Prrafodelista"/>
        <w:ind w:left="720"/>
        <w:contextualSpacing/>
        <w:jc w:val="both"/>
        <w:rPr>
          <w:rFonts w:ascii="Bookman Old Style" w:hAnsi="Bookman Old Style"/>
          <w:sz w:val="24"/>
          <w:szCs w:val="24"/>
        </w:rPr>
      </w:pPr>
    </w:p>
    <w:tbl>
      <w:tblPr>
        <w:tblStyle w:val="Tablaconcuadrcula"/>
        <w:tblW w:w="0" w:type="auto"/>
        <w:jc w:val="center"/>
        <w:tblLook w:val="04A0" w:firstRow="1" w:lastRow="0" w:firstColumn="1" w:lastColumn="0" w:noHBand="0" w:noVBand="1"/>
      </w:tblPr>
      <w:tblGrid>
        <w:gridCol w:w="1413"/>
        <w:gridCol w:w="1417"/>
      </w:tblGrid>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sz w:val="18"/>
                <w:szCs w:val="18"/>
              </w:rPr>
            </w:pPr>
            <w:r w:rsidRPr="00060097">
              <w:rPr>
                <w:rFonts w:ascii="Bookman Old Style" w:hAnsi="Bookman Old Style"/>
                <w:b/>
                <w:sz w:val="18"/>
                <w:szCs w:val="18"/>
              </w:rPr>
              <w:t>Código SUI</w:t>
            </w:r>
          </w:p>
        </w:tc>
        <w:tc>
          <w:tcPr>
            <w:tcW w:w="1417" w:type="dxa"/>
            <w:vAlign w:val="center"/>
          </w:tcPr>
          <w:p w:rsidR="00A07A09" w:rsidRPr="00216D63" w:rsidRDefault="00A07A09" w:rsidP="00A07A09">
            <w:pPr>
              <w:ind w:left="52"/>
              <w:jc w:val="center"/>
              <w:rPr>
                <w:rFonts w:ascii="Bookman Old Style" w:hAnsi="Bookman Old Style"/>
                <w:b/>
                <w:sz w:val="18"/>
                <w:szCs w:val="18"/>
              </w:rPr>
            </w:pPr>
            <w:r>
              <w:rPr>
                <w:rFonts w:ascii="Bookman Old Style" w:hAnsi="Bookman Old Style"/>
                <w:b/>
                <w:sz w:val="18"/>
                <w:szCs w:val="18"/>
              </w:rPr>
              <w:t>24860</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szCs w:val="18"/>
              </w:rPr>
              <w:t>19</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szCs w:val="18"/>
              </w:rPr>
              <w:t>31</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szCs w:val="18"/>
              </w:rPr>
              <w:t>571</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szCs w:val="18"/>
              </w:rPr>
              <w:t>20.410</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rPr>
              <w:t>NR</w:t>
            </w:r>
            <w:r w:rsidRPr="002B4873">
              <w:rPr>
                <w:rFonts w:ascii="Bookman Old Style" w:hAnsi="Bookman Old Style"/>
                <w:sz w:val="18"/>
              </w:rPr>
              <w:t>*</w:t>
            </w:r>
          </w:p>
        </w:tc>
      </w:tr>
      <w:tr w:rsidR="00A07A09" w:rsidRPr="00060097" w:rsidTr="00A07A09">
        <w:trPr>
          <w:trHeight w:val="443"/>
          <w:jc w:val="center"/>
        </w:trPr>
        <w:tc>
          <w:tcPr>
            <w:tcW w:w="1413" w:type="dxa"/>
            <w:vAlign w:val="center"/>
          </w:tcPr>
          <w:p w:rsidR="00A07A09" w:rsidRPr="00060097" w:rsidRDefault="00A07A09" w:rsidP="00A07A09">
            <w:pPr>
              <w:ind w:left="52"/>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szCs w:val="18"/>
              </w:rPr>
              <w:t>21.031</w:t>
            </w:r>
          </w:p>
        </w:tc>
      </w:tr>
      <w:tr w:rsidR="00A07A09" w:rsidRPr="00060097" w:rsidTr="00A07A09">
        <w:trPr>
          <w:trHeight w:val="443"/>
          <w:jc w:val="center"/>
        </w:trPr>
        <w:tc>
          <w:tcPr>
            <w:tcW w:w="1413" w:type="dxa"/>
            <w:vAlign w:val="center"/>
          </w:tcPr>
          <w:p w:rsidR="00A07A09" w:rsidRPr="00A07A09" w:rsidRDefault="00A07A09" w:rsidP="00A07A09">
            <w:pPr>
              <w:ind w:left="52"/>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417" w:type="dxa"/>
            <w:vAlign w:val="center"/>
          </w:tcPr>
          <w:p w:rsidR="00A07A09" w:rsidRPr="00060097" w:rsidRDefault="00A07A09" w:rsidP="00A07A09">
            <w:pPr>
              <w:ind w:left="52"/>
              <w:jc w:val="center"/>
              <w:rPr>
                <w:rFonts w:ascii="Bookman Old Style" w:hAnsi="Bookman Old Style"/>
                <w:sz w:val="18"/>
                <w:szCs w:val="18"/>
              </w:rPr>
            </w:pPr>
            <w:r>
              <w:rPr>
                <w:rFonts w:ascii="Bookman Old Style" w:hAnsi="Bookman Old Style"/>
                <w:sz w:val="18"/>
                <w:szCs w:val="18"/>
              </w:rPr>
              <w:t>2.257.914</w:t>
            </w:r>
          </w:p>
        </w:tc>
      </w:tr>
    </w:tbl>
    <w:p w:rsidR="00A07A09" w:rsidRPr="00074962" w:rsidRDefault="00A07A09" w:rsidP="00A07A09">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A07A09" w:rsidRDefault="00A07A09" w:rsidP="00A07A09">
      <w:pPr>
        <w:jc w:val="center"/>
        <w:rPr>
          <w:rFonts w:ascii="Bookman Old Style" w:hAnsi="Bookman Old Style"/>
          <w:sz w:val="18"/>
        </w:rPr>
      </w:pPr>
    </w:p>
    <w:p w:rsidR="00A07A09" w:rsidRPr="00A07A09" w:rsidRDefault="00A07A09" w:rsidP="00A07A09">
      <w:pPr>
        <w:pStyle w:val="Prrafodelista"/>
        <w:numPr>
          <w:ilvl w:val="0"/>
          <w:numId w:val="46"/>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A07A09">
        <w:rPr>
          <w:rFonts w:ascii="Bookman Old Style" w:hAnsi="Bookman Old Style"/>
          <w:iCs/>
          <w:sz w:val="24"/>
          <w:szCs w:val="24"/>
        </w:rPr>
        <w:t xml:space="preserve">, a continuación se muestra el conteo de cilindros por código de presentación para cada uno de los códigos SUI de las empresas. </w:t>
      </w:r>
    </w:p>
    <w:p w:rsidR="00A07A09" w:rsidRPr="0089470C" w:rsidRDefault="00A07A09" w:rsidP="00A07A09">
      <w:pPr>
        <w:pStyle w:val="Prrafodelista"/>
        <w:ind w:left="720"/>
        <w:jc w:val="both"/>
        <w:rPr>
          <w:rFonts w:ascii="Bookman Old Style" w:hAnsi="Bookman Old Style"/>
          <w:sz w:val="24"/>
          <w:szCs w:val="24"/>
        </w:rPr>
      </w:pPr>
    </w:p>
    <w:tbl>
      <w:tblPr>
        <w:tblW w:w="6001" w:type="dxa"/>
        <w:jc w:val="center"/>
        <w:tblCellMar>
          <w:left w:w="70" w:type="dxa"/>
          <w:right w:w="70" w:type="dxa"/>
        </w:tblCellMar>
        <w:tblLook w:val="04A0" w:firstRow="1" w:lastRow="0" w:firstColumn="1" w:lastColumn="0" w:noHBand="0" w:noVBand="1"/>
      </w:tblPr>
      <w:tblGrid>
        <w:gridCol w:w="1420"/>
        <w:gridCol w:w="1660"/>
        <w:gridCol w:w="1704"/>
        <w:gridCol w:w="1704"/>
      </w:tblGrid>
      <w:tr w:rsidR="00A07A09" w:rsidRPr="00074962" w:rsidTr="00A167F8">
        <w:trPr>
          <w:trHeight w:val="405"/>
          <w:tblHeader/>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A09" w:rsidRPr="00074962" w:rsidRDefault="00A07A09" w:rsidP="00A167F8">
            <w:pPr>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07A09" w:rsidRPr="00A07A09" w:rsidRDefault="00A07A09" w:rsidP="00A167F8">
            <w:pPr>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A07A09" w:rsidRPr="00A07A09" w:rsidRDefault="00A07A09" w:rsidP="00A167F8">
            <w:pPr>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A07A09" w:rsidRPr="00A07A09" w:rsidRDefault="00A07A09" w:rsidP="00A167F8">
            <w:pPr>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A07A09" w:rsidRPr="00074962" w:rsidTr="00A167F8">
        <w:trPr>
          <w:trHeight w:val="311"/>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A09" w:rsidRPr="0093479E" w:rsidRDefault="00A07A09" w:rsidP="00A167F8">
            <w:pPr>
              <w:jc w:val="center"/>
              <w:rPr>
                <w:rFonts w:ascii="Bookman Old Style" w:hAnsi="Bookman Old Style"/>
                <w:color w:val="000000"/>
                <w:sz w:val="18"/>
                <w:szCs w:val="20"/>
              </w:rPr>
            </w:pPr>
            <w:r>
              <w:rPr>
                <w:rFonts w:ascii="Bookman Old Style" w:hAnsi="Bookman Old Style"/>
                <w:color w:val="000000"/>
                <w:sz w:val="18"/>
                <w:szCs w:val="20"/>
              </w:rPr>
              <w:t>24860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07A09" w:rsidRDefault="00A07A09" w:rsidP="00A167F8">
            <w:pPr>
              <w:jc w:val="center"/>
            </w:pPr>
            <w:r>
              <w:rPr>
                <w:rFonts w:ascii="Bookman Old Style" w:hAnsi="Bookman Old Style"/>
                <w:color w:val="000000"/>
                <w:sz w:val="20"/>
                <w:szCs w:val="20"/>
              </w:rPr>
              <w:t>233.433</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A07A09" w:rsidRDefault="00A07A09" w:rsidP="00A167F8">
            <w:pPr>
              <w:jc w:val="center"/>
            </w:pPr>
            <w:r>
              <w:rPr>
                <w:rFonts w:ascii="Bookman Old Style" w:hAnsi="Bookman Old Style"/>
                <w:color w:val="000000"/>
                <w:sz w:val="20"/>
                <w:szCs w:val="20"/>
              </w:rPr>
              <w:t>2.257.914</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A07A09" w:rsidRDefault="00A07A09" w:rsidP="00A167F8">
            <w:pPr>
              <w:jc w:val="center"/>
            </w:pPr>
            <w:r>
              <w:rPr>
                <w:rFonts w:ascii="Bookman Old Style" w:hAnsi="Bookman Old Style"/>
                <w:color w:val="000000"/>
                <w:sz w:val="20"/>
                <w:szCs w:val="20"/>
              </w:rPr>
              <w:t>2.491.347</w:t>
            </w:r>
          </w:p>
        </w:tc>
      </w:tr>
    </w:tbl>
    <w:p w:rsidR="00A07A09" w:rsidRPr="00074962" w:rsidRDefault="00A07A09" w:rsidP="00A07A09">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A07A09" w:rsidRDefault="00A07A09" w:rsidP="00A07A09">
      <w:pPr>
        <w:rPr>
          <w:rFonts w:ascii="Bookman Old Style" w:hAnsi="Bookman Old Style"/>
        </w:rPr>
      </w:pPr>
    </w:p>
    <w:p w:rsidR="00A07A09" w:rsidRPr="009A6D21" w:rsidRDefault="00A07A09" w:rsidP="00A07A09">
      <w:pPr>
        <w:pStyle w:val="Prrafodelista"/>
        <w:numPr>
          <w:ilvl w:val="0"/>
          <w:numId w:val="46"/>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A07A09">
        <w:rPr>
          <w:rFonts w:ascii="Bookman Old Style" w:hAnsi="Bookman Old Style"/>
          <w:iCs/>
          <w:sz w:val="24"/>
          <w:szCs w:val="24"/>
        </w:rPr>
        <w:t xml:space="preserve">, a continuación se muestra el conteo de cilindros por código de presentación para cada uno de los códigos SUI de las empresas. </w:t>
      </w:r>
    </w:p>
    <w:p w:rsidR="009A6D21" w:rsidRPr="004443F3" w:rsidRDefault="009A6D21" w:rsidP="009A6D21">
      <w:pPr>
        <w:pStyle w:val="Prrafodelista"/>
        <w:ind w:left="720"/>
        <w:contextualSpacing/>
        <w:jc w:val="both"/>
        <w:rPr>
          <w:rFonts w:ascii="Bookman Old Style" w:hAnsi="Bookman Old Style"/>
          <w:sz w:val="24"/>
          <w:szCs w:val="24"/>
        </w:rPr>
      </w:pPr>
    </w:p>
    <w:tbl>
      <w:tblPr>
        <w:tblW w:w="5799" w:type="dxa"/>
        <w:jc w:val="center"/>
        <w:tblCellMar>
          <w:left w:w="70" w:type="dxa"/>
          <w:right w:w="70" w:type="dxa"/>
        </w:tblCellMar>
        <w:tblLook w:val="04A0" w:firstRow="1" w:lastRow="0" w:firstColumn="1" w:lastColumn="0" w:noHBand="0" w:noVBand="1"/>
      </w:tblPr>
      <w:tblGrid>
        <w:gridCol w:w="1044"/>
        <w:gridCol w:w="1640"/>
        <w:gridCol w:w="1882"/>
        <w:gridCol w:w="1298"/>
      </w:tblGrid>
      <w:tr w:rsidR="00A07A09" w:rsidRPr="0056639C" w:rsidTr="00A167F8">
        <w:trPr>
          <w:trHeight w:val="791"/>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A09" w:rsidRPr="0056639C" w:rsidRDefault="00A07A09" w:rsidP="00A07A09">
            <w:pPr>
              <w:ind w:left="6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07A09" w:rsidRPr="0056639C" w:rsidRDefault="00A07A09" w:rsidP="00A07A09">
            <w:pPr>
              <w:ind w:left="6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(gl)</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A07A09" w:rsidRPr="0056639C" w:rsidRDefault="00A07A09" w:rsidP="00A07A09">
            <w:pPr>
              <w:ind w:left="6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A07A09" w:rsidRPr="0056639C" w:rsidRDefault="00A07A09" w:rsidP="00A07A09">
            <w:pPr>
              <w:ind w:left="65"/>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A07A09" w:rsidRPr="0056639C" w:rsidTr="00A167F8">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rsidR="00A07A09" w:rsidRPr="0093479E" w:rsidRDefault="00A07A09" w:rsidP="00A07A09">
            <w:pPr>
              <w:ind w:left="65"/>
              <w:jc w:val="center"/>
              <w:rPr>
                <w:rFonts w:ascii="Bookman Old Style" w:hAnsi="Bookman Old Style"/>
                <w:color w:val="000000"/>
                <w:sz w:val="18"/>
                <w:szCs w:val="20"/>
              </w:rPr>
            </w:pPr>
            <w:r>
              <w:rPr>
                <w:rFonts w:ascii="Bookman Old Style" w:hAnsi="Bookman Old Style"/>
                <w:color w:val="000000"/>
                <w:sz w:val="18"/>
                <w:szCs w:val="20"/>
              </w:rPr>
              <w:t>24860</w:t>
            </w:r>
          </w:p>
        </w:tc>
        <w:tc>
          <w:tcPr>
            <w:tcW w:w="1640" w:type="dxa"/>
            <w:tcBorders>
              <w:top w:val="nil"/>
              <w:left w:val="nil"/>
              <w:bottom w:val="single" w:sz="4" w:space="0" w:color="auto"/>
              <w:right w:val="single" w:sz="4" w:space="0" w:color="auto"/>
            </w:tcBorders>
            <w:shd w:val="clear" w:color="auto" w:fill="auto"/>
            <w:noWrap/>
            <w:vAlign w:val="center"/>
          </w:tcPr>
          <w:p w:rsidR="00A07A09" w:rsidRDefault="00A07A09" w:rsidP="00A07A09">
            <w:pPr>
              <w:ind w:left="65"/>
              <w:jc w:val="center"/>
              <w:rPr>
                <w:rFonts w:ascii="Bookman Old Style" w:hAnsi="Bookman Old Style"/>
                <w:color w:val="000000"/>
                <w:sz w:val="20"/>
                <w:szCs w:val="20"/>
              </w:rPr>
            </w:pPr>
            <w:r>
              <w:rPr>
                <w:rFonts w:ascii="Bookman Old Style" w:hAnsi="Bookman Old Style"/>
                <w:color w:val="000000"/>
                <w:sz w:val="20"/>
                <w:szCs w:val="20"/>
              </w:rPr>
              <w:t>35.500</w:t>
            </w:r>
          </w:p>
        </w:tc>
        <w:tc>
          <w:tcPr>
            <w:tcW w:w="1882" w:type="dxa"/>
            <w:tcBorders>
              <w:top w:val="nil"/>
              <w:left w:val="nil"/>
              <w:bottom w:val="single" w:sz="4" w:space="0" w:color="auto"/>
              <w:right w:val="single" w:sz="4" w:space="0" w:color="auto"/>
            </w:tcBorders>
            <w:shd w:val="clear" w:color="auto" w:fill="auto"/>
            <w:noWrap/>
            <w:vAlign w:val="center"/>
          </w:tcPr>
          <w:p w:rsidR="00A07A09" w:rsidRDefault="00A07A09" w:rsidP="00A07A09">
            <w:pPr>
              <w:ind w:left="65"/>
              <w:jc w:val="center"/>
              <w:rPr>
                <w:rFonts w:ascii="Bookman Old Style" w:hAnsi="Bookman Old Style"/>
                <w:color w:val="000000"/>
                <w:sz w:val="20"/>
                <w:szCs w:val="20"/>
              </w:rPr>
            </w:pPr>
            <w:r>
              <w:rPr>
                <w:rFonts w:ascii="Bookman Old Style" w:hAnsi="Bookman Old Style"/>
                <w:color w:val="000000"/>
                <w:sz w:val="20"/>
                <w:szCs w:val="20"/>
              </w:rPr>
              <w:t>1</w:t>
            </w:r>
          </w:p>
        </w:tc>
        <w:tc>
          <w:tcPr>
            <w:tcW w:w="1233" w:type="dxa"/>
            <w:tcBorders>
              <w:top w:val="nil"/>
              <w:left w:val="nil"/>
              <w:bottom w:val="single" w:sz="4" w:space="0" w:color="auto"/>
              <w:right w:val="single" w:sz="4" w:space="0" w:color="auto"/>
            </w:tcBorders>
            <w:shd w:val="clear" w:color="auto" w:fill="auto"/>
            <w:noWrap/>
            <w:vAlign w:val="center"/>
          </w:tcPr>
          <w:p w:rsidR="00A07A09" w:rsidRDefault="00A07A09" w:rsidP="00A07A09">
            <w:pPr>
              <w:ind w:left="65"/>
              <w:jc w:val="center"/>
              <w:rPr>
                <w:rFonts w:ascii="Bookman Old Style" w:hAnsi="Bookman Old Style"/>
                <w:color w:val="000000"/>
                <w:sz w:val="20"/>
                <w:szCs w:val="20"/>
              </w:rPr>
            </w:pPr>
            <w:r>
              <w:rPr>
                <w:rFonts w:ascii="Bookman Old Style" w:hAnsi="Bookman Old Style"/>
                <w:color w:val="000000"/>
                <w:sz w:val="20"/>
                <w:szCs w:val="20"/>
              </w:rPr>
              <w:t>447.300</w:t>
            </w:r>
          </w:p>
        </w:tc>
      </w:tr>
    </w:tbl>
    <w:p w:rsidR="00A07A09" w:rsidRDefault="00A07A09" w:rsidP="00A07A09">
      <w:pPr>
        <w:pStyle w:val="Prrafodelista"/>
        <w:jc w:val="both"/>
        <w:rPr>
          <w:rFonts w:ascii="Bookman Old Style" w:hAnsi="Bookman Old Style"/>
          <w:sz w:val="24"/>
          <w:szCs w:val="24"/>
        </w:rPr>
      </w:pPr>
    </w:p>
    <w:p w:rsidR="00A07A09" w:rsidRPr="004443F3" w:rsidRDefault="00A07A09" w:rsidP="00A07A09">
      <w:pPr>
        <w:pStyle w:val="Prrafodelista"/>
        <w:numPr>
          <w:ilvl w:val="0"/>
          <w:numId w:val="46"/>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A07A09">
        <w:rPr>
          <w:rFonts w:ascii="Bookman Old Style" w:hAnsi="Bookman Old Style"/>
          <w:iCs/>
          <w:sz w:val="24"/>
          <w:szCs w:val="24"/>
        </w:rPr>
        <w:t xml:space="preserve">, a continuación se muestra el conteo de cilindros por código de presentación para cada uno de los códigos SUI de las empresas. </w:t>
      </w:r>
    </w:p>
    <w:p w:rsidR="00A07A09" w:rsidRDefault="00A07A09" w:rsidP="00A07A09">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516"/>
      </w:tblGrid>
      <w:tr w:rsidR="00A07A09" w:rsidRPr="000768E2" w:rsidTr="00A07A09">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A09" w:rsidRPr="000768E2" w:rsidRDefault="00A07A09" w:rsidP="00A07A09">
            <w:pPr>
              <w:ind w:left="0"/>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07A09" w:rsidRPr="00A07A09" w:rsidRDefault="00A07A09" w:rsidP="00A07A09">
            <w:pPr>
              <w:ind w:left="0"/>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A07A09" w:rsidRPr="00A07A09" w:rsidRDefault="00A07A09" w:rsidP="00A07A09">
            <w:pPr>
              <w:ind w:left="0"/>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A07A09" w:rsidRPr="00A07A09" w:rsidRDefault="00A07A09" w:rsidP="00A07A09">
            <w:pPr>
              <w:ind w:left="0"/>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A07A09" w:rsidRPr="000768E2" w:rsidTr="00A07A09">
        <w:trPr>
          <w:trHeight w:val="22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A07A09" w:rsidRPr="0093479E" w:rsidRDefault="00A07A09" w:rsidP="00A07A09">
            <w:pPr>
              <w:ind w:left="-18"/>
              <w:jc w:val="center"/>
              <w:rPr>
                <w:rFonts w:ascii="Bookman Old Style" w:hAnsi="Bookman Old Style"/>
                <w:color w:val="000000"/>
                <w:sz w:val="18"/>
                <w:szCs w:val="20"/>
              </w:rPr>
            </w:pPr>
            <w:r>
              <w:rPr>
                <w:rFonts w:ascii="Bookman Old Style" w:hAnsi="Bookman Old Style"/>
                <w:color w:val="000000"/>
                <w:sz w:val="18"/>
                <w:szCs w:val="20"/>
              </w:rPr>
              <w:t>24860</w:t>
            </w:r>
          </w:p>
        </w:tc>
        <w:tc>
          <w:tcPr>
            <w:tcW w:w="1700" w:type="dxa"/>
            <w:tcBorders>
              <w:top w:val="nil"/>
              <w:left w:val="nil"/>
              <w:bottom w:val="single" w:sz="4" w:space="0" w:color="auto"/>
              <w:right w:val="single" w:sz="4" w:space="0" w:color="auto"/>
            </w:tcBorders>
            <w:shd w:val="clear" w:color="auto" w:fill="auto"/>
            <w:noWrap/>
            <w:vAlign w:val="center"/>
          </w:tcPr>
          <w:p w:rsidR="00A07A09" w:rsidRDefault="00A07A09" w:rsidP="00A07A09">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2.491.347</w:t>
            </w:r>
          </w:p>
        </w:tc>
        <w:tc>
          <w:tcPr>
            <w:tcW w:w="1704" w:type="dxa"/>
            <w:tcBorders>
              <w:top w:val="nil"/>
              <w:left w:val="nil"/>
              <w:bottom w:val="single" w:sz="4" w:space="0" w:color="auto"/>
              <w:right w:val="single" w:sz="4" w:space="0" w:color="auto"/>
            </w:tcBorders>
            <w:shd w:val="clear" w:color="auto" w:fill="auto"/>
            <w:noWrap/>
            <w:vAlign w:val="center"/>
          </w:tcPr>
          <w:p w:rsidR="00A07A09" w:rsidRDefault="00A07A09" w:rsidP="00A07A09">
            <w:pPr>
              <w:jc w:val="center"/>
              <w:rPr>
                <w:rFonts w:ascii="Bookman Old Style" w:hAnsi="Bookman Old Style"/>
                <w:color w:val="000000"/>
                <w:sz w:val="20"/>
                <w:szCs w:val="20"/>
              </w:rPr>
            </w:pPr>
            <w:r>
              <w:rPr>
                <w:rFonts w:ascii="Bookman Old Style" w:hAnsi="Bookman Old Style"/>
                <w:color w:val="000000"/>
                <w:sz w:val="20"/>
                <w:szCs w:val="20"/>
              </w:rPr>
              <w:t>447.300</w:t>
            </w:r>
          </w:p>
        </w:tc>
        <w:tc>
          <w:tcPr>
            <w:tcW w:w="1516" w:type="dxa"/>
            <w:tcBorders>
              <w:top w:val="nil"/>
              <w:left w:val="nil"/>
              <w:bottom w:val="single" w:sz="4" w:space="0" w:color="auto"/>
              <w:right w:val="single" w:sz="4" w:space="0" w:color="auto"/>
            </w:tcBorders>
            <w:shd w:val="clear" w:color="auto" w:fill="auto"/>
            <w:noWrap/>
            <w:vAlign w:val="center"/>
          </w:tcPr>
          <w:p w:rsidR="00A07A09" w:rsidRDefault="00A07A09" w:rsidP="00A07A09">
            <w:pPr>
              <w:jc w:val="center"/>
              <w:rPr>
                <w:rFonts w:ascii="Bookman Old Style" w:hAnsi="Bookman Old Style"/>
                <w:color w:val="000000"/>
                <w:sz w:val="20"/>
                <w:szCs w:val="20"/>
              </w:rPr>
            </w:pPr>
            <w:r>
              <w:rPr>
                <w:rFonts w:ascii="Bookman Old Style" w:hAnsi="Bookman Old Style"/>
                <w:color w:val="000000"/>
                <w:sz w:val="20"/>
                <w:szCs w:val="20"/>
              </w:rPr>
              <w:t>890.181</w:t>
            </w:r>
          </w:p>
        </w:tc>
      </w:tr>
    </w:tbl>
    <w:p w:rsidR="00A07A09" w:rsidRPr="002B4873" w:rsidRDefault="00A07A09" w:rsidP="00A07A09">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4274BE" w:rsidRDefault="004274BE" w:rsidP="004274BE">
      <w:pPr>
        <w:pStyle w:val="Textoindependiente2"/>
        <w:spacing w:after="0" w:line="240" w:lineRule="auto"/>
        <w:ind w:left="-142" w:right="-142"/>
        <w:jc w:val="both"/>
        <w:rPr>
          <w:rFonts w:ascii="Bookman Old Style" w:hAnsi="Bookman Old Style"/>
          <w:szCs w:val="27"/>
        </w:rPr>
      </w:pPr>
    </w:p>
    <w:p w:rsidR="004274BE" w:rsidRDefault="004274BE" w:rsidP="004274BE">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 xml:space="preserve">Artículo 3. </w:t>
      </w:r>
      <w:r>
        <w:rPr>
          <w:rFonts w:ascii="Bookman Old Style" w:hAnsi="Bookman Old Style"/>
          <w:szCs w:val="27"/>
        </w:rPr>
        <w:t>La presente r</w:t>
      </w:r>
      <w:r w:rsidRPr="003E59E7">
        <w:rPr>
          <w:rFonts w:ascii="Bookman Old Style" w:hAnsi="Bookman Old Style"/>
          <w:szCs w:val="27"/>
        </w:rPr>
        <w:t xml:space="preserve">esolución deberá notificarse a la empresa </w:t>
      </w:r>
      <w:r w:rsidR="00BE32F9">
        <w:rPr>
          <w:rFonts w:ascii="Bookman Old Style" w:hAnsi="Bookman Old Style"/>
          <w:szCs w:val="27"/>
        </w:rPr>
        <w:t>Fedegas S.A.S.</w:t>
      </w:r>
      <w:r>
        <w:rPr>
          <w:rFonts w:ascii="Bookman Old Style" w:hAnsi="Bookman Old Style"/>
          <w:szCs w:val="27"/>
        </w:rPr>
        <w:t xml:space="preserve"> E.S.P. </w:t>
      </w:r>
      <w:r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4274BE" w:rsidRDefault="004274BE" w:rsidP="004274BE">
      <w:pPr>
        <w:tabs>
          <w:tab w:val="right" w:pos="9498"/>
        </w:tabs>
        <w:ind w:left="0" w:right="-142"/>
        <w:rPr>
          <w:rFonts w:ascii="Bookman Old Style" w:hAnsi="Bookman Old Style" w:cs="Arial"/>
          <w:sz w:val="22"/>
        </w:rPr>
      </w:pPr>
    </w:p>
    <w:p w:rsidR="004274BE" w:rsidRPr="003234E2" w:rsidRDefault="004274BE" w:rsidP="004274BE">
      <w:pPr>
        <w:tabs>
          <w:tab w:val="right" w:pos="9498"/>
        </w:tabs>
        <w:ind w:left="0" w:right="-142"/>
        <w:rPr>
          <w:rFonts w:ascii="Bookman Old Style" w:hAnsi="Bookman Old Style" w:cs="Arial"/>
          <w:sz w:val="22"/>
        </w:rPr>
      </w:pPr>
    </w:p>
    <w:p w:rsidR="004274BE" w:rsidRPr="005023D3" w:rsidRDefault="004274BE" w:rsidP="004274BE">
      <w:pPr>
        <w:ind w:left="-181"/>
        <w:jc w:val="center"/>
        <w:rPr>
          <w:rFonts w:ascii="Bookman Old Style" w:hAnsi="Bookman Old Style" w:cs="Arial"/>
          <w:b/>
        </w:rPr>
      </w:pPr>
      <w:r>
        <w:rPr>
          <w:rFonts w:ascii="Bookman Old Style" w:hAnsi="Bookman Old Style" w:cs="Arial"/>
          <w:b/>
        </w:rPr>
        <w:t xml:space="preserve">     NOTIFÍQUESE </w:t>
      </w:r>
      <w:r w:rsidRPr="005023D3">
        <w:rPr>
          <w:rFonts w:ascii="Bookman Old Style" w:hAnsi="Bookman Old Style" w:cs="Arial"/>
          <w:b/>
        </w:rPr>
        <w:t>Y CÚMPLASE,</w:t>
      </w:r>
    </w:p>
    <w:p w:rsidR="004274BE" w:rsidRPr="003234E2" w:rsidRDefault="004274BE" w:rsidP="004274BE">
      <w:pPr>
        <w:ind w:left="0"/>
        <w:rPr>
          <w:rFonts w:ascii="Bookman Old Style" w:hAnsi="Bookman Old Style" w:cs="Arial"/>
          <w:sz w:val="20"/>
          <w:szCs w:val="20"/>
        </w:rPr>
      </w:pPr>
    </w:p>
    <w:p w:rsidR="004274BE" w:rsidRDefault="004274BE" w:rsidP="009A6D21">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9A6D21" w:rsidRPr="00A14C71" w:rsidTr="005D266B">
        <w:trPr>
          <w:tblCellSpacing w:w="0" w:type="dxa"/>
          <w:jc w:val="center"/>
        </w:trPr>
        <w:tc>
          <w:tcPr>
            <w:tcW w:w="5529" w:type="dxa"/>
            <w:hideMark/>
          </w:tcPr>
          <w:p w:rsidR="009A6D21" w:rsidRPr="00A14C71" w:rsidRDefault="009A6D21" w:rsidP="005D266B">
            <w:pPr>
              <w:ind w:left="0"/>
              <w:rPr>
                <w:rFonts w:ascii="Bookman Old Style" w:hAnsi="Bookman Old Style" w:cs="Arial"/>
                <w:b/>
                <w:spacing w:val="-3"/>
              </w:rPr>
            </w:pPr>
          </w:p>
          <w:p w:rsidR="009A6D21" w:rsidRPr="00A14C71" w:rsidRDefault="009A6D21" w:rsidP="005D266B">
            <w:pPr>
              <w:ind w:left="0"/>
              <w:rPr>
                <w:rFonts w:ascii="Bookman Old Style" w:hAnsi="Bookman Old Style" w:cs="Arial"/>
                <w:b/>
                <w:spacing w:val="-3"/>
              </w:rPr>
            </w:pPr>
          </w:p>
          <w:p w:rsidR="009A6D21" w:rsidRPr="00A14C71" w:rsidRDefault="009A6D21" w:rsidP="005D266B">
            <w:pPr>
              <w:ind w:left="0"/>
              <w:rPr>
                <w:rFonts w:ascii="Bookman Old Style" w:hAnsi="Bookman Old Style" w:cs="Arial"/>
                <w:b/>
                <w:spacing w:val="-3"/>
              </w:rPr>
            </w:pPr>
          </w:p>
          <w:p w:rsidR="009A6D21" w:rsidRPr="00A14C71" w:rsidRDefault="009A6D21" w:rsidP="005D266B">
            <w:pPr>
              <w:ind w:left="66"/>
              <w:jc w:val="center"/>
              <w:rPr>
                <w:rFonts w:ascii="Bookman Old Style" w:hAnsi="Bookman Old Style" w:cs="Arial"/>
                <w:b/>
                <w:spacing w:val="-3"/>
              </w:rPr>
            </w:pPr>
          </w:p>
          <w:p w:rsidR="009A6D21" w:rsidRPr="00A14C71" w:rsidRDefault="009A6D21"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9A6D21" w:rsidRPr="00A14C71" w:rsidRDefault="009A6D21" w:rsidP="005D266B">
            <w:pPr>
              <w:ind w:left="89"/>
              <w:jc w:val="center"/>
              <w:rPr>
                <w:rFonts w:ascii="Bookman Old Style" w:hAnsi="Bookman Old Style" w:cs="Arial"/>
                <w:b/>
                <w:spacing w:val="-3"/>
              </w:rPr>
            </w:pPr>
          </w:p>
          <w:p w:rsidR="009A6D21" w:rsidRPr="00A14C71" w:rsidRDefault="009A6D21" w:rsidP="005D266B">
            <w:pPr>
              <w:ind w:left="89"/>
              <w:jc w:val="center"/>
              <w:rPr>
                <w:rFonts w:ascii="Bookman Old Style" w:hAnsi="Bookman Old Style" w:cs="Arial"/>
                <w:b/>
                <w:spacing w:val="-3"/>
              </w:rPr>
            </w:pPr>
          </w:p>
          <w:p w:rsidR="009A6D21" w:rsidRPr="00A14C71" w:rsidRDefault="009A6D21" w:rsidP="005D266B">
            <w:pPr>
              <w:ind w:left="89"/>
              <w:jc w:val="center"/>
              <w:rPr>
                <w:rFonts w:ascii="Bookman Old Style" w:hAnsi="Bookman Old Style" w:cs="Arial"/>
                <w:b/>
                <w:spacing w:val="-3"/>
              </w:rPr>
            </w:pPr>
          </w:p>
          <w:p w:rsidR="009A6D21" w:rsidRPr="00A14C71" w:rsidRDefault="009A6D21" w:rsidP="005D266B">
            <w:pPr>
              <w:ind w:left="89"/>
              <w:jc w:val="center"/>
              <w:rPr>
                <w:rFonts w:ascii="Bookman Old Style" w:hAnsi="Bookman Old Style" w:cs="Arial"/>
                <w:b/>
                <w:spacing w:val="-3"/>
              </w:rPr>
            </w:pPr>
          </w:p>
          <w:p w:rsidR="009A6D21" w:rsidRPr="00A14C71" w:rsidRDefault="009A6D21"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9A6D21" w:rsidRPr="00A14C71" w:rsidTr="005D266B">
        <w:trPr>
          <w:tblCellSpacing w:w="0" w:type="dxa"/>
          <w:jc w:val="center"/>
        </w:trPr>
        <w:tc>
          <w:tcPr>
            <w:tcW w:w="5529" w:type="dxa"/>
            <w:hideMark/>
          </w:tcPr>
          <w:p w:rsidR="009A6D21" w:rsidRDefault="009A6D21"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F610C8" w:rsidRPr="00A14C71" w:rsidRDefault="00F610C8"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9A6D21" w:rsidRPr="00A14C71" w:rsidRDefault="009A6D21"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9A6D21" w:rsidRPr="00A14C71" w:rsidTr="005D266B">
        <w:trPr>
          <w:tblCellSpacing w:w="0" w:type="dxa"/>
          <w:jc w:val="center"/>
        </w:trPr>
        <w:tc>
          <w:tcPr>
            <w:tcW w:w="5529" w:type="dxa"/>
            <w:hideMark/>
          </w:tcPr>
          <w:p w:rsidR="009A6D21" w:rsidRPr="00A14C71" w:rsidRDefault="009A6D21"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9A6D21" w:rsidRPr="00A14C71" w:rsidRDefault="009A6D21" w:rsidP="005D266B">
            <w:pPr>
              <w:ind w:left="0"/>
              <w:jc w:val="center"/>
              <w:rPr>
                <w:rFonts w:ascii="Bookman Old Style" w:eastAsia="Arial Unicode MS" w:hAnsi="Bookman Old Style" w:cs="Arial"/>
                <w:color w:val="000000"/>
              </w:rPr>
            </w:pPr>
          </w:p>
        </w:tc>
      </w:tr>
    </w:tbl>
    <w:p w:rsidR="004274BE" w:rsidRDefault="004274BE" w:rsidP="004274BE">
      <w:pPr>
        <w:pStyle w:val="Textoindependiente2"/>
        <w:spacing w:after="0" w:line="240" w:lineRule="auto"/>
        <w:ind w:left="-142" w:right="-142"/>
        <w:jc w:val="both"/>
        <w:rPr>
          <w:rFonts w:ascii="Bookman Old Style" w:hAnsi="Bookman Old Style"/>
          <w:szCs w:val="27"/>
        </w:rPr>
      </w:pPr>
    </w:p>
    <w:p w:rsidR="004274BE" w:rsidRDefault="004274BE" w:rsidP="00F65EEC">
      <w:pPr>
        <w:pStyle w:val="Textoindependiente2"/>
        <w:spacing w:after="0" w:line="240" w:lineRule="auto"/>
        <w:ind w:left="0" w:right="-142"/>
        <w:jc w:val="both"/>
        <w:rPr>
          <w:rFonts w:ascii="Bookman Old Style" w:hAnsi="Bookman Old Style"/>
          <w:szCs w:val="27"/>
        </w:rPr>
      </w:pPr>
    </w:p>
    <w:p w:rsidR="004274BE" w:rsidRDefault="004274BE" w:rsidP="00F65EEC">
      <w:pPr>
        <w:pStyle w:val="Textoindependiente2"/>
        <w:spacing w:after="0" w:line="240" w:lineRule="auto"/>
        <w:ind w:left="0" w:right="-142"/>
        <w:jc w:val="both"/>
        <w:rPr>
          <w:rFonts w:ascii="Bookman Old Style" w:hAnsi="Bookman Old Style"/>
          <w:szCs w:val="27"/>
        </w:rPr>
      </w:pPr>
    </w:p>
    <w:sectPr w:rsidR="004274BE"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54C" w:rsidRDefault="00A6254C">
      <w:r>
        <w:separator/>
      </w:r>
    </w:p>
  </w:endnote>
  <w:endnote w:type="continuationSeparator" w:id="0">
    <w:p w:rsidR="00A6254C" w:rsidRDefault="00A6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54C" w:rsidRDefault="00A6254C">
      <w:r>
        <w:separator/>
      </w:r>
    </w:p>
  </w:footnote>
  <w:footnote w:type="continuationSeparator" w:id="0">
    <w:p w:rsidR="00A6254C" w:rsidRDefault="00A6254C">
      <w:r>
        <w:continuationSeparator/>
      </w:r>
    </w:p>
  </w:footnote>
  <w:footnote w:id="1">
    <w:p w:rsidR="00521029" w:rsidRPr="00EC3BB2" w:rsidRDefault="00521029"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521029" w:rsidRPr="00BD1622" w:rsidRDefault="00521029"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521029" w:rsidRPr="00FC2C01" w:rsidRDefault="00521029" w:rsidP="00BA05D2">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521029" w:rsidRPr="00FC2C01" w:rsidRDefault="00521029" w:rsidP="00BA05D2">
      <w:pPr>
        <w:pStyle w:val="Textonotapie"/>
        <w:jc w:val="both"/>
        <w:rPr>
          <w:rFonts w:ascii="Bookman Old Style" w:hAnsi="Bookman Old Style" w:cs="Arial"/>
          <w:sz w:val="16"/>
          <w:szCs w:val="16"/>
        </w:rPr>
      </w:pPr>
    </w:p>
    <w:p w:rsidR="00521029" w:rsidRPr="00CD67E2" w:rsidRDefault="00521029" w:rsidP="00BA05D2">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521029" w:rsidRPr="00FA7CDB" w:rsidRDefault="00521029" w:rsidP="00CD67E2">
      <w:pPr>
        <w:pStyle w:val="Textonotapie"/>
        <w:jc w:val="both"/>
        <w:rPr>
          <w:rFonts w:ascii="Bookman Old Style" w:hAnsi="Bookman Old Style" w:cs="Arial"/>
          <w:sz w:val="16"/>
          <w:szCs w:val="16"/>
        </w:rPr>
      </w:pPr>
    </w:p>
    <w:p w:rsidR="00521029" w:rsidRPr="00FA7CDB" w:rsidRDefault="00521029"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521029" w:rsidRPr="00FA7CDB" w:rsidRDefault="00521029"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521029" w:rsidRPr="00FA7CDB" w:rsidRDefault="00521029"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521029" w:rsidRPr="00FA7CDB" w:rsidRDefault="00521029"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521029" w:rsidRDefault="00521029"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4274BE" w:rsidRPr="00BB7AEA" w:rsidRDefault="004274BE" w:rsidP="004274BE">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29" w:rsidRDefault="00521029" w:rsidP="00951F79">
    <w:pPr>
      <w:pStyle w:val="Ttulo1"/>
      <w:ind w:right="6"/>
      <w:jc w:val="left"/>
      <w:rPr>
        <w:rFonts w:ascii="Bookman Old Style" w:hAnsi="Bookman Old Style" w:cs="Arial"/>
        <w:b w:val="0"/>
        <w:sz w:val="22"/>
        <w:szCs w:val="22"/>
      </w:rPr>
    </w:pPr>
  </w:p>
  <w:p w:rsidR="00521029" w:rsidRPr="00951F79" w:rsidRDefault="0052102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63267">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63267" w:rsidRPr="00B63267">
        <w:rPr>
          <w:rFonts w:ascii="Bookman Old Style" w:hAnsi="Bookman Old Style" w:cs="Arial"/>
          <w:b w:val="0"/>
          <w:noProof/>
          <w:sz w:val="22"/>
          <w:szCs w:val="22"/>
        </w:rPr>
        <w:t>14</w:t>
      </w:r>
    </w:fldSimple>
  </w:p>
  <w:p w:rsidR="00521029" w:rsidRDefault="00A07A0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42123"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521029" w:rsidRPr="00616D65" w:rsidRDefault="00521029"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B43C3D">
      <w:rPr>
        <w:rFonts w:ascii="Bookman Old Style" w:hAnsi="Bookman Old Style" w:cs="Arial"/>
        <w:sz w:val="22"/>
        <w:szCs w:val="22"/>
      </w:rPr>
      <w:t>Fedegas S.A.S.</w:t>
    </w:r>
    <w:r w:rsidR="00236883">
      <w:rPr>
        <w:rFonts w:ascii="Bookman Old Style" w:hAnsi="Bookman Old Style" w:cs="Arial"/>
        <w:sz w:val="22"/>
        <w:szCs w:val="22"/>
      </w:rPr>
      <w:t xml:space="preserve"> </w:t>
    </w:r>
    <w:r w:rsidRPr="00603DD8">
      <w:rPr>
        <w:rFonts w:ascii="Bookman Old Style" w:hAnsi="Bookman Old Style" w:cs="Arial"/>
        <w:sz w:val="22"/>
        <w:szCs w:val="22"/>
      </w:rPr>
      <w:t xml:space="preserve">E.S.P.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Pr="0081562F">
      <w:rPr>
        <w:rFonts w:ascii="Bookman Old Style" w:hAnsi="Bookman Old Style" w:cs="Arial"/>
        <w:sz w:val="22"/>
        <w:szCs w:val="22"/>
      </w:rPr>
      <w:t xml:space="preserve"> de 2016</w:t>
    </w:r>
  </w:p>
  <w:p w:rsidR="00521029" w:rsidRPr="00730C9E" w:rsidRDefault="00A07A09"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62A9C"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29" w:rsidRDefault="0052102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521029" w:rsidRDefault="00521029">
    <w:pPr>
      <w:pStyle w:val="Encabezado"/>
      <w:jc w:val="center"/>
      <w:rPr>
        <w:rFonts w:ascii="Arial" w:hAnsi="Arial" w:cs="Arial"/>
        <w:spacing w:val="20"/>
        <w:sz w:val="20"/>
      </w:rPr>
    </w:pPr>
  </w:p>
  <w:p w:rsidR="00521029" w:rsidRDefault="00A07A0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17185"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000009"/>
    <w:multiLevelType w:val="multilevel"/>
    <w:tmpl w:val="00000008"/>
    <w:lvl w:ilvl="0">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1.%1."/>
      <w:lvlJc w:val="left"/>
      <w:rPr>
        <w:rFonts w:ascii="Arial" w:hAnsi="Arial" w:cs="Arial"/>
        <w:b/>
        <w:bCs/>
        <w:i w:val="0"/>
        <w:iCs w:val="0"/>
        <w:smallCaps w:val="0"/>
        <w:strike w:val="0"/>
        <w:color w:val="000000"/>
        <w:spacing w:val="0"/>
        <w:w w:val="100"/>
        <w:position w:val="0"/>
        <w:sz w:val="18"/>
        <w:szCs w:val="18"/>
        <w:u w:val="none"/>
      </w:rPr>
    </w:lvl>
  </w:abstractNum>
  <w:abstractNum w:abstractNumId="2"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0603AA"/>
    <w:multiLevelType w:val="hybridMultilevel"/>
    <w:tmpl w:val="6336A47C"/>
    <w:lvl w:ilvl="0" w:tplc="19CCFD62">
      <w:start w:val="190"/>
      <w:numFmt w:val="bullet"/>
      <w:lvlText w:val="-"/>
      <w:lvlJc w:val="left"/>
      <w:pPr>
        <w:ind w:left="1004" w:hanging="360"/>
      </w:pPr>
      <w:rPr>
        <w:rFonts w:ascii="Bookman Old Style" w:eastAsia="Times New Roman" w:hAnsi="Bookman Old Style"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7632FF8"/>
    <w:multiLevelType w:val="multilevel"/>
    <w:tmpl w:val="F6303B04"/>
    <w:lvl w:ilvl="0">
      <w:start w:val="1"/>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1" w15:restartNumberingAfterBreak="0">
    <w:nsid w:val="3EC01567"/>
    <w:multiLevelType w:val="hybridMultilevel"/>
    <w:tmpl w:val="AC723F76"/>
    <w:lvl w:ilvl="0" w:tplc="1AC07D2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2"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4B532B"/>
    <w:multiLevelType w:val="hybridMultilevel"/>
    <w:tmpl w:val="89D2C1A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1604DB"/>
    <w:multiLevelType w:val="multilevel"/>
    <w:tmpl w:val="F9F4D0E4"/>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6"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9680EF2"/>
    <w:multiLevelType w:val="hybridMultilevel"/>
    <w:tmpl w:val="DDB860DC"/>
    <w:lvl w:ilvl="0" w:tplc="7BB08B6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8"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055A9F"/>
    <w:multiLevelType w:val="hybridMultilevel"/>
    <w:tmpl w:val="4C0A70D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43"/>
  </w:num>
  <w:num w:numId="4">
    <w:abstractNumId w:val="16"/>
  </w:num>
  <w:num w:numId="5">
    <w:abstractNumId w:val="30"/>
  </w:num>
  <w:num w:numId="6">
    <w:abstractNumId w:val="5"/>
  </w:num>
  <w:num w:numId="7">
    <w:abstractNumId w:val="4"/>
  </w:num>
  <w:num w:numId="8">
    <w:abstractNumId w:val="34"/>
  </w:num>
  <w:num w:numId="9">
    <w:abstractNumId w:val="32"/>
  </w:num>
  <w:num w:numId="10">
    <w:abstractNumId w:val="24"/>
  </w:num>
  <w:num w:numId="11">
    <w:abstractNumId w:val="44"/>
  </w:num>
  <w:num w:numId="12">
    <w:abstractNumId w:val="40"/>
  </w:num>
  <w:num w:numId="13">
    <w:abstractNumId w:val="19"/>
  </w:num>
  <w:num w:numId="14">
    <w:abstractNumId w:val="3"/>
  </w:num>
  <w:num w:numId="15">
    <w:abstractNumId w:val="25"/>
  </w:num>
  <w:num w:numId="16">
    <w:abstractNumId w:val="2"/>
  </w:num>
  <w:num w:numId="17">
    <w:abstractNumId w:val="41"/>
  </w:num>
  <w:num w:numId="18">
    <w:abstractNumId w:val="11"/>
  </w:num>
  <w:num w:numId="19">
    <w:abstractNumId w:val="26"/>
  </w:num>
  <w:num w:numId="20">
    <w:abstractNumId w:val="28"/>
  </w:num>
  <w:num w:numId="21">
    <w:abstractNumId w:val="39"/>
  </w:num>
  <w:num w:numId="22">
    <w:abstractNumId w:val="33"/>
  </w:num>
  <w:num w:numId="23">
    <w:abstractNumId w:val="38"/>
  </w:num>
  <w:num w:numId="24">
    <w:abstractNumId w:val="15"/>
  </w:num>
  <w:num w:numId="25">
    <w:abstractNumId w:val="12"/>
  </w:num>
  <w:num w:numId="26">
    <w:abstractNumId w:val="29"/>
  </w:num>
  <w:num w:numId="27">
    <w:abstractNumId w:val="9"/>
  </w:num>
  <w:num w:numId="28">
    <w:abstractNumId w:val="10"/>
  </w:num>
  <w:num w:numId="29">
    <w:abstractNumId w:val="18"/>
  </w:num>
  <w:num w:numId="30">
    <w:abstractNumId w:val="36"/>
  </w:num>
  <w:num w:numId="31">
    <w:abstractNumId w:val="14"/>
  </w:num>
  <w:num w:numId="32">
    <w:abstractNumId w:val="20"/>
  </w:num>
  <w:num w:numId="33">
    <w:abstractNumId w:val="35"/>
  </w:num>
  <w:num w:numId="34">
    <w:abstractNumId w:val="45"/>
  </w:num>
  <w:num w:numId="35">
    <w:abstractNumId w:val="6"/>
  </w:num>
  <w:num w:numId="36">
    <w:abstractNumId w:val="7"/>
  </w:num>
  <w:num w:numId="37">
    <w:abstractNumId w:val="0"/>
  </w:num>
  <w:num w:numId="38">
    <w:abstractNumId w:val="21"/>
  </w:num>
  <w:num w:numId="39">
    <w:abstractNumId w:val="13"/>
  </w:num>
  <w:num w:numId="40">
    <w:abstractNumId w:val="37"/>
  </w:num>
  <w:num w:numId="41">
    <w:abstractNumId w:val="27"/>
  </w:num>
  <w:num w:numId="42">
    <w:abstractNumId w:val="17"/>
  </w:num>
  <w:num w:numId="43">
    <w:abstractNumId w:val="31"/>
  </w:num>
  <w:num w:numId="44">
    <w:abstractNumId w:val="1"/>
  </w:num>
  <w:num w:numId="45">
    <w:abstractNumId w:val="4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034D"/>
    <w:rsid w:val="000337A6"/>
    <w:rsid w:val="00034816"/>
    <w:rsid w:val="00034C6F"/>
    <w:rsid w:val="00034F40"/>
    <w:rsid w:val="000432F7"/>
    <w:rsid w:val="00043EB9"/>
    <w:rsid w:val="0004674A"/>
    <w:rsid w:val="00050346"/>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121"/>
    <w:rsid w:val="00096E1F"/>
    <w:rsid w:val="00097013"/>
    <w:rsid w:val="000A061F"/>
    <w:rsid w:val="000A19AC"/>
    <w:rsid w:val="000A2705"/>
    <w:rsid w:val="000B03C2"/>
    <w:rsid w:val="000B20EA"/>
    <w:rsid w:val="000B27E6"/>
    <w:rsid w:val="000B48BF"/>
    <w:rsid w:val="000B4B19"/>
    <w:rsid w:val="000B52EA"/>
    <w:rsid w:val="000B667A"/>
    <w:rsid w:val="000C27EB"/>
    <w:rsid w:val="000C6FE5"/>
    <w:rsid w:val="000D22D4"/>
    <w:rsid w:val="000D26F8"/>
    <w:rsid w:val="000E01B8"/>
    <w:rsid w:val="000E312A"/>
    <w:rsid w:val="000E38F7"/>
    <w:rsid w:val="000E4A6C"/>
    <w:rsid w:val="000F1132"/>
    <w:rsid w:val="000F410B"/>
    <w:rsid w:val="000F5641"/>
    <w:rsid w:val="00100A80"/>
    <w:rsid w:val="00100EBA"/>
    <w:rsid w:val="00103ECB"/>
    <w:rsid w:val="0010707E"/>
    <w:rsid w:val="00111AE3"/>
    <w:rsid w:val="00112FAE"/>
    <w:rsid w:val="00113128"/>
    <w:rsid w:val="0011359D"/>
    <w:rsid w:val="00115E75"/>
    <w:rsid w:val="0011665A"/>
    <w:rsid w:val="00116953"/>
    <w:rsid w:val="001206A0"/>
    <w:rsid w:val="0012200E"/>
    <w:rsid w:val="00122C3D"/>
    <w:rsid w:val="00124295"/>
    <w:rsid w:val="00130821"/>
    <w:rsid w:val="00135474"/>
    <w:rsid w:val="0014017F"/>
    <w:rsid w:val="001405C6"/>
    <w:rsid w:val="00141013"/>
    <w:rsid w:val="00142085"/>
    <w:rsid w:val="00142711"/>
    <w:rsid w:val="00143C0C"/>
    <w:rsid w:val="0014428A"/>
    <w:rsid w:val="00144441"/>
    <w:rsid w:val="00151E8C"/>
    <w:rsid w:val="001635F2"/>
    <w:rsid w:val="0016590D"/>
    <w:rsid w:val="001670CB"/>
    <w:rsid w:val="00167993"/>
    <w:rsid w:val="001779AB"/>
    <w:rsid w:val="00177FE3"/>
    <w:rsid w:val="00182917"/>
    <w:rsid w:val="0018547A"/>
    <w:rsid w:val="00191FB9"/>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2A88"/>
    <w:rsid w:val="00214F04"/>
    <w:rsid w:val="00215B3E"/>
    <w:rsid w:val="00216767"/>
    <w:rsid w:val="00217BEC"/>
    <w:rsid w:val="002205E2"/>
    <w:rsid w:val="00221498"/>
    <w:rsid w:val="00221A27"/>
    <w:rsid w:val="00223B98"/>
    <w:rsid w:val="00226B1A"/>
    <w:rsid w:val="00233E7D"/>
    <w:rsid w:val="00236883"/>
    <w:rsid w:val="00240455"/>
    <w:rsid w:val="00241399"/>
    <w:rsid w:val="00241733"/>
    <w:rsid w:val="00241898"/>
    <w:rsid w:val="00241F57"/>
    <w:rsid w:val="00244B23"/>
    <w:rsid w:val="00244C3F"/>
    <w:rsid w:val="00246AA1"/>
    <w:rsid w:val="00246C1A"/>
    <w:rsid w:val="0025091B"/>
    <w:rsid w:val="002528AF"/>
    <w:rsid w:val="00253E07"/>
    <w:rsid w:val="002606C2"/>
    <w:rsid w:val="002606F0"/>
    <w:rsid w:val="00260CE3"/>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C5546"/>
    <w:rsid w:val="002D23DD"/>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530D"/>
    <w:rsid w:val="00316A9A"/>
    <w:rsid w:val="00317791"/>
    <w:rsid w:val="003211CE"/>
    <w:rsid w:val="003234E2"/>
    <w:rsid w:val="0032669A"/>
    <w:rsid w:val="00332B81"/>
    <w:rsid w:val="00332BE1"/>
    <w:rsid w:val="003330F3"/>
    <w:rsid w:val="00333DFB"/>
    <w:rsid w:val="00334A2B"/>
    <w:rsid w:val="00335916"/>
    <w:rsid w:val="00341341"/>
    <w:rsid w:val="00346E50"/>
    <w:rsid w:val="0035403A"/>
    <w:rsid w:val="003603A7"/>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54E5"/>
    <w:rsid w:val="003B6A60"/>
    <w:rsid w:val="003B769B"/>
    <w:rsid w:val="003C157F"/>
    <w:rsid w:val="003C1AEF"/>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6B33"/>
    <w:rsid w:val="00407E99"/>
    <w:rsid w:val="00412BB6"/>
    <w:rsid w:val="00415BAB"/>
    <w:rsid w:val="00415ED2"/>
    <w:rsid w:val="00417B3D"/>
    <w:rsid w:val="0042068C"/>
    <w:rsid w:val="00426523"/>
    <w:rsid w:val="004274BE"/>
    <w:rsid w:val="00433128"/>
    <w:rsid w:val="00435119"/>
    <w:rsid w:val="0044048C"/>
    <w:rsid w:val="00441C4E"/>
    <w:rsid w:val="00442915"/>
    <w:rsid w:val="00443C12"/>
    <w:rsid w:val="00443D9A"/>
    <w:rsid w:val="00444A03"/>
    <w:rsid w:val="004454DA"/>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8634C"/>
    <w:rsid w:val="00490647"/>
    <w:rsid w:val="00491E18"/>
    <w:rsid w:val="004926FE"/>
    <w:rsid w:val="00493726"/>
    <w:rsid w:val="00494422"/>
    <w:rsid w:val="00495A52"/>
    <w:rsid w:val="00496008"/>
    <w:rsid w:val="004960E9"/>
    <w:rsid w:val="004A2E88"/>
    <w:rsid w:val="004A5305"/>
    <w:rsid w:val="004A6EE1"/>
    <w:rsid w:val="004B0C00"/>
    <w:rsid w:val="004B78C1"/>
    <w:rsid w:val="004C0BFE"/>
    <w:rsid w:val="004C19C2"/>
    <w:rsid w:val="004C7BD8"/>
    <w:rsid w:val="004D19FA"/>
    <w:rsid w:val="004D1BE8"/>
    <w:rsid w:val="004D3045"/>
    <w:rsid w:val="004D378D"/>
    <w:rsid w:val="004D7634"/>
    <w:rsid w:val="004D7892"/>
    <w:rsid w:val="004E1536"/>
    <w:rsid w:val="004E198F"/>
    <w:rsid w:val="004E33F2"/>
    <w:rsid w:val="004F3744"/>
    <w:rsid w:val="004F3DBB"/>
    <w:rsid w:val="004F7D1F"/>
    <w:rsid w:val="0050015E"/>
    <w:rsid w:val="00503267"/>
    <w:rsid w:val="00510398"/>
    <w:rsid w:val="0051257C"/>
    <w:rsid w:val="00513865"/>
    <w:rsid w:val="00515932"/>
    <w:rsid w:val="00521029"/>
    <w:rsid w:val="00521349"/>
    <w:rsid w:val="005217A1"/>
    <w:rsid w:val="005300D3"/>
    <w:rsid w:val="00535B16"/>
    <w:rsid w:val="00536323"/>
    <w:rsid w:val="00540615"/>
    <w:rsid w:val="0054284F"/>
    <w:rsid w:val="00544F82"/>
    <w:rsid w:val="005457C2"/>
    <w:rsid w:val="00547183"/>
    <w:rsid w:val="005536C8"/>
    <w:rsid w:val="005544E8"/>
    <w:rsid w:val="00554FFF"/>
    <w:rsid w:val="00557C22"/>
    <w:rsid w:val="00567915"/>
    <w:rsid w:val="00573970"/>
    <w:rsid w:val="00573C98"/>
    <w:rsid w:val="005750EF"/>
    <w:rsid w:val="00575ABF"/>
    <w:rsid w:val="00581094"/>
    <w:rsid w:val="0058201E"/>
    <w:rsid w:val="005853B5"/>
    <w:rsid w:val="00593C4F"/>
    <w:rsid w:val="005946A8"/>
    <w:rsid w:val="00596B5A"/>
    <w:rsid w:val="00596EEA"/>
    <w:rsid w:val="00596EFA"/>
    <w:rsid w:val="005972F1"/>
    <w:rsid w:val="005A0D57"/>
    <w:rsid w:val="005A1309"/>
    <w:rsid w:val="005A4407"/>
    <w:rsid w:val="005A59EF"/>
    <w:rsid w:val="005A6E1A"/>
    <w:rsid w:val="005B1B14"/>
    <w:rsid w:val="005B47F5"/>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1F1B"/>
    <w:rsid w:val="00603DD8"/>
    <w:rsid w:val="00606FD6"/>
    <w:rsid w:val="00612CEA"/>
    <w:rsid w:val="00616D65"/>
    <w:rsid w:val="0062102E"/>
    <w:rsid w:val="00621590"/>
    <w:rsid w:val="006234BC"/>
    <w:rsid w:val="00625DC6"/>
    <w:rsid w:val="00630F5A"/>
    <w:rsid w:val="00631E8F"/>
    <w:rsid w:val="00635B0A"/>
    <w:rsid w:val="00640301"/>
    <w:rsid w:val="00640E4D"/>
    <w:rsid w:val="00642281"/>
    <w:rsid w:val="0064391D"/>
    <w:rsid w:val="0064486D"/>
    <w:rsid w:val="00645549"/>
    <w:rsid w:val="00647A97"/>
    <w:rsid w:val="00651821"/>
    <w:rsid w:val="00652F6D"/>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709E"/>
    <w:rsid w:val="006D3C10"/>
    <w:rsid w:val="006D3E42"/>
    <w:rsid w:val="006D5418"/>
    <w:rsid w:val="006D6139"/>
    <w:rsid w:val="006D79D9"/>
    <w:rsid w:val="006E6198"/>
    <w:rsid w:val="006E73A5"/>
    <w:rsid w:val="006E7E8B"/>
    <w:rsid w:val="006F02B8"/>
    <w:rsid w:val="006F193C"/>
    <w:rsid w:val="006F1D41"/>
    <w:rsid w:val="006F3BDC"/>
    <w:rsid w:val="006F586A"/>
    <w:rsid w:val="006F6D95"/>
    <w:rsid w:val="006F73FB"/>
    <w:rsid w:val="006F7765"/>
    <w:rsid w:val="00703722"/>
    <w:rsid w:val="00704759"/>
    <w:rsid w:val="00705E2A"/>
    <w:rsid w:val="00706F13"/>
    <w:rsid w:val="007072E8"/>
    <w:rsid w:val="00710289"/>
    <w:rsid w:val="0071618D"/>
    <w:rsid w:val="00717187"/>
    <w:rsid w:val="00720F3F"/>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3834"/>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246"/>
    <w:rsid w:val="007D195A"/>
    <w:rsid w:val="007D1EE9"/>
    <w:rsid w:val="007E1F80"/>
    <w:rsid w:val="007E3AB1"/>
    <w:rsid w:val="007F0732"/>
    <w:rsid w:val="007F278C"/>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3BEE"/>
    <w:rsid w:val="008348CB"/>
    <w:rsid w:val="00836006"/>
    <w:rsid w:val="008403F6"/>
    <w:rsid w:val="00850F85"/>
    <w:rsid w:val="00854C37"/>
    <w:rsid w:val="0085598C"/>
    <w:rsid w:val="00862B36"/>
    <w:rsid w:val="00864289"/>
    <w:rsid w:val="00865BD4"/>
    <w:rsid w:val="00866E89"/>
    <w:rsid w:val="008679A0"/>
    <w:rsid w:val="00873150"/>
    <w:rsid w:val="0087657D"/>
    <w:rsid w:val="008807D5"/>
    <w:rsid w:val="00880832"/>
    <w:rsid w:val="00882263"/>
    <w:rsid w:val="00883C72"/>
    <w:rsid w:val="00885091"/>
    <w:rsid w:val="00885F45"/>
    <w:rsid w:val="00886EE1"/>
    <w:rsid w:val="0088727D"/>
    <w:rsid w:val="00895F71"/>
    <w:rsid w:val="0089643C"/>
    <w:rsid w:val="00897C75"/>
    <w:rsid w:val="008A0383"/>
    <w:rsid w:val="008A2456"/>
    <w:rsid w:val="008A4076"/>
    <w:rsid w:val="008A657A"/>
    <w:rsid w:val="008B413B"/>
    <w:rsid w:val="008C1130"/>
    <w:rsid w:val="008C3095"/>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0CA0"/>
    <w:rsid w:val="009011F4"/>
    <w:rsid w:val="00902D87"/>
    <w:rsid w:val="0090417A"/>
    <w:rsid w:val="0090775A"/>
    <w:rsid w:val="00913905"/>
    <w:rsid w:val="00916247"/>
    <w:rsid w:val="00916F00"/>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3809"/>
    <w:rsid w:val="00965DF7"/>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D21"/>
    <w:rsid w:val="009A6E35"/>
    <w:rsid w:val="009B2AED"/>
    <w:rsid w:val="009B3501"/>
    <w:rsid w:val="009C0467"/>
    <w:rsid w:val="009C1F60"/>
    <w:rsid w:val="009C6488"/>
    <w:rsid w:val="009C6539"/>
    <w:rsid w:val="009C7A49"/>
    <w:rsid w:val="009D0036"/>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0879"/>
    <w:rsid w:val="00A04C6F"/>
    <w:rsid w:val="00A07A09"/>
    <w:rsid w:val="00A109A2"/>
    <w:rsid w:val="00A10A0B"/>
    <w:rsid w:val="00A1296D"/>
    <w:rsid w:val="00A16385"/>
    <w:rsid w:val="00A21A33"/>
    <w:rsid w:val="00A22D58"/>
    <w:rsid w:val="00A23A1B"/>
    <w:rsid w:val="00A25FD7"/>
    <w:rsid w:val="00A30197"/>
    <w:rsid w:val="00A35FEF"/>
    <w:rsid w:val="00A40EC5"/>
    <w:rsid w:val="00A419BB"/>
    <w:rsid w:val="00A42FAB"/>
    <w:rsid w:val="00A433C5"/>
    <w:rsid w:val="00A43AFF"/>
    <w:rsid w:val="00A478A0"/>
    <w:rsid w:val="00A47F3A"/>
    <w:rsid w:val="00A50502"/>
    <w:rsid w:val="00A5373F"/>
    <w:rsid w:val="00A54052"/>
    <w:rsid w:val="00A6254C"/>
    <w:rsid w:val="00A631A3"/>
    <w:rsid w:val="00A654DC"/>
    <w:rsid w:val="00A658CC"/>
    <w:rsid w:val="00A70F81"/>
    <w:rsid w:val="00A74AF2"/>
    <w:rsid w:val="00A7793A"/>
    <w:rsid w:val="00A8027B"/>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2158"/>
    <w:rsid w:val="00AD4DB6"/>
    <w:rsid w:val="00AD5E02"/>
    <w:rsid w:val="00AE556C"/>
    <w:rsid w:val="00AE7340"/>
    <w:rsid w:val="00AE7DA4"/>
    <w:rsid w:val="00AF1558"/>
    <w:rsid w:val="00AF1BBD"/>
    <w:rsid w:val="00AF3B72"/>
    <w:rsid w:val="00AF3BE3"/>
    <w:rsid w:val="00AF6DEF"/>
    <w:rsid w:val="00B01B73"/>
    <w:rsid w:val="00B04B81"/>
    <w:rsid w:val="00B05626"/>
    <w:rsid w:val="00B05914"/>
    <w:rsid w:val="00B10207"/>
    <w:rsid w:val="00B12F18"/>
    <w:rsid w:val="00B13E0A"/>
    <w:rsid w:val="00B13E74"/>
    <w:rsid w:val="00B141E7"/>
    <w:rsid w:val="00B16D10"/>
    <w:rsid w:val="00B23A09"/>
    <w:rsid w:val="00B279C2"/>
    <w:rsid w:val="00B309B2"/>
    <w:rsid w:val="00B31959"/>
    <w:rsid w:val="00B351B4"/>
    <w:rsid w:val="00B36712"/>
    <w:rsid w:val="00B36FE8"/>
    <w:rsid w:val="00B43C3D"/>
    <w:rsid w:val="00B43FE4"/>
    <w:rsid w:val="00B46BCA"/>
    <w:rsid w:val="00B4775D"/>
    <w:rsid w:val="00B526A3"/>
    <w:rsid w:val="00B54F3C"/>
    <w:rsid w:val="00B55F26"/>
    <w:rsid w:val="00B563ED"/>
    <w:rsid w:val="00B6064A"/>
    <w:rsid w:val="00B60A3F"/>
    <w:rsid w:val="00B60A77"/>
    <w:rsid w:val="00B63267"/>
    <w:rsid w:val="00B63B12"/>
    <w:rsid w:val="00B717D6"/>
    <w:rsid w:val="00B747A1"/>
    <w:rsid w:val="00B74F1F"/>
    <w:rsid w:val="00B75ED9"/>
    <w:rsid w:val="00B7686B"/>
    <w:rsid w:val="00B825E3"/>
    <w:rsid w:val="00B8328F"/>
    <w:rsid w:val="00B83F3A"/>
    <w:rsid w:val="00B87806"/>
    <w:rsid w:val="00B87EC9"/>
    <w:rsid w:val="00B905E0"/>
    <w:rsid w:val="00B92BC9"/>
    <w:rsid w:val="00B92EAC"/>
    <w:rsid w:val="00BA05D2"/>
    <w:rsid w:val="00BA3201"/>
    <w:rsid w:val="00BA3338"/>
    <w:rsid w:val="00BA67CD"/>
    <w:rsid w:val="00BA698C"/>
    <w:rsid w:val="00BB076C"/>
    <w:rsid w:val="00BB63C5"/>
    <w:rsid w:val="00BC2BE8"/>
    <w:rsid w:val="00BC38FD"/>
    <w:rsid w:val="00BC4AE4"/>
    <w:rsid w:val="00BC794F"/>
    <w:rsid w:val="00BD0385"/>
    <w:rsid w:val="00BD0898"/>
    <w:rsid w:val="00BD1622"/>
    <w:rsid w:val="00BD1AAE"/>
    <w:rsid w:val="00BD3267"/>
    <w:rsid w:val="00BE1396"/>
    <w:rsid w:val="00BE32F9"/>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670B"/>
    <w:rsid w:val="00C322F9"/>
    <w:rsid w:val="00C350E9"/>
    <w:rsid w:val="00C3527A"/>
    <w:rsid w:val="00C35B2B"/>
    <w:rsid w:val="00C3612F"/>
    <w:rsid w:val="00C36FCB"/>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22B1"/>
    <w:rsid w:val="00C7430C"/>
    <w:rsid w:val="00C7517C"/>
    <w:rsid w:val="00C7629F"/>
    <w:rsid w:val="00C820DC"/>
    <w:rsid w:val="00C85364"/>
    <w:rsid w:val="00C8661B"/>
    <w:rsid w:val="00C90735"/>
    <w:rsid w:val="00C90ED8"/>
    <w:rsid w:val="00C9491C"/>
    <w:rsid w:val="00CA139A"/>
    <w:rsid w:val="00CA2899"/>
    <w:rsid w:val="00CA2B1D"/>
    <w:rsid w:val="00CA3A3D"/>
    <w:rsid w:val="00CA77FB"/>
    <w:rsid w:val="00CB379B"/>
    <w:rsid w:val="00CB3D87"/>
    <w:rsid w:val="00CB460F"/>
    <w:rsid w:val="00CB4ACB"/>
    <w:rsid w:val="00CB5DD0"/>
    <w:rsid w:val="00CB605B"/>
    <w:rsid w:val="00CB7F94"/>
    <w:rsid w:val="00CC0B0B"/>
    <w:rsid w:val="00CC51D4"/>
    <w:rsid w:val="00CC65DA"/>
    <w:rsid w:val="00CD0158"/>
    <w:rsid w:val="00CD3BBA"/>
    <w:rsid w:val="00CD67E2"/>
    <w:rsid w:val="00CD75E7"/>
    <w:rsid w:val="00CE1EEF"/>
    <w:rsid w:val="00CE21E3"/>
    <w:rsid w:val="00CE701E"/>
    <w:rsid w:val="00CF21B9"/>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669"/>
    <w:rsid w:val="00D342A6"/>
    <w:rsid w:val="00D356D0"/>
    <w:rsid w:val="00D35AB2"/>
    <w:rsid w:val="00D36ABB"/>
    <w:rsid w:val="00D40598"/>
    <w:rsid w:val="00D42A15"/>
    <w:rsid w:val="00D460EB"/>
    <w:rsid w:val="00D464BF"/>
    <w:rsid w:val="00D47AB0"/>
    <w:rsid w:val="00D52BC6"/>
    <w:rsid w:val="00D53E26"/>
    <w:rsid w:val="00D549B1"/>
    <w:rsid w:val="00D55DCB"/>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5631"/>
    <w:rsid w:val="00DB7AC1"/>
    <w:rsid w:val="00DC2818"/>
    <w:rsid w:val="00DC2D17"/>
    <w:rsid w:val="00DC3340"/>
    <w:rsid w:val="00DD192E"/>
    <w:rsid w:val="00DD3CE8"/>
    <w:rsid w:val="00DD4F0E"/>
    <w:rsid w:val="00DD71C1"/>
    <w:rsid w:val="00DE4017"/>
    <w:rsid w:val="00DF070D"/>
    <w:rsid w:val="00DF0BF0"/>
    <w:rsid w:val="00DF465D"/>
    <w:rsid w:val="00DF4E15"/>
    <w:rsid w:val="00DF4F58"/>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0855"/>
    <w:rsid w:val="00EE25CE"/>
    <w:rsid w:val="00EE2E6E"/>
    <w:rsid w:val="00EE6670"/>
    <w:rsid w:val="00EF3822"/>
    <w:rsid w:val="00EF78A2"/>
    <w:rsid w:val="00F0000A"/>
    <w:rsid w:val="00F01F07"/>
    <w:rsid w:val="00F03154"/>
    <w:rsid w:val="00F0499E"/>
    <w:rsid w:val="00F06BB2"/>
    <w:rsid w:val="00F0759E"/>
    <w:rsid w:val="00F1260B"/>
    <w:rsid w:val="00F14B80"/>
    <w:rsid w:val="00F15477"/>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10C8"/>
    <w:rsid w:val="00F630ED"/>
    <w:rsid w:val="00F65EEC"/>
    <w:rsid w:val="00F75127"/>
    <w:rsid w:val="00F75280"/>
    <w:rsid w:val="00F821A3"/>
    <w:rsid w:val="00F9314A"/>
    <w:rsid w:val="00F95C9F"/>
    <w:rsid w:val="00FA0494"/>
    <w:rsid w:val="00FA049B"/>
    <w:rsid w:val="00FA3F4C"/>
    <w:rsid w:val="00FA4085"/>
    <w:rsid w:val="00FA717D"/>
    <w:rsid w:val="00FA79AB"/>
    <w:rsid w:val="00FA7CDB"/>
    <w:rsid w:val="00FB5E09"/>
    <w:rsid w:val="00FB6E4D"/>
    <w:rsid w:val="00FC462E"/>
    <w:rsid w:val="00FC55EF"/>
    <w:rsid w:val="00FC58EF"/>
    <w:rsid w:val="00FD33DF"/>
    <w:rsid w:val="00FD6BF7"/>
    <w:rsid w:val="00FD7259"/>
    <w:rsid w:val="00FE01D4"/>
    <w:rsid w:val="00FE1FDD"/>
    <w:rsid w:val="00FE2D9D"/>
    <w:rsid w:val="00FE39D7"/>
    <w:rsid w:val="00FE3F15"/>
    <w:rsid w:val="00FE6D32"/>
    <w:rsid w:val="00FF1CBF"/>
    <w:rsid w:val="00FF2AEA"/>
    <w:rsid w:val="00FF37A1"/>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4FCDA5D-5207-4B04-858E-24906B3C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link w:val="Style34"/>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 w:type="character" w:customStyle="1" w:styleId="CharStyle10">
    <w:name w:val="Char Style 10"/>
    <w:link w:val="Style9"/>
    <w:uiPriority w:val="99"/>
    <w:rsid w:val="008403F6"/>
    <w:rPr>
      <w:shd w:val="clear" w:color="auto" w:fill="FFFFFF"/>
    </w:rPr>
  </w:style>
  <w:style w:type="character" w:customStyle="1" w:styleId="CharStyle23">
    <w:name w:val="Char Style 23"/>
    <w:uiPriority w:val="99"/>
    <w:rsid w:val="008403F6"/>
    <w:rPr>
      <w:b/>
      <w:bCs/>
      <w:sz w:val="20"/>
      <w:szCs w:val="20"/>
      <w:shd w:val="clear" w:color="auto" w:fill="FFFFFF"/>
    </w:rPr>
  </w:style>
  <w:style w:type="character" w:customStyle="1" w:styleId="CharStyle24">
    <w:name w:val="Char Style 24"/>
    <w:uiPriority w:val="99"/>
    <w:rsid w:val="008403F6"/>
  </w:style>
  <w:style w:type="paragraph" w:customStyle="1" w:styleId="Style9">
    <w:name w:val="Style 9"/>
    <w:basedOn w:val="Normal"/>
    <w:link w:val="CharStyle10"/>
    <w:uiPriority w:val="99"/>
    <w:rsid w:val="008403F6"/>
    <w:pPr>
      <w:widowControl w:val="0"/>
      <w:shd w:val="clear" w:color="auto" w:fill="FFFFFF"/>
      <w:spacing w:line="240" w:lineRule="atLeast"/>
      <w:ind w:left="0" w:hanging="360"/>
      <w:jc w:val="both"/>
    </w:pPr>
    <w:rPr>
      <w:sz w:val="20"/>
      <w:szCs w:val="20"/>
      <w:lang w:val="es-CO" w:eastAsia="es-CO"/>
    </w:rPr>
  </w:style>
  <w:style w:type="character" w:customStyle="1" w:styleId="CharStyle29">
    <w:name w:val="Char Style 29"/>
    <w:link w:val="Style28"/>
    <w:uiPriority w:val="99"/>
    <w:rsid w:val="005B47F5"/>
    <w:rPr>
      <w:spacing w:val="-10"/>
      <w:sz w:val="22"/>
      <w:szCs w:val="22"/>
      <w:shd w:val="clear" w:color="auto" w:fill="FFFFFF"/>
    </w:rPr>
  </w:style>
  <w:style w:type="character" w:customStyle="1" w:styleId="CharStyle31">
    <w:name w:val="Char Style 31"/>
    <w:uiPriority w:val="99"/>
    <w:rsid w:val="005B47F5"/>
    <w:rPr>
      <w:spacing w:val="0"/>
      <w:sz w:val="17"/>
      <w:szCs w:val="17"/>
      <w:shd w:val="clear" w:color="auto" w:fill="FFFFFF"/>
    </w:rPr>
  </w:style>
  <w:style w:type="paragraph" w:customStyle="1" w:styleId="Style28">
    <w:name w:val="Style 28"/>
    <w:basedOn w:val="Normal"/>
    <w:link w:val="CharStyle29"/>
    <w:uiPriority w:val="99"/>
    <w:rsid w:val="005B47F5"/>
    <w:pPr>
      <w:widowControl w:val="0"/>
      <w:shd w:val="clear" w:color="auto" w:fill="FFFFFF"/>
      <w:spacing w:after="60" w:line="240" w:lineRule="atLeast"/>
      <w:ind w:left="0" w:hanging="1060"/>
    </w:pPr>
    <w:rPr>
      <w:spacing w:val="-10"/>
      <w:sz w:val="22"/>
      <w:szCs w:val="22"/>
      <w:lang w:val="es-CO" w:eastAsia="es-CO"/>
    </w:rPr>
  </w:style>
  <w:style w:type="character" w:customStyle="1" w:styleId="CharStyle18">
    <w:name w:val="Char Style 18"/>
    <w:link w:val="Style17"/>
    <w:uiPriority w:val="99"/>
    <w:rsid w:val="007D1246"/>
    <w:rPr>
      <w:rFonts w:ascii="Arial" w:hAnsi="Arial" w:cs="Arial"/>
      <w:sz w:val="19"/>
      <w:szCs w:val="19"/>
      <w:shd w:val="clear" w:color="auto" w:fill="FFFFFF"/>
    </w:rPr>
  </w:style>
  <w:style w:type="character" w:customStyle="1" w:styleId="CharStyle47">
    <w:name w:val="Char Style 47"/>
    <w:uiPriority w:val="99"/>
    <w:rsid w:val="007D1246"/>
    <w:rPr>
      <w:rFonts w:ascii="Arial" w:hAnsi="Arial" w:cs="Arial"/>
      <w:b/>
      <w:bCs/>
      <w:sz w:val="19"/>
      <w:szCs w:val="19"/>
      <w:u w:val="single"/>
      <w:shd w:val="clear" w:color="auto" w:fill="FFFFFF"/>
    </w:rPr>
  </w:style>
  <w:style w:type="character" w:customStyle="1" w:styleId="CharStyle55">
    <w:name w:val="Char Style 55"/>
    <w:uiPriority w:val="99"/>
    <w:rsid w:val="007D1246"/>
    <w:rPr>
      <w:rFonts w:ascii="Arial" w:hAnsi="Arial" w:cs="Arial"/>
      <w:b/>
      <w:bCs/>
      <w:i/>
      <w:iCs/>
      <w:spacing w:val="20"/>
      <w:sz w:val="19"/>
      <w:szCs w:val="19"/>
      <w:shd w:val="clear" w:color="auto" w:fill="FFFFFF"/>
    </w:rPr>
  </w:style>
  <w:style w:type="character" w:customStyle="1" w:styleId="CharStyle56">
    <w:name w:val="Char Style 56"/>
    <w:uiPriority w:val="99"/>
    <w:rsid w:val="007D1246"/>
    <w:rPr>
      <w:rFonts w:ascii="Courier New" w:hAnsi="Courier New" w:cs="Courier New"/>
      <w:i/>
      <w:iCs/>
      <w:smallCaps/>
      <w:sz w:val="15"/>
      <w:szCs w:val="15"/>
      <w:shd w:val="clear" w:color="auto" w:fill="FFFFFF"/>
    </w:rPr>
  </w:style>
  <w:style w:type="character" w:customStyle="1" w:styleId="CharStyle57">
    <w:name w:val="Char Style 57"/>
    <w:uiPriority w:val="99"/>
    <w:rsid w:val="007D1246"/>
    <w:rPr>
      <w:rFonts w:ascii="Arial" w:hAnsi="Arial" w:cs="Arial"/>
      <w:spacing w:val="10"/>
      <w:sz w:val="11"/>
      <w:szCs w:val="11"/>
      <w:shd w:val="clear" w:color="auto" w:fill="FFFFFF"/>
    </w:rPr>
  </w:style>
  <w:style w:type="character" w:customStyle="1" w:styleId="CharStyle59">
    <w:name w:val="Char Style 59"/>
    <w:link w:val="Style58"/>
    <w:uiPriority w:val="99"/>
    <w:rsid w:val="007D1246"/>
    <w:rPr>
      <w:rFonts w:ascii="Arial" w:hAnsi="Arial" w:cs="Arial"/>
      <w:b/>
      <w:bCs/>
      <w:i/>
      <w:iCs/>
      <w:sz w:val="19"/>
      <w:szCs w:val="19"/>
      <w:shd w:val="clear" w:color="auto" w:fill="FFFFFF"/>
    </w:rPr>
  </w:style>
  <w:style w:type="character" w:customStyle="1" w:styleId="CharStyle60">
    <w:name w:val="Char Style 60"/>
    <w:uiPriority w:val="99"/>
    <w:rsid w:val="007D1246"/>
    <w:rPr>
      <w:rFonts w:ascii="Arial" w:hAnsi="Arial" w:cs="Arial"/>
      <w:b w:val="0"/>
      <w:bCs w:val="0"/>
      <w:i w:val="0"/>
      <w:iCs w:val="0"/>
      <w:sz w:val="19"/>
      <w:szCs w:val="19"/>
      <w:shd w:val="clear" w:color="auto" w:fill="FFFFFF"/>
    </w:rPr>
  </w:style>
  <w:style w:type="paragraph" w:customStyle="1" w:styleId="Style17">
    <w:name w:val="Style 17"/>
    <w:basedOn w:val="Normal"/>
    <w:link w:val="CharStyle18"/>
    <w:uiPriority w:val="99"/>
    <w:rsid w:val="007D1246"/>
    <w:pPr>
      <w:widowControl w:val="0"/>
      <w:shd w:val="clear" w:color="auto" w:fill="FFFFFF"/>
      <w:spacing w:before="1080" w:after="660" w:line="240" w:lineRule="atLeast"/>
      <w:ind w:left="0" w:hanging="340"/>
      <w:jc w:val="both"/>
    </w:pPr>
    <w:rPr>
      <w:rFonts w:ascii="Arial" w:hAnsi="Arial" w:cs="Arial"/>
      <w:sz w:val="19"/>
      <w:szCs w:val="19"/>
      <w:lang w:val="es-CO" w:eastAsia="es-CO"/>
    </w:rPr>
  </w:style>
  <w:style w:type="paragraph" w:customStyle="1" w:styleId="Style58">
    <w:name w:val="Style 58"/>
    <w:basedOn w:val="Normal"/>
    <w:link w:val="CharStyle59"/>
    <w:uiPriority w:val="99"/>
    <w:rsid w:val="007D1246"/>
    <w:pPr>
      <w:widowControl w:val="0"/>
      <w:shd w:val="clear" w:color="auto" w:fill="FFFFFF"/>
      <w:spacing w:before="360" w:after="240" w:line="240" w:lineRule="atLeast"/>
      <w:ind w:left="0"/>
      <w:jc w:val="both"/>
    </w:pPr>
    <w:rPr>
      <w:rFonts w:ascii="Arial" w:hAnsi="Arial" w:cs="Arial"/>
      <w:b/>
      <w:bCs/>
      <w:i/>
      <w:iCs/>
      <w:sz w:val="19"/>
      <w:szCs w:val="19"/>
      <w:lang w:val="es-CO" w:eastAsia="es-CO"/>
    </w:rPr>
  </w:style>
  <w:style w:type="paragraph" w:customStyle="1" w:styleId="Style34">
    <w:name w:val="Style 34"/>
    <w:basedOn w:val="Normal"/>
    <w:link w:val="CharStyle35"/>
    <w:uiPriority w:val="99"/>
    <w:rsid w:val="0025091B"/>
    <w:pPr>
      <w:widowControl w:val="0"/>
      <w:shd w:val="clear" w:color="auto" w:fill="FFFFFF"/>
      <w:spacing w:line="240" w:lineRule="atLeast"/>
      <w:ind w:left="0"/>
    </w:pPr>
    <w:rPr>
      <w:rFonts w:ascii="Courier New" w:hAnsi="Courier New" w:cs="Courier New"/>
      <w:sz w:val="17"/>
      <w:szCs w:val="17"/>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0BFA-3E69-4346-BE46-1938A0C5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14</Pages>
  <Words>5041</Words>
  <Characters>26831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2016-12-07T17:21:00Z</dcterms:created>
  <dcterms:modified xsi:type="dcterms:W3CDTF">2016-12-07T17:21:00Z</dcterms:modified>
</cp:coreProperties>
</file>