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1CA4" w:rsidRPr="00E07CE8" w:rsidRDefault="00801B30" w:rsidP="00B31CA4">
      <w:pPr>
        <w:pStyle w:val="Encabezado"/>
        <w:tabs>
          <w:tab w:val="clear" w:pos="8504"/>
          <w:tab w:val="left" w:pos="0"/>
          <w:tab w:val="right" w:pos="9356"/>
        </w:tabs>
        <w:rPr>
          <w:rFonts w:ascii="Bookman Old Style" w:hAnsi="Bookman Old Style" w:cs="Arial"/>
          <w:szCs w:val="24"/>
        </w:rPr>
      </w:pPr>
      <w:bookmarkStart w:id="0" w:name="_GoBack"/>
      <w:bookmarkEnd w:id="0"/>
      <w:r>
        <w:rPr>
          <w:rFonts w:ascii="Bookman Old Style" w:hAnsi="Bookman Old Style" w:cs="Arial"/>
          <w:noProof/>
          <w:szCs w:val="24"/>
          <w:lang w:eastAsia="es-E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02.4pt;margin-top:-53.35pt;width:52.5pt;height:48.75pt;z-index:251659264" fillcolor="#0c9">
            <v:imagedata r:id="rId8" o:title=""/>
          </v:shape>
          <o:OLEObject Type="Embed" ProgID="PBrush" ShapeID="_x0000_s1029" DrawAspect="Content" ObjectID="_1539765977" r:id="rId9"/>
        </w:object>
      </w:r>
    </w:p>
    <w:p w:rsidR="00B31CA4" w:rsidRPr="00E07CE8" w:rsidRDefault="00B31CA4" w:rsidP="00B31CA4">
      <w:pPr>
        <w:pStyle w:val="Encabezado"/>
        <w:tabs>
          <w:tab w:val="clear" w:pos="4252"/>
          <w:tab w:val="clear" w:pos="8504"/>
          <w:tab w:val="left" w:pos="0"/>
          <w:tab w:val="left" w:pos="2480"/>
        </w:tabs>
        <w:rPr>
          <w:rFonts w:ascii="Bookman Old Style" w:hAnsi="Bookman Old Style" w:cs="Arial"/>
          <w:b/>
          <w:bCs/>
          <w:szCs w:val="24"/>
        </w:rPr>
      </w:pPr>
      <w:r w:rsidRPr="00E07CE8">
        <w:rPr>
          <w:rFonts w:ascii="Bookman Old Style" w:hAnsi="Bookman Old Style" w:cs="Arial"/>
          <w:szCs w:val="24"/>
        </w:rPr>
        <w:tab/>
      </w:r>
    </w:p>
    <w:p w:rsidR="00B31CA4" w:rsidRPr="00E07CE8" w:rsidRDefault="00B31CA4" w:rsidP="00B31CA4">
      <w:pPr>
        <w:pStyle w:val="Ttulo4"/>
        <w:tabs>
          <w:tab w:val="left" w:pos="0"/>
          <w:tab w:val="right" w:pos="9356"/>
        </w:tabs>
        <w:rPr>
          <w:rFonts w:ascii="Bookman Old Style" w:hAnsi="Bookman Old Style" w:cs="Arial"/>
          <w:b w:val="0"/>
          <w:bCs/>
          <w:noProof/>
          <w:color w:val="auto"/>
          <w:sz w:val="24"/>
          <w:szCs w:val="24"/>
          <w:lang w:val="es-ES"/>
        </w:rPr>
      </w:pPr>
      <w:r w:rsidRPr="00E07CE8">
        <w:rPr>
          <w:rFonts w:ascii="Bookman Old Style" w:hAnsi="Bookman Old Style" w:cs="Arial"/>
          <w:b w:val="0"/>
          <w:bCs/>
          <w:color w:val="auto"/>
          <w:sz w:val="24"/>
          <w:szCs w:val="24"/>
        </w:rPr>
        <w:t>Ministerio de Minas y Energía</w:t>
      </w:r>
    </w:p>
    <w:p w:rsidR="00B31CA4" w:rsidRPr="00E07CE8" w:rsidRDefault="00B31CA4" w:rsidP="00B31CA4"/>
    <w:p w:rsidR="00B31CA4" w:rsidRPr="00E07CE8" w:rsidRDefault="00B31CA4" w:rsidP="00B31CA4">
      <w:pPr>
        <w:pStyle w:val="Ttulo3"/>
        <w:tabs>
          <w:tab w:val="left" w:pos="0"/>
          <w:tab w:val="right" w:pos="9356"/>
        </w:tabs>
        <w:rPr>
          <w:rFonts w:ascii="Bookman Old Style" w:hAnsi="Bookman Old Style" w:cs="Arial"/>
          <w:color w:val="auto"/>
          <w:spacing w:val="20"/>
          <w:szCs w:val="24"/>
        </w:rPr>
      </w:pPr>
      <w:r w:rsidRPr="00E07CE8">
        <w:rPr>
          <w:rFonts w:ascii="Bookman Old Style" w:hAnsi="Bookman Old Style" w:cs="Arial"/>
          <w:color w:val="auto"/>
          <w:spacing w:val="20"/>
          <w:szCs w:val="24"/>
        </w:rPr>
        <w:t>COMISIÓN DE REGULACIÓN DE ENERGÍA Y GAS</w:t>
      </w:r>
    </w:p>
    <w:p w:rsidR="00B31CA4" w:rsidRPr="00E07CE8" w:rsidRDefault="00B31CA4" w:rsidP="00B31CA4">
      <w:pPr>
        <w:pStyle w:val="Ttulo5"/>
        <w:tabs>
          <w:tab w:val="left" w:pos="0"/>
          <w:tab w:val="right" w:pos="9356"/>
        </w:tabs>
        <w:rPr>
          <w:rFonts w:ascii="Bookman Old Style" w:hAnsi="Bookman Old Style" w:cs="Arial"/>
          <w:color w:val="auto"/>
          <w:sz w:val="24"/>
          <w:szCs w:val="24"/>
        </w:rPr>
      </w:pPr>
    </w:p>
    <w:p w:rsidR="00B31CA4" w:rsidRPr="00E07CE8" w:rsidRDefault="00B31CA4" w:rsidP="00B31CA4">
      <w:pPr>
        <w:pStyle w:val="Ttulo5"/>
        <w:tabs>
          <w:tab w:val="left" w:pos="0"/>
          <w:tab w:val="right" w:pos="9356"/>
        </w:tabs>
        <w:rPr>
          <w:rFonts w:ascii="Bookman Old Style" w:hAnsi="Bookman Old Style" w:cs="Arial"/>
          <w:color w:val="auto"/>
          <w:sz w:val="24"/>
          <w:szCs w:val="24"/>
        </w:rPr>
      </w:pPr>
    </w:p>
    <w:p w:rsidR="00B31CA4" w:rsidRPr="00B93E5A" w:rsidRDefault="00B31CA4" w:rsidP="00B31CA4">
      <w:pPr>
        <w:pStyle w:val="Ttulo3"/>
        <w:tabs>
          <w:tab w:val="left" w:pos="0"/>
          <w:tab w:val="right" w:pos="9356"/>
        </w:tabs>
        <w:rPr>
          <w:rFonts w:ascii="Bookman Old Style" w:hAnsi="Bookman Old Style" w:cs="Arial"/>
          <w:color w:val="auto"/>
          <w:spacing w:val="20"/>
          <w:szCs w:val="24"/>
        </w:rPr>
      </w:pPr>
      <w:r w:rsidRPr="00B93E5A">
        <w:rPr>
          <w:rFonts w:ascii="Bookman Old Style" w:hAnsi="Bookman Old Style" w:cs="Arial"/>
          <w:color w:val="auto"/>
          <w:spacing w:val="20"/>
          <w:szCs w:val="24"/>
        </w:rPr>
        <w:t xml:space="preserve">RESOLUCIÓN No.  </w:t>
      </w:r>
      <w:r w:rsidR="00C9409E">
        <w:rPr>
          <w:rFonts w:ascii="Bookman Old Style" w:hAnsi="Bookman Old Style" w:cs="Arial"/>
          <w:color w:val="auto"/>
          <w:spacing w:val="20"/>
          <w:szCs w:val="24"/>
        </w:rPr>
        <w:t xml:space="preserve">  </w:t>
      </w:r>
      <w:r w:rsidRPr="00B93E5A">
        <w:rPr>
          <w:rFonts w:ascii="Bookman Old Style" w:hAnsi="Bookman Old Style" w:cs="Arial"/>
          <w:color w:val="auto"/>
          <w:spacing w:val="20"/>
          <w:szCs w:val="24"/>
        </w:rPr>
        <w:t xml:space="preserve">            DE 2016</w:t>
      </w:r>
    </w:p>
    <w:p w:rsidR="00B31CA4" w:rsidRPr="00E07CE8" w:rsidRDefault="00B31CA4" w:rsidP="00B31CA4">
      <w:pPr>
        <w:tabs>
          <w:tab w:val="left" w:pos="0"/>
          <w:tab w:val="right" w:pos="9356"/>
        </w:tabs>
        <w:jc w:val="center"/>
        <w:rPr>
          <w:rFonts w:cs="Arial"/>
          <w:b/>
          <w:snapToGrid w:val="0"/>
          <w:lang w:val="es-ES_tradnl"/>
        </w:rPr>
      </w:pPr>
    </w:p>
    <w:p w:rsidR="00B31CA4" w:rsidRPr="00E07CE8" w:rsidRDefault="00B31CA4" w:rsidP="00B31CA4">
      <w:pPr>
        <w:pStyle w:val="Ttulo3"/>
        <w:tabs>
          <w:tab w:val="left" w:pos="0"/>
          <w:tab w:val="right" w:pos="9356"/>
        </w:tabs>
        <w:rPr>
          <w:rFonts w:ascii="Bookman Old Style" w:hAnsi="Bookman Old Style" w:cs="Arial"/>
          <w:b w:val="0"/>
          <w:color w:val="auto"/>
          <w:szCs w:val="24"/>
        </w:rPr>
      </w:pPr>
      <w:r w:rsidRPr="00E07CE8">
        <w:rPr>
          <w:rFonts w:ascii="Bookman Old Style" w:hAnsi="Bookman Old Style" w:cs="Arial"/>
          <w:b w:val="0"/>
          <w:color w:val="auto"/>
          <w:szCs w:val="24"/>
        </w:rPr>
        <w:t>(                                  )</w:t>
      </w:r>
    </w:p>
    <w:p w:rsidR="00B31CA4" w:rsidRPr="00E07CE8" w:rsidRDefault="00B31CA4" w:rsidP="00B31CA4">
      <w:pPr>
        <w:tabs>
          <w:tab w:val="center" w:pos="4512"/>
          <w:tab w:val="left" w:pos="7088"/>
        </w:tabs>
        <w:suppressAutoHyphens/>
        <w:ind w:right="51"/>
        <w:jc w:val="center"/>
        <w:rPr>
          <w:rFonts w:cs="Arial"/>
          <w:bCs/>
          <w:lang w:eastAsia="es-CO"/>
        </w:rPr>
      </w:pPr>
    </w:p>
    <w:p w:rsidR="00B31CA4" w:rsidRPr="00E07CE8" w:rsidRDefault="00B31CA4" w:rsidP="00B31CA4">
      <w:pPr>
        <w:tabs>
          <w:tab w:val="center" w:pos="4512"/>
          <w:tab w:val="left" w:pos="7088"/>
        </w:tabs>
        <w:suppressAutoHyphens/>
        <w:ind w:right="51"/>
        <w:jc w:val="center"/>
        <w:rPr>
          <w:rFonts w:cs="Arial"/>
          <w:bCs/>
          <w:lang w:eastAsia="es-CO"/>
        </w:rPr>
      </w:pPr>
    </w:p>
    <w:p w:rsidR="00B31CA4" w:rsidRPr="00E07CE8" w:rsidRDefault="00B31CA4" w:rsidP="00B31CA4">
      <w:pPr>
        <w:tabs>
          <w:tab w:val="center" w:pos="4512"/>
          <w:tab w:val="left" w:pos="7088"/>
        </w:tabs>
        <w:suppressAutoHyphens/>
        <w:ind w:right="51"/>
        <w:jc w:val="center"/>
        <w:rPr>
          <w:rFonts w:cs="Arial"/>
          <w:bCs/>
          <w:lang w:eastAsia="es-CO"/>
        </w:rPr>
      </w:pPr>
      <w:r w:rsidRPr="00E07CE8">
        <w:rPr>
          <w:rFonts w:cs="Arial"/>
          <w:bCs/>
          <w:lang w:eastAsia="es-CO"/>
        </w:rPr>
        <w:t xml:space="preserve">Por la cual se modifica </w:t>
      </w:r>
      <w:r w:rsidRPr="00E07CE8">
        <w:rPr>
          <w:rFonts w:cs="Arial"/>
          <w:lang w:val="es-CO"/>
        </w:rPr>
        <w:t xml:space="preserve">la Resolución 062 de 2013 “Por medio de la cual se </w:t>
      </w:r>
      <w:r w:rsidRPr="00E07CE8">
        <w:rPr>
          <w:rFonts w:cs="Arial"/>
          <w:bCs/>
          <w:lang w:eastAsia="es-CO"/>
        </w:rPr>
        <w:t xml:space="preserve">establece un ingreso regulado por el uso de Gas Natural Importado en generaciones de seguridad” </w:t>
      </w:r>
    </w:p>
    <w:p w:rsidR="00B31CA4" w:rsidRPr="00E07CE8" w:rsidRDefault="00B31CA4" w:rsidP="00B31CA4">
      <w:pPr>
        <w:tabs>
          <w:tab w:val="left" w:pos="2520"/>
        </w:tabs>
        <w:rPr>
          <w:rFonts w:cs="Arial"/>
          <w:lang w:val="es-CO"/>
        </w:rPr>
      </w:pPr>
      <w:r w:rsidRPr="00E07CE8">
        <w:rPr>
          <w:rFonts w:cs="Arial"/>
          <w:lang w:val="es-CO"/>
        </w:rPr>
        <w:tab/>
      </w:r>
    </w:p>
    <w:p w:rsidR="00B31CA4" w:rsidRPr="00E07CE8" w:rsidRDefault="00B31CA4" w:rsidP="00B31CA4">
      <w:pPr>
        <w:jc w:val="center"/>
        <w:outlineLvl w:val="5"/>
        <w:rPr>
          <w:rFonts w:cs="Arial"/>
          <w:b/>
          <w:bCs/>
          <w:lang w:val="es-CO"/>
        </w:rPr>
      </w:pPr>
    </w:p>
    <w:p w:rsidR="00B31CA4" w:rsidRPr="00E07CE8" w:rsidRDefault="00B31CA4" w:rsidP="00B31CA4">
      <w:pPr>
        <w:jc w:val="center"/>
        <w:outlineLvl w:val="5"/>
        <w:rPr>
          <w:rFonts w:cs="Arial"/>
          <w:b/>
          <w:bCs/>
        </w:rPr>
      </w:pPr>
      <w:r w:rsidRPr="00E07CE8">
        <w:rPr>
          <w:rFonts w:cs="Arial"/>
          <w:b/>
          <w:bCs/>
        </w:rPr>
        <w:t>LA COMISIÓN DE REGULACIÓN DE ENERGÍA Y GAS</w:t>
      </w:r>
    </w:p>
    <w:p w:rsidR="00B31CA4" w:rsidRPr="00E07CE8" w:rsidRDefault="00B31CA4" w:rsidP="00B31CA4">
      <w:pPr>
        <w:rPr>
          <w:rFonts w:cs="Arial"/>
          <w:b/>
          <w:bCs/>
        </w:rPr>
      </w:pPr>
    </w:p>
    <w:p w:rsidR="00B31CA4" w:rsidRPr="00E07CE8" w:rsidRDefault="00B31CA4" w:rsidP="00B31CA4">
      <w:pPr>
        <w:rPr>
          <w:rFonts w:cs="Arial"/>
          <w:b/>
          <w:bCs/>
        </w:rPr>
      </w:pPr>
    </w:p>
    <w:p w:rsidR="00B31CA4" w:rsidRPr="00E07CE8" w:rsidRDefault="00B31CA4" w:rsidP="00B31CA4">
      <w:pPr>
        <w:tabs>
          <w:tab w:val="left" w:pos="0"/>
        </w:tabs>
        <w:rPr>
          <w:rFonts w:cs="Arial"/>
        </w:rPr>
      </w:pPr>
      <w:r w:rsidRPr="00E07CE8">
        <w:rPr>
          <w:rFonts w:cs="Arial"/>
        </w:rPr>
        <w:t>En ejercicio de las atribuciones legales, en especial las conferidas por las Leyes 142 y 143 de 1994, y en desarrollo de los decretos 1524 y 2253 de 1994, y</w:t>
      </w:r>
      <w:r>
        <w:rPr>
          <w:rFonts w:cs="Arial"/>
        </w:rPr>
        <w:t xml:space="preserve"> 1260 de 2013 y</w:t>
      </w:r>
      <w:r w:rsidR="00D47AA8">
        <w:rPr>
          <w:rFonts w:cs="Arial"/>
        </w:rPr>
        <w:t>,</w:t>
      </w:r>
    </w:p>
    <w:p w:rsidR="00B31CA4" w:rsidRPr="00E07CE8" w:rsidRDefault="00B31CA4" w:rsidP="00B31CA4">
      <w:pPr>
        <w:tabs>
          <w:tab w:val="left" w:pos="624"/>
        </w:tabs>
        <w:rPr>
          <w:rFonts w:cs="Arial"/>
        </w:rPr>
      </w:pPr>
    </w:p>
    <w:p w:rsidR="00B31CA4" w:rsidRPr="00E07CE8" w:rsidRDefault="00B31CA4" w:rsidP="00B31CA4">
      <w:pPr>
        <w:tabs>
          <w:tab w:val="left" w:pos="624"/>
        </w:tabs>
        <w:rPr>
          <w:rFonts w:cs="Arial"/>
        </w:rPr>
      </w:pPr>
    </w:p>
    <w:p w:rsidR="00B31CA4" w:rsidRPr="00E8313E" w:rsidRDefault="00B31CA4" w:rsidP="00B31CA4">
      <w:pPr>
        <w:pStyle w:val="Ttulo3"/>
        <w:tabs>
          <w:tab w:val="left" w:pos="0"/>
          <w:tab w:val="right" w:pos="9356"/>
        </w:tabs>
        <w:rPr>
          <w:rFonts w:ascii="Bookman Old Style" w:hAnsi="Bookman Old Style" w:cs="Arial"/>
          <w:color w:val="auto"/>
          <w:spacing w:val="20"/>
          <w:szCs w:val="24"/>
        </w:rPr>
      </w:pPr>
      <w:r w:rsidRPr="00E8313E">
        <w:rPr>
          <w:rFonts w:ascii="Bookman Old Style" w:hAnsi="Bookman Old Style" w:cs="Arial"/>
          <w:color w:val="auto"/>
          <w:spacing w:val="20"/>
          <w:szCs w:val="24"/>
        </w:rPr>
        <w:t xml:space="preserve">C O N S I D E R A N D </w:t>
      </w:r>
      <w:proofErr w:type="gramStart"/>
      <w:r w:rsidRPr="00E8313E">
        <w:rPr>
          <w:rFonts w:ascii="Bookman Old Style" w:hAnsi="Bookman Old Style" w:cs="Arial"/>
          <w:color w:val="auto"/>
          <w:spacing w:val="20"/>
          <w:szCs w:val="24"/>
        </w:rPr>
        <w:t>O  Q</w:t>
      </w:r>
      <w:proofErr w:type="gramEnd"/>
      <w:r w:rsidRPr="00E8313E">
        <w:rPr>
          <w:rFonts w:ascii="Bookman Old Style" w:hAnsi="Bookman Old Style" w:cs="Arial"/>
          <w:color w:val="auto"/>
          <w:spacing w:val="20"/>
          <w:szCs w:val="24"/>
        </w:rPr>
        <w:t xml:space="preserve"> U E:</w:t>
      </w:r>
    </w:p>
    <w:p w:rsidR="00B31CA4" w:rsidRPr="00E07CE8" w:rsidRDefault="00B31CA4" w:rsidP="00B31CA4">
      <w:pPr>
        <w:rPr>
          <w:rFonts w:cs="Arial"/>
        </w:rPr>
      </w:pPr>
    </w:p>
    <w:p w:rsidR="00B31CA4" w:rsidRPr="00E07CE8" w:rsidRDefault="00B31CA4" w:rsidP="00B31CA4">
      <w:pPr>
        <w:rPr>
          <w:rFonts w:cs="Arial"/>
        </w:rPr>
      </w:pPr>
    </w:p>
    <w:p w:rsidR="00B31CA4" w:rsidRPr="00E07CE8" w:rsidRDefault="00B31CA4" w:rsidP="00B31CA4">
      <w:pPr>
        <w:rPr>
          <w:rFonts w:cs="Arial"/>
        </w:rPr>
      </w:pPr>
      <w:r w:rsidRPr="00E07CE8">
        <w:rPr>
          <w:rFonts w:cs="Arial"/>
        </w:rPr>
        <w:t xml:space="preserve">Mediante la Resolución 062 de 2013 de fecha 29 de mayo de 2013, se profirió la regulación mediante la cual se estableció un ingreso regulado para el uso de Gas Natural Importado – GNI en generaciones de seguridad. </w:t>
      </w:r>
    </w:p>
    <w:p w:rsidR="00B31CA4" w:rsidRPr="00E07CE8" w:rsidRDefault="00B31CA4" w:rsidP="00B31CA4">
      <w:pPr>
        <w:rPr>
          <w:rFonts w:cs="Arial"/>
        </w:rPr>
      </w:pPr>
    </w:p>
    <w:p w:rsidR="00B31CA4" w:rsidRPr="00E07CE8" w:rsidRDefault="00B31CA4" w:rsidP="00B31CA4">
      <w:pPr>
        <w:rPr>
          <w:lang w:val="es-CO"/>
        </w:rPr>
      </w:pPr>
      <w:r w:rsidRPr="00E07CE8">
        <w:rPr>
          <w:rFonts w:cs="Arial"/>
          <w:lang w:val="es-CO"/>
        </w:rPr>
        <w:t>El objeto de la mencionada resolución consiste en</w:t>
      </w:r>
      <w:r w:rsidRPr="00E07CE8">
        <w:rPr>
          <w:rFonts w:cs="Arial"/>
          <w:b/>
          <w:lang w:val="es-CO"/>
        </w:rPr>
        <w:t xml:space="preserve"> </w:t>
      </w:r>
      <w:r w:rsidRPr="00E07CE8">
        <w:rPr>
          <w:rFonts w:cs="Arial"/>
          <w:lang w:val="es-CO"/>
        </w:rPr>
        <w:t xml:space="preserve">definir la metodología para establecer el ingreso regulado a un Grupo de Generadores Térmicos - GT que utilice </w:t>
      </w:r>
      <w:r>
        <w:rPr>
          <w:rFonts w:cs="Arial"/>
          <w:lang w:val="es-CO"/>
        </w:rPr>
        <w:t>el GNI</w:t>
      </w:r>
      <w:r w:rsidRPr="00E07CE8">
        <w:rPr>
          <w:rFonts w:cs="Arial"/>
          <w:lang w:val="es-CO"/>
        </w:rPr>
        <w:t xml:space="preserve"> para cubrir generaciones de seguridad conforme los requerimientos del Centro Nacional de Despacho - CND. </w:t>
      </w:r>
    </w:p>
    <w:p w:rsidR="00B31CA4" w:rsidRDefault="00B31CA4" w:rsidP="00B31CA4">
      <w:pPr>
        <w:rPr>
          <w:rFonts w:cs="Arial"/>
        </w:rPr>
      </w:pPr>
    </w:p>
    <w:p w:rsidR="00B31CA4" w:rsidRPr="00E8313E" w:rsidRDefault="00B31CA4" w:rsidP="00B31CA4">
      <w:pPr>
        <w:rPr>
          <w:rFonts w:cs="Arial"/>
        </w:rPr>
      </w:pPr>
      <w:r w:rsidRPr="00E8313E">
        <w:rPr>
          <w:rFonts w:cs="Arial"/>
        </w:rPr>
        <w:t xml:space="preserve">Con posterioridad y por algunas sugerencias realizadas por los miembros que conforman el GT, se vio la necesidad de realizar algunos ajustes a la mencionada resolución, los cuales se encuentran incorporados en la Resolución CREG 152 de 2013. </w:t>
      </w:r>
    </w:p>
    <w:p w:rsidR="00B31CA4" w:rsidRPr="00E07CE8" w:rsidRDefault="00B31CA4" w:rsidP="00B31CA4">
      <w:pPr>
        <w:rPr>
          <w:rFonts w:cs="Arial"/>
        </w:rPr>
      </w:pPr>
    </w:p>
    <w:p w:rsidR="00B31CA4" w:rsidRDefault="00B31CA4" w:rsidP="00B31CA4">
      <w:pPr>
        <w:rPr>
          <w:rFonts w:cs="Arial"/>
        </w:rPr>
      </w:pPr>
      <w:r w:rsidRPr="00E07CE8">
        <w:rPr>
          <w:rFonts w:cs="Arial"/>
        </w:rPr>
        <w:t xml:space="preserve">Mediante comunicación E-2016-002755, </w:t>
      </w:r>
      <w:proofErr w:type="spellStart"/>
      <w:r w:rsidRPr="00E07CE8">
        <w:rPr>
          <w:rFonts w:cs="Arial"/>
        </w:rPr>
        <w:t>Termobarranquilla</w:t>
      </w:r>
      <w:proofErr w:type="spellEnd"/>
      <w:r w:rsidRPr="00E07CE8">
        <w:rPr>
          <w:rFonts w:cs="Arial"/>
        </w:rPr>
        <w:t xml:space="preserve"> </w:t>
      </w:r>
      <w:r>
        <w:rPr>
          <w:rFonts w:cs="Arial"/>
        </w:rPr>
        <w:t xml:space="preserve">solicitó concepto a la CREG respecto a la posibilidad de que sí el </w:t>
      </w:r>
      <w:r w:rsidR="00726B3F" w:rsidRPr="00AB70B9">
        <w:t>Agente de Infraestructura</w:t>
      </w:r>
      <w:r w:rsidR="00726B3F">
        <w:rPr>
          <w:rFonts w:cs="Arial"/>
        </w:rPr>
        <w:t xml:space="preserve"> - </w:t>
      </w:r>
      <w:r>
        <w:rPr>
          <w:rFonts w:cs="Arial"/>
        </w:rPr>
        <w:t>AI realiza un proceso de compra de GN</w:t>
      </w:r>
      <w:r w:rsidR="00726B3F">
        <w:rPr>
          <w:rFonts w:cs="Arial"/>
        </w:rPr>
        <w:t>I</w:t>
      </w:r>
      <w:r>
        <w:rPr>
          <w:rFonts w:cs="Arial"/>
        </w:rPr>
        <w:t xml:space="preserve"> bajo un proceso de selección objetiva podrían las empresas que hacen parte del GT o los usuarios no térmicos del área de influencia comprar ese gas para sus procesos y sí los miembros del GT pueden adquirir ese gas una vez finalicen las pruebas de puesta en funcionamiento</w:t>
      </w:r>
      <w:r w:rsidR="00726B3F">
        <w:rPr>
          <w:rFonts w:cs="Arial"/>
        </w:rPr>
        <w:t xml:space="preserve"> o </w:t>
      </w:r>
      <w:proofErr w:type="spellStart"/>
      <w:r w:rsidR="00726B3F">
        <w:rPr>
          <w:rFonts w:cs="Arial"/>
        </w:rPr>
        <w:t>comisionamiento</w:t>
      </w:r>
      <w:proofErr w:type="spellEnd"/>
      <w:r>
        <w:rPr>
          <w:rFonts w:cs="Arial"/>
        </w:rPr>
        <w:t>.</w:t>
      </w:r>
    </w:p>
    <w:p w:rsidR="00B31CA4" w:rsidRDefault="00B31CA4" w:rsidP="00B31CA4">
      <w:pPr>
        <w:rPr>
          <w:rFonts w:cs="Arial"/>
        </w:rPr>
      </w:pPr>
    </w:p>
    <w:p w:rsidR="00B31CA4" w:rsidRDefault="00B31CA4" w:rsidP="00B31CA4">
      <w:r w:rsidRPr="00E07CE8">
        <w:rPr>
          <w:rFonts w:cs="Arial"/>
        </w:rPr>
        <w:lastRenderedPageBreak/>
        <w:t>Al respecto la CREG mediante comunicación S-2016-001477 señaló que</w:t>
      </w:r>
      <w:r>
        <w:rPr>
          <w:rFonts w:cs="Arial"/>
        </w:rPr>
        <w:t xml:space="preserve"> de acuerdo con la </w:t>
      </w:r>
      <w:r w:rsidRPr="008D215A">
        <w:t xml:space="preserve">regulación actual la situación </w:t>
      </w:r>
      <w:r>
        <w:t>consultada</w:t>
      </w:r>
      <w:r w:rsidRPr="008D215A">
        <w:t>, no está contemplada dentro de la misma y por lo tant</w:t>
      </w:r>
      <w:r>
        <w:t>o no es procedente adelantar el</w:t>
      </w:r>
      <w:r w:rsidRPr="008D215A">
        <w:t xml:space="preserve"> proceso solicitado.</w:t>
      </w:r>
    </w:p>
    <w:p w:rsidR="00B31CA4" w:rsidRDefault="00B31CA4" w:rsidP="00B31CA4">
      <w:pPr>
        <w:rPr>
          <w:rFonts w:cs="Arial"/>
        </w:rPr>
      </w:pPr>
    </w:p>
    <w:p w:rsidR="00B31CA4" w:rsidRDefault="00B31CA4" w:rsidP="00B31CA4">
      <w:r>
        <w:rPr>
          <w:rFonts w:cs="Arial"/>
        </w:rPr>
        <w:t xml:space="preserve">Con posterioridad </w:t>
      </w:r>
      <w:r w:rsidRPr="00E07CE8">
        <w:rPr>
          <w:rFonts w:cs="Arial"/>
        </w:rPr>
        <w:t>mediante comunicación E-2016-006214</w:t>
      </w:r>
      <w:r w:rsidRPr="00E07CE8">
        <w:rPr>
          <w:rFonts w:ascii="Helv" w:hAnsi="Helv" w:cs="Helv"/>
          <w:sz w:val="20"/>
          <w:szCs w:val="20"/>
          <w:lang w:val="es-CO" w:eastAsia="es-CO"/>
        </w:rPr>
        <w:t xml:space="preserve"> </w:t>
      </w:r>
      <w:proofErr w:type="spellStart"/>
      <w:r w:rsidRPr="00E07CE8">
        <w:rPr>
          <w:rFonts w:cs="Arial"/>
        </w:rPr>
        <w:t>Termobarranquilla</w:t>
      </w:r>
      <w:proofErr w:type="spellEnd"/>
      <w:r w:rsidRPr="00E07CE8">
        <w:rPr>
          <w:rFonts w:cs="Arial"/>
        </w:rPr>
        <w:t xml:space="preserve"> señaló</w:t>
      </w:r>
      <w:r>
        <w:rPr>
          <w:rFonts w:cs="Arial"/>
        </w:rPr>
        <w:t xml:space="preserve"> que con l</w:t>
      </w:r>
      <w:r w:rsidRPr="00AB70B9">
        <w:t xml:space="preserve">a entrada en operación comercial de la Terminal de importación y regasificación de gas natural, </w:t>
      </w:r>
      <w:r>
        <w:t xml:space="preserve">se requieren unas pruebas </w:t>
      </w:r>
      <w:r w:rsidRPr="00AB70B9">
        <w:t>de funcionamiento de la terminal</w:t>
      </w:r>
      <w:r>
        <w:t xml:space="preserve"> y para cumplir con ese propósito s</w:t>
      </w:r>
      <w:r w:rsidRPr="00AB70B9">
        <w:t xml:space="preserve">e requiere una </w:t>
      </w:r>
      <w:r w:rsidRPr="00F66DE9">
        <w:t xml:space="preserve">Unidad Flotante de Almacenamiento </w:t>
      </w:r>
      <w:r>
        <w:t>y</w:t>
      </w:r>
      <w:r w:rsidRPr="00F66DE9">
        <w:t xml:space="preserve"> regasificación </w:t>
      </w:r>
      <w:r w:rsidRPr="00AB70B9">
        <w:t>FSRU</w:t>
      </w:r>
      <w:r>
        <w:t>, por sus siglas en inglés,</w:t>
      </w:r>
      <w:r w:rsidRPr="00AB70B9">
        <w:t xml:space="preserve"> cuya responsabilidad de realizar el </w:t>
      </w:r>
      <w:proofErr w:type="spellStart"/>
      <w:r w:rsidRPr="00AB70B9">
        <w:t>comisionamiento</w:t>
      </w:r>
      <w:proofErr w:type="spellEnd"/>
      <w:r w:rsidRPr="00AB70B9">
        <w:t xml:space="preserve"> es del A</w:t>
      </w:r>
      <w:r w:rsidR="00726B3F">
        <w:t>I</w:t>
      </w:r>
      <w:r w:rsidRPr="00AB70B9">
        <w:t xml:space="preserve">. </w:t>
      </w:r>
    </w:p>
    <w:p w:rsidR="00B31CA4" w:rsidRDefault="00B31CA4" w:rsidP="00B31CA4"/>
    <w:p w:rsidR="00B31CA4" w:rsidRDefault="00B31CA4" w:rsidP="00B31CA4">
      <w:r w:rsidRPr="00C9409E">
        <w:t xml:space="preserve">En tal sentido, se manifiesta que </w:t>
      </w:r>
      <w:r w:rsidR="00726B3F" w:rsidRPr="00C9409E">
        <w:t>el AI</w:t>
      </w:r>
      <w:r w:rsidR="00726B3F" w:rsidRPr="00AB70B9">
        <w:t xml:space="preserve"> </w:t>
      </w:r>
      <w:r w:rsidR="00264B2C">
        <w:t>adelantó</w:t>
      </w:r>
      <w:r w:rsidRPr="00AB70B9">
        <w:t xml:space="preserve"> un proceso competitivo para la selección del proveedor de este GN</w:t>
      </w:r>
      <w:r w:rsidR="00726B3F">
        <w:t>I</w:t>
      </w:r>
      <w:r w:rsidRPr="00AB70B9">
        <w:t xml:space="preserve"> con destino a la realización de la prueba d</w:t>
      </w:r>
      <w:r>
        <w:t>e funcionamiento de la terminal, al respecto se presentan unas inquietudes, frente a la posibilidad de que el AI venda el mencionado gas al AC con destino a que por parte del GT se realicen generaciones de seguridad.</w:t>
      </w:r>
    </w:p>
    <w:p w:rsidR="00B31CA4" w:rsidRDefault="00B31CA4" w:rsidP="00B31CA4"/>
    <w:p w:rsidR="00B31CA4" w:rsidRDefault="00264B2C" w:rsidP="00B31CA4">
      <w:r>
        <w:t>Con base en lo anterior, l</w:t>
      </w:r>
      <w:r w:rsidR="00B31CA4" w:rsidRPr="007D7AE6">
        <w:t xml:space="preserve">a CREG </w:t>
      </w:r>
      <w:r>
        <w:t xml:space="preserve">profirió y publicó </w:t>
      </w:r>
      <w:r w:rsidR="00B31CA4">
        <w:t>par</w:t>
      </w:r>
      <w:r w:rsidR="00B31CA4" w:rsidRPr="007D7AE6">
        <w:t xml:space="preserve">a comentarios la Resolución CREG </w:t>
      </w:r>
      <w:r w:rsidR="00B31CA4">
        <w:t>126 de 2016, el 2</w:t>
      </w:r>
      <w:r w:rsidR="00B31CA4" w:rsidRPr="007D7AE6">
        <w:t>6 de</w:t>
      </w:r>
      <w:r w:rsidR="00B31CA4">
        <w:t xml:space="preserve"> agosto, dándose así cumplimiento a lo dispuesto por el Artículo 8 del Código de Procedimiento Administrativo y de lo Contencioso Administrativo y el Decreto 1078 de 2015.</w:t>
      </w:r>
    </w:p>
    <w:p w:rsidR="00B31CA4" w:rsidRDefault="00B31CA4" w:rsidP="00B31CA4"/>
    <w:p w:rsidR="00B31CA4" w:rsidRPr="007A5CCB" w:rsidRDefault="009B3F35" w:rsidP="00B31CA4">
      <w:pPr>
        <w:rPr>
          <w:rFonts w:cs="Arial"/>
          <w:color w:val="000000" w:themeColor="text1"/>
        </w:rPr>
      </w:pPr>
      <w:r>
        <w:t>S</w:t>
      </w:r>
      <w:r w:rsidR="00B31CA4">
        <w:t>e recibieron comentarios con radicado</w:t>
      </w:r>
      <w:r w:rsidR="00264B2C">
        <w:t xml:space="preserve">s CREG </w:t>
      </w:r>
      <w:r w:rsidR="00B31CA4" w:rsidRPr="003E6DCF">
        <w:t>E-2016-009751</w:t>
      </w:r>
      <w:r w:rsidR="00B31CA4">
        <w:t xml:space="preserve"> de </w:t>
      </w:r>
      <w:r w:rsidR="00B31CA4" w:rsidRPr="003E6DCF">
        <w:t>Camilo Quintero</w:t>
      </w:r>
      <w:r w:rsidR="00B31CA4">
        <w:t xml:space="preserve">, </w:t>
      </w:r>
      <w:r w:rsidR="00B31CA4" w:rsidRPr="003E6DCF">
        <w:t>E-2016-009908</w:t>
      </w:r>
      <w:r w:rsidR="00B31CA4">
        <w:t xml:space="preserve"> de </w:t>
      </w:r>
      <w:r w:rsidR="00B31CA4" w:rsidRPr="003E6DCF">
        <w:t>CNO</w:t>
      </w:r>
      <w:r w:rsidR="00B31CA4">
        <w:t xml:space="preserve"> </w:t>
      </w:r>
      <w:r w:rsidR="00B31CA4" w:rsidRPr="003E6DCF">
        <w:t>gas</w:t>
      </w:r>
      <w:r w:rsidR="00B31CA4">
        <w:t xml:space="preserve">, </w:t>
      </w:r>
      <w:r w:rsidR="00B31CA4" w:rsidRPr="003E6DCF">
        <w:t>E-2016-009909</w:t>
      </w:r>
      <w:r w:rsidR="00B31CA4">
        <w:t xml:space="preserve">, </w:t>
      </w:r>
      <w:proofErr w:type="spellStart"/>
      <w:r w:rsidR="00B31CA4" w:rsidRPr="003E6DCF">
        <w:t>Emgesa</w:t>
      </w:r>
      <w:proofErr w:type="spellEnd"/>
      <w:r w:rsidR="00B31CA4" w:rsidRPr="003E6DCF">
        <w:t xml:space="preserve"> S.A. ESP</w:t>
      </w:r>
      <w:r w:rsidR="00B31CA4">
        <w:t xml:space="preserve">, </w:t>
      </w:r>
      <w:r w:rsidR="00B31CA4" w:rsidRPr="003E6DCF">
        <w:t>E-2016-009918</w:t>
      </w:r>
      <w:r w:rsidR="00B31CA4">
        <w:t xml:space="preserve"> de </w:t>
      </w:r>
      <w:r w:rsidR="00B31CA4" w:rsidRPr="003E6DCF">
        <w:t>Gas Natural S.A. ESP</w:t>
      </w:r>
      <w:r w:rsidR="00B31CA4">
        <w:t xml:space="preserve">, </w:t>
      </w:r>
      <w:r w:rsidR="00B31CA4" w:rsidRPr="003E6DCF">
        <w:t>E-2016-009919</w:t>
      </w:r>
      <w:r w:rsidR="00B31CA4">
        <w:t xml:space="preserve"> de </w:t>
      </w:r>
      <w:r w:rsidR="00B31CA4" w:rsidRPr="003E6DCF">
        <w:t>Ecopetrol S.A E.S.P</w:t>
      </w:r>
      <w:r w:rsidR="00B31CA4">
        <w:t xml:space="preserve">, E-2016-009944 de </w:t>
      </w:r>
      <w:r w:rsidR="00B31CA4" w:rsidRPr="003E6DCF">
        <w:t>TEBSA</w:t>
      </w:r>
      <w:r w:rsidR="00B31CA4">
        <w:t xml:space="preserve">, </w:t>
      </w:r>
      <w:r w:rsidR="00B31CA4" w:rsidRPr="003E6DCF">
        <w:t>E-2016-009951</w:t>
      </w:r>
      <w:r w:rsidR="00B31CA4">
        <w:t xml:space="preserve">de </w:t>
      </w:r>
      <w:proofErr w:type="spellStart"/>
      <w:r w:rsidR="00B31CA4" w:rsidRPr="003E6DCF">
        <w:t>Celsia</w:t>
      </w:r>
      <w:proofErr w:type="spellEnd"/>
      <w:r w:rsidR="00B31CA4" w:rsidRPr="003E6DCF">
        <w:t xml:space="preserve"> S.A. E.S.P.</w:t>
      </w:r>
      <w:r w:rsidR="00B31CA4">
        <w:t xml:space="preserve">, E-2016-010003 de </w:t>
      </w:r>
      <w:r w:rsidR="00B31CA4" w:rsidRPr="003E6DCF">
        <w:t>SPEC</w:t>
      </w:r>
      <w:r w:rsidR="00B31CA4">
        <w:t xml:space="preserve"> y E-2016-010038 de </w:t>
      </w:r>
      <w:r w:rsidR="00B31CA4" w:rsidRPr="003E6DCF">
        <w:t>XM</w:t>
      </w:r>
      <w:r w:rsidR="00B31CA4">
        <w:t xml:space="preserve">. </w:t>
      </w:r>
      <w:r w:rsidR="00B31CA4" w:rsidRPr="007A5CCB">
        <w:rPr>
          <w:rFonts w:cs="Arial"/>
          <w:color w:val="000000" w:themeColor="text1"/>
        </w:rPr>
        <w:t xml:space="preserve">El análisis que sustenta la presente </w:t>
      </w:r>
      <w:r w:rsidR="00B31CA4">
        <w:rPr>
          <w:rFonts w:cs="Arial"/>
          <w:color w:val="000000" w:themeColor="text1"/>
        </w:rPr>
        <w:t>resolución</w:t>
      </w:r>
      <w:r w:rsidR="00B31CA4" w:rsidRPr="007A5CCB">
        <w:rPr>
          <w:rFonts w:cs="Arial"/>
          <w:color w:val="000000" w:themeColor="text1"/>
        </w:rPr>
        <w:t xml:space="preserve"> se encuentra consignado en el documento soporte </w:t>
      </w:r>
      <w:r w:rsidR="00264B2C">
        <w:rPr>
          <w:rFonts w:cs="Arial"/>
          <w:color w:val="000000" w:themeColor="text1"/>
        </w:rPr>
        <w:t xml:space="preserve">No. </w:t>
      </w:r>
      <w:r w:rsidR="00B31CA4">
        <w:rPr>
          <w:rFonts w:cs="Arial"/>
          <w:color w:val="000000" w:themeColor="text1"/>
        </w:rPr>
        <w:t>090 del 10 de octubre</w:t>
      </w:r>
      <w:r w:rsidR="00B31CA4" w:rsidRPr="007A5CCB">
        <w:rPr>
          <w:rFonts w:cs="Arial"/>
          <w:color w:val="000000" w:themeColor="text1"/>
        </w:rPr>
        <w:t xml:space="preserve"> de 2016, el cual hace parte de la presente resolución.</w:t>
      </w:r>
    </w:p>
    <w:p w:rsidR="00B31CA4" w:rsidRDefault="00B31CA4" w:rsidP="00B31CA4"/>
    <w:p w:rsidR="00B31CA4" w:rsidRDefault="00B31CA4" w:rsidP="00B31CA4">
      <w:r>
        <w:t>Según lo señalado en el Decreto 2897 de 2010 y en el Decreto 1074 de 2015, no se informó de esta Resolución a la Superintendencia de Industria y Comercio por cuanto se evaluó que no tiene incidencia sobre la libre competencia.</w:t>
      </w:r>
    </w:p>
    <w:p w:rsidR="00B31CA4" w:rsidRDefault="00B31CA4" w:rsidP="00B31CA4">
      <w:pPr>
        <w:autoSpaceDE w:val="0"/>
        <w:autoSpaceDN w:val="0"/>
        <w:adjustRightInd w:val="0"/>
        <w:rPr>
          <w:rFonts w:cs="Arial"/>
          <w:color w:val="000000" w:themeColor="text1"/>
        </w:rPr>
      </w:pPr>
    </w:p>
    <w:p w:rsidR="00B31CA4" w:rsidRPr="008A6D7A" w:rsidRDefault="00B31CA4" w:rsidP="00B31CA4">
      <w:pPr>
        <w:autoSpaceDE w:val="0"/>
        <w:autoSpaceDN w:val="0"/>
        <w:adjustRightInd w:val="0"/>
        <w:rPr>
          <w:rFonts w:cs="Arial"/>
          <w:color w:val="000000" w:themeColor="text1"/>
        </w:rPr>
      </w:pPr>
      <w:r w:rsidRPr="00E36D03">
        <w:rPr>
          <w:rFonts w:cs="Arial"/>
          <w:color w:val="000000" w:themeColor="text1"/>
        </w:rPr>
        <w:t xml:space="preserve">La Comisión de Regulación de Energía y Gas aprobó el presente acto administrativo en la sesión No. </w:t>
      </w:r>
      <w:r>
        <w:rPr>
          <w:rFonts w:cs="Arial"/>
          <w:color w:val="000000" w:themeColor="text1"/>
        </w:rPr>
        <w:t>735</w:t>
      </w:r>
      <w:r w:rsidRPr="007B4F1A">
        <w:rPr>
          <w:rFonts w:cs="Arial"/>
          <w:color w:val="000000" w:themeColor="text1"/>
        </w:rPr>
        <w:t xml:space="preserve"> del </w:t>
      </w:r>
      <w:r>
        <w:rPr>
          <w:rFonts w:cs="Arial"/>
          <w:color w:val="000000" w:themeColor="text1"/>
        </w:rPr>
        <w:t>10</w:t>
      </w:r>
      <w:r w:rsidRPr="00E36D03">
        <w:rPr>
          <w:rFonts w:cs="Arial"/>
          <w:color w:val="000000" w:themeColor="text1"/>
        </w:rPr>
        <w:t xml:space="preserve"> de </w:t>
      </w:r>
      <w:r>
        <w:rPr>
          <w:rFonts w:cs="Arial"/>
          <w:color w:val="000000" w:themeColor="text1"/>
        </w:rPr>
        <w:t xml:space="preserve">octubre </w:t>
      </w:r>
      <w:r w:rsidRPr="00E36D03">
        <w:rPr>
          <w:rFonts w:cs="Arial"/>
          <w:color w:val="000000" w:themeColor="text1"/>
        </w:rPr>
        <w:t>de 201</w:t>
      </w:r>
      <w:r>
        <w:rPr>
          <w:rFonts w:cs="Arial"/>
          <w:color w:val="000000" w:themeColor="text1"/>
        </w:rPr>
        <w:t>6</w:t>
      </w:r>
      <w:r w:rsidRPr="00E36D03">
        <w:rPr>
          <w:rFonts w:cs="Arial"/>
          <w:color w:val="000000" w:themeColor="text1"/>
        </w:rPr>
        <w:t>.</w:t>
      </w:r>
    </w:p>
    <w:p w:rsidR="00B31CA4" w:rsidRPr="00994C4F" w:rsidRDefault="00B31CA4" w:rsidP="00B31CA4"/>
    <w:p w:rsidR="00C9409E" w:rsidRDefault="00C9409E" w:rsidP="00B31CA4">
      <w:pPr>
        <w:pStyle w:val="Ttulo3"/>
        <w:tabs>
          <w:tab w:val="left" w:pos="0"/>
          <w:tab w:val="right" w:pos="9356"/>
        </w:tabs>
        <w:rPr>
          <w:rFonts w:ascii="Bookman Old Style" w:hAnsi="Bookman Old Style" w:cs="Arial"/>
          <w:color w:val="auto"/>
          <w:spacing w:val="20"/>
          <w:szCs w:val="24"/>
        </w:rPr>
      </w:pPr>
    </w:p>
    <w:p w:rsidR="00B31CA4" w:rsidRPr="00E8313E" w:rsidRDefault="00B31CA4" w:rsidP="00B31CA4">
      <w:pPr>
        <w:pStyle w:val="Ttulo3"/>
        <w:tabs>
          <w:tab w:val="left" w:pos="0"/>
          <w:tab w:val="right" w:pos="9356"/>
        </w:tabs>
        <w:rPr>
          <w:rFonts w:ascii="Bookman Old Style" w:hAnsi="Bookman Old Style" w:cs="Arial"/>
          <w:color w:val="auto"/>
          <w:spacing w:val="20"/>
          <w:szCs w:val="24"/>
        </w:rPr>
      </w:pPr>
      <w:r w:rsidRPr="00E8313E">
        <w:rPr>
          <w:rFonts w:ascii="Bookman Old Style" w:hAnsi="Bookman Old Style" w:cs="Arial"/>
          <w:color w:val="auto"/>
          <w:spacing w:val="20"/>
          <w:szCs w:val="24"/>
        </w:rPr>
        <w:t>R E S U E L V E:</w:t>
      </w:r>
    </w:p>
    <w:p w:rsidR="00B31CA4" w:rsidRPr="00E07CE8" w:rsidRDefault="00B31CA4" w:rsidP="00B31CA4">
      <w:pPr>
        <w:jc w:val="center"/>
        <w:rPr>
          <w:rFonts w:cs="Arial"/>
          <w:b/>
        </w:rPr>
      </w:pPr>
    </w:p>
    <w:p w:rsidR="00B31CA4" w:rsidRPr="00E07CE8" w:rsidRDefault="00B31CA4" w:rsidP="00B31CA4">
      <w:pPr>
        <w:jc w:val="center"/>
        <w:rPr>
          <w:rFonts w:cs="Arial"/>
          <w:b/>
        </w:rPr>
      </w:pPr>
    </w:p>
    <w:p w:rsidR="00B31CA4" w:rsidRPr="00E07CE8" w:rsidRDefault="00B31CA4" w:rsidP="00B31CA4">
      <w:pPr>
        <w:keepNext/>
        <w:outlineLvl w:val="0"/>
        <w:rPr>
          <w:rFonts w:cs="Arial"/>
          <w:lang w:val="es-CO"/>
        </w:rPr>
      </w:pPr>
      <w:r w:rsidRPr="00E07CE8">
        <w:rPr>
          <w:rFonts w:cs="Arial"/>
          <w:b/>
          <w:lang w:val="es-CO"/>
        </w:rPr>
        <w:t xml:space="preserve">Artículo 1. </w:t>
      </w:r>
      <w:r w:rsidRPr="00E07CE8">
        <w:rPr>
          <w:rFonts w:cs="Arial"/>
          <w:lang w:val="es-CO"/>
        </w:rPr>
        <w:t xml:space="preserve">Adicionar el Artículo 1 – Definiciones, de la Resolución 062 de mayo 29 de 2013, así: </w:t>
      </w:r>
    </w:p>
    <w:p w:rsidR="00B31CA4" w:rsidRPr="00E07CE8" w:rsidRDefault="00B31CA4" w:rsidP="00B31CA4">
      <w:pPr>
        <w:rPr>
          <w:lang w:val="es-CO"/>
        </w:rPr>
      </w:pPr>
    </w:p>
    <w:p w:rsidR="00B31CA4" w:rsidRPr="00E07CE8" w:rsidRDefault="00B31CA4" w:rsidP="00B31CA4">
      <w:pPr>
        <w:rPr>
          <w:rFonts w:cs="Arial"/>
          <w:bCs/>
          <w:lang w:val="es-CO"/>
        </w:rPr>
      </w:pPr>
      <w:r w:rsidRPr="00E07CE8">
        <w:rPr>
          <w:rFonts w:cs="Arial"/>
          <w:b/>
          <w:bCs/>
          <w:lang w:val="es-CO"/>
        </w:rPr>
        <w:t xml:space="preserve">Gas </w:t>
      </w:r>
      <w:r>
        <w:rPr>
          <w:rFonts w:cs="Arial"/>
          <w:b/>
          <w:bCs/>
          <w:lang w:val="es-CO"/>
        </w:rPr>
        <w:t xml:space="preserve">de </w:t>
      </w:r>
      <w:r w:rsidRPr="00E07CE8">
        <w:rPr>
          <w:rFonts w:cs="Arial"/>
          <w:b/>
          <w:bCs/>
          <w:lang w:val="es-CO"/>
        </w:rPr>
        <w:t>pruebas</w:t>
      </w:r>
      <w:r>
        <w:rPr>
          <w:rFonts w:cs="Arial"/>
          <w:b/>
          <w:bCs/>
          <w:lang w:val="es-CO"/>
        </w:rPr>
        <w:t xml:space="preserve"> de la</w:t>
      </w:r>
      <w:r w:rsidRPr="00E07CE8">
        <w:rPr>
          <w:rFonts w:cs="Arial"/>
          <w:b/>
          <w:bCs/>
          <w:lang w:val="es-CO"/>
        </w:rPr>
        <w:t xml:space="preserve"> planta regasificación: </w:t>
      </w:r>
      <w:r w:rsidRPr="00E07CE8">
        <w:rPr>
          <w:rFonts w:cs="Arial"/>
          <w:bCs/>
          <w:lang w:val="es-CO"/>
        </w:rPr>
        <w:t xml:space="preserve">Es el </w:t>
      </w:r>
      <w:r>
        <w:rPr>
          <w:rFonts w:cs="Arial"/>
          <w:bCs/>
          <w:lang w:val="es-CO"/>
        </w:rPr>
        <w:t xml:space="preserve">GNL </w:t>
      </w:r>
      <w:r w:rsidRPr="00E07CE8">
        <w:rPr>
          <w:rFonts w:cs="Arial"/>
          <w:bCs/>
          <w:lang w:val="es-CO"/>
        </w:rPr>
        <w:t>adquirido por el AI con el objetivo de adelantar las pruebas que se requieran para la puesta en marcha de la infraestructura de regasificación.</w:t>
      </w:r>
    </w:p>
    <w:p w:rsidR="00B31CA4" w:rsidRPr="00E07CE8" w:rsidRDefault="00B31CA4" w:rsidP="00B31CA4">
      <w:pPr>
        <w:rPr>
          <w:rFonts w:cs="Arial"/>
          <w:b/>
          <w:bCs/>
          <w:lang w:val="es-CO"/>
        </w:rPr>
      </w:pPr>
    </w:p>
    <w:p w:rsidR="00B31CA4" w:rsidRPr="00E07CE8" w:rsidRDefault="00B31CA4" w:rsidP="00B31CA4">
      <w:pPr>
        <w:rPr>
          <w:rFonts w:cs="Arial"/>
          <w:lang w:val="es-CO"/>
        </w:rPr>
      </w:pPr>
      <w:r w:rsidRPr="00E07CE8">
        <w:rPr>
          <w:rFonts w:cs="Arial"/>
          <w:b/>
          <w:bCs/>
          <w:lang w:val="es-CO"/>
        </w:rPr>
        <w:lastRenderedPageBreak/>
        <w:t>Puesta en marcha (</w:t>
      </w:r>
      <w:proofErr w:type="spellStart"/>
      <w:r w:rsidRPr="0051793D">
        <w:rPr>
          <w:rFonts w:cs="Arial"/>
          <w:b/>
          <w:bCs/>
          <w:lang w:val="es-CO"/>
        </w:rPr>
        <w:t>commissioning</w:t>
      </w:r>
      <w:proofErr w:type="spellEnd"/>
      <w:r w:rsidRPr="0051793D">
        <w:rPr>
          <w:rFonts w:cs="Arial"/>
          <w:b/>
          <w:bCs/>
          <w:lang w:val="es-CO"/>
        </w:rPr>
        <w:t xml:space="preserve">) </w:t>
      </w:r>
      <w:r>
        <w:rPr>
          <w:rFonts w:cs="Arial"/>
          <w:b/>
          <w:bCs/>
          <w:lang w:val="es-CO"/>
        </w:rPr>
        <w:t>de la p</w:t>
      </w:r>
      <w:r w:rsidRPr="0051793D">
        <w:rPr>
          <w:rFonts w:cs="Arial"/>
          <w:b/>
          <w:bCs/>
          <w:lang w:val="es-CO"/>
        </w:rPr>
        <w:t>lanta de regasificación:</w:t>
      </w:r>
      <w:r>
        <w:rPr>
          <w:rFonts w:ascii="Arial" w:hAnsi="Arial" w:cs="Arial"/>
          <w:sz w:val="21"/>
          <w:szCs w:val="21"/>
          <w:shd w:val="clear" w:color="auto" w:fill="ECECEC"/>
          <w:lang w:val="es-CO"/>
        </w:rPr>
        <w:t xml:space="preserve"> </w:t>
      </w:r>
      <w:r w:rsidRPr="00E07CE8">
        <w:rPr>
          <w:rFonts w:cs="Arial"/>
          <w:lang w:val="es-CO"/>
        </w:rPr>
        <w:t xml:space="preserve">Proceso mediante el cual la planta de regasificación, realiza </w:t>
      </w:r>
      <w:r>
        <w:rPr>
          <w:rFonts w:cs="Arial"/>
          <w:lang w:val="es-CO"/>
        </w:rPr>
        <w:t>las</w:t>
      </w:r>
      <w:r w:rsidRPr="00E07CE8">
        <w:rPr>
          <w:rFonts w:cs="Arial"/>
          <w:lang w:val="es-CO"/>
        </w:rPr>
        <w:t xml:space="preserve"> pruebas </w:t>
      </w:r>
      <w:r>
        <w:rPr>
          <w:rFonts w:cs="Arial"/>
          <w:lang w:val="es-CO"/>
        </w:rPr>
        <w:t>necesarias para</w:t>
      </w:r>
      <w:r w:rsidRPr="00E07CE8">
        <w:rPr>
          <w:rFonts w:cs="Arial"/>
          <w:lang w:val="es-CO"/>
        </w:rPr>
        <w:t xml:space="preserve"> verificar que su funcionamiento está acorde con los diseños y estándares establecidos</w:t>
      </w:r>
      <w:r>
        <w:rPr>
          <w:rFonts w:cs="Arial"/>
          <w:lang w:val="es-CO"/>
        </w:rPr>
        <w:t xml:space="preserve"> de acuerdo con el proceso de selección objetivo y el contrato suscrito entre el GT y el AI</w:t>
      </w:r>
      <w:r w:rsidRPr="00E07CE8">
        <w:rPr>
          <w:rFonts w:cs="Arial"/>
          <w:lang w:val="es-CO"/>
        </w:rPr>
        <w:t>.</w:t>
      </w:r>
    </w:p>
    <w:p w:rsidR="00B31CA4" w:rsidRPr="00E07CE8" w:rsidRDefault="00B31CA4" w:rsidP="00B31CA4">
      <w:pPr>
        <w:rPr>
          <w:lang w:val="es-CO"/>
        </w:rPr>
      </w:pPr>
    </w:p>
    <w:p w:rsidR="00B31CA4" w:rsidRPr="00E07CE8" w:rsidRDefault="00B31CA4" w:rsidP="00B31CA4">
      <w:pPr>
        <w:pStyle w:val="Ttulo1"/>
      </w:pPr>
      <w:r w:rsidRPr="00E8313E">
        <w:t>Artículo</w:t>
      </w:r>
      <w:r w:rsidRPr="00E07CE8">
        <w:t xml:space="preserve"> 2. </w:t>
      </w:r>
      <w:r w:rsidRPr="00E8313E">
        <w:rPr>
          <w:b w:val="0"/>
        </w:rPr>
        <w:t xml:space="preserve">Adicionar un parágrafo al numeral 2 del Anexo No. 1 de la Resolución 062 de 2013. El </w:t>
      </w:r>
      <w:proofErr w:type="gramStart"/>
      <w:r w:rsidRPr="00E8313E">
        <w:rPr>
          <w:b w:val="0"/>
        </w:rPr>
        <w:t>numeral  2</w:t>
      </w:r>
      <w:proofErr w:type="gramEnd"/>
      <w:r w:rsidRPr="00E8313E">
        <w:rPr>
          <w:b w:val="0"/>
        </w:rPr>
        <w:t xml:space="preserve"> del Anexo No. 1 de la citada Resolución quedará así:</w:t>
      </w:r>
      <w:r w:rsidRPr="00E07CE8">
        <w:t xml:space="preserve"> </w:t>
      </w:r>
    </w:p>
    <w:p w:rsidR="00B31CA4" w:rsidRPr="00E07CE8" w:rsidRDefault="00B31CA4" w:rsidP="00B31CA4">
      <w:pPr>
        <w:rPr>
          <w:rFonts w:cs="Arial"/>
          <w:b/>
          <w:lang w:val="es-CO"/>
        </w:rPr>
      </w:pPr>
    </w:p>
    <w:p w:rsidR="00B31CA4" w:rsidRDefault="00B31CA4" w:rsidP="00B31CA4">
      <w:pPr>
        <w:tabs>
          <w:tab w:val="center" w:pos="0"/>
          <w:tab w:val="left" w:pos="142"/>
        </w:tabs>
        <w:suppressAutoHyphens/>
        <w:ind w:left="284" w:right="51" w:hanging="142"/>
        <w:rPr>
          <w:rFonts w:cs="Arial"/>
        </w:rPr>
      </w:pPr>
      <w:r>
        <w:rPr>
          <w:b/>
          <w:lang w:val="es-CO"/>
        </w:rPr>
        <w:t>“</w:t>
      </w:r>
      <w:r w:rsidRPr="00E07CE8">
        <w:rPr>
          <w:b/>
          <w:lang w:val="es-CO"/>
        </w:rPr>
        <w:t xml:space="preserve">2. </w:t>
      </w:r>
      <w:r w:rsidRPr="00E07CE8">
        <w:rPr>
          <w:b/>
        </w:rPr>
        <w:t xml:space="preserve">Determinación del GT que podrá prestar el servicio de generación de seguridad con GNI.- </w:t>
      </w:r>
      <w:r w:rsidRPr="00E07CE8">
        <w:t>Los</w:t>
      </w:r>
      <w:r w:rsidRPr="00E07CE8">
        <w:rPr>
          <w:b/>
        </w:rPr>
        <w:t xml:space="preserve"> </w:t>
      </w:r>
      <w:r w:rsidRPr="00E07CE8">
        <w:t xml:space="preserve"> Generadores Térmicos que respalden sus obligaciones de energía firme con gas natural importado, conforme a lo dispuesto por las Resoluciones CREG 106, 139 y 182 de 2011 </w:t>
      </w:r>
      <w:r w:rsidRPr="00E07CE8">
        <w:rPr>
          <w:rFonts w:cs="Arial"/>
          <w:bCs/>
        </w:rPr>
        <w:t xml:space="preserve">o aquella (s) que la (s) modifique (n), adicione (n) o sustituya (n) y que son parte de las plantas térmicas que la UPME determinó para prestar el servicio de generaciones de seguridad con GNI y que voluntariamente constituyan un vehículo jurídico para adquirir los derechos y contraer las obligaciones como GT, el cual existirá hasta el momento mismo en que se </w:t>
      </w:r>
      <w:r w:rsidRPr="00E07CE8">
        <w:rPr>
          <w:rFonts w:cs="Arial"/>
        </w:rPr>
        <w:t>reciba a satisfacción y puesta en operación la infraestructura de regasificación por parte del AI y a la selección o constitución en debida forma del Agente Comercializador de GNI – AC.</w:t>
      </w:r>
    </w:p>
    <w:p w:rsidR="00B31CA4" w:rsidRPr="00E07CE8" w:rsidRDefault="00B31CA4" w:rsidP="00B31CA4">
      <w:pPr>
        <w:tabs>
          <w:tab w:val="center" w:pos="0"/>
          <w:tab w:val="left" w:pos="142"/>
        </w:tabs>
        <w:suppressAutoHyphens/>
        <w:ind w:left="284" w:right="51" w:hanging="142"/>
        <w:rPr>
          <w:rFonts w:cs="Arial"/>
        </w:rPr>
      </w:pPr>
    </w:p>
    <w:p w:rsidR="00B31CA4" w:rsidRPr="00E07CE8" w:rsidRDefault="00B31CA4" w:rsidP="00B31CA4">
      <w:pPr>
        <w:tabs>
          <w:tab w:val="center" w:pos="0"/>
          <w:tab w:val="left" w:pos="284"/>
        </w:tabs>
        <w:suppressAutoHyphens/>
        <w:ind w:left="284" w:right="51"/>
        <w:contextualSpacing/>
        <w:rPr>
          <w:rStyle w:val="CharStyle4"/>
          <w:rFonts w:ascii="Bookman Old Style" w:hAnsi="Bookman Old Style"/>
          <w:i w:val="0"/>
          <w:sz w:val="24"/>
          <w:szCs w:val="24"/>
          <w:lang w:eastAsia="es-ES_tradnl"/>
        </w:rPr>
      </w:pPr>
      <w:r w:rsidRPr="00E07CE8">
        <w:rPr>
          <w:rFonts w:eastAsia="Calibri"/>
          <w:b/>
          <w:lang w:val="es-CO" w:eastAsia="en-US"/>
        </w:rPr>
        <w:t xml:space="preserve">PARÁGRAFO PRIMERO.- </w:t>
      </w:r>
      <w:r w:rsidRPr="00E07CE8">
        <w:rPr>
          <w:rStyle w:val="CharStyle4"/>
          <w:rFonts w:ascii="Bookman Old Style" w:hAnsi="Bookman Old Style"/>
          <w:i w:val="0"/>
          <w:sz w:val="24"/>
          <w:szCs w:val="24"/>
          <w:lang w:eastAsia="es-ES_tradnl"/>
        </w:rPr>
        <w:t xml:space="preserve">En el evento de ser necesarias generaciones de seguridad fuera de mérito, cualquier planta y/o unidad térmica que esté recibiendo ingreso regulado, deberá hacerlo conforme a las instrucciones que reciba del CND con gas natural importado suministrado por el AC a través del AI, la cual le será remunerada esta generación a un máximo valor equivalente al costo de operación utilizando el GNI. </w:t>
      </w:r>
    </w:p>
    <w:p w:rsidR="00B31CA4" w:rsidRPr="00DF36B7" w:rsidRDefault="00B31CA4" w:rsidP="00B31CA4">
      <w:pPr>
        <w:tabs>
          <w:tab w:val="center" w:pos="0"/>
          <w:tab w:val="left" w:pos="284"/>
        </w:tabs>
        <w:suppressAutoHyphens/>
        <w:ind w:left="284" w:right="51"/>
        <w:contextualSpacing/>
        <w:rPr>
          <w:rStyle w:val="CharStyle4"/>
          <w:rFonts w:ascii="Bookman Old Style" w:hAnsi="Bookman Old Style"/>
          <w:i w:val="0"/>
          <w:sz w:val="32"/>
          <w:szCs w:val="24"/>
          <w:lang w:eastAsia="es-ES_tradnl"/>
        </w:rPr>
      </w:pPr>
    </w:p>
    <w:p w:rsidR="00B31CA4" w:rsidRPr="00E07CE8" w:rsidRDefault="00B31CA4" w:rsidP="00B31CA4">
      <w:pPr>
        <w:tabs>
          <w:tab w:val="center" w:pos="0"/>
          <w:tab w:val="left" w:pos="284"/>
        </w:tabs>
        <w:suppressAutoHyphens/>
        <w:ind w:left="284" w:right="51"/>
        <w:contextualSpacing/>
        <w:rPr>
          <w:rFonts w:cs="Arial"/>
          <w:bCs/>
          <w:lang w:val="es-CO"/>
        </w:rPr>
      </w:pPr>
      <w:r w:rsidRPr="00E07CE8">
        <w:rPr>
          <w:rFonts w:cs="Arial"/>
          <w:b/>
          <w:bCs/>
          <w:lang w:val="es-CO"/>
        </w:rPr>
        <w:t>PARÁGRAFO SEGUNDO.-</w:t>
      </w:r>
      <w:r w:rsidRPr="00E07CE8">
        <w:rPr>
          <w:rFonts w:cs="Arial"/>
          <w:bCs/>
          <w:lang w:val="es-CO"/>
        </w:rPr>
        <w:t xml:space="preserve">En el caso de realizar generaciones de seguridad con el gas pruebas </w:t>
      </w:r>
      <w:r>
        <w:rPr>
          <w:rFonts w:cs="Arial"/>
          <w:bCs/>
          <w:lang w:val="es-CO"/>
        </w:rPr>
        <w:t xml:space="preserve">de la </w:t>
      </w:r>
      <w:r w:rsidRPr="00E07CE8">
        <w:rPr>
          <w:rFonts w:cs="Arial"/>
          <w:bCs/>
          <w:lang w:val="es-CO"/>
        </w:rPr>
        <w:t>planta regasificación resultante del proceso de puesta en marcha</w:t>
      </w:r>
      <w:r w:rsidRPr="00E07CE8">
        <w:rPr>
          <w:rFonts w:cs="Arial"/>
          <w:b/>
          <w:bCs/>
          <w:lang w:val="es-CO"/>
        </w:rPr>
        <w:t xml:space="preserve"> </w:t>
      </w:r>
      <w:r w:rsidRPr="00E07CE8">
        <w:rPr>
          <w:rFonts w:cs="Arial"/>
          <w:bCs/>
          <w:lang w:val="es-CO"/>
        </w:rPr>
        <w:t xml:space="preserve">por parte del AI es necesario que de parte de este agente, se demuestre al AC que el precio de ese gas fue el resultado de un proceso competitivo y una vez que ello ocurra se le aplicaran las disposiciones </w:t>
      </w:r>
      <w:r>
        <w:rPr>
          <w:rFonts w:cs="Arial"/>
          <w:bCs/>
          <w:lang w:val="es-CO"/>
        </w:rPr>
        <w:t xml:space="preserve">contenidas </w:t>
      </w:r>
      <w:r w:rsidRPr="00E07CE8">
        <w:rPr>
          <w:rFonts w:cs="Arial"/>
          <w:bCs/>
          <w:lang w:val="es-CO"/>
        </w:rPr>
        <w:t xml:space="preserve">en la presente resolución. Este mecanismo tan solo podrá ser utilizado con el gas </w:t>
      </w:r>
      <w:r>
        <w:rPr>
          <w:rFonts w:cs="Arial"/>
          <w:bCs/>
          <w:lang w:val="es-CO"/>
        </w:rPr>
        <w:t xml:space="preserve">de </w:t>
      </w:r>
      <w:r w:rsidRPr="00E07CE8">
        <w:rPr>
          <w:rFonts w:cs="Arial"/>
          <w:bCs/>
          <w:lang w:val="es-CO"/>
        </w:rPr>
        <w:t xml:space="preserve">pruebas </w:t>
      </w:r>
      <w:r>
        <w:rPr>
          <w:rFonts w:cs="Arial"/>
          <w:bCs/>
          <w:lang w:val="es-CO"/>
        </w:rPr>
        <w:t xml:space="preserve">de </w:t>
      </w:r>
      <w:proofErr w:type="gramStart"/>
      <w:r>
        <w:rPr>
          <w:rFonts w:cs="Arial"/>
          <w:bCs/>
          <w:lang w:val="es-CO"/>
        </w:rPr>
        <w:t xml:space="preserve">la  </w:t>
      </w:r>
      <w:r w:rsidRPr="00E07CE8">
        <w:rPr>
          <w:rFonts w:cs="Arial"/>
          <w:bCs/>
          <w:lang w:val="es-CO"/>
        </w:rPr>
        <w:t>planta</w:t>
      </w:r>
      <w:proofErr w:type="gramEnd"/>
      <w:r w:rsidRPr="00E07CE8">
        <w:rPr>
          <w:rFonts w:cs="Arial"/>
          <w:bCs/>
          <w:lang w:val="es-CO"/>
        </w:rPr>
        <w:t xml:space="preserve"> regasificación contratado y requerido durante la puesta en marcha de la infraestructura antes mencionada.</w:t>
      </w:r>
    </w:p>
    <w:p w:rsidR="00B31CA4" w:rsidRPr="00E07CE8" w:rsidRDefault="00B31CA4" w:rsidP="00B31CA4">
      <w:pPr>
        <w:tabs>
          <w:tab w:val="center" w:pos="0"/>
          <w:tab w:val="left" w:pos="284"/>
        </w:tabs>
        <w:suppressAutoHyphens/>
        <w:ind w:left="284" w:right="51"/>
        <w:contextualSpacing/>
        <w:rPr>
          <w:rFonts w:cs="Arial"/>
          <w:bCs/>
          <w:i/>
        </w:rPr>
      </w:pPr>
    </w:p>
    <w:p w:rsidR="00B31CA4" w:rsidRPr="00E07CE8" w:rsidRDefault="00B31CA4" w:rsidP="00B31CA4">
      <w:pPr>
        <w:tabs>
          <w:tab w:val="left" w:pos="284"/>
        </w:tabs>
        <w:ind w:left="284"/>
        <w:rPr>
          <w:rFonts w:cs="Arial"/>
          <w:bCs/>
          <w:lang w:val="es-CO"/>
        </w:rPr>
      </w:pPr>
      <w:r w:rsidRPr="00E07CE8">
        <w:rPr>
          <w:rFonts w:cs="Arial"/>
          <w:b/>
          <w:bCs/>
          <w:lang w:val="es-CO"/>
        </w:rPr>
        <w:t xml:space="preserve">PARÁGRAFO TERCERO.- </w:t>
      </w:r>
      <w:r w:rsidRPr="00E07CE8">
        <w:rPr>
          <w:rFonts w:cs="Arial"/>
          <w:bCs/>
          <w:lang w:val="es-CO"/>
        </w:rPr>
        <w:t xml:space="preserve">El GT deberá enviar el documento que acredite la existencia del vehículo jurídico implementado, dentro de los cuarenta y cinco (45) días siguientes contados a partir de la circular proferida por la CREG como entidad. Así mismo, para esa fecha deberá informar de manera oficial las OEF que cada planta térmica planea respaldar con GNI. </w:t>
      </w:r>
    </w:p>
    <w:p w:rsidR="00B31CA4" w:rsidRPr="00E07CE8" w:rsidRDefault="00B31CA4" w:rsidP="00B31CA4">
      <w:pPr>
        <w:tabs>
          <w:tab w:val="left" w:pos="284"/>
        </w:tabs>
        <w:ind w:left="284"/>
        <w:rPr>
          <w:rFonts w:cs="Arial"/>
          <w:bCs/>
          <w:lang w:val="es-CO"/>
        </w:rPr>
      </w:pPr>
    </w:p>
    <w:p w:rsidR="00B31CA4" w:rsidRPr="00E07CE8" w:rsidRDefault="00B31CA4" w:rsidP="00B31CA4">
      <w:pPr>
        <w:tabs>
          <w:tab w:val="left" w:pos="284"/>
        </w:tabs>
        <w:ind w:left="284"/>
        <w:rPr>
          <w:rFonts w:cs="Arial"/>
          <w:bCs/>
          <w:lang w:val="es-CO"/>
        </w:rPr>
      </w:pPr>
      <w:r w:rsidRPr="00E07CE8">
        <w:rPr>
          <w:rFonts w:cs="Arial"/>
          <w:b/>
          <w:bCs/>
          <w:lang w:val="es-CO"/>
        </w:rPr>
        <w:t xml:space="preserve">PARÁGRAFO CUARTO.- </w:t>
      </w:r>
      <w:r w:rsidRPr="00E07CE8">
        <w:rPr>
          <w:rFonts w:cs="Arial"/>
          <w:bCs/>
          <w:lang w:val="es-CO"/>
        </w:rPr>
        <w:t xml:space="preserve">En el caso en el que se presente más de un GT con la intención de proveer generaciones de seguridad, en un(as) área(s) conforme lo establezca la UPME, sólo se determinará un ingreso regulado, para el GT que cuente con la mayor capacidad de generación total, calculada conforme a las plantas que lo conforman. </w:t>
      </w:r>
    </w:p>
    <w:p w:rsidR="00B31CA4" w:rsidRPr="00E07CE8" w:rsidRDefault="00B31CA4" w:rsidP="00B31CA4">
      <w:pPr>
        <w:tabs>
          <w:tab w:val="left" w:pos="284"/>
        </w:tabs>
        <w:ind w:left="284"/>
        <w:rPr>
          <w:rFonts w:cs="Arial"/>
          <w:bCs/>
          <w:lang w:val="es-CO"/>
        </w:rPr>
      </w:pPr>
      <w:r w:rsidRPr="00E07CE8">
        <w:rPr>
          <w:rFonts w:cs="Arial"/>
          <w:b/>
          <w:bCs/>
          <w:lang w:val="es-CO"/>
        </w:rPr>
        <w:lastRenderedPageBreak/>
        <w:t xml:space="preserve">PARÁGRAFO QUINTO.- </w:t>
      </w:r>
      <w:r w:rsidRPr="00E07CE8">
        <w:rPr>
          <w:rFonts w:cs="Arial"/>
          <w:bCs/>
          <w:lang w:val="es-CO"/>
        </w:rPr>
        <w:t xml:space="preserve">Entre el período comprendido entre la constitución del GT </w:t>
      </w:r>
      <w:proofErr w:type="gramStart"/>
      <w:r w:rsidRPr="00E07CE8">
        <w:rPr>
          <w:rFonts w:cs="Arial"/>
          <w:bCs/>
          <w:lang w:val="es-CO"/>
        </w:rPr>
        <w:t>y  la</w:t>
      </w:r>
      <w:proofErr w:type="gramEnd"/>
      <w:r w:rsidRPr="00E07CE8">
        <w:rPr>
          <w:rFonts w:cs="Arial"/>
          <w:bCs/>
          <w:lang w:val="es-CO"/>
        </w:rPr>
        <w:t xml:space="preserve"> etapa de cierre del proceso de selección del AI, nuevas plantas podrán ingresar a formar parte del GT, de acuerdo con lo informado por la UPME y publicado por la CREG en la Circular No. 031 de 2013 o aquella que la modi</w:t>
      </w:r>
      <w:r>
        <w:rPr>
          <w:rFonts w:cs="Arial"/>
          <w:bCs/>
          <w:lang w:val="es-CO"/>
        </w:rPr>
        <w:t>fique, adicione</w:t>
      </w:r>
      <w:r w:rsidRPr="00E07CE8">
        <w:rPr>
          <w:rFonts w:cs="Arial"/>
          <w:bCs/>
          <w:lang w:val="es-CO"/>
        </w:rPr>
        <w:t xml:space="preserve"> o revoque. Así mismo, se podrán incrementar las OEF planeadas y declaradas inicialmente, por parte de los miembros inicialmente considerados en el GT, así como por aquellos que dentro del plazo antes mencionado, decidan ingresar</w:t>
      </w:r>
      <w:r>
        <w:rPr>
          <w:rFonts w:cs="Arial"/>
          <w:bCs/>
          <w:lang w:val="es-CO"/>
        </w:rPr>
        <w:t>.”</w:t>
      </w:r>
    </w:p>
    <w:p w:rsidR="00B31CA4" w:rsidRPr="00DF36B7" w:rsidRDefault="00B31CA4" w:rsidP="00B31CA4">
      <w:pPr>
        <w:rPr>
          <w:lang w:val="es-CO"/>
        </w:rPr>
      </w:pPr>
    </w:p>
    <w:p w:rsidR="00B31CA4" w:rsidRPr="00E07CE8" w:rsidRDefault="00B31CA4" w:rsidP="00B31CA4">
      <w:pPr>
        <w:pStyle w:val="Ttulo1"/>
      </w:pPr>
      <w:r w:rsidRPr="00E07CE8">
        <w:t xml:space="preserve">Artículo 3. </w:t>
      </w:r>
      <w:r w:rsidRPr="00B93E5A">
        <w:rPr>
          <w:b w:val="0"/>
        </w:rPr>
        <w:t xml:space="preserve">Adicionar </w:t>
      </w:r>
      <w:r w:rsidR="004A2E6F">
        <w:rPr>
          <w:b w:val="0"/>
        </w:rPr>
        <w:t>dos</w:t>
      </w:r>
      <w:r w:rsidRPr="00B93E5A">
        <w:rPr>
          <w:b w:val="0"/>
        </w:rPr>
        <w:t xml:space="preserve"> parágrafo</w:t>
      </w:r>
      <w:r w:rsidR="004A2E6F">
        <w:rPr>
          <w:b w:val="0"/>
        </w:rPr>
        <w:t>s</w:t>
      </w:r>
      <w:r w:rsidRPr="00B93E5A">
        <w:rPr>
          <w:b w:val="0"/>
        </w:rPr>
        <w:t xml:space="preserve"> </w:t>
      </w:r>
      <w:r w:rsidR="004A2E6F">
        <w:rPr>
          <w:b w:val="0"/>
        </w:rPr>
        <w:t xml:space="preserve">al </w:t>
      </w:r>
      <w:r w:rsidRPr="00B93E5A">
        <w:rPr>
          <w:b w:val="0"/>
        </w:rPr>
        <w:t>numeral 3.1 del punto 3 “</w:t>
      </w:r>
      <w:r w:rsidRPr="00B93E5A">
        <w:rPr>
          <w:b w:val="0"/>
          <w:i/>
        </w:rPr>
        <w:t>Escogencia del Agente Comercializador – AC y el Agente de Infraestructura – AI.</w:t>
      </w:r>
      <w:r w:rsidRPr="00B93E5A">
        <w:rPr>
          <w:b w:val="0"/>
        </w:rPr>
        <w:t>”, del Anexo No. 1 de la Resolución 062 de 2013. El numeral 3.1 del Anexo No. 1 de la citada Resolución quedará así:</w:t>
      </w:r>
      <w:r w:rsidRPr="00E07CE8">
        <w:t xml:space="preserve"> </w:t>
      </w:r>
    </w:p>
    <w:p w:rsidR="00B31CA4" w:rsidRPr="00DF36B7" w:rsidRDefault="00B31CA4" w:rsidP="00B31CA4">
      <w:pPr>
        <w:rPr>
          <w:lang w:val="es-CO"/>
        </w:rPr>
      </w:pPr>
    </w:p>
    <w:p w:rsidR="00B31CA4" w:rsidRPr="00E07CE8" w:rsidRDefault="00B31CA4" w:rsidP="00B31CA4">
      <w:pPr>
        <w:tabs>
          <w:tab w:val="center" w:pos="284"/>
          <w:tab w:val="left" w:pos="567"/>
        </w:tabs>
        <w:suppressAutoHyphens/>
        <w:ind w:left="284" w:right="51" w:hanging="142"/>
        <w:contextualSpacing/>
      </w:pPr>
      <w:r>
        <w:rPr>
          <w:b/>
        </w:rPr>
        <w:t>“</w:t>
      </w:r>
      <w:r w:rsidRPr="00E07CE8">
        <w:rPr>
          <w:b/>
        </w:rPr>
        <w:t xml:space="preserve">3.1. EL AC.- </w:t>
      </w:r>
      <w:r w:rsidRPr="00E07CE8">
        <w:t xml:space="preserve">El GT podrá constituir o seleccionar mediante un proceso de selección objetiva, teniendo en cuenta los principios de eficiencia económica y transparencia, al AC, el cual será encargado de la compra del GNL en los mercados internacionales para contar con el gas natural en el evento de ser necesarias generaciones de seguridad, de conformidad con los contratos por el GT o sus miembros individualmente considerados. </w:t>
      </w:r>
    </w:p>
    <w:p w:rsidR="00B31CA4" w:rsidRPr="00E07CE8" w:rsidRDefault="00B31CA4" w:rsidP="00B31CA4">
      <w:pPr>
        <w:tabs>
          <w:tab w:val="center" w:pos="284"/>
          <w:tab w:val="left" w:pos="567"/>
        </w:tabs>
        <w:suppressAutoHyphens/>
        <w:ind w:left="284" w:right="51"/>
        <w:contextualSpacing/>
      </w:pPr>
    </w:p>
    <w:p w:rsidR="00B31CA4" w:rsidRPr="00E07CE8" w:rsidRDefault="00B31CA4" w:rsidP="00B31CA4">
      <w:pPr>
        <w:tabs>
          <w:tab w:val="center" w:pos="284"/>
          <w:tab w:val="left" w:pos="567"/>
        </w:tabs>
        <w:suppressAutoHyphens/>
        <w:ind w:left="284" w:right="51"/>
      </w:pPr>
      <w:r w:rsidRPr="00E07CE8">
        <w:t xml:space="preserve">El AC deberá suscribir contratos de suministro de GNL con mínimo 1 </w:t>
      </w:r>
      <w:proofErr w:type="spellStart"/>
      <w:r w:rsidRPr="00E07CE8">
        <w:t>agregador</w:t>
      </w:r>
      <w:proofErr w:type="spellEnd"/>
      <w:r w:rsidRPr="00E07CE8">
        <w:t xml:space="preserve"> de reconocida experiencia en comercialización de GNL, el cual deberá contar con una experiencia mínima de tres (3) años en el mercado mundial de GNL agregando oferta y demanda, y que registre transacciones mayores a los máximos requerimientos anuales del GT para respaldo de sus OEF. Las condiciones de suministro y formación de los precios de GNL deben ser únicas y servirán tanto para el precio de GNI para respaldo de OEF como de </w:t>
      </w:r>
      <w:proofErr w:type="gramStart"/>
      <w:r w:rsidRPr="00E07CE8">
        <w:t>generaciones  de</w:t>
      </w:r>
      <w:proofErr w:type="gramEnd"/>
      <w:r w:rsidRPr="00E07CE8">
        <w:t xml:space="preserve"> seguridad fuera de mérito. La formación de precios del GNL se establecerá bajo un proceso de selección objetiva realizado por el </w:t>
      </w:r>
      <w:proofErr w:type="spellStart"/>
      <w:r w:rsidRPr="00E07CE8">
        <w:t>agregador</w:t>
      </w:r>
      <w:proofErr w:type="spellEnd"/>
      <w:r w:rsidRPr="00E07CE8">
        <w:t xml:space="preserve"> o </w:t>
      </w:r>
      <w:proofErr w:type="spellStart"/>
      <w:r w:rsidRPr="00E07CE8">
        <w:t>agregadores</w:t>
      </w:r>
      <w:proofErr w:type="spellEnd"/>
      <w:r w:rsidRPr="00E07CE8">
        <w:t>, proceso que debe estar enmarcado dentro de los principios de transparencia y eficiencia económica.</w:t>
      </w:r>
    </w:p>
    <w:p w:rsidR="00B31CA4" w:rsidRPr="00E07CE8" w:rsidRDefault="00B31CA4" w:rsidP="00B31CA4">
      <w:pPr>
        <w:tabs>
          <w:tab w:val="center" w:pos="284"/>
          <w:tab w:val="left" w:pos="567"/>
        </w:tabs>
        <w:suppressAutoHyphens/>
        <w:ind w:left="284" w:right="51"/>
      </w:pPr>
    </w:p>
    <w:p w:rsidR="00B31CA4" w:rsidRDefault="00B31CA4" w:rsidP="00B31CA4">
      <w:pPr>
        <w:tabs>
          <w:tab w:val="center" w:pos="284"/>
          <w:tab w:val="left" w:pos="567"/>
        </w:tabs>
        <w:suppressAutoHyphens/>
        <w:ind w:left="284" w:right="51"/>
        <w:contextualSpacing/>
      </w:pPr>
      <w:r w:rsidRPr="00E07CE8">
        <w:t>En caso que la generación de seguridad sea fuera de mérito el costo de suministro de combustible - CSC a reconocer, conforme a lo establecido en la resolución CREG 034 de 2001 o aquella que la modifique, adicione o sustituya</w:t>
      </w:r>
      <w:proofErr w:type="gramStart"/>
      <w:r w:rsidRPr="00E07CE8">
        <w:t>,</w:t>
      </w:r>
      <w:r>
        <w:t xml:space="preserve"> </w:t>
      </w:r>
      <w:r w:rsidRPr="00E07CE8">
        <w:t xml:space="preserve"> será</w:t>
      </w:r>
      <w:proofErr w:type="gramEnd"/>
      <w:r w:rsidRPr="00E07CE8">
        <w:t xml:space="preserve"> el precio de GNL más el costo variable de regasificación a suministrar por el Agente de Infraestructura contratado más un margen de máximo de comercialización correspondiente al 1.67%.</w:t>
      </w:r>
      <w:r>
        <w:t xml:space="preserve"> En todo caso a este combustible al momento de aplicar la Resolución CREG 034 de 2001 el CSC podrá superar el precio máximo regulado para el gas natural en el punto </w:t>
      </w:r>
      <w:proofErr w:type="gramStart"/>
      <w:r>
        <w:t>de  entrada</w:t>
      </w:r>
      <w:proofErr w:type="gramEnd"/>
      <w:r>
        <w:t xml:space="preserve"> del sistema.</w:t>
      </w:r>
    </w:p>
    <w:p w:rsidR="00B31CA4" w:rsidRPr="00E07CE8" w:rsidRDefault="00B31CA4" w:rsidP="00B31CA4">
      <w:pPr>
        <w:tabs>
          <w:tab w:val="center" w:pos="284"/>
          <w:tab w:val="left" w:pos="567"/>
        </w:tabs>
        <w:suppressAutoHyphens/>
        <w:ind w:left="284" w:right="51"/>
        <w:contextualSpacing/>
      </w:pPr>
    </w:p>
    <w:p w:rsidR="00B31CA4" w:rsidRDefault="00B31CA4" w:rsidP="00B31CA4">
      <w:pPr>
        <w:tabs>
          <w:tab w:val="center" w:pos="284"/>
          <w:tab w:val="left" w:pos="567"/>
        </w:tabs>
        <w:suppressAutoHyphens/>
        <w:ind w:left="284" w:right="51"/>
        <w:contextualSpacing/>
        <w:rPr>
          <w:rStyle w:val="CharStyle4"/>
          <w:rFonts w:ascii="Bookman Old Style" w:hAnsi="Bookman Old Style"/>
          <w:i w:val="0"/>
          <w:sz w:val="24"/>
          <w:szCs w:val="24"/>
          <w:lang w:eastAsia="es-ES_tradnl"/>
        </w:rPr>
      </w:pPr>
      <w:r w:rsidRPr="00E07CE8">
        <w:rPr>
          <w:rFonts w:eastAsia="Calibri"/>
          <w:b/>
          <w:lang w:val="es-CO" w:eastAsia="en-US"/>
        </w:rPr>
        <w:t>PARÁGRAFO</w:t>
      </w:r>
      <w:r>
        <w:rPr>
          <w:rFonts w:eastAsia="Calibri"/>
          <w:b/>
          <w:lang w:val="es-CO" w:eastAsia="en-US"/>
        </w:rPr>
        <w:t xml:space="preserve"> </w:t>
      </w:r>
      <w:r w:rsidRPr="00E07CE8">
        <w:rPr>
          <w:rFonts w:eastAsia="Calibri"/>
          <w:b/>
          <w:lang w:val="es-CO" w:eastAsia="en-US"/>
        </w:rPr>
        <w:t xml:space="preserve">PRIMERO.- </w:t>
      </w:r>
      <w:r w:rsidRPr="00E07CE8">
        <w:rPr>
          <w:rStyle w:val="CharStyle4"/>
          <w:rFonts w:ascii="Bookman Old Style" w:hAnsi="Bookman Old Style"/>
          <w:i w:val="0"/>
          <w:sz w:val="24"/>
          <w:szCs w:val="24"/>
          <w:lang w:eastAsia="es-ES_tradnl"/>
        </w:rPr>
        <w:t>En el evento de realizar generaciones de seguridad con el gas de pruebas proveniente de la puesta en marcha de la infraestructura de regasificación el costo de suministro de combustible a reconocer será el resultante del proceso competitivo que en su momento sea adelantado y demostrado por parte del AI y validado mediante comunicación por parte del AC</w:t>
      </w:r>
      <w:r>
        <w:rPr>
          <w:rStyle w:val="CharStyle4"/>
          <w:rFonts w:ascii="Bookman Old Style" w:hAnsi="Bookman Old Style"/>
          <w:i w:val="0"/>
          <w:sz w:val="24"/>
          <w:szCs w:val="24"/>
          <w:lang w:eastAsia="es-ES_tradnl"/>
        </w:rPr>
        <w:t xml:space="preserve">, el cual en todo caso no incluirá el margen de </w:t>
      </w:r>
      <w:r>
        <w:rPr>
          <w:rStyle w:val="CharStyle4"/>
          <w:rFonts w:ascii="Bookman Old Style" w:hAnsi="Bookman Old Style"/>
          <w:i w:val="0"/>
          <w:sz w:val="24"/>
          <w:szCs w:val="24"/>
          <w:lang w:eastAsia="es-ES_tradnl"/>
        </w:rPr>
        <w:lastRenderedPageBreak/>
        <w:t>comercialización a que se refiere el presente numeral</w:t>
      </w:r>
      <w:r w:rsidRPr="00E07CE8">
        <w:rPr>
          <w:rStyle w:val="CharStyle4"/>
          <w:rFonts w:ascii="Bookman Old Style" w:hAnsi="Bookman Old Style"/>
          <w:i w:val="0"/>
          <w:sz w:val="24"/>
          <w:szCs w:val="24"/>
          <w:lang w:eastAsia="es-ES_tradnl"/>
        </w:rPr>
        <w:t>.</w:t>
      </w:r>
      <w:r>
        <w:rPr>
          <w:rStyle w:val="CharStyle4"/>
          <w:rFonts w:ascii="Bookman Old Style" w:hAnsi="Bookman Old Style"/>
          <w:i w:val="0"/>
          <w:sz w:val="24"/>
          <w:szCs w:val="24"/>
          <w:lang w:eastAsia="es-ES_tradnl"/>
        </w:rPr>
        <w:t xml:space="preserve"> Solo en ese evento podrá ser adelantada la negoción entre el AI y el AC.</w:t>
      </w:r>
    </w:p>
    <w:p w:rsidR="00B31CA4" w:rsidRDefault="00B31CA4" w:rsidP="00B31CA4">
      <w:pPr>
        <w:tabs>
          <w:tab w:val="center" w:pos="284"/>
          <w:tab w:val="left" w:pos="567"/>
        </w:tabs>
        <w:suppressAutoHyphens/>
        <w:ind w:left="284" w:right="51"/>
        <w:contextualSpacing/>
        <w:rPr>
          <w:rStyle w:val="CharStyle4"/>
          <w:rFonts w:ascii="Bookman Old Style" w:hAnsi="Bookman Old Style"/>
          <w:i w:val="0"/>
          <w:sz w:val="24"/>
          <w:szCs w:val="24"/>
          <w:lang w:eastAsia="es-ES_tradnl"/>
        </w:rPr>
      </w:pPr>
    </w:p>
    <w:p w:rsidR="00B31CA4" w:rsidRDefault="00B31CA4" w:rsidP="00B31CA4">
      <w:pPr>
        <w:tabs>
          <w:tab w:val="center" w:pos="284"/>
          <w:tab w:val="left" w:pos="567"/>
        </w:tabs>
        <w:suppressAutoHyphens/>
        <w:ind w:left="284" w:right="51"/>
        <w:contextualSpacing/>
        <w:rPr>
          <w:rStyle w:val="CharStyle4"/>
          <w:rFonts w:ascii="Bookman Old Style" w:hAnsi="Bookman Old Style"/>
          <w:i w:val="0"/>
          <w:sz w:val="24"/>
          <w:szCs w:val="24"/>
          <w:lang w:eastAsia="es-ES_tradnl"/>
        </w:rPr>
      </w:pPr>
      <w:r w:rsidRPr="00E07CE8">
        <w:rPr>
          <w:rFonts w:eastAsia="Calibri"/>
          <w:b/>
          <w:lang w:val="es-CO" w:eastAsia="en-US"/>
        </w:rPr>
        <w:t>PARÁGRAFO</w:t>
      </w:r>
      <w:r>
        <w:rPr>
          <w:rStyle w:val="CharStyle4"/>
          <w:rFonts w:ascii="Bookman Old Style" w:hAnsi="Bookman Old Style"/>
          <w:i w:val="0"/>
          <w:sz w:val="24"/>
          <w:szCs w:val="24"/>
          <w:lang w:eastAsia="es-ES_tradnl"/>
        </w:rPr>
        <w:t xml:space="preserve"> </w:t>
      </w:r>
      <w:r w:rsidRPr="00E07CE8">
        <w:rPr>
          <w:rFonts w:cs="Arial"/>
          <w:b/>
          <w:bCs/>
          <w:lang w:val="es-CO"/>
        </w:rPr>
        <w:t>SEGUNDO</w:t>
      </w:r>
      <w:r>
        <w:rPr>
          <w:rStyle w:val="CharStyle4"/>
          <w:rFonts w:ascii="Bookman Old Style" w:hAnsi="Bookman Old Style"/>
          <w:i w:val="0"/>
          <w:sz w:val="24"/>
          <w:szCs w:val="24"/>
          <w:lang w:eastAsia="es-ES_tradnl"/>
        </w:rPr>
        <w:t xml:space="preserve"> E</w:t>
      </w:r>
      <w:r w:rsidRPr="00E07CE8">
        <w:rPr>
          <w:rStyle w:val="CharStyle4"/>
          <w:rFonts w:ascii="Bookman Old Style" w:hAnsi="Bookman Old Style"/>
          <w:i w:val="0"/>
          <w:sz w:val="24"/>
          <w:szCs w:val="24"/>
          <w:lang w:eastAsia="es-ES_tradnl"/>
        </w:rPr>
        <w:t xml:space="preserve">l gas de pruebas proveniente de la puesta en marcha de la infraestructura de regasificación </w:t>
      </w:r>
      <w:r>
        <w:rPr>
          <w:rStyle w:val="CharStyle4"/>
          <w:rFonts w:ascii="Bookman Old Style" w:hAnsi="Bookman Old Style"/>
          <w:i w:val="0"/>
          <w:sz w:val="24"/>
          <w:szCs w:val="24"/>
          <w:lang w:eastAsia="es-ES_tradnl"/>
        </w:rPr>
        <w:t>que se utilice para la generación en mérito se calculará entre el AI y el AC con base en el precio de bolsa de la energía eléctrica.</w:t>
      </w:r>
      <w:r w:rsidR="009B3F35">
        <w:rPr>
          <w:rStyle w:val="CharStyle4"/>
          <w:rFonts w:ascii="Bookman Old Style" w:hAnsi="Bookman Old Style"/>
          <w:i w:val="0"/>
          <w:sz w:val="24"/>
          <w:szCs w:val="24"/>
          <w:lang w:eastAsia="es-ES_tradnl"/>
        </w:rPr>
        <w:t>”</w:t>
      </w:r>
    </w:p>
    <w:p w:rsidR="00B31CA4" w:rsidRPr="00E07CE8" w:rsidRDefault="00B31CA4" w:rsidP="00B31CA4">
      <w:pPr>
        <w:tabs>
          <w:tab w:val="center" w:pos="0"/>
          <w:tab w:val="left" w:pos="567"/>
        </w:tabs>
        <w:suppressAutoHyphens/>
        <w:ind w:right="51"/>
        <w:contextualSpacing/>
      </w:pPr>
    </w:p>
    <w:p w:rsidR="00B31CA4" w:rsidRPr="00E07CE8" w:rsidRDefault="00B31CA4" w:rsidP="00B31CA4">
      <w:pPr>
        <w:pStyle w:val="Ttulo1"/>
      </w:pPr>
      <w:r w:rsidRPr="00E07CE8">
        <w:t xml:space="preserve">Artículo 4. </w:t>
      </w:r>
      <w:r w:rsidRPr="00B93E5A">
        <w:rPr>
          <w:b w:val="0"/>
        </w:rPr>
        <w:t>Modificar el numeral 3.2 “</w:t>
      </w:r>
      <w:r w:rsidRPr="00B93E5A">
        <w:rPr>
          <w:b w:val="0"/>
          <w:i/>
        </w:rPr>
        <w:t>Escogencia del Agente Comercializador – AC y el Agente de Infraestructura – AI</w:t>
      </w:r>
      <w:r w:rsidRPr="00B93E5A">
        <w:rPr>
          <w:b w:val="0"/>
        </w:rPr>
        <w:t>” del punto 3 del Anexo No. 1 de la Resolución 062 de 2013. El numeral 3.2 del Anexo No.1 de la citada Resolución quedará así:</w:t>
      </w:r>
      <w:r w:rsidRPr="00E07CE8">
        <w:t xml:space="preserve"> </w:t>
      </w:r>
    </w:p>
    <w:p w:rsidR="00B31CA4" w:rsidRPr="00E07CE8" w:rsidRDefault="00B31CA4" w:rsidP="00B31CA4">
      <w:pPr>
        <w:tabs>
          <w:tab w:val="center" w:pos="0"/>
          <w:tab w:val="left" w:pos="567"/>
        </w:tabs>
        <w:suppressAutoHyphens/>
        <w:ind w:right="51"/>
        <w:rPr>
          <w:lang w:val="es-CO"/>
        </w:rPr>
      </w:pPr>
    </w:p>
    <w:p w:rsidR="00B31CA4" w:rsidRPr="00E07CE8" w:rsidRDefault="00B31CA4" w:rsidP="00B31CA4">
      <w:pPr>
        <w:tabs>
          <w:tab w:val="center" w:pos="284"/>
          <w:tab w:val="left" w:pos="567"/>
        </w:tabs>
        <w:suppressAutoHyphens/>
        <w:ind w:left="284" w:right="51" w:hanging="142"/>
        <w:contextualSpacing/>
      </w:pPr>
      <w:r>
        <w:rPr>
          <w:b/>
        </w:rPr>
        <w:t>“</w:t>
      </w:r>
      <w:r w:rsidRPr="00E07CE8">
        <w:rPr>
          <w:b/>
        </w:rPr>
        <w:t xml:space="preserve">3.2. EL AI.- </w:t>
      </w:r>
      <w:r w:rsidRPr="00E07CE8">
        <w:t xml:space="preserve">El </w:t>
      </w:r>
      <w:proofErr w:type="gramStart"/>
      <w:r w:rsidRPr="00E07CE8">
        <w:t>GT  mediante</w:t>
      </w:r>
      <w:proofErr w:type="gramEnd"/>
      <w:r w:rsidRPr="00E07CE8">
        <w:t xml:space="preserve"> un proceso de selección objetiva, deberá escoger al AI, el cual será el encargado de la construcción, administración, operación y mantenimiento de la infraestructura que prestará el servicio para el recibo de importaciones de GNL, almacenarlo, </w:t>
      </w:r>
      <w:proofErr w:type="spellStart"/>
      <w:r w:rsidRPr="00E07CE8">
        <w:t>regasificarlo</w:t>
      </w:r>
      <w:proofErr w:type="spellEnd"/>
      <w:r w:rsidRPr="00E07CE8">
        <w:t xml:space="preserve"> y colocarlo en un punto de entrada al SNT, para lo cual el GT o los miembros individualmente considerados del mismo deberán suscribir los contratos respectivos con el AI escogido.</w:t>
      </w:r>
    </w:p>
    <w:p w:rsidR="00B31CA4" w:rsidRPr="00E07CE8" w:rsidRDefault="00B31CA4" w:rsidP="00B31CA4">
      <w:pPr>
        <w:tabs>
          <w:tab w:val="center" w:pos="284"/>
          <w:tab w:val="left" w:pos="567"/>
        </w:tabs>
        <w:suppressAutoHyphens/>
        <w:ind w:left="284" w:right="51"/>
        <w:contextualSpacing/>
      </w:pPr>
    </w:p>
    <w:p w:rsidR="00B31CA4" w:rsidRPr="00E07CE8" w:rsidRDefault="00B31CA4" w:rsidP="00B31CA4">
      <w:pPr>
        <w:tabs>
          <w:tab w:val="center" w:pos="284"/>
          <w:tab w:val="left" w:pos="567"/>
        </w:tabs>
        <w:suppressAutoHyphens/>
        <w:ind w:left="284" w:right="51"/>
        <w:contextualSpacing/>
      </w:pPr>
      <w:r w:rsidRPr="00E07CE8">
        <w:t xml:space="preserve">Para este fin, el GT deberá publicar en un diario de amplia circulación nacional, el aviso de apertura del proceso, para que todos los interesados tengan acceso libre a la consulta de los términos de referencia, en donde se establecerán todas las condiciones técnicas, económicas y de tiempos de la contratación, las cuales deben ser objetivas sin direccionar la selección a un proponente interesado; dejando en claro que la disponibilidad de la infraestructura será los 360 días al año y cumplir  las exigencias de tiempo para </w:t>
      </w:r>
      <w:proofErr w:type="spellStart"/>
      <w:r w:rsidRPr="00E07CE8">
        <w:t>redespacho</w:t>
      </w:r>
      <w:proofErr w:type="spellEnd"/>
      <w:r w:rsidRPr="00E07CE8">
        <w:t xml:space="preserve"> de las plantas del GT, impartidas por parte del CND en caso de ser necesarias las generaciones de las plantas del GT durante el día de operación.</w:t>
      </w:r>
    </w:p>
    <w:p w:rsidR="00B31CA4" w:rsidRPr="00E07CE8" w:rsidRDefault="00B31CA4" w:rsidP="00B31CA4">
      <w:pPr>
        <w:tabs>
          <w:tab w:val="center" w:pos="284"/>
          <w:tab w:val="left" w:pos="567"/>
        </w:tabs>
        <w:suppressAutoHyphens/>
        <w:ind w:left="284" w:right="51"/>
        <w:contextualSpacing/>
      </w:pPr>
    </w:p>
    <w:p w:rsidR="00B31CA4" w:rsidRPr="00E07CE8" w:rsidRDefault="00B31CA4" w:rsidP="00B31CA4">
      <w:pPr>
        <w:widowControl w:val="0"/>
        <w:tabs>
          <w:tab w:val="center" w:pos="284"/>
        </w:tabs>
        <w:ind w:left="284"/>
        <w:rPr>
          <w:bCs/>
          <w:kern w:val="28"/>
          <w:lang w:val="es-ES_tradnl" w:eastAsia="es-CO"/>
        </w:rPr>
      </w:pPr>
      <w:r w:rsidRPr="00E07CE8">
        <w:rPr>
          <w:rFonts w:cs="Arial"/>
        </w:rPr>
        <w:t xml:space="preserve">Para obtener el valor eficiente de dicho contrato el GT utilizará el mecanismo del proceso de selección objetiva, el cual deberá tener en cuenta los siguientes criterios: </w:t>
      </w:r>
    </w:p>
    <w:p w:rsidR="00B31CA4" w:rsidRPr="00E07CE8" w:rsidRDefault="00B31CA4" w:rsidP="00B31CA4">
      <w:pPr>
        <w:widowControl w:val="0"/>
        <w:ind w:left="851"/>
        <w:rPr>
          <w:bCs/>
          <w:kern w:val="28"/>
          <w:lang w:val="es-ES_tradnl" w:eastAsia="es-CO"/>
        </w:rPr>
      </w:pPr>
    </w:p>
    <w:p w:rsidR="00B31CA4" w:rsidRPr="00E07CE8" w:rsidRDefault="00B31CA4" w:rsidP="00B31CA4">
      <w:pPr>
        <w:numPr>
          <w:ilvl w:val="0"/>
          <w:numId w:val="10"/>
        </w:numPr>
        <w:ind w:left="1276" w:right="-28" w:hanging="425"/>
        <w:contextualSpacing/>
        <w:rPr>
          <w:bCs/>
          <w:kern w:val="28"/>
          <w:lang w:val="es-ES_tradnl" w:eastAsia="es-CO"/>
        </w:rPr>
      </w:pPr>
      <w:r w:rsidRPr="00E07CE8">
        <w:rPr>
          <w:rFonts w:cs="Arial"/>
          <w:lang w:val="es-CO"/>
        </w:rPr>
        <w:t>Transparencia: entendida como la definición previa y aplicación de reglas explícitas y públicas para las empresas interesadas en participar en el proceso de selección.</w:t>
      </w:r>
    </w:p>
    <w:p w:rsidR="00B31CA4" w:rsidRPr="00E07CE8" w:rsidRDefault="00B31CA4" w:rsidP="00B31CA4">
      <w:pPr>
        <w:ind w:left="1724" w:right="-28" w:hanging="425"/>
        <w:contextualSpacing/>
        <w:rPr>
          <w:bCs/>
          <w:kern w:val="28"/>
          <w:lang w:val="es-ES_tradnl" w:eastAsia="es-CO"/>
        </w:rPr>
      </w:pPr>
    </w:p>
    <w:p w:rsidR="00B31CA4" w:rsidRPr="00E07CE8" w:rsidRDefault="00B31CA4" w:rsidP="00B31CA4">
      <w:pPr>
        <w:numPr>
          <w:ilvl w:val="0"/>
          <w:numId w:val="10"/>
        </w:numPr>
        <w:ind w:left="1276" w:right="-28" w:hanging="425"/>
        <w:contextualSpacing/>
        <w:rPr>
          <w:bCs/>
          <w:kern w:val="28"/>
          <w:lang w:val="es-ES_tradnl" w:eastAsia="es-CO"/>
        </w:rPr>
      </w:pPr>
      <w:r w:rsidRPr="00E07CE8">
        <w:rPr>
          <w:bCs/>
          <w:kern w:val="28"/>
          <w:lang w:val="es-ES_tradnl" w:eastAsia="es-CO"/>
        </w:rPr>
        <w:t>Eficiencia económica: entendida como la escogencia de la propuesta de mínimo costo.</w:t>
      </w:r>
    </w:p>
    <w:p w:rsidR="00B31CA4" w:rsidRPr="00E07CE8" w:rsidRDefault="00B31CA4" w:rsidP="00B31CA4">
      <w:pPr>
        <w:ind w:left="1276" w:right="-28"/>
        <w:contextualSpacing/>
        <w:rPr>
          <w:bCs/>
          <w:kern w:val="28"/>
          <w:lang w:val="es-ES_tradnl" w:eastAsia="es-CO"/>
        </w:rPr>
      </w:pPr>
    </w:p>
    <w:p w:rsidR="00B31CA4" w:rsidRPr="00E07CE8" w:rsidRDefault="00B31CA4" w:rsidP="00B31CA4">
      <w:pPr>
        <w:numPr>
          <w:ilvl w:val="0"/>
          <w:numId w:val="10"/>
        </w:numPr>
        <w:ind w:left="1276" w:right="-28" w:hanging="425"/>
        <w:contextualSpacing/>
        <w:rPr>
          <w:bCs/>
          <w:kern w:val="28"/>
          <w:lang w:val="es-ES_tradnl" w:eastAsia="es-CO"/>
        </w:rPr>
      </w:pPr>
      <w:r w:rsidRPr="00E07CE8">
        <w:rPr>
          <w:bCs/>
          <w:kern w:val="28"/>
          <w:lang w:val="es-ES_tradnl" w:eastAsia="es-CO"/>
        </w:rPr>
        <w:t>La apertura de los sobres que contienen las propuestas económicas, deberá realizarse mediante audiencia pública, a la cual podrán asistir todos y cada uno de los proponentes que hayan presentado oferta económica dentro del mencionado proceso de selección.</w:t>
      </w:r>
    </w:p>
    <w:p w:rsidR="00B31CA4" w:rsidRPr="00E07CE8" w:rsidRDefault="00B31CA4" w:rsidP="00B31CA4">
      <w:pPr>
        <w:ind w:left="916" w:right="-28"/>
        <w:contextualSpacing/>
        <w:rPr>
          <w:bCs/>
          <w:kern w:val="28"/>
          <w:lang w:val="es-ES_tradnl" w:eastAsia="es-CO"/>
        </w:rPr>
      </w:pPr>
    </w:p>
    <w:p w:rsidR="00B31CA4" w:rsidRPr="00E07CE8" w:rsidRDefault="00B31CA4" w:rsidP="00B31CA4">
      <w:pPr>
        <w:numPr>
          <w:ilvl w:val="0"/>
          <w:numId w:val="10"/>
        </w:numPr>
        <w:spacing w:after="200" w:line="276" w:lineRule="auto"/>
        <w:ind w:left="1276" w:right="-28" w:hanging="425"/>
        <w:contextualSpacing/>
        <w:rPr>
          <w:rFonts w:eastAsia="Calibri"/>
          <w:bCs/>
          <w:kern w:val="28"/>
          <w:lang w:val="es-ES_tradnl" w:eastAsia="es-CO"/>
        </w:rPr>
      </w:pPr>
      <w:r w:rsidRPr="00E07CE8">
        <w:rPr>
          <w:rFonts w:eastAsia="Calibri"/>
          <w:bCs/>
          <w:kern w:val="28"/>
          <w:lang w:val="es-ES_tradnl" w:eastAsia="es-CO"/>
        </w:rPr>
        <w:lastRenderedPageBreak/>
        <w:t xml:space="preserve">Para su aplicación se entenderá por información relevante la siguiente relacionada con las distintas actividades del </w:t>
      </w:r>
      <w:r w:rsidRPr="00E07CE8">
        <w:rPr>
          <w:rFonts w:eastAsia="Calibri" w:cs="Arial"/>
          <w:lang w:val="es-CO" w:eastAsia="en-US"/>
        </w:rPr>
        <w:t>proceso de selección objetiva</w:t>
      </w:r>
      <w:r w:rsidRPr="00E07CE8">
        <w:rPr>
          <w:rFonts w:eastAsia="Calibri"/>
          <w:bCs/>
          <w:kern w:val="28"/>
          <w:lang w:val="es-ES_tradnl" w:eastAsia="es-CO"/>
        </w:rPr>
        <w:t>:</w:t>
      </w:r>
    </w:p>
    <w:p w:rsidR="00B31CA4" w:rsidRPr="00E07CE8" w:rsidRDefault="00B31CA4" w:rsidP="00B31CA4">
      <w:pPr>
        <w:spacing w:after="200" w:line="276" w:lineRule="auto"/>
        <w:ind w:left="1276" w:right="-28"/>
        <w:contextualSpacing/>
        <w:rPr>
          <w:rFonts w:eastAsia="Calibri"/>
          <w:bCs/>
          <w:kern w:val="28"/>
          <w:lang w:val="es-ES_tradnl" w:eastAsia="es-CO"/>
        </w:rPr>
      </w:pPr>
    </w:p>
    <w:p w:rsidR="00B31CA4" w:rsidRPr="00E07CE8" w:rsidRDefault="00B31CA4" w:rsidP="00B31CA4">
      <w:pPr>
        <w:numPr>
          <w:ilvl w:val="0"/>
          <w:numId w:val="11"/>
        </w:numPr>
        <w:ind w:right="-28" w:hanging="448"/>
        <w:contextualSpacing/>
        <w:rPr>
          <w:rFonts w:cs="Arial"/>
          <w:lang w:val="es-CO"/>
        </w:rPr>
      </w:pPr>
      <w:r w:rsidRPr="00E07CE8">
        <w:rPr>
          <w:rFonts w:cs="Arial"/>
          <w:lang w:val="es-CO"/>
        </w:rPr>
        <w:t>Documentos que evidencien la publicidad de las reglas del proceso de selección objetiva y de las eventuales modificaciones a las mismas.</w:t>
      </w:r>
    </w:p>
    <w:p w:rsidR="00B31CA4" w:rsidRPr="00E07CE8" w:rsidRDefault="00B31CA4" w:rsidP="00B31CA4">
      <w:pPr>
        <w:ind w:left="1276" w:right="-28" w:hanging="448"/>
        <w:contextualSpacing/>
        <w:rPr>
          <w:rFonts w:cs="Arial"/>
          <w:lang w:val="es-CO"/>
        </w:rPr>
      </w:pPr>
    </w:p>
    <w:p w:rsidR="00B31CA4" w:rsidRPr="00E07CE8" w:rsidRDefault="00B31CA4" w:rsidP="00B31CA4">
      <w:pPr>
        <w:numPr>
          <w:ilvl w:val="0"/>
          <w:numId w:val="11"/>
        </w:numPr>
        <w:ind w:right="-28" w:hanging="448"/>
        <w:contextualSpacing/>
        <w:rPr>
          <w:rFonts w:cs="Arial"/>
          <w:lang w:val="es-CO"/>
        </w:rPr>
      </w:pPr>
      <w:r w:rsidRPr="00E07CE8">
        <w:rPr>
          <w:rFonts w:cs="Arial"/>
          <w:lang w:val="es-CO"/>
        </w:rPr>
        <w:t xml:space="preserve">Descripción de las reglas utilizadas en el proceso de selección objetiva que evidencie que la escogencia del adjudicatario se basa en criterios de </w:t>
      </w:r>
      <w:r w:rsidRPr="00E07CE8">
        <w:rPr>
          <w:bCs/>
          <w:kern w:val="28"/>
          <w:lang w:val="es-ES_tradnl" w:eastAsia="es-CO"/>
        </w:rPr>
        <w:t>mínimo costo.</w:t>
      </w:r>
    </w:p>
    <w:p w:rsidR="00B31CA4" w:rsidRPr="00E07CE8" w:rsidRDefault="00B31CA4" w:rsidP="00B31CA4">
      <w:pPr>
        <w:ind w:left="708" w:hanging="448"/>
        <w:rPr>
          <w:rFonts w:cs="Arial"/>
          <w:lang w:val="es-CO"/>
        </w:rPr>
      </w:pPr>
    </w:p>
    <w:p w:rsidR="00B31CA4" w:rsidRPr="00E07CE8" w:rsidRDefault="00B31CA4" w:rsidP="00B31CA4">
      <w:pPr>
        <w:numPr>
          <w:ilvl w:val="0"/>
          <w:numId w:val="11"/>
        </w:numPr>
        <w:ind w:right="-28" w:hanging="448"/>
        <w:contextualSpacing/>
        <w:rPr>
          <w:rFonts w:cs="Arial"/>
          <w:lang w:val="es-CO"/>
        </w:rPr>
      </w:pPr>
      <w:r w:rsidRPr="00E07CE8">
        <w:rPr>
          <w:rFonts w:cs="Arial"/>
          <w:lang w:val="es-CO"/>
        </w:rPr>
        <w:t>Descripción de los procedimientos de aplicación de las reglas de escogencia del adjudicatario.</w:t>
      </w:r>
    </w:p>
    <w:p w:rsidR="00B31CA4" w:rsidRPr="00E07CE8" w:rsidRDefault="00B31CA4" w:rsidP="00B31CA4">
      <w:pPr>
        <w:ind w:left="1724" w:right="-28"/>
        <w:contextualSpacing/>
        <w:rPr>
          <w:rFonts w:cs="Arial"/>
          <w:lang w:val="es-CO"/>
        </w:rPr>
      </w:pPr>
    </w:p>
    <w:p w:rsidR="00B31CA4" w:rsidRPr="00E07CE8" w:rsidRDefault="00B31CA4" w:rsidP="00B31CA4">
      <w:pPr>
        <w:numPr>
          <w:ilvl w:val="0"/>
          <w:numId w:val="11"/>
        </w:numPr>
        <w:rPr>
          <w:rFonts w:cs="Arial"/>
          <w:lang w:val="es-CO"/>
        </w:rPr>
      </w:pPr>
      <w:r w:rsidRPr="00E07CE8">
        <w:rPr>
          <w:rFonts w:cs="Arial"/>
          <w:lang w:val="es-CO"/>
        </w:rPr>
        <w:t xml:space="preserve">Valores resultantes del proceso de adjudicación. Valores que corresponden a un costo variable de regasificación, el cual deberá ser </w:t>
      </w:r>
      <w:proofErr w:type="gramStart"/>
      <w:r w:rsidRPr="00E07CE8">
        <w:rPr>
          <w:rFonts w:cs="Arial"/>
          <w:lang w:val="es-CO"/>
        </w:rPr>
        <w:t>expresado  en</w:t>
      </w:r>
      <w:proofErr w:type="gramEnd"/>
      <w:r w:rsidRPr="00E07CE8">
        <w:rPr>
          <w:rFonts w:cs="Arial"/>
          <w:lang w:val="es-CO"/>
        </w:rPr>
        <w:t xml:space="preserve"> US/</w:t>
      </w:r>
      <w:proofErr w:type="spellStart"/>
      <w:r w:rsidRPr="00E07CE8">
        <w:rPr>
          <w:rFonts w:cs="Arial"/>
          <w:lang w:val="es-CO"/>
        </w:rPr>
        <w:t>Mpcd</w:t>
      </w:r>
      <w:proofErr w:type="spellEnd"/>
      <w:r w:rsidRPr="00E07CE8">
        <w:rPr>
          <w:rFonts w:cs="Arial"/>
          <w:lang w:val="es-CO"/>
        </w:rPr>
        <w:t xml:space="preserve">, cuya indexación deberá ser determinada por el GT y  un valor anual, a dólares de la fecha de adjudicación, uniforme por diez (10) años. </w:t>
      </w:r>
    </w:p>
    <w:p w:rsidR="00B31CA4" w:rsidRPr="00E07CE8" w:rsidRDefault="00B31CA4" w:rsidP="00B31CA4">
      <w:pPr>
        <w:ind w:left="1724"/>
        <w:rPr>
          <w:rFonts w:cs="Arial"/>
          <w:lang w:val="es-CO"/>
        </w:rPr>
      </w:pPr>
    </w:p>
    <w:p w:rsidR="00B31CA4" w:rsidRPr="00E07CE8" w:rsidRDefault="00B31CA4" w:rsidP="00B31CA4">
      <w:pPr>
        <w:numPr>
          <w:ilvl w:val="0"/>
          <w:numId w:val="11"/>
        </w:numPr>
        <w:rPr>
          <w:rFonts w:cs="Arial"/>
          <w:lang w:val="es-CO"/>
        </w:rPr>
      </w:pPr>
      <w:r w:rsidRPr="00E07CE8">
        <w:rPr>
          <w:rFonts w:cs="Arial"/>
          <w:lang w:val="es-CO"/>
        </w:rPr>
        <w:t xml:space="preserve">Un informe de auditoría en donde se de fe de que el proceso de adjudicación del AI se </w:t>
      </w:r>
      <w:proofErr w:type="spellStart"/>
      <w:r w:rsidRPr="00E07CE8">
        <w:rPr>
          <w:rFonts w:cs="Arial"/>
          <w:lang w:val="es-CO"/>
        </w:rPr>
        <w:t>sujeto</w:t>
      </w:r>
      <w:proofErr w:type="spellEnd"/>
      <w:r w:rsidRPr="00E07CE8">
        <w:rPr>
          <w:rFonts w:cs="Arial"/>
          <w:lang w:val="es-CO"/>
        </w:rPr>
        <w:t xml:space="preserve"> a los principios de transparencia y eficiencia económica antes mencionados. </w:t>
      </w:r>
    </w:p>
    <w:p w:rsidR="00B31CA4" w:rsidRPr="00E07CE8" w:rsidRDefault="00B31CA4" w:rsidP="00B31CA4">
      <w:pPr>
        <w:ind w:left="851" w:right="-28"/>
        <w:contextualSpacing/>
        <w:rPr>
          <w:bCs/>
          <w:kern w:val="28"/>
          <w:lang w:val="es-CO" w:eastAsia="es-CO"/>
        </w:rPr>
      </w:pPr>
    </w:p>
    <w:p w:rsidR="00B31CA4" w:rsidRPr="00E07CE8" w:rsidRDefault="00B31CA4" w:rsidP="00B31CA4">
      <w:pPr>
        <w:numPr>
          <w:ilvl w:val="0"/>
          <w:numId w:val="10"/>
        </w:numPr>
        <w:tabs>
          <w:tab w:val="center" w:pos="0"/>
          <w:tab w:val="left" w:pos="567"/>
        </w:tabs>
        <w:suppressAutoHyphens/>
        <w:ind w:left="1276" w:right="51" w:hanging="425"/>
        <w:contextualSpacing/>
        <w:rPr>
          <w:rFonts w:eastAsia="Calibri"/>
          <w:lang w:val="es-CO" w:eastAsia="en-US"/>
        </w:rPr>
      </w:pPr>
      <w:r w:rsidRPr="00E07CE8">
        <w:rPr>
          <w:rFonts w:eastAsia="Calibri"/>
          <w:lang w:val="es-CO" w:eastAsia="en-US"/>
        </w:rPr>
        <w:t>EL GT solicitará al AI los contratos de construcción de la infraestructura, junto con la curva S y el cronograma de construcción. El GT presentará estos documentos a la CREG, conforme se establece en el literal b. del numeral iv. del artículo 13 de la Resolución CREG 139 de 2011 o aquella que la modifique, adicione o sustituya.</w:t>
      </w:r>
    </w:p>
    <w:p w:rsidR="00B31CA4" w:rsidRPr="00E07CE8" w:rsidRDefault="00B31CA4" w:rsidP="00B31CA4">
      <w:pPr>
        <w:tabs>
          <w:tab w:val="center" w:pos="284"/>
          <w:tab w:val="left" w:pos="567"/>
        </w:tabs>
        <w:suppressAutoHyphens/>
        <w:ind w:left="284" w:right="51"/>
        <w:contextualSpacing/>
        <w:rPr>
          <w:lang w:val="es-CO"/>
        </w:rPr>
      </w:pPr>
    </w:p>
    <w:p w:rsidR="00B31CA4" w:rsidRPr="00E07CE8" w:rsidRDefault="00B31CA4" w:rsidP="00B31CA4">
      <w:pPr>
        <w:tabs>
          <w:tab w:val="center" w:pos="284"/>
          <w:tab w:val="left" w:pos="567"/>
        </w:tabs>
        <w:suppressAutoHyphens/>
        <w:ind w:left="284" w:right="51"/>
        <w:contextualSpacing/>
        <w:rPr>
          <w:lang w:val="es-CO"/>
        </w:rPr>
      </w:pPr>
      <w:r w:rsidRPr="00E07CE8">
        <w:rPr>
          <w:b/>
          <w:lang w:val="es-CO"/>
        </w:rPr>
        <w:t xml:space="preserve">PARÁGRAFO PRIMERO.- </w:t>
      </w:r>
      <w:r w:rsidRPr="00E07CE8">
        <w:rPr>
          <w:lang w:val="es-CO"/>
        </w:rPr>
        <w:t xml:space="preserve">La firma de auditoría deberá ser de carácter internacional y no deberá realizar actividades de revisoría fiscal en ninguno de los participantes en el proceso, ni en los miembros del GT. </w:t>
      </w:r>
    </w:p>
    <w:p w:rsidR="00B31CA4" w:rsidRPr="00E07CE8" w:rsidRDefault="00B31CA4" w:rsidP="00B31CA4">
      <w:pPr>
        <w:tabs>
          <w:tab w:val="center" w:pos="284"/>
          <w:tab w:val="left" w:pos="567"/>
        </w:tabs>
        <w:suppressAutoHyphens/>
        <w:ind w:left="284" w:right="51"/>
        <w:contextualSpacing/>
        <w:rPr>
          <w:lang w:val="es-CO"/>
        </w:rPr>
      </w:pPr>
    </w:p>
    <w:p w:rsidR="00B31CA4" w:rsidRPr="00E07CE8" w:rsidRDefault="00B31CA4" w:rsidP="00B31CA4">
      <w:pPr>
        <w:tabs>
          <w:tab w:val="center" w:pos="284"/>
        </w:tabs>
        <w:ind w:left="284"/>
        <w:rPr>
          <w:lang w:val="es-CO"/>
        </w:rPr>
      </w:pPr>
      <w:r w:rsidRPr="00E07CE8">
        <w:rPr>
          <w:b/>
          <w:lang w:val="es-CO"/>
        </w:rPr>
        <w:t xml:space="preserve">PARÁGRAFO SEGUNDO.- </w:t>
      </w:r>
      <w:r w:rsidRPr="00E07CE8">
        <w:rPr>
          <w:lang w:val="es-CO"/>
        </w:rPr>
        <w:t xml:space="preserve">El GT podrá solicitar diferentes alternativas de almacenamiento tales como tanques en tierra o barcos (FSU por sus siglas en ingles) que a la vez pueden tener facilidades para </w:t>
      </w:r>
      <w:proofErr w:type="spellStart"/>
      <w:r w:rsidRPr="00E07CE8">
        <w:rPr>
          <w:lang w:val="es-CO"/>
        </w:rPr>
        <w:t>regasificar</w:t>
      </w:r>
      <w:proofErr w:type="spellEnd"/>
      <w:r w:rsidRPr="00E07CE8">
        <w:rPr>
          <w:lang w:val="es-CO"/>
        </w:rPr>
        <w:t xml:space="preserve"> el GNL (FSUR por sus siglas en inglés), o una combinación entre ambos esquemas por etapas. No obstante el GT deberá solicitar la misma capacidad mínima de almacenamiento para la presentación de las diferentes propuestas.</w:t>
      </w:r>
    </w:p>
    <w:p w:rsidR="00B31CA4" w:rsidRPr="00E07CE8" w:rsidRDefault="00B31CA4" w:rsidP="00B31CA4">
      <w:pPr>
        <w:tabs>
          <w:tab w:val="center" w:pos="284"/>
          <w:tab w:val="left" w:pos="567"/>
        </w:tabs>
        <w:suppressAutoHyphens/>
        <w:ind w:left="284" w:right="51"/>
        <w:contextualSpacing/>
        <w:rPr>
          <w:b/>
          <w:lang w:val="es-CO"/>
        </w:rPr>
      </w:pPr>
    </w:p>
    <w:p w:rsidR="00B31CA4" w:rsidRPr="00C9409E" w:rsidRDefault="00B31CA4" w:rsidP="00B31CA4">
      <w:pPr>
        <w:tabs>
          <w:tab w:val="center" w:pos="284"/>
          <w:tab w:val="left" w:pos="567"/>
        </w:tabs>
        <w:suppressAutoHyphens/>
        <w:ind w:left="284" w:right="51"/>
        <w:contextualSpacing/>
        <w:rPr>
          <w:lang w:val="es-CO"/>
        </w:rPr>
      </w:pPr>
      <w:r w:rsidRPr="00E07CE8">
        <w:rPr>
          <w:b/>
          <w:lang w:val="es-CO"/>
        </w:rPr>
        <w:t>PARÁGRAFO TERCERO</w:t>
      </w:r>
      <w:r w:rsidRPr="00C9409E">
        <w:rPr>
          <w:b/>
          <w:lang w:val="es-CO"/>
        </w:rPr>
        <w:t xml:space="preserve">.- </w:t>
      </w:r>
      <w:r w:rsidRPr="00C9409E">
        <w:t>P</w:t>
      </w:r>
      <w:r w:rsidRPr="00C9409E">
        <w:rPr>
          <w:lang w:val="es-CO"/>
        </w:rPr>
        <w:t>ara la puesta en marcha (</w:t>
      </w:r>
      <w:proofErr w:type="spellStart"/>
      <w:r w:rsidRPr="00C9409E">
        <w:rPr>
          <w:lang w:val="es-CO"/>
        </w:rPr>
        <w:t>commissioning</w:t>
      </w:r>
      <w:proofErr w:type="spellEnd"/>
      <w:r w:rsidRPr="00C9409E">
        <w:rPr>
          <w:lang w:val="es-CO"/>
        </w:rPr>
        <w:t>) de la planta de regasificación, las responsabilidades de los agentes se definen a continuación:</w:t>
      </w:r>
    </w:p>
    <w:p w:rsidR="00B31CA4" w:rsidRPr="00C9409E" w:rsidRDefault="00B31CA4" w:rsidP="00B31CA4">
      <w:pPr>
        <w:tabs>
          <w:tab w:val="center" w:pos="284"/>
          <w:tab w:val="left" w:pos="567"/>
        </w:tabs>
        <w:suppressAutoHyphens/>
        <w:ind w:left="284" w:right="51"/>
        <w:contextualSpacing/>
        <w:rPr>
          <w:b/>
          <w:lang w:val="es-CO"/>
        </w:rPr>
      </w:pPr>
    </w:p>
    <w:p w:rsidR="00B31CA4" w:rsidRPr="00C9409E" w:rsidRDefault="00B31CA4" w:rsidP="00B31CA4">
      <w:pPr>
        <w:pStyle w:val="Prrafodelista"/>
        <w:numPr>
          <w:ilvl w:val="0"/>
          <w:numId w:val="18"/>
        </w:numPr>
        <w:rPr>
          <w:rFonts w:ascii="Bookman Old Style" w:hAnsi="Bookman Old Style"/>
          <w:sz w:val="24"/>
          <w:szCs w:val="24"/>
        </w:rPr>
      </w:pPr>
      <w:r w:rsidRPr="00C9409E">
        <w:rPr>
          <w:rFonts w:ascii="Bookman Old Style" w:hAnsi="Bookman Old Style"/>
          <w:sz w:val="24"/>
          <w:szCs w:val="24"/>
        </w:rPr>
        <w:t>El AI y el transportador</w:t>
      </w:r>
      <w:r w:rsidR="008D7927" w:rsidRPr="00C9409E">
        <w:rPr>
          <w:rFonts w:ascii="Bookman Old Style" w:hAnsi="Bookman Old Style"/>
          <w:sz w:val="24"/>
          <w:szCs w:val="24"/>
        </w:rPr>
        <w:t xml:space="preserve"> de manera conjunta,</w:t>
      </w:r>
      <w:r w:rsidRPr="00C9409E">
        <w:rPr>
          <w:rFonts w:ascii="Bookman Old Style" w:hAnsi="Bookman Old Style"/>
          <w:sz w:val="24"/>
          <w:szCs w:val="24"/>
        </w:rPr>
        <w:t xml:space="preserve"> deberán enviar 20 días antes al inicio de la puesta en marcha de la planta de regasificación, </w:t>
      </w:r>
      <w:r w:rsidR="008D7927" w:rsidRPr="00C9409E">
        <w:rPr>
          <w:rFonts w:ascii="Bookman Old Style" w:hAnsi="Bookman Old Style"/>
          <w:sz w:val="24"/>
          <w:szCs w:val="24"/>
        </w:rPr>
        <w:t xml:space="preserve">al </w:t>
      </w:r>
      <w:r w:rsidR="008D7927" w:rsidRPr="00C9409E">
        <w:rPr>
          <w:rFonts w:ascii="Bookman Old Style" w:hAnsi="Bookman Old Style"/>
          <w:sz w:val="24"/>
          <w:szCs w:val="24"/>
        </w:rPr>
        <w:lastRenderedPageBreak/>
        <w:t xml:space="preserve">CNO gas, un </w:t>
      </w:r>
      <w:r w:rsidRPr="00C9409E">
        <w:rPr>
          <w:rFonts w:ascii="Bookman Old Style" w:hAnsi="Bookman Old Style"/>
          <w:sz w:val="24"/>
          <w:szCs w:val="24"/>
        </w:rPr>
        <w:t xml:space="preserve">plan de coordinación operativa para </w:t>
      </w:r>
      <w:r w:rsidR="008D7927" w:rsidRPr="00C9409E">
        <w:rPr>
          <w:rFonts w:ascii="Bookman Old Style" w:hAnsi="Bookman Old Style"/>
          <w:sz w:val="24"/>
          <w:szCs w:val="24"/>
        </w:rPr>
        <w:t xml:space="preserve">adelantar </w:t>
      </w:r>
      <w:r w:rsidRPr="00C9409E">
        <w:rPr>
          <w:rFonts w:ascii="Bookman Old Style" w:hAnsi="Bookman Old Style"/>
          <w:sz w:val="24"/>
          <w:szCs w:val="24"/>
        </w:rPr>
        <w:t>las pruebas de la planta de regasificación</w:t>
      </w:r>
      <w:r w:rsidR="008D7927" w:rsidRPr="00C9409E">
        <w:rPr>
          <w:rFonts w:ascii="Bookman Old Style" w:hAnsi="Bookman Old Style"/>
          <w:sz w:val="24"/>
          <w:szCs w:val="24"/>
        </w:rPr>
        <w:t xml:space="preserve">. En el mismo, se debe incluir </w:t>
      </w:r>
      <w:r w:rsidRPr="00C9409E">
        <w:rPr>
          <w:rFonts w:ascii="Bookman Old Style" w:hAnsi="Bookman Old Style"/>
          <w:sz w:val="24"/>
          <w:szCs w:val="24"/>
        </w:rPr>
        <w:t xml:space="preserve">la documentación donde de manera detallada </w:t>
      </w:r>
      <w:r w:rsidR="008D7927" w:rsidRPr="00C9409E">
        <w:rPr>
          <w:rFonts w:ascii="Bookman Old Style" w:hAnsi="Bookman Old Style"/>
          <w:sz w:val="24"/>
          <w:szCs w:val="24"/>
        </w:rPr>
        <w:t xml:space="preserve">se presente </w:t>
      </w:r>
      <w:r w:rsidRPr="00C9409E">
        <w:rPr>
          <w:rFonts w:ascii="Bookman Old Style" w:hAnsi="Bookman Old Style"/>
          <w:sz w:val="24"/>
          <w:szCs w:val="24"/>
        </w:rPr>
        <w:t>el proceso de coordinación, incluye</w:t>
      </w:r>
      <w:r w:rsidR="008D7927" w:rsidRPr="00C9409E">
        <w:rPr>
          <w:rFonts w:ascii="Bookman Old Style" w:hAnsi="Bookman Old Style"/>
          <w:sz w:val="24"/>
          <w:szCs w:val="24"/>
        </w:rPr>
        <w:t>ndo</w:t>
      </w:r>
      <w:r w:rsidRPr="00C9409E">
        <w:rPr>
          <w:rFonts w:ascii="Bookman Old Style" w:hAnsi="Bookman Old Style"/>
          <w:sz w:val="24"/>
          <w:szCs w:val="24"/>
        </w:rPr>
        <w:t xml:space="preserve"> el periodo de las pruebas propuesto.</w:t>
      </w:r>
    </w:p>
    <w:p w:rsidR="00B31CA4" w:rsidRDefault="00B31CA4" w:rsidP="00B31CA4">
      <w:pPr>
        <w:pStyle w:val="Prrafodelista"/>
        <w:numPr>
          <w:ilvl w:val="0"/>
          <w:numId w:val="18"/>
        </w:numPr>
        <w:tabs>
          <w:tab w:val="center" w:pos="284"/>
          <w:tab w:val="left" w:pos="567"/>
        </w:tabs>
        <w:suppressAutoHyphens/>
        <w:ind w:right="51"/>
        <w:rPr>
          <w:rFonts w:ascii="Bookman Old Style" w:hAnsi="Bookman Old Style"/>
          <w:sz w:val="24"/>
          <w:szCs w:val="24"/>
        </w:rPr>
      </w:pPr>
      <w:r>
        <w:rPr>
          <w:rFonts w:ascii="Bookman Old Style" w:hAnsi="Bookman Old Style"/>
          <w:sz w:val="24"/>
          <w:szCs w:val="24"/>
        </w:rPr>
        <w:t>El CNO gas en concordancia con las funciones que desde el punto de vista normativo y regulatorio se le han asignado, deberá dentro de los 20 días anteriores a la puesta en marcha de la planta de regasificación, realizar las observaciones que considere pertinentes respecto del proceso que se haya propuesto por parte del AI y el transportador para adelantar las pruebas de la puesta en marcha de la planta de regasificación.</w:t>
      </w:r>
    </w:p>
    <w:p w:rsidR="00B31CA4" w:rsidRPr="00C9409E" w:rsidRDefault="00B31CA4" w:rsidP="00B31CA4">
      <w:pPr>
        <w:pStyle w:val="Prrafodelista"/>
        <w:numPr>
          <w:ilvl w:val="0"/>
          <w:numId w:val="18"/>
        </w:numPr>
        <w:tabs>
          <w:tab w:val="center" w:pos="284"/>
          <w:tab w:val="left" w:pos="567"/>
        </w:tabs>
        <w:suppressAutoHyphens/>
        <w:ind w:right="51"/>
        <w:rPr>
          <w:rFonts w:ascii="Bookman Old Style" w:hAnsi="Bookman Old Style"/>
        </w:rPr>
      </w:pPr>
      <w:r>
        <w:rPr>
          <w:rFonts w:ascii="Bookman Old Style" w:hAnsi="Bookman Old Style"/>
          <w:sz w:val="24"/>
          <w:szCs w:val="24"/>
        </w:rPr>
        <w:t xml:space="preserve">El AI y el transportador serán responsables de ajustar el proceso propuesto acorde </w:t>
      </w:r>
      <w:r w:rsidR="008D7927">
        <w:rPr>
          <w:rFonts w:ascii="Bookman Old Style" w:hAnsi="Bookman Old Style"/>
          <w:sz w:val="24"/>
          <w:szCs w:val="24"/>
        </w:rPr>
        <w:t xml:space="preserve">con </w:t>
      </w:r>
      <w:r>
        <w:rPr>
          <w:rFonts w:ascii="Bookman Old Style" w:hAnsi="Bookman Old Style"/>
          <w:sz w:val="24"/>
          <w:szCs w:val="24"/>
        </w:rPr>
        <w:t>los comentarios, solicitud de aclaraciones</w:t>
      </w:r>
      <w:r w:rsidR="008D7927">
        <w:rPr>
          <w:rFonts w:ascii="Bookman Old Style" w:hAnsi="Bookman Old Style"/>
          <w:sz w:val="24"/>
          <w:szCs w:val="24"/>
        </w:rPr>
        <w:t xml:space="preserve"> </w:t>
      </w:r>
      <w:r>
        <w:rPr>
          <w:rFonts w:ascii="Bookman Old Style" w:hAnsi="Bookman Old Style"/>
          <w:sz w:val="24"/>
          <w:szCs w:val="24"/>
        </w:rPr>
        <w:t>y sugerencias de</w:t>
      </w:r>
      <w:r w:rsidR="008D7927">
        <w:rPr>
          <w:rFonts w:ascii="Bookman Old Style" w:hAnsi="Bookman Old Style"/>
          <w:sz w:val="24"/>
          <w:szCs w:val="24"/>
        </w:rPr>
        <w:t>l</w:t>
      </w:r>
      <w:r>
        <w:rPr>
          <w:rFonts w:ascii="Bookman Old Style" w:hAnsi="Bookman Old Style"/>
          <w:sz w:val="24"/>
          <w:szCs w:val="24"/>
        </w:rPr>
        <w:t xml:space="preserve"> CNO gas; a partir de dichos comentarios y sugerencias </w:t>
      </w:r>
      <w:r w:rsidRPr="00C9409E">
        <w:rPr>
          <w:rFonts w:ascii="Bookman Old Style" w:hAnsi="Bookman Old Style"/>
          <w:sz w:val="24"/>
          <w:szCs w:val="24"/>
        </w:rPr>
        <w:t>el AI y el transportador ajustaran el documento final del plan de pruebas.</w:t>
      </w:r>
    </w:p>
    <w:p w:rsidR="00B31CA4" w:rsidRPr="00C9409E" w:rsidRDefault="00B31CA4" w:rsidP="00B31CA4">
      <w:pPr>
        <w:pStyle w:val="Prrafodelista"/>
        <w:numPr>
          <w:ilvl w:val="0"/>
          <w:numId w:val="18"/>
        </w:numPr>
        <w:tabs>
          <w:tab w:val="center" w:pos="284"/>
          <w:tab w:val="left" w:pos="567"/>
        </w:tabs>
        <w:suppressAutoHyphens/>
        <w:ind w:right="51"/>
        <w:rPr>
          <w:rFonts w:ascii="Bookman Old Style" w:hAnsi="Bookman Old Style"/>
        </w:rPr>
      </w:pPr>
      <w:r w:rsidRPr="00C9409E">
        <w:rPr>
          <w:rFonts w:ascii="Bookman Old Style" w:hAnsi="Bookman Old Style"/>
          <w:sz w:val="24"/>
          <w:szCs w:val="24"/>
        </w:rPr>
        <w:t>Con base en el documento final, durante el periodo de pruebas el CNO gas realizará la verificación del proceso.</w:t>
      </w:r>
    </w:p>
    <w:p w:rsidR="00B31CA4" w:rsidRDefault="00B31CA4" w:rsidP="00B31CA4">
      <w:pPr>
        <w:pStyle w:val="Prrafodelista"/>
        <w:numPr>
          <w:ilvl w:val="0"/>
          <w:numId w:val="18"/>
        </w:numPr>
        <w:tabs>
          <w:tab w:val="center" w:pos="284"/>
          <w:tab w:val="left" w:pos="567"/>
        </w:tabs>
        <w:suppressAutoHyphens/>
        <w:ind w:right="51"/>
        <w:rPr>
          <w:rFonts w:ascii="Bookman Old Style" w:hAnsi="Bookman Old Style"/>
        </w:rPr>
      </w:pPr>
      <w:r>
        <w:rPr>
          <w:rFonts w:ascii="Bookman Old Style" w:hAnsi="Bookman Old Style"/>
          <w:sz w:val="24"/>
          <w:szCs w:val="24"/>
        </w:rPr>
        <w:t>En todo caso el proceso de pruebas de la puesta en marcha de la planta de regasificación en ningún caso podrá utilizarse como justificación para restricciones de entrega e incumplimiento de nominaciones aprobadas, por parte del transportador, en cuyo caso se deberá aplicar las previsiones regulatorias y contractuales existentes.</w:t>
      </w:r>
    </w:p>
    <w:p w:rsidR="00B31CA4" w:rsidRDefault="00B31CA4" w:rsidP="00B31CA4">
      <w:pPr>
        <w:tabs>
          <w:tab w:val="center" w:pos="0"/>
          <w:tab w:val="left" w:pos="567"/>
        </w:tabs>
        <w:suppressAutoHyphens/>
        <w:ind w:right="51"/>
        <w:contextualSpacing/>
        <w:rPr>
          <w:lang w:val="es-CO"/>
        </w:rPr>
      </w:pPr>
    </w:p>
    <w:p w:rsidR="00B31CA4" w:rsidRPr="00E8313E" w:rsidRDefault="00B31CA4" w:rsidP="00B31CA4">
      <w:pPr>
        <w:pStyle w:val="Ttulo1"/>
      </w:pPr>
      <w:r w:rsidRPr="00E07CE8">
        <w:t xml:space="preserve">Artículo </w:t>
      </w:r>
      <w:r>
        <w:t>5</w:t>
      </w:r>
      <w:r w:rsidRPr="00E07CE8">
        <w:t xml:space="preserve">. </w:t>
      </w:r>
      <w:r w:rsidRPr="002A05FE">
        <w:rPr>
          <w:b w:val="0"/>
        </w:rPr>
        <w:t>Modificar el numeral 9</w:t>
      </w:r>
      <w:r w:rsidR="00227678">
        <w:rPr>
          <w:b w:val="0"/>
        </w:rPr>
        <w:t xml:space="preserve"> del Anexo 1</w:t>
      </w:r>
      <w:r w:rsidRPr="002A05FE">
        <w:rPr>
          <w:b w:val="0"/>
        </w:rPr>
        <w:t xml:space="preserve"> “Compensación” de la Resolución 062 de 2013, el cual quedará así:</w:t>
      </w:r>
      <w:r w:rsidRPr="00E8313E">
        <w:t xml:space="preserve"> </w:t>
      </w:r>
    </w:p>
    <w:p w:rsidR="00B31CA4" w:rsidRDefault="00B31CA4" w:rsidP="00B31CA4">
      <w:pPr>
        <w:tabs>
          <w:tab w:val="center" w:pos="0"/>
          <w:tab w:val="left" w:pos="567"/>
        </w:tabs>
        <w:suppressAutoHyphens/>
        <w:ind w:right="51"/>
        <w:contextualSpacing/>
        <w:rPr>
          <w:lang w:val="es-CO"/>
        </w:rPr>
      </w:pPr>
    </w:p>
    <w:p w:rsidR="00B31CA4" w:rsidRPr="0087799F" w:rsidRDefault="00B31CA4" w:rsidP="00B31CA4">
      <w:pPr>
        <w:tabs>
          <w:tab w:val="center" w:pos="0"/>
          <w:tab w:val="left" w:pos="567"/>
        </w:tabs>
        <w:suppressAutoHyphens/>
        <w:ind w:left="142" w:right="51"/>
      </w:pPr>
      <w:r>
        <w:rPr>
          <w:b/>
        </w:rPr>
        <w:t>9</w:t>
      </w:r>
      <w:r>
        <w:rPr>
          <w:b/>
        </w:rPr>
        <w:tab/>
      </w:r>
      <w:r w:rsidRPr="0087799F">
        <w:rPr>
          <w:b/>
        </w:rPr>
        <w:t xml:space="preserve">Compensación.- </w:t>
      </w:r>
      <w:r w:rsidRPr="0087799F">
        <w:t>En caso de que el generador térmico miembro del grupo GT, no cumpl</w:t>
      </w:r>
      <w:r>
        <w:t>a</w:t>
      </w:r>
      <w:r w:rsidRPr="0087799F">
        <w:t xml:space="preserve"> con el compromiso de realizar generaciones de seguridad fuera de mérito</w:t>
      </w:r>
      <w:r>
        <w:t xml:space="preserve"> con GNI</w:t>
      </w:r>
      <w:r w:rsidRPr="0087799F">
        <w:t xml:space="preserve">, deberá asumir los costos de las siguientes compensaciones: </w:t>
      </w:r>
    </w:p>
    <w:p w:rsidR="00B31CA4" w:rsidRPr="0087799F" w:rsidRDefault="00B31CA4" w:rsidP="00B31CA4">
      <w:pPr>
        <w:tabs>
          <w:tab w:val="center" w:pos="0"/>
          <w:tab w:val="left" w:pos="567"/>
        </w:tabs>
        <w:suppressAutoHyphens/>
        <w:ind w:right="51"/>
      </w:pPr>
    </w:p>
    <w:p w:rsidR="00B31CA4" w:rsidRDefault="00B31CA4" w:rsidP="00B31CA4">
      <w:pPr>
        <w:pStyle w:val="Prrafodelista"/>
        <w:numPr>
          <w:ilvl w:val="1"/>
          <w:numId w:val="6"/>
        </w:numPr>
        <w:tabs>
          <w:tab w:val="center" w:pos="0"/>
          <w:tab w:val="left" w:pos="567"/>
        </w:tabs>
        <w:suppressAutoHyphens/>
        <w:spacing w:after="0" w:line="240" w:lineRule="auto"/>
        <w:ind w:left="993" w:right="51"/>
        <w:rPr>
          <w:rFonts w:ascii="Bookman Old Style" w:hAnsi="Bookman Old Style"/>
          <w:sz w:val="24"/>
          <w:szCs w:val="24"/>
        </w:rPr>
      </w:pPr>
      <w:r w:rsidRPr="0087799F">
        <w:rPr>
          <w:rFonts w:ascii="Bookman Old Style" w:hAnsi="Bookman Old Style"/>
          <w:sz w:val="24"/>
          <w:szCs w:val="24"/>
        </w:rPr>
        <w:t>En el evento de que de parte de</w:t>
      </w:r>
      <w:r>
        <w:rPr>
          <w:rFonts w:ascii="Bookman Old Style" w:hAnsi="Bookman Old Style"/>
          <w:sz w:val="24"/>
          <w:szCs w:val="24"/>
        </w:rPr>
        <w:t xml:space="preserve"> </w:t>
      </w:r>
      <w:r w:rsidRPr="0087799F">
        <w:rPr>
          <w:rFonts w:ascii="Bookman Old Style" w:hAnsi="Bookman Old Style"/>
          <w:sz w:val="24"/>
          <w:szCs w:val="24"/>
        </w:rPr>
        <w:t>l</w:t>
      </w:r>
      <w:r>
        <w:rPr>
          <w:rFonts w:ascii="Bookman Old Style" w:hAnsi="Bookman Old Style"/>
          <w:sz w:val="24"/>
          <w:szCs w:val="24"/>
        </w:rPr>
        <w:t>as</w:t>
      </w:r>
      <w:r w:rsidRPr="0087799F">
        <w:rPr>
          <w:rFonts w:ascii="Bookman Old Style" w:hAnsi="Bookman Old Style"/>
          <w:sz w:val="24"/>
          <w:szCs w:val="24"/>
        </w:rPr>
        <w:t xml:space="preserve"> </w:t>
      </w:r>
      <w:r>
        <w:rPr>
          <w:rFonts w:ascii="Bookman Old Style" w:hAnsi="Bookman Old Style"/>
          <w:sz w:val="24"/>
          <w:szCs w:val="24"/>
        </w:rPr>
        <w:t>generaciones de seguridad</w:t>
      </w:r>
      <w:r w:rsidRPr="0087799F">
        <w:rPr>
          <w:rFonts w:ascii="Bookman Old Style" w:hAnsi="Bookman Old Style"/>
          <w:sz w:val="24"/>
          <w:szCs w:val="24"/>
        </w:rPr>
        <w:t xml:space="preserve"> se genere</w:t>
      </w:r>
      <w:r>
        <w:rPr>
          <w:rFonts w:ascii="Bookman Old Style" w:hAnsi="Bookman Old Style"/>
          <w:sz w:val="24"/>
          <w:szCs w:val="24"/>
        </w:rPr>
        <w:t>n</w:t>
      </w:r>
      <w:r w:rsidRPr="0087799F">
        <w:rPr>
          <w:rFonts w:ascii="Bookman Old Style" w:hAnsi="Bookman Old Style"/>
          <w:sz w:val="24"/>
          <w:szCs w:val="24"/>
        </w:rPr>
        <w:t xml:space="preserve"> con combustible sustituto </w:t>
      </w:r>
      <w:r>
        <w:rPr>
          <w:rFonts w:ascii="Bookman Old Style" w:hAnsi="Bookman Old Style"/>
          <w:sz w:val="24"/>
          <w:szCs w:val="24"/>
        </w:rPr>
        <w:t xml:space="preserve">o gas nacional </w:t>
      </w:r>
      <w:r w:rsidRPr="0087799F">
        <w:rPr>
          <w:rFonts w:ascii="Bookman Old Style" w:hAnsi="Bookman Old Style"/>
          <w:sz w:val="24"/>
          <w:szCs w:val="24"/>
        </w:rPr>
        <w:t>con un precio superior al costo de</w:t>
      </w:r>
      <w:r>
        <w:rPr>
          <w:rFonts w:ascii="Bookman Old Style" w:hAnsi="Bookman Old Style"/>
          <w:sz w:val="24"/>
          <w:szCs w:val="24"/>
        </w:rPr>
        <w:t xml:space="preserve"> referencia de</w:t>
      </w:r>
      <w:r w:rsidRPr="0087799F">
        <w:rPr>
          <w:rFonts w:ascii="Bookman Old Style" w:hAnsi="Bookman Old Style"/>
          <w:sz w:val="24"/>
          <w:szCs w:val="24"/>
        </w:rPr>
        <w:t xml:space="preserve">l GNI, tan solo </w:t>
      </w:r>
      <w:r>
        <w:rPr>
          <w:rFonts w:ascii="Bookman Old Style" w:hAnsi="Bookman Old Style"/>
          <w:sz w:val="24"/>
          <w:szCs w:val="24"/>
        </w:rPr>
        <w:t xml:space="preserve">se </w:t>
      </w:r>
      <w:r w:rsidRPr="0087799F">
        <w:rPr>
          <w:rFonts w:ascii="Bookman Old Style" w:hAnsi="Bookman Old Style"/>
          <w:sz w:val="24"/>
          <w:szCs w:val="24"/>
        </w:rPr>
        <w:t xml:space="preserve">le reconocerá el costo </w:t>
      </w:r>
      <w:r>
        <w:rPr>
          <w:rFonts w:ascii="Bookman Old Style" w:hAnsi="Bookman Old Style"/>
          <w:sz w:val="24"/>
          <w:szCs w:val="24"/>
        </w:rPr>
        <w:t>de suministro de combustible - CSC al precio de referencia del</w:t>
      </w:r>
      <w:r w:rsidRPr="0087799F">
        <w:rPr>
          <w:rFonts w:ascii="Bookman Old Style" w:hAnsi="Bookman Old Style"/>
          <w:sz w:val="24"/>
          <w:szCs w:val="24"/>
        </w:rPr>
        <w:t xml:space="preserve"> GNI </w:t>
      </w:r>
      <w:r>
        <w:rPr>
          <w:rFonts w:ascii="Bookman Old Style" w:hAnsi="Bookman Old Style"/>
          <w:sz w:val="24"/>
          <w:szCs w:val="24"/>
        </w:rPr>
        <w:t xml:space="preserve">que </w:t>
      </w:r>
      <w:r w:rsidRPr="0087799F">
        <w:rPr>
          <w:rFonts w:ascii="Bookman Old Style" w:hAnsi="Bookman Old Style"/>
          <w:sz w:val="24"/>
          <w:szCs w:val="24"/>
        </w:rPr>
        <w:t xml:space="preserve">se esté pagando en el mercado en el día en que se debía honrar con ese compromiso, conforme a lo establecido en la página web de XM, teniendo en cuenta lo dispuesto por la Resolución CREG 139 de 2011. </w:t>
      </w:r>
    </w:p>
    <w:p w:rsidR="00B31CA4" w:rsidRPr="0087799F" w:rsidRDefault="00B31CA4" w:rsidP="00B31CA4">
      <w:pPr>
        <w:pStyle w:val="Prrafodelista"/>
        <w:tabs>
          <w:tab w:val="center" w:pos="0"/>
          <w:tab w:val="left" w:pos="567"/>
        </w:tabs>
        <w:suppressAutoHyphens/>
        <w:spacing w:after="0" w:line="240" w:lineRule="auto"/>
        <w:ind w:left="993" w:right="51"/>
        <w:rPr>
          <w:rFonts w:ascii="Bookman Old Style" w:hAnsi="Bookman Old Style"/>
          <w:sz w:val="24"/>
          <w:szCs w:val="24"/>
        </w:rPr>
      </w:pPr>
    </w:p>
    <w:p w:rsidR="00B31CA4" w:rsidRPr="008A37A7" w:rsidRDefault="00B31CA4" w:rsidP="00B31CA4">
      <w:pPr>
        <w:pStyle w:val="Prrafodelista"/>
        <w:numPr>
          <w:ilvl w:val="1"/>
          <w:numId w:val="6"/>
        </w:numPr>
        <w:tabs>
          <w:tab w:val="center" w:pos="284"/>
          <w:tab w:val="left" w:pos="567"/>
        </w:tabs>
        <w:suppressAutoHyphens/>
        <w:ind w:left="993" w:right="51"/>
        <w:rPr>
          <w:rFonts w:ascii="Bookman Old Style" w:hAnsi="Bookman Old Style"/>
          <w:sz w:val="24"/>
          <w:szCs w:val="24"/>
        </w:rPr>
      </w:pPr>
      <w:r w:rsidRPr="008A37A7">
        <w:rPr>
          <w:rFonts w:ascii="Bookman Old Style" w:hAnsi="Bookman Old Style"/>
          <w:sz w:val="24"/>
          <w:szCs w:val="24"/>
        </w:rPr>
        <w:t xml:space="preserve">En el </w:t>
      </w:r>
      <w:proofErr w:type="gramStart"/>
      <w:r w:rsidRPr="008A37A7">
        <w:rPr>
          <w:rFonts w:ascii="Bookman Old Style" w:hAnsi="Bookman Old Style"/>
          <w:sz w:val="24"/>
          <w:szCs w:val="24"/>
        </w:rPr>
        <w:t>evento  de</w:t>
      </w:r>
      <w:proofErr w:type="gramEnd"/>
      <w:r w:rsidRPr="008A37A7">
        <w:rPr>
          <w:rFonts w:ascii="Bookman Old Style" w:hAnsi="Bookman Old Style"/>
          <w:sz w:val="24"/>
          <w:szCs w:val="24"/>
        </w:rPr>
        <w:t xml:space="preserve"> que de parte de las generaciones de seguridad GNI se  generen con otro combustible sustituto con un precio inferior al costo de referencia del GNI, conforme a lo establecido en la página web de XM, teniendo en cuenta lo dispuesto por la Resolución CREG 139 de 2011. Tan solo se le reconocerá el costo que por concepto de ese sustituto se haya cancelado en el día en que se debía honrar con ese </w:t>
      </w:r>
      <w:r w:rsidRPr="008A37A7">
        <w:rPr>
          <w:rFonts w:ascii="Bookman Old Style" w:hAnsi="Bookman Old Style"/>
          <w:sz w:val="24"/>
          <w:szCs w:val="24"/>
        </w:rPr>
        <w:lastRenderedPageBreak/>
        <w:t>compromiso, conforme se establece en la Resolución CREG 034 de 2001 y aquellas que la modifiquen, adicionen o sustituyan, en donde el CSC podrá superar el precio máximo regulado para el gas natural en el punto de entrada del sistema.</w:t>
      </w:r>
    </w:p>
    <w:p w:rsidR="00B31CA4" w:rsidRPr="00072908" w:rsidRDefault="00B31CA4" w:rsidP="00B31CA4">
      <w:pPr>
        <w:pStyle w:val="Prrafodelista"/>
        <w:tabs>
          <w:tab w:val="center" w:pos="0"/>
          <w:tab w:val="left" w:pos="567"/>
        </w:tabs>
        <w:suppressAutoHyphens/>
        <w:spacing w:after="0" w:line="240" w:lineRule="auto"/>
        <w:ind w:left="1440" w:right="51"/>
        <w:rPr>
          <w:rFonts w:ascii="Bookman Old Style" w:hAnsi="Bookman Old Style"/>
          <w:sz w:val="24"/>
          <w:szCs w:val="24"/>
        </w:rPr>
      </w:pPr>
    </w:p>
    <w:p w:rsidR="00B31CA4" w:rsidRPr="00DC76C1" w:rsidRDefault="00B31CA4" w:rsidP="00B31CA4">
      <w:pPr>
        <w:pStyle w:val="Ttulo1"/>
      </w:pPr>
      <w:r w:rsidRPr="00E07CE8">
        <w:t xml:space="preserve">Artículo </w:t>
      </w:r>
      <w:r>
        <w:t xml:space="preserve">6 </w:t>
      </w:r>
      <w:r w:rsidRPr="00E07CE8">
        <w:t>Vigencia.-</w:t>
      </w:r>
      <w:r w:rsidRPr="002A05FE">
        <w:rPr>
          <w:b w:val="0"/>
        </w:rPr>
        <w:t xml:space="preserve"> La presente resolución rige desde su publicación en el Diario Oficial y deroga todas las disposiciones que le sean contrarias. Los demás aspectos no modificados con la </w:t>
      </w:r>
      <w:proofErr w:type="gramStart"/>
      <w:r w:rsidRPr="002A05FE">
        <w:rPr>
          <w:b w:val="0"/>
        </w:rPr>
        <w:t>presente  Resolución</w:t>
      </w:r>
      <w:proofErr w:type="gramEnd"/>
      <w:r w:rsidRPr="002A05FE">
        <w:rPr>
          <w:b w:val="0"/>
        </w:rPr>
        <w:t xml:space="preserve"> permanecerán vigentes. </w:t>
      </w:r>
    </w:p>
    <w:p w:rsidR="00B31CA4" w:rsidRPr="00E07CE8" w:rsidRDefault="00B31CA4" w:rsidP="00B31CA4">
      <w:pPr>
        <w:tabs>
          <w:tab w:val="center" w:pos="0"/>
          <w:tab w:val="left" w:pos="567"/>
        </w:tabs>
        <w:suppressAutoHyphens/>
        <w:ind w:right="51"/>
        <w:rPr>
          <w:rFonts w:cs="Arial"/>
          <w:lang w:val="es-CO"/>
        </w:rPr>
      </w:pPr>
    </w:p>
    <w:p w:rsidR="00B31CA4" w:rsidRPr="00E07CE8" w:rsidRDefault="00B31CA4" w:rsidP="00B31CA4">
      <w:pPr>
        <w:rPr>
          <w:rFonts w:cs="Arial"/>
          <w:lang w:eastAsia="ar-SA"/>
        </w:rPr>
      </w:pPr>
    </w:p>
    <w:p w:rsidR="00B31CA4" w:rsidRPr="00E07CE8" w:rsidRDefault="00B31CA4" w:rsidP="00B31CA4">
      <w:pPr>
        <w:jc w:val="center"/>
        <w:rPr>
          <w:rFonts w:cs="Arial"/>
          <w:lang w:eastAsia="ar-SA"/>
        </w:rPr>
      </w:pPr>
      <w:r w:rsidRPr="00E07CE8">
        <w:rPr>
          <w:rFonts w:cs="Arial"/>
          <w:b/>
        </w:rPr>
        <w:t>PUBLÍQUESE Y CÚMPLASE</w:t>
      </w:r>
    </w:p>
    <w:p w:rsidR="00B31CA4" w:rsidRPr="00E07CE8" w:rsidRDefault="00B31CA4" w:rsidP="00B31CA4">
      <w:pPr>
        <w:rPr>
          <w:rFonts w:cs="Arial"/>
        </w:rPr>
      </w:pPr>
    </w:p>
    <w:p w:rsidR="00B31CA4" w:rsidRPr="00E07CE8" w:rsidRDefault="00C9409E" w:rsidP="00B31CA4">
      <w:pPr>
        <w:rPr>
          <w:rFonts w:cs="Arial"/>
        </w:rPr>
      </w:pPr>
      <w:r>
        <w:rPr>
          <w:rFonts w:cs="Arial"/>
        </w:rPr>
        <w:t>Dada en Bogotá, D.C. a</w:t>
      </w:r>
    </w:p>
    <w:p w:rsidR="00B31CA4" w:rsidRDefault="00B31CA4" w:rsidP="00B31CA4">
      <w:pPr>
        <w:rPr>
          <w:rFonts w:cs="Arial"/>
        </w:rPr>
      </w:pPr>
    </w:p>
    <w:p w:rsidR="00B31CA4" w:rsidRDefault="00B31CA4" w:rsidP="00B31CA4">
      <w:pPr>
        <w:rPr>
          <w:rFonts w:cs="Arial"/>
        </w:rPr>
      </w:pPr>
    </w:p>
    <w:p w:rsidR="008C1ADB" w:rsidRDefault="008C1ADB" w:rsidP="00B31CA4">
      <w:pPr>
        <w:rPr>
          <w:rFonts w:cs="Arial"/>
        </w:rPr>
      </w:pPr>
    </w:p>
    <w:p w:rsidR="008C1ADB" w:rsidRDefault="008C1ADB" w:rsidP="00B31CA4">
      <w:pPr>
        <w:rPr>
          <w:rFonts w:cs="Arial"/>
        </w:rPr>
      </w:pPr>
    </w:p>
    <w:p w:rsidR="008C1ADB" w:rsidRPr="00E07CE8" w:rsidRDefault="008C1ADB" w:rsidP="00B31CA4">
      <w:pPr>
        <w:rPr>
          <w:rFonts w:cs="Arial"/>
        </w:rPr>
      </w:pPr>
    </w:p>
    <w:tbl>
      <w:tblPr>
        <w:tblW w:w="9498" w:type="dxa"/>
        <w:jc w:val="center"/>
        <w:tblCellSpacing w:w="0" w:type="dxa"/>
        <w:tblCellMar>
          <w:left w:w="0" w:type="dxa"/>
          <w:right w:w="0" w:type="dxa"/>
        </w:tblCellMar>
        <w:tblLook w:val="04A0" w:firstRow="1" w:lastRow="0" w:firstColumn="1" w:lastColumn="0" w:noHBand="0" w:noVBand="1"/>
      </w:tblPr>
      <w:tblGrid>
        <w:gridCol w:w="5529"/>
        <w:gridCol w:w="3969"/>
      </w:tblGrid>
      <w:tr w:rsidR="008C1ADB" w:rsidTr="008C1ADB">
        <w:trPr>
          <w:tblCellSpacing w:w="0" w:type="dxa"/>
          <w:jc w:val="center"/>
        </w:trPr>
        <w:tc>
          <w:tcPr>
            <w:tcW w:w="5529" w:type="dxa"/>
            <w:hideMark/>
          </w:tcPr>
          <w:p w:rsidR="008C1ADB" w:rsidRDefault="008C1ADB">
            <w:pPr>
              <w:ind w:left="66"/>
              <w:jc w:val="center"/>
              <w:rPr>
                <w:rFonts w:cs="Arial"/>
                <w:b/>
                <w:spacing w:val="-3"/>
              </w:rPr>
            </w:pPr>
            <w:r>
              <w:rPr>
                <w:rFonts w:cs="Arial"/>
                <w:b/>
                <w:spacing w:val="-3"/>
              </w:rPr>
              <w:t>RUTTY PAOLA ORTIZ JARA</w:t>
            </w:r>
          </w:p>
        </w:tc>
        <w:tc>
          <w:tcPr>
            <w:tcW w:w="3969" w:type="dxa"/>
            <w:hideMark/>
          </w:tcPr>
          <w:p w:rsidR="008C1ADB" w:rsidRDefault="008C1ADB">
            <w:pPr>
              <w:ind w:left="89"/>
              <w:jc w:val="center"/>
              <w:rPr>
                <w:rFonts w:cs="Arial"/>
                <w:b/>
                <w:spacing w:val="-3"/>
              </w:rPr>
            </w:pPr>
            <w:r w:rsidRPr="00F1445D">
              <w:rPr>
                <w:rFonts w:cs="Arial"/>
                <w:b/>
                <w:bCs/>
              </w:rPr>
              <w:t>JORGE PINTO NOLLA</w:t>
            </w:r>
          </w:p>
        </w:tc>
      </w:tr>
      <w:tr w:rsidR="008C1ADB" w:rsidTr="008C1ADB">
        <w:trPr>
          <w:tblCellSpacing w:w="0" w:type="dxa"/>
          <w:jc w:val="center"/>
        </w:trPr>
        <w:tc>
          <w:tcPr>
            <w:tcW w:w="5529" w:type="dxa"/>
            <w:hideMark/>
          </w:tcPr>
          <w:p w:rsidR="008C1ADB" w:rsidRDefault="008C1ADB">
            <w:pPr>
              <w:ind w:left="66"/>
              <w:jc w:val="center"/>
              <w:rPr>
                <w:rFonts w:eastAsia="Arial Unicode MS" w:cs="Arial"/>
                <w:color w:val="000000"/>
              </w:rPr>
            </w:pPr>
            <w:r>
              <w:rPr>
                <w:rFonts w:cs="Arial"/>
                <w:spacing w:val="-3"/>
              </w:rPr>
              <w:t>Delegada del Ministro de Minas y Energía Viceministra de Energía</w:t>
            </w:r>
          </w:p>
        </w:tc>
        <w:tc>
          <w:tcPr>
            <w:tcW w:w="3969" w:type="dxa"/>
            <w:hideMark/>
          </w:tcPr>
          <w:p w:rsidR="008C1ADB" w:rsidRDefault="008C1ADB">
            <w:pPr>
              <w:rPr>
                <w:rFonts w:eastAsia="Arial Unicode MS" w:cs="Arial"/>
                <w:color w:val="000000"/>
              </w:rPr>
            </w:pPr>
            <w:r>
              <w:rPr>
                <w:rFonts w:cs="Arial"/>
                <w:spacing w:val="-3"/>
              </w:rPr>
              <w:t xml:space="preserve">              Director Ejecutivo</w:t>
            </w:r>
          </w:p>
        </w:tc>
      </w:tr>
      <w:tr w:rsidR="008C1ADB" w:rsidTr="008C1ADB">
        <w:trPr>
          <w:tblCellSpacing w:w="0" w:type="dxa"/>
          <w:jc w:val="center"/>
        </w:trPr>
        <w:tc>
          <w:tcPr>
            <w:tcW w:w="5529" w:type="dxa"/>
            <w:hideMark/>
          </w:tcPr>
          <w:p w:rsidR="008C1ADB" w:rsidRDefault="008C1ADB">
            <w:pPr>
              <w:ind w:left="66"/>
              <w:jc w:val="center"/>
              <w:rPr>
                <w:rFonts w:eastAsia="Arial Unicode MS" w:cs="Arial"/>
                <w:color w:val="000000"/>
              </w:rPr>
            </w:pPr>
            <w:r>
              <w:rPr>
                <w:rFonts w:cs="Arial"/>
                <w:spacing w:val="-3"/>
              </w:rPr>
              <w:t>Presidente</w:t>
            </w:r>
          </w:p>
        </w:tc>
        <w:tc>
          <w:tcPr>
            <w:tcW w:w="3969" w:type="dxa"/>
          </w:tcPr>
          <w:p w:rsidR="008C1ADB" w:rsidRDefault="008C1ADB">
            <w:pPr>
              <w:jc w:val="center"/>
              <w:rPr>
                <w:rFonts w:eastAsia="Arial Unicode MS" w:cs="Arial"/>
                <w:color w:val="000000"/>
              </w:rPr>
            </w:pPr>
          </w:p>
        </w:tc>
      </w:tr>
    </w:tbl>
    <w:p w:rsidR="00B31CA4" w:rsidRDefault="00B31CA4" w:rsidP="00B31CA4">
      <w:pPr>
        <w:rPr>
          <w:rFonts w:cs="Arial"/>
        </w:rPr>
      </w:pPr>
    </w:p>
    <w:p w:rsidR="00C9409E" w:rsidRPr="00E07CE8" w:rsidRDefault="00C9409E" w:rsidP="00B31CA4">
      <w:pPr>
        <w:rPr>
          <w:rFonts w:cs="Arial"/>
        </w:rPr>
      </w:pPr>
    </w:p>
    <w:p w:rsidR="00B31CA4" w:rsidRPr="00E07CE8" w:rsidRDefault="00B31CA4" w:rsidP="00B31CA4">
      <w:pPr>
        <w:tabs>
          <w:tab w:val="center" w:pos="4512"/>
          <w:tab w:val="left" w:pos="7088"/>
        </w:tabs>
        <w:suppressAutoHyphens/>
        <w:ind w:right="51"/>
        <w:rPr>
          <w:rFonts w:cs="Arial"/>
          <w:b/>
        </w:rPr>
      </w:pPr>
    </w:p>
    <w:p w:rsidR="00B31CA4" w:rsidRPr="005F4CBE" w:rsidRDefault="00B31CA4" w:rsidP="00B31CA4"/>
    <w:p w:rsidR="00B31CA4" w:rsidRPr="00587476" w:rsidRDefault="00B31CA4" w:rsidP="00B31CA4"/>
    <w:p w:rsidR="00E8459C" w:rsidRPr="00B31CA4" w:rsidRDefault="00E8459C" w:rsidP="00B31CA4"/>
    <w:sectPr w:rsidR="00E8459C" w:rsidRPr="00B31CA4" w:rsidSect="00C823A9">
      <w:headerReference w:type="default" r:id="rId10"/>
      <w:headerReference w:type="first" r:id="rId11"/>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344A" w:rsidRDefault="0087344A">
      <w:r>
        <w:separator/>
      </w:r>
    </w:p>
    <w:p w:rsidR="0087344A" w:rsidRDefault="0087344A"/>
  </w:endnote>
  <w:endnote w:type="continuationSeparator" w:id="0">
    <w:p w:rsidR="0087344A" w:rsidRDefault="0087344A">
      <w:r>
        <w:continuationSeparator/>
      </w:r>
    </w:p>
    <w:p w:rsidR="0087344A" w:rsidRDefault="008734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
    <w:panose1 w:val="020B060402020203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344A" w:rsidRDefault="0087344A">
      <w:r>
        <w:separator/>
      </w:r>
    </w:p>
    <w:p w:rsidR="0087344A" w:rsidRDefault="0087344A"/>
  </w:footnote>
  <w:footnote w:type="continuationSeparator" w:id="0">
    <w:p w:rsidR="0087344A" w:rsidRDefault="0087344A">
      <w:r>
        <w:continuationSeparator/>
      </w:r>
    </w:p>
    <w:p w:rsidR="0087344A" w:rsidRDefault="0087344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D93" w:rsidRDefault="009B4D93" w:rsidP="00E8313E">
    <w:pPr>
      <w:pStyle w:val="Ttulo1"/>
    </w:pPr>
  </w:p>
  <w:p w:rsidR="009B4D93" w:rsidRPr="00951F79" w:rsidRDefault="009B4D93" w:rsidP="00E8313E">
    <w:pPr>
      <w:pStyle w:val="Ttulo1"/>
    </w:pPr>
    <w:r w:rsidRPr="00654384">
      <w:t>RESOLUCIÓN No.</w:t>
    </w:r>
    <w:r>
      <w:t xml:space="preserve">  ________________DE ________________</w:t>
    </w:r>
    <w:r>
      <w:tab/>
    </w:r>
    <w:r w:rsidRPr="00654384">
      <w:t xml:space="preserve">HOJA No. </w:t>
    </w:r>
    <w:r w:rsidRPr="00654384">
      <w:fldChar w:fldCharType="begin"/>
    </w:r>
    <w:r w:rsidRPr="00654384">
      <w:instrText xml:space="preserve"> PAGE   \* MERGEFORMAT </w:instrText>
    </w:r>
    <w:r w:rsidRPr="00654384">
      <w:fldChar w:fldCharType="separate"/>
    </w:r>
    <w:r w:rsidR="00801B30">
      <w:rPr>
        <w:noProof/>
      </w:rPr>
      <w:t>8</w:t>
    </w:r>
    <w:r w:rsidRPr="00654384">
      <w:fldChar w:fldCharType="end"/>
    </w:r>
    <w:r w:rsidRPr="00654384">
      <w:t>/</w:t>
    </w:r>
    <w:r w:rsidR="00801B30">
      <w:fldChar w:fldCharType="begin"/>
    </w:r>
    <w:r w:rsidR="00801B30">
      <w:instrText xml:space="preserve"> NUMPAGES  \* MERGEFORMAT </w:instrText>
    </w:r>
    <w:r w:rsidR="00801B30">
      <w:fldChar w:fldCharType="separate"/>
    </w:r>
    <w:r w:rsidR="00801B30">
      <w:rPr>
        <w:noProof/>
      </w:rPr>
      <w:t>8</w:t>
    </w:r>
    <w:r w:rsidR="00801B30">
      <w:rPr>
        <w:noProof/>
      </w:rPr>
      <w:fldChar w:fldCharType="end"/>
    </w:r>
  </w:p>
  <w:p w:rsidR="009B4D93" w:rsidRDefault="009B4D93" w:rsidP="00C823A9">
    <w:pPr>
      <w:ind w:left="142" w:right="148"/>
      <w:rPr>
        <w:rFonts w:cs="Arial"/>
      </w:rPr>
    </w:pPr>
    <w:r>
      <w:rPr>
        <w:noProof/>
        <w:lang w:val="es-CO" w:eastAsia="es-CO"/>
      </w:rPr>
      <mc:AlternateContent>
        <mc:Choice Requires="wps">
          <w:drawing>
            <wp:anchor distT="0" distB="0" distL="114300" distR="114300" simplePos="0" relativeHeight="251660288" behindDoc="0" locked="0" layoutInCell="1" allowOverlap="1" wp14:anchorId="425BCCEC" wp14:editId="56D14004">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7F5B47" id="Rectangle 1" o:spid="_x0000_s1026" style="position:absolute;margin-left:-13.8pt;margin-top:10.95pt;width:493.5pt;height:779.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9B4D93" w:rsidRPr="00C9409E" w:rsidRDefault="00C9409E" w:rsidP="006541F2">
    <w:pPr>
      <w:tabs>
        <w:tab w:val="center" w:pos="4512"/>
        <w:tab w:val="left" w:pos="7088"/>
      </w:tabs>
      <w:suppressAutoHyphens/>
      <w:ind w:right="51"/>
      <w:rPr>
        <w:rFonts w:cs="Arial"/>
        <w:bCs/>
        <w:sz w:val="22"/>
        <w:szCs w:val="22"/>
        <w:lang w:eastAsia="es-CO"/>
      </w:rPr>
    </w:pPr>
    <w:r w:rsidRPr="00C9409E">
      <w:rPr>
        <w:rFonts w:cs="Arial"/>
        <w:bCs/>
        <w:sz w:val="22"/>
        <w:szCs w:val="22"/>
        <w:lang w:eastAsia="es-CO"/>
      </w:rPr>
      <w:t xml:space="preserve">Por la cual se modifica </w:t>
    </w:r>
    <w:r w:rsidRPr="00C9409E">
      <w:rPr>
        <w:rFonts w:cs="Arial"/>
        <w:sz w:val="22"/>
        <w:szCs w:val="22"/>
        <w:lang w:val="es-CO"/>
      </w:rPr>
      <w:t xml:space="preserve">la Resolución 062 de 2013 “Por medio de la cual se </w:t>
    </w:r>
    <w:r w:rsidRPr="00C9409E">
      <w:rPr>
        <w:rFonts w:cs="Arial"/>
        <w:bCs/>
        <w:sz w:val="22"/>
        <w:szCs w:val="22"/>
        <w:lang w:eastAsia="es-CO"/>
      </w:rPr>
      <w:t xml:space="preserve">establece un ingreso regulado por el uso de Gas Natural Importado en generaciones de seguridad” </w:t>
    </w:r>
    <w:r w:rsidR="009B4D93" w:rsidRPr="00C9409E">
      <w:rPr>
        <w:rFonts w:cs="Arial"/>
        <w:bCs/>
        <w:sz w:val="22"/>
        <w:szCs w:val="22"/>
        <w:lang w:eastAsia="es-CO"/>
      </w:rPr>
      <w:t xml:space="preserve"> </w:t>
    </w:r>
  </w:p>
  <w:p w:rsidR="00DF36B7" w:rsidRPr="006541F2" w:rsidRDefault="00DF36B7" w:rsidP="006541F2">
    <w:pPr>
      <w:tabs>
        <w:tab w:val="center" w:pos="4512"/>
        <w:tab w:val="left" w:pos="7088"/>
      </w:tabs>
      <w:suppressAutoHyphens/>
      <w:ind w:right="51"/>
      <w:rPr>
        <w:rFonts w:cs="Arial"/>
        <w:bCs/>
        <w:lang w:eastAsia="es-CO"/>
      </w:rPr>
    </w:pPr>
    <w:r>
      <w:rPr>
        <w:rFonts w:cs="Arial"/>
        <w:bCs/>
        <w:lang w:eastAsia="es-CO"/>
      </w:rPr>
      <w:t>_____________________________________________________________________________</w:t>
    </w:r>
  </w:p>
  <w:p w:rsidR="007072CB" w:rsidRDefault="007072C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D93" w:rsidRDefault="009B4D93" w:rsidP="00C823A9">
    <w:pPr>
      <w:pStyle w:val="Encabezado"/>
      <w:rPr>
        <w:rFonts w:ascii="Arial" w:hAnsi="Arial" w:cs="Arial"/>
        <w:spacing w:val="20"/>
        <w:sz w:val="20"/>
      </w:rPr>
    </w:pPr>
    <w:r>
      <w:rPr>
        <w:rFonts w:ascii="Arial" w:hAnsi="Arial" w:cs="Arial"/>
        <w:spacing w:val="20"/>
        <w:sz w:val="20"/>
      </w:rPr>
      <w:t xml:space="preserve">                                 </w:t>
    </w:r>
    <w:r w:rsidR="00B31CA4">
      <w:rPr>
        <w:rFonts w:ascii="Arial" w:hAnsi="Arial" w:cs="Arial"/>
        <w:spacing w:val="20"/>
        <w:sz w:val="20"/>
      </w:rPr>
      <w:t xml:space="preserve">          </w:t>
    </w:r>
    <w:r>
      <w:rPr>
        <w:rFonts w:ascii="Arial" w:hAnsi="Arial" w:cs="Arial"/>
        <w:spacing w:val="20"/>
        <w:sz w:val="20"/>
      </w:rPr>
      <w:t xml:space="preserve">  República de Colombia</w:t>
    </w:r>
  </w:p>
  <w:p w:rsidR="009B4D93" w:rsidRDefault="009B4D93">
    <w:pPr>
      <w:pStyle w:val="Encabezado"/>
      <w:jc w:val="center"/>
      <w:rPr>
        <w:rFonts w:ascii="Arial" w:hAnsi="Arial" w:cs="Arial"/>
        <w:spacing w:val="20"/>
        <w:sz w:val="20"/>
      </w:rPr>
    </w:pPr>
  </w:p>
  <w:p w:rsidR="009B4D93" w:rsidRDefault="009B4D93" w:rsidP="00C823A9">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16A67C"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10A972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D9B129E"/>
    <w:multiLevelType w:val="hybridMultilevel"/>
    <w:tmpl w:val="E7C03F00"/>
    <w:name w:val="WW8Num642322222"/>
    <w:lvl w:ilvl="0" w:tplc="8012D258">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08568C7"/>
    <w:multiLevelType w:val="hybridMultilevel"/>
    <w:tmpl w:val="B0F40B90"/>
    <w:name w:val="WW8Num6423222"/>
    <w:lvl w:ilvl="0" w:tplc="D7625794">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61F4F63"/>
    <w:multiLevelType w:val="hybridMultilevel"/>
    <w:tmpl w:val="B5FC0C42"/>
    <w:lvl w:ilvl="0" w:tplc="2DEAECDA">
      <w:start w:val="10"/>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20CC5902"/>
    <w:multiLevelType w:val="hybridMultilevel"/>
    <w:tmpl w:val="E048D508"/>
    <w:lvl w:ilvl="0" w:tplc="442A8228">
      <w:start w:val="4"/>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1560DBD"/>
    <w:multiLevelType w:val="hybridMultilevel"/>
    <w:tmpl w:val="64FECEBE"/>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7" w15:restartNumberingAfterBreak="0">
    <w:nsid w:val="27017B8D"/>
    <w:multiLevelType w:val="hybridMultilevel"/>
    <w:tmpl w:val="EA0EA7A2"/>
    <w:lvl w:ilvl="0" w:tplc="621C483E">
      <w:start w:val="4"/>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704775E"/>
    <w:multiLevelType w:val="hybridMultilevel"/>
    <w:tmpl w:val="5D7A9A38"/>
    <w:lvl w:ilvl="0" w:tplc="FBD47782">
      <w:start w:val="8"/>
      <w:numFmt w:val="decimal"/>
      <w:lvlText w:val="%1."/>
      <w:lvlJc w:val="left"/>
      <w:pPr>
        <w:ind w:left="720" w:hanging="360"/>
      </w:pPr>
      <w:rPr>
        <w:rFonts w:hint="default"/>
        <w:b/>
        <w:lang w:val="es-E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EC57370"/>
    <w:multiLevelType w:val="hybridMultilevel"/>
    <w:tmpl w:val="879A9D0A"/>
    <w:lvl w:ilvl="0" w:tplc="EFFA0FE0">
      <w:start w:val="1"/>
      <w:numFmt w:val="decimal"/>
      <w:lvlText w:val="%1."/>
      <w:lvlJc w:val="left"/>
      <w:pPr>
        <w:ind w:left="502" w:hanging="360"/>
      </w:pPr>
      <w:rPr>
        <w:rFonts w:cs="Times New Roman" w:hint="default"/>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0480368"/>
    <w:multiLevelType w:val="hybridMultilevel"/>
    <w:tmpl w:val="7D6E74D4"/>
    <w:lvl w:ilvl="0" w:tplc="80A4AC6E">
      <w:start w:val="8"/>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0A56709"/>
    <w:multiLevelType w:val="hybridMultilevel"/>
    <w:tmpl w:val="7D6E74D4"/>
    <w:lvl w:ilvl="0" w:tplc="80A4AC6E">
      <w:start w:val="8"/>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45A929B2"/>
    <w:multiLevelType w:val="hybridMultilevel"/>
    <w:tmpl w:val="312CCC26"/>
    <w:lvl w:ilvl="0" w:tplc="EF0E9BCE">
      <w:start w:val="1"/>
      <w:numFmt w:val="lowerRoman"/>
      <w:lvlText w:val="%1."/>
      <w:lvlJc w:val="left"/>
      <w:pPr>
        <w:ind w:left="862" w:hanging="360"/>
      </w:pPr>
      <w:rPr>
        <w:rFonts w:hint="default"/>
      </w:rPr>
    </w:lvl>
    <w:lvl w:ilvl="1" w:tplc="240A0019">
      <w:start w:val="1"/>
      <w:numFmt w:val="lowerLetter"/>
      <w:lvlText w:val="%2."/>
      <w:lvlJc w:val="left"/>
      <w:pPr>
        <w:ind w:left="1582" w:hanging="360"/>
      </w:pPr>
    </w:lvl>
    <w:lvl w:ilvl="2" w:tplc="240A001B" w:tentative="1">
      <w:start w:val="1"/>
      <w:numFmt w:val="lowerRoman"/>
      <w:lvlText w:val="%3."/>
      <w:lvlJc w:val="right"/>
      <w:pPr>
        <w:ind w:left="2302" w:hanging="180"/>
      </w:pPr>
    </w:lvl>
    <w:lvl w:ilvl="3" w:tplc="240A000F" w:tentative="1">
      <w:start w:val="1"/>
      <w:numFmt w:val="decimal"/>
      <w:lvlText w:val="%4."/>
      <w:lvlJc w:val="left"/>
      <w:pPr>
        <w:ind w:left="3022" w:hanging="360"/>
      </w:pPr>
    </w:lvl>
    <w:lvl w:ilvl="4" w:tplc="240A0019" w:tentative="1">
      <w:start w:val="1"/>
      <w:numFmt w:val="lowerLetter"/>
      <w:lvlText w:val="%5."/>
      <w:lvlJc w:val="left"/>
      <w:pPr>
        <w:ind w:left="3742" w:hanging="360"/>
      </w:pPr>
    </w:lvl>
    <w:lvl w:ilvl="5" w:tplc="240A001B" w:tentative="1">
      <w:start w:val="1"/>
      <w:numFmt w:val="lowerRoman"/>
      <w:lvlText w:val="%6."/>
      <w:lvlJc w:val="right"/>
      <w:pPr>
        <w:ind w:left="4462" w:hanging="180"/>
      </w:pPr>
    </w:lvl>
    <w:lvl w:ilvl="6" w:tplc="240A000F" w:tentative="1">
      <w:start w:val="1"/>
      <w:numFmt w:val="decimal"/>
      <w:lvlText w:val="%7."/>
      <w:lvlJc w:val="left"/>
      <w:pPr>
        <w:ind w:left="5182" w:hanging="360"/>
      </w:pPr>
    </w:lvl>
    <w:lvl w:ilvl="7" w:tplc="240A0019" w:tentative="1">
      <w:start w:val="1"/>
      <w:numFmt w:val="lowerLetter"/>
      <w:lvlText w:val="%8."/>
      <w:lvlJc w:val="left"/>
      <w:pPr>
        <w:ind w:left="5902" w:hanging="360"/>
      </w:pPr>
    </w:lvl>
    <w:lvl w:ilvl="8" w:tplc="240A001B" w:tentative="1">
      <w:start w:val="1"/>
      <w:numFmt w:val="lowerRoman"/>
      <w:lvlText w:val="%9."/>
      <w:lvlJc w:val="right"/>
      <w:pPr>
        <w:ind w:left="6622" w:hanging="180"/>
      </w:pPr>
    </w:lvl>
  </w:abstractNum>
  <w:abstractNum w:abstractNumId="13" w15:restartNumberingAfterBreak="0">
    <w:nsid w:val="576047E1"/>
    <w:multiLevelType w:val="hybridMultilevel"/>
    <w:tmpl w:val="C3CC09AA"/>
    <w:lvl w:ilvl="0" w:tplc="EF0E9BCE">
      <w:start w:val="1"/>
      <w:numFmt w:val="lowerRoman"/>
      <w:lvlText w:val="%1."/>
      <w:lvlJc w:val="left"/>
      <w:pPr>
        <w:ind w:left="1724" w:hanging="360"/>
      </w:pPr>
      <w:rPr>
        <w:rFonts w:hint="default"/>
      </w:rPr>
    </w:lvl>
    <w:lvl w:ilvl="1" w:tplc="240A0019">
      <w:start w:val="1"/>
      <w:numFmt w:val="lowerLetter"/>
      <w:lvlText w:val="%2."/>
      <w:lvlJc w:val="left"/>
      <w:pPr>
        <w:ind w:left="2444" w:hanging="360"/>
      </w:pPr>
    </w:lvl>
    <w:lvl w:ilvl="2" w:tplc="240A001B" w:tentative="1">
      <w:start w:val="1"/>
      <w:numFmt w:val="lowerRoman"/>
      <w:lvlText w:val="%3."/>
      <w:lvlJc w:val="right"/>
      <w:pPr>
        <w:ind w:left="3164" w:hanging="180"/>
      </w:pPr>
    </w:lvl>
    <w:lvl w:ilvl="3" w:tplc="240A000F" w:tentative="1">
      <w:start w:val="1"/>
      <w:numFmt w:val="decimal"/>
      <w:lvlText w:val="%4."/>
      <w:lvlJc w:val="left"/>
      <w:pPr>
        <w:ind w:left="3884" w:hanging="360"/>
      </w:pPr>
    </w:lvl>
    <w:lvl w:ilvl="4" w:tplc="240A0019" w:tentative="1">
      <w:start w:val="1"/>
      <w:numFmt w:val="lowerLetter"/>
      <w:lvlText w:val="%5."/>
      <w:lvlJc w:val="left"/>
      <w:pPr>
        <w:ind w:left="4604" w:hanging="360"/>
      </w:pPr>
    </w:lvl>
    <w:lvl w:ilvl="5" w:tplc="240A001B" w:tentative="1">
      <w:start w:val="1"/>
      <w:numFmt w:val="lowerRoman"/>
      <w:lvlText w:val="%6."/>
      <w:lvlJc w:val="right"/>
      <w:pPr>
        <w:ind w:left="5324" w:hanging="180"/>
      </w:pPr>
    </w:lvl>
    <w:lvl w:ilvl="6" w:tplc="240A000F" w:tentative="1">
      <w:start w:val="1"/>
      <w:numFmt w:val="decimal"/>
      <w:lvlText w:val="%7."/>
      <w:lvlJc w:val="left"/>
      <w:pPr>
        <w:ind w:left="6044" w:hanging="360"/>
      </w:pPr>
    </w:lvl>
    <w:lvl w:ilvl="7" w:tplc="240A0019" w:tentative="1">
      <w:start w:val="1"/>
      <w:numFmt w:val="lowerLetter"/>
      <w:lvlText w:val="%8."/>
      <w:lvlJc w:val="left"/>
      <w:pPr>
        <w:ind w:left="6764" w:hanging="360"/>
      </w:pPr>
    </w:lvl>
    <w:lvl w:ilvl="8" w:tplc="240A001B" w:tentative="1">
      <w:start w:val="1"/>
      <w:numFmt w:val="lowerRoman"/>
      <w:lvlText w:val="%9."/>
      <w:lvlJc w:val="right"/>
      <w:pPr>
        <w:ind w:left="7484" w:hanging="180"/>
      </w:pPr>
    </w:lvl>
  </w:abstractNum>
  <w:abstractNum w:abstractNumId="14" w15:restartNumberingAfterBreak="0">
    <w:nsid w:val="58422B64"/>
    <w:multiLevelType w:val="hybridMultilevel"/>
    <w:tmpl w:val="4796AE1C"/>
    <w:lvl w:ilvl="0" w:tplc="C66E06E8">
      <w:start w:val="7"/>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ABE69ED"/>
    <w:multiLevelType w:val="hybridMultilevel"/>
    <w:tmpl w:val="E8269174"/>
    <w:lvl w:ilvl="0" w:tplc="C43E1B10">
      <w:start w:val="5"/>
      <w:numFmt w:val="decimal"/>
      <w:lvlText w:val="%1."/>
      <w:lvlJc w:val="left"/>
      <w:pPr>
        <w:ind w:left="862"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6BD404C"/>
    <w:multiLevelType w:val="hybridMultilevel"/>
    <w:tmpl w:val="C62E5B22"/>
    <w:lvl w:ilvl="0" w:tplc="A4CC9C8A">
      <w:start w:val="10"/>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8" w15:restartNumberingAfterBreak="0">
    <w:nsid w:val="6D8F5AC7"/>
    <w:multiLevelType w:val="hybridMultilevel"/>
    <w:tmpl w:val="B8AE7016"/>
    <w:name w:val="WW8Num642322"/>
    <w:lvl w:ilvl="0" w:tplc="2F8681BA">
      <w:start w:val="1"/>
      <w:numFmt w:val="bullet"/>
      <w:lvlText w:val=""/>
      <w:lvlJc w:val="left"/>
      <w:pPr>
        <w:ind w:left="1724" w:hanging="360"/>
      </w:pPr>
      <w:rPr>
        <w:rFonts w:ascii="Wingdings" w:hAnsi="Wingdings" w:hint="default"/>
      </w:rPr>
    </w:lvl>
    <w:lvl w:ilvl="1" w:tplc="0C0A0019" w:tentative="1">
      <w:start w:val="1"/>
      <w:numFmt w:val="lowerLetter"/>
      <w:lvlText w:val="%2."/>
      <w:lvlJc w:val="left"/>
      <w:pPr>
        <w:ind w:left="1440" w:hanging="360"/>
      </w:pPr>
    </w:lvl>
    <w:lvl w:ilvl="2" w:tplc="B3F8A2F0" w:tentative="1">
      <w:start w:val="1"/>
      <w:numFmt w:val="lowerRoman"/>
      <w:lvlText w:val="%3."/>
      <w:lvlJc w:val="right"/>
      <w:pPr>
        <w:ind w:left="2160" w:hanging="180"/>
      </w:pPr>
    </w:lvl>
    <w:lvl w:ilvl="3" w:tplc="4342CD54" w:tentative="1">
      <w:start w:val="1"/>
      <w:numFmt w:val="decimal"/>
      <w:lvlText w:val="%4."/>
      <w:lvlJc w:val="left"/>
      <w:pPr>
        <w:ind w:left="2880" w:hanging="360"/>
      </w:pPr>
    </w:lvl>
    <w:lvl w:ilvl="4" w:tplc="BC569FFC" w:tentative="1">
      <w:start w:val="1"/>
      <w:numFmt w:val="lowerLetter"/>
      <w:lvlText w:val="%5."/>
      <w:lvlJc w:val="left"/>
      <w:pPr>
        <w:ind w:left="3600" w:hanging="360"/>
      </w:pPr>
    </w:lvl>
    <w:lvl w:ilvl="5" w:tplc="3500AD8A" w:tentative="1">
      <w:start w:val="1"/>
      <w:numFmt w:val="lowerRoman"/>
      <w:lvlText w:val="%6."/>
      <w:lvlJc w:val="right"/>
      <w:pPr>
        <w:ind w:left="4320" w:hanging="180"/>
      </w:pPr>
    </w:lvl>
    <w:lvl w:ilvl="6" w:tplc="F16C6B6C" w:tentative="1">
      <w:start w:val="1"/>
      <w:numFmt w:val="decimal"/>
      <w:lvlText w:val="%7."/>
      <w:lvlJc w:val="left"/>
      <w:pPr>
        <w:ind w:left="5040" w:hanging="360"/>
      </w:pPr>
    </w:lvl>
    <w:lvl w:ilvl="7" w:tplc="A37AFA36" w:tentative="1">
      <w:start w:val="1"/>
      <w:numFmt w:val="lowerLetter"/>
      <w:lvlText w:val="%8."/>
      <w:lvlJc w:val="left"/>
      <w:pPr>
        <w:ind w:left="5760" w:hanging="360"/>
      </w:pPr>
    </w:lvl>
    <w:lvl w:ilvl="8" w:tplc="8AB0005C" w:tentative="1">
      <w:start w:val="1"/>
      <w:numFmt w:val="lowerRoman"/>
      <w:lvlText w:val="%9."/>
      <w:lvlJc w:val="right"/>
      <w:pPr>
        <w:ind w:left="6480" w:hanging="180"/>
      </w:pPr>
    </w:lvl>
  </w:abstractNum>
  <w:abstractNum w:abstractNumId="19" w15:restartNumberingAfterBreak="0">
    <w:nsid w:val="7FAD6DBE"/>
    <w:multiLevelType w:val="hybridMultilevel"/>
    <w:tmpl w:val="AAD2A576"/>
    <w:lvl w:ilvl="0" w:tplc="240A0017">
      <w:start w:val="1"/>
      <w:numFmt w:val="lowerLetter"/>
      <w:lvlText w:val="%1)"/>
      <w:lvlJc w:val="left"/>
      <w:pPr>
        <w:ind w:left="1004" w:hanging="360"/>
      </w:pPr>
      <w:rPr>
        <w:rFonts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num w:numId="1">
    <w:abstractNumId w:val="1"/>
  </w:num>
  <w:num w:numId="2">
    <w:abstractNumId w:val="17"/>
  </w:num>
  <w:num w:numId="3">
    <w:abstractNumId w:val="0"/>
  </w:num>
  <w:num w:numId="4">
    <w:abstractNumId w:val="8"/>
  </w:num>
  <w:num w:numId="5">
    <w:abstractNumId w:val="16"/>
  </w:num>
  <w:num w:numId="6">
    <w:abstractNumId w:val="9"/>
  </w:num>
  <w:num w:numId="7">
    <w:abstractNumId w:val="11"/>
  </w:num>
  <w:num w:numId="8">
    <w:abstractNumId w:val="10"/>
  </w:num>
  <w:num w:numId="9">
    <w:abstractNumId w:val="4"/>
  </w:num>
  <w:num w:numId="10">
    <w:abstractNumId w:val="13"/>
  </w:num>
  <w:num w:numId="11">
    <w:abstractNumId w:val="18"/>
  </w:num>
  <w:num w:numId="12">
    <w:abstractNumId w:val="12"/>
  </w:num>
  <w:num w:numId="13">
    <w:abstractNumId w:val="7"/>
  </w:num>
  <w:num w:numId="14">
    <w:abstractNumId w:val="5"/>
  </w:num>
  <w:num w:numId="15">
    <w:abstractNumId w:val="14"/>
  </w:num>
  <w:num w:numId="16">
    <w:abstractNumId w:val="15"/>
  </w:num>
  <w:num w:numId="17">
    <w:abstractNumId w:val="6"/>
  </w:num>
  <w:num w:numId="18">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0F07"/>
    <w:rsid w:val="00004A25"/>
    <w:rsid w:val="0001704D"/>
    <w:rsid w:val="00022464"/>
    <w:rsid w:val="00022B14"/>
    <w:rsid w:val="00023137"/>
    <w:rsid w:val="00023764"/>
    <w:rsid w:val="00023782"/>
    <w:rsid w:val="000237C8"/>
    <w:rsid w:val="00031497"/>
    <w:rsid w:val="00031C03"/>
    <w:rsid w:val="00035349"/>
    <w:rsid w:val="00035F49"/>
    <w:rsid w:val="00041A27"/>
    <w:rsid w:val="00047048"/>
    <w:rsid w:val="000522F3"/>
    <w:rsid w:val="00055097"/>
    <w:rsid w:val="000562D0"/>
    <w:rsid w:val="00056B9B"/>
    <w:rsid w:val="000613FB"/>
    <w:rsid w:val="00062754"/>
    <w:rsid w:val="0007186B"/>
    <w:rsid w:val="00072908"/>
    <w:rsid w:val="0007305B"/>
    <w:rsid w:val="00073BF5"/>
    <w:rsid w:val="00077F37"/>
    <w:rsid w:val="00083C18"/>
    <w:rsid w:val="00083DFD"/>
    <w:rsid w:val="0008404A"/>
    <w:rsid w:val="00086F78"/>
    <w:rsid w:val="00091C47"/>
    <w:rsid w:val="00092B47"/>
    <w:rsid w:val="0009642E"/>
    <w:rsid w:val="000A0338"/>
    <w:rsid w:val="000A3138"/>
    <w:rsid w:val="000A53CD"/>
    <w:rsid w:val="000B03B8"/>
    <w:rsid w:val="000B39F3"/>
    <w:rsid w:val="000B3C82"/>
    <w:rsid w:val="000B4D60"/>
    <w:rsid w:val="000B75CA"/>
    <w:rsid w:val="000C13EB"/>
    <w:rsid w:val="000C2F89"/>
    <w:rsid w:val="000C327C"/>
    <w:rsid w:val="000C6ED4"/>
    <w:rsid w:val="000D06C2"/>
    <w:rsid w:val="000D25A1"/>
    <w:rsid w:val="000D4585"/>
    <w:rsid w:val="000D66BD"/>
    <w:rsid w:val="000D6C04"/>
    <w:rsid w:val="000E06B5"/>
    <w:rsid w:val="000E5BC5"/>
    <w:rsid w:val="000F181B"/>
    <w:rsid w:val="000F25E4"/>
    <w:rsid w:val="000F300F"/>
    <w:rsid w:val="000F4E5C"/>
    <w:rsid w:val="000F7E9A"/>
    <w:rsid w:val="00100362"/>
    <w:rsid w:val="00105BB8"/>
    <w:rsid w:val="0011099F"/>
    <w:rsid w:val="001118A3"/>
    <w:rsid w:val="00114C00"/>
    <w:rsid w:val="0011589A"/>
    <w:rsid w:val="00115F93"/>
    <w:rsid w:val="001240E6"/>
    <w:rsid w:val="001247A0"/>
    <w:rsid w:val="0012551C"/>
    <w:rsid w:val="001272C3"/>
    <w:rsid w:val="00127691"/>
    <w:rsid w:val="001302F1"/>
    <w:rsid w:val="00132B88"/>
    <w:rsid w:val="00137B52"/>
    <w:rsid w:val="00137EBD"/>
    <w:rsid w:val="0014011A"/>
    <w:rsid w:val="00142FCC"/>
    <w:rsid w:val="00144397"/>
    <w:rsid w:val="001554F1"/>
    <w:rsid w:val="00155DE2"/>
    <w:rsid w:val="001601E9"/>
    <w:rsid w:val="001650A9"/>
    <w:rsid w:val="00165225"/>
    <w:rsid w:val="001660DE"/>
    <w:rsid w:val="0016697C"/>
    <w:rsid w:val="00167DAE"/>
    <w:rsid w:val="00172324"/>
    <w:rsid w:val="001723DE"/>
    <w:rsid w:val="00172A68"/>
    <w:rsid w:val="0017541D"/>
    <w:rsid w:val="00177F04"/>
    <w:rsid w:val="00181615"/>
    <w:rsid w:val="00184CBE"/>
    <w:rsid w:val="00191BC3"/>
    <w:rsid w:val="00196AC4"/>
    <w:rsid w:val="00196E68"/>
    <w:rsid w:val="001A0A33"/>
    <w:rsid w:val="001A0EAD"/>
    <w:rsid w:val="001A2707"/>
    <w:rsid w:val="001A35CD"/>
    <w:rsid w:val="001A53BF"/>
    <w:rsid w:val="001A7648"/>
    <w:rsid w:val="001B0DBC"/>
    <w:rsid w:val="001C0C97"/>
    <w:rsid w:val="001C3802"/>
    <w:rsid w:val="001C4769"/>
    <w:rsid w:val="001C51DE"/>
    <w:rsid w:val="001C6E7C"/>
    <w:rsid w:val="001C6E82"/>
    <w:rsid w:val="001D0E75"/>
    <w:rsid w:val="001D1AED"/>
    <w:rsid w:val="001D1EB4"/>
    <w:rsid w:val="001D25A3"/>
    <w:rsid w:val="001D3793"/>
    <w:rsid w:val="001D676A"/>
    <w:rsid w:val="001D7AA6"/>
    <w:rsid w:val="001E1089"/>
    <w:rsid w:val="001E4CBE"/>
    <w:rsid w:val="001E5E9E"/>
    <w:rsid w:val="001E7549"/>
    <w:rsid w:val="001F2EFE"/>
    <w:rsid w:val="001F4623"/>
    <w:rsid w:val="001F7BB4"/>
    <w:rsid w:val="0020087B"/>
    <w:rsid w:val="00201C21"/>
    <w:rsid w:val="00202FA6"/>
    <w:rsid w:val="00203B25"/>
    <w:rsid w:val="00203C7A"/>
    <w:rsid w:val="00205796"/>
    <w:rsid w:val="002106EC"/>
    <w:rsid w:val="00216363"/>
    <w:rsid w:val="002233E7"/>
    <w:rsid w:val="002237BD"/>
    <w:rsid w:val="002249C4"/>
    <w:rsid w:val="00225EE6"/>
    <w:rsid w:val="00227678"/>
    <w:rsid w:val="00235C6D"/>
    <w:rsid w:val="00236383"/>
    <w:rsid w:val="00237FDA"/>
    <w:rsid w:val="00240EC9"/>
    <w:rsid w:val="002413E0"/>
    <w:rsid w:val="00241C4B"/>
    <w:rsid w:val="0024471F"/>
    <w:rsid w:val="00245932"/>
    <w:rsid w:val="002510C7"/>
    <w:rsid w:val="0025590E"/>
    <w:rsid w:val="00261726"/>
    <w:rsid w:val="00264602"/>
    <w:rsid w:val="00264B2C"/>
    <w:rsid w:val="0026502E"/>
    <w:rsid w:val="0027352A"/>
    <w:rsid w:val="002820D6"/>
    <w:rsid w:val="00283C90"/>
    <w:rsid w:val="00290007"/>
    <w:rsid w:val="00291E6F"/>
    <w:rsid w:val="00296C82"/>
    <w:rsid w:val="0029719D"/>
    <w:rsid w:val="002A05B5"/>
    <w:rsid w:val="002A05FE"/>
    <w:rsid w:val="002A21DE"/>
    <w:rsid w:val="002A2A70"/>
    <w:rsid w:val="002A3422"/>
    <w:rsid w:val="002B06F2"/>
    <w:rsid w:val="002B31D7"/>
    <w:rsid w:val="002B5DD3"/>
    <w:rsid w:val="002B681D"/>
    <w:rsid w:val="002C36C0"/>
    <w:rsid w:val="002D1E5F"/>
    <w:rsid w:val="002D217A"/>
    <w:rsid w:val="002D72F6"/>
    <w:rsid w:val="002E01CB"/>
    <w:rsid w:val="002E20CE"/>
    <w:rsid w:val="002E2903"/>
    <w:rsid w:val="002E4DB6"/>
    <w:rsid w:val="002E6715"/>
    <w:rsid w:val="002E7DF3"/>
    <w:rsid w:val="002F0C04"/>
    <w:rsid w:val="002F0D47"/>
    <w:rsid w:val="002F5480"/>
    <w:rsid w:val="002F56AF"/>
    <w:rsid w:val="002F5C9E"/>
    <w:rsid w:val="002F7EF2"/>
    <w:rsid w:val="003047AD"/>
    <w:rsid w:val="00304C58"/>
    <w:rsid w:val="00305CAB"/>
    <w:rsid w:val="00306284"/>
    <w:rsid w:val="00307964"/>
    <w:rsid w:val="00312BB7"/>
    <w:rsid w:val="00312C69"/>
    <w:rsid w:val="00316747"/>
    <w:rsid w:val="003171AF"/>
    <w:rsid w:val="00317E5F"/>
    <w:rsid w:val="00320B8B"/>
    <w:rsid w:val="00322632"/>
    <w:rsid w:val="00334B59"/>
    <w:rsid w:val="003414B8"/>
    <w:rsid w:val="00342393"/>
    <w:rsid w:val="00344751"/>
    <w:rsid w:val="00345E6C"/>
    <w:rsid w:val="00352A8F"/>
    <w:rsid w:val="003536BE"/>
    <w:rsid w:val="003540E0"/>
    <w:rsid w:val="00354EFA"/>
    <w:rsid w:val="0036500E"/>
    <w:rsid w:val="00375C7E"/>
    <w:rsid w:val="0037624B"/>
    <w:rsid w:val="00381EEC"/>
    <w:rsid w:val="0038278B"/>
    <w:rsid w:val="00385CFE"/>
    <w:rsid w:val="003868DD"/>
    <w:rsid w:val="00387BB1"/>
    <w:rsid w:val="00390528"/>
    <w:rsid w:val="00390C10"/>
    <w:rsid w:val="00391AF9"/>
    <w:rsid w:val="003A0B3A"/>
    <w:rsid w:val="003A1907"/>
    <w:rsid w:val="003A52F3"/>
    <w:rsid w:val="003A67CF"/>
    <w:rsid w:val="003B529E"/>
    <w:rsid w:val="003B7C87"/>
    <w:rsid w:val="003C0510"/>
    <w:rsid w:val="003C1019"/>
    <w:rsid w:val="003C101E"/>
    <w:rsid w:val="003C1951"/>
    <w:rsid w:val="003C374A"/>
    <w:rsid w:val="003C402E"/>
    <w:rsid w:val="003C4509"/>
    <w:rsid w:val="003C5B85"/>
    <w:rsid w:val="003D2637"/>
    <w:rsid w:val="003E6DCF"/>
    <w:rsid w:val="003F0FBC"/>
    <w:rsid w:val="003F4349"/>
    <w:rsid w:val="003F5EE2"/>
    <w:rsid w:val="003F6241"/>
    <w:rsid w:val="003F7E3B"/>
    <w:rsid w:val="00404714"/>
    <w:rsid w:val="00405B8F"/>
    <w:rsid w:val="00407231"/>
    <w:rsid w:val="00407BC8"/>
    <w:rsid w:val="00414F27"/>
    <w:rsid w:val="004155BA"/>
    <w:rsid w:val="0041591D"/>
    <w:rsid w:val="0042249E"/>
    <w:rsid w:val="0042279E"/>
    <w:rsid w:val="00426781"/>
    <w:rsid w:val="00435DCB"/>
    <w:rsid w:val="00440C3B"/>
    <w:rsid w:val="00461E9E"/>
    <w:rsid w:val="004728E1"/>
    <w:rsid w:val="00472E38"/>
    <w:rsid w:val="00477029"/>
    <w:rsid w:val="00481463"/>
    <w:rsid w:val="004832E6"/>
    <w:rsid w:val="0048374C"/>
    <w:rsid w:val="00487E55"/>
    <w:rsid w:val="004A1C87"/>
    <w:rsid w:val="004A2E6F"/>
    <w:rsid w:val="004A4E83"/>
    <w:rsid w:val="004A75FA"/>
    <w:rsid w:val="004B0867"/>
    <w:rsid w:val="004C562C"/>
    <w:rsid w:val="004C69E7"/>
    <w:rsid w:val="004D024F"/>
    <w:rsid w:val="004D14F6"/>
    <w:rsid w:val="004D2B39"/>
    <w:rsid w:val="004D4BAD"/>
    <w:rsid w:val="004D6CA7"/>
    <w:rsid w:val="004E2B65"/>
    <w:rsid w:val="004E76BA"/>
    <w:rsid w:val="004F2474"/>
    <w:rsid w:val="0050244B"/>
    <w:rsid w:val="00505C6F"/>
    <w:rsid w:val="005060BA"/>
    <w:rsid w:val="00510D20"/>
    <w:rsid w:val="0051793D"/>
    <w:rsid w:val="0052301D"/>
    <w:rsid w:val="00526AE6"/>
    <w:rsid w:val="00531A0E"/>
    <w:rsid w:val="0053307F"/>
    <w:rsid w:val="00540125"/>
    <w:rsid w:val="005402D5"/>
    <w:rsid w:val="00541795"/>
    <w:rsid w:val="005439A5"/>
    <w:rsid w:val="00545CA3"/>
    <w:rsid w:val="005545C9"/>
    <w:rsid w:val="00554B17"/>
    <w:rsid w:val="00562AB8"/>
    <w:rsid w:val="00566040"/>
    <w:rsid w:val="0056691C"/>
    <w:rsid w:val="00566C9D"/>
    <w:rsid w:val="00570104"/>
    <w:rsid w:val="00573CEB"/>
    <w:rsid w:val="0057454E"/>
    <w:rsid w:val="00575F69"/>
    <w:rsid w:val="00580A85"/>
    <w:rsid w:val="00581251"/>
    <w:rsid w:val="00582685"/>
    <w:rsid w:val="0058463D"/>
    <w:rsid w:val="00587476"/>
    <w:rsid w:val="00592D48"/>
    <w:rsid w:val="005933B4"/>
    <w:rsid w:val="00594348"/>
    <w:rsid w:val="00595806"/>
    <w:rsid w:val="00596778"/>
    <w:rsid w:val="00597C67"/>
    <w:rsid w:val="005A0C81"/>
    <w:rsid w:val="005A2EB3"/>
    <w:rsid w:val="005A4C68"/>
    <w:rsid w:val="005B1DA4"/>
    <w:rsid w:val="005B4118"/>
    <w:rsid w:val="005B52D0"/>
    <w:rsid w:val="005B6185"/>
    <w:rsid w:val="005C216F"/>
    <w:rsid w:val="005C2DE7"/>
    <w:rsid w:val="005C5B5C"/>
    <w:rsid w:val="005D087E"/>
    <w:rsid w:val="005D1255"/>
    <w:rsid w:val="005D3E8D"/>
    <w:rsid w:val="005E50D5"/>
    <w:rsid w:val="005F0EA5"/>
    <w:rsid w:val="005F1B6E"/>
    <w:rsid w:val="005F2494"/>
    <w:rsid w:val="005F370C"/>
    <w:rsid w:val="005F4CBE"/>
    <w:rsid w:val="005F6D3B"/>
    <w:rsid w:val="005F7063"/>
    <w:rsid w:val="005F7C94"/>
    <w:rsid w:val="00601CA2"/>
    <w:rsid w:val="00603098"/>
    <w:rsid w:val="00603277"/>
    <w:rsid w:val="00604737"/>
    <w:rsid w:val="00606524"/>
    <w:rsid w:val="00607973"/>
    <w:rsid w:val="00610797"/>
    <w:rsid w:val="00611ED5"/>
    <w:rsid w:val="006130EE"/>
    <w:rsid w:val="0061471B"/>
    <w:rsid w:val="00617CA5"/>
    <w:rsid w:val="006202E3"/>
    <w:rsid w:val="00621B5E"/>
    <w:rsid w:val="00625629"/>
    <w:rsid w:val="00631A29"/>
    <w:rsid w:val="00635D7F"/>
    <w:rsid w:val="00637083"/>
    <w:rsid w:val="00641101"/>
    <w:rsid w:val="006424DD"/>
    <w:rsid w:val="00645CE7"/>
    <w:rsid w:val="00650F80"/>
    <w:rsid w:val="006525B5"/>
    <w:rsid w:val="00653168"/>
    <w:rsid w:val="00653443"/>
    <w:rsid w:val="006541F2"/>
    <w:rsid w:val="0065611C"/>
    <w:rsid w:val="006625AC"/>
    <w:rsid w:val="00666CD7"/>
    <w:rsid w:val="00667826"/>
    <w:rsid w:val="00670DF3"/>
    <w:rsid w:val="00671CAF"/>
    <w:rsid w:val="00672A0C"/>
    <w:rsid w:val="00680917"/>
    <w:rsid w:val="00681153"/>
    <w:rsid w:val="0068490B"/>
    <w:rsid w:val="006863D3"/>
    <w:rsid w:val="0069223E"/>
    <w:rsid w:val="006954D2"/>
    <w:rsid w:val="00696686"/>
    <w:rsid w:val="00696D8B"/>
    <w:rsid w:val="00697C7D"/>
    <w:rsid w:val="006A097C"/>
    <w:rsid w:val="006A20F0"/>
    <w:rsid w:val="006A5EE8"/>
    <w:rsid w:val="006A6BB6"/>
    <w:rsid w:val="006A6F0C"/>
    <w:rsid w:val="006B03DD"/>
    <w:rsid w:val="006B3AA5"/>
    <w:rsid w:val="006C22C4"/>
    <w:rsid w:val="006C372F"/>
    <w:rsid w:val="006C6CA1"/>
    <w:rsid w:val="006E208C"/>
    <w:rsid w:val="006E5078"/>
    <w:rsid w:val="006E5CA6"/>
    <w:rsid w:val="006E7D99"/>
    <w:rsid w:val="006E7E4B"/>
    <w:rsid w:val="006F36AF"/>
    <w:rsid w:val="006F5B1D"/>
    <w:rsid w:val="006F6AD3"/>
    <w:rsid w:val="006F7DE1"/>
    <w:rsid w:val="007001BF"/>
    <w:rsid w:val="007024AE"/>
    <w:rsid w:val="00702DE7"/>
    <w:rsid w:val="0070649C"/>
    <w:rsid w:val="00706AEC"/>
    <w:rsid w:val="00706FFC"/>
    <w:rsid w:val="007072CB"/>
    <w:rsid w:val="00713CF7"/>
    <w:rsid w:val="00714A23"/>
    <w:rsid w:val="00722CDC"/>
    <w:rsid w:val="007231AC"/>
    <w:rsid w:val="00726B3F"/>
    <w:rsid w:val="00730F2E"/>
    <w:rsid w:val="00732BF5"/>
    <w:rsid w:val="0073353C"/>
    <w:rsid w:val="00734301"/>
    <w:rsid w:val="00736930"/>
    <w:rsid w:val="0074069D"/>
    <w:rsid w:val="0074146C"/>
    <w:rsid w:val="00741483"/>
    <w:rsid w:val="00747587"/>
    <w:rsid w:val="00747716"/>
    <w:rsid w:val="007616FC"/>
    <w:rsid w:val="00761C18"/>
    <w:rsid w:val="007643E7"/>
    <w:rsid w:val="00780BDC"/>
    <w:rsid w:val="00783A09"/>
    <w:rsid w:val="007841A9"/>
    <w:rsid w:val="00791D50"/>
    <w:rsid w:val="00792057"/>
    <w:rsid w:val="0079712A"/>
    <w:rsid w:val="007977EA"/>
    <w:rsid w:val="007A032D"/>
    <w:rsid w:val="007A34D1"/>
    <w:rsid w:val="007A5CBF"/>
    <w:rsid w:val="007A6469"/>
    <w:rsid w:val="007B1417"/>
    <w:rsid w:val="007B2520"/>
    <w:rsid w:val="007B2987"/>
    <w:rsid w:val="007B4A65"/>
    <w:rsid w:val="007B54DD"/>
    <w:rsid w:val="007B656D"/>
    <w:rsid w:val="007C57F4"/>
    <w:rsid w:val="007D5146"/>
    <w:rsid w:val="007D6C5E"/>
    <w:rsid w:val="007D73A8"/>
    <w:rsid w:val="007D7AE6"/>
    <w:rsid w:val="007E0107"/>
    <w:rsid w:val="007E131B"/>
    <w:rsid w:val="007E1E3C"/>
    <w:rsid w:val="007E222D"/>
    <w:rsid w:val="007E2E96"/>
    <w:rsid w:val="007F7FF3"/>
    <w:rsid w:val="00801B30"/>
    <w:rsid w:val="00801F83"/>
    <w:rsid w:val="008021AD"/>
    <w:rsid w:val="00804634"/>
    <w:rsid w:val="0080595D"/>
    <w:rsid w:val="008068E3"/>
    <w:rsid w:val="008126E1"/>
    <w:rsid w:val="0081471B"/>
    <w:rsid w:val="00814CC8"/>
    <w:rsid w:val="00816BAF"/>
    <w:rsid w:val="00821BB9"/>
    <w:rsid w:val="0082400B"/>
    <w:rsid w:val="008253BA"/>
    <w:rsid w:val="0082557E"/>
    <w:rsid w:val="00826616"/>
    <w:rsid w:val="008362FE"/>
    <w:rsid w:val="00840A68"/>
    <w:rsid w:val="00843849"/>
    <w:rsid w:val="00843953"/>
    <w:rsid w:val="00843D97"/>
    <w:rsid w:val="00844A29"/>
    <w:rsid w:val="00844EED"/>
    <w:rsid w:val="008474CA"/>
    <w:rsid w:val="00853E02"/>
    <w:rsid w:val="008545BF"/>
    <w:rsid w:val="0086037D"/>
    <w:rsid w:val="0086060D"/>
    <w:rsid w:val="00861618"/>
    <w:rsid w:val="0087344A"/>
    <w:rsid w:val="008758AF"/>
    <w:rsid w:val="00876C5C"/>
    <w:rsid w:val="0087799F"/>
    <w:rsid w:val="008805DC"/>
    <w:rsid w:val="00883E74"/>
    <w:rsid w:val="008905A8"/>
    <w:rsid w:val="0089170F"/>
    <w:rsid w:val="0089396D"/>
    <w:rsid w:val="00893A82"/>
    <w:rsid w:val="00895620"/>
    <w:rsid w:val="008976E4"/>
    <w:rsid w:val="008A1DF0"/>
    <w:rsid w:val="008A37A7"/>
    <w:rsid w:val="008A4703"/>
    <w:rsid w:val="008B18EB"/>
    <w:rsid w:val="008C1ADB"/>
    <w:rsid w:val="008C2D61"/>
    <w:rsid w:val="008C585C"/>
    <w:rsid w:val="008D215A"/>
    <w:rsid w:val="008D551D"/>
    <w:rsid w:val="008D7927"/>
    <w:rsid w:val="008E11D2"/>
    <w:rsid w:val="008E2997"/>
    <w:rsid w:val="008E2BD6"/>
    <w:rsid w:val="008E30C2"/>
    <w:rsid w:val="008E3487"/>
    <w:rsid w:val="008E3501"/>
    <w:rsid w:val="008E541F"/>
    <w:rsid w:val="008E6F0F"/>
    <w:rsid w:val="008F48A0"/>
    <w:rsid w:val="008F523D"/>
    <w:rsid w:val="008F5725"/>
    <w:rsid w:val="00901414"/>
    <w:rsid w:val="0090161A"/>
    <w:rsid w:val="00903F98"/>
    <w:rsid w:val="009053AA"/>
    <w:rsid w:val="00911058"/>
    <w:rsid w:val="00921C65"/>
    <w:rsid w:val="00923679"/>
    <w:rsid w:val="00924734"/>
    <w:rsid w:val="00926773"/>
    <w:rsid w:val="009268BE"/>
    <w:rsid w:val="00931947"/>
    <w:rsid w:val="00931B34"/>
    <w:rsid w:val="009354B0"/>
    <w:rsid w:val="00936358"/>
    <w:rsid w:val="00936AFB"/>
    <w:rsid w:val="009377EA"/>
    <w:rsid w:val="009378F9"/>
    <w:rsid w:val="0094242D"/>
    <w:rsid w:val="0094358D"/>
    <w:rsid w:val="00952D6A"/>
    <w:rsid w:val="00955E3C"/>
    <w:rsid w:val="00957D43"/>
    <w:rsid w:val="00963EC5"/>
    <w:rsid w:val="009645CA"/>
    <w:rsid w:val="00965FC4"/>
    <w:rsid w:val="009704C1"/>
    <w:rsid w:val="00972557"/>
    <w:rsid w:val="00974A24"/>
    <w:rsid w:val="00976A18"/>
    <w:rsid w:val="00983E41"/>
    <w:rsid w:val="009842A6"/>
    <w:rsid w:val="0099035E"/>
    <w:rsid w:val="00991D56"/>
    <w:rsid w:val="00993367"/>
    <w:rsid w:val="00994C4F"/>
    <w:rsid w:val="009954FE"/>
    <w:rsid w:val="009A1670"/>
    <w:rsid w:val="009A3327"/>
    <w:rsid w:val="009B1221"/>
    <w:rsid w:val="009B3F35"/>
    <w:rsid w:val="009B4D93"/>
    <w:rsid w:val="009B645F"/>
    <w:rsid w:val="009B6E1B"/>
    <w:rsid w:val="009C3C53"/>
    <w:rsid w:val="009C5791"/>
    <w:rsid w:val="009D0AB4"/>
    <w:rsid w:val="009D488F"/>
    <w:rsid w:val="009D721C"/>
    <w:rsid w:val="009E313A"/>
    <w:rsid w:val="009E4908"/>
    <w:rsid w:val="009E4913"/>
    <w:rsid w:val="009E4EF6"/>
    <w:rsid w:val="009E7138"/>
    <w:rsid w:val="009F0199"/>
    <w:rsid w:val="009F0228"/>
    <w:rsid w:val="009F37CB"/>
    <w:rsid w:val="009F6ABF"/>
    <w:rsid w:val="00A0270F"/>
    <w:rsid w:val="00A05201"/>
    <w:rsid w:val="00A05C1A"/>
    <w:rsid w:val="00A05C7C"/>
    <w:rsid w:val="00A072FE"/>
    <w:rsid w:val="00A12681"/>
    <w:rsid w:val="00A12923"/>
    <w:rsid w:val="00A13CF2"/>
    <w:rsid w:val="00A15BCF"/>
    <w:rsid w:val="00A164DC"/>
    <w:rsid w:val="00A2403C"/>
    <w:rsid w:val="00A24E1B"/>
    <w:rsid w:val="00A265DB"/>
    <w:rsid w:val="00A26D94"/>
    <w:rsid w:val="00A27D77"/>
    <w:rsid w:val="00A31E58"/>
    <w:rsid w:val="00A32275"/>
    <w:rsid w:val="00A3279E"/>
    <w:rsid w:val="00A371F9"/>
    <w:rsid w:val="00A4048D"/>
    <w:rsid w:val="00A424E5"/>
    <w:rsid w:val="00A435CA"/>
    <w:rsid w:val="00A45919"/>
    <w:rsid w:val="00A5080E"/>
    <w:rsid w:val="00A535A8"/>
    <w:rsid w:val="00A643D1"/>
    <w:rsid w:val="00A646F4"/>
    <w:rsid w:val="00A664A5"/>
    <w:rsid w:val="00A70087"/>
    <w:rsid w:val="00A705F6"/>
    <w:rsid w:val="00A72C29"/>
    <w:rsid w:val="00A748A0"/>
    <w:rsid w:val="00A76A42"/>
    <w:rsid w:val="00A85070"/>
    <w:rsid w:val="00A85560"/>
    <w:rsid w:val="00A940B6"/>
    <w:rsid w:val="00A95422"/>
    <w:rsid w:val="00A96A26"/>
    <w:rsid w:val="00AA16C2"/>
    <w:rsid w:val="00AA4BB4"/>
    <w:rsid w:val="00AA5AF0"/>
    <w:rsid w:val="00AB2FF3"/>
    <w:rsid w:val="00AB4D4C"/>
    <w:rsid w:val="00AB54B3"/>
    <w:rsid w:val="00AB5F17"/>
    <w:rsid w:val="00AB6566"/>
    <w:rsid w:val="00AB6DDA"/>
    <w:rsid w:val="00AB70B9"/>
    <w:rsid w:val="00AC15D8"/>
    <w:rsid w:val="00AC2E27"/>
    <w:rsid w:val="00AC6338"/>
    <w:rsid w:val="00AD536A"/>
    <w:rsid w:val="00AD6749"/>
    <w:rsid w:val="00AD680B"/>
    <w:rsid w:val="00AD6D6F"/>
    <w:rsid w:val="00AE0A37"/>
    <w:rsid w:val="00AE10A1"/>
    <w:rsid w:val="00AE2E73"/>
    <w:rsid w:val="00AE3E9A"/>
    <w:rsid w:val="00AE44C3"/>
    <w:rsid w:val="00AE4872"/>
    <w:rsid w:val="00AE4D02"/>
    <w:rsid w:val="00AE539C"/>
    <w:rsid w:val="00AE7340"/>
    <w:rsid w:val="00AF0B6D"/>
    <w:rsid w:val="00AF0CF2"/>
    <w:rsid w:val="00AF2AA1"/>
    <w:rsid w:val="00AF30FD"/>
    <w:rsid w:val="00AF63D3"/>
    <w:rsid w:val="00B01D96"/>
    <w:rsid w:val="00B1293F"/>
    <w:rsid w:val="00B1772C"/>
    <w:rsid w:val="00B17EF5"/>
    <w:rsid w:val="00B227F8"/>
    <w:rsid w:val="00B24E99"/>
    <w:rsid w:val="00B25F77"/>
    <w:rsid w:val="00B26D51"/>
    <w:rsid w:val="00B30348"/>
    <w:rsid w:val="00B316E8"/>
    <w:rsid w:val="00B31C33"/>
    <w:rsid w:val="00B31C7D"/>
    <w:rsid w:val="00B31CA4"/>
    <w:rsid w:val="00B35BB5"/>
    <w:rsid w:val="00B35D42"/>
    <w:rsid w:val="00B4032F"/>
    <w:rsid w:val="00B42FE9"/>
    <w:rsid w:val="00B4664C"/>
    <w:rsid w:val="00B52FEF"/>
    <w:rsid w:val="00B55F8F"/>
    <w:rsid w:val="00B566DD"/>
    <w:rsid w:val="00B57104"/>
    <w:rsid w:val="00B60B0E"/>
    <w:rsid w:val="00B722D5"/>
    <w:rsid w:val="00B736C2"/>
    <w:rsid w:val="00B7554F"/>
    <w:rsid w:val="00B8348A"/>
    <w:rsid w:val="00B84803"/>
    <w:rsid w:val="00B869ED"/>
    <w:rsid w:val="00B903E2"/>
    <w:rsid w:val="00B911FC"/>
    <w:rsid w:val="00B93E5A"/>
    <w:rsid w:val="00BA3D5D"/>
    <w:rsid w:val="00BA5B0F"/>
    <w:rsid w:val="00BA619D"/>
    <w:rsid w:val="00BB392C"/>
    <w:rsid w:val="00BB5932"/>
    <w:rsid w:val="00BB5D4E"/>
    <w:rsid w:val="00BB7043"/>
    <w:rsid w:val="00BC1F45"/>
    <w:rsid w:val="00BC6559"/>
    <w:rsid w:val="00BD2364"/>
    <w:rsid w:val="00BD33DD"/>
    <w:rsid w:val="00BD4041"/>
    <w:rsid w:val="00BD7B3B"/>
    <w:rsid w:val="00BE1881"/>
    <w:rsid w:val="00BE4337"/>
    <w:rsid w:val="00BE43BA"/>
    <w:rsid w:val="00BE4CB5"/>
    <w:rsid w:val="00BE6C59"/>
    <w:rsid w:val="00BF1E7E"/>
    <w:rsid w:val="00BF6CAA"/>
    <w:rsid w:val="00C012AE"/>
    <w:rsid w:val="00C01A74"/>
    <w:rsid w:val="00C1201B"/>
    <w:rsid w:val="00C12F7E"/>
    <w:rsid w:val="00C15F70"/>
    <w:rsid w:val="00C22667"/>
    <w:rsid w:val="00C2276C"/>
    <w:rsid w:val="00C24056"/>
    <w:rsid w:val="00C2674D"/>
    <w:rsid w:val="00C421FC"/>
    <w:rsid w:val="00C43089"/>
    <w:rsid w:val="00C43DB9"/>
    <w:rsid w:val="00C4445F"/>
    <w:rsid w:val="00C4517E"/>
    <w:rsid w:val="00C45BF8"/>
    <w:rsid w:val="00C52E8D"/>
    <w:rsid w:val="00C565D7"/>
    <w:rsid w:val="00C570E9"/>
    <w:rsid w:val="00C64A3E"/>
    <w:rsid w:val="00C658AA"/>
    <w:rsid w:val="00C66A5C"/>
    <w:rsid w:val="00C7031C"/>
    <w:rsid w:val="00C71A40"/>
    <w:rsid w:val="00C74B50"/>
    <w:rsid w:val="00C750E8"/>
    <w:rsid w:val="00C77455"/>
    <w:rsid w:val="00C815D5"/>
    <w:rsid w:val="00C81E4A"/>
    <w:rsid w:val="00C823A9"/>
    <w:rsid w:val="00C83F14"/>
    <w:rsid w:val="00C90FFE"/>
    <w:rsid w:val="00C9136E"/>
    <w:rsid w:val="00C9409E"/>
    <w:rsid w:val="00CA5E03"/>
    <w:rsid w:val="00CA6094"/>
    <w:rsid w:val="00CB346D"/>
    <w:rsid w:val="00CB5349"/>
    <w:rsid w:val="00CB5457"/>
    <w:rsid w:val="00CB5FDF"/>
    <w:rsid w:val="00CC0043"/>
    <w:rsid w:val="00CC3F9B"/>
    <w:rsid w:val="00CD516E"/>
    <w:rsid w:val="00CE2236"/>
    <w:rsid w:val="00CE4288"/>
    <w:rsid w:val="00CE4BA8"/>
    <w:rsid w:val="00CF620D"/>
    <w:rsid w:val="00D013B1"/>
    <w:rsid w:val="00D02F3C"/>
    <w:rsid w:val="00D03035"/>
    <w:rsid w:val="00D035AB"/>
    <w:rsid w:val="00D0595D"/>
    <w:rsid w:val="00D153BD"/>
    <w:rsid w:val="00D16E49"/>
    <w:rsid w:val="00D2054B"/>
    <w:rsid w:val="00D20E88"/>
    <w:rsid w:val="00D215AD"/>
    <w:rsid w:val="00D23B59"/>
    <w:rsid w:val="00D27EE5"/>
    <w:rsid w:val="00D30AA3"/>
    <w:rsid w:val="00D31445"/>
    <w:rsid w:val="00D320E5"/>
    <w:rsid w:val="00D324C2"/>
    <w:rsid w:val="00D37177"/>
    <w:rsid w:val="00D4177C"/>
    <w:rsid w:val="00D424D6"/>
    <w:rsid w:val="00D42C35"/>
    <w:rsid w:val="00D44715"/>
    <w:rsid w:val="00D44A19"/>
    <w:rsid w:val="00D476BE"/>
    <w:rsid w:val="00D47AA8"/>
    <w:rsid w:val="00D51E94"/>
    <w:rsid w:val="00D53210"/>
    <w:rsid w:val="00D568FB"/>
    <w:rsid w:val="00D631F4"/>
    <w:rsid w:val="00D6400A"/>
    <w:rsid w:val="00D65B59"/>
    <w:rsid w:val="00D6702F"/>
    <w:rsid w:val="00D671F8"/>
    <w:rsid w:val="00D7487A"/>
    <w:rsid w:val="00D80772"/>
    <w:rsid w:val="00D848F2"/>
    <w:rsid w:val="00D84981"/>
    <w:rsid w:val="00D8517C"/>
    <w:rsid w:val="00D86648"/>
    <w:rsid w:val="00D8742F"/>
    <w:rsid w:val="00D90CB1"/>
    <w:rsid w:val="00D913F6"/>
    <w:rsid w:val="00D916FE"/>
    <w:rsid w:val="00D92A38"/>
    <w:rsid w:val="00D9347A"/>
    <w:rsid w:val="00DA1B30"/>
    <w:rsid w:val="00DA1E7A"/>
    <w:rsid w:val="00DA1EB0"/>
    <w:rsid w:val="00DA6892"/>
    <w:rsid w:val="00DB189A"/>
    <w:rsid w:val="00DB376D"/>
    <w:rsid w:val="00DB5FDF"/>
    <w:rsid w:val="00DC11F7"/>
    <w:rsid w:val="00DC3516"/>
    <w:rsid w:val="00DC5CAA"/>
    <w:rsid w:val="00DC76C1"/>
    <w:rsid w:val="00DD0A01"/>
    <w:rsid w:val="00DD47B1"/>
    <w:rsid w:val="00DD49CF"/>
    <w:rsid w:val="00DE1896"/>
    <w:rsid w:val="00DE36FD"/>
    <w:rsid w:val="00DE5759"/>
    <w:rsid w:val="00DE6763"/>
    <w:rsid w:val="00DE6829"/>
    <w:rsid w:val="00DF193E"/>
    <w:rsid w:val="00DF1CB8"/>
    <w:rsid w:val="00DF2AE5"/>
    <w:rsid w:val="00DF33AA"/>
    <w:rsid w:val="00DF36B7"/>
    <w:rsid w:val="00DF5E50"/>
    <w:rsid w:val="00DF6167"/>
    <w:rsid w:val="00DF6B26"/>
    <w:rsid w:val="00E00661"/>
    <w:rsid w:val="00E01464"/>
    <w:rsid w:val="00E03B50"/>
    <w:rsid w:val="00E07CE8"/>
    <w:rsid w:val="00E10A92"/>
    <w:rsid w:val="00E11A23"/>
    <w:rsid w:val="00E12473"/>
    <w:rsid w:val="00E12D18"/>
    <w:rsid w:val="00E12D71"/>
    <w:rsid w:val="00E15C6B"/>
    <w:rsid w:val="00E16857"/>
    <w:rsid w:val="00E16C1B"/>
    <w:rsid w:val="00E21587"/>
    <w:rsid w:val="00E21F8C"/>
    <w:rsid w:val="00E25A30"/>
    <w:rsid w:val="00E26338"/>
    <w:rsid w:val="00E3035C"/>
    <w:rsid w:val="00E311A9"/>
    <w:rsid w:val="00E33A38"/>
    <w:rsid w:val="00E33B3C"/>
    <w:rsid w:val="00E47E91"/>
    <w:rsid w:val="00E51F64"/>
    <w:rsid w:val="00E5446D"/>
    <w:rsid w:val="00E62408"/>
    <w:rsid w:val="00E66AC7"/>
    <w:rsid w:val="00E70852"/>
    <w:rsid w:val="00E72792"/>
    <w:rsid w:val="00E818BB"/>
    <w:rsid w:val="00E8313E"/>
    <w:rsid w:val="00E83FEE"/>
    <w:rsid w:val="00E8459C"/>
    <w:rsid w:val="00E9100F"/>
    <w:rsid w:val="00E91179"/>
    <w:rsid w:val="00E951CB"/>
    <w:rsid w:val="00E96A24"/>
    <w:rsid w:val="00E96A9A"/>
    <w:rsid w:val="00E970AD"/>
    <w:rsid w:val="00EA0927"/>
    <w:rsid w:val="00EA6D1F"/>
    <w:rsid w:val="00EB1602"/>
    <w:rsid w:val="00EB1C90"/>
    <w:rsid w:val="00EB63AF"/>
    <w:rsid w:val="00EC2119"/>
    <w:rsid w:val="00EC50F7"/>
    <w:rsid w:val="00EC5582"/>
    <w:rsid w:val="00EC5D35"/>
    <w:rsid w:val="00ED0277"/>
    <w:rsid w:val="00ED2E41"/>
    <w:rsid w:val="00ED6F4F"/>
    <w:rsid w:val="00EF4BE4"/>
    <w:rsid w:val="00EF4F1B"/>
    <w:rsid w:val="00EF5B63"/>
    <w:rsid w:val="00F1445D"/>
    <w:rsid w:val="00F14988"/>
    <w:rsid w:val="00F20A20"/>
    <w:rsid w:val="00F25293"/>
    <w:rsid w:val="00F37049"/>
    <w:rsid w:val="00F40D0D"/>
    <w:rsid w:val="00F4281E"/>
    <w:rsid w:val="00F429FF"/>
    <w:rsid w:val="00F4384B"/>
    <w:rsid w:val="00F52021"/>
    <w:rsid w:val="00F52C86"/>
    <w:rsid w:val="00F5343B"/>
    <w:rsid w:val="00F53756"/>
    <w:rsid w:val="00F54E2F"/>
    <w:rsid w:val="00F5614B"/>
    <w:rsid w:val="00F6131E"/>
    <w:rsid w:val="00F618F4"/>
    <w:rsid w:val="00F6349E"/>
    <w:rsid w:val="00F63C9D"/>
    <w:rsid w:val="00F66DE9"/>
    <w:rsid w:val="00F66F6F"/>
    <w:rsid w:val="00F674F2"/>
    <w:rsid w:val="00F71D22"/>
    <w:rsid w:val="00F751B2"/>
    <w:rsid w:val="00F75352"/>
    <w:rsid w:val="00F769CE"/>
    <w:rsid w:val="00F80A0C"/>
    <w:rsid w:val="00F81AE6"/>
    <w:rsid w:val="00F845AE"/>
    <w:rsid w:val="00F85BC0"/>
    <w:rsid w:val="00F90596"/>
    <w:rsid w:val="00F918C4"/>
    <w:rsid w:val="00F92655"/>
    <w:rsid w:val="00F9391F"/>
    <w:rsid w:val="00F953BA"/>
    <w:rsid w:val="00F97C92"/>
    <w:rsid w:val="00FA102F"/>
    <w:rsid w:val="00FA2B85"/>
    <w:rsid w:val="00FA6C42"/>
    <w:rsid w:val="00FA7D1A"/>
    <w:rsid w:val="00FB2227"/>
    <w:rsid w:val="00FC0EC5"/>
    <w:rsid w:val="00FC726B"/>
    <w:rsid w:val="00FD0540"/>
    <w:rsid w:val="00FD2FA9"/>
    <w:rsid w:val="00FD3734"/>
    <w:rsid w:val="00FD628F"/>
    <w:rsid w:val="00FE158A"/>
    <w:rsid w:val="00FE7A4E"/>
    <w:rsid w:val="00FF53BA"/>
    <w:rsid w:val="00FF6331"/>
    <w:rsid w:val="00FF6A2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32402FD8-6C6B-48AB-B512-73E62572A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313E"/>
    <w:pPr>
      <w:jc w:val="both"/>
    </w:pPr>
    <w:rPr>
      <w:rFonts w:ascii="Bookman Old Style" w:hAnsi="Bookman Old Style"/>
      <w:sz w:val="24"/>
      <w:szCs w:val="24"/>
      <w:lang w:val="es-ES" w:eastAsia="es-ES"/>
    </w:rPr>
  </w:style>
  <w:style w:type="paragraph" w:styleId="Ttulo1">
    <w:name w:val="heading 1"/>
    <w:basedOn w:val="Normal"/>
    <w:next w:val="Normal"/>
    <w:qFormat/>
    <w:rsid w:val="00E8313E"/>
    <w:pPr>
      <w:keepNext/>
      <w:outlineLvl w:val="0"/>
    </w:pPr>
    <w:rPr>
      <w:rFonts w:cs="Arial"/>
      <w:b/>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Puesto">
    <w:name w:val="Title"/>
    <w:basedOn w:val="Normal"/>
    <w:link w:val="Puest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PuestoCar">
    <w:name w:val="Puesto Car"/>
    <w:link w:val="Puesto"/>
    <w:rsid w:val="00795BFB"/>
    <w:rPr>
      <w:rFonts w:ascii="Arial" w:hAnsi="Arial" w:cs="Arial"/>
      <w:b/>
      <w:bCs/>
      <w:sz w:val="24"/>
      <w:szCs w:val="24"/>
    </w:rPr>
  </w:style>
  <w:style w:type="paragraph" w:customStyle="1" w:styleId="Listavistosa-nfasis11">
    <w:name w:val="Lista vistosa - Énfasis 11"/>
    <w:basedOn w:val="Normal"/>
    <w:link w:val="Listavistosa-nfasis1Car"/>
    <w:uiPriority w:val="34"/>
    <w:qFormat/>
    <w:rsid w:val="001405C6"/>
    <w:pPr>
      <w:ind w:left="708"/>
    </w:pPr>
    <w:rPr>
      <w:sz w:val="20"/>
      <w:szCs w:val="20"/>
      <w:lang w:val="es-CO" w:eastAsia="x-none"/>
    </w:rPr>
  </w:style>
  <w:style w:type="character" w:customStyle="1" w:styleId="Listavistosa-nfasis1Car">
    <w:name w:val="Lista vistosa - Énfasis 1 Car"/>
    <w:link w:val="Listavistosa-nfasis11"/>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rPr>
      <w:lang w:val="x-none" w:eastAsia="x-none"/>
    </w:rPr>
  </w:style>
  <w:style w:type="character" w:customStyle="1" w:styleId="Textoindependiente2Car">
    <w:name w:val="Texto independiente 2 Car"/>
    <w:link w:val="Textoindependiente2"/>
    <w:uiPriority w:val="99"/>
    <w:semiHidden/>
    <w:rsid w:val="00006AE2"/>
    <w:rPr>
      <w:sz w:val="24"/>
      <w:szCs w:val="24"/>
    </w:rPr>
  </w:style>
  <w:style w:type="paragraph" w:styleId="Descripcin">
    <w:name w:val="caption"/>
    <w:basedOn w:val="Normal"/>
    <w:next w:val="Normal"/>
    <w:uiPriority w:val="35"/>
    <w:qFormat/>
    <w:rsid w:val="003A31F6"/>
    <w:pPr>
      <w:widowControl w:val="0"/>
      <w:adjustRightInd w:val="0"/>
      <w:spacing w:before="120" w:after="120" w:line="360" w:lineRule="atLeast"/>
      <w:jc w:val="center"/>
      <w:textAlignment w:val="baseline"/>
    </w:pPr>
    <w:rPr>
      <w:rFonts w:ascii="Arial" w:hAnsi="Arial"/>
      <w:sz w:val="20"/>
      <w:szCs w:val="20"/>
    </w:rPr>
  </w:style>
  <w:style w:type="paragraph" w:customStyle="1" w:styleId="Cuadrculamedia21">
    <w:name w:val="Cuadrícula media 21"/>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customStyle="1" w:styleId="Default">
    <w:name w:val="Default"/>
    <w:rsid w:val="008758AF"/>
    <w:pPr>
      <w:autoSpaceDE w:val="0"/>
      <w:autoSpaceDN w:val="0"/>
      <w:adjustRightInd w:val="0"/>
    </w:pPr>
    <w:rPr>
      <w:rFonts w:ascii="Verdana" w:eastAsia="Calibri" w:hAnsi="Verdana" w:cs="Verdana"/>
      <w:color w:val="000000"/>
      <w:sz w:val="24"/>
      <w:szCs w:val="24"/>
      <w:lang w:eastAsia="en-US"/>
    </w:rPr>
  </w:style>
  <w:style w:type="character" w:styleId="Hipervnculo">
    <w:name w:val="Hyperlink"/>
    <w:uiPriority w:val="99"/>
    <w:unhideWhenUsed/>
    <w:rsid w:val="008758AF"/>
    <w:rPr>
      <w:color w:val="0000FF"/>
      <w:u w:val="single"/>
    </w:rPr>
  </w:style>
  <w:style w:type="paragraph" w:styleId="NormalWeb">
    <w:name w:val="Normal (Web)"/>
    <w:basedOn w:val="Normal"/>
    <w:uiPriority w:val="99"/>
    <w:unhideWhenUsed/>
    <w:rsid w:val="008758AF"/>
    <w:pPr>
      <w:spacing w:before="100" w:beforeAutospacing="1" w:after="100" w:afterAutospacing="1"/>
    </w:pPr>
    <w:rPr>
      <w:color w:val="000000"/>
      <w:lang w:val="es-CO" w:eastAsia="es-CO"/>
    </w:rPr>
  </w:style>
  <w:style w:type="character" w:styleId="Refdecomentario">
    <w:name w:val="annotation reference"/>
    <w:uiPriority w:val="99"/>
    <w:semiHidden/>
    <w:unhideWhenUsed/>
    <w:rsid w:val="00C01A74"/>
    <w:rPr>
      <w:sz w:val="16"/>
      <w:szCs w:val="16"/>
    </w:rPr>
  </w:style>
  <w:style w:type="paragraph" w:styleId="Textocomentario">
    <w:name w:val="annotation text"/>
    <w:basedOn w:val="Normal"/>
    <w:link w:val="TextocomentarioCar"/>
    <w:uiPriority w:val="99"/>
    <w:unhideWhenUsed/>
    <w:rsid w:val="00C01A74"/>
    <w:rPr>
      <w:sz w:val="20"/>
      <w:szCs w:val="20"/>
    </w:rPr>
  </w:style>
  <w:style w:type="character" w:customStyle="1" w:styleId="TextocomentarioCar">
    <w:name w:val="Texto comentario Car"/>
    <w:link w:val="Textocomentario"/>
    <w:uiPriority w:val="99"/>
    <w:rsid w:val="00C01A74"/>
    <w:rPr>
      <w:lang w:val="es-ES" w:eastAsia="es-ES"/>
    </w:rPr>
  </w:style>
  <w:style w:type="paragraph" w:styleId="Asuntodelcomentario">
    <w:name w:val="annotation subject"/>
    <w:basedOn w:val="Textocomentario"/>
    <w:next w:val="Textocomentario"/>
    <w:link w:val="AsuntodelcomentarioCar"/>
    <w:uiPriority w:val="99"/>
    <w:semiHidden/>
    <w:unhideWhenUsed/>
    <w:rsid w:val="00C01A74"/>
    <w:rPr>
      <w:b/>
      <w:bCs/>
    </w:rPr>
  </w:style>
  <w:style w:type="character" w:customStyle="1" w:styleId="AsuntodelcomentarioCar">
    <w:name w:val="Asunto del comentario Car"/>
    <w:link w:val="Asuntodelcomentario"/>
    <w:uiPriority w:val="99"/>
    <w:semiHidden/>
    <w:rsid w:val="00C01A74"/>
    <w:rPr>
      <w:b/>
      <w:bCs/>
      <w:lang w:val="es-ES" w:eastAsia="es-ES"/>
    </w:rPr>
  </w:style>
  <w:style w:type="paragraph" w:styleId="Prrafodelista">
    <w:name w:val="List Paragraph"/>
    <w:basedOn w:val="Normal"/>
    <w:link w:val="PrrafodelistaCar"/>
    <w:qFormat/>
    <w:rsid w:val="008E3501"/>
    <w:pPr>
      <w:spacing w:after="200" w:line="276" w:lineRule="auto"/>
      <w:ind w:left="720"/>
      <w:contextualSpacing/>
    </w:pPr>
    <w:rPr>
      <w:rFonts w:ascii="Calibri" w:eastAsia="Calibri" w:hAnsi="Calibri"/>
      <w:sz w:val="22"/>
      <w:szCs w:val="22"/>
      <w:lang w:val="es-CO" w:eastAsia="en-US"/>
    </w:rPr>
  </w:style>
  <w:style w:type="character" w:customStyle="1" w:styleId="PrrafodelistaCar">
    <w:name w:val="Párrafo de lista Car"/>
    <w:link w:val="Prrafodelista"/>
    <w:rsid w:val="00A2403C"/>
    <w:rPr>
      <w:rFonts w:ascii="Calibri" w:eastAsia="Calibri" w:hAnsi="Calibri"/>
      <w:sz w:val="22"/>
      <w:szCs w:val="22"/>
      <w:lang w:eastAsia="en-US"/>
    </w:rPr>
  </w:style>
  <w:style w:type="paragraph" w:customStyle="1" w:styleId="Estilo5">
    <w:name w:val="Estilo5"/>
    <w:basedOn w:val="Estilo1"/>
    <w:qFormat/>
    <w:rsid w:val="00BB392C"/>
    <w:pPr>
      <w:keepNext/>
      <w:numPr>
        <w:numId w:val="2"/>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character" w:styleId="Textodelmarcadordeposicin">
    <w:name w:val="Placeholder Text"/>
    <w:basedOn w:val="Fuentedeprrafopredeter"/>
    <w:uiPriority w:val="99"/>
    <w:semiHidden/>
    <w:rsid w:val="000F4E5C"/>
    <w:rPr>
      <w:color w:val="808080"/>
    </w:rPr>
  </w:style>
  <w:style w:type="character" w:styleId="Textoennegrita">
    <w:name w:val="Strong"/>
    <w:basedOn w:val="Fuentedeprrafopredeter"/>
    <w:uiPriority w:val="22"/>
    <w:qFormat/>
    <w:rsid w:val="00E25A30"/>
    <w:rPr>
      <w:b/>
      <w:bCs/>
    </w:rPr>
  </w:style>
  <w:style w:type="paragraph" w:styleId="Listaconvietas">
    <w:name w:val="List Bullet"/>
    <w:basedOn w:val="Normal"/>
    <w:uiPriority w:val="99"/>
    <w:unhideWhenUsed/>
    <w:rsid w:val="00B60B0E"/>
    <w:pPr>
      <w:numPr>
        <w:numId w:val="3"/>
      </w:numPr>
      <w:contextualSpacing/>
    </w:pPr>
  </w:style>
  <w:style w:type="paragraph" w:customStyle="1" w:styleId="Citas">
    <w:name w:val="Citas"/>
    <w:basedOn w:val="Normal"/>
    <w:rsid w:val="00554B17"/>
    <w:pPr>
      <w:ind w:left="708" w:right="618"/>
    </w:pPr>
    <w:rPr>
      <w:rFonts w:cs="Arial"/>
      <w:i/>
      <w:iCs/>
      <w:szCs w:val="20"/>
    </w:rPr>
  </w:style>
  <w:style w:type="paragraph" w:styleId="Revisin">
    <w:name w:val="Revision"/>
    <w:hidden/>
    <w:uiPriority w:val="99"/>
    <w:semiHidden/>
    <w:rsid w:val="0082400B"/>
    <w:rPr>
      <w:sz w:val="24"/>
      <w:szCs w:val="24"/>
      <w:lang w:val="es-ES" w:eastAsia="es-ES"/>
    </w:rPr>
  </w:style>
  <w:style w:type="character" w:customStyle="1" w:styleId="CharStyle4">
    <w:name w:val="Char Style 4"/>
    <w:basedOn w:val="Fuentedeprrafopredeter"/>
    <w:uiPriority w:val="99"/>
    <w:rsid w:val="00AF0B6D"/>
    <w:rPr>
      <w:rFonts w:ascii="Arial" w:hAnsi="Arial" w:cs="Arial"/>
      <w:i/>
      <w:iCs/>
      <w:sz w:val="12"/>
      <w:szCs w:val="12"/>
      <w:shd w:val="clear" w:color="auto" w:fill="FFFFFF"/>
    </w:rPr>
  </w:style>
  <w:style w:type="character" w:customStyle="1" w:styleId="CharStyle30">
    <w:name w:val="Char Style 30"/>
    <w:basedOn w:val="Fuentedeprrafopredeter"/>
    <w:link w:val="Style5"/>
    <w:uiPriority w:val="99"/>
    <w:rsid w:val="0029719D"/>
    <w:rPr>
      <w:rFonts w:ascii="Arial" w:hAnsi="Arial" w:cs="Arial"/>
      <w:sz w:val="12"/>
      <w:szCs w:val="12"/>
      <w:shd w:val="clear" w:color="auto" w:fill="FFFFFF"/>
    </w:rPr>
  </w:style>
  <w:style w:type="paragraph" w:customStyle="1" w:styleId="Style5">
    <w:name w:val="Style 5"/>
    <w:basedOn w:val="Normal"/>
    <w:link w:val="CharStyle30"/>
    <w:uiPriority w:val="99"/>
    <w:rsid w:val="0029719D"/>
    <w:pPr>
      <w:widowControl w:val="0"/>
      <w:shd w:val="clear" w:color="auto" w:fill="FFFFFF"/>
      <w:spacing w:line="149" w:lineRule="exact"/>
      <w:ind w:hanging="260"/>
    </w:pPr>
    <w:rPr>
      <w:rFonts w:ascii="Arial" w:hAnsi="Arial" w:cs="Arial"/>
      <w:sz w:val="12"/>
      <w:szCs w:val="12"/>
      <w:lang w:val="es-CO" w:eastAsia="es-CO"/>
    </w:rPr>
  </w:style>
  <w:style w:type="character" w:customStyle="1" w:styleId="CharStyle8">
    <w:name w:val="Char Style 8"/>
    <w:basedOn w:val="Fuentedeprrafopredeter"/>
    <w:link w:val="Style7"/>
    <w:uiPriority w:val="99"/>
    <w:rsid w:val="00CE4288"/>
    <w:rPr>
      <w:rFonts w:ascii="Arial" w:hAnsi="Arial" w:cs="Arial"/>
      <w:shd w:val="clear" w:color="auto" w:fill="FFFFFF"/>
    </w:rPr>
  </w:style>
  <w:style w:type="character" w:customStyle="1" w:styleId="CharStyle10">
    <w:name w:val="Char Style 10"/>
    <w:basedOn w:val="Fuentedeprrafopredeter"/>
    <w:link w:val="Style9"/>
    <w:uiPriority w:val="99"/>
    <w:rsid w:val="00CE4288"/>
    <w:rPr>
      <w:rFonts w:ascii="Arial" w:hAnsi="Arial" w:cs="Arial"/>
      <w:i/>
      <w:iCs/>
      <w:sz w:val="17"/>
      <w:szCs w:val="17"/>
      <w:shd w:val="clear" w:color="auto" w:fill="FFFFFF"/>
    </w:rPr>
  </w:style>
  <w:style w:type="character" w:customStyle="1" w:styleId="CharStyle11">
    <w:name w:val="Char Style 11"/>
    <w:basedOn w:val="CharStyle10"/>
    <w:uiPriority w:val="99"/>
    <w:rsid w:val="00CE4288"/>
    <w:rPr>
      <w:rFonts w:ascii="Arial" w:hAnsi="Arial" w:cs="Arial"/>
      <w:i w:val="0"/>
      <w:iCs w:val="0"/>
      <w:spacing w:val="10"/>
      <w:sz w:val="12"/>
      <w:szCs w:val="12"/>
      <w:shd w:val="clear" w:color="auto" w:fill="FFFFFF"/>
    </w:rPr>
  </w:style>
  <w:style w:type="paragraph" w:customStyle="1" w:styleId="Style7">
    <w:name w:val="Style 7"/>
    <w:basedOn w:val="Normal"/>
    <w:link w:val="CharStyle8"/>
    <w:uiPriority w:val="99"/>
    <w:rsid w:val="00CE4288"/>
    <w:pPr>
      <w:widowControl w:val="0"/>
      <w:shd w:val="clear" w:color="auto" w:fill="FFFFFF"/>
      <w:spacing w:line="511" w:lineRule="exact"/>
    </w:pPr>
    <w:rPr>
      <w:rFonts w:ascii="Arial" w:hAnsi="Arial" w:cs="Arial"/>
      <w:sz w:val="20"/>
      <w:szCs w:val="20"/>
      <w:lang w:val="es-CO" w:eastAsia="es-CO"/>
    </w:rPr>
  </w:style>
  <w:style w:type="paragraph" w:customStyle="1" w:styleId="Style9">
    <w:name w:val="Style 9"/>
    <w:basedOn w:val="Normal"/>
    <w:link w:val="CharStyle10"/>
    <w:uiPriority w:val="99"/>
    <w:rsid w:val="00CE4288"/>
    <w:pPr>
      <w:widowControl w:val="0"/>
      <w:shd w:val="clear" w:color="auto" w:fill="FFFFFF"/>
      <w:spacing w:before="180" w:after="180" w:line="230" w:lineRule="exact"/>
    </w:pPr>
    <w:rPr>
      <w:rFonts w:ascii="Arial" w:hAnsi="Arial" w:cs="Arial"/>
      <w:i/>
      <w:iCs/>
      <w:sz w:val="17"/>
      <w:szCs w:val="17"/>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585031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316148878">
          <w:marLeft w:val="0"/>
          <w:marRight w:val="0"/>
          <w:marTop w:val="0"/>
          <w:marBottom w:val="0"/>
          <w:divBdr>
            <w:top w:val="none" w:sz="0" w:space="0" w:color="auto"/>
            <w:left w:val="none" w:sz="0" w:space="0" w:color="auto"/>
            <w:bottom w:val="none" w:sz="0" w:space="0" w:color="auto"/>
            <w:right w:val="none" w:sz="0" w:space="0" w:color="auto"/>
          </w:divBdr>
        </w:div>
        <w:div w:id="807822503">
          <w:marLeft w:val="0"/>
          <w:marRight w:val="0"/>
          <w:marTop w:val="0"/>
          <w:marBottom w:val="0"/>
          <w:divBdr>
            <w:top w:val="none" w:sz="0" w:space="0" w:color="auto"/>
            <w:left w:val="none" w:sz="0" w:space="0" w:color="auto"/>
            <w:bottom w:val="none" w:sz="0" w:space="0" w:color="auto"/>
            <w:right w:val="none" w:sz="0" w:space="0" w:color="auto"/>
          </w:divBdr>
        </w:div>
        <w:div w:id="2080443472">
          <w:marLeft w:val="0"/>
          <w:marRight w:val="0"/>
          <w:marTop w:val="0"/>
          <w:marBottom w:val="0"/>
          <w:divBdr>
            <w:top w:val="none" w:sz="0" w:space="0" w:color="auto"/>
            <w:left w:val="none" w:sz="0" w:space="0" w:color="auto"/>
            <w:bottom w:val="none" w:sz="0" w:space="0" w:color="auto"/>
            <w:right w:val="none" w:sz="0" w:space="0" w:color="auto"/>
          </w:divBdr>
        </w:div>
      </w:divsChild>
    </w:div>
    <w:div w:id="724570324">
      <w:bodyDiv w:val="1"/>
      <w:marLeft w:val="0"/>
      <w:marRight w:val="0"/>
      <w:marTop w:val="0"/>
      <w:marBottom w:val="0"/>
      <w:divBdr>
        <w:top w:val="none" w:sz="0" w:space="0" w:color="auto"/>
        <w:left w:val="none" w:sz="0" w:space="0" w:color="auto"/>
        <w:bottom w:val="none" w:sz="0" w:space="0" w:color="auto"/>
        <w:right w:val="none" w:sz="0" w:space="0" w:color="auto"/>
      </w:divBdr>
      <w:divsChild>
        <w:div w:id="610665934">
          <w:marLeft w:val="0"/>
          <w:marRight w:val="0"/>
          <w:marTop w:val="0"/>
          <w:marBottom w:val="0"/>
          <w:divBdr>
            <w:top w:val="none" w:sz="0" w:space="0" w:color="auto"/>
            <w:left w:val="none" w:sz="0" w:space="0" w:color="auto"/>
            <w:bottom w:val="none" w:sz="0" w:space="0" w:color="auto"/>
            <w:right w:val="none" w:sz="0" w:space="0" w:color="auto"/>
          </w:divBdr>
          <w:divsChild>
            <w:div w:id="42257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127942">
      <w:bodyDiv w:val="1"/>
      <w:marLeft w:val="0"/>
      <w:marRight w:val="0"/>
      <w:marTop w:val="0"/>
      <w:marBottom w:val="0"/>
      <w:divBdr>
        <w:top w:val="none" w:sz="0" w:space="0" w:color="auto"/>
        <w:left w:val="none" w:sz="0" w:space="0" w:color="auto"/>
        <w:bottom w:val="none" w:sz="0" w:space="0" w:color="auto"/>
        <w:right w:val="none" w:sz="0" w:space="0" w:color="auto"/>
      </w:divBdr>
    </w:div>
    <w:div w:id="83522135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272711294">
          <w:marLeft w:val="0"/>
          <w:marRight w:val="0"/>
          <w:marTop w:val="0"/>
          <w:marBottom w:val="0"/>
          <w:divBdr>
            <w:top w:val="none" w:sz="0" w:space="0" w:color="auto"/>
            <w:left w:val="none" w:sz="0" w:space="0" w:color="auto"/>
            <w:bottom w:val="none" w:sz="0" w:space="0" w:color="auto"/>
            <w:right w:val="none" w:sz="0" w:space="0" w:color="auto"/>
          </w:divBdr>
        </w:div>
        <w:div w:id="347029956">
          <w:marLeft w:val="0"/>
          <w:marRight w:val="0"/>
          <w:marTop w:val="0"/>
          <w:marBottom w:val="0"/>
          <w:divBdr>
            <w:top w:val="none" w:sz="0" w:space="0" w:color="auto"/>
            <w:left w:val="none" w:sz="0" w:space="0" w:color="auto"/>
            <w:bottom w:val="none" w:sz="0" w:space="0" w:color="auto"/>
            <w:right w:val="none" w:sz="0" w:space="0" w:color="auto"/>
          </w:divBdr>
        </w:div>
        <w:div w:id="438381524">
          <w:marLeft w:val="0"/>
          <w:marRight w:val="0"/>
          <w:marTop w:val="0"/>
          <w:marBottom w:val="0"/>
          <w:divBdr>
            <w:top w:val="none" w:sz="0" w:space="0" w:color="auto"/>
            <w:left w:val="none" w:sz="0" w:space="0" w:color="auto"/>
            <w:bottom w:val="none" w:sz="0" w:space="0" w:color="auto"/>
            <w:right w:val="none" w:sz="0" w:space="0" w:color="auto"/>
          </w:divBdr>
        </w:div>
        <w:div w:id="490414627">
          <w:marLeft w:val="0"/>
          <w:marRight w:val="0"/>
          <w:marTop w:val="0"/>
          <w:marBottom w:val="0"/>
          <w:divBdr>
            <w:top w:val="none" w:sz="0" w:space="0" w:color="auto"/>
            <w:left w:val="none" w:sz="0" w:space="0" w:color="auto"/>
            <w:bottom w:val="none" w:sz="0" w:space="0" w:color="auto"/>
            <w:right w:val="none" w:sz="0" w:space="0" w:color="auto"/>
          </w:divBdr>
        </w:div>
        <w:div w:id="562835676">
          <w:marLeft w:val="0"/>
          <w:marRight w:val="0"/>
          <w:marTop w:val="0"/>
          <w:marBottom w:val="0"/>
          <w:divBdr>
            <w:top w:val="none" w:sz="0" w:space="0" w:color="auto"/>
            <w:left w:val="none" w:sz="0" w:space="0" w:color="auto"/>
            <w:bottom w:val="none" w:sz="0" w:space="0" w:color="auto"/>
            <w:right w:val="none" w:sz="0" w:space="0" w:color="auto"/>
          </w:divBdr>
        </w:div>
        <w:div w:id="1845432525">
          <w:marLeft w:val="0"/>
          <w:marRight w:val="0"/>
          <w:marTop w:val="0"/>
          <w:marBottom w:val="0"/>
          <w:divBdr>
            <w:top w:val="none" w:sz="0" w:space="0" w:color="auto"/>
            <w:left w:val="none" w:sz="0" w:space="0" w:color="auto"/>
            <w:bottom w:val="none" w:sz="0" w:space="0" w:color="auto"/>
            <w:right w:val="none" w:sz="0" w:space="0" w:color="auto"/>
          </w:divBdr>
        </w:div>
        <w:div w:id="1926181108">
          <w:marLeft w:val="0"/>
          <w:marRight w:val="0"/>
          <w:marTop w:val="0"/>
          <w:marBottom w:val="0"/>
          <w:divBdr>
            <w:top w:val="none" w:sz="0" w:space="0" w:color="auto"/>
            <w:left w:val="none" w:sz="0" w:space="0" w:color="auto"/>
            <w:bottom w:val="none" w:sz="0" w:space="0" w:color="auto"/>
            <w:right w:val="none" w:sz="0" w:space="0" w:color="auto"/>
          </w:divBdr>
        </w:div>
      </w:divsChild>
    </w:div>
    <w:div w:id="990644514">
      <w:bodyDiv w:val="1"/>
      <w:marLeft w:val="0"/>
      <w:marRight w:val="0"/>
      <w:marTop w:val="0"/>
      <w:marBottom w:val="0"/>
      <w:divBdr>
        <w:top w:val="none" w:sz="0" w:space="0" w:color="auto"/>
        <w:left w:val="none" w:sz="0" w:space="0" w:color="auto"/>
        <w:bottom w:val="none" w:sz="0" w:space="0" w:color="auto"/>
        <w:right w:val="none" w:sz="0" w:space="0" w:color="auto"/>
      </w:divBdr>
    </w:div>
    <w:div w:id="1080326355">
      <w:bodyDiv w:val="1"/>
      <w:marLeft w:val="0"/>
      <w:marRight w:val="0"/>
      <w:marTop w:val="0"/>
      <w:marBottom w:val="0"/>
      <w:divBdr>
        <w:top w:val="none" w:sz="0" w:space="0" w:color="auto"/>
        <w:left w:val="none" w:sz="0" w:space="0" w:color="auto"/>
        <w:bottom w:val="none" w:sz="0" w:space="0" w:color="auto"/>
        <w:right w:val="none" w:sz="0" w:space="0" w:color="auto"/>
      </w:divBdr>
      <w:divsChild>
        <w:div w:id="1785464101">
          <w:marLeft w:val="0"/>
          <w:marRight w:val="0"/>
          <w:marTop w:val="0"/>
          <w:marBottom w:val="0"/>
          <w:divBdr>
            <w:top w:val="none" w:sz="0" w:space="0" w:color="auto"/>
            <w:left w:val="none" w:sz="0" w:space="0" w:color="auto"/>
            <w:bottom w:val="none" w:sz="0" w:space="0" w:color="auto"/>
            <w:right w:val="none" w:sz="0" w:space="0" w:color="auto"/>
          </w:divBdr>
          <w:divsChild>
            <w:div w:id="1441410531">
              <w:marLeft w:val="0"/>
              <w:marRight w:val="60"/>
              <w:marTop w:val="0"/>
              <w:marBottom w:val="0"/>
              <w:divBdr>
                <w:top w:val="none" w:sz="0" w:space="0" w:color="auto"/>
                <w:left w:val="none" w:sz="0" w:space="0" w:color="auto"/>
                <w:bottom w:val="none" w:sz="0" w:space="0" w:color="auto"/>
                <w:right w:val="none" w:sz="0" w:space="0" w:color="auto"/>
              </w:divBdr>
              <w:divsChild>
                <w:div w:id="1476339413">
                  <w:marLeft w:val="0"/>
                  <w:marRight w:val="0"/>
                  <w:marTop w:val="0"/>
                  <w:marBottom w:val="120"/>
                  <w:divBdr>
                    <w:top w:val="single" w:sz="6" w:space="0" w:color="C0C0C0"/>
                    <w:left w:val="single" w:sz="6" w:space="0" w:color="D9D9D9"/>
                    <w:bottom w:val="single" w:sz="6" w:space="0" w:color="D9D9D9"/>
                    <w:right w:val="single" w:sz="6" w:space="0" w:color="D9D9D9"/>
                  </w:divBdr>
                  <w:divsChild>
                    <w:div w:id="87242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475121">
          <w:marLeft w:val="0"/>
          <w:marRight w:val="0"/>
          <w:marTop w:val="0"/>
          <w:marBottom w:val="0"/>
          <w:divBdr>
            <w:top w:val="none" w:sz="0" w:space="0" w:color="auto"/>
            <w:left w:val="none" w:sz="0" w:space="0" w:color="auto"/>
            <w:bottom w:val="none" w:sz="0" w:space="0" w:color="auto"/>
            <w:right w:val="none" w:sz="0" w:space="0" w:color="auto"/>
          </w:divBdr>
          <w:divsChild>
            <w:div w:id="1044135227">
              <w:marLeft w:val="60"/>
              <w:marRight w:val="0"/>
              <w:marTop w:val="0"/>
              <w:marBottom w:val="0"/>
              <w:divBdr>
                <w:top w:val="none" w:sz="0" w:space="0" w:color="auto"/>
                <w:left w:val="none" w:sz="0" w:space="0" w:color="auto"/>
                <w:bottom w:val="none" w:sz="0" w:space="0" w:color="auto"/>
                <w:right w:val="none" w:sz="0" w:space="0" w:color="auto"/>
              </w:divBdr>
              <w:divsChild>
                <w:div w:id="1380206962">
                  <w:marLeft w:val="0"/>
                  <w:marRight w:val="0"/>
                  <w:marTop w:val="0"/>
                  <w:marBottom w:val="0"/>
                  <w:divBdr>
                    <w:top w:val="none" w:sz="0" w:space="0" w:color="auto"/>
                    <w:left w:val="none" w:sz="0" w:space="0" w:color="auto"/>
                    <w:bottom w:val="none" w:sz="0" w:space="0" w:color="auto"/>
                    <w:right w:val="none" w:sz="0" w:space="0" w:color="auto"/>
                  </w:divBdr>
                  <w:divsChild>
                    <w:div w:id="1834025172">
                      <w:marLeft w:val="0"/>
                      <w:marRight w:val="0"/>
                      <w:marTop w:val="0"/>
                      <w:marBottom w:val="120"/>
                      <w:divBdr>
                        <w:top w:val="single" w:sz="6" w:space="0" w:color="F5F5F5"/>
                        <w:left w:val="single" w:sz="6" w:space="0" w:color="F5F5F5"/>
                        <w:bottom w:val="single" w:sz="6" w:space="0" w:color="F5F5F5"/>
                        <w:right w:val="single" w:sz="6" w:space="0" w:color="F5F5F5"/>
                      </w:divBdr>
                      <w:divsChild>
                        <w:div w:id="914707284">
                          <w:marLeft w:val="0"/>
                          <w:marRight w:val="0"/>
                          <w:marTop w:val="0"/>
                          <w:marBottom w:val="0"/>
                          <w:divBdr>
                            <w:top w:val="none" w:sz="0" w:space="0" w:color="auto"/>
                            <w:left w:val="none" w:sz="0" w:space="0" w:color="auto"/>
                            <w:bottom w:val="none" w:sz="0" w:space="0" w:color="auto"/>
                            <w:right w:val="none" w:sz="0" w:space="0" w:color="auto"/>
                          </w:divBdr>
                          <w:divsChild>
                            <w:div w:id="1728526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7632247">
      <w:bodyDiv w:val="1"/>
      <w:marLeft w:val="0"/>
      <w:marRight w:val="0"/>
      <w:marTop w:val="0"/>
      <w:marBottom w:val="0"/>
      <w:divBdr>
        <w:top w:val="none" w:sz="0" w:space="0" w:color="auto"/>
        <w:left w:val="none" w:sz="0" w:space="0" w:color="auto"/>
        <w:bottom w:val="none" w:sz="0" w:space="0" w:color="auto"/>
        <w:right w:val="none" w:sz="0" w:space="0" w:color="auto"/>
      </w:divBdr>
      <w:divsChild>
        <w:div w:id="1018392479">
          <w:marLeft w:val="0"/>
          <w:marRight w:val="0"/>
          <w:marTop w:val="0"/>
          <w:marBottom w:val="0"/>
          <w:divBdr>
            <w:top w:val="none" w:sz="0" w:space="0" w:color="auto"/>
            <w:left w:val="none" w:sz="0" w:space="0" w:color="auto"/>
            <w:bottom w:val="none" w:sz="0" w:space="0" w:color="auto"/>
            <w:right w:val="none" w:sz="0" w:space="0" w:color="auto"/>
          </w:divBdr>
          <w:divsChild>
            <w:div w:id="67731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868551">
      <w:bodyDiv w:val="1"/>
      <w:marLeft w:val="0"/>
      <w:marRight w:val="0"/>
      <w:marTop w:val="0"/>
      <w:marBottom w:val="0"/>
      <w:divBdr>
        <w:top w:val="none" w:sz="0" w:space="0" w:color="auto"/>
        <w:left w:val="none" w:sz="0" w:space="0" w:color="auto"/>
        <w:bottom w:val="none" w:sz="0" w:space="0" w:color="auto"/>
        <w:right w:val="none" w:sz="0" w:space="0" w:color="auto"/>
      </w:divBdr>
      <w:divsChild>
        <w:div w:id="197354892">
          <w:marLeft w:val="0"/>
          <w:marRight w:val="0"/>
          <w:marTop w:val="0"/>
          <w:marBottom w:val="0"/>
          <w:divBdr>
            <w:top w:val="none" w:sz="0" w:space="0" w:color="auto"/>
            <w:left w:val="none" w:sz="0" w:space="0" w:color="auto"/>
            <w:bottom w:val="none" w:sz="0" w:space="0" w:color="auto"/>
            <w:right w:val="none" w:sz="0" w:space="0" w:color="auto"/>
          </w:divBdr>
          <w:divsChild>
            <w:div w:id="9733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922893">
      <w:bodyDiv w:val="1"/>
      <w:marLeft w:val="0"/>
      <w:marRight w:val="0"/>
      <w:marTop w:val="0"/>
      <w:marBottom w:val="0"/>
      <w:divBdr>
        <w:top w:val="none" w:sz="0" w:space="0" w:color="auto"/>
        <w:left w:val="none" w:sz="0" w:space="0" w:color="auto"/>
        <w:bottom w:val="none" w:sz="0" w:space="0" w:color="auto"/>
        <w:right w:val="none" w:sz="0" w:space="0" w:color="auto"/>
      </w:divBdr>
    </w:div>
    <w:div w:id="2136679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B80D03-916F-4C3D-B376-54E2A3371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8</Pages>
  <Words>3036</Words>
  <Characters>15384</Characters>
  <Application>Microsoft Office Word</Application>
  <DocSecurity>0</DocSecurity>
  <Lines>128</Lines>
  <Paragraphs>36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CREG</Company>
  <LinksUpToDate>false</LinksUpToDate>
  <CharactersWithSpaces>18384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LSROJAS</dc:creator>
  <cp:lastModifiedBy>Luz Stella Rojas Macias</cp:lastModifiedBy>
  <cp:revision>2</cp:revision>
  <cp:lastPrinted>2016-11-01T00:07:00Z</cp:lastPrinted>
  <dcterms:created xsi:type="dcterms:W3CDTF">2016-11-04T17:00:00Z</dcterms:created>
  <dcterms:modified xsi:type="dcterms:W3CDTF">2016-11-04T17:00:00Z</dcterms:modified>
</cp:coreProperties>
</file>