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26429F" w14:textId="77777777" w:rsidR="000776BE" w:rsidRPr="00F340A2" w:rsidRDefault="00CD23BF" w:rsidP="000776BE">
      <w:pPr>
        <w:pStyle w:val="Encabezado"/>
        <w:tabs>
          <w:tab w:val="clear" w:pos="8504"/>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0612AA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02.4pt;margin-top:-53.35pt;width:52.5pt;height:48.75pt;z-index:251658240" fillcolor="#0c9">
            <v:imagedata r:id="rId11" o:title=""/>
          </v:shape>
          <o:OLEObject Type="Embed" ProgID="PBrush" ShapeID="_x0000_s1029" DrawAspect="Content" ObjectID="_1674283371" r:id="rId12"/>
        </w:object>
      </w:r>
    </w:p>
    <w:p w14:paraId="1E205EBB" w14:textId="77777777" w:rsidR="000776BE" w:rsidRPr="00F340A2" w:rsidRDefault="000776BE" w:rsidP="004214F7">
      <w:pPr>
        <w:ind w:left="0"/>
        <w:jc w:val="center"/>
        <w:rPr>
          <w:rFonts w:ascii="Bookman Old Style" w:hAnsi="Bookman Old Style"/>
          <w:b/>
          <w:noProof/>
        </w:rPr>
      </w:pPr>
      <w:r w:rsidRPr="00F340A2">
        <w:rPr>
          <w:rFonts w:ascii="Bookman Old Style" w:hAnsi="Bookman Old Style"/>
        </w:rPr>
        <w:t>Ministerio de Minas y Energía</w:t>
      </w:r>
    </w:p>
    <w:p w14:paraId="4301E774" w14:textId="77777777" w:rsidR="00F512CB" w:rsidRDefault="00F512CB" w:rsidP="001C005F">
      <w:pPr>
        <w:ind w:left="0"/>
        <w:jc w:val="center"/>
        <w:rPr>
          <w:rFonts w:ascii="Bookman Old Style" w:eastAsia="Bookman Old Style" w:hAnsi="Bookman Old Style" w:cs="Bookman Old Style"/>
          <w:lang w:val="es"/>
        </w:rPr>
      </w:pPr>
    </w:p>
    <w:p w14:paraId="4E134733" w14:textId="77777777" w:rsidR="00F512CB" w:rsidRDefault="00F512CB" w:rsidP="001C005F">
      <w:pPr>
        <w:ind w:left="0"/>
        <w:jc w:val="center"/>
        <w:rPr>
          <w:rFonts w:ascii="Bookman Old Style" w:eastAsia="Bookman Old Style" w:hAnsi="Bookman Old Style" w:cs="Bookman Old Style"/>
          <w:lang w:val="es"/>
        </w:rPr>
      </w:pPr>
    </w:p>
    <w:p w14:paraId="12BCB04F" w14:textId="77777777" w:rsidR="00F512CB" w:rsidRPr="007849C7" w:rsidRDefault="00F512CB" w:rsidP="006A6DB0">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COMISIÓN DE REGULACIÓN DE ENERGÍA Y GAS</w:t>
      </w:r>
    </w:p>
    <w:p w14:paraId="6BC48736" w14:textId="77777777" w:rsidR="00F512CB" w:rsidRPr="007849C7" w:rsidRDefault="00F512CB" w:rsidP="001C005F">
      <w:pPr>
        <w:ind w:left="0"/>
        <w:jc w:val="center"/>
        <w:rPr>
          <w:rFonts w:ascii="Bookman Old Style" w:eastAsia="Bookman Old Style" w:hAnsi="Bookman Old Style" w:cs="Bookman Old Style"/>
          <w:b/>
          <w:bCs/>
          <w:lang w:val="es"/>
        </w:rPr>
      </w:pPr>
    </w:p>
    <w:p w14:paraId="6D840B84" w14:textId="77777777" w:rsidR="00F512CB" w:rsidRPr="007849C7" w:rsidRDefault="00F512CB" w:rsidP="001C005F">
      <w:pPr>
        <w:ind w:left="0"/>
        <w:jc w:val="center"/>
        <w:rPr>
          <w:rFonts w:ascii="Bookman Old Style" w:eastAsia="Bookman Old Style" w:hAnsi="Bookman Old Style" w:cs="Bookman Old Style"/>
          <w:b/>
          <w:bCs/>
          <w:lang w:val="es"/>
        </w:rPr>
      </w:pPr>
    </w:p>
    <w:p w14:paraId="7DBAAC2E" w14:textId="42EBA81A" w:rsidR="00F512CB" w:rsidRPr="007849C7" w:rsidRDefault="00F512CB" w:rsidP="006E7A3D">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 xml:space="preserve">RESOLUCIÓN No. </w:t>
      </w:r>
      <w:r w:rsidR="00B1564F">
        <w:rPr>
          <w:rFonts w:ascii="Bookman Old Style" w:eastAsia="Bookman Old Style" w:hAnsi="Bookman Old Style" w:cs="Bookman Old Style"/>
          <w:b/>
          <w:bCs/>
          <w:sz w:val="32"/>
          <w:szCs w:val="32"/>
          <w:lang w:val="es"/>
        </w:rPr>
        <w:t>004</w:t>
      </w:r>
      <w:r w:rsidRPr="007849C7">
        <w:rPr>
          <w:rFonts w:ascii="Bookman Old Style" w:eastAsia="Bookman Old Style" w:hAnsi="Bookman Old Style" w:cs="Bookman Old Style"/>
          <w:b/>
          <w:bCs/>
          <w:lang w:val="es"/>
        </w:rPr>
        <w:t xml:space="preserve">   DE 202</w:t>
      </w:r>
      <w:r w:rsidR="00704DCB">
        <w:rPr>
          <w:rFonts w:ascii="Bookman Old Style" w:eastAsia="Bookman Old Style" w:hAnsi="Bookman Old Style" w:cs="Bookman Old Style"/>
          <w:b/>
          <w:bCs/>
          <w:lang w:val="es"/>
        </w:rPr>
        <w:t>1</w:t>
      </w:r>
    </w:p>
    <w:p w14:paraId="7D6C49D5" w14:textId="77777777" w:rsidR="00F512CB" w:rsidRPr="007849C7" w:rsidRDefault="00F512CB" w:rsidP="00F512CB">
      <w:pPr>
        <w:jc w:val="center"/>
        <w:rPr>
          <w:rFonts w:ascii="Bookman Old Style" w:eastAsia="Bookman Old Style" w:hAnsi="Bookman Old Style" w:cs="Bookman Old Style"/>
          <w:b/>
          <w:bCs/>
          <w:lang w:val="es"/>
        </w:rPr>
      </w:pPr>
    </w:p>
    <w:p w14:paraId="01270649" w14:textId="4267767C" w:rsidR="00F512CB" w:rsidRPr="007849C7" w:rsidRDefault="00F512CB" w:rsidP="006E7A3D">
      <w:pPr>
        <w:ind w:left="0"/>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 xml:space="preserve">(  </w:t>
      </w:r>
      <w:r w:rsidRPr="007849C7">
        <w:rPr>
          <w:rFonts w:ascii="Bookman Old Style" w:eastAsia="Bookman Old Style" w:hAnsi="Bookman Old Style" w:cs="Bookman Old Style"/>
          <w:b/>
          <w:bCs/>
          <w:sz w:val="32"/>
          <w:szCs w:val="32"/>
          <w:lang w:val="es"/>
        </w:rPr>
        <w:t xml:space="preserve"> </w:t>
      </w:r>
      <w:r w:rsidR="005D11A4">
        <w:rPr>
          <w:rFonts w:ascii="Bookman Old Style" w:eastAsia="Bookman Old Style" w:hAnsi="Bookman Old Style" w:cs="Bookman Old Style"/>
          <w:b/>
          <w:bCs/>
          <w:sz w:val="32"/>
          <w:szCs w:val="32"/>
          <w:lang w:val="es"/>
        </w:rPr>
        <w:t>21</w:t>
      </w:r>
      <w:r w:rsidR="007849C7" w:rsidRPr="007849C7">
        <w:rPr>
          <w:rFonts w:ascii="Bookman Old Style" w:eastAsia="Bookman Old Style" w:hAnsi="Bookman Old Style" w:cs="Bookman Old Style"/>
          <w:b/>
          <w:bCs/>
          <w:sz w:val="32"/>
          <w:szCs w:val="32"/>
          <w:lang w:val="es"/>
        </w:rPr>
        <w:t xml:space="preserve"> </w:t>
      </w:r>
      <w:r w:rsidR="00527328">
        <w:rPr>
          <w:rFonts w:ascii="Bookman Old Style" w:eastAsia="Bookman Old Style" w:hAnsi="Bookman Old Style" w:cs="Bookman Old Style"/>
          <w:b/>
          <w:bCs/>
          <w:sz w:val="32"/>
          <w:szCs w:val="32"/>
          <w:lang w:val="es"/>
        </w:rPr>
        <w:t>ENERO</w:t>
      </w:r>
      <w:r w:rsidR="007849C7" w:rsidRPr="007849C7">
        <w:rPr>
          <w:rFonts w:ascii="Bookman Old Style" w:eastAsia="Bookman Old Style" w:hAnsi="Bookman Old Style" w:cs="Bookman Old Style"/>
          <w:b/>
          <w:bCs/>
          <w:sz w:val="32"/>
          <w:szCs w:val="32"/>
          <w:lang w:val="es"/>
        </w:rPr>
        <w:t xml:space="preserve"> 202</w:t>
      </w:r>
      <w:r w:rsidR="00527328">
        <w:rPr>
          <w:rFonts w:ascii="Bookman Old Style" w:eastAsia="Bookman Old Style" w:hAnsi="Bookman Old Style" w:cs="Bookman Old Style"/>
          <w:b/>
          <w:bCs/>
          <w:sz w:val="32"/>
          <w:szCs w:val="32"/>
          <w:lang w:val="es"/>
        </w:rPr>
        <w:t>1</w:t>
      </w:r>
      <w:r w:rsidRPr="007849C7">
        <w:rPr>
          <w:rFonts w:ascii="Bookman Old Style" w:eastAsia="Bookman Old Style" w:hAnsi="Bookman Old Style" w:cs="Bookman Old Style"/>
          <w:b/>
          <w:bCs/>
          <w:sz w:val="32"/>
          <w:szCs w:val="32"/>
          <w:lang w:val="es"/>
        </w:rPr>
        <w:t xml:space="preserve">   </w:t>
      </w:r>
      <w:r w:rsidRPr="007849C7">
        <w:rPr>
          <w:rFonts w:ascii="Bookman Old Style" w:eastAsia="Bookman Old Style" w:hAnsi="Bookman Old Style" w:cs="Bookman Old Style"/>
          <w:b/>
          <w:bCs/>
          <w:lang w:val="es"/>
        </w:rPr>
        <w:t>)</w:t>
      </w:r>
    </w:p>
    <w:p w14:paraId="25EA76DD" w14:textId="77777777" w:rsidR="00F512CB" w:rsidRDefault="00F512CB" w:rsidP="1CF7EFF7">
      <w:pPr>
        <w:jc w:val="center"/>
        <w:rPr>
          <w:rFonts w:ascii="Bookman Old Style" w:eastAsia="Bookman Old Style" w:hAnsi="Bookman Old Style" w:cs="Bookman Old Style"/>
          <w:lang w:val="es"/>
        </w:rPr>
      </w:pPr>
    </w:p>
    <w:p w14:paraId="47C76D86" w14:textId="77777777" w:rsidR="00B1564F" w:rsidRDefault="00B1564F" w:rsidP="4A18DC85">
      <w:pPr>
        <w:ind w:left="0" w:right="51"/>
        <w:jc w:val="center"/>
        <w:rPr>
          <w:rFonts w:ascii="Bookman Old Style" w:eastAsia="Bookman Old Style" w:hAnsi="Bookman Old Style" w:cs="Arial"/>
        </w:rPr>
      </w:pPr>
    </w:p>
    <w:p w14:paraId="1F81213B" w14:textId="659CB48D" w:rsidR="000776BE" w:rsidRPr="00F340A2" w:rsidRDefault="0A93618F" w:rsidP="4A18DC85">
      <w:pPr>
        <w:ind w:left="0" w:right="51"/>
        <w:jc w:val="center"/>
        <w:rPr>
          <w:rFonts w:ascii="Bookman Old Style" w:eastAsia="Bookman Old Style" w:hAnsi="Bookman Old Style" w:cs="Bookman Old Style"/>
          <w:lang w:val="es"/>
        </w:rPr>
      </w:pPr>
      <w:r w:rsidRPr="3BCBBF8E">
        <w:rPr>
          <w:rFonts w:ascii="Bookman Old Style" w:eastAsia="Bookman Old Style" w:hAnsi="Bookman Old Style" w:cs="Arial"/>
        </w:rPr>
        <w:t xml:space="preserve">Por la cual se define </w:t>
      </w:r>
      <w:r w:rsidR="4FD22B28" w:rsidRPr="6897233D">
        <w:rPr>
          <w:rFonts w:ascii="Bookman Old Style" w:hAnsi="Bookman Old Style" w:cs="Arial"/>
        </w:rPr>
        <w:t xml:space="preserve">el </w:t>
      </w:r>
      <w:r w:rsidRPr="3BCBBF8E">
        <w:rPr>
          <w:rFonts w:ascii="Bookman Old Style" w:eastAsia="Bookman Old Style" w:hAnsi="Bookman Old Style" w:cs="Arial"/>
        </w:rPr>
        <w:t xml:space="preserve">procedimiento para </w:t>
      </w:r>
      <w:r w:rsidR="4FD22B28" w:rsidRPr="6897233D">
        <w:rPr>
          <w:rFonts w:ascii="Bookman Old Style" w:hAnsi="Bookman Old Style" w:cs="Arial"/>
        </w:rPr>
        <w:t>el cálculo</w:t>
      </w:r>
      <w:r w:rsidRPr="3BCBBF8E">
        <w:rPr>
          <w:rFonts w:ascii="Bookman Old Style" w:eastAsia="Bookman Old Style" w:hAnsi="Bookman Old Style" w:cs="Arial"/>
        </w:rPr>
        <w:t xml:space="preserve"> de la </w:t>
      </w:r>
      <w:r w:rsidR="4FD22B28" w:rsidRPr="6897233D">
        <w:rPr>
          <w:rFonts w:ascii="Bookman Old Style" w:hAnsi="Bookman Old Style" w:cs="Arial"/>
        </w:rPr>
        <w:t>tasa</w:t>
      </w:r>
      <w:r w:rsidRPr="3BCBBF8E">
        <w:rPr>
          <w:rFonts w:ascii="Bookman Old Style" w:eastAsia="Bookman Old Style" w:hAnsi="Bookman Old Style" w:cs="Arial"/>
        </w:rPr>
        <w:t xml:space="preserve"> de </w:t>
      </w:r>
      <w:r w:rsidR="4FD22B28" w:rsidRPr="6897233D">
        <w:rPr>
          <w:rFonts w:ascii="Bookman Old Style" w:hAnsi="Bookman Old Style" w:cs="Arial"/>
        </w:rPr>
        <w:t>descuento aplicable</w:t>
      </w:r>
      <w:r w:rsidR="4FD22B28" w:rsidRPr="6897233D">
        <w:rPr>
          <w:rFonts w:ascii="Bookman Old Style" w:hAnsi="Bookman Old Style"/>
        </w:rPr>
        <w:t xml:space="preserve"> en </w:t>
      </w:r>
      <w:r w:rsidR="4FD22B28" w:rsidRPr="6897233D">
        <w:rPr>
          <w:rFonts w:ascii="Bookman Old Style" w:hAnsi="Bookman Old Style" w:cs="Arial"/>
        </w:rPr>
        <w:t>las metodologías tarifarias que expide la Comisión</w:t>
      </w:r>
      <w:r w:rsidRPr="3BCBBF8E">
        <w:rPr>
          <w:rFonts w:ascii="Bookman Old Style" w:eastAsia="Bookman Old Style" w:hAnsi="Bookman Old Style" w:cs="Arial"/>
        </w:rPr>
        <w:t xml:space="preserve"> de </w:t>
      </w:r>
      <w:r w:rsidR="4FD22B28" w:rsidRPr="6897233D">
        <w:rPr>
          <w:rFonts w:ascii="Bookman Old Style" w:hAnsi="Bookman Old Style" w:cs="Arial"/>
        </w:rPr>
        <w:t>Regulación</w:t>
      </w:r>
      <w:r w:rsidRPr="3BCBBF8E">
        <w:rPr>
          <w:rFonts w:ascii="Bookman Old Style" w:eastAsia="Bookman Old Style" w:hAnsi="Bookman Old Style" w:cs="Arial"/>
        </w:rPr>
        <w:t xml:space="preserve"> de Energía </w:t>
      </w:r>
      <w:r w:rsidR="4FD22B28" w:rsidRPr="6897233D">
        <w:rPr>
          <w:rFonts w:ascii="Bookman Old Style" w:hAnsi="Bookman Old Style" w:cs="Arial"/>
        </w:rPr>
        <w:t>y Gas</w:t>
      </w:r>
    </w:p>
    <w:p w14:paraId="4072F98B" w14:textId="093908F7"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111739A4" w14:textId="52FDB59B"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2722A18E" w14:textId="069404C0" w:rsidR="000776BE" w:rsidRPr="00F340A2" w:rsidRDefault="0A93618F" w:rsidP="00E955FD">
      <w:pPr>
        <w:ind w:left="0"/>
        <w:jc w:val="center"/>
      </w:pPr>
      <w:r w:rsidRPr="1CF7EFF7">
        <w:rPr>
          <w:rFonts w:ascii="Bookman Old Style" w:eastAsia="Bookman Old Style" w:hAnsi="Bookman Old Style" w:cs="Bookman Old Style"/>
          <w:b/>
          <w:bCs/>
          <w:lang w:val="es"/>
        </w:rPr>
        <w:t>LA COMISIÓN DE REGULACIÓN DE ENERGÍA Y GAS</w:t>
      </w:r>
    </w:p>
    <w:p w14:paraId="3A766DE8" w14:textId="7E0FB91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6EB57456" w14:textId="6A5EDFA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AA45C94" w14:textId="2AC55BE8" w:rsidR="000776BE" w:rsidRPr="006E7A3D" w:rsidRDefault="0A93618F" w:rsidP="006E7A3D">
      <w:pPr>
        <w:ind w:left="0"/>
        <w:jc w:val="center"/>
      </w:pPr>
      <w:r w:rsidRPr="00E955FD">
        <w:rPr>
          <w:rFonts w:ascii="Bookman Old Style" w:eastAsia="Bookman Old Style" w:hAnsi="Bookman Old Style" w:cs="Bookman Old Style"/>
          <w:lang w:val="es"/>
        </w:rPr>
        <w:t>En ejercicio de sus atribuciones constitucionales y legales, en especial las conferidas por las Leyes 142 y 143 de 1994, y en desarrollo de los Decretos 1524 y 2253 de 1994 y 1260 de 2013.</w:t>
      </w:r>
    </w:p>
    <w:p w14:paraId="3D5EDB68" w14:textId="0C217019"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6310963" w14:textId="173D0A1B"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A6925A9" w14:textId="7007F7CE" w:rsidR="000776BE" w:rsidRPr="00F340A2" w:rsidRDefault="0A93618F" w:rsidP="00E955FD">
      <w:pPr>
        <w:ind w:left="0"/>
        <w:jc w:val="center"/>
      </w:pPr>
      <w:r w:rsidRPr="1CF7EFF7">
        <w:rPr>
          <w:rFonts w:ascii="Bookman Old Style" w:eastAsia="Bookman Old Style" w:hAnsi="Bookman Old Style" w:cs="Bookman Old Style"/>
          <w:b/>
          <w:bCs/>
          <w:lang w:val="es"/>
        </w:rPr>
        <w:t>C O N S I D E R A N D O  Q U E:</w:t>
      </w:r>
    </w:p>
    <w:p w14:paraId="1227F42E" w14:textId="77777777" w:rsidR="000776BE" w:rsidRPr="005358DC" w:rsidRDefault="000776BE" w:rsidP="00E955FD">
      <w:pPr>
        <w:ind w:left="0"/>
        <w:rPr>
          <w:rFonts w:ascii="Bookman Old Style" w:hAnsi="Bookman Old Style"/>
          <w:highlight w:val="yellow"/>
        </w:rPr>
      </w:pPr>
    </w:p>
    <w:p w14:paraId="21CF487A" w14:textId="77777777" w:rsidR="000776BE" w:rsidRPr="005358DC" w:rsidRDefault="000776BE" w:rsidP="000776BE">
      <w:pPr>
        <w:ind w:left="0"/>
        <w:jc w:val="both"/>
        <w:rPr>
          <w:rFonts w:ascii="Bookman Old Style" w:hAnsi="Bookman Old Style"/>
          <w:highlight w:val="yellow"/>
        </w:rPr>
      </w:pPr>
    </w:p>
    <w:p w14:paraId="281C39E7" w14:textId="3B9B8F03" w:rsidR="000776BE" w:rsidRPr="005358DC" w:rsidRDefault="000776BE" w:rsidP="000776BE">
      <w:pPr>
        <w:ind w:left="0"/>
        <w:jc w:val="both"/>
        <w:rPr>
          <w:rFonts w:ascii="Bookman Old Style" w:hAnsi="Bookman Old Style" w:cs="Arial"/>
          <w:spacing w:val="-3"/>
        </w:rPr>
      </w:pPr>
      <w:r w:rsidRPr="381C9F2E">
        <w:rPr>
          <w:rFonts w:ascii="Bookman Old Style" w:hAnsi="Bookman Old Style" w:cs="Arial"/>
        </w:rPr>
        <w:t>Según el</w:t>
      </w:r>
      <w:r w:rsidRPr="381C9F2E">
        <w:rPr>
          <w:rFonts w:ascii="Bookman Old Style" w:hAnsi="Bookman Old Style" w:cs="Arial"/>
          <w:lang w:val="pt-BR"/>
        </w:rPr>
        <w:t xml:space="preserve"> </w:t>
      </w:r>
      <w:r w:rsidRPr="381C9F2E">
        <w:rPr>
          <w:rFonts w:ascii="Bookman Old Style" w:hAnsi="Bookman Old Style" w:cs="Arial"/>
        </w:rPr>
        <w:t>artículo 74</w:t>
      </w:r>
      <w:r w:rsidR="5B8CC2FE" w:rsidRPr="5F170CC3">
        <w:rPr>
          <w:rFonts w:ascii="Bookman Old Style" w:hAnsi="Bookman Old Style" w:cs="Arial"/>
        </w:rPr>
        <w:t xml:space="preserve"> numeral </w:t>
      </w:r>
      <w:r w:rsidRPr="381C9F2E">
        <w:rPr>
          <w:rFonts w:ascii="Bookman Old Style" w:hAnsi="Bookman Old Style" w:cs="Arial"/>
        </w:rPr>
        <w:t>1 de la Ley 142 de 1994</w:t>
      </w:r>
      <w:r w:rsidR="00043803" w:rsidRPr="381C9F2E">
        <w:rPr>
          <w:rFonts w:ascii="Bookman Old Style" w:hAnsi="Bookman Old Style" w:cs="Arial"/>
        </w:rPr>
        <w:t>,</w:t>
      </w:r>
      <w:r w:rsidRPr="381C9F2E">
        <w:rPr>
          <w:rFonts w:ascii="Bookman Old Style" w:hAnsi="Bookman Old Style" w:cs="Arial"/>
        </w:rPr>
        <w:t xml:space="preserve"> la Comisión de Regulación de Energía y Gas</w:t>
      </w:r>
      <w:r w:rsidR="00F548DC">
        <w:rPr>
          <w:rFonts w:ascii="Bookman Old Style" w:hAnsi="Bookman Old Style" w:cs="Arial"/>
        </w:rPr>
        <w:t xml:space="preserve">, </w:t>
      </w:r>
      <w:r w:rsidR="00FF792C" w:rsidRPr="381C9F2E">
        <w:rPr>
          <w:rFonts w:ascii="Bookman Old Style" w:hAnsi="Bookman Old Style" w:cs="Arial"/>
        </w:rPr>
        <w:t>CREG</w:t>
      </w:r>
      <w:r w:rsidR="00F548DC">
        <w:rPr>
          <w:rFonts w:ascii="Bookman Old Style" w:hAnsi="Bookman Old Style" w:cs="Arial"/>
        </w:rPr>
        <w:t>,</w:t>
      </w:r>
      <w:r w:rsidR="00FF792C" w:rsidRPr="381C9F2E">
        <w:rPr>
          <w:rFonts w:ascii="Bookman Old Style" w:hAnsi="Bookman Old Style" w:cs="Arial"/>
        </w:rPr>
        <w:t xml:space="preserve"> </w:t>
      </w:r>
      <w:r w:rsidRPr="381C9F2E">
        <w:rPr>
          <w:rFonts w:ascii="Bookman Old Style" w:hAnsi="Bookman Old Style" w:cs="Arial"/>
        </w:rPr>
        <w:t xml:space="preserve">es competente para </w:t>
      </w:r>
      <w:r w:rsidRPr="381C9F2E">
        <w:rPr>
          <w:rFonts w:ascii="Bookman Old Style" w:hAnsi="Bookman Old Style" w:cs="Arial"/>
          <w:spacing w:val="-3"/>
        </w:rPr>
        <w:t>regular el ejercicio de las actividades de los sectores de energía eléctrica y gas combustible.</w:t>
      </w:r>
    </w:p>
    <w:p w14:paraId="5DE614A1" w14:textId="77777777" w:rsidR="000776BE" w:rsidRPr="005358DC" w:rsidRDefault="000776BE" w:rsidP="000776BE">
      <w:pPr>
        <w:ind w:left="0"/>
        <w:jc w:val="both"/>
        <w:rPr>
          <w:rFonts w:ascii="Bookman Old Style" w:hAnsi="Bookman Old Style" w:cs="Arial"/>
          <w:highlight w:val="yellow"/>
        </w:rPr>
      </w:pPr>
    </w:p>
    <w:p w14:paraId="5EB249CA" w14:textId="2219EF81" w:rsidR="000776BE" w:rsidRPr="005358DC" w:rsidRDefault="000776BE" w:rsidP="000776BE">
      <w:pPr>
        <w:ind w:left="0"/>
        <w:jc w:val="both"/>
        <w:rPr>
          <w:rFonts w:ascii="Bookman Old Style" w:hAnsi="Bookman Old Style" w:cs="Arial"/>
        </w:rPr>
      </w:pPr>
      <w:r w:rsidRPr="7ABADD25">
        <w:rPr>
          <w:rFonts w:ascii="Bookman Old Style" w:hAnsi="Bookman Old Style" w:cs="Arial"/>
        </w:rPr>
        <w:t>La Comisión de Regulación de Energía y Gas tiene la función de regular los monopolios en la prestación del servicio público domiciliario de energía eléctrica y gas combustible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r w:rsidRPr="7ABADD25">
        <w:rPr>
          <w:rFonts w:ascii="Bookman Old Style" w:hAnsi="Bookman Old Style" w:cs="Arial"/>
          <w:spacing w:val="-3"/>
        </w:rPr>
        <w:t>.</w:t>
      </w:r>
    </w:p>
    <w:p w14:paraId="78C5BA66" w14:textId="77777777" w:rsidR="000776BE" w:rsidRPr="005358DC" w:rsidRDefault="000776BE" w:rsidP="000776BE">
      <w:pPr>
        <w:ind w:left="0"/>
        <w:rPr>
          <w:rFonts w:ascii="Bookman Old Style" w:hAnsi="Bookman Old Style"/>
          <w:highlight w:val="yellow"/>
        </w:rPr>
      </w:pPr>
    </w:p>
    <w:p w14:paraId="548CCA19" w14:textId="547CC2A7" w:rsidR="00275215" w:rsidRPr="00275215" w:rsidRDefault="000776BE" w:rsidP="00275215">
      <w:pPr>
        <w:ind w:left="0"/>
        <w:jc w:val="both"/>
        <w:rPr>
          <w:rFonts w:ascii="Bookman Old Style" w:hAnsi="Bookman Old Style" w:cs="Arial"/>
        </w:rPr>
      </w:pPr>
      <w:r w:rsidRPr="3AD3BD04">
        <w:rPr>
          <w:rFonts w:ascii="Bookman Old Style" w:hAnsi="Bookman Old Style" w:cs="Arial"/>
        </w:rPr>
        <w:t xml:space="preserve">Según el criterio de suficiencia financiera definido por el artículo </w:t>
      </w:r>
      <w:r w:rsidRPr="43B94241">
        <w:rPr>
          <w:rFonts w:ascii="Bookman Old Style" w:hAnsi="Bookman Old Style" w:cs="Arial"/>
        </w:rPr>
        <w:t>8</w:t>
      </w:r>
      <w:r w:rsidR="00814599">
        <w:rPr>
          <w:rFonts w:ascii="Bookman Old Style" w:hAnsi="Bookman Old Style" w:cs="Arial"/>
        </w:rPr>
        <w:t>7</w:t>
      </w:r>
      <w:r w:rsidR="67945250" w:rsidRPr="43B94241">
        <w:rPr>
          <w:rFonts w:ascii="Bookman Old Style" w:hAnsi="Bookman Old Style" w:cs="Arial"/>
        </w:rPr>
        <w:t xml:space="preserve"> numeral</w:t>
      </w:r>
      <w:r w:rsidR="00CC782B">
        <w:rPr>
          <w:rFonts w:ascii="Bookman Old Style" w:hAnsi="Bookman Old Style" w:cs="Arial"/>
        </w:rPr>
        <w:t xml:space="preserve"> </w:t>
      </w:r>
      <w:r w:rsidRPr="3AD3BD04">
        <w:rPr>
          <w:rFonts w:ascii="Bookman Old Style" w:hAnsi="Bookman Old Style" w:cs="Arial"/>
        </w:rPr>
        <w:t>4 de la Ley 142 de 1994, las fórmulas tarifarias que establezca la CREG deben permitir remunerar el patrimonio de los accionistas en la misma forma en la que lo habría remunerado una empresa eficiente en un sector de riesgo comparable.</w:t>
      </w:r>
    </w:p>
    <w:p w14:paraId="70575397" w14:textId="02462A68" w:rsidR="07F704A8" w:rsidRDefault="07F704A8" w:rsidP="07F704A8">
      <w:pPr>
        <w:ind w:left="0"/>
        <w:jc w:val="both"/>
        <w:rPr>
          <w:rFonts w:ascii="Bookman Old Style" w:hAnsi="Bookman Old Style" w:cs="Arial"/>
        </w:rPr>
      </w:pPr>
    </w:p>
    <w:p w14:paraId="10EAD012" w14:textId="77777777" w:rsidR="00B843B9" w:rsidRPr="007B351A" w:rsidRDefault="00B843B9" w:rsidP="00B843B9">
      <w:pPr>
        <w:pStyle w:val="Textosinformato"/>
        <w:spacing w:line="240" w:lineRule="auto"/>
        <w:rPr>
          <w:rFonts w:ascii="Bookman Old Style" w:hAnsi="Bookman Old Style" w:cs="Tahoma"/>
          <w:color w:val="000000" w:themeColor="text1"/>
          <w:sz w:val="24"/>
          <w:szCs w:val="24"/>
        </w:rPr>
      </w:pPr>
      <w:r w:rsidRPr="30FB38A2">
        <w:rPr>
          <w:rFonts w:ascii="Bookman Old Style" w:hAnsi="Bookman Old Style" w:cs="Tahoma"/>
          <w:color w:val="000000" w:themeColor="text1"/>
          <w:sz w:val="24"/>
          <w:szCs w:val="24"/>
        </w:rPr>
        <w:t xml:space="preserve">Así mismo, en el artículo 87, numeral 5, dispone: </w:t>
      </w:r>
      <w:r w:rsidRPr="30FB38A2">
        <w:rPr>
          <w:rFonts w:ascii="Bookman Old Style" w:hAnsi="Bookman Old Style" w:cs="Tahoma"/>
          <w:i/>
          <w:color w:val="000000" w:themeColor="text1"/>
          <w:sz w:val="24"/>
          <w:szCs w:val="24"/>
        </w:rPr>
        <w:t>“Por simplicidad se entiende que las fórmulas de tarifas se elaborarán en tal forma que se facilite su comprensión, aplicación y control.”</w:t>
      </w:r>
    </w:p>
    <w:p w14:paraId="58D57B5F" w14:textId="77777777" w:rsidR="00B843B9" w:rsidRDefault="00B843B9" w:rsidP="07F704A8">
      <w:pPr>
        <w:ind w:left="0"/>
        <w:jc w:val="both"/>
        <w:rPr>
          <w:rFonts w:ascii="Bookman Old Style" w:hAnsi="Bookman Old Style" w:cs="Arial"/>
        </w:rPr>
      </w:pPr>
    </w:p>
    <w:p w14:paraId="20074C60" w14:textId="24A8D759" w:rsidR="07F704A8" w:rsidRDefault="605A31D6" w:rsidP="07F704A8">
      <w:pPr>
        <w:ind w:left="0"/>
        <w:jc w:val="both"/>
        <w:rPr>
          <w:rFonts w:ascii="Bookman Old Style" w:hAnsi="Bookman Old Style" w:cs="Arial"/>
        </w:rPr>
      </w:pPr>
      <w:r w:rsidRPr="4FE8CDEA">
        <w:rPr>
          <w:rFonts w:ascii="Bookman Old Style" w:hAnsi="Bookman Old Style" w:cs="Arial"/>
        </w:rPr>
        <w:lastRenderedPageBreak/>
        <w:t xml:space="preserve">Conforme al artículo 4 literal </w:t>
      </w:r>
      <w:r w:rsidRPr="6FC40744">
        <w:rPr>
          <w:rFonts w:ascii="Bookman Old Style" w:hAnsi="Bookman Old Style" w:cs="Arial"/>
        </w:rPr>
        <w:t>b</w:t>
      </w:r>
      <w:r w:rsidR="00CD2C4B">
        <w:rPr>
          <w:rFonts w:ascii="Bookman Old Style" w:hAnsi="Bookman Old Style" w:cs="Arial"/>
        </w:rPr>
        <w:t xml:space="preserve"> numeral 3</w:t>
      </w:r>
      <w:r w:rsidRPr="6FC40744">
        <w:rPr>
          <w:rFonts w:ascii="Bookman Old Style" w:hAnsi="Bookman Old Style" w:cs="Arial"/>
        </w:rPr>
        <w:t xml:space="preserve"> del Decreto </w:t>
      </w:r>
      <w:r w:rsidR="00CD2C4B">
        <w:rPr>
          <w:rFonts w:ascii="Bookman Old Style" w:hAnsi="Bookman Old Style" w:cs="Arial"/>
        </w:rPr>
        <w:t>12</w:t>
      </w:r>
      <w:r w:rsidRPr="6FC40744">
        <w:rPr>
          <w:rFonts w:ascii="Bookman Old Style" w:hAnsi="Bookman Old Style" w:cs="Arial"/>
        </w:rPr>
        <w:t xml:space="preserve">60 de 2013, le </w:t>
      </w:r>
      <w:r w:rsidRPr="212DD505">
        <w:rPr>
          <w:rFonts w:ascii="Bookman Old Style" w:hAnsi="Bookman Old Style" w:cs="Arial"/>
        </w:rPr>
        <w:t>corresponde a la CREG</w:t>
      </w:r>
      <w:r w:rsidR="00873B74">
        <w:rPr>
          <w:rFonts w:ascii="Bookman Old Style" w:hAnsi="Bookman Old Style" w:cs="Arial"/>
        </w:rPr>
        <w:t>,</w:t>
      </w:r>
      <w:r w:rsidRPr="3ED4DA2B">
        <w:rPr>
          <w:rFonts w:ascii="Bookman Old Style" w:hAnsi="Bookman Old Style" w:cs="Arial"/>
        </w:rPr>
        <w:t xml:space="preserve"> con relación </w:t>
      </w:r>
      <w:r w:rsidRPr="24A082D5">
        <w:rPr>
          <w:rFonts w:ascii="Bookman Old Style" w:hAnsi="Bookman Old Style" w:cs="Arial"/>
        </w:rPr>
        <w:t>a</w:t>
      </w:r>
      <w:r w:rsidR="27CFD5A4" w:rsidRPr="24A082D5">
        <w:rPr>
          <w:rFonts w:ascii="Bookman Old Style" w:hAnsi="Bookman Old Style" w:cs="Arial"/>
        </w:rPr>
        <w:t>l sector de combustibles líquidos y</w:t>
      </w:r>
      <w:r w:rsidR="27CFD5A4" w:rsidRPr="56E40ABA">
        <w:rPr>
          <w:rFonts w:ascii="Bookman Old Style" w:hAnsi="Bookman Old Style" w:cs="Arial"/>
        </w:rPr>
        <w:t xml:space="preserve"> derivados del </w:t>
      </w:r>
      <w:r w:rsidR="18B6B3E5" w:rsidRPr="3BCBBF8E">
        <w:rPr>
          <w:rFonts w:ascii="Bookman Old Style" w:hAnsi="Bookman Old Style" w:cs="Arial"/>
        </w:rPr>
        <w:t>petróleo</w:t>
      </w:r>
      <w:r w:rsidR="27CFD5A4" w:rsidRPr="56E40ABA">
        <w:rPr>
          <w:rFonts w:ascii="Bookman Old Style" w:hAnsi="Bookman Old Style" w:cs="Arial"/>
        </w:rPr>
        <w:t>,</w:t>
      </w:r>
      <w:r w:rsidR="71401185" w:rsidRPr="70B711F9">
        <w:rPr>
          <w:rFonts w:ascii="Bookman Old Style" w:hAnsi="Bookman Old Style" w:cs="Arial"/>
        </w:rPr>
        <w:t xml:space="preserve"> </w:t>
      </w:r>
      <w:r w:rsidR="71401185" w:rsidRPr="0B588CD1">
        <w:rPr>
          <w:rFonts w:ascii="Bookman Old Style" w:hAnsi="Bookman Old Style" w:cs="Arial"/>
        </w:rPr>
        <w:t>determinar</w:t>
      </w:r>
      <w:r w:rsidR="71401185" w:rsidRPr="70B711F9">
        <w:rPr>
          <w:rFonts w:ascii="Bookman Old Style" w:hAnsi="Bookman Old Style" w:cs="Arial"/>
        </w:rPr>
        <w:t xml:space="preserve"> la metodología para remunerar los activos que garanticen el abastecimiento estratégico de combustibles</w:t>
      </w:r>
      <w:r w:rsidR="00CC782B">
        <w:rPr>
          <w:rFonts w:ascii="Bookman Old Style" w:hAnsi="Bookman Old Style" w:cs="Arial"/>
        </w:rPr>
        <w:t>.</w:t>
      </w:r>
    </w:p>
    <w:p w14:paraId="13B7DB7C" w14:textId="77777777" w:rsidR="000717F7" w:rsidRPr="005358DC" w:rsidRDefault="000717F7" w:rsidP="000717F7">
      <w:pPr>
        <w:ind w:left="0"/>
        <w:jc w:val="both"/>
        <w:rPr>
          <w:rFonts w:ascii="Bookman Old Style" w:hAnsi="Bookman Old Style" w:cs="Arial"/>
          <w:highlight w:val="yellow"/>
        </w:rPr>
      </w:pPr>
    </w:p>
    <w:p w14:paraId="0F6BEBFB" w14:textId="4865CB0D" w:rsidR="000717F7" w:rsidRDefault="000717F7" w:rsidP="000717F7">
      <w:pPr>
        <w:ind w:left="0"/>
        <w:jc w:val="both"/>
        <w:rPr>
          <w:rFonts w:ascii="Bookman Old Style" w:hAnsi="Bookman Old Style"/>
        </w:rPr>
      </w:pPr>
      <w:r w:rsidRPr="366B2F23">
        <w:rPr>
          <w:rFonts w:ascii="Bookman Old Style" w:hAnsi="Bookman Old Style"/>
        </w:rPr>
        <w:t>Mediante la Resolución CREG 045 de 2002, la Comisión estableció la metodología de cálculo y ajuste para la determinación de la tasa de retorno que se utiliza en las fórmulas tarifarias de la actividad de distribución de gas combustible por redes.</w:t>
      </w:r>
    </w:p>
    <w:p w14:paraId="042B9D40" w14:textId="77777777" w:rsidR="007C40FC" w:rsidRPr="005358DC" w:rsidRDefault="007C40FC" w:rsidP="000717F7">
      <w:pPr>
        <w:ind w:left="0"/>
        <w:jc w:val="both"/>
        <w:rPr>
          <w:rFonts w:ascii="Bookman Old Style" w:hAnsi="Bookman Old Style"/>
        </w:rPr>
      </w:pPr>
    </w:p>
    <w:p w14:paraId="712C37CE" w14:textId="65F7E038" w:rsidR="007C40FC" w:rsidRPr="005358DC" w:rsidRDefault="007C40FC" w:rsidP="007C40FC">
      <w:pPr>
        <w:ind w:left="0"/>
        <w:jc w:val="both"/>
        <w:rPr>
          <w:rFonts w:ascii="Bookman Old Style" w:hAnsi="Bookman Old Style"/>
        </w:rPr>
      </w:pPr>
      <w:r w:rsidRPr="087454D6">
        <w:rPr>
          <w:rFonts w:ascii="Bookman Old Style" w:hAnsi="Bookman Old Style"/>
        </w:rPr>
        <w:t>Mediante la Resolución CREG 069 de 2006 se dio cumplimiento a lo dispuesto por el parágrafo primero del artículo primero de la Resolución CREG 045 de 2002</w:t>
      </w:r>
      <w:r w:rsidR="00AE1E16">
        <w:rPr>
          <w:rFonts w:ascii="Bookman Old Style" w:hAnsi="Bookman Old Style"/>
        </w:rPr>
        <w:t>,</w:t>
      </w:r>
      <w:r w:rsidRPr="087454D6">
        <w:rPr>
          <w:rFonts w:ascii="Bookman Old Style" w:hAnsi="Bookman Old Style"/>
        </w:rPr>
        <w:t xml:space="preserve"> en donde se previó lo siguiente: “</w:t>
      </w:r>
      <w:r w:rsidRPr="087454D6">
        <w:rPr>
          <w:rFonts w:ascii="Bookman Old Style" w:hAnsi="Bookman Old Style"/>
          <w:i/>
        </w:rPr>
        <w:t>En el mes de junio del tercer año de vigencia del próximo período tarifario, se realizará un ajuste de la tasa de retorno con la información disponible de las fuentes establecidas en el numeral 2 del anexo de la presente resolución denominado “parámetros, valores de los parámetros, metodología de cálculo y ajuste de las tasas de retorno para la actividad de distribución de gas combustible por redes”, actualizando únicamente los valores del costo de deuda, la tasa libre de riesgo y los spreads de la deuda soberana</w:t>
      </w:r>
      <w:r w:rsidRPr="087454D6">
        <w:rPr>
          <w:rFonts w:ascii="Bookman Old Style" w:hAnsi="Bookman Old Style"/>
        </w:rPr>
        <w:t>”.</w:t>
      </w:r>
    </w:p>
    <w:p w14:paraId="5BF9A916" w14:textId="77777777" w:rsidR="000D2741" w:rsidRPr="005358DC" w:rsidRDefault="000D2741" w:rsidP="000D2741">
      <w:pPr>
        <w:ind w:left="0"/>
        <w:jc w:val="both"/>
        <w:rPr>
          <w:rFonts w:ascii="Bookman Old Style" w:hAnsi="Bookman Old Style" w:cs="Bookman Old Style"/>
          <w:color w:val="000000"/>
          <w:highlight w:val="yellow"/>
          <w:lang w:val="es-CO" w:eastAsia="es-CO"/>
        </w:rPr>
      </w:pPr>
    </w:p>
    <w:p w14:paraId="13D8910E" w14:textId="28E52527" w:rsidR="000D2741" w:rsidRPr="005358DC" w:rsidRDefault="000D2741" w:rsidP="000D2741">
      <w:pPr>
        <w:ind w:left="0"/>
        <w:jc w:val="both"/>
        <w:rPr>
          <w:rFonts w:ascii="Bookman Old Style" w:hAnsi="Bookman Old Style" w:cs="Arial"/>
        </w:rPr>
      </w:pPr>
      <w:r w:rsidRPr="7FC3F809">
        <w:rPr>
          <w:rFonts w:ascii="Bookman Old Style" w:hAnsi="Bookman Old Style" w:cs="Arial"/>
        </w:rPr>
        <w:t xml:space="preserve">Mediante la Resolución CREG 091 de 2007 se desarrolló el marco tarifario para las </w:t>
      </w:r>
      <w:r w:rsidR="00AE1E16">
        <w:rPr>
          <w:rFonts w:ascii="Bookman Old Style" w:hAnsi="Bookman Old Style" w:cs="Arial"/>
        </w:rPr>
        <w:t>Z</w:t>
      </w:r>
      <w:r w:rsidRPr="7FC3F809">
        <w:rPr>
          <w:rFonts w:ascii="Bookman Old Style" w:hAnsi="Bookman Old Style" w:cs="Arial"/>
        </w:rPr>
        <w:t xml:space="preserve">onas </w:t>
      </w:r>
      <w:r w:rsidR="00AE1E16">
        <w:rPr>
          <w:rFonts w:ascii="Bookman Old Style" w:hAnsi="Bookman Old Style" w:cs="Arial"/>
        </w:rPr>
        <w:t>N</w:t>
      </w:r>
      <w:r w:rsidRPr="7FC3F809">
        <w:rPr>
          <w:rFonts w:ascii="Bookman Old Style" w:hAnsi="Bookman Old Style" w:cs="Arial"/>
        </w:rPr>
        <w:t xml:space="preserve">o </w:t>
      </w:r>
      <w:r w:rsidR="00AE1E16">
        <w:rPr>
          <w:rFonts w:ascii="Bookman Old Style" w:hAnsi="Bookman Old Style" w:cs="Arial"/>
        </w:rPr>
        <w:t>I</w:t>
      </w:r>
      <w:r w:rsidRPr="7FC3F809">
        <w:rPr>
          <w:rFonts w:ascii="Bookman Old Style" w:hAnsi="Bookman Old Style" w:cs="Arial"/>
        </w:rPr>
        <w:t>nterconectadas, ZNI. En esa resolución se fijó el costo de capital invertido para remunerar los activos de la actividad de generación y de distribución de energía eléctrica en las ZNI.</w:t>
      </w:r>
    </w:p>
    <w:p w14:paraId="76417450" w14:textId="77777777" w:rsidR="000D2741" w:rsidRPr="005358DC" w:rsidRDefault="000D2741" w:rsidP="000D2741">
      <w:pPr>
        <w:ind w:left="0"/>
        <w:jc w:val="both"/>
        <w:rPr>
          <w:rFonts w:ascii="Bookman Old Style" w:hAnsi="Bookman Old Style" w:cs="Arial"/>
        </w:rPr>
      </w:pPr>
    </w:p>
    <w:p w14:paraId="47DB92D9" w14:textId="07333704" w:rsidR="00791A5A" w:rsidRDefault="00AE1E16" w:rsidP="00791A5A">
      <w:pPr>
        <w:ind w:left="0"/>
        <w:jc w:val="both"/>
        <w:rPr>
          <w:rFonts w:ascii="Bookman Old Style" w:hAnsi="Bookman Old Style" w:cs="Arial"/>
        </w:rPr>
      </w:pPr>
      <w:r>
        <w:rPr>
          <w:rFonts w:ascii="Bookman Old Style" w:hAnsi="Bookman Old Style" w:cs="Arial"/>
        </w:rPr>
        <w:t>En e</w:t>
      </w:r>
      <w:r w:rsidR="00791A5A" w:rsidRPr="6C2C4AD8">
        <w:rPr>
          <w:rFonts w:ascii="Bookman Old Style" w:hAnsi="Bookman Old Style" w:cs="Arial"/>
        </w:rPr>
        <w:t>l inciso final del artículo 45 de la Resolución CREG 091 de 2007 se dispuso que</w:t>
      </w:r>
      <w:r>
        <w:rPr>
          <w:rFonts w:ascii="Bookman Old Style" w:hAnsi="Bookman Old Style" w:cs="Arial"/>
        </w:rPr>
        <w:t>,</w:t>
      </w:r>
      <w:r w:rsidR="00791A5A" w:rsidRPr="6C2C4AD8">
        <w:rPr>
          <w:rFonts w:ascii="Bookman Old Style" w:hAnsi="Bookman Old Style" w:cs="Arial"/>
        </w:rPr>
        <w:t xml:space="preserve"> una vez la Comisión defina el costo de capital invertido para la actividad de distribución de energía eléctrica en el SIN para el próximo período tarifario, podrá ajustar la tasa establecida en este artículo.</w:t>
      </w:r>
    </w:p>
    <w:p w14:paraId="2DB6996F" w14:textId="77777777" w:rsidR="000D2741" w:rsidRPr="005358DC" w:rsidRDefault="000D2741" w:rsidP="00791A5A">
      <w:pPr>
        <w:ind w:left="0"/>
        <w:jc w:val="both"/>
        <w:rPr>
          <w:rFonts w:ascii="Bookman Old Style" w:hAnsi="Bookman Old Style" w:cs="Arial"/>
        </w:rPr>
      </w:pPr>
    </w:p>
    <w:p w14:paraId="71937479" w14:textId="5128F3DE" w:rsidR="000776BE" w:rsidRDefault="000776BE" w:rsidP="000776BE">
      <w:pPr>
        <w:ind w:left="0"/>
        <w:jc w:val="both"/>
        <w:rPr>
          <w:rFonts w:ascii="Bookman Old Style" w:hAnsi="Bookman Old Style" w:cs="Arial"/>
        </w:rPr>
      </w:pPr>
      <w:r w:rsidRPr="612E67E2">
        <w:rPr>
          <w:rFonts w:ascii="Bookman Old Style" w:hAnsi="Bookman Old Style" w:cs="Arial"/>
        </w:rPr>
        <w:t>Mediante las resoluciones CREG 083 y 093 de 2008 se definieron las metodologías para el cálculo de la</w:t>
      </w:r>
      <w:r w:rsidR="005D75B3" w:rsidRPr="612E67E2">
        <w:rPr>
          <w:rFonts w:ascii="Bookman Old Style" w:hAnsi="Bookman Old Style" w:cs="Arial"/>
        </w:rPr>
        <w:t>s</w:t>
      </w:r>
      <w:r w:rsidRPr="612E67E2">
        <w:rPr>
          <w:rFonts w:ascii="Bookman Old Style" w:hAnsi="Bookman Old Style" w:cs="Arial"/>
        </w:rPr>
        <w:t xml:space="preserve"> tasas de retorno que se aplican en la remuneración de las actividades de transmisión y de distribución de energía eléctrica.</w:t>
      </w:r>
    </w:p>
    <w:p w14:paraId="2B205C7F" w14:textId="77777777" w:rsidR="000D2741" w:rsidRPr="005358DC" w:rsidRDefault="000D2741" w:rsidP="000776BE">
      <w:pPr>
        <w:ind w:left="0"/>
        <w:jc w:val="both"/>
        <w:rPr>
          <w:spacing w:val="-3"/>
          <w:lang w:val="es-CO"/>
        </w:rPr>
      </w:pPr>
    </w:p>
    <w:p w14:paraId="25F72EC4" w14:textId="77777777" w:rsidR="00791A5A" w:rsidRPr="005358DC" w:rsidRDefault="00791A5A" w:rsidP="00791A5A">
      <w:pPr>
        <w:ind w:left="0" w:right="51"/>
        <w:jc w:val="both"/>
        <w:rPr>
          <w:rFonts w:ascii="Bookman Old Style" w:hAnsi="Bookman Old Style" w:cs="Arial"/>
        </w:rPr>
      </w:pPr>
      <w:r w:rsidRPr="526C1302">
        <w:rPr>
          <w:rFonts w:ascii="Bookman Old Style" w:hAnsi="Bookman Old Style" w:cs="Arial"/>
        </w:rPr>
        <w:t xml:space="preserve">Mediante la Resolución CREG 122 de 2008, la Comisión estableció </w:t>
      </w:r>
      <w:r w:rsidRPr="526C1302">
        <w:rPr>
          <w:rFonts w:ascii="Bookman Old Style" w:hAnsi="Bookman Old Style"/>
        </w:rPr>
        <w:t>los criterios generales para determinar la remuneración de la actividad de transporte de gas licuado del petróleo (GLP) por ductos.</w:t>
      </w:r>
    </w:p>
    <w:p w14:paraId="5C985AD5" w14:textId="77777777" w:rsidR="001605EA" w:rsidRPr="005358DC" w:rsidRDefault="001605EA" w:rsidP="001605EA">
      <w:pPr>
        <w:ind w:left="0"/>
        <w:jc w:val="both"/>
        <w:rPr>
          <w:rFonts w:ascii="Bookman Old Style" w:hAnsi="Bookman Old Style" w:cs="Arial"/>
          <w:highlight w:val="yellow"/>
        </w:rPr>
      </w:pPr>
    </w:p>
    <w:p w14:paraId="5BE18680" w14:textId="77777777" w:rsidR="001605EA" w:rsidRPr="005358DC" w:rsidRDefault="001605EA" w:rsidP="001605EA">
      <w:pPr>
        <w:ind w:left="0"/>
        <w:jc w:val="both"/>
        <w:rPr>
          <w:rFonts w:ascii="Bookman Old Style" w:hAnsi="Bookman Old Style" w:cs="Arial"/>
          <w:i/>
        </w:rPr>
      </w:pPr>
      <w:r w:rsidRPr="3D3F3B80">
        <w:rPr>
          <w:rFonts w:ascii="Bookman Old Style" w:hAnsi="Bookman Old Style" w:cs="Arial"/>
        </w:rPr>
        <w:t>Mediante la Resolución CREG 056 de 2009, “</w:t>
      </w:r>
      <w:r w:rsidRPr="3D3F3B80">
        <w:rPr>
          <w:rFonts w:ascii="Bookman Old Style" w:hAnsi="Bookman Old Style" w:cs="Arial"/>
          <w:i/>
        </w:rPr>
        <w:t>por la cual se revisan los parámetros aplicables a la metodología utilizada para determinar el costo promedio ponderado de capital para remunerar las actividades de generación y distribución de energía eléctrica en las zonas no interconectadas</w:t>
      </w:r>
      <w:r w:rsidRPr="3D3F3B80">
        <w:rPr>
          <w:rFonts w:ascii="Bookman Old Style" w:hAnsi="Bookman Old Style" w:cs="Arial"/>
        </w:rPr>
        <w:t xml:space="preserve">”, se definió la tasa promedio de costo de capital para los proyectos de generación con fuentes fósiles. </w:t>
      </w:r>
    </w:p>
    <w:p w14:paraId="4897A8F1" w14:textId="77777777" w:rsidR="000776BE" w:rsidRPr="005358DC" w:rsidRDefault="000776BE" w:rsidP="000776BE">
      <w:pPr>
        <w:ind w:left="0"/>
        <w:jc w:val="both"/>
        <w:rPr>
          <w:rFonts w:ascii="Bookman Old Style" w:hAnsi="Bookman Old Style" w:cs="Arial"/>
          <w:highlight w:val="yellow"/>
        </w:rPr>
      </w:pPr>
    </w:p>
    <w:p w14:paraId="7D38FA71" w14:textId="735A46B5" w:rsidR="000776BE" w:rsidRDefault="000776BE" w:rsidP="000776BE">
      <w:pPr>
        <w:ind w:left="0"/>
        <w:jc w:val="both"/>
        <w:rPr>
          <w:rFonts w:ascii="Bookman Old Style" w:hAnsi="Bookman Old Style" w:cs="Arial"/>
        </w:rPr>
      </w:pPr>
      <w:r w:rsidRPr="175A229A">
        <w:rPr>
          <w:rFonts w:ascii="Bookman Old Style" w:hAnsi="Bookman Old Style" w:cs="Arial"/>
        </w:rPr>
        <w:t>Mediante la Resolución CREG 126 de 2010</w:t>
      </w:r>
      <w:r w:rsidR="00224184" w:rsidRPr="175A229A">
        <w:rPr>
          <w:rFonts w:ascii="Bookman Old Style" w:hAnsi="Bookman Old Style" w:cs="Arial"/>
        </w:rPr>
        <w:t>,</w:t>
      </w:r>
      <w:r w:rsidRPr="175A229A">
        <w:rPr>
          <w:rFonts w:ascii="Bookman Old Style" w:hAnsi="Bookman Old Style" w:cs="Arial"/>
        </w:rPr>
        <w:t xml:space="preserve"> la Comisión estableció la metodología de cálculo y los valores de las tasas de retorno que se utilizarían en la aprobación de los cargos regulados de transporte de gas natural.</w:t>
      </w:r>
    </w:p>
    <w:p w14:paraId="358290EC" w14:textId="77777777" w:rsidR="000776BE" w:rsidRPr="005358DC" w:rsidRDefault="000776BE" w:rsidP="000776BE">
      <w:pPr>
        <w:ind w:left="0"/>
        <w:jc w:val="both"/>
        <w:rPr>
          <w:rFonts w:ascii="Bookman Old Style" w:eastAsia="Malgun Gothic" w:hAnsi="Bookman Old Style" w:cs="Arial"/>
        </w:rPr>
      </w:pPr>
      <w:r w:rsidRPr="526C1302">
        <w:rPr>
          <w:rFonts w:ascii="Bookman Old Style" w:eastAsia="Malgun Gothic" w:hAnsi="Bookman Old Style" w:cs="Arial"/>
        </w:rPr>
        <w:t>Mediante la Resolución CREG 202 de 2013, p</w:t>
      </w:r>
      <w:r w:rsidRPr="526C1302">
        <w:rPr>
          <w:rFonts w:ascii="Bookman Old Style" w:hAnsi="Bookman Old Style"/>
        </w:rPr>
        <w:t xml:space="preserve">or la cual se establecen los criterios generales para remunerar la actividad de distribución de gas combustible por redes de tubería y se dictan otras disposiciones, </w:t>
      </w:r>
      <w:r w:rsidRPr="526C1302">
        <w:rPr>
          <w:rFonts w:ascii="Bookman Old Style" w:eastAsia="Malgun Gothic" w:hAnsi="Bookman Old Style" w:cs="Arial"/>
        </w:rPr>
        <w:t>se indicó en los considerandos que “</w:t>
      </w:r>
      <w:r w:rsidRPr="526C1302">
        <w:rPr>
          <w:rFonts w:ascii="Bookman Old Style" w:eastAsia="Malgun Gothic" w:hAnsi="Bookman Old Style" w:cs="Arial"/>
          <w:i/>
        </w:rPr>
        <w:t>las condiciones actuales y los análisis llevan a concluir que es posible migrar hacia una metodología de corte transversal, la cual, acompañada con una tasa de descuento que incluya el riesgo de demanda, así como una canasta de tarifas que capture las señales de los costos de oportunidad, brinda señales más apropiadas para los objetivos regulatorios y al mismo tiempo permite mantener la cobertura y el incentivo para una expansión eficiente del servicio</w:t>
      </w:r>
      <w:r w:rsidRPr="526C1302">
        <w:rPr>
          <w:rFonts w:ascii="Bookman Old Style" w:eastAsia="Malgun Gothic" w:hAnsi="Bookman Old Style" w:cs="Arial"/>
        </w:rPr>
        <w:t>”.</w:t>
      </w:r>
    </w:p>
    <w:p w14:paraId="6CFE816D" w14:textId="77777777" w:rsidR="000776BE" w:rsidRPr="005358DC" w:rsidRDefault="000776BE" w:rsidP="000776BE">
      <w:pPr>
        <w:ind w:left="0"/>
        <w:jc w:val="both"/>
        <w:rPr>
          <w:rFonts w:ascii="Bookman Old Style" w:hAnsi="Bookman Old Style" w:cs="Arial"/>
          <w:highlight w:val="yellow"/>
        </w:rPr>
      </w:pPr>
    </w:p>
    <w:p w14:paraId="7AB82EAD" w14:textId="3F86FF19" w:rsidR="000776BE" w:rsidRPr="005358DC" w:rsidRDefault="000776BE" w:rsidP="000776BE">
      <w:pPr>
        <w:ind w:left="0"/>
        <w:jc w:val="both"/>
        <w:rPr>
          <w:rFonts w:ascii="Bookman Old Style" w:hAnsi="Bookman Old Style"/>
          <w:spacing w:val="-3"/>
          <w:highlight w:val="yellow"/>
          <w:lang w:val="es-CO"/>
        </w:rPr>
      </w:pPr>
      <w:r w:rsidRPr="06E66D5F">
        <w:rPr>
          <w:rFonts w:ascii="Bookman Old Style" w:hAnsi="Bookman Old Style" w:cs="Arial"/>
        </w:rPr>
        <w:t xml:space="preserve">En el </w:t>
      </w:r>
      <w:r w:rsidR="003F51A8" w:rsidRPr="06E66D5F">
        <w:rPr>
          <w:rFonts w:ascii="Bookman Old Style" w:hAnsi="Bookman Old Style" w:cs="Arial"/>
        </w:rPr>
        <w:t xml:space="preserve">Artículo </w:t>
      </w:r>
      <w:r w:rsidRPr="06E66D5F">
        <w:rPr>
          <w:rFonts w:ascii="Bookman Old Style" w:hAnsi="Bookman Old Style"/>
          <w:spacing w:val="-3"/>
        </w:rPr>
        <w:t>9.9 de la mencionada resolución se dispuso que la tasa de retorno para remunerar la actividad de distribución de gas combustible para el nuevo per</w:t>
      </w:r>
      <w:r w:rsidR="00AE1E16">
        <w:rPr>
          <w:rFonts w:ascii="Bookman Old Style" w:hAnsi="Bookman Old Style"/>
          <w:spacing w:val="-3"/>
        </w:rPr>
        <w:t>í</w:t>
      </w:r>
      <w:r w:rsidRPr="06E66D5F">
        <w:rPr>
          <w:rFonts w:ascii="Bookman Old Style" w:hAnsi="Bookman Old Style"/>
          <w:spacing w:val="-3"/>
        </w:rPr>
        <w:t xml:space="preserve">odo tarifario corresponderá al valor que se calcule con la metodología de </w:t>
      </w:r>
      <w:r w:rsidRPr="06E66D5F">
        <w:rPr>
          <w:rFonts w:ascii="Bookman Old Style" w:hAnsi="Bookman Old Style" w:cs="Arial"/>
        </w:rPr>
        <w:t>la tasa de descuento,</w:t>
      </w:r>
      <w:r w:rsidRPr="06E66D5F">
        <w:rPr>
          <w:rFonts w:ascii="Bookman Old Style" w:hAnsi="Bookman Old Style"/>
          <w:spacing w:val="-3"/>
        </w:rPr>
        <w:t xml:space="preserve"> establecida en resolución aparte</w:t>
      </w:r>
      <w:r w:rsidR="00AE1E16">
        <w:rPr>
          <w:rFonts w:ascii="Bookman Old Style" w:hAnsi="Bookman Old Style"/>
          <w:spacing w:val="-3"/>
        </w:rPr>
        <w:t>,</w:t>
      </w:r>
      <w:r w:rsidRPr="06E66D5F">
        <w:rPr>
          <w:rFonts w:ascii="Bookman Old Style" w:hAnsi="Bookman Old Style"/>
          <w:spacing w:val="-3"/>
        </w:rPr>
        <w:t xml:space="preserve"> antes de la aprobación de la primera solicitud tarifaria.</w:t>
      </w:r>
      <w:r w:rsidRPr="06E66D5F">
        <w:rPr>
          <w:rFonts w:ascii="Bookman Old Style" w:hAnsi="Bookman Old Style"/>
          <w:spacing w:val="-3"/>
          <w:highlight w:val="yellow"/>
        </w:rPr>
        <w:t xml:space="preserve"> </w:t>
      </w:r>
    </w:p>
    <w:p w14:paraId="06E39B43" w14:textId="77777777" w:rsidR="000776BE" w:rsidRPr="00DC1E86" w:rsidRDefault="000776BE" w:rsidP="000776BE">
      <w:pPr>
        <w:suppressAutoHyphens/>
        <w:ind w:left="0"/>
        <w:jc w:val="both"/>
        <w:rPr>
          <w:rFonts w:ascii="Bookman Old Style" w:hAnsi="Bookman Old Style"/>
          <w:spacing w:val="-3"/>
        </w:rPr>
      </w:pPr>
    </w:p>
    <w:p w14:paraId="609AC60F" w14:textId="03B761F4" w:rsidR="00BA1210" w:rsidRPr="00DC1E86" w:rsidRDefault="00BA1210" w:rsidP="000776BE">
      <w:pPr>
        <w:ind w:left="0"/>
        <w:jc w:val="both"/>
        <w:rPr>
          <w:rFonts w:ascii="Bookman Old Style" w:hAnsi="Bookman Old Style" w:cs="Arial"/>
        </w:rPr>
      </w:pPr>
      <w:r w:rsidRPr="00DC1E86">
        <w:rPr>
          <w:rFonts w:ascii="Bookman Old Style" w:hAnsi="Bookman Old Style" w:cs="Arial"/>
        </w:rPr>
        <w:t>Mediante la Resolución CREG 095 de 201</w:t>
      </w:r>
      <w:r w:rsidR="007A0792" w:rsidRPr="00DC1E86">
        <w:rPr>
          <w:rFonts w:ascii="Bookman Old Style" w:hAnsi="Bookman Old Style" w:cs="Arial"/>
        </w:rPr>
        <w:t xml:space="preserve">5, se expidió </w:t>
      </w:r>
      <w:r w:rsidR="00E445CE" w:rsidRPr="00DC1E86">
        <w:rPr>
          <w:rFonts w:ascii="Bookman Old Style" w:hAnsi="Bookman Old Style" w:cs="Arial"/>
        </w:rPr>
        <w:t>una</w:t>
      </w:r>
      <w:r w:rsidR="007A0792" w:rsidRPr="00DC1E86">
        <w:rPr>
          <w:rFonts w:ascii="Bookman Old Style" w:hAnsi="Bookman Old Style" w:cs="Arial"/>
        </w:rPr>
        <w:t xml:space="preserve"> </w:t>
      </w:r>
      <w:r w:rsidR="00602DB9" w:rsidRPr="00DC1E86">
        <w:rPr>
          <w:rFonts w:ascii="Bookman Old Style" w:hAnsi="Bookman Old Style" w:cs="Arial"/>
        </w:rPr>
        <w:t xml:space="preserve">metodología para el cálculo de la tasa de descuento que se aplicará en las actividades de transporte de gas natural, distribución de gas combustible, transporte de GLP por ductos, transmisión y distribución de energía eléctrica en el </w:t>
      </w:r>
      <w:r w:rsidR="00AE1E16" w:rsidRPr="00DC1E86">
        <w:rPr>
          <w:rFonts w:ascii="Bookman Old Style" w:hAnsi="Bookman Old Style" w:cs="Arial"/>
        </w:rPr>
        <w:t>Sistema Interconectado Nacional</w:t>
      </w:r>
      <w:r w:rsidR="00602DB9" w:rsidRPr="00DC1E86">
        <w:rPr>
          <w:rFonts w:ascii="Bookman Old Style" w:hAnsi="Bookman Old Style" w:cs="Arial"/>
        </w:rPr>
        <w:t xml:space="preserve">, y generación y distribución de energía eléctrica en </w:t>
      </w:r>
      <w:r w:rsidR="00AE1E16" w:rsidRPr="00DC1E86">
        <w:rPr>
          <w:rFonts w:ascii="Bookman Old Style" w:hAnsi="Bookman Old Style" w:cs="Arial"/>
        </w:rPr>
        <w:t>Zonas No Interconectadas</w:t>
      </w:r>
      <w:r w:rsidR="00E445CE" w:rsidRPr="00DC1E86">
        <w:rPr>
          <w:rFonts w:ascii="Bookman Old Style" w:hAnsi="Bookman Old Style" w:cs="Arial"/>
        </w:rPr>
        <w:t>.</w:t>
      </w:r>
      <w:r w:rsidR="00202CCF" w:rsidRPr="00DC1E86">
        <w:rPr>
          <w:rFonts w:ascii="Bookman Old Style" w:hAnsi="Bookman Old Style" w:cs="Arial"/>
        </w:rPr>
        <w:t xml:space="preserve"> En </w:t>
      </w:r>
      <w:r w:rsidR="60AB4FD5" w:rsidRPr="00DC1E86">
        <w:rPr>
          <w:rFonts w:ascii="Bookman Old Style" w:hAnsi="Bookman Old Style" w:cs="Arial"/>
        </w:rPr>
        <w:t>desarrollo</w:t>
      </w:r>
      <w:r w:rsidR="00202CCF" w:rsidRPr="00DC1E86">
        <w:rPr>
          <w:rFonts w:ascii="Bookman Old Style" w:hAnsi="Bookman Old Style" w:cs="Arial"/>
        </w:rPr>
        <w:t xml:space="preserve"> de dicha metodología, se expidieron las resoluciones CREG 096 de 2</w:t>
      </w:r>
      <w:r w:rsidR="000A67DB" w:rsidRPr="00DC1E86">
        <w:rPr>
          <w:rFonts w:ascii="Bookman Old Style" w:hAnsi="Bookman Old Style" w:cs="Arial"/>
        </w:rPr>
        <w:t>0</w:t>
      </w:r>
      <w:r w:rsidR="00202CCF" w:rsidRPr="00DC1E86">
        <w:rPr>
          <w:rFonts w:ascii="Bookman Old Style" w:hAnsi="Bookman Old Style" w:cs="Arial"/>
        </w:rPr>
        <w:t>15 y 01</w:t>
      </w:r>
      <w:r w:rsidR="002C306F" w:rsidRPr="00DC1E86">
        <w:rPr>
          <w:rFonts w:ascii="Bookman Old Style" w:hAnsi="Bookman Old Style" w:cs="Arial"/>
        </w:rPr>
        <w:t>6</w:t>
      </w:r>
      <w:r w:rsidR="00202CCF" w:rsidRPr="00DC1E86">
        <w:rPr>
          <w:rFonts w:ascii="Bookman Old Style" w:hAnsi="Bookman Old Style" w:cs="Arial"/>
        </w:rPr>
        <w:t xml:space="preserve"> de 201</w:t>
      </w:r>
      <w:r w:rsidR="00D76D2C" w:rsidRPr="00DC1E86">
        <w:rPr>
          <w:rFonts w:ascii="Bookman Old Style" w:hAnsi="Bookman Old Style" w:cs="Arial"/>
        </w:rPr>
        <w:t>8</w:t>
      </w:r>
      <w:r w:rsidR="00246AA4" w:rsidRPr="00DC1E86">
        <w:rPr>
          <w:rFonts w:ascii="Bookman Old Style" w:hAnsi="Bookman Old Style" w:cs="Arial"/>
        </w:rPr>
        <w:t xml:space="preserve">, en las cuales se establecieron las tasas de </w:t>
      </w:r>
      <w:r w:rsidR="00FC4A47" w:rsidRPr="00DC1E86">
        <w:rPr>
          <w:rFonts w:ascii="Bookman Old Style" w:hAnsi="Bookman Old Style" w:cs="Arial"/>
        </w:rPr>
        <w:t>descuento aplicables a las actividades de distribución de gas combustible por redes de tubería y de energía eléctrica, respectivamente.</w:t>
      </w:r>
    </w:p>
    <w:p w14:paraId="096CE079" w14:textId="77777777" w:rsidR="00BA1210" w:rsidRPr="00DC1E86" w:rsidRDefault="00BA1210" w:rsidP="000776BE">
      <w:pPr>
        <w:ind w:left="0"/>
        <w:jc w:val="both"/>
        <w:rPr>
          <w:rFonts w:ascii="Bookman Old Style" w:hAnsi="Bookman Old Style" w:cs="Arial"/>
        </w:rPr>
      </w:pPr>
    </w:p>
    <w:p w14:paraId="47131945" w14:textId="5456EC92" w:rsidR="003C0FA2" w:rsidRDefault="00EF3558" w:rsidP="000776BE">
      <w:pPr>
        <w:ind w:left="0"/>
        <w:jc w:val="both"/>
        <w:rPr>
          <w:rFonts w:ascii="Bookman Old Style" w:hAnsi="Bookman Old Style" w:cs="Arial"/>
        </w:rPr>
      </w:pPr>
      <w:r w:rsidRPr="00DC1E86">
        <w:rPr>
          <w:rFonts w:ascii="Bookman Old Style" w:hAnsi="Bookman Old Style" w:cs="Arial"/>
        </w:rPr>
        <w:t xml:space="preserve">Mediante la Resolución CREG </w:t>
      </w:r>
      <w:r w:rsidR="00147B21" w:rsidRPr="00DC1E86">
        <w:rPr>
          <w:rFonts w:ascii="Bookman Old Style" w:hAnsi="Bookman Old Style" w:cs="Arial"/>
        </w:rPr>
        <w:t xml:space="preserve">029 de 2018 se expidió la metodología </w:t>
      </w:r>
      <w:r w:rsidR="00CE3766" w:rsidRPr="00DC1E86">
        <w:rPr>
          <w:rFonts w:ascii="Bookman Old Style" w:hAnsi="Bookman Old Style" w:cs="Arial"/>
        </w:rPr>
        <w:t>para el cálculo de la tasa de descuento que se aplicará a las actividades de la cadena de distribución de combustibles líquidos y al transporte de GLP por ductos. Dicha metodología se dispuso en concordancia con los criterios establecidos en la Resolución CREG 095 de 2015.</w:t>
      </w:r>
    </w:p>
    <w:p w14:paraId="336AA10C" w14:textId="77777777" w:rsidR="00E474BC" w:rsidRPr="00E90410" w:rsidRDefault="00E474BC" w:rsidP="00E474BC">
      <w:pPr>
        <w:ind w:left="0"/>
        <w:jc w:val="both"/>
        <w:rPr>
          <w:rFonts w:ascii="Bookman Old Style" w:hAnsi="Bookman Old Style" w:cs="Arial"/>
        </w:rPr>
      </w:pPr>
    </w:p>
    <w:p w14:paraId="1CB11304" w14:textId="32B13351" w:rsidR="00E474BC" w:rsidRPr="00E90410" w:rsidRDefault="00E474BC" w:rsidP="00E474BC">
      <w:pPr>
        <w:ind w:left="0"/>
        <w:jc w:val="both"/>
        <w:rPr>
          <w:rFonts w:ascii="Bookman Old Style" w:hAnsi="Bookman Old Style" w:cs="Arial"/>
        </w:rPr>
      </w:pPr>
      <w:r w:rsidRPr="00E90410">
        <w:rPr>
          <w:rFonts w:ascii="Bookman Old Style" w:hAnsi="Bookman Old Style" w:cs="Arial"/>
        </w:rPr>
        <w:t xml:space="preserve">Durante la vigencia de la metodología de cálculo de la tasa de descuento se han presentado </w:t>
      </w:r>
      <w:r w:rsidR="00FF37D3">
        <w:rPr>
          <w:rFonts w:ascii="Bookman Old Style" w:hAnsi="Bookman Old Style" w:cs="Arial"/>
        </w:rPr>
        <w:t>cambios</w:t>
      </w:r>
      <w:r w:rsidRPr="00E90410">
        <w:rPr>
          <w:rFonts w:ascii="Bookman Old Style" w:hAnsi="Bookman Old Style" w:cs="Arial"/>
        </w:rPr>
        <w:t xml:space="preserve"> en sus variables</w:t>
      </w:r>
      <w:r w:rsidR="003D5B62">
        <w:rPr>
          <w:rFonts w:ascii="Bookman Old Style" w:hAnsi="Bookman Old Style" w:cs="Arial"/>
        </w:rPr>
        <w:t xml:space="preserve"> </w:t>
      </w:r>
      <w:r w:rsidRPr="00E90410">
        <w:rPr>
          <w:rFonts w:ascii="Bookman Old Style" w:hAnsi="Bookman Old Style" w:cs="Arial"/>
        </w:rPr>
        <w:t>de cálculo</w:t>
      </w:r>
      <w:r w:rsidR="00FF37D3">
        <w:rPr>
          <w:rFonts w:ascii="Bookman Old Style" w:hAnsi="Bookman Old Style" w:cs="Arial"/>
        </w:rPr>
        <w:t>, tanto</w:t>
      </w:r>
      <w:r w:rsidRPr="00E90410">
        <w:rPr>
          <w:rFonts w:ascii="Bookman Old Style" w:hAnsi="Bookman Old Style" w:cs="Arial"/>
        </w:rPr>
        <w:t xml:space="preserve"> a nivel macroeconómico </w:t>
      </w:r>
      <w:r w:rsidR="00FF37D3">
        <w:rPr>
          <w:rFonts w:ascii="Bookman Old Style" w:hAnsi="Bookman Old Style" w:cs="Arial"/>
        </w:rPr>
        <w:t xml:space="preserve">del </w:t>
      </w:r>
      <w:r w:rsidRPr="00E90410">
        <w:rPr>
          <w:rFonts w:ascii="Bookman Old Style" w:hAnsi="Bookman Old Style" w:cs="Arial"/>
        </w:rPr>
        <w:t xml:space="preserve">país </w:t>
      </w:r>
      <w:r w:rsidR="00FF37D3">
        <w:rPr>
          <w:rFonts w:ascii="Bookman Old Style" w:hAnsi="Bookman Old Style" w:cs="Arial"/>
        </w:rPr>
        <w:t xml:space="preserve">como </w:t>
      </w:r>
      <w:r w:rsidRPr="00E90410">
        <w:rPr>
          <w:rFonts w:ascii="Bookman Old Style" w:hAnsi="Bookman Old Style" w:cs="Arial"/>
        </w:rPr>
        <w:t>en los negocios regulados</w:t>
      </w:r>
      <w:r w:rsidR="003D5B62">
        <w:rPr>
          <w:rFonts w:ascii="Bookman Old Style" w:hAnsi="Bookman Old Style" w:cs="Arial"/>
        </w:rPr>
        <w:t>.</w:t>
      </w:r>
      <w:r w:rsidRPr="00E90410">
        <w:rPr>
          <w:rFonts w:ascii="Bookman Old Style" w:hAnsi="Bookman Old Style" w:cs="Arial"/>
        </w:rPr>
        <w:t xml:space="preserve"> </w:t>
      </w:r>
      <w:r w:rsidR="003D5B62">
        <w:rPr>
          <w:rFonts w:ascii="Bookman Old Style" w:hAnsi="Bookman Old Style" w:cs="Arial"/>
        </w:rPr>
        <w:t>A</w:t>
      </w:r>
      <w:r w:rsidRPr="00E90410">
        <w:rPr>
          <w:rFonts w:ascii="Bookman Old Style" w:hAnsi="Bookman Old Style" w:cs="Arial"/>
        </w:rPr>
        <w:t xml:space="preserve">dicionalmente, en comunicaciones de los agentes se ha planteado la </w:t>
      </w:r>
      <w:r w:rsidR="00FF37D3">
        <w:rPr>
          <w:rFonts w:ascii="Bookman Old Style" w:hAnsi="Bookman Old Style" w:cs="Arial"/>
        </w:rPr>
        <w:t>conveniencia</w:t>
      </w:r>
      <w:r w:rsidR="00FF37D3" w:rsidRPr="00E90410">
        <w:rPr>
          <w:rFonts w:ascii="Bookman Old Style" w:hAnsi="Bookman Old Style" w:cs="Arial"/>
        </w:rPr>
        <w:t xml:space="preserve"> </w:t>
      </w:r>
      <w:r w:rsidRPr="00E90410">
        <w:rPr>
          <w:rFonts w:ascii="Bookman Old Style" w:hAnsi="Bookman Old Style" w:cs="Arial"/>
        </w:rPr>
        <w:t xml:space="preserve">de </w:t>
      </w:r>
      <w:r w:rsidR="00FF37D3">
        <w:rPr>
          <w:rFonts w:ascii="Bookman Old Style" w:hAnsi="Bookman Old Style" w:cs="Arial"/>
        </w:rPr>
        <w:t>revisar</w:t>
      </w:r>
      <w:r w:rsidRPr="00E90410">
        <w:rPr>
          <w:rFonts w:ascii="Bookman Old Style" w:hAnsi="Bookman Old Style" w:cs="Arial"/>
        </w:rPr>
        <w:t xml:space="preserve"> ciertas variables</w:t>
      </w:r>
      <w:r w:rsidR="00FF37D3">
        <w:rPr>
          <w:rFonts w:ascii="Bookman Old Style" w:hAnsi="Bookman Old Style" w:cs="Arial"/>
        </w:rPr>
        <w:t xml:space="preserve"> y parámetros de cálculo, como la</w:t>
      </w:r>
      <w:r w:rsidRPr="00E90410">
        <w:rPr>
          <w:rFonts w:ascii="Bookman Old Style" w:hAnsi="Bookman Old Style" w:cs="Arial"/>
        </w:rPr>
        <w:t xml:space="preserve"> </w:t>
      </w:r>
      <w:r w:rsidR="00FF37D3" w:rsidRPr="00E90410">
        <w:rPr>
          <w:rFonts w:ascii="Bookman Old Style" w:hAnsi="Bookman Old Style" w:cs="Arial"/>
        </w:rPr>
        <w:t>tasa libre de riesgo</w:t>
      </w:r>
      <w:r w:rsidR="00E850C9">
        <w:rPr>
          <w:rFonts w:ascii="Bookman Old Style" w:hAnsi="Bookman Old Style" w:cs="Arial"/>
        </w:rPr>
        <w:t>,</w:t>
      </w:r>
      <w:r w:rsidR="00FF37D3">
        <w:rPr>
          <w:rFonts w:ascii="Bookman Old Style" w:hAnsi="Bookman Old Style" w:cs="Arial"/>
        </w:rPr>
        <w:t xml:space="preserve"> la</w:t>
      </w:r>
      <w:r w:rsidR="00FF37D3" w:rsidRPr="00E90410">
        <w:rPr>
          <w:rFonts w:ascii="Bookman Old Style" w:hAnsi="Bookman Old Style" w:cs="Arial"/>
        </w:rPr>
        <w:t xml:space="preserve"> </w:t>
      </w:r>
      <w:r w:rsidRPr="00E90410">
        <w:rPr>
          <w:rFonts w:ascii="Bookman Old Style" w:hAnsi="Bookman Old Style" w:cs="Arial"/>
        </w:rPr>
        <w:t xml:space="preserve">prima de riesgo de mercado, </w:t>
      </w:r>
      <w:r w:rsidR="00FF37D3">
        <w:rPr>
          <w:rFonts w:ascii="Bookman Old Style" w:hAnsi="Bookman Old Style" w:cs="Arial"/>
        </w:rPr>
        <w:t xml:space="preserve">las tasas de </w:t>
      </w:r>
      <w:r w:rsidRPr="00DB18AF">
        <w:rPr>
          <w:rFonts w:ascii="Bookman Old Style" w:hAnsi="Bookman Old Style" w:cs="Arial"/>
          <w:i/>
          <w:iCs/>
        </w:rPr>
        <w:t>swaps</w:t>
      </w:r>
      <w:r w:rsidR="00FF37D3">
        <w:rPr>
          <w:rFonts w:ascii="Bookman Old Style" w:hAnsi="Bookman Old Style" w:cs="Arial"/>
        </w:rPr>
        <w:t xml:space="preserve"> y</w:t>
      </w:r>
      <w:r w:rsidRPr="00E90410">
        <w:rPr>
          <w:rFonts w:ascii="Bookman Old Style" w:hAnsi="Bookman Old Style" w:cs="Arial"/>
        </w:rPr>
        <w:t xml:space="preserve"> </w:t>
      </w:r>
      <w:r w:rsidR="00461E8F" w:rsidRPr="009B6946">
        <w:rPr>
          <w:rFonts w:ascii="Bookman Old Style" w:hAnsi="Bookman Old Style" w:cs="Arial"/>
          <w:i/>
          <w:iCs/>
        </w:rPr>
        <w:t>CDS</w:t>
      </w:r>
      <w:r w:rsidRPr="00E90410">
        <w:rPr>
          <w:rFonts w:ascii="Bookman Old Style" w:hAnsi="Bookman Old Style" w:cs="Arial"/>
        </w:rPr>
        <w:t xml:space="preserve">, </w:t>
      </w:r>
      <w:r w:rsidR="00FF37D3">
        <w:rPr>
          <w:rFonts w:ascii="Bookman Old Style" w:hAnsi="Bookman Old Style" w:cs="Arial"/>
        </w:rPr>
        <w:t xml:space="preserve">y el </w:t>
      </w:r>
      <w:r w:rsidRPr="00E90410">
        <w:rPr>
          <w:rFonts w:ascii="Bookman Old Style" w:hAnsi="Bookman Old Style" w:cs="Arial"/>
        </w:rPr>
        <w:t xml:space="preserve">supuesto de paridad </w:t>
      </w:r>
      <w:r w:rsidR="00E850C9">
        <w:rPr>
          <w:rFonts w:ascii="Bookman Old Style" w:hAnsi="Bookman Old Style" w:cs="Arial"/>
        </w:rPr>
        <w:t>de tasas de interés en contraposición al supuesto de paridad cambiaria</w:t>
      </w:r>
      <w:r w:rsidRPr="00E90410">
        <w:rPr>
          <w:rFonts w:ascii="Bookman Old Style" w:hAnsi="Bookman Old Style" w:cs="Arial"/>
        </w:rPr>
        <w:t xml:space="preserve">, entre otros. Por esta razón, se consideró </w:t>
      </w:r>
      <w:r w:rsidR="00FF37D3">
        <w:rPr>
          <w:rFonts w:ascii="Bookman Old Style" w:hAnsi="Bookman Old Style" w:cs="Arial"/>
        </w:rPr>
        <w:t>pertinente</w:t>
      </w:r>
      <w:r w:rsidR="00FF37D3" w:rsidRPr="00E90410">
        <w:rPr>
          <w:rFonts w:ascii="Bookman Old Style" w:hAnsi="Bookman Old Style" w:cs="Arial"/>
        </w:rPr>
        <w:t xml:space="preserve"> </w:t>
      </w:r>
      <w:r w:rsidRPr="00E90410">
        <w:rPr>
          <w:rFonts w:ascii="Bookman Old Style" w:hAnsi="Bookman Old Style" w:cs="Arial"/>
        </w:rPr>
        <w:t xml:space="preserve">adelantar </w:t>
      </w:r>
      <w:r w:rsidR="008379FB">
        <w:rPr>
          <w:rFonts w:ascii="Bookman Old Style" w:hAnsi="Bookman Old Style" w:cs="Arial"/>
        </w:rPr>
        <w:t>un</w:t>
      </w:r>
      <w:r w:rsidR="008379FB" w:rsidRPr="00E90410">
        <w:rPr>
          <w:rFonts w:ascii="Bookman Old Style" w:hAnsi="Bookman Old Style" w:cs="Arial"/>
        </w:rPr>
        <w:t xml:space="preserve">a </w:t>
      </w:r>
      <w:r w:rsidRPr="00E90410">
        <w:rPr>
          <w:rFonts w:ascii="Bookman Old Style" w:hAnsi="Bookman Old Style" w:cs="Arial"/>
        </w:rPr>
        <w:t xml:space="preserve">revisión </w:t>
      </w:r>
      <w:r w:rsidR="009F38EA">
        <w:rPr>
          <w:rFonts w:ascii="Bookman Old Style" w:hAnsi="Bookman Old Style" w:cs="Arial"/>
        </w:rPr>
        <w:t xml:space="preserve">a la </w:t>
      </w:r>
      <w:r w:rsidR="009F38EA" w:rsidRPr="00E90410">
        <w:rPr>
          <w:rFonts w:ascii="Bookman Old Style" w:hAnsi="Bookman Old Style" w:cs="Arial"/>
        </w:rPr>
        <w:t>metodol</w:t>
      </w:r>
      <w:r w:rsidR="009F38EA">
        <w:rPr>
          <w:rFonts w:ascii="Bookman Old Style" w:hAnsi="Bookman Old Style" w:cs="Arial"/>
        </w:rPr>
        <w:t>ogía</w:t>
      </w:r>
      <w:r w:rsidR="009F38EA" w:rsidRPr="00E90410">
        <w:rPr>
          <w:rFonts w:ascii="Bookman Old Style" w:hAnsi="Bookman Old Style" w:cs="Arial"/>
        </w:rPr>
        <w:t xml:space="preserve"> </w:t>
      </w:r>
      <w:r w:rsidRPr="00E90410">
        <w:rPr>
          <w:rFonts w:ascii="Bookman Old Style" w:hAnsi="Bookman Old Style" w:cs="Arial"/>
        </w:rPr>
        <w:t xml:space="preserve">que </w:t>
      </w:r>
      <w:r w:rsidR="00FF37D3">
        <w:rPr>
          <w:rFonts w:ascii="Bookman Old Style" w:hAnsi="Bookman Old Style" w:cs="Arial"/>
        </w:rPr>
        <w:t xml:space="preserve">ha </w:t>
      </w:r>
      <w:r w:rsidRPr="00E90410">
        <w:rPr>
          <w:rFonts w:ascii="Bookman Old Style" w:hAnsi="Bookman Old Style" w:cs="Arial"/>
        </w:rPr>
        <w:t>conduc</w:t>
      </w:r>
      <w:r w:rsidR="00FF37D3">
        <w:rPr>
          <w:rFonts w:ascii="Bookman Old Style" w:hAnsi="Bookman Old Style" w:cs="Arial"/>
        </w:rPr>
        <w:t>ido</w:t>
      </w:r>
      <w:r w:rsidRPr="00E90410">
        <w:rPr>
          <w:rFonts w:ascii="Bookman Old Style" w:hAnsi="Bookman Old Style" w:cs="Arial"/>
        </w:rPr>
        <w:t xml:space="preserve"> a las disposiciones contenidas en esta resolución.</w:t>
      </w:r>
    </w:p>
    <w:p w14:paraId="50334922" w14:textId="70D5FCAE" w:rsidR="00E474BC" w:rsidRDefault="00E474BC" w:rsidP="00EE57D7">
      <w:pPr>
        <w:pStyle w:val="Textosinformato"/>
        <w:spacing w:line="240" w:lineRule="auto"/>
        <w:contextualSpacing/>
        <w:rPr>
          <w:rFonts w:ascii="Bookman Old Style" w:hAnsi="Bookman Old Style" w:cs="Tahoma"/>
          <w:color w:val="000000" w:themeColor="text1"/>
          <w:sz w:val="24"/>
          <w:szCs w:val="24"/>
          <w:highlight w:val="yellow"/>
        </w:rPr>
      </w:pPr>
    </w:p>
    <w:p w14:paraId="2415AB41" w14:textId="6A60C529" w:rsidR="00D438C1" w:rsidRDefault="00EE57D7" w:rsidP="00EE57D7">
      <w:pPr>
        <w:pStyle w:val="Textosinformato"/>
        <w:spacing w:line="240" w:lineRule="auto"/>
        <w:contextualSpacing/>
        <w:rPr>
          <w:rFonts w:ascii="Bookman Old Style" w:hAnsi="Bookman Old Style" w:cs="Tahoma"/>
          <w:color w:val="000000" w:themeColor="text1"/>
          <w:sz w:val="24"/>
          <w:szCs w:val="24"/>
          <w:highlight w:val="yellow"/>
        </w:rPr>
      </w:pPr>
      <w:r w:rsidRPr="00EE57D7">
        <w:rPr>
          <w:rFonts w:ascii="Bookman Old Style" w:hAnsi="Bookman Old Style" w:cs="Tahoma"/>
          <w:color w:val="000000" w:themeColor="text1"/>
          <w:sz w:val="24"/>
          <w:szCs w:val="24"/>
        </w:rPr>
        <w:t xml:space="preserve">En 2019 la Comisión contrató a Estudios Energéticos </w:t>
      </w:r>
      <w:r w:rsidR="009F38EA">
        <w:rPr>
          <w:rFonts w:ascii="Bookman Old Style" w:hAnsi="Bookman Old Style" w:cs="Tahoma"/>
          <w:color w:val="000000" w:themeColor="text1"/>
          <w:sz w:val="24"/>
          <w:szCs w:val="24"/>
        </w:rPr>
        <w:t xml:space="preserve">Consultores </w:t>
      </w:r>
      <w:r w:rsidR="009B6946">
        <w:rPr>
          <w:rFonts w:ascii="Bookman Old Style" w:hAnsi="Bookman Old Style" w:cs="Tahoma"/>
          <w:color w:val="000000" w:themeColor="text1"/>
          <w:sz w:val="24"/>
          <w:szCs w:val="24"/>
        </w:rPr>
        <w:t>p</w:t>
      </w:r>
      <w:r w:rsidRPr="00EE57D7">
        <w:rPr>
          <w:rFonts w:ascii="Bookman Old Style" w:hAnsi="Bookman Old Style" w:cs="Tahoma"/>
          <w:color w:val="000000" w:themeColor="text1"/>
          <w:sz w:val="24"/>
          <w:szCs w:val="24"/>
        </w:rPr>
        <w:t xml:space="preserve">ara revisar aspectos </w:t>
      </w:r>
      <w:r w:rsidR="00FF37D3">
        <w:rPr>
          <w:rFonts w:ascii="Bookman Old Style" w:hAnsi="Bookman Old Style" w:cs="Tahoma"/>
          <w:color w:val="000000" w:themeColor="text1"/>
          <w:sz w:val="24"/>
          <w:szCs w:val="24"/>
        </w:rPr>
        <w:t>relacionados con</w:t>
      </w:r>
      <w:r w:rsidR="00FF37D3" w:rsidRPr="00EE57D7">
        <w:rPr>
          <w:rFonts w:ascii="Bookman Old Style" w:hAnsi="Bookman Old Style" w:cs="Tahoma"/>
          <w:color w:val="000000" w:themeColor="text1"/>
          <w:sz w:val="24"/>
          <w:szCs w:val="24"/>
        </w:rPr>
        <w:t xml:space="preserve"> </w:t>
      </w:r>
      <w:r w:rsidRPr="00EE57D7">
        <w:rPr>
          <w:rFonts w:ascii="Bookman Old Style" w:hAnsi="Bookman Old Style" w:cs="Tahoma"/>
          <w:color w:val="000000" w:themeColor="text1"/>
          <w:sz w:val="24"/>
          <w:szCs w:val="24"/>
        </w:rPr>
        <w:t xml:space="preserve">la tasa de descuento que </w:t>
      </w:r>
      <w:r w:rsidR="00FF37D3">
        <w:rPr>
          <w:rFonts w:ascii="Bookman Old Style" w:hAnsi="Bookman Old Style" w:cs="Tahoma"/>
          <w:color w:val="000000" w:themeColor="text1"/>
          <w:sz w:val="24"/>
          <w:szCs w:val="24"/>
        </w:rPr>
        <w:t xml:space="preserve">la CREG </w:t>
      </w:r>
      <w:r w:rsidRPr="00EE57D7">
        <w:rPr>
          <w:rFonts w:ascii="Bookman Old Style" w:hAnsi="Bookman Old Style" w:cs="Tahoma"/>
          <w:color w:val="000000" w:themeColor="text1"/>
          <w:sz w:val="24"/>
          <w:szCs w:val="24"/>
        </w:rPr>
        <w:t>utiliza en la regulación de las actividades a su cargo</w:t>
      </w:r>
      <w:r w:rsidR="00991FE7">
        <w:rPr>
          <w:rFonts w:ascii="Bookman Old Style" w:hAnsi="Bookman Old Style" w:cs="Tahoma"/>
          <w:color w:val="000000" w:themeColor="text1"/>
          <w:sz w:val="24"/>
          <w:szCs w:val="24"/>
        </w:rPr>
        <w:t>. Para ello, los consultores realizaron una revisión de la</w:t>
      </w:r>
      <w:r w:rsidRPr="00EE57D7">
        <w:rPr>
          <w:rFonts w:ascii="Bookman Old Style" w:hAnsi="Bookman Old Style" w:cs="Tahoma"/>
          <w:color w:val="000000" w:themeColor="text1"/>
          <w:sz w:val="24"/>
          <w:szCs w:val="24"/>
        </w:rPr>
        <w:t xml:space="preserve"> experiencia internacional</w:t>
      </w:r>
      <w:r w:rsidR="001A500F">
        <w:rPr>
          <w:rFonts w:ascii="Bookman Old Style" w:hAnsi="Bookman Old Style" w:cs="Tahoma"/>
          <w:color w:val="000000" w:themeColor="text1"/>
          <w:sz w:val="24"/>
          <w:szCs w:val="24"/>
        </w:rPr>
        <w:t>,</w:t>
      </w:r>
      <w:r w:rsidR="00991FE7">
        <w:rPr>
          <w:rFonts w:ascii="Bookman Old Style" w:hAnsi="Bookman Old Style" w:cs="Tahoma"/>
          <w:color w:val="000000" w:themeColor="text1"/>
          <w:sz w:val="24"/>
          <w:szCs w:val="24"/>
        </w:rPr>
        <w:t xml:space="preserve"> una</w:t>
      </w:r>
      <w:r w:rsidRPr="00EE57D7">
        <w:rPr>
          <w:rFonts w:ascii="Bookman Old Style" w:hAnsi="Bookman Old Style" w:cs="Tahoma"/>
          <w:color w:val="000000" w:themeColor="text1"/>
          <w:sz w:val="24"/>
          <w:szCs w:val="24"/>
        </w:rPr>
        <w:t xml:space="preserve"> revisión de la metodología vigente</w:t>
      </w:r>
      <w:r w:rsidR="00AE1E16">
        <w:rPr>
          <w:rFonts w:ascii="Bookman Old Style" w:hAnsi="Bookman Old Style" w:cs="Tahoma"/>
          <w:color w:val="000000" w:themeColor="text1"/>
          <w:sz w:val="24"/>
          <w:szCs w:val="24"/>
        </w:rPr>
        <w:t>,</w:t>
      </w:r>
      <w:r w:rsidRPr="00EE57D7">
        <w:rPr>
          <w:rFonts w:ascii="Bookman Old Style" w:hAnsi="Bookman Old Style" w:cs="Tahoma"/>
          <w:color w:val="000000" w:themeColor="text1"/>
          <w:sz w:val="24"/>
          <w:szCs w:val="24"/>
        </w:rPr>
        <w:t xml:space="preserve"> y </w:t>
      </w:r>
      <w:r w:rsidR="00991FE7">
        <w:rPr>
          <w:rFonts w:ascii="Bookman Old Style" w:hAnsi="Bookman Old Style" w:cs="Tahoma"/>
          <w:color w:val="000000" w:themeColor="text1"/>
          <w:sz w:val="24"/>
          <w:szCs w:val="24"/>
        </w:rPr>
        <w:t>elaboraron una</w:t>
      </w:r>
      <w:r w:rsidRPr="00EE57D7">
        <w:rPr>
          <w:rFonts w:ascii="Bookman Old Style" w:hAnsi="Bookman Old Style" w:cs="Tahoma"/>
          <w:color w:val="000000" w:themeColor="text1"/>
          <w:sz w:val="24"/>
          <w:szCs w:val="24"/>
        </w:rPr>
        <w:t xml:space="preserve"> propuesta</w:t>
      </w:r>
      <w:r w:rsidR="001A500F">
        <w:rPr>
          <w:rFonts w:ascii="Bookman Old Style" w:hAnsi="Bookman Old Style" w:cs="Tahoma"/>
          <w:color w:val="000000" w:themeColor="text1"/>
          <w:sz w:val="24"/>
          <w:szCs w:val="24"/>
        </w:rPr>
        <w:t xml:space="preserve"> </w:t>
      </w:r>
      <w:r w:rsidR="003A6E46">
        <w:rPr>
          <w:rFonts w:ascii="Bookman Old Style" w:hAnsi="Bookman Old Style" w:cs="Tahoma"/>
          <w:color w:val="000000" w:themeColor="text1"/>
          <w:sz w:val="24"/>
          <w:szCs w:val="24"/>
        </w:rPr>
        <w:t>metodológica para el cálculo de dicha tasa</w:t>
      </w:r>
      <w:r w:rsidRPr="00EE57D7">
        <w:rPr>
          <w:rFonts w:ascii="Bookman Old Style" w:hAnsi="Bookman Old Style" w:cs="Tahoma"/>
          <w:color w:val="000000" w:themeColor="text1"/>
          <w:sz w:val="24"/>
          <w:szCs w:val="24"/>
        </w:rPr>
        <w:t xml:space="preserve">. El </w:t>
      </w:r>
      <w:r w:rsidR="007B5DCC">
        <w:rPr>
          <w:rFonts w:ascii="Bookman Old Style" w:hAnsi="Bookman Old Style" w:cs="Tahoma"/>
          <w:color w:val="000000" w:themeColor="text1"/>
          <w:sz w:val="24"/>
          <w:szCs w:val="24"/>
        </w:rPr>
        <w:t xml:space="preserve">estudio del consultor fue presentado </w:t>
      </w:r>
      <w:r w:rsidR="00B75133">
        <w:rPr>
          <w:rFonts w:ascii="Bookman Old Style" w:hAnsi="Bookman Old Style" w:cs="Tahoma"/>
          <w:color w:val="000000" w:themeColor="text1"/>
          <w:sz w:val="24"/>
          <w:szCs w:val="24"/>
        </w:rPr>
        <w:t>en</w:t>
      </w:r>
      <w:r w:rsidR="007B5DCC">
        <w:rPr>
          <w:rFonts w:ascii="Bookman Old Style" w:hAnsi="Bookman Old Style" w:cs="Tahoma"/>
          <w:color w:val="000000" w:themeColor="text1"/>
          <w:sz w:val="24"/>
          <w:szCs w:val="24"/>
        </w:rPr>
        <w:t xml:space="preserve"> taller realizado el 8 de noviembre de 2019 y </w:t>
      </w:r>
      <w:r w:rsidR="00AB3B2B">
        <w:rPr>
          <w:rFonts w:ascii="Bookman Old Style" w:hAnsi="Bookman Old Style" w:cs="Tahoma"/>
          <w:color w:val="000000" w:themeColor="text1"/>
          <w:sz w:val="24"/>
          <w:szCs w:val="24"/>
        </w:rPr>
        <w:t>el</w:t>
      </w:r>
      <w:r w:rsidR="007B5DCC">
        <w:rPr>
          <w:rFonts w:ascii="Bookman Old Style" w:hAnsi="Bookman Old Style" w:cs="Tahoma"/>
          <w:color w:val="000000" w:themeColor="text1"/>
          <w:sz w:val="24"/>
          <w:szCs w:val="24"/>
        </w:rPr>
        <w:t xml:space="preserve"> </w:t>
      </w:r>
      <w:r w:rsidRPr="00EE57D7">
        <w:rPr>
          <w:rFonts w:ascii="Bookman Old Style" w:hAnsi="Bookman Old Style" w:cs="Tahoma"/>
          <w:color w:val="000000" w:themeColor="text1"/>
          <w:sz w:val="24"/>
          <w:szCs w:val="24"/>
        </w:rPr>
        <w:t xml:space="preserve">informe se hizo público </w:t>
      </w:r>
      <w:r w:rsidR="003A6E46">
        <w:rPr>
          <w:rFonts w:ascii="Bookman Old Style" w:hAnsi="Bookman Old Style" w:cs="Tahoma"/>
          <w:color w:val="000000" w:themeColor="text1"/>
          <w:sz w:val="24"/>
          <w:szCs w:val="24"/>
        </w:rPr>
        <w:t xml:space="preserve">mediante </w:t>
      </w:r>
      <w:r w:rsidRPr="00EE57D7">
        <w:rPr>
          <w:rFonts w:ascii="Bookman Old Style" w:hAnsi="Bookman Old Style" w:cs="Tahoma"/>
          <w:color w:val="000000" w:themeColor="text1"/>
          <w:sz w:val="24"/>
          <w:szCs w:val="24"/>
        </w:rPr>
        <w:t>la Circular CREG 100 de 2019.</w:t>
      </w:r>
    </w:p>
    <w:p w14:paraId="6084033A" w14:textId="3862D785" w:rsidR="00063478" w:rsidRDefault="00FF37D3" w:rsidP="00063478">
      <w:pPr>
        <w:pStyle w:val="Textosinformato"/>
        <w:spacing w:line="240" w:lineRule="auto"/>
        <w:rPr>
          <w:rFonts w:ascii="Bookman Old Style" w:hAnsi="Bookman Old Style" w:cs="Tahoma"/>
          <w:color w:val="000000" w:themeColor="text1"/>
          <w:sz w:val="24"/>
          <w:szCs w:val="24"/>
        </w:rPr>
      </w:pPr>
      <w:r>
        <w:rPr>
          <w:rFonts w:ascii="Bookman Old Style" w:hAnsi="Bookman Old Style" w:cs="Tahoma"/>
          <w:color w:val="000000" w:themeColor="text1"/>
          <w:sz w:val="24"/>
          <w:szCs w:val="24"/>
        </w:rPr>
        <w:t>Como resultado de lo anterior</w:t>
      </w:r>
      <w:r w:rsidR="008335AA">
        <w:rPr>
          <w:rFonts w:ascii="Bookman Old Style" w:hAnsi="Bookman Old Style" w:cs="Tahoma"/>
          <w:color w:val="000000" w:themeColor="text1"/>
          <w:sz w:val="24"/>
          <w:szCs w:val="24"/>
        </w:rPr>
        <w:t xml:space="preserve"> y de los análisis internos,</w:t>
      </w:r>
      <w:r w:rsidR="009666A0" w:rsidRPr="58DF285C">
        <w:rPr>
          <w:rFonts w:ascii="Bookman Old Style" w:hAnsi="Bookman Old Style" w:cs="Tahoma"/>
          <w:color w:val="000000" w:themeColor="text1"/>
          <w:sz w:val="24"/>
          <w:szCs w:val="24"/>
        </w:rPr>
        <w:t xml:space="preserve"> </w:t>
      </w:r>
      <w:r w:rsidR="645C0E70" w:rsidRPr="2BFCD34E">
        <w:rPr>
          <w:rFonts w:ascii="Bookman Old Style" w:hAnsi="Bookman Old Style" w:cs="Tahoma"/>
          <w:color w:val="000000" w:themeColor="text1"/>
          <w:sz w:val="24"/>
          <w:szCs w:val="24"/>
        </w:rPr>
        <w:t xml:space="preserve">la </w:t>
      </w:r>
      <w:r w:rsidR="645C0E70" w:rsidRPr="5316D0E9">
        <w:rPr>
          <w:rFonts w:ascii="Bookman Old Style" w:hAnsi="Bookman Old Style" w:cs="Tahoma"/>
          <w:color w:val="000000" w:themeColor="text1"/>
          <w:sz w:val="24"/>
          <w:szCs w:val="24"/>
        </w:rPr>
        <w:t>Comisión encontró</w:t>
      </w:r>
      <w:r w:rsidR="009666A0" w:rsidRPr="58DF285C">
        <w:rPr>
          <w:rFonts w:ascii="Bookman Old Style" w:hAnsi="Bookman Old Style" w:cs="Tahoma"/>
          <w:color w:val="000000" w:themeColor="text1"/>
          <w:sz w:val="24"/>
          <w:szCs w:val="24"/>
        </w:rPr>
        <w:t xml:space="preserve"> procedente revisar el procedimiento </w:t>
      </w:r>
      <w:r w:rsidR="008232A6" w:rsidRPr="58DF285C">
        <w:rPr>
          <w:rFonts w:ascii="Bookman Old Style" w:hAnsi="Bookman Old Style" w:cs="Tahoma"/>
          <w:color w:val="000000" w:themeColor="text1"/>
          <w:sz w:val="24"/>
          <w:szCs w:val="24"/>
        </w:rPr>
        <w:t>vigente</w:t>
      </w:r>
      <w:r>
        <w:rPr>
          <w:rFonts w:ascii="Bookman Old Style" w:hAnsi="Bookman Old Style" w:cs="Tahoma"/>
          <w:color w:val="000000" w:themeColor="text1"/>
          <w:sz w:val="24"/>
          <w:szCs w:val="24"/>
        </w:rPr>
        <w:t xml:space="preserve"> </w:t>
      </w:r>
      <w:r w:rsidR="008335AA">
        <w:rPr>
          <w:rFonts w:ascii="Bookman Old Style" w:hAnsi="Bookman Old Style" w:cs="Tahoma"/>
          <w:color w:val="000000" w:themeColor="text1"/>
          <w:sz w:val="24"/>
          <w:szCs w:val="24"/>
        </w:rPr>
        <w:t xml:space="preserve">para el </w:t>
      </w:r>
      <w:r>
        <w:rPr>
          <w:rFonts w:ascii="Bookman Old Style" w:hAnsi="Bookman Old Style" w:cs="Tahoma"/>
          <w:color w:val="000000" w:themeColor="text1"/>
          <w:sz w:val="24"/>
          <w:szCs w:val="24"/>
        </w:rPr>
        <w:t>cálculo de tasas de descuento</w:t>
      </w:r>
      <w:r w:rsidR="008232A6" w:rsidRPr="58DF285C">
        <w:rPr>
          <w:rFonts w:ascii="Bookman Old Style" w:hAnsi="Bookman Old Style" w:cs="Tahoma"/>
          <w:color w:val="000000" w:themeColor="text1"/>
          <w:sz w:val="24"/>
          <w:szCs w:val="24"/>
        </w:rPr>
        <w:t xml:space="preserve">, </w:t>
      </w:r>
      <w:r w:rsidR="003B01D4" w:rsidRPr="58DF285C">
        <w:rPr>
          <w:rFonts w:ascii="Bookman Old Style" w:hAnsi="Bookman Old Style" w:cs="Tahoma"/>
          <w:color w:val="000000" w:themeColor="text1"/>
          <w:sz w:val="24"/>
          <w:szCs w:val="24"/>
        </w:rPr>
        <w:t xml:space="preserve">en aras de </w:t>
      </w:r>
      <w:r w:rsidR="009E28AE" w:rsidRPr="58DF285C">
        <w:rPr>
          <w:rFonts w:ascii="Bookman Old Style" w:hAnsi="Bookman Old Style" w:cs="Tahoma"/>
          <w:color w:val="000000" w:themeColor="text1"/>
          <w:sz w:val="24"/>
          <w:szCs w:val="24"/>
        </w:rPr>
        <w:t xml:space="preserve">identificar </w:t>
      </w:r>
      <w:r w:rsidR="009143EC" w:rsidRPr="58DF285C">
        <w:rPr>
          <w:rFonts w:ascii="Bookman Old Style" w:hAnsi="Bookman Old Style" w:cs="Tahoma"/>
          <w:color w:val="000000" w:themeColor="text1"/>
          <w:sz w:val="24"/>
          <w:szCs w:val="24"/>
        </w:rPr>
        <w:t>si existen alternativas metodológica</w:t>
      </w:r>
      <w:r w:rsidR="00063478" w:rsidRPr="58DF285C">
        <w:rPr>
          <w:rFonts w:ascii="Bookman Old Style" w:hAnsi="Bookman Old Style" w:cs="Tahoma"/>
          <w:color w:val="000000" w:themeColor="text1"/>
          <w:sz w:val="24"/>
          <w:szCs w:val="24"/>
        </w:rPr>
        <w:t xml:space="preserve">s o de </w:t>
      </w:r>
      <w:r w:rsidR="009E28AE" w:rsidRPr="58DF285C">
        <w:rPr>
          <w:rFonts w:ascii="Bookman Old Style" w:hAnsi="Bookman Old Style" w:cs="Tahoma"/>
          <w:color w:val="000000" w:themeColor="text1"/>
          <w:sz w:val="24"/>
          <w:szCs w:val="24"/>
        </w:rPr>
        <w:t>estimaciones de tasas de rentabilidad de los activos</w:t>
      </w:r>
      <w:r>
        <w:rPr>
          <w:rFonts w:ascii="Bookman Old Style" w:hAnsi="Bookman Old Style" w:cs="Tahoma"/>
          <w:color w:val="000000" w:themeColor="text1"/>
          <w:sz w:val="24"/>
          <w:szCs w:val="24"/>
        </w:rPr>
        <w:t>,</w:t>
      </w:r>
      <w:r w:rsidR="009E28AE" w:rsidRPr="58DF285C">
        <w:rPr>
          <w:rFonts w:ascii="Bookman Old Style" w:hAnsi="Bookman Old Style" w:cs="Tahoma"/>
          <w:color w:val="000000" w:themeColor="text1"/>
          <w:sz w:val="24"/>
          <w:szCs w:val="24"/>
        </w:rPr>
        <w:t xml:space="preserve"> que </w:t>
      </w:r>
      <w:r w:rsidR="009143EC" w:rsidRPr="58DF285C">
        <w:rPr>
          <w:rFonts w:ascii="Bookman Old Style" w:hAnsi="Bookman Old Style" w:cs="Tahoma"/>
          <w:color w:val="000000" w:themeColor="text1"/>
          <w:sz w:val="24"/>
          <w:szCs w:val="24"/>
        </w:rPr>
        <w:t xml:space="preserve">reflejen de mejor manera </w:t>
      </w:r>
      <w:r w:rsidR="00063478">
        <w:rPr>
          <w:rFonts w:ascii="Bookman Old Style" w:hAnsi="Bookman Old Style" w:cs="Tahoma"/>
          <w:color w:val="000000" w:themeColor="text1"/>
          <w:sz w:val="24"/>
          <w:szCs w:val="24"/>
        </w:rPr>
        <w:t>la r</w:t>
      </w:r>
      <w:r w:rsidR="00063478" w:rsidRPr="00063478">
        <w:rPr>
          <w:rFonts w:ascii="Bookman Old Style" w:hAnsi="Bookman Old Style" w:cs="Tahoma"/>
          <w:color w:val="000000" w:themeColor="text1"/>
          <w:sz w:val="24"/>
          <w:szCs w:val="24"/>
        </w:rPr>
        <w:t>emunera</w:t>
      </w:r>
      <w:r w:rsidR="00063478">
        <w:rPr>
          <w:rFonts w:ascii="Bookman Old Style" w:hAnsi="Bookman Old Style" w:cs="Tahoma"/>
          <w:color w:val="000000" w:themeColor="text1"/>
          <w:sz w:val="24"/>
          <w:szCs w:val="24"/>
        </w:rPr>
        <w:t xml:space="preserve">ción </w:t>
      </w:r>
      <w:r w:rsidR="00063478" w:rsidRPr="00063478">
        <w:rPr>
          <w:rFonts w:ascii="Bookman Old Style" w:hAnsi="Bookman Old Style" w:cs="Tahoma"/>
          <w:color w:val="000000" w:themeColor="text1"/>
          <w:sz w:val="24"/>
          <w:szCs w:val="24"/>
        </w:rPr>
        <w:t xml:space="preserve">eficiente </w:t>
      </w:r>
      <w:r w:rsidR="00063478">
        <w:rPr>
          <w:rFonts w:ascii="Bookman Old Style" w:hAnsi="Bookman Old Style" w:cs="Tahoma"/>
          <w:color w:val="000000" w:themeColor="text1"/>
          <w:sz w:val="24"/>
          <w:szCs w:val="24"/>
        </w:rPr>
        <w:t xml:space="preserve">de las </w:t>
      </w:r>
      <w:r w:rsidR="00E72C29">
        <w:rPr>
          <w:rFonts w:ascii="Bookman Old Style" w:hAnsi="Bookman Old Style" w:cs="Tahoma"/>
          <w:color w:val="000000" w:themeColor="text1"/>
          <w:sz w:val="24"/>
          <w:szCs w:val="24"/>
        </w:rPr>
        <w:t xml:space="preserve">inversiones de las </w:t>
      </w:r>
      <w:r w:rsidR="00063478">
        <w:rPr>
          <w:rFonts w:ascii="Bookman Old Style" w:hAnsi="Bookman Old Style" w:cs="Tahoma"/>
          <w:color w:val="000000" w:themeColor="text1"/>
          <w:sz w:val="24"/>
          <w:szCs w:val="24"/>
        </w:rPr>
        <w:t>empresas</w:t>
      </w:r>
      <w:r w:rsidR="00E72C29">
        <w:rPr>
          <w:rFonts w:ascii="Bookman Old Style" w:hAnsi="Bookman Old Style" w:cs="Tahoma"/>
          <w:color w:val="000000" w:themeColor="text1"/>
          <w:sz w:val="24"/>
          <w:szCs w:val="24"/>
        </w:rPr>
        <w:t xml:space="preserve"> reguladas</w:t>
      </w:r>
      <w:r w:rsidR="0068558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w:t>
      </w:r>
      <w:r w:rsidR="00063478" w:rsidRPr="00063478">
        <w:rPr>
          <w:rFonts w:ascii="Bookman Old Style" w:hAnsi="Bookman Old Style" w:cs="Tahoma"/>
          <w:color w:val="000000" w:themeColor="text1"/>
          <w:sz w:val="24"/>
          <w:szCs w:val="24"/>
        </w:rPr>
        <w:t>en sector</w:t>
      </w:r>
      <w:r w:rsidR="00063478">
        <w:rPr>
          <w:rFonts w:ascii="Bookman Old Style" w:hAnsi="Bookman Old Style" w:cs="Tahoma"/>
          <w:color w:val="000000" w:themeColor="text1"/>
          <w:sz w:val="24"/>
          <w:szCs w:val="24"/>
        </w:rPr>
        <w:t>es</w:t>
      </w:r>
      <w:r w:rsidR="00063478" w:rsidRPr="00063478">
        <w:rPr>
          <w:rFonts w:ascii="Bookman Old Style" w:hAnsi="Bookman Old Style" w:cs="Tahoma"/>
          <w:color w:val="000000" w:themeColor="text1"/>
          <w:sz w:val="24"/>
          <w:szCs w:val="24"/>
        </w:rPr>
        <w:t xml:space="preserve"> de riesgo comparabl</w:t>
      </w:r>
      <w:r w:rsidR="00063478">
        <w:rPr>
          <w:rFonts w:ascii="Bookman Old Style" w:hAnsi="Bookman Old Style" w:cs="Tahoma"/>
          <w:color w:val="000000" w:themeColor="text1"/>
          <w:sz w:val="24"/>
          <w:szCs w:val="24"/>
        </w:rPr>
        <w:t>e y</w:t>
      </w:r>
      <w:r w:rsidR="008232A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al mismo tiempo</w:t>
      </w:r>
      <w:r w:rsidR="008232A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w:t>
      </w:r>
      <w:r w:rsidR="008232A6">
        <w:rPr>
          <w:rFonts w:ascii="Bookman Old Style" w:hAnsi="Bookman Old Style" w:cs="Tahoma"/>
          <w:color w:val="000000" w:themeColor="text1"/>
          <w:sz w:val="24"/>
          <w:szCs w:val="24"/>
        </w:rPr>
        <w:t>l</w:t>
      </w:r>
      <w:r w:rsidR="00501C65">
        <w:rPr>
          <w:rFonts w:ascii="Bookman Old Style" w:hAnsi="Bookman Old Style" w:cs="Tahoma"/>
          <w:color w:val="000000" w:themeColor="text1"/>
          <w:sz w:val="24"/>
          <w:szCs w:val="24"/>
        </w:rPr>
        <w:t>e</w:t>
      </w:r>
      <w:r w:rsidR="008232A6">
        <w:rPr>
          <w:rFonts w:ascii="Bookman Old Style" w:hAnsi="Bookman Old Style" w:cs="Tahoma"/>
          <w:color w:val="000000" w:themeColor="text1"/>
          <w:sz w:val="24"/>
          <w:szCs w:val="24"/>
        </w:rPr>
        <w:t xml:space="preserve"> </w:t>
      </w:r>
      <w:r w:rsidR="00063478" w:rsidRPr="00063478">
        <w:rPr>
          <w:rFonts w:ascii="Bookman Old Style" w:hAnsi="Bookman Old Style" w:cs="Tahoma"/>
          <w:color w:val="000000" w:themeColor="text1"/>
          <w:sz w:val="24"/>
          <w:szCs w:val="24"/>
        </w:rPr>
        <w:t>facilite</w:t>
      </w:r>
      <w:r w:rsidR="00CF4048">
        <w:rPr>
          <w:rFonts w:ascii="Bookman Old Style" w:hAnsi="Bookman Old Style" w:cs="Tahoma"/>
          <w:color w:val="000000" w:themeColor="text1"/>
          <w:sz w:val="24"/>
          <w:szCs w:val="24"/>
        </w:rPr>
        <w:t xml:space="preserve">n </w:t>
      </w:r>
      <w:r w:rsidR="008232A6">
        <w:rPr>
          <w:rFonts w:ascii="Bookman Old Style" w:hAnsi="Bookman Old Style" w:cs="Tahoma"/>
          <w:color w:val="000000" w:themeColor="text1"/>
          <w:sz w:val="24"/>
          <w:szCs w:val="24"/>
        </w:rPr>
        <w:t>a los agentes</w:t>
      </w:r>
      <w:r w:rsidR="00B75F9F">
        <w:rPr>
          <w:rFonts w:ascii="Bookman Old Style" w:hAnsi="Bookman Old Style" w:cs="Tahoma"/>
          <w:color w:val="000000" w:themeColor="text1"/>
          <w:sz w:val="24"/>
          <w:szCs w:val="24"/>
        </w:rPr>
        <w:t>, empresas y demás interesados,</w:t>
      </w:r>
      <w:r w:rsidR="008232A6">
        <w:rPr>
          <w:rFonts w:ascii="Bookman Old Style" w:hAnsi="Bookman Old Style" w:cs="Tahoma"/>
          <w:color w:val="000000" w:themeColor="text1"/>
          <w:sz w:val="24"/>
          <w:szCs w:val="24"/>
        </w:rPr>
        <w:t xml:space="preserve"> </w:t>
      </w:r>
      <w:r w:rsidR="00063478" w:rsidRPr="00063478">
        <w:rPr>
          <w:rFonts w:ascii="Bookman Old Style" w:hAnsi="Bookman Old Style" w:cs="Tahoma"/>
          <w:color w:val="000000" w:themeColor="text1"/>
          <w:sz w:val="24"/>
          <w:szCs w:val="24"/>
        </w:rPr>
        <w:t>su comprensión</w:t>
      </w:r>
      <w:r w:rsidR="00CF4048">
        <w:rPr>
          <w:rFonts w:ascii="Bookman Old Style" w:hAnsi="Bookman Old Style" w:cs="Tahoma"/>
          <w:color w:val="000000" w:themeColor="text1"/>
          <w:sz w:val="24"/>
          <w:szCs w:val="24"/>
        </w:rPr>
        <w:t xml:space="preserve"> y</w:t>
      </w:r>
      <w:r w:rsidR="00063478" w:rsidRPr="00063478">
        <w:rPr>
          <w:rFonts w:ascii="Bookman Old Style" w:hAnsi="Bookman Old Style" w:cs="Tahoma"/>
          <w:color w:val="000000" w:themeColor="text1"/>
          <w:sz w:val="24"/>
          <w:szCs w:val="24"/>
        </w:rPr>
        <w:t xml:space="preserve"> aplicación.</w:t>
      </w:r>
    </w:p>
    <w:p w14:paraId="7709DF56" w14:textId="0E6E0596" w:rsidR="749B9ABB" w:rsidRDefault="749B9ABB" w:rsidP="749B9ABB">
      <w:pPr>
        <w:pStyle w:val="Textosinformato"/>
        <w:spacing w:line="240" w:lineRule="auto"/>
        <w:rPr>
          <w:rFonts w:ascii="Bookman Old Style" w:hAnsi="Bookman Old Style" w:cs="Tahoma"/>
          <w:color w:val="000000" w:themeColor="text1"/>
          <w:sz w:val="24"/>
          <w:szCs w:val="24"/>
        </w:rPr>
      </w:pPr>
    </w:p>
    <w:p w14:paraId="6788F2D1" w14:textId="0F4093E2" w:rsidR="66309966" w:rsidRDefault="521C4B69" w:rsidP="749B9ABB">
      <w:pPr>
        <w:pStyle w:val="Textosinformato"/>
        <w:spacing w:line="240" w:lineRule="auto"/>
        <w:rPr>
          <w:rFonts w:ascii="Bookman Old Style" w:hAnsi="Bookman Old Style" w:cs="Tahoma"/>
          <w:color w:val="000000" w:themeColor="text1"/>
          <w:sz w:val="24"/>
          <w:szCs w:val="24"/>
        </w:rPr>
      </w:pPr>
      <w:r w:rsidRPr="3A847AB4">
        <w:rPr>
          <w:rFonts w:ascii="Bookman Old Style" w:hAnsi="Bookman Old Style" w:cs="Tahoma"/>
          <w:color w:val="000000" w:themeColor="text1"/>
          <w:sz w:val="24"/>
          <w:szCs w:val="24"/>
        </w:rPr>
        <w:t xml:space="preserve">Mediante Resolución CREG 155 </w:t>
      </w:r>
      <w:r w:rsidR="008335AA">
        <w:rPr>
          <w:rFonts w:ascii="Bookman Old Style" w:hAnsi="Bookman Old Style" w:cs="Tahoma"/>
          <w:color w:val="000000" w:themeColor="text1"/>
          <w:sz w:val="24"/>
          <w:szCs w:val="24"/>
        </w:rPr>
        <w:t>de</w:t>
      </w:r>
      <w:r w:rsidR="004027AE">
        <w:rPr>
          <w:rFonts w:ascii="Bookman Old Style" w:hAnsi="Bookman Old Style" w:cs="Tahoma"/>
          <w:color w:val="000000" w:themeColor="text1"/>
          <w:sz w:val="24"/>
          <w:szCs w:val="24"/>
        </w:rPr>
        <w:t xml:space="preserve">l 4 de agosto de </w:t>
      </w:r>
      <w:r w:rsidR="008335AA">
        <w:rPr>
          <w:rFonts w:ascii="Bookman Old Style" w:hAnsi="Bookman Old Style" w:cs="Tahoma"/>
          <w:color w:val="000000" w:themeColor="text1"/>
          <w:sz w:val="24"/>
          <w:szCs w:val="24"/>
        </w:rPr>
        <w:t xml:space="preserve">2020 </w:t>
      </w:r>
      <w:r w:rsidRPr="3A847AB4">
        <w:rPr>
          <w:rFonts w:ascii="Bookman Old Style" w:hAnsi="Bookman Old Style" w:cs="Tahoma"/>
          <w:color w:val="000000" w:themeColor="text1"/>
          <w:sz w:val="24"/>
          <w:szCs w:val="24"/>
        </w:rPr>
        <w:t>se someti</w:t>
      </w:r>
      <w:r w:rsidR="009A7AEC">
        <w:rPr>
          <w:rFonts w:ascii="Bookman Old Style" w:hAnsi="Bookman Old Style" w:cs="Tahoma"/>
          <w:color w:val="000000" w:themeColor="text1"/>
          <w:sz w:val="24"/>
          <w:szCs w:val="24"/>
        </w:rPr>
        <w:t>eron</w:t>
      </w:r>
      <w:r w:rsidRPr="3A847AB4">
        <w:rPr>
          <w:rFonts w:ascii="Bookman Old Style" w:hAnsi="Bookman Old Style" w:cs="Tahoma"/>
          <w:color w:val="000000" w:themeColor="text1"/>
          <w:sz w:val="24"/>
          <w:szCs w:val="24"/>
        </w:rPr>
        <w:t xml:space="preserve"> a consulta</w:t>
      </w:r>
      <w:r w:rsidR="00E04B1B">
        <w:rPr>
          <w:rFonts w:ascii="Bookman Old Style" w:hAnsi="Bookman Old Style" w:cs="Tahoma"/>
          <w:color w:val="000000" w:themeColor="text1"/>
          <w:sz w:val="24"/>
          <w:szCs w:val="24"/>
        </w:rPr>
        <w:t xml:space="preserve"> las disposiciones necesarias para la determinación de las tasas de descuento de las actividades </w:t>
      </w:r>
      <w:r w:rsidR="00EB3DDE">
        <w:rPr>
          <w:rFonts w:ascii="Bookman Old Style" w:hAnsi="Bookman Old Style" w:cs="Tahoma"/>
          <w:color w:val="000000" w:themeColor="text1"/>
          <w:sz w:val="24"/>
          <w:szCs w:val="24"/>
        </w:rPr>
        <w:t xml:space="preserve">reguladas por esta Comisión. Se recibieron </w:t>
      </w:r>
      <w:r w:rsidR="00DA31C2">
        <w:rPr>
          <w:rFonts w:ascii="Bookman Old Style" w:hAnsi="Bookman Old Style" w:cs="Tahoma"/>
          <w:color w:val="000000" w:themeColor="text1"/>
          <w:sz w:val="24"/>
          <w:szCs w:val="24"/>
        </w:rPr>
        <w:t>comentarios de los participantes del mercado y terceros interesados hasta el 21 de septiembre</w:t>
      </w:r>
      <w:r w:rsidR="166B4113" w:rsidRPr="6455B2CE">
        <w:rPr>
          <w:rFonts w:ascii="Bookman Old Style" w:hAnsi="Bookman Old Style" w:cs="Tahoma"/>
          <w:color w:val="000000" w:themeColor="text1"/>
          <w:sz w:val="24"/>
          <w:szCs w:val="24"/>
        </w:rPr>
        <w:t xml:space="preserve"> de 2020</w:t>
      </w:r>
      <w:r w:rsidR="008B4932">
        <w:rPr>
          <w:rFonts w:ascii="Bookman Old Style" w:hAnsi="Bookman Old Style" w:cs="Tahoma"/>
          <w:color w:val="000000" w:themeColor="text1"/>
          <w:sz w:val="24"/>
          <w:szCs w:val="24"/>
        </w:rPr>
        <w:t xml:space="preserve">, </w:t>
      </w:r>
      <w:r w:rsidR="006E41A0">
        <w:rPr>
          <w:rFonts w:ascii="Bookman Old Style" w:hAnsi="Bookman Old Style" w:cs="Tahoma"/>
          <w:color w:val="000000" w:themeColor="text1"/>
          <w:sz w:val="24"/>
          <w:szCs w:val="24"/>
        </w:rPr>
        <w:t>mediante las siguientes comunicaciones</w:t>
      </w:r>
      <w:r w:rsidR="00C45416">
        <w:rPr>
          <w:rFonts w:ascii="Bookman Old Style" w:hAnsi="Bookman Old Style" w:cs="Tahoma"/>
          <w:color w:val="000000" w:themeColor="text1"/>
          <w:sz w:val="24"/>
          <w:szCs w:val="24"/>
        </w:rPr>
        <w:t xml:space="preserve">: </w:t>
      </w:r>
      <w:r w:rsidR="00AC13AE">
        <w:rPr>
          <w:rFonts w:ascii="Bookman Old Style" w:hAnsi="Bookman Old Style" w:cs="Tahoma"/>
          <w:color w:val="000000" w:themeColor="text1"/>
          <w:sz w:val="24"/>
          <w:szCs w:val="24"/>
        </w:rPr>
        <w:t>Empresas Municipales de Cali EMCALI (E-2020-01</w:t>
      </w:r>
      <w:r w:rsidR="00562472">
        <w:rPr>
          <w:rFonts w:ascii="Bookman Old Style" w:hAnsi="Bookman Old Style" w:cs="Tahoma"/>
          <w:color w:val="000000" w:themeColor="text1"/>
          <w:sz w:val="24"/>
          <w:szCs w:val="24"/>
        </w:rPr>
        <w:t xml:space="preserve">2086), Ecopetrol (E-2020-012093), Empresas </w:t>
      </w:r>
      <w:r w:rsidR="001F4188">
        <w:rPr>
          <w:rFonts w:ascii="Bookman Old Style" w:hAnsi="Bookman Old Style" w:cs="Tahoma"/>
          <w:color w:val="000000" w:themeColor="text1"/>
          <w:sz w:val="24"/>
          <w:szCs w:val="24"/>
        </w:rPr>
        <w:t>Públicas de Medellín EPM (E-2020-012106), Transportadora de Gas Internacional TGI (E-2020-01</w:t>
      </w:r>
      <w:r w:rsidR="00E22A84">
        <w:rPr>
          <w:rFonts w:ascii="Bookman Old Style" w:hAnsi="Bookman Old Style" w:cs="Tahoma"/>
          <w:color w:val="000000" w:themeColor="text1"/>
          <w:sz w:val="24"/>
          <w:szCs w:val="24"/>
        </w:rPr>
        <w:t>2143), Asociación Colombiana de Distribuidores ASOCODIS (E-2020-01</w:t>
      </w:r>
      <w:r w:rsidR="00110FEC">
        <w:rPr>
          <w:rFonts w:ascii="Bookman Old Style" w:hAnsi="Bookman Old Style" w:cs="Tahoma"/>
          <w:color w:val="000000" w:themeColor="text1"/>
          <w:sz w:val="24"/>
          <w:szCs w:val="24"/>
        </w:rPr>
        <w:t>2192)</w:t>
      </w:r>
      <w:r w:rsidR="00475432">
        <w:rPr>
          <w:rFonts w:ascii="Bookman Old Style" w:hAnsi="Bookman Old Style" w:cs="Tahoma"/>
          <w:color w:val="000000" w:themeColor="text1"/>
          <w:sz w:val="24"/>
          <w:szCs w:val="24"/>
        </w:rPr>
        <w:t xml:space="preserve">, </w:t>
      </w:r>
      <w:r w:rsidR="000150A9">
        <w:rPr>
          <w:rFonts w:ascii="Bookman Old Style" w:hAnsi="Bookman Old Style" w:cs="Tahoma"/>
          <w:color w:val="000000" w:themeColor="text1"/>
          <w:sz w:val="24"/>
          <w:szCs w:val="24"/>
        </w:rPr>
        <w:t>Asociación Colombiana de Petróleos ACP (E-2020-012197), Empresa de Energía de Pereira (</w:t>
      </w:r>
      <w:r w:rsidR="00BE5B55">
        <w:rPr>
          <w:rFonts w:ascii="Bookman Old Style" w:hAnsi="Bookman Old Style" w:cs="Tahoma"/>
          <w:color w:val="000000" w:themeColor="text1"/>
          <w:sz w:val="24"/>
          <w:szCs w:val="24"/>
        </w:rPr>
        <w:t xml:space="preserve">E-2020-012202), Inversiones </w:t>
      </w:r>
      <w:r w:rsidR="00F54F74">
        <w:rPr>
          <w:rFonts w:ascii="Bookman Old Style" w:hAnsi="Bookman Old Style" w:cs="Tahoma"/>
          <w:color w:val="000000" w:themeColor="text1"/>
          <w:sz w:val="24"/>
          <w:szCs w:val="24"/>
        </w:rPr>
        <w:t xml:space="preserve">de </w:t>
      </w:r>
      <w:r w:rsidR="00BE5B55">
        <w:rPr>
          <w:rFonts w:ascii="Bookman Old Style" w:hAnsi="Bookman Old Style" w:cs="Tahoma"/>
          <w:color w:val="000000" w:themeColor="text1"/>
          <w:sz w:val="24"/>
          <w:szCs w:val="24"/>
        </w:rPr>
        <w:t>Gases de Colombia (E-2020-01</w:t>
      </w:r>
      <w:r w:rsidR="00F54F74">
        <w:rPr>
          <w:rFonts w:ascii="Bookman Old Style" w:hAnsi="Bookman Old Style" w:cs="Tahoma"/>
          <w:color w:val="000000" w:themeColor="text1"/>
          <w:sz w:val="24"/>
          <w:szCs w:val="24"/>
        </w:rPr>
        <w:t>2203), Celsia</w:t>
      </w:r>
      <w:r w:rsidR="006D1031">
        <w:rPr>
          <w:rFonts w:ascii="Bookman Old Style" w:hAnsi="Bookman Old Style" w:cs="Tahoma"/>
          <w:color w:val="000000" w:themeColor="text1"/>
          <w:sz w:val="24"/>
          <w:szCs w:val="24"/>
        </w:rPr>
        <w:t xml:space="preserve"> (E-2020-012207), </w:t>
      </w:r>
      <w:r w:rsidR="005A256A">
        <w:rPr>
          <w:rFonts w:ascii="Bookman Old Style" w:hAnsi="Bookman Old Style" w:cs="Tahoma"/>
          <w:color w:val="000000" w:themeColor="text1"/>
          <w:sz w:val="24"/>
          <w:szCs w:val="24"/>
        </w:rPr>
        <w:t xml:space="preserve">Compañía Energética de Occidente CEO (E-2020-012208), </w:t>
      </w:r>
      <w:r w:rsidR="0046114C">
        <w:rPr>
          <w:rFonts w:ascii="Bookman Old Style" w:hAnsi="Bookman Old Style" w:cs="Tahoma"/>
          <w:color w:val="000000" w:themeColor="text1"/>
          <w:sz w:val="24"/>
          <w:szCs w:val="24"/>
        </w:rPr>
        <w:t xml:space="preserve">ENEL </w:t>
      </w:r>
      <w:r w:rsidR="009821BF">
        <w:rPr>
          <w:rFonts w:ascii="Bookman Old Style" w:hAnsi="Bookman Old Style" w:cs="Tahoma"/>
          <w:color w:val="000000" w:themeColor="text1"/>
          <w:sz w:val="24"/>
          <w:szCs w:val="24"/>
        </w:rPr>
        <w:t xml:space="preserve">Codensa </w:t>
      </w:r>
      <w:r w:rsidR="0046114C">
        <w:rPr>
          <w:rFonts w:ascii="Bookman Old Style" w:hAnsi="Bookman Old Style" w:cs="Tahoma"/>
          <w:color w:val="000000" w:themeColor="text1"/>
          <w:sz w:val="24"/>
          <w:szCs w:val="24"/>
        </w:rPr>
        <w:t>(E-2020-012210)</w:t>
      </w:r>
      <w:r w:rsidR="009821BF">
        <w:rPr>
          <w:rFonts w:ascii="Bookman Old Style" w:hAnsi="Bookman Old Style" w:cs="Tahoma"/>
          <w:color w:val="000000" w:themeColor="text1"/>
          <w:sz w:val="24"/>
          <w:szCs w:val="24"/>
        </w:rPr>
        <w:t xml:space="preserve">, </w:t>
      </w:r>
      <w:r w:rsidR="007D0ED6">
        <w:rPr>
          <w:rFonts w:ascii="Bookman Old Style" w:hAnsi="Bookman Old Style" w:cs="Tahoma"/>
          <w:color w:val="000000" w:themeColor="text1"/>
          <w:sz w:val="24"/>
          <w:szCs w:val="24"/>
        </w:rPr>
        <w:t>Grupo de Energía de Bogotá GEB (E-2020-012212), Cenit (E-2020-012215), Asociación Nacional de Gas Natural NATURGAS (E-2020-01</w:t>
      </w:r>
      <w:r w:rsidR="00E42043">
        <w:rPr>
          <w:rFonts w:ascii="Bookman Old Style" w:hAnsi="Bookman Old Style" w:cs="Tahoma"/>
          <w:color w:val="000000" w:themeColor="text1"/>
          <w:sz w:val="24"/>
          <w:szCs w:val="24"/>
        </w:rPr>
        <w:t>2216), Asociación de Grandes Consumidores de Gas ASOENERGIA (E-2020-01</w:t>
      </w:r>
      <w:r w:rsidR="00187A40">
        <w:rPr>
          <w:rFonts w:ascii="Bookman Old Style" w:hAnsi="Bookman Old Style" w:cs="Tahoma"/>
          <w:color w:val="000000" w:themeColor="text1"/>
          <w:sz w:val="24"/>
          <w:szCs w:val="24"/>
        </w:rPr>
        <w:t>2217), Grupo Vanti (E-2020-012218), PROMIGAS (E-2020-01</w:t>
      </w:r>
      <w:r w:rsidR="00754DCE">
        <w:rPr>
          <w:rFonts w:ascii="Bookman Old Style" w:hAnsi="Bookman Old Style" w:cs="Tahoma"/>
          <w:color w:val="000000" w:themeColor="text1"/>
          <w:sz w:val="24"/>
          <w:szCs w:val="24"/>
        </w:rPr>
        <w:t xml:space="preserve">2222), Asociación Nacional </w:t>
      </w:r>
      <w:r w:rsidR="00B81F2C">
        <w:rPr>
          <w:rFonts w:ascii="Bookman Old Style" w:hAnsi="Bookman Old Style" w:cs="Tahoma"/>
          <w:color w:val="000000" w:themeColor="text1"/>
          <w:sz w:val="24"/>
          <w:szCs w:val="24"/>
        </w:rPr>
        <w:t xml:space="preserve">de Empresas de Servicios Públicos y Comunicaciones ANDESCO (E-2020-012223), </w:t>
      </w:r>
      <w:r w:rsidR="00227E8B">
        <w:rPr>
          <w:rFonts w:ascii="Bookman Old Style" w:hAnsi="Bookman Old Style" w:cs="Tahoma"/>
          <w:color w:val="000000" w:themeColor="text1"/>
          <w:sz w:val="24"/>
          <w:szCs w:val="24"/>
        </w:rPr>
        <w:t>Empresa de Interconexión Eléctrica ISA (E-2020-01</w:t>
      </w:r>
      <w:r w:rsidR="00F044C2">
        <w:rPr>
          <w:rFonts w:ascii="Bookman Old Style" w:hAnsi="Bookman Old Style" w:cs="Tahoma"/>
          <w:color w:val="000000" w:themeColor="text1"/>
          <w:sz w:val="24"/>
          <w:szCs w:val="24"/>
        </w:rPr>
        <w:t>2242)</w:t>
      </w:r>
      <w:r w:rsidRPr="3A847AB4">
        <w:rPr>
          <w:rFonts w:ascii="Bookman Old Style" w:hAnsi="Bookman Old Style" w:cs="Tahoma"/>
          <w:color w:val="000000" w:themeColor="text1"/>
          <w:sz w:val="24"/>
          <w:szCs w:val="24"/>
        </w:rPr>
        <w:t>.</w:t>
      </w:r>
    </w:p>
    <w:p w14:paraId="272EEAFD" w14:textId="77777777" w:rsidR="00395A61" w:rsidRDefault="00395A61" w:rsidP="749B9ABB">
      <w:pPr>
        <w:pStyle w:val="Textosinformato"/>
        <w:spacing w:line="240" w:lineRule="auto"/>
        <w:rPr>
          <w:rFonts w:ascii="Bookman Old Style" w:hAnsi="Bookman Old Style" w:cs="Tahoma"/>
          <w:color w:val="000000" w:themeColor="text1"/>
          <w:sz w:val="24"/>
          <w:szCs w:val="24"/>
        </w:rPr>
      </w:pPr>
    </w:p>
    <w:p w14:paraId="45707DA7" w14:textId="0FF6D10A" w:rsidR="00331E07" w:rsidRDefault="00331E07" w:rsidP="00331E07">
      <w:pPr>
        <w:ind w:left="0"/>
        <w:contextualSpacing/>
        <w:jc w:val="both"/>
        <w:rPr>
          <w:rFonts w:ascii="Bookman Old Style" w:hAnsi="Bookman Old Style"/>
          <w:lang w:val="es-CO"/>
        </w:rPr>
      </w:pPr>
      <w:r w:rsidRPr="006F3DAD">
        <w:rPr>
          <w:rFonts w:ascii="Bookman Old Style" w:hAnsi="Bookman Old Style"/>
          <w:lang w:val="es-CO"/>
        </w:rPr>
        <w:t>Con base en lo establecido en el artículo 4 del Decreto 2897 de 2010</w:t>
      </w:r>
      <w:r w:rsidR="00DA416F">
        <w:rPr>
          <w:rFonts w:ascii="Bookman Old Style" w:hAnsi="Bookman Old Style"/>
          <w:lang w:val="es-CO"/>
        </w:rPr>
        <w:t>,</w:t>
      </w:r>
      <w:r w:rsidR="08202477" w:rsidRPr="6455B2CE">
        <w:rPr>
          <w:rFonts w:ascii="Bookman Old Style" w:hAnsi="Bookman Old Style"/>
          <w:lang w:val="es-CO"/>
        </w:rPr>
        <w:t xml:space="preserve"> compilado</w:t>
      </w:r>
      <w:r w:rsidR="6B389CD1" w:rsidRPr="6455B2CE">
        <w:rPr>
          <w:rFonts w:ascii="Bookman Old Style" w:hAnsi="Bookman Old Style"/>
          <w:lang w:val="es-CO"/>
        </w:rPr>
        <w:t xml:space="preserve"> en el Decreto 1074 de 2015</w:t>
      </w:r>
      <w:r w:rsidRPr="006F3DAD">
        <w:rPr>
          <w:rFonts w:ascii="Bookman Old Style" w:hAnsi="Bookman Old Style"/>
          <w:lang w:val="es-CO"/>
        </w:rPr>
        <w:t>, reglamentario de la Ley 1340 de 2009, se respondió el cuestionario establecido por la Superintendencia de Industria y Comercio para efectos de evaluar la incidencia sobre la libre competencia de los mercados, donde</w:t>
      </w:r>
      <w:r>
        <w:rPr>
          <w:rFonts w:ascii="Bookman Old Style" w:hAnsi="Bookman Old Style"/>
          <w:lang w:val="es-CO"/>
        </w:rPr>
        <w:t>,</w:t>
      </w:r>
      <w:r w:rsidRPr="006F3DAD">
        <w:rPr>
          <w:rFonts w:ascii="Bookman Old Style" w:hAnsi="Bookman Old Style"/>
          <w:lang w:val="es-CO"/>
        </w:rPr>
        <w:t xml:space="preserve"> aplicando las reglas allí previstas, la respuesta al conjunto de preguntas fue negativa, en la medida en que no plantea ninguna restricción indebida a la libre competencia.</w:t>
      </w:r>
    </w:p>
    <w:p w14:paraId="0ABE2DE6" w14:textId="77777777" w:rsidR="001F5810" w:rsidRDefault="001F5810" w:rsidP="00331E07">
      <w:pPr>
        <w:ind w:left="0"/>
        <w:contextualSpacing/>
        <w:jc w:val="both"/>
        <w:rPr>
          <w:rFonts w:ascii="Bookman Old Style" w:eastAsia="Bookman Old Style" w:hAnsi="Bookman Old Style"/>
          <w:lang w:val="es-CO"/>
        </w:rPr>
      </w:pPr>
    </w:p>
    <w:p w14:paraId="157E2615" w14:textId="78F8FE9C" w:rsidR="000776BE" w:rsidRDefault="521C4B69" w:rsidP="000776BE">
      <w:pPr>
        <w:pStyle w:val="Textosinformato"/>
        <w:spacing w:line="240" w:lineRule="auto"/>
        <w:rPr>
          <w:rFonts w:ascii="Bookman Old Style" w:hAnsi="Bookman Old Style" w:cs="Tahoma"/>
          <w:sz w:val="24"/>
          <w:szCs w:val="24"/>
          <w:highlight w:val="yellow"/>
        </w:rPr>
      </w:pPr>
      <w:r w:rsidRPr="3A847AB4">
        <w:rPr>
          <w:rFonts w:ascii="Bookman Old Style" w:hAnsi="Bookman Old Style" w:cs="Tahoma"/>
          <w:color w:val="000000" w:themeColor="text1"/>
          <w:sz w:val="24"/>
          <w:szCs w:val="24"/>
        </w:rPr>
        <w:t xml:space="preserve">Que la Comisión de Regulación de Energía y Gas, en sesión </w:t>
      </w:r>
      <w:r w:rsidR="00344E7D">
        <w:rPr>
          <w:rFonts w:ascii="Bookman Old Style" w:hAnsi="Bookman Old Style" w:cs="Tahoma"/>
          <w:color w:val="000000" w:themeColor="text1"/>
          <w:sz w:val="24"/>
          <w:szCs w:val="24"/>
        </w:rPr>
        <w:t>1075</w:t>
      </w:r>
      <w:r w:rsidR="007413C6" w:rsidRPr="3A847AB4">
        <w:rPr>
          <w:rFonts w:ascii="Bookman Old Style" w:hAnsi="Bookman Old Style" w:cs="Tahoma"/>
          <w:color w:val="000000" w:themeColor="text1"/>
          <w:sz w:val="24"/>
          <w:szCs w:val="24"/>
        </w:rPr>
        <w:t xml:space="preserve"> </w:t>
      </w:r>
      <w:r w:rsidR="007D11CA">
        <w:rPr>
          <w:rFonts w:ascii="Bookman Old Style" w:hAnsi="Bookman Old Style" w:cs="Tahoma"/>
          <w:color w:val="000000" w:themeColor="text1"/>
          <w:sz w:val="24"/>
          <w:szCs w:val="24"/>
        </w:rPr>
        <w:t xml:space="preserve">del </w:t>
      </w:r>
      <w:r w:rsidR="00215C1B">
        <w:rPr>
          <w:rFonts w:ascii="Bookman Old Style" w:hAnsi="Bookman Old Style" w:cs="Tahoma"/>
          <w:color w:val="000000" w:themeColor="text1"/>
          <w:sz w:val="24"/>
          <w:szCs w:val="24"/>
        </w:rPr>
        <w:t xml:space="preserve">21 </w:t>
      </w:r>
      <w:r w:rsidR="007D11CA">
        <w:rPr>
          <w:rFonts w:ascii="Bookman Old Style" w:hAnsi="Bookman Old Style" w:cs="Tahoma"/>
          <w:color w:val="000000" w:themeColor="text1"/>
          <w:sz w:val="24"/>
          <w:szCs w:val="24"/>
        </w:rPr>
        <w:t xml:space="preserve">de </w:t>
      </w:r>
      <w:r w:rsidR="004D62F8">
        <w:rPr>
          <w:rFonts w:ascii="Bookman Old Style" w:hAnsi="Bookman Old Style" w:cs="Tahoma"/>
          <w:color w:val="000000" w:themeColor="text1"/>
          <w:sz w:val="24"/>
          <w:szCs w:val="24"/>
        </w:rPr>
        <w:t xml:space="preserve">enero </w:t>
      </w:r>
      <w:r w:rsidR="007D11CA">
        <w:rPr>
          <w:rFonts w:ascii="Bookman Old Style" w:hAnsi="Bookman Old Style" w:cs="Tahoma"/>
          <w:color w:val="000000" w:themeColor="text1"/>
          <w:sz w:val="24"/>
          <w:szCs w:val="24"/>
        </w:rPr>
        <w:t>de 202</w:t>
      </w:r>
      <w:r w:rsidR="004D62F8">
        <w:rPr>
          <w:rFonts w:ascii="Bookman Old Style" w:hAnsi="Bookman Old Style" w:cs="Tahoma"/>
          <w:color w:val="000000" w:themeColor="text1"/>
          <w:sz w:val="24"/>
          <w:szCs w:val="24"/>
        </w:rPr>
        <w:t>1</w:t>
      </w:r>
      <w:r w:rsidR="007D11CA">
        <w:rPr>
          <w:rFonts w:ascii="Bookman Old Style" w:hAnsi="Bookman Old Style" w:cs="Tahoma"/>
          <w:color w:val="000000" w:themeColor="text1"/>
          <w:sz w:val="24"/>
          <w:szCs w:val="24"/>
        </w:rPr>
        <w:t xml:space="preserve">, </w:t>
      </w:r>
      <w:r w:rsidRPr="3A847AB4">
        <w:rPr>
          <w:rFonts w:ascii="Bookman Old Style" w:hAnsi="Bookman Old Style" w:cs="Tahoma"/>
          <w:color w:val="000000" w:themeColor="text1"/>
          <w:sz w:val="24"/>
          <w:szCs w:val="24"/>
        </w:rPr>
        <w:t>deci</w:t>
      </w:r>
      <w:r w:rsidR="003D5E52">
        <w:rPr>
          <w:rFonts w:ascii="Bookman Old Style" w:hAnsi="Bookman Old Style" w:cs="Tahoma"/>
          <w:color w:val="000000" w:themeColor="text1"/>
          <w:sz w:val="24"/>
          <w:szCs w:val="24"/>
        </w:rPr>
        <w:t>di</w:t>
      </w:r>
      <w:r w:rsidRPr="3A847AB4">
        <w:rPr>
          <w:rFonts w:ascii="Bookman Old Style" w:hAnsi="Bookman Old Style" w:cs="Tahoma"/>
          <w:color w:val="000000" w:themeColor="text1"/>
          <w:sz w:val="24"/>
          <w:szCs w:val="24"/>
        </w:rPr>
        <w:t>ó aprobar la presente resolución.</w:t>
      </w:r>
      <w:r w:rsidR="003D5E52">
        <w:rPr>
          <w:rFonts w:ascii="Bookman Old Style" w:hAnsi="Bookman Old Style" w:cs="Tahoma"/>
          <w:color w:val="000000" w:themeColor="text1"/>
          <w:sz w:val="24"/>
          <w:szCs w:val="24"/>
        </w:rPr>
        <w:t xml:space="preserve"> En consecuencia, </w:t>
      </w:r>
    </w:p>
    <w:p w14:paraId="7E5CA265" w14:textId="15F66D03" w:rsidR="005647AF" w:rsidRDefault="005647AF" w:rsidP="000776BE">
      <w:pPr>
        <w:pStyle w:val="Textosinformato"/>
        <w:spacing w:line="240" w:lineRule="auto"/>
        <w:rPr>
          <w:rFonts w:ascii="Bookman Old Style" w:hAnsi="Bookman Old Style" w:cs="Tahoma"/>
          <w:sz w:val="24"/>
          <w:szCs w:val="24"/>
          <w:highlight w:val="yellow"/>
        </w:rPr>
      </w:pPr>
    </w:p>
    <w:p w14:paraId="29C0B9DF" w14:textId="77777777" w:rsidR="005647AF" w:rsidRPr="005358DC" w:rsidRDefault="005647AF" w:rsidP="000776BE">
      <w:pPr>
        <w:pStyle w:val="Textosinformato"/>
        <w:spacing w:line="240" w:lineRule="auto"/>
        <w:rPr>
          <w:rFonts w:ascii="Bookman Old Style" w:hAnsi="Bookman Old Style" w:cs="Tahoma"/>
          <w:sz w:val="24"/>
          <w:szCs w:val="24"/>
          <w:highlight w:val="yellow"/>
        </w:rPr>
      </w:pPr>
    </w:p>
    <w:p w14:paraId="07918AC6" w14:textId="77777777" w:rsidR="000776BE" w:rsidRPr="00F340A2" w:rsidRDefault="000776BE" w:rsidP="000776BE">
      <w:pPr>
        <w:suppressAutoHyphens/>
        <w:ind w:left="0"/>
        <w:jc w:val="center"/>
        <w:rPr>
          <w:rFonts w:ascii="Bookman Old Style" w:hAnsi="Bookman Old Style"/>
          <w:spacing w:val="-3"/>
        </w:rPr>
      </w:pPr>
      <w:r w:rsidRPr="00F340A2">
        <w:rPr>
          <w:rFonts w:ascii="Bookman Old Style" w:hAnsi="Bookman Old Style"/>
          <w:b/>
          <w:spacing w:val="-3"/>
        </w:rPr>
        <w:t>R E S U E L V E:</w:t>
      </w:r>
    </w:p>
    <w:p w14:paraId="44D3FEB6" w14:textId="61A7792D" w:rsidR="005647AF" w:rsidRDefault="005647AF" w:rsidP="00A51256">
      <w:pPr>
        <w:pStyle w:val="Textosinformato"/>
        <w:spacing w:line="240" w:lineRule="auto"/>
        <w:rPr>
          <w:rFonts w:ascii="Bookman Old Style" w:hAnsi="Bookman Old Style" w:cs="Tahoma"/>
          <w:sz w:val="24"/>
          <w:szCs w:val="24"/>
          <w:highlight w:val="yellow"/>
        </w:rPr>
      </w:pPr>
      <w:bookmarkStart w:id="1" w:name="_Ref164237694"/>
    </w:p>
    <w:p w14:paraId="70E09307" w14:textId="77777777" w:rsidR="005647AF" w:rsidRPr="00A51256" w:rsidRDefault="005647AF" w:rsidP="00A51256">
      <w:pPr>
        <w:pStyle w:val="Textosinformato"/>
        <w:spacing w:line="240" w:lineRule="auto"/>
        <w:rPr>
          <w:rFonts w:ascii="Bookman Old Style" w:hAnsi="Bookman Old Style" w:cs="Tahoma"/>
          <w:sz w:val="24"/>
          <w:szCs w:val="24"/>
          <w:highlight w:val="yellow"/>
        </w:rPr>
      </w:pPr>
    </w:p>
    <w:p w14:paraId="1F910FA2" w14:textId="285FC5A9" w:rsidR="000776BE" w:rsidRPr="00DC3F2D" w:rsidRDefault="000776BE" w:rsidP="004214F7">
      <w:pPr>
        <w:pStyle w:val="Textodebloque"/>
        <w:widowControl w:val="0"/>
        <w:tabs>
          <w:tab w:val="left" w:pos="8789"/>
        </w:tabs>
        <w:suppressAutoHyphens w:val="0"/>
        <w:adjustRightInd w:val="0"/>
        <w:spacing w:after="0"/>
        <w:ind w:left="0" w:right="51"/>
        <w:textAlignment w:val="baseline"/>
        <w:outlineLvl w:val="0"/>
        <w:rPr>
          <w:rFonts w:cs="Arial"/>
          <w:szCs w:val="24"/>
          <w:lang w:val="es-ES"/>
        </w:rPr>
      </w:pPr>
      <w:r w:rsidRPr="00F340A2">
        <w:rPr>
          <w:rFonts w:ascii="Bookman Old Style" w:hAnsi="Bookman Old Style" w:cs="Arial"/>
          <w:b/>
          <w:szCs w:val="24"/>
        </w:rPr>
        <w:t>ARTÍCULO 1</w:t>
      </w:r>
      <w:r w:rsidRPr="00F340A2">
        <w:rPr>
          <w:rFonts w:ascii="Bookman Old Style" w:hAnsi="Bookman Old Style" w:cs="Arial"/>
          <w:szCs w:val="24"/>
        </w:rPr>
        <w:t xml:space="preserve">. </w:t>
      </w:r>
      <w:r w:rsidR="003D5E52" w:rsidRPr="00331614">
        <w:rPr>
          <w:rFonts w:ascii="Bookman Old Style" w:hAnsi="Bookman Old Style" w:cs="Arial"/>
          <w:b/>
          <w:bCs/>
          <w:szCs w:val="24"/>
        </w:rPr>
        <w:t>Objeto.</w:t>
      </w:r>
      <w:r w:rsidR="003D5E52">
        <w:rPr>
          <w:b/>
          <w:bCs/>
        </w:rPr>
        <w:t xml:space="preserve"> </w:t>
      </w:r>
      <w:r w:rsidRPr="00F340A2">
        <w:rPr>
          <w:rFonts w:ascii="Bookman Old Style" w:hAnsi="Bookman Old Style" w:cs="Arial"/>
          <w:szCs w:val="24"/>
        </w:rPr>
        <w:t xml:space="preserve">La presente resolución tiene como objeto establecer </w:t>
      </w:r>
      <w:bookmarkEnd w:id="1"/>
      <w:r w:rsidR="00DC3F2D">
        <w:rPr>
          <w:rFonts w:ascii="Bookman Old Style" w:hAnsi="Bookman Old Style" w:cs="Arial"/>
          <w:szCs w:val="24"/>
        </w:rPr>
        <w:t xml:space="preserve">el procedimiento de </w:t>
      </w:r>
      <w:r w:rsidRPr="00F340A2">
        <w:rPr>
          <w:rFonts w:ascii="Bookman Old Style" w:hAnsi="Bookman Old Style" w:cs="Arial"/>
          <w:szCs w:val="24"/>
        </w:rPr>
        <w:t xml:space="preserve">cálculo de la tasa de descuento </w:t>
      </w:r>
      <w:r w:rsidRPr="00F340A2">
        <w:rPr>
          <w:rFonts w:ascii="Bookman Old Style" w:hAnsi="Bookman Old Style"/>
          <w:szCs w:val="24"/>
        </w:rPr>
        <w:t>aplica</w:t>
      </w:r>
      <w:r w:rsidR="00596632">
        <w:rPr>
          <w:rFonts w:ascii="Bookman Old Style" w:hAnsi="Bookman Old Style"/>
          <w:szCs w:val="24"/>
        </w:rPr>
        <w:t>ble</w:t>
      </w:r>
      <w:r w:rsidRPr="00F340A2">
        <w:rPr>
          <w:rFonts w:ascii="Bookman Old Style" w:hAnsi="Bookman Old Style"/>
          <w:szCs w:val="24"/>
        </w:rPr>
        <w:t xml:space="preserve"> </w:t>
      </w:r>
      <w:r w:rsidR="00DC3F2D">
        <w:rPr>
          <w:rFonts w:ascii="Bookman Old Style" w:hAnsi="Bookman Old Style"/>
          <w:szCs w:val="24"/>
        </w:rPr>
        <w:t>en</w:t>
      </w:r>
      <w:r w:rsidR="00DC3F2D" w:rsidRPr="00DC3F2D">
        <w:rPr>
          <w:rFonts w:ascii="Bookman Old Style" w:hAnsi="Bookman Old Style" w:cs="Arial"/>
          <w:szCs w:val="24"/>
        </w:rPr>
        <w:t xml:space="preserve"> las metodologías tarifarias que expide la Comisión de Regulación de Energía y Gas</w:t>
      </w:r>
      <w:r w:rsidR="00DE51C9">
        <w:rPr>
          <w:rFonts w:ascii="Bookman Old Style" w:hAnsi="Bookman Old Style" w:cs="Arial"/>
          <w:szCs w:val="24"/>
        </w:rPr>
        <w:t xml:space="preserve"> para las actividades que regula.</w:t>
      </w:r>
    </w:p>
    <w:p w14:paraId="39EC6B7D" w14:textId="77777777" w:rsidR="005C2CDE" w:rsidRPr="00063C4E" w:rsidRDefault="005C2CDE" w:rsidP="000776BE">
      <w:pPr>
        <w:ind w:left="0"/>
        <w:jc w:val="both"/>
        <w:rPr>
          <w:rFonts w:ascii="Bookman Old Style" w:hAnsi="Bookman Old Style" w:cs="Arial"/>
          <w:lang w:val="es-CO"/>
        </w:rPr>
      </w:pPr>
      <w:bookmarkStart w:id="2" w:name="_Ref30434909"/>
    </w:p>
    <w:p w14:paraId="5F31E132" w14:textId="67601EDD" w:rsidR="005C2CDE" w:rsidRPr="00245EF3" w:rsidRDefault="000776BE" w:rsidP="00245EF3">
      <w:pPr>
        <w:pStyle w:val="Ttulo1"/>
        <w:ind w:left="0"/>
        <w:jc w:val="both"/>
        <w:rPr>
          <w:rFonts w:ascii="Bookman Old Style" w:hAnsi="Bookman Old Style" w:cs="Arial"/>
          <w:b w:val="0"/>
          <w:bCs/>
        </w:rPr>
      </w:pPr>
      <w:r w:rsidRPr="00F340A2">
        <w:rPr>
          <w:rFonts w:ascii="Bookman Old Style" w:hAnsi="Bookman Old Style" w:cs="Arial"/>
        </w:rPr>
        <w:t xml:space="preserve">ARTÍCULO </w:t>
      </w:r>
      <w:r w:rsidR="00596632">
        <w:rPr>
          <w:rFonts w:ascii="Bookman Old Style" w:hAnsi="Bookman Old Style" w:cs="Arial"/>
        </w:rPr>
        <w:t>2</w:t>
      </w:r>
      <w:r w:rsidRPr="00F340A2">
        <w:rPr>
          <w:rFonts w:ascii="Bookman Old Style" w:hAnsi="Bookman Old Style" w:cs="Arial"/>
        </w:rPr>
        <w:t xml:space="preserve">. </w:t>
      </w:r>
      <w:r w:rsidR="003B2174">
        <w:rPr>
          <w:rFonts w:ascii="Bookman Old Style" w:hAnsi="Bookman Old Style" w:cs="Arial"/>
        </w:rPr>
        <w:t>Fórmula</w:t>
      </w:r>
      <w:r w:rsidR="003B2174" w:rsidRPr="00F340A2">
        <w:rPr>
          <w:rFonts w:ascii="Bookman Old Style" w:hAnsi="Bookman Old Style" w:cs="Arial"/>
        </w:rPr>
        <w:t xml:space="preserve"> </w:t>
      </w:r>
      <w:r w:rsidRPr="00F340A2">
        <w:rPr>
          <w:rFonts w:ascii="Bookman Old Style" w:hAnsi="Bookman Old Style" w:cs="Arial"/>
        </w:rPr>
        <w:t xml:space="preserve">de cálculo de la tasa de descuento en pesos. </w:t>
      </w:r>
      <w:r w:rsidR="005C2CDE" w:rsidRPr="00245EF3">
        <w:rPr>
          <w:rFonts w:ascii="Bookman Old Style" w:hAnsi="Bookman Old Style"/>
          <w:b w:val="0"/>
          <w:bCs/>
        </w:rPr>
        <w:t>Tasa</w:t>
      </w:r>
      <w:r w:rsidR="006D55BF">
        <w:rPr>
          <w:rFonts w:ascii="Bookman Old Style" w:hAnsi="Bookman Old Style"/>
          <w:b w:val="0"/>
          <w:bCs/>
        </w:rPr>
        <w:t xml:space="preserve"> </w:t>
      </w:r>
      <w:r w:rsidR="005C2CDE" w:rsidRPr="00245EF3">
        <w:rPr>
          <w:rFonts w:ascii="Bookman Old Style" w:hAnsi="Bookman Old Style"/>
          <w:b w:val="0"/>
          <w:bCs/>
        </w:rPr>
        <w:t>calculada a partir de la estimación del costo promedio ponderado de capital (WACC por sus siglas en inglés)</w:t>
      </w:r>
      <w:r w:rsidR="005C2CDE" w:rsidRPr="00245EF3">
        <w:rPr>
          <w:rFonts w:ascii="Bookman Old Style" w:hAnsi="Bookman Old Style" w:cs="Arial"/>
          <w:b w:val="0"/>
          <w:bCs/>
        </w:rPr>
        <w:t>,</w:t>
      </w:r>
      <w:r w:rsidR="005C2CDE" w:rsidRPr="00245EF3">
        <w:rPr>
          <w:rFonts w:ascii="Bookman Old Style" w:hAnsi="Bookman Old Style"/>
          <w:b w:val="0"/>
          <w:bCs/>
        </w:rPr>
        <w:t xml:space="preserve"> en términos constantes y antes de impuestos.</w:t>
      </w:r>
      <w:r w:rsidR="00752DE3" w:rsidRPr="00245EF3">
        <w:rPr>
          <w:rFonts w:ascii="Bookman Old Style" w:hAnsi="Bookman Old Style"/>
          <w:b w:val="0"/>
          <w:bCs/>
        </w:rPr>
        <w:t xml:space="preserve"> Para el cálculo de la tasa de descuento en pesos </w:t>
      </w:r>
      <w:r w:rsidR="00245EF3" w:rsidRPr="00245EF3">
        <w:rPr>
          <w:rFonts w:ascii="Bookman Old Style" w:hAnsi="Bookman Old Style"/>
          <w:b w:val="0"/>
          <w:bCs/>
        </w:rPr>
        <w:t xml:space="preserve">se </w:t>
      </w:r>
      <w:r w:rsidR="00752DE3" w:rsidRPr="00245EF3">
        <w:rPr>
          <w:rFonts w:ascii="Bookman Old Style" w:hAnsi="Bookman Old Style"/>
          <w:b w:val="0"/>
          <w:bCs/>
        </w:rPr>
        <w:t>aplicará la siguiente fórmula</w:t>
      </w:r>
      <w:r w:rsidR="00245EF3" w:rsidRPr="00245EF3">
        <w:rPr>
          <w:rFonts w:ascii="Bookman Old Style" w:hAnsi="Bookman Old Style"/>
          <w:b w:val="0"/>
          <w:bCs/>
        </w:rPr>
        <w:t>:</w:t>
      </w:r>
    </w:p>
    <w:p w14:paraId="4FED5466" w14:textId="77777777" w:rsidR="005C2CDE" w:rsidRPr="00B1564F" w:rsidRDefault="005C2CDE" w:rsidP="000776BE">
      <w:pPr>
        <w:ind w:left="0"/>
        <w:jc w:val="both"/>
        <w:rPr>
          <w:rFonts w:ascii="Bookman Old Style" w:hAnsi="Bookman Old Style" w:cs="Arial"/>
          <w:sz w:val="36"/>
          <w:szCs w:val="36"/>
        </w:rPr>
      </w:pPr>
    </w:p>
    <w:p w14:paraId="6492DC57" w14:textId="4B84A663" w:rsidR="00630AEB" w:rsidRDefault="00CD23BF" w:rsidP="000776BE">
      <w:pPr>
        <w:ind w:left="0"/>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TD_cop</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hAnsi="Cambria Math" w:cs="Arial"/>
                  <w:color w:val="000000" w:themeColor="text1"/>
                  <w:kern w:val="24"/>
                </w:rPr>
                <m:t>WACC_</m:t>
              </m:r>
              <m:sSub>
                <m:sSubPr>
                  <m:ctrlPr>
                    <w:rPr>
                      <w:rFonts w:ascii="Cambria Math" w:hAnsi="Cambria Math" w:cs="Arial"/>
                      <w:color w:val="000000" w:themeColor="text1"/>
                      <w:kern w:val="24"/>
                    </w:rPr>
                  </m:ctrlPr>
                </m:sSubPr>
                <m:e>
                  <m:r>
                    <m:rPr>
                      <m:sty m:val="p"/>
                    </m:rPr>
                    <w:rPr>
                      <w:rFonts w:ascii="Cambria Math" w:hAnsi="Cambria Math" w:cs="Arial"/>
                      <w:color w:val="000000" w:themeColor="text1"/>
                      <w:kern w:val="24"/>
                    </w:rPr>
                    <m:t>cop</m:t>
                  </m:r>
                </m:e>
                <m:sub>
                  <m:r>
                    <m:rPr>
                      <m:sty m:val="p"/>
                    </m:rPr>
                    <w:rPr>
                      <w:rFonts w:ascii="Cambria Math" w:hAnsi="Cambria Math" w:cs="Arial"/>
                      <w:color w:val="000000" w:themeColor="text1"/>
                      <w:kern w:val="24"/>
                    </w:rPr>
                    <m:t>a,τ,ai</m:t>
                  </m:r>
                </m:sub>
              </m:sSub>
              <m: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π_cop</m:t>
                  </m:r>
                </m:e>
                <m:sub>
                  <m:r>
                    <m:rPr>
                      <m:sty m:val="p"/>
                    </m:rPr>
                    <w:rPr>
                      <w:rFonts w:ascii="Cambria Math" w:eastAsia="Cambria Math" w:hAnsi="Cambria Math" w:cs="Arial"/>
                      <w:color w:val="000000" w:themeColor="text1"/>
                      <w:kern w:val="24"/>
                    </w:rPr>
                    <m:t>τ</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π_cop</m:t>
                  </m:r>
                </m:e>
                <m:sub>
                  <m:r>
                    <m:rPr>
                      <m:sty m:val="p"/>
                    </m:rPr>
                    <w:rPr>
                      <w:rFonts w:ascii="Cambria Math" w:eastAsia="Cambria Math" w:hAnsi="Cambria Math" w:cs="Arial"/>
                      <w:color w:val="000000" w:themeColor="text1"/>
                      <w:kern w:val="24"/>
                    </w:rPr>
                    <m:t>τ</m:t>
                  </m:r>
                </m:sub>
              </m:sSub>
            </m:den>
          </m:f>
        </m:oMath>
      </m:oMathPara>
    </w:p>
    <w:p w14:paraId="1A6963EC" w14:textId="77777777" w:rsidR="000776BE" w:rsidRPr="00F340A2" w:rsidRDefault="000776BE" w:rsidP="000776BE">
      <w:pPr>
        <w:ind w:left="0"/>
        <w:contextualSpacing/>
        <w:jc w:val="both"/>
        <w:rPr>
          <w:rFonts w:ascii="Bookman Old Style" w:hAnsi="Bookman Old Style" w:cs="Arial"/>
        </w:rPr>
      </w:pPr>
    </w:p>
    <w:p w14:paraId="582B189E" w14:textId="165F6EA3" w:rsidR="000776BE" w:rsidRPr="00F340A2" w:rsidRDefault="00316BF6"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085C54F8" w14:textId="77777777" w:rsidR="000776BE" w:rsidRPr="00F340A2" w:rsidRDefault="000776BE" w:rsidP="000776BE">
      <w:pPr>
        <w:ind w:left="0"/>
        <w:rPr>
          <w:rFonts w:ascii="Bookman Old Style" w:hAnsi="Bookman Old Style"/>
          <w:lang w:val="es-ES_tradnl"/>
        </w:rPr>
      </w:pPr>
    </w:p>
    <w:tbl>
      <w:tblPr>
        <w:tblStyle w:val="Tablaconcuadrcula"/>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284"/>
        <w:gridCol w:w="7371"/>
      </w:tblGrid>
      <w:tr w:rsidR="000776BE" w:rsidRPr="00F340A2" w14:paraId="55811758" w14:textId="77777777" w:rsidTr="00786F06">
        <w:tc>
          <w:tcPr>
            <w:tcW w:w="1843" w:type="dxa"/>
          </w:tcPr>
          <w:p w14:paraId="59347354" w14:textId="0F22248E" w:rsidR="000776BE" w:rsidRPr="002F139A" w:rsidRDefault="00CD23BF" w:rsidP="00F67EAC">
            <w:pPr>
              <w:ind w:left="0"/>
              <w:rPr>
                <w:rFonts w:ascii="Bookman Old Style" w:hAnsi="Bookman Old Style"/>
                <w:b/>
                <w:bCs/>
                <w:lang w:val="es-ES_tradnl"/>
              </w:rPr>
            </w:pPr>
            <m:oMathPara>
              <m:oMathParaPr>
                <m:jc m:val="left"/>
              </m:oMathParaPr>
              <m:oMath>
                <m:sSubSup>
                  <m:sSubSupPr>
                    <m:ctrlPr>
                      <w:rPr>
                        <w:rFonts w:ascii="Cambria Math" w:hAnsi="Cambria Math" w:cs="Arial"/>
                        <w:b/>
                        <w:bCs/>
                        <w:color w:val="000000" w:themeColor="text1"/>
                        <w:kern w:val="24"/>
                      </w:rPr>
                    </m:ctrlPr>
                  </m:sSubSupPr>
                  <m:e>
                    <m:r>
                      <m:rPr>
                        <m:sty m:val="b"/>
                      </m:rPr>
                      <w:rPr>
                        <w:rFonts w:ascii="Cambria Math" w:hAnsi="Cambria Math" w:cs="Arial"/>
                        <w:color w:val="000000" w:themeColor="text1"/>
                        <w:kern w:val="24"/>
                      </w:rPr>
                      <m:t>TD_cop</m:t>
                    </m:r>
                  </m:e>
                  <m:sub>
                    <m:r>
                      <m:rPr>
                        <m:sty m:val="b"/>
                      </m:rPr>
                      <w:rPr>
                        <w:rFonts w:ascii="Cambria Math" w:hAnsi="Cambria Math" w:cs="Arial"/>
                        <w:color w:val="000000" w:themeColor="text1"/>
                        <w:kern w:val="24"/>
                      </w:rPr>
                      <m:t>a,τ,ai</m:t>
                    </m:r>
                  </m:sub>
                  <m:sup>
                    <m:r>
                      <m:rPr>
                        <m:sty m:val="bi"/>
                      </m:rPr>
                      <w:rPr>
                        <w:rFonts w:ascii="Cambria Math" w:hAnsi="Cambria Math" w:cs="Arial"/>
                        <w:color w:val="000000" w:themeColor="text1"/>
                        <w:kern w:val="24"/>
                      </w:rPr>
                      <m:t xml:space="preserve">   </m:t>
                    </m:r>
                  </m:sup>
                </m:sSubSup>
              </m:oMath>
            </m:oMathPara>
          </w:p>
        </w:tc>
        <w:tc>
          <w:tcPr>
            <w:tcW w:w="284" w:type="dxa"/>
          </w:tcPr>
          <w:p w14:paraId="4C39310F" w14:textId="77777777" w:rsidR="000776BE" w:rsidRPr="00F340A2" w:rsidRDefault="000776BE" w:rsidP="00F67EAC">
            <w:pPr>
              <w:ind w:left="0"/>
              <w:jc w:val="both"/>
              <w:rPr>
                <w:rFonts w:ascii="Bookman Old Style" w:hAnsi="Bookman Old Style"/>
                <w:b/>
                <w:lang w:val="es-ES_tradnl"/>
              </w:rPr>
            </w:pPr>
            <w:r w:rsidRPr="00F340A2">
              <w:rPr>
                <w:rFonts w:ascii="Bookman Old Style" w:hAnsi="Bookman Old Style"/>
                <w:b/>
                <w:lang w:val="es-ES_tradnl"/>
              </w:rPr>
              <w:t>:</w:t>
            </w:r>
          </w:p>
        </w:tc>
        <w:tc>
          <w:tcPr>
            <w:tcW w:w="7371" w:type="dxa"/>
            <w:vAlign w:val="center"/>
          </w:tcPr>
          <w:p w14:paraId="491BFA98" w14:textId="3B3CC0A5"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T</w:t>
            </w:r>
            <w:r w:rsidRPr="00F340A2">
              <w:rPr>
                <w:rFonts w:ascii="Bookman Old Style" w:hAnsi="Bookman Old Style" w:cs="Arial"/>
              </w:rPr>
              <w:t xml:space="preserve">asa de descuento antes de impuestos </w:t>
            </w:r>
            <w:r w:rsidR="00123466">
              <w:rPr>
                <w:rFonts w:ascii="Bookman Old Style" w:hAnsi="Bookman Old Style" w:cs="Arial"/>
              </w:rPr>
              <w:t xml:space="preserve">(ai) </w:t>
            </w:r>
            <w:r w:rsidRPr="00F340A2">
              <w:rPr>
                <w:rFonts w:ascii="Bookman Old Style" w:hAnsi="Bookman Old Style" w:cs="Arial"/>
              </w:rPr>
              <w:t xml:space="preserve">y en pesos constantes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rPr>
                <m:t>τ</m:t>
              </m:r>
            </m:oMath>
            <w:r w:rsidRPr="00F340A2">
              <w:rPr>
                <w:rFonts w:ascii="Bookman Old Style" w:hAnsi="Bookman Old Style" w:cs="Arial"/>
              </w:rPr>
              <w:t>.</w:t>
            </w:r>
          </w:p>
          <w:p w14:paraId="51697382" w14:textId="77777777" w:rsidR="000776BE" w:rsidRPr="00F340A2" w:rsidRDefault="000776BE" w:rsidP="00F67EAC">
            <w:pPr>
              <w:ind w:left="0"/>
              <w:jc w:val="both"/>
              <w:rPr>
                <w:rFonts w:ascii="Bookman Old Style" w:hAnsi="Bookman Old Style"/>
                <w:lang w:val="es-ES_tradnl"/>
              </w:rPr>
            </w:pPr>
          </w:p>
        </w:tc>
      </w:tr>
      <w:tr w:rsidR="000776BE" w:rsidRPr="00F340A2" w14:paraId="69E5D595" w14:textId="77777777" w:rsidTr="00786F06">
        <w:tc>
          <w:tcPr>
            <w:tcW w:w="1843" w:type="dxa"/>
          </w:tcPr>
          <w:p w14:paraId="546971FF" w14:textId="21DA8969" w:rsidR="000776BE" w:rsidRPr="00CF5751" w:rsidRDefault="00CF5751" w:rsidP="00F67EAC">
            <w:pPr>
              <w:ind w:left="0"/>
              <w:contextualSpacing/>
              <w:rPr>
                <w:rFonts w:ascii="Bookman Old Style" w:hAnsi="Bookman Old Style" w:cs="Arial"/>
                <w:b/>
                <w:bCs/>
              </w:rPr>
            </w:pPr>
            <m:oMathPara>
              <m:oMathParaPr>
                <m:jc m:val="left"/>
              </m:oMathParaPr>
              <m:oMath>
                <m:r>
                  <m:rPr>
                    <m:sty m:val="b"/>
                  </m:rPr>
                  <w:rPr>
                    <w:rFonts w:ascii="Cambria Math" w:hAnsi="Cambria Math" w:cs="Arial"/>
                    <w:color w:val="000000" w:themeColor="text1"/>
                    <w:kern w:val="24"/>
                  </w:rPr>
                  <m:t>WACC_</m:t>
                </m:r>
                <m:sSub>
                  <m:sSubPr>
                    <m:ctrlPr>
                      <w:rPr>
                        <w:rFonts w:ascii="Cambria Math" w:hAnsi="Cambria Math" w:cs="Arial"/>
                        <w:b/>
                        <w:bCs/>
                        <w:color w:val="000000" w:themeColor="text1"/>
                        <w:kern w:val="24"/>
                      </w:rPr>
                    </m:ctrlPr>
                  </m:sSubPr>
                  <m:e>
                    <m:r>
                      <m:rPr>
                        <m:sty m:val="b"/>
                      </m:rPr>
                      <w:rPr>
                        <w:rFonts w:ascii="Cambria Math" w:hAnsi="Cambria Math" w:cs="Arial"/>
                        <w:color w:val="000000" w:themeColor="text1"/>
                        <w:kern w:val="24"/>
                      </w:rPr>
                      <m:t>cop</m:t>
                    </m:r>
                  </m:e>
                  <m:sub>
                    <m:r>
                      <m:rPr>
                        <m:sty m:val="b"/>
                      </m:rPr>
                      <w:rPr>
                        <w:rFonts w:ascii="Cambria Math" w:hAnsi="Cambria Math" w:cs="Arial"/>
                        <w:color w:val="000000" w:themeColor="text1"/>
                        <w:kern w:val="24"/>
                      </w:rPr>
                      <m:t>a,τ,ai</m:t>
                    </m:r>
                  </m:sub>
                </m:sSub>
              </m:oMath>
            </m:oMathPara>
          </w:p>
        </w:tc>
        <w:tc>
          <w:tcPr>
            <w:tcW w:w="284" w:type="dxa"/>
          </w:tcPr>
          <w:p w14:paraId="6C47141B" w14:textId="083F37D7" w:rsidR="000776BE" w:rsidRPr="00395A61" w:rsidRDefault="002F139A" w:rsidP="00F67EAC">
            <w:pPr>
              <w:ind w:left="0"/>
              <w:contextualSpacing/>
              <w:rPr>
                <w:rFonts w:ascii="Bookman Old Style" w:hAnsi="Bookman Old Style" w:cs="Arial"/>
                <w:b/>
                <w:bCs/>
              </w:rPr>
            </w:pPr>
            <w:r w:rsidRPr="00395A61">
              <w:rPr>
                <w:rFonts w:ascii="Bookman Old Style" w:hAnsi="Bookman Old Style"/>
                <w:b/>
                <w:lang w:val="es-ES_tradnl"/>
              </w:rPr>
              <w:t>:</w:t>
            </w:r>
          </w:p>
        </w:tc>
        <w:tc>
          <w:tcPr>
            <w:tcW w:w="7371" w:type="dxa"/>
          </w:tcPr>
          <w:p w14:paraId="7DDB5328" w14:textId="59DD9314" w:rsidR="000776BE" w:rsidRPr="00F340A2" w:rsidRDefault="002F139A" w:rsidP="00F67EAC">
            <w:pPr>
              <w:ind w:left="0"/>
              <w:contextualSpacing/>
              <w:jc w:val="both"/>
              <w:rPr>
                <w:rFonts w:ascii="Bookman Old Style" w:hAnsi="Bookman Old Style" w:cs="Arial"/>
              </w:rPr>
            </w:pPr>
            <w:r>
              <w:rPr>
                <w:rFonts w:ascii="Bookman Old Style" w:hAnsi="Bookman Old Style" w:cs="Arial"/>
              </w:rPr>
              <w:t xml:space="preserve"> </w:t>
            </w:r>
            <w:r w:rsidR="000776BE" w:rsidRPr="00F340A2">
              <w:rPr>
                <w:rFonts w:ascii="Bookman Old Style" w:hAnsi="Bookman Old Style" w:cs="Arial"/>
              </w:rPr>
              <w:t xml:space="preserve">Costo promedio ponderado de capital en pesos </w:t>
            </w:r>
            <w:r w:rsidR="00F459B2">
              <w:rPr>
                <w:rFonts w:ascii="Bookman Old Style" w:hAnsi="Bookman Old Style" w:cs="Arial"/>
              </w:rPr>
              <w:t xml:space="preserve">corrientes </w:t>
            </w:r>
            <w:r w:rsidR="000776BE" w:rsidRPr="00F340A2">
              <w:rPr>
                <w:rFonts w:ascii="Bookman Old Style" w:hAnsi="Bookman Old Style" w:cs="Arial"/>
              </w:rPr>
              <w:t xml:space="preserve">y </w:t>
            </w:r>
            <w:r w:rsidR="00F459B2">
              <w:rPr>
                <w:rFonts w:ascii="Bookman Old Style" w:hAnsi="Bookman Old Style" w:cs="Arial"/>
              </w:rPr>
              <w:t xml:space="preserve">antes </w:t>
            </w:r>
            <w:r w:rsidR="000776BE" w:rsidRPr="00F340A2">
              <w:rPr>
                <w:rFonts w:ascii="Bookman Old Style" w:hAnsi="Bookman Old Style" w:cs="Arial"/>
              </w:rPr>
              <w:t>de impuestos</w:t>
            </w:r>
            <w:r w:rsidR="003C3981">
              <w:rPr>
                <w:rFonts w:ascii="Bookman Old Style" w:hAnsi="Bookman Old Style" w:cs="Arial"/>
              </w:rPr>
              <w:t xml:space="preserve"> (ai)</w:t>
            </w:r>
            <w:r w:rsidR="000776BE" w:rsidRPr="00F340A2">
              <w:rPr>
                <w:rFonts w:ascii="Bookman Old Style" w:hAnsi="Bookman Old Style" w:cs="Arial"/>
              </w:rPr>
              <w:t xml:space="preserve"> para la actividad </w:t>
            </w:r>
            <m:oMath>
              <m:r>
                <m:rPr>
                  <m:sty m:val="p"/>
                </m:rPr>
                <w:rPr>
                  <w:rFonts w:ascii="Cambria Math" w:hAnsi="Cambria Math" w:cs="Arial"/>
                </w:rPr>
                <m:t>a</m:t>
              </m:r>
            </m:oMath>
            <w:r w:rsidR="000776BE" w:rsidRPr="00F340A2">
              <w:rPr>
                <w:rFonts w:ascii="Bookman Old Style" w:hAnsi="Bookman Old Style" w:cs="Arial"/>
              </w:rPr>
              <w:t xml:space="preserve">, en el momento </w:t>
            </w:r>
            <m:oMath>
              <m:r>
                <m:rPr>
                  <m:sty m:val="p"/>
                </m:rPr>
                <w:rPr>
                  <w:rFonts w:ascii="Cambria Math" w:hAnsi="Cambria Math" w:cs="Arial"/>
                </w:rPr>
                <m:t>τ</m:t>
              </m:r>
            </m:oMath>
            <w:r w:rsidR="000776BE" w:rsidRPr="00F340A2">
              <w:rPr>
                <w:rFonts w:ascii="Bookman Old Style" w:hAnsi="Bookman Old Style" w:cs="Arial"/>
              </w:rPr>
              <w:t>.</w:t>
            </w:r>
          </w:p>
          <w:p w14:paraId="62120F67" w14:textId="77777777" w:rsidR="000776BE" w:rsidRPr="00F340A2" w:rsidRDefault="000776BE" w:rsidP="00F67EAC">
            <w:pPr>
              <w:ind w:left="0"/>
              <w:contextualSpacing/>
              <w:jc w:val="both"/>
              <w:rPr>
                <w:rFonts w:ascii="Bookman Old Style" w:hAnsi="Bookman Old Style" w:cs="Arial"/>
                <w:iCs/>
                <w:color w:val="000000" w:themeColor="text1"/>
                <w:kern w:val="24"/>
              </w:rPr>
            </w:pPr>
          </w:p>
        </w:tc>
      </w:tr>
      <w:tr w:rsidR="00CF3130" w:rsidRPr="00F340A2" w14:paraId="1FC86786" w14:textId="77777777" w:rsidTr="00786F06">
        <w:tc>
          <w:tcPr>
            <w:tcW w:w="1843" w:type="dxa"/>
          </w:tcPr>
          <w:p w14:paraId="624244EA" w14:textId="6CE61FE3" w:rsidR="00CF3130" w:rsidRPr="008D4A8F" w:rsidRDefault="00CD23BF" w:rsidP="00CF3130">
            <w:pPr>
              <w:ind w:left="0"/>
              <w:contextualSpacing/>
              <w:rPr>
                <w:b/>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π_cop</m:t>
                    </m:r>
                  </m:e>
                  <m:sub>
                    <m:r>
                      <m:rPr>
                        <m:sty m:val="b"/>
                      </m:rPr>
                      <w:rPr>
                        <w:rFonts w:ascii="Cambria Math" w:eastAsia="Cambria Math" w:hAnsi="Cambria Math" w:cs="Arial"/>
                        <w:color w:val="000000" w:themeColor="text1"/>
                        <w:kern w:val="24"/>
                      </w:rPr>
                      <m:t>τ</m:t>
                    </m:r>
                  </m:sub>
                </m:sSub>
              </m:oMath>
            </m:oMathPara>
          </w:p>
        </w:tc>
        <w:tc>
          <w:tcPr>
            <w:tcW w:w="284" w:type="dxa"/>
          </w:tcPr>
          <w:p w14:paraId="235AC19E" w14:textId="6C6F7EDC" w:rsidR="00CF3130" w:rsidRPr="00F340A2" w:rsidRDefault="00CF3130" w:rsidP="00CF3130">
            <w:pPr>
              <w:ind w:left="0"/>
              <w:contextualSpacing/>
              <w:rPr>
                <w:rFonts w:ascii="Bookman Old Style" w:hAnsi="Bookman Old Style" w:cs="Arial"/>
                <w:b/>
              </w:rPr>
            </w:pPr>
            <w:r w:rsidRPr="00F340A2">
              <w:rPr>
                <w:rFonts w:ascii="Bookman Old Style" w:hAnsi="Bookman Old Style" w:cs="Arial"/>
                <w:b/>
                <w:iCs/>
                <w:color w:val="000000" w:themeColor="text1"/>
                <w:kern w:val="24"/>
              </w:rPr>
              <w:t>:</w:t>
            </w:r>
          </w:p>
        </w:tc>
        <w:tc>
          <w:tcPr>
            <w:tcW w:w="7371" w:type="dxa"/>
          </w:tcPr>
          <w:p w14:paraId="4164378C" w14:textId="1C6D8A2B" w:rsidR="00CF3130" w:rsidRPr="00F340A2" w:rsidRDefault="00CF3130" w:rsidP="00CF3130">
            <w:pPr>
              <w:ind w:left="0"/>
              <w:contextualSpacing/>
              <w:jc w:val="both"/>
              <w:rPr>
                <w:rFonts w:ascii="Bookman Old Style" w:hAnsi="Bookman Old Style" w:cs="Arial"/>
                <w:iCs/>
                <w:color w:val="000000" w:themeColor="text1"/>
                <w:kern w:val="24"/>
              </w:rPr>
            </w:pPr>
            <w:r>
              <w:rPr>
                <w:rFonts w:ascii="Bookman Old Style" w:hAnsi="Bookman Old Style" w:cs="Arial"/>
                <w:iCs/>
                <w:color w:val="000000" w:themeColor="text1"/>
                <w:kern w:val="24"/>
              </w:rPr>
              <w:t xml:space="preserve">Expectativa de </w:t>
            </w:r>
            <w:r w:rsidRPr="00F340A2">
              <w:rPr>
                <w:rFonts w:ascii="Bookman Old Style" w:hAnsi="Bookman Old Style" w:cs="Arial"/>
                <w:iCs/>
                <w:color w:val="000000" w:themeColor="text1"/>
                <w:kern w:val="24"/>
              </w:rPr>
              <w:t xml:space="preserve">inflación en el momento </w:t>
            </w:r>
            <m:oMath>
              <m:r>
                <m:rPr>
                  <m:sty m:val="p"/>
                </m:rPr>
                <w:rPr>
                  <w:rFonts w:ascii="Cambria Math" w:hAnsi="Cambria Math" w:cs="Arial"/>
                </w:rPr>
                <m:t>τ</m:t>
              </m:r>
            </m:oMath>
            <w:r w:rsidRPr="00F340A2">
              <w:rPr>
                <w:rFonts w:ascii="Bookman Old Style" w:hAnsi="Bookman Old Style" w:cs="Arial"/>
                <w:iCs/>
                <w:color w:val="000000" w:themeColor="text1"/>
                <w:kern w:val="24"/>
              </w:rPr>
              <w:t>, calculada como el promedio de los diferenciales entre las tasas de las curvas cero cupón de los títulos de tesorería TES COP y TES UVR</w:t>
            </w:r>
            <w:r w:rsidR="00FE53B8">
              <w:rPr>
                <w:rFonts w:ascii="Bookman Old Style" w:hAnsi="Bookman Old Style" w:cs="Arial"/>
                <w:iCs/>
                <w:color w:val="000000" w:themeColor="text1"/>
                <w:kern w:val="24"/>
              </w:rPr>
              <w:t xml:space="preserve"> (plazo de 3650 días)</w:t>
            </w:r>
            <w:r w:rsidR="00CE6E4B">
              <w:rPr>
                <w:rFonts w:ascii="Bookman Old Style" w:hAnsi="Bookman Old Style" w:cs="Arial"/>
                <w:iCs/>
                <w:color w:val="000000" w:themeColor="text1"/>
                <w:kern w:val="24"/>
              </w:rPr>
              <w:t>,</w:t>
            </w:r>
            <w:r w:rsidR="009E7508">
              <w:rPr>
                <w:rFonts w:ascii="Bookman Old Style" w:hAnsi="Bookman Old Style" w:cs="Arial"/>
                <w:iCs/>
                <w:color w:val="000000" w:themeColor="text1"/>
                <w:kern w:val="24"/>
              </w:rPr>
              <w:t xml:space="preserve"> que se obtienen de la información publicada por </w:t>
            </w:r>
            <w:r w:rsidR="00EE373F">
              <w:rPr>
                <w:rFonts w:ascii="Bookman Old Style" w:hAnsi="Bookman Old Style" w:cs="Arial"/>
                <w:iCs/>
                <w:color w:val="000000" w:themeColor="text1"/>
                <w:kern w:val="24"/>
              </w:rPr>
              <w:t>el Banco de la República</w:t>
            </w:r>
            <w:r w:rsidR="00CE6E4B">
              <w:rPr>
                <w:rFonts w:ascii="Bookman Old Style" w:hAnsi="Bookman Old Style" w:cs="Arial"/>
                <w:iCs/>
                <w:color w:val="000000" w:themeColor="text1"/>
                <w:kern w:val="24"/>
              </w:rPr>
              <w:t>,</w:t>
            </w:r>
            <w:r w:rsidR="00FE53B8">
              <w:rPr>
                <w:rFonts w:ascii="Bookman Old Style" w:hAnsi="Bookman Old Style" w:cs="Arial"/>
                <w:iCs/>
                <w:color w:val="000000" w:themeColor="text1"/>
                <w:kern w:val="24"/>
              </w:rPr>
              <w:t xml:space="preserve"> </w:t>
            </w:r>
            <w:r w:rsidR="00FE53B8">
              <w:rPr>
                <w:rFonts w:ascii="Bookman Old Style" w:hAnsi="Bookman Old Style" w:cs="Arial"/>
              </w:rPr>
              <w:t>considerando</w:t>
            </w:r>
            <w:r w:rsidR="002F139A">
              <w:rPr>
                <w:rFonts w:ascii="Bookman Old Style" w:hAnsi="Bookman Old Style" w:cs="Arial"/>
              </w:rPr>
              <w:t xml:space="preserve"> </w:t>
            </w:r>
            <w:r w:rsidRPr="00595259">
              <w:rPr>
                <w:rFonts w:ascii="Bookman Old Style" w:hAnsi="Bookman Old Style" w:cs="Arial"/>
              </w:rPr>
              <w:t xml:space="preserve">los </w:t>
            </w:r>
            <w:r w:rsidR="00D25A1E">
              <w:rPr>
                <w:rFonts w:ascii="Bookman Old Style" w:hAnsi="Bookman Old Style" w:cs="Arial"/>
              </w:rPr>
              <w:t>sesenta</w:t>
            </w:r>
            <w:r w:rsidRPr="00595259">
              <w:rPr>
                <w:rFonts w:ascii="Bookman Old Style" w:hAnsi="Bookman Old Style" w:cs="Arial"/>
              </w:rPr>
              <w:t xml:space="preserve"> (</w:t>
            </w:r>
            <w:r w:rsidR="00D25A1E">
              <w:rPr>
                <w:rFonts w:ascii="Bookman Old Style" w:hAnsi="Bookman Old Style" w:cs="Arial"/>
              </w:rPr>
              <w:t>60</w:t>
            </w:r>
            <w:r w:rsidRPr="00595259">
              <w:rPr>
                <w:rFonts w:ascii="Bookman Old Style" w:hAnsi="Bookman Old Style" w:cs="Arial"/>
              </w:rPr>
              <w:t xml:space="preserve">) meses </w:t>
            </w:r>
            <w:r w:rsidR="003B2174">
              <w:rPr>
                <w:rFonts w:ascii="Bookman Old Style" w:hAnsi="Bookman Old Style" w:cs="Arial"/>
              </w:rPr>
              <w:t>precedentes</w:t>
            </w:r>
            <w:r w:rsidR="00BD18D9">
              <w:rPr>
                <w:rFonts w:ascii="Bookman Old Style" w:hAnsi="Bookman Old Style" w:cs="Arial"/>
              </w:rPr>
              <w:t xml:space="preserve">, ponderados conforme al método de suma de </w:t>
            </w:r>
            <w:r w:rsidR="002B4A7B">
              <w:rPr>
                <w:rFonts w:ascii="Bookman Old Style" w:hAnsi="Bookman Old Style" w:cs="Arial"/>
              </w:rPr>
              <w:t>d</w:t>
            </w:r>
            <w:r w:rsidR="00897954">
              <w:rPr>
                <w:rFonts w:ascii="Bookman Old Style" w:hAnsi="Bookman Old Style" w:cs="Arial"/>
              </w:rPr>
              <w:t>í</w:t>
            </w:r>
            <w:r w:rsidR="002B4A7B">
              <w:rPr>
                <w:rFonts w:ascii="Bookman Old Style" w:hAnsi="Bookman Old Style" w:cs="Arial"/>
              </w:rPr>
              <w:t>gitos</w:t>
            </w:r>
            <w:r w:rsidR="009001E3">
              <w:rPr>
                <w:rFonts w:ascii="Bookman Old Style" w:hAnsi="Bookman Old Style" w:cs="Arial"/>
              </w:rPr>
              <w:t xml:space="preserve">. </w:t>
            </w:r>
            <w:r w:rsidRPr="00F340A2">
              <w:rPr>
                <w:rFonts w:ascii="Bookman Old Style" w:hAnsi="Bookman Old Style" w:cs="Arial"/>
                <w:iCs/>
                <w:color w:val="000000" w:themeColor="text1"/>
                <w:kern w:val="24"/>
              </w:rPr>
              <w:t>Cada uno de los diferenciales se calcula de la siguiente manera:</w:t>
            </w:r>
          </w:p>
          <w:p w14:paraId="3CB3CCED" w14:textId="77777777" w:rsidR="00CF3130" w:rsidRPr="00B1564F" w:rsidRDefault="00CF3130" w:rsidP="00CF3130">
            <w:pPr>
              <w:ind w:left="0"/>
              <w:contextualSpacing/>
              <w:jc w:val="both"/>
              <w:rPr>
                <w:rFonts w:ascii="Bookman Old Style" w:hAnsi="Bookman Old Style" w:cs="Arial"/>
                <w:iCs/>
                <w:color w:val="000000" w:themeColor="text1"/>
                <w:kern w:val="24"/>
                <w:sz w:val="32"/>
                <w:szCs w:val="32"/>
              </w:rPr>
            </w:pPr>
          </w:p>
          <w:p w14:paraId="58C97C7C" w14:textId="77777777" w:rsidR="00CF3130" w:rsidRPr="00F340A2" w:rsidRDefault="00CD23BF" w:rsidP="00CF3130">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π</m:t>
                    </m:r>
                  </m:e>
                  <m:sub>
                    <m:r>
                      <m:rPr>
                        <m:sty m:val="p"/>
                      </m:rPr>
                      <w:rPr>
                        <w:rFonts w:ascii="Cambria Math" w:hAnsi="Cambria Math" w:cs="Arial"/>
                        <w:color w:val="000000" w:themeColor="text1"/>
                        <w:kern w:val="24"/>
                      </w:rPr>
                      <m:t>cop,i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Tasa TES COP</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Tasa TES UVR</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14:paraId="44B97976" w14:textId="77777777" w:rsidR="00CF3130" w:rsidRPr="00F340A2" w:rsidRDefault="00CF3130" w:rsidP="00CF3130">
            <w:pPr>
              <w:ind w:left="0"/>
              <w:contextualSpacing/>
              <w:jc w:val="both"/>
              <w:rPr>
                <w:rFonts w:ascii="Bookman Old Style" w:hAnsi="Bookman Old Style"/>
                <w:lang w:val="es-ES_tradnl"/>
              </w:rPr>
            </w:pPr>
          </w:p>
          <w:p w14:paraId="49A7DAC9" w14:textId="77777777" w:rsidR="00662C1E" w:rsidRDefault="00CF3130" w:rsidP="00CF3130">
            <w:pPr>
              <w:ind w:left="0"/>
              <w:contextualSpacing/>
              <w:jc w:val="both"/>
              <w:rPr>
                <w:rFonts w:ascii="Bookman Old Style" w:hAnsi="Bookman Old Style"/>
                <w:lang w:val="es-ES_tradnl"/>
              </w:rPr>
            </w:pPr>
            <w:r w:rsidRPr="00F340A2">
              <w:rPr>
                <w:rFonts w:ascii="Bookman Old Style" w:hAnsi="Bookman Old Style"/>
                <w:lang w:val="es-ES_tradnl"/>
              </w:rPr>
              <w:t>donde i es cada una de las fechas para las que existe información.</w:t>
            </w:r>
          </w:p>
          <w:p w14:paraId="42A37C98" w14:textId="77777777" w:rsidR="00662C1E" w:rsidRDefault="00662C1E" w:rsidP="00CF3130">
            <w:pPr>
              <w:ind w:left="0"/>
              <w:contextualSpacing/>
              <w:jc w:val="both"/>
              <w:rPr>
                <w:rFonts w:ascii="Bookman Old Style" w:hAnsi="Bookman Old Style"/>
                <w:lang w:val="es-ES_tradnl"/>
              </w:rPr>
            </w:pPr>
          </w:p>
          <w:p w14:paraId="4717496B" w14:textId="023C2E4E" w:rsidR="00662C1E" w:rsidRPr="005E52A0" w:rsidRDefault="003F55C7" w:rsidP="00CF3130">
            <w:pPr>
              <w:ind w:left="0"/>
              <w:contextualSpacing/>
              <w:jc w:val="both"/>
              <w:rPr>
                <w:rFonts w:ascii="Bookman Old Style" w:hAnsi="Bookman Old Style"/>
                <w:lang w:val="es-ES_tradnl"/>
              </w:rPr>
            </w:pPr>
            <w:r>
              <w:rPr>
                <w:rFonts w:ascii="Bookman Old Style" w:hAnsi="Bookman Old Style"/>
                <w:lang w:val="es-ES_tradnl"/>
              </w:rPr>
              <w:t xml:space="preserve">El valor </w:t>
            </w:r>
            <w:r w:rsidRPr="005E52A0">
              <w:rPr>
                <w:rFonts w:ascii="Bookman Old Style" w:hAnsi="Bookman Old Style"/>
                <w:lang w:val="es-ES_tradnl"/>
              </w:rPr>
              <w:t xml:space="preserve">correspondiente a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π_cop</m:t>
                  </m:r>
                </m:e>
                <m:sub>
                  <m:r>
                    <m:rPr>
                      <m:sty m:val="p"/>
                    </m:rPr>
                    <w:rPr>
                      <w:rFonts w:ascii="Cambria Math" w:eastAsia="Cambria Math" w:hAnsi="Cambria Math" w:cs="Arial"/>
                      <w:color w:val="000000" w:themeColor="text1"/>
                      <w:kern w:val="24"/>
                    </w:rPr>
                    <m:t>τ</m:t>
                  </m:r>
                </m:sub>
              </m:sSub>
            </m:oMath>
            <w:r w:rsidRPr="005E52A0">
              <w:rPr>
                <w:rFonts w:ascii="Bookman Old Style" w:hAnsi="Bookman Old Style"/>
                <w:lang w:val="es-ES_tradnl"/>
              </w:rPr>
              <w:t xml:space="preserve"> </w:t>
            </w:r>
            <w:r w:rsidR="00AD4F8F" w:rsidRPr="005E52A0">
              <w:rPr>
                <w:rFonts w:ascii="Bookman Old Style" w:hAnsi="Bookman Old Style"/>
                <w:lang w:val="es-ES_tradnl"/>
              </w:rPr>
              <w:t>se obtiene mediante la siguiente expresión:</w:t>
            </w:r>
          </w:p>
          <w:p w14:paraId="615A479C" w14:textId="77777777" w:rsidR="00DC5609" w:rsidRPr="005E52A0" w:rsidRDefault="00DC5609" w:rsidP="00CF3130">
            <w:pPr>
              <w:ind w:left="0"/>
              <w:jc w:val="both"/>
              <w:rPr>
                <w:rFonts w:ascii="Bookman Old Style" w:hAnsi="Bookman Old Style" w:cs="Arial"/>
              </w:rPr>
            </w:pPr>
          </w:p>
          <w:p w14:paraId="69AAA7CF" w14:textId="7B241825" w:rsidR="00DC5609" w:rsidRPr="005E52A0" w:rsidRDefault="00CD23BF" w:rsidP="00CF3130">
            <w:pPr>
              <w:ind w:left="0"/>
              <w:jc w:val="both"/>
              <w:rPr>
                <w:rFonts w:ascii="Bookman Old Style" w:hAnsi="Bookman Old Style" w:cs="Arial"/>
                <w:iCs/>
              </w:rPr>
            </w:pPr>
            <m:oMathPara>
              <m:oMath>
                <m:sSub>
                  <m:sSubPr>
                    <m:ctrlPr>
                      <w:rPr>
                        <w:rFonts w:ascii="Cambria Math" w:hAnsi="Cambria Math"/>
                        <w:iCs/>
                        <w:lang w:val="es-ES_tradnl"/>
                      </w:rPr>
                    </m:ctrlPr>
                  </m:sSubPr>
                  <m:e>
                    <m:r>
                      <m:rPr>
                        <m:sty m:val="p"/>
                      </m:rPr>
                      <w:rPr>
                        <w:rFonts w:ascii="Cambria Math" w:hAnsi="Cambria Math"/>
                        <w:lang w:val="es-ES_tradnl"/>
                      </w:rPr>
                      <m:t>π_cop</m:t>
                    </m:r>
                  </m:e>
                  <m:sub>
                    <m:r>
                      <m:rPr>
                        <m:sty m:val="p"/>
                      </m:rPr>
                      <w:rPr>
                        <w:rFonts w:ascii="Cambria Math" w:hAnsi="Cambria Math"/>
                        <w:lang w:val="es-ES_tradnl"/>
                      </w:rPr>
                      <m:t>τ</m:t>
                    </m:r>
                  </m:sub>
                </m:sSub>
                <m:r>
                  <m:rPr>
                    <m:sty m:val="p"/>
                  </m:rPr>
                  <w:rPr>
                    <w:rFonts w:ascii="Cambria Math" w:hAnsi="Cambria Math" w:cs="Arial"/>
                  </w:rPr>
                  <m:t>=</m:t>
                </m:r>
                <m:nary>
                  <m:naryPr>
                    <m:chr m:val="∑"/>
                    <m:limLoc m:val="undOvr"/>
                    <m:ctrlPr>
                      <w:rPr>
                        <w:rFonts w:ascii="Cambria Math" w:hAnsi="Cambria Math" w:cs="Arial"/>
                        <w:iCs/>
                      </w:rPr>
                    </m:ctrlPr>
                  </m:naryPr>
                  <m:sub>
                    <m:r>
                      <m:rPr>
                        <m:sty m:val="p"/>
                      </m:rPr>
                      <w:rPr>
                        <w:rFonts w:ascii="Cambria Math" w:hAnsi="Cambria Math" w:cs="Arial"/>
                      </w:rPr>
                      <m:t>i=-n</m:t>
                    </m:r>
                  </m:sub>
                  <m:sup>
                    <m:r>
                      <m:rPr>
                        <m:sty m:val="p"/>
                      </m:rPr>
                      <w:rPr>
                        <w:rFonts w:ascii="Cambria Math" w:hAnsi="Cambria Math" w:cs="Arial"/>
                      </w:rPr>
                      <m:t>-1</m:t>
                    </m:r>
                  </m:sup>
                  <m:e>
                    <m:f>
                      <m:fPr>
                        <m:ctrlPr>
                          <w:rPr>
                            <w:rFonts w:ascii="Cambria Math" w:hAnsi="Cambria Math" w:cs="Arial"/>
                            <w:iCs/>
                          </w:rPr>
                        </m:ctrlPr>
                      </m:fPr>
                      <m:num>
                        <m:r>
                          <m:rPr>
                            <m:sty m:val="p"/>
                          </m:rPr>
                          <w:rPr>
                            <w:rFonts w:ascii="Cambria Math" w:hAnsi="Cambria Math" w:cs="Arial"/>
                          </w:rPr>
                          <m:t>(n+1)+i</m:t>
                        </m:r>
                      </m:num>
                      <m:den>
                        <m:f>
                          <m:fPr>
                            <m:type m:val="lin"/>
                            <m:ctrlPr>
                              <w:rPr>
                                <w:rFonts w:ascii="Cambria Math" w:hAnsi="Cambria Math" w:cs="Arial"/>
                                <w:iCs/>
                              </w:rPr>
                            </m:ctrlPr>
                          </m:fPr>
                          <m:num>
                            <m:r>
                              <m:rPr>
                                <m:sty m:val="p"/>
                              </m:rPr>
                              <w:rPr>
                                <w:rFonts w:ascii="Cambria Math" w:hAnsi="Cambria Math" w:cs="Arial"/>
                              </w:rPr>
                              <m:t>n(n+1)</m:t>
                            </m:r>
                          </m:num>
                          <m:den>
                            <m:r>
                              <m:rPr>
                                <m:sty m:val="p"/>
                              </m:rPr>
                              <w:rPr>
                                <w:rFonts w:ascii="Cambria Math" w:hAnsi="Cambria Math" w:cs="Arial"/>
                              </w:rPr>
                              <m:t>2</m:t>
                            </m:r>
                          </m:den>
                        </m:f>
                      </m:den>
                    </m:f>
                    <m:r>
                      <w:rPr>
                        <w:rFonts w:ascii="Cambria Math" w:hAnsi="Cambria Math" w:cs="Arial"/>
                      </w:rPr>
                      <m:t>∙</m:t>
                    </m:r>
                    <m:sSub>
                      <m:sSubPr>
                        <m:ctrlPr>
                          <w:rPr>
                            <w:rFonts w:ascii="Cambria Math" w:hAnsi="Cambria Math"/>
                            <w:iCs/>
                            <w:lang w:val="es-ES_tradnl"/>
                          </w:rPr>
                        </m:ctrlPr>
                      </m:sSubPr>
                      <m:e>
                        <m:r>
                          <m:rPr>
                            <m:sty m:val="p"/>
                          </m:rPr>
                          <w:rPr>
                            <w:rFonts w:ascii="Cambria Math" w:hAnsi="Cambria Math"/>
                            <w:lang w:val="es-ES_tradnl"/>
                          </w:rPr>
                          <m:t>π</m:t>
                        </m:r>
                      </m:e>
                      <m:sub>
                        <m:r>
                          <m:rPr>
                            <m:sty m:val="p"/>
                          </m:rPr>
                          <w:rPr>
                            <w:rFonts w:ascii="Cambria Math" w:hAnsi="Cambria Math"/>
                            <w:lang w:val="es-ES_tradnl"/>
                          </w:rPr>
                          <m:t>cop,i</m:t>
                        </m:r>
                      </m:sub>
                    </m:sSub>
                  </m:e>
                </m:nary>
              </m:oMath>
            </m:oMathPara>
          </w:p>
          <w:p w14:paraId="0C6B9BC5" w14:textId="77777777" w:rsidR="00DC5609" w:rsidRPr="005E52A0" w:rsidRDefault="00DC5609" w:rsidP="00CF3130">
            <w:pPr>
              <w:ind w:left="0"/>
              <w:jc w:val="both"/>
              <w:rPr>
                <w:rFonts w:ascii="Bookman Old Style" w:hAnsi="Bookman Old Style" w:cs="Arial"/>
              </w:rPr>
            </w:pPr>
          </w:p>
          <w:p w14:paraId="1ABD863C" w14:textId="036548AE" w:rsidR="00DC5609" w:rsidRPr="005E52A0" w:rsidRDefault="00EC725C" w:rsidP="00CF3130">
            <w:pPr>
              <w:ind w:left="0"/>
              <w:jc w:val="both"/>
              <w:rPr>
                <w:rFonts w:ascii="Bookman Old Style" w:hAnsi="Bookman Old Style" w:cs="Arial"/>
              </w:rPr>
            </w:pPr>
            <w:r w:rsidRPr="005E52A0">
              <w:rPr>
                <w:rFonts w:ascii="Bookman Old Style" w:hAnsi="Bookman Old Style" w:cs="Arial"/>
              </w:rPr>
              <w:t xml:space="preserve">En donde </w:t>
            </w:r>
            <w:r w:rsidR="007F3000" w:rsidRPr="005E52A0">
              <w:rPr>
                <w:rFonts w:ascii="Bookman Old Style" w:hAnsi="Bookman Old Style" w:cs="Arial"/>
                <w:i/>
                <w:iCs/>
              </w:rPr>
              <w:t>n</w:t>
            </w:r>
            <w:r w:rsidR="007F3000" w:rsidRPr="005E52A0">
              <w:rPr>
                <w:rFonts w:ascii="Bookman Old Style" w:hAnsi="Bookman Old Style" w:cs="Arial"/>
              </w:rPr>
              <w:t xml:space="preserve"> </w:t>
            </w:r>
            <w:r w:rsidRPr="005E52A0">
              <w:rPr>
                <w:rFonts w:ascii="Bookman Old Style" w:hAnsi="Bookman Old Style" w:cs="Arial"/>
              </w:rPr>
              <w:t xml:space="preserve">es </w:t>
            </w:r>
            <w:r w:rsidR="007F3000" w:rsidRPr="005E52A0">
              <w:rPr>
                <w:rFonts w:ascii="Bookman Old Style" w:hAnsi="Bookman Old Style" w:cs="Arial"/>
              </w:rPr>
              <w:t xml:space="preserve">el número de datos disponibles </w:t>
            </w:r>
            <w:r w:rsidR="009762C4" w:rsidRPr="005E52A0">
              <w:rPr>
                <w:rFonts w:ascii="Bookman Old Style" w:hAnsi="Bookman Old Style" w:cs="Arial"/>
              </w:rPr>
              <w:t xml:space="preserve">e </w:t>
            </w:r>
            <w:r w:rsidR="00194824" w:rsidRPr="005E52A0">
              <w:rPr>
                <w:rFonts w:ascii="Bookman Old Style" w:hAnsi="Bookman Old Style" w:cs="Arial"/>
                <w:i/>
                <w:iCs/>
              </w:rPr>
              <w:t>i</w:t>
            </w:r>
            <w:r w:rsidR="00F60422">
              <w:rPr>
                <w:rFonts w:ascii="Bookman Old Style" w:hAnsi="Bookman Old Style" w:cs="Arial"/>
                <w:i/>
              </w:rPr>
              <w:t xml:space="preserve"> </w:t>
            </w:r>
            <w:r w:rsidR="00194824" w:rsidRPr="005E52A0">
              <w:rPr>
                <w:rFonts w:ascii="Bookman Old Style" w:hAnsi="Bookman Old Style" w:cs="Arial"/>
              </w:rPr>
              <w:t>=</w:t>
            </w:r>
            <w:r w:rsidR="00F60422">
              <w:rPr>
                <w:rFonts w:ascii="Bookman Old Style" w:hAnsi="Bookman Old Style" w:cs="Arial"/>
              </w:rPr>
              <w:t xml:space="preserve"> </w:t>
            </w:r>
            <w:r w:rsidR="007F3000" w:rsidRPr="00243991">
              <w:rPr>
                <w:rFonts w:ascii="Bookman Old Style" w:hAnsi="Bookman Old Style" w:cs="Arial"/>
                <w:b/>
              </w:rPr>
              <w:t>-</w:t>
            </w:r>
            <w:r w:rsidR="007F3000" w:rsidRPr="005E52A0">
              <w:rPr>
                <w:rFonts w:ascii="Bookman Old Style" w:hAnsi="Bookman Old Style" w:cs="Arial"/>
              </w:rPr>
              <w:t xml:space="preserve">1 </w:t>
            </w:r>
            <w:r w:rsidR="00F11219" w:rsidRPr="005E52A0">
              <w:rPr>
                <w:rFonts w:ascii="Bookman Old Style" w:hAnsi="Bookman Old Style" w:cs="Arial"/>
              </w:rPr>
              <w:t xml:space="preserve">es </w:t>
            </w:r>
            <w:r w:rsidR="007F3000" w:rsidRPr="005E52A0">
              <w:rPr>
                <w:rFonts w:ascii="Bookman Old Style" w:hAnsi="Bookman Old Style" w:cs="Arial"/>
              </w:rPr>
              <w:t>el dato más reciente.</w:t>
            </w:r>
          </w:p>
          <w:p w14:paraId="6BC2807F" w14:textId="32E16A78" w:rsidR="00935409" w:rsidRPr="001A2CF8" w:rsidRDefault="00935409" w:rsidP="00CF3130">
            <w:pPr>
              <w:ind w:left="0"/>
              <w:jc w:val="both"/>
              <w:rPr>
                <w:rFonts w:ascii="Bookman Old Style" w:hAnsi="Bookman Old Style" w:cs="Arial"/>
                <w:highlight w:val="yellow"/>
              </w:rPr>
            </w:pPr>
          </w:p>
        </w:tc>
      </w:tr>
      <w:tr w:rsidR="000776BE" w:rsidRPr="00F340A2" w14:paraId="5555BDE4" w14:textId="77777777" w:rsidTr="00786F06">
        <w:tc>
          <w:tcPr>
            <w:tcW w:w="1843" w:type="dxa"/>
          </w:tcPr>
          <w:p w14:paraId="47FA797E" w14:textId="77777777" w:rsidR="000776BE" w:rsidRPr="00F340A2" w:rsidRDefault="000776BE" w:rsidP="00F67EAC">
            <w:pPr>
              <w:ind w:left="0"/>
              <w:jc w:val="center"/>
              <w:rPr>
                <w:rFonts w:ascii="Bookman Old Style" w:hAnsi="Bookman Old Style"/>
                <w:b/>
                <w:iCs/>
                <w:color w:val="000000" w:themeColor="text1"/>
                <w:kern w:val="24"/>
              </w:rPr>
            </w:pPr>
            <m:oMathPara>
              <m:oMathParaPr>
                <m:jc m:val="left"/>
              </m:oMathParaPr>
              <m:oMath>
                <m:r>
                  <m:rPr>
                    <m:sty m:val="b"/>
                  </m:rPr>
                  <w:rPr>
                    <w:rFonts w:ascii="Cambria Math" w:hAnsi="Cambria Math"/>
                  </w:rPr>
                  <m:t>a</m:t>
                </m:r>
              </m:oMath>
            </m:oMathPara>
          </w:p>
        </w:tc>
        <w:tc>
          <w:tcPr>
            <w:tcW w:w="284" w:type="dxa"/>
          </w:tcPr>
          <w:p w14:paraId="6F13C511" w14:textId="77777777"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371" w:type="dxa"/>
            <w:vAlign w:val="center"/>
          </w:tcPr>
          <w:p w14:paraId="647C0566" w14:textId="6A07F843"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Cada una de </w:t>
            </w:r>
            <w:r w:rsidRPr="00F340A2">
              <w:rPr>
                <w:rFonts w:ascii="Bookman Old Style" w:hAnsi="Bookman Old Style" w:cs="Arial"/>
              </w:rPr>
              <w:t xml:space="preserve">las actividades </w:t>
            </w:r>
            <w:r w:rsidR="003372D2">
              <w:rPr>
                <w:rFonts w:ascii="Bookman Old Style" w:hAnsi="Bookman Old Style" w:cs="Arial"/>
              </w:rPr>
              <w:t xml:space="preserve">para las cuales </w:t>
            </w:r>
            <w:r w:rsidR="007A0FB1">
              <w:rPr>
                <w:rFonts w:ascii="Bookman Old Style" w:hAnsi="Bookman Old Style" w:cs="Arial"/>
              </w:rPr>
              <w:t xml:space="preserve">esta </w:t>
            </w:r>
            <w:r w:rsidR="007A0FB1" w:rsidRPr="00DC3F2D">
              <w:rPr>
                <w:rFonts w:ascii="Bookman Old Style" w:hAnsi="Bookman Old Style" w:cs="Arial"/>
              </w:rPr>
              <w:t xml:space="preserve">Comisión </w:t>
            </w:r>
            <w:r w:rsidR="007A0FB1">
              <w:rPr>
                <w:rFonts w:ascii="Bookman Old Style" w:hAnsi="Bookman Old Style" w:cs="Arial"/>
              </w:rPr>
              <w:t xml:space="preserve">expide </w:t>
            </w:r>
            <w:r w:rsidR="003372D2" w:rsidRPr="00DC3F2D">
              <w:rPr>
                <w:rFonts w:ascii="Bookman Old Style" w:hAnsi="Bookman Old Style" w:cs="Arial"/>
              </w:rPr>
              <w:t>metodologías tarifarias</w:t>
            </w:r>
            <w:r w:rsidR="007A0FB1">
              <w:rPr>
                <w:rFonts w:ascii="Bookman Old Style" w:hAnsi="Bookman Old Style" w:cs="Arial"/>
              </w:rPr>
              <w:t>.</w:t>
            </w:r>
          </w:p>
          <w:p w14:paraId="04E80D60" w14:textId="77777777" w:rsidR="000776BE" w:rsidRPr="00F340A2" w:rsidRDefault="000776BE" w:rsidP="00F67EAC">
            <w:pPr>
              <w:ind w:left="0"/>
              <w:jc w:val="both"/>
              <w:rPr>
                <w:rFonts w:ascii="Bookman Old Style" w:hAnsi="Bookman Old Style" w:cs="Arial"/>
                <w:iCs/>
                <w:color w:val="000000" w:themeColor="text1"/>
                <w:kern w:val="24"/>
              </w:rPr>
            </w:pPr>
          </w:p>
        </w:tc>
      </w:tr>
      <w:tr w:rsidR="000776BE" w:rsidRPr="00A14458" w14:paraId="462C1E20" w14:textId="77777777" w:rsidTr="00786F06">
        <w:tc>
          <w:tcPr>
            <w:tcW w:w="1843" w:type="dxa"/>
          </w:tcPr>
          <w:p w14:paraId="5562BF80" w14:textId="08B20F66" w:rsidR="000776BE" w:rsidRPr="00A14458" w:rsidRDefault="000060D2" w:rsidP="00F67EAC">
            <w:pPr>
              <w:ind w:left="0"/>
              <w:rPr>
                <w:rFonts w:ascii="Bookman Old Style" w:hAnsi="Bookman Old Style" w:cs="Arial"/>
                <w:color w:val="000000" w:themeColor="text1"/>
                <w:kern w:val="24"/>
              </w:rPr>
            </w:pPr>
            <m:oMathPara>
              <m:oMathParaPr>
                <m:jc m:val="left"/>
              </m:oMathParaPr>
              <m:oMath>
                <m:r>
                  <m:rPr>
                    <m:sty m:val="b"/>
                  </m:rPr>
                  <w:rPr>
                    <w:rFonts w:ascii="Cambria Math" w:hAnsi="Cambria Math" w:cs="Arial"/>
                    <w:color w:val="000000" w:themeColor="text1"/>
                    <w:kern w:val="24"/>
                  </w:rPr>
                  <m:t>τ</m:t>
                </m:r>
              </m:oMath>
            </m:oMathPara>
          </w:p>
        </w:tc>
        <w:tc>
          <w:tcPr>
            <w:tcW w:w="284" w:type="dxa"/>
          </w:tcPr>
          <w:p w14:paraId="48596C03" w14:textId="77777777" w:rsidR="000776BE" w:rsidRPr="00A14458" w:rsidRDefault="000776BE" w:rsidP="00F67EAC">
            <w:pPr>
              <w:ind w:left="0"/>
              <w:jc w:val="both"/>
              <w:rPr>
                <w:rFonts w:ascii="Bookman Old Style" w:hAnsi="Bookman Old Style" w:cs="Arial"/>
                <w:color w:val="000000" w:themeColor="text1"/>
                <w:kern w:val="24"/>
              </w:rPr>
            </w:pPr>
            <w:r w:rsidRPr="00A14458">
              <w:rPr>
                <w:rFonts w:ascii="Bookman Old Style" w:hAnsi="Bookman Old Style" w:cs="Arial"/>
                <w:color w:val="000000" w:themeColor="text1"/>
                <w:kern w:val="24"/>
              </w:rPr>
              <w:t>:</w:t>
            </w:r>
          </w:p>
        </w:tc>
        <w:tc>
          <w:tcPr>
            <w:tcW w:w="7371" w:type="dxa"/>
            <w:vAlign w:val="center"/>
          </w:tcPr>
          <w:p w14:paraId="51ABC833" w14:textId="493F6E06" w:rsidR="000776BE" w:rsidRPr="00F340A2" w:rsidRDefault="00E57BCC" w:rsidP="00783955">
            <w:pPr>
              <w:ind w:left="0"/>
              <w:jc w:val="both"/>
              <w:rPr>
                <w:rFonts w:ascii="Bookman Old Style" w:hAnsi="Bookman Old Style" w:cs="Arial"/>
                <w:iCs/>
                <w:color w:val="000000" w:themeColor="text1"/>
                <w:kern w:val="24"/>
              </w:rPr>
            </w:pPr>
            <w:r w:rsidRPr="00A14458">
              <w:rPr>
                <w:rFonts w:ascii="Bookman Old Style" w:hAnsi="Bookman Old Style" w:cs="Arial"/>
                <w:color w:val="000000" w:themeColor="text1"/>
                <w:kern w:val="24"/>
              </w:rPr>
              <w:t xml:space="preserve">Fecha que defina la CREG, en resolución aparte, para el cálculo de </w:t>
            </w:r>
            <w:r w:rsidR="00B02FCE" w:rsidRPr="00A14458">
              <w:rPr>
                <w:rFonts w:ascii="Bookman Old Style" w:hAnsi="Bookman Old Style" w:cs="Arial"/>
                <w:color w:val="000000" w:themeColor="text1"/>
                <w:kern w:val="24"/>
              </w:rPr>
              <w:t xml:space="preserve">la </w:t>
            </w:r>
            <w:r w:rsidRPr="00A14458">
              <w:rPr>
                <w:rFonts w:ascii="Bookman Old Style" w:hAnsi="Bookman Old Style" w:cs="Arial"/>
                <w:color w:val="000000" w:themeColor="text1"/>
                <w:kern w:val="24"/>
              </w:rPr>
              <w:t>tasa de descuento</w:t>
            </w:r>
            <w:r w:rsidR="00B02FCE" w:rsidRPr="00A14458">
              <w:rPr>
                <w:rFonts w:ascii="Bookman Old Style" w:hAnsi="Bookman Old Style" w:cs="Arial"/>
                <w:color w:val="000000" w:themeColor="text1"/>
                <w:kern w:val="24"/>
              </w:rPr>
              <w:t xml:space="preserve"> </w:t>
            </w:r>
            <w:r w:rsidR="00E42630" w:rsidRPr="00A14458">
              <w:rPr>
                <w:rFonts w:ascii="Bookman Old Style" w:hAnsi="Bookman Old Style" w:cs="Arial"/>
                <w:color w:val="000000" w:themeColor="text1"/>
                <w:kern w:val="24"/>
              </w:rPr>
              <w:t xml:space="preserve">en pesos </w:t>
            </w:r>
            <w:r w:rsidR="00B02FCE" w:rsidRPr="00A14458">
              <w:rPr>
                <w:rFonts w:ascii="Bookman Old Style" w:hAnsi="Bookman Old Style" w:cs="Arial"/>
                <w:color w:val="000000" w:themeColor="text1"/>
                <w:kern w:val="24"/>
              </w:rPr>
              <w:t xml:space="preserve">de </w:t>
            </w:r>
            <w:r w:rsidR="00E42630" w:rsidRPr="00A14458">
              <w:rPr>
                <w:rFonts w:ascii="Bookman Old Style" w:hAnsi="Bookman Old Style" w:cs="Arial"/>
                <w:color w:val="000000" w:themeColor="text1"/>
                <w:kern w:val="24"/>
              </w:rPr>
              <w:t>un</w:t>
            </w:r>
            <w:r w:rsidR="00B02FCE" w:rsidRPr="00A14458">
              <w:rPr>
                <w:rFonts w:ascii="Bookman Old Style" w:hAnsi="Bookman Old Style" w:cs="Arial"/>
                <w:color w:val="000000" w:themeColor="text1"/>
                <w:kern w:val="24"/>
              </w:rPr>
              <w:t>a actividad</w:t>
            </w:r>
            <w:r w:rsidR="000776BE" w:rsidRPr="00A14458">
              <w:rPr>
                <w:rFonts w:ascii="Bookman Old Style" w:hAnsi="Bookman Old Style" w:cs="Arial"/>
                <w:color w:val="000000" w:themeColor="text1"/>
                <w:kern w:val="24"/>
              </w:rPr>
              <w:t>.</w:t>
            </w:r>
          </w:p>
        </w:tc>
      </w:tr>
    </w:tbl>
    <w:p w14:paraId="04D4F736" w14:textId="77777777" w:rsidR="000C4BEC" w:rsidRPr="00A14458" w:rsidRDefault="000C4BEC" w:rsidP="000C4BEC">
      <w:pPr>
        <w:ind w:left="0"/>
        <w:rPr>
          <w:rFonts w:ascii="Bookman Old Style" w:hAnsi="Bookman Old Style" w:cs="Arial"/>
          <w:color w:val="000000" w:themeColor="text1"/>
          <w:kern w:val="24"/>
        </w:rPr>
      </w:pPr>
    </w:p>
    <w:p w14:paraId="1AB292B5" w14:textId="37AF021F" w:rsidR="000776BE" w:rsidRPr="006F5930" w:rsidRDefault="000776BE" w:rsidP="00F90D59">
      <w:pPr>
        <w:pStyle w:val="Ttulo2"/>
        <w:numPr>
          <w:ilvl w:val="0"/>
          <w:numId w:val="0"/>
        </w:numPr>
        <w:spacing w:line="240" w:lineRule="auto"/>
        <w:rPr>
          <w:rFonts w:ascii="Bookman Old Style" w:hAnsi="Bookman Old Style" w:cs="Arial"/>
          <w:b w:val="0"/>
        </w:rPr>
      </w:pPr>
      <w:r w:rsidRPr="00A65A41">
        <w:rPr>
          <w:rFonts w:ascii="Bookman Old Style" w:hAnsi="Bookman Old Style" w:cs="Arial"/>
        </w:rPr>
        <w:t>Parágrafo 1.</w:t>
      </w:r>
      <w:r w:rsidRPr="0072452B">
        <w:rPr>
          <w:rFonts w:ascii="Bookman Old Style" w:hAnsi="Bookman Old Style" w:cs="Arial"/>
        </w:rPr>
        <w:t xml:space="preserve"> </w:t>
      </w:r>
      <w:r w:rsidRPr="006F5930">
        <w:rPr>
          <w:rFonts w:ascii="Bookman Old Style" w:hAnsi="Bookman Old Style" w:cs="Arial"/>
          <w:b w:val="0"/>
        </w:rPr>
        <w:t xml:space="preserve">El </w:t>
      </w:r>
      <w:r w:rsidR="00526B30" w:rsidRPr="006F5930">
        <w:rPr>
          <w:rFonts w:ascii="Bookman Old Style" w:hAnsi="Bookman Old Style" w:cs="Arial"/>
          <w:b w:val="0"/>
        </w:rPr>
        <w:t xml:space="preserve">costo promedio ponderado de capital en pesos </w:t>
      </w:r>
      <w:r w:rsidR="007340B6" w:rsidRPr="006F5930">
        <w:rPr>
          <w:rFonts w:ascii="Bookman Old Style" w:hAnsi="Bookman Old Style" w:cs="Arial"/>
          <w:b w:val="0"/>
        </w:rPr>
        <w:t xml:space="preserve">corrientes </w:t>
      </w:r>
      <w:r w:rsidR="00526B30" w:rsidRPr="006F5930">
        <w:rPr>
          <w:rFonts w:ascii="Bookman Old Style" w:hAnsi="Bookman Old Style" w:cs="Arial"/>
          <w:b w:val="0"/>
        </w:rPr>
        <w:t xml:space="preserve">y </w:t>
      </w:r>
      <w:r w:rsidR="007340B6" w:rsidRPr="006F5930">
        <w:rPr>
          <w:rFonts w:ascii="Bookman Old Style" w:hAnsi="Bookman Old Style" w:cs="Arial"/>
          <w:b w:val="0"/>
        </w:rPr>
        <w:t xml:space="preserve">antes </w:t>
      </w:r>
      <w:r w:rsidR="00526B30" w:rsidRPr="006F5930">
        <w:rPr>
          <w:rFonts w:ascii="Bookman Old Style" w:hAnsi="Bookman Old Style" w:cs="Arial"/>
          <w:b w:val="0"/>
        </w:rPr>
        <w:t>de impuestos</w:t>
      </w:r>
      <w:r w:rsidR="00501550" w:rsidRPr="006F5930">
        <w:rPr>
          <w:rFonts w:ascii="Bookman Old Style" w:hAnsi="Bookman Old Style" w:cs="Arial"/>
          <w:b w:val="0"/>
        </w:rPr>
        <w:t xml:space="preserve"> (ai)</w:t>
      </w:r>
      <w:r w:rsidR="00526B30" w:rsidRPr="006F5930">
        <w:rPr>
          <w:rFonts w:ascii="Bookman Old Style" w:hAnsi="Bookman Old Style" w:cs="Arial"/>
          <w:b w:val="0"/>
        </w:rPr>
        <w:t xml:space="preserve"> para la actividad </w:t>
      </w:r>
      <m:oMath>
        <m:r>
          <m:rPr>
            <m:sty m:val="b"/>
          </m:rPr>
          <w:rPr>
            <w:rFonts w:ascii="Cambria Math" w:hAnsi="Cambria Math" w:cs="Arial"/>
          </w:rPr>
          <m:t>a</m:t>
        </m:r>
      </m:oMath>
      <w:r w:rsidR="00526B30" w:rsidRPr="006F5930">
        <w:rPr>
          <w:rFonts w:ascii="Bookman Old Style" w:hAnsi="Bookman Old Style" w:cs="Arial"/>
          <w:b w:val="0"/>
        </w:rPr>
        <w:t xml:space="preserve">, en el momento </w:t>
      </w:r>
      <m:oMath>
        <m:r>
          <m:rPr>
            <m:sty m:val="b"/>
          </m:rPr>
          <w:rPr>
            <w:rFonts w:ascii="Cambria Math" w:hAnsi="Cambria Math" w:cs="Arial"/>
          </w:rPr>
          <m:t>τ</m:t>
        </m:r>
      </m:oMath>
      <w:r w:rsidRPr="006F5930">
        <w:rPr>
          <w:rFonts w:ascii="Bookman Old Style" w:hAnsi="Bookman Old Style" w:cs="Arial"/>
          <w:b w:val="0"/>
        </w:rPr>
        <w:t>, está dado por la siguiente expresión:</w:t>
      </w:r>
    </w:p>
    <w:p w14:paraId="4FB2F522" w14:textId="77777777" w:rsidR="000776BE" w:rsidRPr="00F340A2" w:rsidRDefault="000776BE" w:rsidP="000776BE">
      <w:pPr>
        <w:ind w:left="0"/>
        <w:contextualSpacing/>
        <w:jc w:val="both"/>
        <w:rPr>
          <w:rFonts w:ascii="Bookman Old Style" w:hAnsi="Bookman Old Style" w:cs="Arial"/>
        </w:rPr>
      </w:pPr>
    </w:p>
    <w:p w14:paraId="1F72E8DA" w14:textId="1268730E" w:rsidR="000776BE" w:rsidRPr="00324B20" w:rsidRDefault="00CD23BF" w:rsidP="000776BE">
      <w:pPr>
        <w:ind w:left="0"/>
        <w:contextualSpacing/>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WACC_cop</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w:rPr>
              <w:rFonts w:ascii="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Wd</m:t>
              </m:r>
            </m:e>
            <m:sub>
              <m:r>
                <m:rPr>
                  <m:sty m:val="p"/>
                </m:rPr>
                <w:rPr>
                  <w:rFonts w:ascii="Cambria Math" w:eastAsia="Cambria Math" w:hAnsi="Cambria Math" w:cs="Arial"/>
                  <w:color w:val="000000" w:themeColor="text1"/>
                  <w:kern w:val="24"/>
                </w:rPr>
                <m:t xml:space="preserve"> a,τ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Kd_cop</m:t>
              </m:r>
            </m:e>
            <m:sub>
              <m:r>
                <m:rPr>
                  <m:sty m:val="p"/>
                </m:rPr>
                <w:rPr>
                  <w:rFonts w:ascii="Cambria Math" w:eastAsia="Cambria Math" w:hAnsi="Cambria Math" w:cs="Arial"/>
                  <w:color w:val="000000" w:themeColor="text1"/>
                  <w:kern w:val="24"/>
                </w:rPr>
                <m:t>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We</m:t>
              </m:r>
            </m:e>
            <m:sub>
              <m:r>
                <m:rPr>
                  <m:sty m:val="p"/>
                </m:rPr>
                <w:rPr>
                  <w:rFonts w:ascii="Cambria Math" w:eastAsia="Cambria Math" w:hAnsi="Cambria Math" w:cs="Arial"/>
                  <w:color w:val="000000" w:themeColor="text1"/>
                  <w:kern w:val="24"/>
                </w:rPr>
                <m:t>a,τ</m:t>
              </m:r>
            </m:sub>
          </m:sSub>
          <m:r>
            <w:rPr>
              <w:rFonts w:ascii="Cambria Math" w:eastAsia="Cambria Math" w:hAnsi="Cambria Math" w:cs="Arial"/>
              <w:color w:val="000000" w:themeColor="text1"/>
              <w:kern w:val="24"/>
            </w:rPr>
            <m:t>∙</m:t>
          </m:r>
          <m:f>
            <m:fPr>
              <m:ctrlPr>
                <w:rPr>
                  <w:rFonts w:ascii="Cambria Math" w:eastAsia="Cambria Math" w:hAnsi="Cambria Math" w:cs="Arial"/>
                  <w:color w:val="000000" w:themeColor="text1"/>
                  <w:kern w:val="24"/>
                </w:rPr>
              </m:ctrlPr>
            </m:fPr>
            <m:num>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 xml:space="preserve">Ke_cop </m:t>
                  </m:r>
                </m:e>
                <m:sub>
                  <m:r>
                    <m:rPr>
                      <m:sty m:val="p"/>
                    </m:rPr>
                    <w:rPr>
                      <w:rFonts w:ascii="Cambria Math" w:eastAsia="Cambria Math" w:hAnsi="Cambria Math" w:cs="Arial"/>
                      <w:color w:val="000000" w:themeColor="text1"/>
                      <w:kern w:val="24"/>
                    </w:rPr>
                    <m:t>a,τ</m:t>
                  </m:r>
                </m:sub>
              </m:sSub>
            </m:num>
            <m:den>
              <m:r>
                <w:rPr>
                  <w:rFonts w:ascii="Cambria Math" w:eastAsia="Cambria Math" w:hAnsi="Cambria Math" w:cs="Arial"/>
                  <w:color w:val="000000" w:themeColor="text1"/>
                  <w:kern w:val="24"/>
                </w:rPr>
                <m:t>1-</m:t>
              </m:r>
              <m:r>
                <m:rPr>
                  <m:sty m:val="p"/>
                </m:rPr>
                <w:rPr>
                  <w:rFonts w:ascii="Cambria Math" w:eastAsia="Cambria Math" w:hAnsi="Cambria Math" w:cs="Arial"/>
                  <w:color w:val="000000" w:themeColor="text1"/>
                  <w:kern w:val="24"/>
                </w:rPr>
                <m:t>Tx</m:t>
              </m:r>
            </m:den>
          </m:f>
        </m:oMath>
      </m:oMathPara>
    </w:p>
    <w:p w14:paraId="165BC253" w14:textId="77777777" w:rsidR="004309BE" w:rsidRDefault="004309BE" w:rsidP="000776BE">
      <w:pPr>
        <w:ind w:left="0"/>
        <w:contextualSpacing/>
        <w:jc w:val="both"/>
        <w:rPr>
          <w:rFonts w:ascii="Bookman Old Style" w:hAnsi="Bookman Old Style" w:cs="Arial"/>
        </w:rPr>
      </w:pPr>
    </w:p>
    <w:p w14:paraId="593A966F" w14:textId="5450E918" w:rsidR="000776BE" w:rsidRPr="00F340A2" w:rsidRDefault="00781503"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37AA0794" w14:textId="77777777" w:rsidR="000776BE" w:rsidRPr="00F340A2" w:rsidRDefault="000776BE"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30"/>
        <w:gridCol w:w="298"/>
        <w:gridCol w:w="7936"/>
      </w:tblGrid>
      <w:tr w:rsidR="000776BE" w:rsidRPr="00F340A2" w14:paraId="0B7C2E25" w14:textId="77777777" w:rsidTr="00F67EAC">
        <w:tc>
          <w:tcPr>
            <w:tcW w:w="1101" w:type="dxa"/>
          </w:tcPr>
          <w:p w14:paraId="10F177C9" w14:textId="62008135" w:rsidR="000776BE" w:rsidRPr="00F340A2" w:rsidRDefault="00CD23BF"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Wd</m:t>
                    </m:r>
                  </m:e>
                  <m:sub>
                    <m:r>
                      <m:rPr>
                        <m:sty m:val="b"/>
                      </m:rPr>
                      <w:rPr>
                        <w:rFonts w:ascii="Cambria Math" w:eastAsia="Cambria Math" w:hAnsi="Cambria Math" w:cstheme="minorBidi"/>
                        <w:color w:val="000000" w:themeColor="text1"/>
                        <w:kern w:val="24"/>
                      </w:rPr>
                      <m:t>a,τ</m:t>
                    </m:r>
                  </m:sub>
                </m:sSub>
              </m:oMath>
            </m:oMathPara>
          </w:p>
        </w:tc>
        <w:tc>
          <w:tcPr>
            <w:tcW w:w="298" w:type="dxa"/>
          </w:tcPr>
          <w:p w14:paraId="1A8D0448" w14:textId="77777777" w:rsidR="000776BE" w:rsidRPr="00D931F0" w:rsidRDefault="000776BE" w:rsidP="00F67EAC">
            <w:pPr>
              <w:ind w:left="0"/>
              <w:rPr>
                <w:rFonts w:ascii="Bookman Old Style" w:hAnsi="Bookman Old Style" w:cs="Arial"/>
                <w:b/>
              </w:rPr>
            </w:pPr>
            <w:r w:rsidRPr="00D931F0">
              <w:rPr>
                <w:rFonts w:ascii="Bookman Old Style" w:hAnsi="Bookman Old Style" w:cs="Arial"/>
                <w:b/>
              </w:rPr>
              <w:t>:</w:t>
            </w:r>
          </w:p>
        </w:tc>
        <w:tc>
          <w:tcPr>
            <w:tcW w:w="8065" w:type="dxa"/>
            <w:vAlign w:val="center"/>
          </w:tcPr>
          <w:p w14:paraId="2CC53F99" w14:textId="13EC69FA" w:rsidR="00A1405F" w:rsidRPr="00D931F0" w:rsidRDefault="000776BE" w:rsidP="00A1405F">
            <w:pPr>
              <w:ind w:left="0"/>
              <w:jc w:val="both"/>
              <w:rPr>
                <w:rFonts w:ascii="Bookman Old Style" w:hAnsi="Bookman Old Style" w:cs="Arial"/>
              </w:rPr>
            </w:pPr>
            <w:r w:rsidRPr="00D931F0">
              <w:rPr>
                <w:rFonts w:ascii="Bookman Old Style" w:hAnsi="Bookman Old Style" w:cs="Arial"/>
              </w:rPr>
              <w:t>Ponderador para el costo de la deuda</w:t>
            </w:r>
            <w:r w:rsidR="00451E7C" w:rsidRPr="00D931F0">
              <w:rPr>
                <w:rFonts w:ascii="Bookman Old Style" w:hAnsi="Bookman Old Style" w:cs="Arial"/>
              </w:rPr>
              <w:t xml:space="preserve"> de la actividad a</w:t>
            </w:r>
            <w:r w:rsidR="003C3F31" w:rsidRPr="00D931F0">
              <w:rPr>
                <w:rFonts w:ascii="Bookman Old Style" w:hAnsi="Bookman Old Style" w:cs="Arial"/>
              </w:rPr>
              <w:t>,</w:t>
            </w:r>
            <w:r w:rsidR="00C9681E" w:rsidRPr="00D931F0">
              <w:rPr>
                <w:rFonts w:ascii="Bookman Old Style" w:hAnsi="Bookman Old Style" w:cs="Arial"/>
              </w:rPr>
              <w:t xml:space="preserve"> expresado </w:t>
            </w:r>
            <w:r w:rsidR="005D6284" w:rsidRPr="00D931F0">
              <w:rPr>
                <w:rFonts w:ascii="Bookman Old Style" w:hAnsi="Bookman Old Style" w:cs="Arial"/>
              </w:rPr>
              <w:t xml:space="preserve">como </w:t>
            </w:r>
            <w:r w:rsidR="00716D38" w:rsidRPr="00D931F0">
              <w:rPr>
                <w:rFonts w:ascii="Bookman Old Style" w:hAnsi="Bookman Old Style" w:cs="Arial"/>
              </w:rPr>
              <w:t xml:space="preserve">la relación </w:t>
            </w:r>
            <w:r w:rsidR="005D6284" w:rsidRPr="00D931F0">
              <w:rPr>
                <w:rFonts w:ascii="Bookman Old Style" w:hAnsi="Bookman Old Style" w:cs="Arial"/>
              </w:rPr>
              <w:t>de</w:t>
            </w:r>
            <w:r w:rsidR="003B2174" w:rsidRPr="00D931F0">
              <w:rPr>
                <w:rFonts w:ascii="Bookman Old Style" w:hAnsi="Bookman Old Style" w:cs="Arial"/>
              </w:rPr>
              <w:t xml:space="preserve"> </w:t>
            </w:r>
            <w:r w:rsidR="005D6284" w:rsidRPr="00D931F0">
              <w:rPr>
                <w:rFonts w:ascii="Bookman Old Style" w:hAnsi="Bookman Old Style" w:cs="Arial"/>
              </w:rPr>
              <w:t>l</w:t>
            </w:r>
            <w:r w:rsidR="003B2174" w:rsidRPr="00D931F0">
              <w:rPr>
                <w:rFonts w:ascii="Bookman Old Style" w:hAnsi="Bookman Old Style" w:cs="Arial"/>
              </w:rPr>
              <w:t>a deuda sobre</w:t>
            </w:r>
            <w:r w:rsidR="005D6284" w:rsidRPr="00D931F0">
              <w:rPr>
                <w:rFonts w:ascii="Bookman Old Style" w:hAnsi="Bookman Old Style" w:cs="Arial"/>
              </w:rPr>
              <w:t xml:space="preserve"> </w:t>
            </w:r>
            <w:r w:rsidR="003B2174" w:rsidRPr="00D931F0">
              <w:rPr>
                <w:rFonts w:ascii="Bookman Old Style" w:hAnsi="Bookman Old Style" w:cs="Arial"/>
              </w:rPr>
              <w:t xml:space="preserve">el </w:t>
            </w:r>
            <w:r w:rsidR="005D6284" w:rsidRPr="00D931F0">
              <w:rPr>
                <w:rFonts w:ascii="Bookman Old Style" w:hAnsi="Bookman Old Style" w:cs="Arial"/>
              </w:rPr>
              <w:t xml:space="preserve">capital total, </w:t>
            </w:r>
            <w:r w:rsidR="003C3F31" w:rsidRPr="00D931F0">
              <w:rPr>
                <w:rFonts w:ascii="Bookman Old Style" w:hAnsi="Bookman Old Style" w:cs="Arial"/>
              </w:rPr>
              <w:t xml:space="preserve">en el momento </w:t>
            </w:r>
            <m:oMath>
              <m:r>
                <m:rPr>
                  <m:sty m:val="p"/>
                </m:rPr>
                <w:rPr>
                  <w:rFonts w:ascii="Cambria Math" w:eastAsia="Cambria Math" w:hAnsi="Cambria Math" w:cstheme="minorBidi"/>
                  <w:color w:val="000000" w:themeColor="text1"/>
                  <w:kern w:val="24"/>
                </w:rPr>
                <m:t>τ</m:t>
              </m:r>
            </m:oMath>
            <w:r w:rsidR="00950454" w:rsidRPr="00D931F0">
              <w:rPr>
                <w:rFonts w:ascii="Bookman Old Style" w:hAnsi="Bookman Old Style" w:cs="Arial"/>
                <w:bCs/>
                <w:color w:val="000000" w:themeColor="text1"/>
                <w:kern w:val="24"/>
              </w:rPr>
              <w:t>.</w:t>
            </w:r>
            <w:r w:rsidR="00A1405F" w:rsidRPr="00D931F0">
              <w:rPr>
                <w:rFonts w:ascii="Bookman Old Style" w:hAnsi="Bookman Old Style" w:cs="Arial"/>
                <w:bCs/>
                <w:color w:val="000000" w:themeColor="text1"/>
                <w:kern w:val="24"/>
              </w:rPr>
              <w:t xml:space="preserve"> </w:t>
            </w:r>
            <w:r w:rsidR="00A1405F" w:rsidRPr="00D931F0">
              <w:rPr>
                <w:rFonts w:ascii="Bookman Old Style" w:hAnsi="Bookman Old Style" w:cs="Arial"/>
              </w:rPr>
              <w:t xml:space="preserve">El valor corresponderá al </w:t>
            </w:r>
            <w:r w:rsidR="008020D8" w:rsidRPr="00D931F0">
              <w:rPr>
                <w:rFonts w:ascii="Bookman Old Style" w:hAnsi="Bookman Old Style" w:cs="Arial"/>
              </w:rPr>
              <w:t xml:space="preserve">del último trimestre </w:t>
            </w:r>
            <w:r w:rsidR="0091215F" w:rsidRPr="00D931F0">
              <w:rPr>
                <w:rFonts w:ascii="Bookman Old Style" w:hAnsi="Bookman Old Style" w:cs="Arial"/>
              </w:rPr>
              <w:t>disponible</w:t>
            </w:r>
            <w:r w:rsidR="00FD2B70" w:rsidRPr="00D931F0">
              <w:rPr>
                <w:rFonts w:ascii="Bookman Old Style" w:hAnsi="Bookman Old Style" w:cs="Arial"/>
              </w:rPr>
              <w:t xml:space="preserve"> en la fecha de cálculo</w:t>
            </w:r>
            <w:r w:rsidR="00324408" w:rsidRPr="00D931F0">
              <w:rPr>
                <w:rFonts w:ascii="Bookman Old Style" w:hAnsi="Bookman Old Style" w:cs="Arial"/>
              </w:rPr>
              <w:t>, publicado</w:t>
            </w:r>
            <w:r w:rsidR="00DF58C7" w:rsidRPr="00D931F0">
              <w:rPr>
                <w:rFonts w:ascii="Bookman Old Style" w:hAnsi="Bookman Old Style" w:cs="Arial"/>
              </w:rPr>
              <w:t xml:space="preserve"> </w:t>
            </w:r>
            <w:r w:rsidR="00324408" w:rsidRPr="00D931F0">
              <w:rPr>
                <w:rFonts w:ascii="Bookman Old Style" w:hAnsi="Bookman Old Style" w:cs="Arial"/>
              </w:rPr>
              <w:t xml:space="preserve">por Duff &amp; Phelps </w:t>
            </w:r>
            <w:r w:rsidR="00C07D24" w:rsidRPr="00D931F0">
              <w:rPr>
                <w:rFonts w:ascii="Bookman Old Style" w:hAnsi="Bookman Old Style" w:cs="Arial"/>
              </w:rPr>
              <w:t xml:space="preserve">en </w:t>
            </w:r>
            <w:r w:rsidR="00131E79">
              <w:rPr>
                <w:rFonts w:ascii="Bookman Old Style" w:hAnsi="Bookman Old Style" w:cs="Arial"/>
              </w:rPr>
              <w:t>sus servicios de información</w:t>
            </w:r>
            <w:r w:rsidR="00716D38" w:rsidRPr="00D931F0">
              <w:rPr>
                <w:rFonts w:ascii="Bookman Old Style" w:hAnsi="Bookman Old Style" w:cs="Arial"/>
              </w:rPr>
              <w:t>, que considera</w:t>
            </w:r>
            <w:r w:rsidR="001063B5" w:rsidRPr="00D931F0">
              <w:rPr>
                <w:rFonts w:ascii="Bookman Old Style" w:hAnsi="Bookman Old Style" w:cs="Arial"/>
              </w:rPr>
              <w:t xml:space="preserve"> la</w:t>
            </w:r>
            <w:r w:rsidR="00716D38" w:rsidRPr="00D931F0">
              <w:rPr>
                <w:rFonts w:ascii="Bookman Old Style" w:hAnsi="Bookman Old Style" w:cs="Arial"/>
              </w:rPr>
              <w:t xml:space="preserve"> </w:t>
            </w:r>
            <w:r w:rsidR="00016A51" w:rsidRPr="00D931F0">
              <w:rPr>
                <w:rFonts w:ascii="Bookman Old Style" w:hAnsi="Bookman Old Style" w:cs="Arial"/>
              </w:rPr>
              <w:t>mediana</w:t>
            </w:r>
            <w:r w:rsidR="00830CFE" w:rsidRPr="00D931F0">
              <w:rPr>
                <w:rFonts w:ascii="Bookman Old Style" w:hAnsi="Bookman Old Style"/>
              </w:rPr>
              <w:t xml:space="preserve"> </w:t>
            </w:r>
            <w:r w:rsidR="00716D38" w:rsidRPr="00D931F0">
              <w:rPr>
                <w:rFonts w:ascii="Bookman Old Style" w:hAnsi="Bookman Old Style" w:cs="Arial"/>
              </w:rPr>
              <w:t>de</w:t>
            </w:r>
            <w:r w:rsidR="00FE0495" w:rsidRPr="00D931F0">
              <w:rPr>
                <w:rFonts w:ascii="Bookman Old Style" w:hAnsi="Bookman Old Style" w:cs="Arial"/>
              </w:rPr>
              <w:t xml:space="preserve">l promedio de </w:t>
            </w:r>
            <w:r w:rsidR="00716D38" w:rsidRPr="00D931F0">
              <w:rPr>
                <w:rFonts w:ascii="Bookman Old Style" w:hAnsi="Bookman Old Style" w:cs="Arial"/>
              </w:rPr>
              <w:t>5 años</w:t>
            </w:r>
            <w:r w:rsidR="00B45F35" w:rsidRPr="00D931F0">
              <w:rPr>
                <w:rFonts w:ascii="Bookman Old Style" w:hAnsi="Bookman Old Style" w:cs="Arial"/>
              </w:rPr>
              <w:t>, para e</w:t>
            </w:r>
            <w:r w:rsidR="00A1405F" w:rsidRPr="00D931F0">
              <w:rPr>
                <w:rFonts w:ascii="Bookman Old Style" w:hAnsi="Bookman Old Style" w:cs="Arial"/>
              </w:rPr>
              <w:t xml:space="preserve">l código </w:t>
            </w:r>
            <w:r w:rsidR="003B2174" w:rsidRPr="00D931F0">
              <w:rPr>
                <w:rFonts w:ascii="Bookman Old Style" w:hAnsi="Bookman Old Style" w:cs="Arial"/>
              </w:rPr>
              <w:t xml:space="preserve">industrial </w:t>
            </w:r>
            <w:r w:rsidR="00A1405F" w:rsidRPr="00D931F0">
              <w:rPr>
                <w:rFonts w:ascii="Bookman Old Style" w:hAnsi="Bookman Old Style" w:cs="Arial"/>
              </w:rPr>
              <w:t xml:space="preserve">de referencia </w:t>
            </w:r>
            <w:r w:rsidR="00F3489E" w:rsidRPr="00D931F0">
              <w:rPr>
                <w:rFonts w:ascii="Bookman Old Style" w:hAnsi="Bookman Old Style" w:cs="Arial"/>
              </w:rPr>
              <w:t>(Standard Industrial Classification - SIC Code)</w:t>
            </w:r>
            <w:r w:rsidR="00C13DFD" w:rsidRPr="00D931F0">
              <w:rPr>
                <w:rFonts w:ascii="Bookman Old Style" w:hAnsi="Bookman Old Style" w:cs="Arial"/>
              </w:rPr>
              <w:t xml:space="preserve"> correspondiente a</w:t>
            </w:r>
            <w:r w:rsidR="00F3489E" w:rsidRPr="00D931F0">
              <w:rPr>
                <w:rFonts w:ascii="Bookman Old Style" w:hAnsi="Bookman Old Style" w:cs="Arial"/>
              </w:rPr>
              <w:t xml:space="preserve"> </w:t>
            </w:r>
            <w:r w:rsidR="00A1405F" w:rsidRPr="00D931F0">
              <w:rPr>
                <w:rFonts w:ascii="Bookman Old Style" w:hAnsi="Bookman Old Style" w:cs="Arial"/>
              </w:rPr>
              <w:t xml:space="preserve">la actividad </w:t>
            </w:r>
            <w:r w:rsidR="00A1405F" w:rsidRPr="00D931F0">
              <w:rPr>
                <w:rFonts w:ascii="Bookman Old Style" w:hAnsi="Bookman Old Style" w:cs="Arial"/>
                <w:i/>
              </w:rPr>
              <w:t>a</w:t>
            </w:r>
            <w:r w:rsidR="00A1405F" w:rsidRPr="00D931F0">
              <w:rPr>
                <w:rFonts w:ascii="Bookman Old Style" w:hAnsi="Bookman Old Style" w:cs="Arial"/>
              </w:rPr>
              <w:t xml:space="preserve">, </w:t>
            </w:r>
            <w:r w:rsidR="00D268BC" w:rsidRPr="00D931F0">
              <w:rPr>
                <w:rFonts w:ascii="Bookman Old Style" w:hAnsi="Bookman Old Style" w:cs="Arial"/>
              </w:rPr>
              <w:t xml:space="preserve">el cual </w:t>
            </w:r>
            <w:r w:rsidR="007F1C98" w:rsidRPr="00D931F0">
              <w:rPr>
                <w:rFonts w:ascii="Bookman Old Style" w:hAnsi="Bookman Old Style" w:cs="Arial"/>
              </w:rPr>
              <w:t>estable</w:t>
            </w:r>
            <w:r w:rsidR="00D268BC" w:rsidRPr="00D931F0">
              <w:rPr>
                <w:rFonts w:ascii="Bookman Old Style" w:hAnsi="Bookman Old Style" w:cs="Arial"/>
              </w:rPr>
              <w:t xml:space="preserve">cerá </w:t>
            </w:r>
            <w:r w:rsidR="00322F62" w:rsidRPr="00D931F0">
              <w:rPr>
                <w:rFonts w:ascii="Bookman Old Style" w:hAnsi="Bookman Old Style" w:cs="Arial"/>
              </w:rPr>
              <w:t xml:space="preserve">la </w:t>
            </w:r>
            <w:r w:rsidR="007F1C98" w:rsidRPr="00D931F0">
              <w:rPr>
                <w:rFonts w:ascii="Bookman Old Style" w:hAnsi="Bookman Old Style" w:cs="Arial"/>
              </w:rPr>
              <w:t xml:space="preserve">Comisión </w:t>
            </w:r>
            <w:r w:rsidR="00A1405F" w:rsidRPr="00D931F0">
              <w:rPr>
                <w:rFonts w:ascii="Bookman Old Style" w:hAnsi="Bookman Old Style" w:cs="Arial"/>
              </w:rPr>
              <w:t>en resolución aparte.</w:t>
            </w:r>
          </w:p>
          <w:p w14:paraId="62770809" w14:textId="77777777" w:rsidR="000776BE" w:rsidRPr="00D931F0" w:rsidRDefault="000776BE" w:rsidP="00F67EAC">
            <w:pPr>
              <w:ind w:left="0"/>
              <w:jc w:val="both"/>
              <w:rPr>
                <w:rFonts w:ascii="Bookman Old Style" w:hAnsi="Bookman Old Style"/>
              </w:rPr>
            </w:pPr>
          </w:p>
        </w:tc>
      </w:tr>
      <w:tr w:rsidR="000776BE" w:rsidRPr="00F340A2" w14:paraId="01A8003E" w14:textId="77777777" w:rsidTr="00F67EAC">
        <w:tc>
          <w:tcPr>
            <w:tcW w:w="1101" w:type="dxa"/>
          </w:tcPr>
          <w:p w14:paraId="3602F1FF" w14:textId="5DE9268C" w:rsidR="000776BE" w:rsidRPr="00F340A2" w:rsidRDefault="00CD23BF"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We</m:t>
                    </m:r>
                  </m:e>
                  <m:sub>
                    <m:r>
                      <m:rPr>
                        <m:sty m:val="b"/>
                      </m:rPr>
                      <w:rPr>
                        <w:rFonts w:ascii="Cambria Math" w:eastAsia="Cambria Math" w:hAnsi="Cambria Math" w:cstheme="minorBidi"/>
                        <w:color w:val="000000" w:themeColor="text1"/>
                        <w:kern w:val="24"/>
                      </w:rPr>
                      <m:t>a,τ</m:t>
                    </m:r>
                  </m:sub>
                </m:sSub>
              </m:oMath>
            </m:oMathPara>
          </w:p>
        </w:tc>
        <w:tc>
          <w:tcPr>
            <w:tcW w:w="298" w:type="dxa"/>
          </w:tcPr>
          <w:p w14:paraId="2A0A9217"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14:paraId="729336A6" w14:textId="55BD1DCC"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rPr>
              <w:t>Ponderador para el costo del capital propio</w:t>
            </w:r>
            <w:r w:rsidR="00451E7C">
              <w:rPr>
                <w:rFonts w:ascii="Bookman Old Style" w:hAnsi="Bookman Old Style" w:cs="Arial"/>
              </w:rPr>
              <w:t xml:space="preserve"> </w:t>
            </w:r>
            <w:r w:rsidR="003A217A">
              <w:rPr>
                <w:rFonts w:ascii="Bookman Old Style" w:hAnsi="Bookman Old Style" w:cs="Arial"/>
              </w:rPr>
              <w:t>(</w:t>
            </w:r>
            <w:r w:rsidR="003A217A" w:rsidRPr="00691B6D">
              <w:rPr>
                <w:rFonts w:ascii="Bookman Old Style" w:hAnsi="Bookman Old Style" w:cs="Arial"/>
                <w:i/>
              </w:rPr>
              <w:t>equity</w:t>
            </w:r>
            <w:r w:rsidR="003A217A">
              <w:rPr>
                <w:rFonts w:ascii="Bookman Old Style" w:hAnsi="Bookman Old Style" w:cs="Arial"/>
              </w:rPr>
              <w:t xml:space="preserve">) </w:t>
            </w:r>
            <w:r w:rsidR="00451E7C">
              <w:rPr>
                <w:rFonts w:ascii="Bookman Old Style" w:hAnsi="Bookman Old Style" w:cs="Arial"/>
              </w:rPr>
              <w:t>de la actividad</w:t>
            </w:r>
            <w:r w:rsidR="006B5E53">
              <w:rPr>
                <w:rFonts w:ascii="Bookman Old Style" w:hAnsi="Bookman Old Style" w:cs="Arial"/>
              </w:rPr>
              <w:t xml:space="preserve"> a</w:t>
            </w:r>
            <w:r w:rsidR="002247C8">
              <w:rPr>
                <w:rFonts w:ascii="Bookman Old Style" w:hAnsi="Bookman Old Style" w:cs="Arial"/>
              </w:rPr>
              <w:t>, en el momento</w:t>
            </w:r>
            <m:oMath>
              <m:r>
                <m:rPr>
                  <m:sty m:val="p"/>
                </m:rPr>
                <w:rPr>
                  <w:rFonts w:ascii="Cambria Math" w:eastAsia="Cambria Math" w:hAnsi="Cambria Math" w:cstheme="minorBidi"/>
                  <w:color w:val="000000" w:themeColor="text1"/>
                  <w:kern w:val="24"/>
                </w:rPr>
                <m:t xml:space="preserve"> τ</m:t>
              </m:r>
            </m:oMath>
            <w:r w:rsidR="002247C8">
              <w:rPr>
                <w:rFonts w:ascii="Bookman Old Style" w:hAnsi="Bookman Old Style" w:cs="Arial"/>
                <w:bCs/>
                <w:color w:val="000000" w:themeColor="text1"/>
                <w:kern w:val="24"/>
              </w:rPr>
              <w:t>.</w:t>
            </w:r>
            <w:r w:rsidRPr="00F340A2">
              <w:rPr>
                <w:rFonts w:ascii="Bookman Old Style" w:hAnsi="Bookman Old Style" w:cs="Arial"/>
              </w:rPr>
              <w:t xml:space="preserve"> El valor aplica</w:t>
            </w:r>
            <w:r w:rsidR="00A87D07">
              <w:rPr>
                <w:rFonts w:ascii="Bookman Old Style" w:hAnsi="Bookman Old Style" w:cs="Arial"/>
              </w:rPr>
              <w:t>ble</w:t>
            </w:r>
            <w:r w:rsidRPr="00F340A2">
              <w:rPr>
                <w:rFonts w:ascii="Bookman Old Style" w:hAnsi="Bookman Old Style" w:cs="Arial"/>
              </w:rPr>
              <w:t xml:space="preserve"> </w:t>
            </w:r>
            <w:r w:rsidR="000C4641">
              <w:rPr>
                <w:rFonts w:ascii="Bookman Old Style" w:hAnsi="Bookman Old Style" w:cs="Arial"/>
              </w:rPr>
              <w:t xml:space="preserve">resulta de </w:t>
            </w:r>
            <w:r w:rsidR="003A217A">
              <w:rPr>
                <w:rFonts w:ascii="Bookman Old Style" w:hAnsi="Bookman Old Style" w:cs="Arial"/>
              </w:rPr>
              <w:t xml:space="preserve">utilizar </w:t>
            </w:r>
            <w:r w:rsidR="000C4641">
              <w:rPr>
                <w:rFonts w:ascii="Bookman Old Style" w:hAnsi="Bookman Old Style" w:cs="Arial"/>
              </w:rPr>
              <w:t xml:space="preserve">la siguiente expresión: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We</m:t>
                  </m:r>
                </m:e>
                <m:sub>
                  <m:r>
                    <m:rPr>
                      <m:sty m:val="p"/>
                    </m:rPr>
                    <w:rPr>
                      <w:rFonts w:ascii="Cambria Math" w:eastAsia="Cambria Math" w:hAnsi="Cambria Math" w:cstheme="minorBidi"/>
                      <w:color w:val="000000" w:themeColor="text1"/>
                      <w:kern w:val="24"/>
                    </w:rPr>
                    <m:t>a,τ</m:t>
                  </m:r>
                </m:sub>
              </m:sSub>
              <m:r>
                <w:rPr>
                  <w:rFonts w:ascii="Cambria Math" w:hAnsi="Cambria Math" w:cs="Arial"/>
                </w:rPr>
                <m:t>=</m:t>
              </m:r>
              <m:r>
                <m:rPr>
                  <m:sty m:val="p"/>
                </m:rPr>
                <w:rPr>
                  <w:rFonts w:ascii="Cambria Math" w:eastAsiaTheme="minorEastAsia" w:hAnsi="Cambria Math"/>
                  <w:color w:val="000000" w:themeColor="text1"/>
                  <w:kern w:val="24"/>
                </w:rPr>
                <m:t>1-</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Wd</m:t>
                  </m:r>
                </m:e>
                <m:sub>
                  <m:r>
                    <m:rPr>
                      <m:sty m:val="p"/>
                    </m:rPr>
                    <w:rPr>
                      <w:rFonts w:ascii="Cambria Math" w:eastAsia="Cambria Math" w:hAnsi="Cambria Math" w:cstheme="minorBidi"/>
                      <w:color w:val="000000" w:themeColor="text1"/>
                      <w:kern w:val="24"/>
                    </w:rPr>
                    <m:t xml:space="preserve"> a,τ</m:t>
                  </m:r>
                </m:sub>
              </m:sSub>
            </m:oMath>
            <w:r w:rsidRPr="00F340A2">
              <w:rPr>
                <w:rFonts w:ascii="Bookman Old Style" w:hAnsi="Bookman Old Style" w:cs="Arial"/>
                <w:iCs/>
                <w:color w:val="000000" w:themeColor="text1"/>
                <w:kern w:val="24"/>
              </w:rPr>
              <w:t>.</w:t>
            </w:r>
          </w:p>
          <w:p w14:paraId="14A46449" w14:textId="77777777" w:rsidR="0018073E" w:rsidRPr="00F340A2" w:rsidRDefault="0018073E" w:rsidP="00F67EAC">
            <w:pPr>
              <w:ind w:left="0"/>
              <w:jc w:val="both"/>
              <w:rPr>
                <w:rFonts w:ascii="Bookman Old Style" w:hAnsi="Bookman Old Style"/>
                <w:lang w:val="es-ES_tradnl"/>
              </w:rPr>
            </w:pPr>
          </w:p>
        </w:tc>
      </w:tr>
      <w:tr w:rsidR="000776BE" w:rsidRPr="00F340A2" w14:paraId="49770E0B" w14:textId="77777777" w:rsidTr="00F67EAC">
        <w:tc>
          <w:tcPr>
            <w:tcW w:w="1101" w:type="dxa"/>
          </w:tcPr>
          <w:p w14:paraId="251DF516" w14:textId="4E322CC8" w:rsidR="000776BE" w:rsidRPr="00F340A2" w:rsidRDefault="00CD23BF"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Kd_cop</m:t>
                    </m:r>
                  </m:e>
                  <m:sub>
                    <m:r>
                      <m:rPr>
                        <m:sty m:val="b"/>
                      </m:rPr>
                      <w:rPr>
                        <w:rFonts w:ascii="Cambria Math" w:eastAsia="Cambria Math" w:hAnsi="Cambria Math" w:cs="Arial"/>
                        <w:color w:val="000000" w:themeColor="text1"/>
                        <w:kern w:val="24"/>
                      </w:rPr>
                      <m:t>τ</m:t>
                    </m:r>
                  </m:sub>
                </m:sSub>
              </m:oMath>
            </m:oMathPara>
          </w:p>
        </w:tc>
        <w:tc>
          <w:tcPr>
            <w:tcW w:w="298" w:type="dxa"/>
          </w:tcPr>
          <w:p w14:paraId="09500711"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14:paraId="2BF6F704" w14:textId="67B3D032" w:rsidR="006930DC" w:rsidRDefault="000776BE" w:rsidP="00F67EAC">
            <w:pPr>
              <w:ind w:left="0"/>
              <w:jc w:val="both"/>
              <w:rPr>
                <w:rFonts w:ascii="Bookman Old Style" w:hAnsi="Bookman Old Style" w:cs="Arial"/>
              </w:rPr>
            </w:pPr>
            <w:r w:rsidRPr="00F340A2">
              <w:rPr>
                <w:rFonts w:ascii="Bookman Old Style" w:hAnsi="Bookman Old Style" w:cs="Arial"/>
              </w:rPr>
              <w:t xml:space="preserve">Costo de la deuda en pesos </w:t>
            </w:r>
            <w:r w:rsidR="0017533D">
              <w:rPr>
                <w:rFonts w:ascii="Bookman Old Style" w:hAnsi="Bookman Old Style" w:cs="Arial"/>
              </w:rPr>
              <w:t xml:space="preserve">corrientes </w:t>
            </w:r>
            <w:r w:rsidRPr="00F340A2">
              <w:rPr>
                <w:rFonts w:ascii="Bookman Old Style" w:hAnsi="Bookman Old Style" w:cs="Arial"/>
              </w:rPr>
              <w:t xml:space="preserve">en el momento </w:t>
            </w:r>
            <m:oMath>
              <m:r>
                <m:rPr>
                  <m:sty m:val="p"/>
                </m:rPr>
                <w:rPr>
                  <w:rFonts w:ascii="Cambria Math" w:hAnsi="Cambria Math" w:cs="Arial"/>
                </w:rPr>
                <m:t>τ</m:t>
              </m:r>
            </m:oMath>
            <w:r w:rsidRPr="00F340A2">
              <w:rPr>
                <w:rFonts w:ascii="Bookman Old Style" w:hAnsi="Bookman Old Style" w:cs="Arial"/>
              </w:rPr>
              <w:t>. Corresponde al promedio</w:t>
            </w:r>
            <w:r w:rsidR="00FA776C">
              <w:rPr>
                <w:rFonts w:ascii="Bookman Old Style" w:hAnsi="Bookman Old Style" w:cs="Arial"/>
              </w:rPr>
              <w:t>,</w:t>
            </w:r>
            <w:r w:rsidRPr="00F340A2">
              <w:rPr>
                <w:rFonts w:ascii="Bookman Old Style" w:hAnsi="Bookman Old Style" w:cs="Arial"/>
              </w:rPr>
              <w:t xml:space="preserve"> </w:t>
            </w:r>
            <w:r w:rsidR="00A5545E" w:rsidRPr="00F340A2">
              <w:rPr>
                <w:rFonts w:ascii="Bookman Old Style" w:hAnsi="Bookman Old Style" w:cs="Arial"/>
              </w:rPr>
              <w:t xml:space="preserve">ponderado por monto de </w:t>
            </w:r>
            <w:r w:rsidR="00A5545E">
              <w:rPr>
                <w:rFonts w:ascii="Bookman Old Style" w:hAnsi="Bookman Old Style" w:cs="Arial"/>
              </w:rPr>
              <w:t xml:space="preserve">colocación </w:t>
            </w:r>
            <w:r w:rsidR="00FA776C">
              <w:rPr>
                <w:rFonts w:ascii="Bookman Old Style" w:hAnsi="Bookman Old Style" w:cs="Arial"/>
              </w:rPr>
              <w:t>y</w:t>
            </w:r>
            <w:r w:rsidR="00A5545E">
              <w:rPr>
                <w:rFonts w:ascii="Bookman Old Style" w:hAnsi="Bookman Old Style" w:cs="Arial"/>
              </w:rPr>
              <w:t xml:space="preserve"> conforme al método de suma de dígitos</w:t>
            </w:r>
            <w:r w:rsidRPr="00F340A2">
              <w:rPr>
                <w:rFonts w:ascii="Bookman Old Style" w:hAnsi="Bookman Old Style" w:cs="Arial"/>
              </w:rPr>
              <w:t>, de las tasas de colocación de créditos comerciales (preferencial o corporativo), a más de 1825 días, del total de establecimientos (no incluye las tasas de las entidades financieras especiales excepto el Fondo Nacional de Ahorro)</w:t>
            </w:r>
            <w:r w:rsidR="00B45B5C">
              <w:rPr>
                <w:rFonts w:ascii="Bookman Old Style" w:hAnsi="Bookman Old Style" w:cs="Arial"/>
              </w:rPr>
              <w:t xml:space="preserve">, de </w:t>
            </w:r>
            <w:r w:rsidR="00B45B5C" w:rsidRPr="00303955">
              <w:rPr>
                <w:rFonts w:ascii="Bookman Old Style" w:hAnsi="Bookman Old Style" w:cs="Arial"/>
              </w:rPr>
              <w:t xml:space="preserve">los </w:t>
            </w:r>
            <w:r w:rsidR="001E1236">
              <w:rPr>
                <w:rFonts w:ascii="Bookman Old Style" w:hAnsi="Bookman Old Style" w:cs="Arial"/>
              </w:rPr>
              <w:t>sesenta</w:t>
            </w:r>
            <w:r w:rsidR="00B45B5C" w:rsidRPr="00303955">
              <w:rPr>
                <w:rFonts w:ascii="Bookman Old Style" w:hAnsi="Bookman Old Style" w:cs="Arial"/>
              </w:rPr>
              <w:t xml:space="preserve"> (</w:t>
            </w:r>
            <w:r w:rsidR="001E1236">
              <w:rPr>
                <w:rFonts w:ascii="Bookman Old Style" w:hAnsi="Bookman Old Style" w:cs="Arial"/>
              </w:rPr>
              <w:t>60</w:t>
            </w:r>
            <w:r w:rsidR="00B45B5C" w:rsidRPr="00303955">
              <w:rPr>
                <w:rFonts w:ascii="Bookman Old Style" w:hAnsi="Bookman Old Style" w:cs="Arial"/>
              </w:rPr>
              <w:t>) meses anteriores</w:t>
            </w:r>
            <w:r w:rsidRPr="00F340A2">
              <w:rPr>
                <w:rFonts w:ascii="Bookman Old Style" w:hAnsi="Bookman Old Style" w:cs="Arial"/>
              </w:rPr>
              <w:t>.</w:t>
            </w:r>
            <w:r w:rsidR="00B14B85">
              <w:rPr>
                <w:rFonts w:ascii="Bookman Old Style" w:hAnsi="Bookman Old Style" w:cs="Arial"/>
              </w:rPr>
              <w:t xml:space="preserve"> La </w:t>
            </w:r>
            <w:r w:rsidR="00096E01">
              <w:rPr>
                <w:rFonts w:ascii="Bookman Old Style" w:hAnsi="Bookman Old Style" w:cs="Arial"/>
              </w:rPr>
              <w:t>información</w:t>
            </w:r>
            <w:r w:rsidR="009F0F6D">
              <w:rPr>
                <w:rFonts w:ascii="Bookman Old Style" w:hAnsi="Bookman Old Style" w:cs="Arial"/>
              </w:rPr>
              <w:t xml:space="preserve"> </w:t>
            </w:r>
            <w:r w:rsidR="00C97167">
              <w:rPr>
                <w:rFonts w:ascii="Bookman Old Style" w:hAnsi="Bookman Old Style" w:cs="Arial"/>
              </w:rPr>
              <w:t xml:space="preserve">para efectuar el cálculo es publicada por </w:t>
            </w:r>
            <w:r w:rsidR="009F0F6D">
              <w:rPr>
                <w:rFonts w:ascii="Bookman Old Style" w:hAnsi="Bookman Old Style" w:cs="Arial"/>
              </w:rPr>
              <w:t>el Banco de la República</w:t>
            </w:r>
            <w:r w:rsidR="00C117D1">
              <w:rPr>
                <w:rFonts w:ascii="Bookman Old Style" w:hAnsi="Bookman Old Style" w:cs="Arial"/>
              </w:rPr>
              <w:t xml:space="preserve"> con base en la información del formato 088 de la Superintendencia Financiera de Colombia</w:t>
            </w:r>
            <w:r w:rsidR="009F0F6D">
              <w:rPr>
                <w:rFonts w:ascii="Bookman Old Style" w:hAnsi="Bookman Old Style" w:cs="Arial"/>
              </w:rPr>
              <w:t>.</w:t>
            </w:r>
          </w:p>
          <w:p w14:paraId="21C59DDC" w14:textId="77777777" w:rsidR="00D22FD1" w:rsidRPr="00F340A2" w:rsidRDefault="00D22FD1" w:rsidP="00D22FD1">
            <w:pPr>
              <w:ind w:left="0"/>
              <w:contextualSpacing/>
              <w:jc w:val="both"/>
              <w:rPr>
                <w:rFonts w:ascii="Bookman Old Style" w:hAnsi="Bookman Old Style"/>
                <w:lang w:val="es-ES_tradnl"/>
              </w:rPr>
            </w:pPr>
          </w:p>
          <w:p w14:paraId="604BA9E6" w14:textId="29516990" w:rsidR="00D22FD1" w:rsidRPr="007B4F4C" w:rsidRDefault="00D22FD1" w:rsidP="00D22FD1">
            <w:pPr>
              <w:ind w:left="0"/>
              <w:contextualSpacing/>
              <w:jc w:val="both"/>
              <w:rPr>
                <w:rFonts w:ascii="Bookman Old Style" w:hAnsi="Bookman Old Style"/>
                <w:lang w:val="es-ES_tradnl"/>
              </w:rPr>
            </w:pPr>
            <w:r w:rsidRPr="007B4F4C">
              <w:rPr>
                <w:rFonts w:ascii="Bookman Old Style" w:hAnsi="Bookman Old Style"/>
                <w:lang w:val="es-ES_tradnl"/>
              </w:rPr>
              <w:t xml:space="preserve">El valor correspondiente a </w:t>
            </w:r>
            <m:oMath>
              <m:sSub>
                <m:sSubPr>
                  <m:ctrlPr>
                    <w:rPr>
                      <w:rFonts w:ascii="Cambria Math" w:eastAsia="Cambria Math" w:hAnsi="Cambria Math" w:cs="Arial"/>
                      <w:bCs/>
                      <w:iCs/>
                      <w:color w:val="000000" w:themeColor="text1"/>
                      <w:kern w:val="24"/>
                    </w:rPr>
                  </m:ctrlPr>
                </m:sSubPr>
                <m:e>
                  <m:r>
                    <m:rPr>
                      <m:sty m:val="p"/>
                    </m:rPr>
                    <w:rPr>
                      <w:rFonts w:ascii="Cambria Math" w:eastAsia="Cambria Math" w:hAnsi="Cambria Math" w:cs="Arial"/>
                      <w:color w:val="000000" w:themeColor="text1"/>
                      <w:kern w:val="24"/>
                    </w:rPr>
                    <m:t>Kd_cop</m:t>
                  </m:r>
                </m:e>
                <m:sub>
                  <m:r>
                    <m:rPr>
                      <m:sty m:val="p"/>
                    </m:rPr>
                    <w:rPr>
                      <w:rFonts w:ascii="Cambria Math" w:eastAsia="Cambria Math" w:hAnsi="Cambria Math" w:cs="Arial"/>
                      <w:color w:val="000000" w:themeColor="text1"/>
                      <w:kern w:val="24"/>
                    </w:rPr>
                    <m:t>τ</m:t>
                  </m:r>
                </m:sub>
              </m:sSub>
            </m:oMath>
            <w:r w:rsidRPr="007B4F4C">
              <w:rPr>
                <w:rFonts w:ascii="Bookman Old Style" w:hAnsi="Bookman Old Style"/>
                <w:lang w:val="es-ES_tradnl"/>
              </w:rPr>
              <w:t xml:space="preserve"> se obtiene mediante la siguiente expresión:</w:t>
            </w:r>
          </w:p>
          <w:p w14:paraId="51C1C049" w14:textId="77777777" w:rsidR="00D22FD1" w:rsidRPr="007B4F4C" w:rsidRDefault="00D22FD1" w:rsidP="00D22FD1">
            <w:pPr>
              <w:ind w:left="0"/>
              <w:jc w:val="both"/>
              <w:rPr>
                <w:rFonts w:ascii="Bookman Old Style" w:hAnsi="Bookman Old Style" w:cs="Arial"/>
              </w:rPr>
            </w:pPr>
          </w:p>
          <w:p w14:paraId="10FA814C" w14:textId="1E38077F" w:rsidR="00D22FD1" w:rsidRPr="007B2EE0" w:rsidRDefault="00CD23BF" w:rsidP="00D22FD1">
            <w:pPr>
              <w:ind w:left="0"/>
              <w:jc w:val="both"/>
              <w:rPr>
                <w:rFonts w:ascii="Bookman Old Style" w:hAnsi="Bookman Old Style" w:cs="Arial"/>
              </w:rPr>
            </w:pPr>
            <m:oMathPara>
              <m:oMath>
                <m:sSub>
                  <m:sSubPr>
                    <m:ctrlPr>
                      <w:rPr>
                        <w:rFonts w:ascii="Cambria Math" w:hAnsi="Cambria Math"/>
                        <w:lang w:val="es-ES_tradnl"/>
                      </w:rPr>
                    </m:ctrlPr>
                  </m:sSubPr>
                  <m:e>
                    <m:r>
                      <m:rPr>
                        <m:sty m:val="p"/>
                      </m:rPr>
                      <w:rPr>
                        <w:rFonts w:ascii="Cambria Math" w:hAnsi="Cambria Math"/>
                        <w:lang w:val="es-ES_tradnl"/>
                      </w:rPr>
                      <m:t>Kd_cop</m:t>
                    </m:r>
                  </m:e>
                  <m:sub>
                    <m:r>
                      <m:rPr>
                        <m:sty m:val="p"/>
                      </m:rPr>
                      <w:rPr>
                        <w:rFonts w:ascii="Cambria Math" w:hAnsi="Cambria Math"/>
                        <w:lang w:val="es-ES_tradnl"/>
                      </w:rPr>
                      <m:t>τ</m:t>
                    </m:r>
                  </m:sub>
                </m:sSub>
                <m:r>
                  <m:rPr>
                    <m:sty m:val="p"/>
                  </m:rPr>
                  <w:rPr>
                    <w:rFonts w:ascii="Cambria Math" w:hAnsi="Cambria Math" w:cs="Arial"/>
                  </w:rPr>
                  <m:t>=</m:t>
                </m:r>
                <m:nary>
                  <m:naryPr>
                    <m:chr m:val="∑"/>
                    <m:limLoc m:val="undOvr"/>
                    <m:ctrlPr>
                      <w:rPr>
                        <w:rFonts w:ascii="Cambria Math" w:hAnsi="Cambria Math" w:cs="Arial"/>
                      </w:rPr>
                    </m:ctrlPr>
                  </m:naryPr>
                  <m:sub>
                    <m:r>
                      <m:rPr>
                        <m:sty m:val="p"/>
                      </m:rPr>
                      <w:rPr>
                        <w:rFonts w:ascii="Cambria Math" w:hAnsi="Cambria Math" w:cs="Arial"/>
                      </w:rPr>
                      <m:t>i=-n</m:t>
                    </m:r>
                  </m:sub>
                  <m:sup>
                    <m:r>
                      <m:rPr>
                        <m:sty m:val="p"/>
                      </m:rPr>
                      <w:rPr>
                        <w:rFonts w:ascii="Cambria Math" w:hAnsi="Cambria Math" w:cs="Arial"/>
                      </w:rPr>
                      <m:t>-1</m:t>
                    </m:r>
                  </m:sup>
                  <m:e>
                    <m:d>
                      <m:dPr>
                        <m:begChr m:val="["/>
                        <m:endChr m:val="]"/>
                        <m:ctrlPr>
                          <w:rPr>
                            <w:rFonts w:ascii="Cambria Math" w:hAnsi="Cambria Math" w:cs="Arial"/>
                          </w:rPr>
                        </m:ctrlPr>
                      </m:dPr>
                      <m:e>
                        <m:d>
                          <m:dPr>
                            <m:ctrlPr>
                              <w:rPr>
                                <w:rFonts w:ascii="Cambria Math" w:hAnsi="Cambria Math" w:cs="Arial"/>
                              </w:rPr>
                            </m:ctrlPr>
                          </m:dPr>
                          <m:e>
                            <m:f>
                              <m:fPr>
                                <m:ctrlPr>
                                  <w:rPr>
                                    <w:rFonts w:ascii="Cambria Math" w:hAnsi="Cambria Math" w:cs="Arial"/>
                                  </w:rPr>
                                </m:ctrlPr>
                              </m:fPr>
                              <m:num>
                                <m:r>
                                  <m:rPr>
                                    <m:sty m:val="p"/>
                                  </m:rPr>
                                  <w:rPr>
                                    <w:rFonts w:ascii="Cambria Math" w:hAnsi="Cambria Math" w:cs="Arial"/>
                                  </w:rPr>
                                  <m:t>(n+1)+i</m:t>
                                </m:r>
                              </m:num>
                              <m:den>
                                <m:f>
                                  <m:fPr>
                                    <m:type m:val="lin"/>
                                    <m:ctrlPr>
                                      <w:rPr>
                                        <w:rFonts w:ascii="Cambria Math" w:hAnsi="Cambria Math" w:cs="Arial"/>
                                      </w:rPr>
                                    </m:ctrlPr>
                                  </m:fPr>
                                  <m:num>
                                    <m:r>
                                      <m:rPr>
                                        <m:sty m:val="p"/>
                                      </m:rPr>
                                      <w:rPr>
                                        <w:rFonts w:ascii="Cambria Math" w:hAnsi="Cambria Math" w:cs="Arial"/>
                                      </w:rPr>
                                      <m:t>n</m:t>
                                    </m:r>
                                    <m:d>
                                      <m:dPr>
                                        <m:ctrlPr>
                                          <w:rPr>
                                            <w:rFonts w:ascii="Cambria Math" w:hAnsi="Cambria Math" w:cs="Arial"/>
                                          </w:rPr>
                                        </m:ctrlPr>
                                      </m:dPr>
                                      <m:e>
                                        <m:r>
                                          <m:rPr>
                                            <m:sty m:val="p"/>
                                          </m:rPr>
                                          <w:rPr>
                                            <w:rFonts w:ascii="Cambria Math" w:hAnsi="Cambria Math" w:cs="Arial"/>
                                          </w:rPr>
                                          <m:t>n+1</m:t>
                                        </m:r>
                                      </m:e>
                                    </m:d>
                                  </m:num>
                                  <m:den>
                                    <m:r>
                                      <m:rPr>
                                        <m:sty m:val="p"/>
                                      </m:rPr>
                                      <w:rPr>
                                        <w:rFonts w:ascii="Cambria Math" w:hAnsi="Cambria Math" w:cs="Arial"/>
                                      </w:rPr>
                                      <m:t>2</m:t>
                                    </m:r>
                                  </m:den>
                                </m:f>
                              </m:den>
                            </m:f>
                            <m:r>
                              <m:rPr>
                                <m:sty m:val="p"/>
                              </m:rPr>
                              <w:rPr>
                                <w:rFonts w:ascii="Cambria Math" w:hAnsi="Cambria Math" w:cs="Arial"/>
                              </w:rPr>
                              <m:t>+</m:t>
                            </m:r>
                            <m:f>
                              <m:fPr>
                                <m:ctrlPr>
                                  <w:rPr>
                                    <w:rFonts w:ascii="Cambria Math" w:hAnsi="Cambria Math" w:cs="Arial"/>
                                  </w:rPr>
                                </m:ctrlPr>
                              </m:fPr>
                              <m:num>
                                <m:r>
                                  <m:rPr>
                                    <m:sty m:val="p"/>
                                  </m:rPr>
                                  <w:rPr>
                                    <w:rFonts w:ascii="Cambria Math" w:hAnsi="Cambria Math" w:cs="Arial"/>
                                  </w:rPr>
                                  <m:t>Mont</m:t>
                                </m:r>
                                <m:sSub>
                                  <m:sSubPr>
                                    <m:ctrlPr>
                                      <w:rPr>
                                        <w:rFonts w:ascii="Cambria Math" w:hAnsi="Cambria Math" w:cs="Arial"/>
                                      </w:rPr>
                                    </m:ctrlPr>
                                  </m:sSubPr>
                                  <m:e>
                                    <m:r>
                                      <m:rPr>
                                        <m:sty m:val="p"/>
                                      </m:rPr>
                                      <w:rPr>
                                        <w:rFonts w:ascii="Cambria Math" w:hAnsi="Cambria Math" w:cs="Arial"/>
                                      </w:rPr>
                                      <m:t>o</m:t>
                                    </m:r>
                                  </m:e>
                                  <m:sub>
                                    <m:r>
                                      <m:rPr>
                                        <m:sty m:val="p"/>
                                      </m:rPr>
                                      <w:rPr>
                                        <w:rFonts w:ascii="Cambria Math" w:hAnsi="Cambria Math" w:cs="Arial"/>
                                      </w:rPr>
                                      <m:t>i</m:t>
                                    </m:r>
                                  </m:sub>
                                </m:sSub>
                              </m:num>
                              <m:den>
                                <m:r>
                                  <m:rPr>
                                    <m:sty m:val="p"/>
                                  </m:rPr>
                                  <w:rPr>
                                    <w:rFonts w:ascii="Cambria Math" w:hAnsi="Cambria Math" w:cs="Arial"/>
                                  </w:rPr>
                                  <m:t>Monto_Total</m:t>
                                </m:r>
                              </m:den>
                            </m:f>
                          </m:e>
                        </m:d>
                        <m:r>
                          <w:rPr>
                            <w:rFonts w:ascii="Cambria Math" w:hAnsi="Cambria Math" w:cs="Arial"/>
                          </w:rPr>
                          <m:t>∙</m:t>
                        </m:r>
                        <m:f>
                          <m:fPr>
                            <m:ctrlPr>
                              <w:rPr>
                                <w:rFonts w:ascii="Cambria Math" w:hAnsi="Cambria Math"/>
                                <w:lang w:val="es-ES_tradnl"/>
                              </w:rPr>
                            </m:ctrlPr>
                          </m:fPr>
                          <m:num>
                            <m:sSub>
                              <m:sSubPr>
                                <m:ctrlPr>
                                  <w:rPr>
                                    <w:rFonts w:ascii="Cambria Math" w:hAnsi="Cambria Math"/>
                                    <w:lang w:val="es-ES_tradnl"/>
                                  </w:rPr>
                                </m:ctrlPr>
                              </m:sSubPr>
                              <m:e>
                                <m:r>
                                  <m:rPr>
                                    <m:sty m:val="p"/>
                                  </m:rPr>
                                  <w:rPr>
                                    <w:rFonts w:ascii="Cambria Math" w:hAnsi="Cambria Math"/>
                                    <w:lang w:val="es-ES_tradnl"/>
                                  </w:rPr>
                                  <m:t>Kd_cop</m:t>
                                </m:r>
                              </m:e>
                              <m:sub>
                                <m:r>
                                  <m:rPr>
                                    <m:sty m:val="p"/>
                                  </m:rPr>
                                  <w:rPr>
                                    <w:rFonts w:ascii="Cambria Math" w:hAnsi="Cambria Math"/>
                                    <w:lang w:val="es-ES_tradnl"/>
                                  </w:rPr>
                                  <m:t>i</m:t>
                                </m:r>
                              </m:sub>
                            </m:sSub>
                          </m:num>
                          <m:den>
                            <m:r>
                              <m:rPr>
                                <m:sty m:val="p"/>
                              </m:rPr>
                              <w:rPr>
                                <w:rFonts w:ascii="Cambria Math" w:hAnsi="Cambria Math"/>
                                <w:lang w:val="es-ES_tradnl"/>
                              </w:rPr>
                              <m:t>2</m:t>
                            </m:r>
                          </m:den>
                        </m:f>
                      </m:e>
                    </m:d>
                  </m:e>
                </m:nary>
              </m:oMath>
            </m:oMathPara>
          </w:p>
          <w:p w14:paraId="753EECBD" w14:textId="77777777" w:rsidR="00D22FD1" w:rsidRPr="007B4F4C" w:rsidRDefault="00D22FD1" w:rsidP="00D22FD1">
            <w:pPr>
              <w:ind w:left="0"/>
              <w:jc w:val="both"/>
              <w:rPr>
                <w:rFonts w:ascii="Bookman Old Style" w:hAnsi="Bookman Old Style" w:cs="Arial"/>
              </w:rPr>
            </w:pPr>
          </w:p>
          <w:p w14:paraId="7B4206C9" w14:textId="123A37C5" w:rsidR="005F29F1" w:rsidRPr="00F340A2" w:rsidRDefault="00D22FD1" w:rsidP="00F67EAC">
            <w:pPr>
              <w:ind w:left="0"/>
              <w:contextualSpacing/>
              <w:jc w:val="both"/>
              <w:rPr>
                <w:rFonts w:ascii="Bookman Old Style" w:hAnsi="Bookman Old Style" w:cs="Arial"/>
              </w:rPr>
            </w:pPr>
            <w:r w:rsidRPr="007B4F4C">
              <w:rPr>
                <w:rFonts w:ascii="Bookman Old Style" w:hAnsi="Bookman Old Style" w:cs="Arial"/>
              </w:rPr>
              <w:t xml:space="preserve">En donde </w:t>
            </w:r>
            <w:r w:rsidR="00973865" w:rsidRPr="007B4F4C">
              <w:rPr>
                <w:rFonts w:ascii="Bookman Old Style" w:hAnsi="Bookman Old Style"/>
                <w:lang w:val="es-ES_tradnl"/>
              </w:rPr>
              <w:t>i es cada un</w:t>
            </w:r>
            <w:r w:rsidR="00126C63">
              <w:rPr>
                <w:rFonts w:ascii="Bookman Old Style" w:hAnsi="Bookman Old Style"/>
                <w:lang w:val="es-ES_tradnl"/>
              </w:rPr>
              <w:t>o</w:t>
            </w:r>
            <w:r w:rsidR="00973865" w:rsidRPr="007B4F4C">
              <w:rPr>
                <w:rFonts w:ascii="Bookman Old Style" w:hAnsi="Bookman Old Style"/>
                <w:lang w:val="es-ES_tradnl"/>
              </w:rPr>
              <w:t xml:space="preserve"> de </w:t>
            </w:r>
            <w:r w:rsidR="00B71349">
              <w:rPr>
                <w:rFonts w:ascii="Bookman Old Style" w:hAnsi="Bookman Old Style"/>
                <w:lang w:val="es-ES_tradnl"/>
              </w:rPr>
              <w:t xml:space="preserve">los meses </w:t>
            </w:r>
            <w:r w:rsidR="00973865" w:rsidRPr="007B4F4C">
              <w:rPr>
                <w:rFonts w:ascii="Bookman Old Style" w:hAnsi="Bookman Old Style"/>
                <w:lang w:val="es-ES_tradnl"/>
              </w:rPr>
              <w:t>para l</w:t>
            </w:r>
            <w:r w:rsidR="00126C63">
              <w:rPr>
                <w:rFonts w:ascii="Bookman Old Style" w:hAnsi="Bookman Old Style"/>
                <w:lang w:val="es-ES_tradnl"/>
              </w:rPr>
              <w:t>o</w:t>
            </w:r>
            <w:r w:rsidR="00973865" w:rsidRPr="007B4F4C">
              <w:rPr>
                <w:rFonts w:ascii="Bookman Old Style" w:hAnsi="Bookman Old Style"/>
                <w:lang w:val="es-ES_tradnl"/>
              </w:rPr>
              <w:t>s que existe información</w:t>
            </w:r>
            <w:r w:rsidR="008E7508" w:rsidRPr="007B4F4C">
              <w:rPr>
                <w:rFonts w:ascii="Bookman Old Style" w:hAnsi="Bookman Old Style"/>
                <w:lang w:val="es-ES_tradnl"/>
              </w:rPr>
              <w:t xml:space="preserve">, </w:t>
            </w:r>
            <m:oMath>
              <m:sSub>
                <m:sSubPr>
                  <m:ctrlPr>
                    <w:rPr>
                      <w:rFonts w:ascii="Cambria Math" w:hAnsi="Cambria Math"/>
                      <w:iCs/>
                      <w:lang w:val="es-ES_tradnl"/>
                    </w:rPr>
                  </m:ctrlPr>
                </m:sSubPr>
                <m:e>
                  <m:r>
                    <m:rPr>
                      <m:sty m:val="p"/>
                    </m:rPr>
                    <w:rPr>
                      <w:rFonts w:ascii="Cambria Math" w:hAnsi="Cambria Math"/>
                      <w:lang w:val="es-ES_tradnl"/>
                    </w:rPr>
                    <m:t>Kd_cop</m:t>
                  </m:r>
                </m:e>
                <m:sub>
                  <m:r>
                    <m:rPr>
                      <m:sty m:val="p"/>
                    </m:rPr>
                    <w:rPr>
                      <w:rFonts w:ascii="Cambria Math" w:hAnsi="Cambria Math"/>
                      <w:lang w:val="es-ES_tradnl"/>
                    </w:rPr>
                    <m:t>i</m:t>
                  </m:r>
                </m:sub>
              </m:sSub>
            </m:oMath>
            <w:r w:rsidR="008E7508" w:rsidRPr="007B4F4C">
              <w:rPr>
                <w:rFonts w:ascii="Bookman Old Style" w:hAnsi="Bookman Old Style"/>
                <w:iCs/>
                <w:lang w:val="es-ES_tradnl"/>
              </w:rPr>
              <w:t xml:space="preserve"> es la tasa de colocación del</w:t>
            </w:r>
            <w:r w:rsidR="00362331">
              <w:rPr>
                <w:rFonts w:ascii="Bookman Old Style" w:hAnsi="Bookman Old Style"/>
                <w:iCs/>
                <w:lang w:val="es-ES_tradnl"/>
              </w:rPr>
              <w:t xml:space="preserve"> mes</w:t>
            </w:r>
            <w:r w:rsidR="008E7508" w:rsidRPr="007B4F4C">
              <w:rPr>
                <w:rFonts w:ascii="Bookman Old Style" w:hAnsi="Bookman Old Style"/>
                <w:iCs/>
                <w:lang w:val="es-ES_tradnl"/>
              </w:rPr>
              <w:t xml:space="preserve"> i, </w:t>
            </w:r>
            <w:r w:rsidRPr="007D4725">
              <w:rPr>
                <w:rFonts w:ascii="Bookman Old Style" w:hAnsi="Bookman Old Style" w:cs="Arial"/>
              </w:rPr>
              <w:t>n</w:t>
            </w:r>
            <w:r w:rsidRPr="007B4F4C">
              <w:rPr>
                <w:rFonts w:ascii="Bookman Old Style" w:hAnsi="Bookman Old Style" w:cs="Arial"/>
              </w:rPr>
              <w:t xml:space="preserve"> es el número de </w:t>
            </w:r>
            <w:r w:rsidR="00362331">
              <w:rPr>
                <w:rFonts w:ascii="Bookman Old Style" w:hAnsi="Bookman Old Style" w:cs="Arial"/>
              </w:rPr>
              <w:t xml:space="preserve">meses para los que existe información </w:t>
            </w:r>
            <w:r w:rsidRPr="007B4F4C">
              <w:rPr>
                <w:rFonts w:ascii="Bookman Old Style" w:hAnsi="Bookman Old Style" w:cs="Arial"/>
              </w:rPr>
              <w:t>disponible</w:t>
            </w:r>
            <w:r w:rsidR="00E52511">
              <w:rPr>
                <w:rFonts w:ascii="Bookman Old Style" w:hAnsi="Bookman Old Style" w:cs="Arial"/>
              </w:rPr>
              <w:t xml:space="preserve">, </w:t>
            </w:r>
            <m:oMath>
              <m:r>
                <m:rPr>
                  <m:sty m:val="p"/>
                </m:rPr>
                <w:rPr>
                  <w:rFonts w:ascii="Cambria Math" w:hAnsi="Cambria Math" w:cs="Arial"/>
                </w:rPr>
                <m:t>Mont</m:t>
              </m:r>
              <m:sSub>
                <m:sSubPr>
                  <m:ctrlPr>
                    <w:rPr>
                      <w:rFonts w:ascii="Cambria Math" w:hAnsi="Cambria Math" w:cs="Arial"/>
                    </w:rPr>
                  </m:ctrlPr>
                </m:sSubPr>
                <m:e>
                  <m:r>
                    <m:rPr>
                      <m:sty m:val="p"/>
                    </m:rPr>
                    <w:rPr>
                      <w:rFonts w:ascii="Cambria Math" w:hAnsi="Cambria Math" w:cs="Arial"/>
                    </w:rPr>
                    <m:t>o</m:t>
                  </m:r>
                </m:e>
                <m:sub>
                  <m:r>
                    <m:rPr>
                      <m:sty m:val="p"/>
                    </m:rPr>
                    <w:rPr>
                      <w:rFonts w:ascii="Cambria Math" w:hAnsi="Cambria Math" w:cs="Arial"/>
                    </w:rPr>
                    <m:t>i</m:t>
                  </m:r>
                </m:sub>
              </m:sSub>
            </m:oMath>
            <w:r w:rsidR="00E52511">
              <w:rPr>
                <w:rFonts w:ascii="Bookman Old Style" w:hAnsi="Bookman Old Style" w:cs="Arial"/>
              </w:rPr>
              <w:t xml:space="preserve"> es el valor de los desembolsos de</w:t>
            </w:r>
            <w:r w:rsidR="007B2EE0">
              <w:rPr>
                <w:rFonts w:ascii="Bookman Old Style" w:hAnsi="Bookman Old Style" w:cs="Arial"/>
              </w:rPr>
              <w:t xml:space="preserve">l mes i, </w:t>
            </w:r>
            <m:oMath>
              <m:r>
                <m:rPr>
                  <m:sty m:val="p"/>
                </m:rPr>
                <w:rPr>
                  <w:rFonts w:ascii="Cambria Math" w:hAnsi="Cambria Math" w:cs="Arial"/>
                </w:rPr>
                <m:t>Monto_Total</m:t>
              </m:r>
            </m:oMath>
            <w:r w:rsidR="00E52511">
              <w:rPr>
                <w:rFonts w:ascii="Bookman Old Style" w:hAnsi="Bookman Old Style" w:cs="Arial"/>
              </w:rPr>
              <w:t xml:space="preserve"> </w:t>
            </w:r>
            <w:r w:rsidR="007B2EE0">
              <w:rPr>
                <w:rFonts w:ascii="Bookman Old Style" w:hAnsi="Bookman Old Style" w:cs="Arial"/>
              </w:rPr>
              <w:t xml:space="preserve">es el valor de la suma de </w:t>
            </w:r>
            <w:r w:rsidR="00126C63">
              <w:rPr>
                <w:rFonts w:ascii="Bookman Old Style" w:hAnsi="Bookman Old Style" w:cs="Arial"/>
              </w:rPr>
              <w:t>los desembolsos</w:t>
            </w:r>
            <w:r w:rsidR="00986957">
              <w:rPr>
                <w:rFonts w:ascii="Bookman Old Style" w:hAnsi="Bookman Old Style" w:cs="Arial"/>
              </w:rPr>
              <w:t xml:space="preserve"> de todos los meses para los que existe información </w:t>
            </w:r>
            <w:r w:rsidRPr="007B4F4C">
              <w:rPr>
                <w:rFonts w:ascii="Bookman Old Style" w:hAnsi="Bookman Old Style" w:cs="Arial"/>
              </w:rPr>
              <w:t>e</w:t>
            </w:r>
            <w:r w:rsidRPr="00FE0142">
              <w:rPr>
                <w:rFonts w:ascii="Bookman Old Style" w:hAnsi="Bookman Old Style" w:cs="Arial"/>
              </w:rPr>
              <w:t xml:space="preserve"> </w:t>
            </w:r>
            <w:r w:rsidRPr="00576FFD">
              <w:rPr>
                <w:rFonts w:ascii="Bookman Old Style" w:hAnsi="Bookman Old Style" w:cs="Arial"/>
              </w:rPr>
              <w:t>i</w:t>
            </w:r>
            <w:r w:rsidR="00DF1B8D">
              <w:rPr>
                <w:rFonts w:ascii="Bookman Old Style" w:hAnsi="Bookman Old Style" w:cs="Arial"/>
              </w:rPr>
              <w:t xml:space="preserve"> </w:t>
            </w:r>
            <w:r w:rsidRPr="00FE0142">
              <w:rPr>
                <w:rFonts w:ascii="Bookman Old Style" w:hAnsi="Bookman Old Style" w:cs="Arial"/>
              </w:rPr>
              <w:t>=</w:t>
            </w:r>
            <w:r w:rsidR="009412DB">
              <w:rPr>
                <w:rFonts w:ascii="Bookman Old Style" w:hAnsi="Bookman Old Style" w:cs="Arial"/>
              </w:rPr>
              <w:t xml:space="preserve"> </w:t>
            </w:r>
            <w:r w:rsidRPr="009412DB">
              <w:rPr>
                <w:rFonts w:ascii="Bookman Old Style" w:hAnsi="Bookman Old Style" w:cs="Arial"/>
                <w:b/>
                <w:bCs/>
              </w:rPr>
              <w:t>-</w:t>
            </w:r>
            <w:r w:rsidRPr="00FE0142">
              <w:rPr>
                <w:rFonts w:ascii="Bookman Old Style" w:hAnsi="Bookman Old Style" w:cs="Arial"/>
              </w:rPr>
              <w:t>1 es</w:t>
            </w:r>
            <w:r w:rsidRPr="007B4F4C">
              <w:rPr>
                <w:rFonts w:ascii="Bookman Old Style" w:hAnsi="Bookman Old Style" w:cs="Arial"/>
              </w:rPr>
              <w:t xml:space="preserve"> el dato más reciente.</w:t>
            </w:r>
          </w:p>
          <w:p w14:paraId="5173259E" w14:textId="4CFBEDC9" w:rsidR="00637E55" w:rsidRPr="00C520CE" w:rsidRDefault="00637E55" w:rsidP="00F67EAC">
            <w:pPr>
              <w:ind w:left="0"/>
              <w:jc w:val="both"/>
              <w:rPr>
                <w:rFonts w:ascii="Bookman Old Style" w:hAnsi="Bookman Old Style"/>
                <w:sz w:val="22"/>
                <w:lang w:val="es-ES_tradnl"/>
              </w:rPr>
            </w:pPr>
          </w:p>
        </w:tc>
      </w:tr>
      <w:tr w:rsidR="000776BE" w:rsidRPr="00F340A2" w14:paraId="41809F67" w14:textId="77777777" w:rsidTr="00F67EAC">
        <w:tc>
          <w:tcPr>
            <w:tcW w:w="1101" w:type="dxa"/>
          </w:tcPr>
          <w:p w14:paraId="77628832" w14:textId="14B32FE2" w:rsidR="000776BE" w:rsidRPr="00F340A2" w:rsidRDefault="00CD23BF"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Ke_cop</m:t>
                    </m:r>
                  </m:e>
                  <m:sub>
                    <m:r>
                      <m:rPr>
                        <m:sty m:val="b"/>
                      </m:rPr>
                      <w:rPr>
                        <w:rFonts w:ascii="Cambria Math" w:eastAsia="Cambria Math" w:hAnsi="Cambria Math" w:cs="Arial"/>
                        <w:color w:val="000000" w:themeColor="text1"/>
                        <w:kern w:val="24"/>
                      </w:rPr>
                      <m:t>a,τ</m:t>
                    </m:r>
                  </m:sub>
                </m:sSub>
              </m:oMath>
            </m:oMathPara>
          </w:p>
        </w:tc>
        <w:tc>
          <w:tcPr>
            <w:tcW w:w="298" w:type="dxa"/>
          </w:tcPr>
          <w:p w14:paraId="1A0FDBF4" w14:textId="77777777" w:rsidR="000776BE" w:rsidRPr="00D6242C" w:rsidRDefault="000776BE" w:rsidP="00F67EAC">
            <w:pPr>
              <w:ind w:left="0"/>
              <w:rPr>
                <w:rFonts w:ascii="Bookman Old Style" w:hAnsi="Bookman Old Style" w:cs="Arial"/>
                <w:b/>
              </w:rPr>
            </w:pPr>
            <w:r w:rsidRPr="00D6242C">
              <w:rPr>
                <w:rFonts w:ascii="Bookman Old Style" w:hAnsi="Bookman Old Style" w:cs="Arial"/>
                <w:b/>
              </w:rPr>
              <w:t>:</w:t>
            </w:r>
          </w:p>
        </w:tc>
        <w:tc>
          <w:tcPr>
            <w:tcW w:w="8065" w:type="dxa"/>
            <w:vAlign w:val="center"/>
          </w:tcPr>
          <w:p w14:paraId="6D75E7CB" w14:textId="139C52F6" w:rsidR="000776BE" w:rsidRPr="00215C1B" w:rsidRDefault="000776BE" w:rsidP="00F67EAC">
            <w:pPr>
              <w:ind w:left="0"/>
              <w:jc w:val="both"/>
              <w:rPr>
                <w:rFonts w:ascii="Bookman Old Style" w:hAnsi="Bookman Old Style" w:cs="Arial"/>
              </w:rPr>
            </w:pPr>
            <w:r w:rsidRPr="00215C1B">
              <w:rPr>
                <w:rFonts w:ascii="Bookman Old Style" w:hAnsi="Bookman Old Style" w:cs="Arial"/>
              </w:rPr>
              <w:t>Costo del capital propio en pesos</w:t>
            </w:r>
            <w:r w:rsidR="004A1C63" w:rsidRPr="00215C1B">
              <w:rPr>
                <w:rFonts w:ascii="Bookman Old Style" w:hAnsi="Bookman Old Style" w:cs="Arial"/>
              </w:rPr>
              <w:t xml:space="preserve"> corrientes</w:t>
            </w:r>
            <w:r w:rsidRPr="00215C1B">
              <w:rPr>
                <w:rFonts w:ascii="Bookman Old Style" w:hAnsi="Bookman Old Style" w:cs="Arial"/>
              </w:rPr>
              <w:t>, equivalente al costo del capital propio en dólares</w:t>
            </w:r>
            <w:r w:rsidR="004A1C63" w:rsidRPr="00215C1B">
              <w:rPr>
                <w:rFonts w:ascii="Bookman Old Style" w:hAnsi="Bookman Old Style" w:cs="Arial"/>
              </w:rPr>
              <w:t xml:space="preserve"> corrientes</w:t>
            </w:r>
            <w:r w:rsidRPr="00215C1B">
              <w:rPr>
                <w:rFonts w:ascii="Bookman Old Style" w:hAnsi="Bookman Old Style" w:cs="Arial"/>
              </w:rPr>
              <w:t xml:space="preserve">, para la actividad </w:t>
            </w:r>
            <m:oMath>
              <m:r>
                <m:rPr>
                  <m:sty m:val="p"/>
                </m:rPr>
                <w:rPr>
                  <w:rFonts w:ascii="Cambria Math" w:hAnsi="Cambria Math" w:cs="Arial"/>
                </w:rPr>
                <m:t>a</m:t>
              </m:r>
            </m:oMath>
            <w:r w:rsidRPr="00215C1B">
              <w:rPr>
                <w:rFonts w:ascii="Bookman Old Style" w:hAnsi="Bookman Old Style" w:cs="Arial"/>
              </w:rPr>
              <w:t xml:space="preserve">, en el momento </w:t>
            </w:r>
            <m:oMath>
              <m:r>
                <m:rPr>
                  <m:sty m:val="p"/>
                </m:rPr>
                <w:rPr>
                  <w:rFonts w:ascii="Cambria Math" w:hAnsi="Cambria Math" w:cs="Arial"/>
                </w:rPr>
                <m:t>τ</m:t>
              </m:r>
            </m:oMath>
            <w:r w:rsidRPr="00215C1B">
              <w:rPr>
                <w:rFonts w:ascii="Bookman Old Style" w:hAnsi="Bookman Old Style" w:cs="Arial"/>
              </w:rPr>
              <w:t>.</w:t>
            </w:r>
          </w:p>
          <w:p w14:paraId="5F4A53E0" w14:textId="77777777" w:rsidR="000776BE" w:rsidRPr="00215C1B" w:rsidRDefault="000776BE" w:rsidP="00F67EAC">
            <w:pPr>
              <w:ind w:left="0"/>
              <w:jc w:val="both"/>
              <w:rPr>
                <w:rFonts w:ascii="Bookman Old Style" w:hAnsi="Bookman Old Style"/>
                <w:sz w:val="22"/>
                <w:lang w:val="es-ES_tradnl"/>
              </w:rPr>
            </w:pPr>
          </w:p>
        </w:tc>
      </w:tr>
      <w:tr w:rsidR="006E085E" w:rsidRPr="00F340A2" w14:paraId="602A1C1E" w14:textId="77777777" w:rsidTr="00F67EAC">
        <w:tc>
          <w:tcPr>
            <w:tcW w:w="1101" w:type="dxa"/>
          </w:tcPr>
          <w:p w14:paraId="2530E4DC" w14:textId="06031383" w:rsidR="006E085E" w:rsidRPr="006E085E" w:rsidRDefault="006E085E" w:rsidP="006E085E">
            <w:pPr>
              <w:ind w:left="0"/>
              <w:rPr>
                <w:b/>
                <w:iCs/>
                <w:color w:val="000000" w:themeColor="text1"/>
                <w:kern w:val="24"/>
              </w:rPr>
            </w:pPr>
            <m:oMathPara>
              <m:oMathParaPr>
                <m:jc m:val="left"/>
              </m:oMathParaPr>
              <m:oMath>
                <m:r>
                  <m:rPr>
                    <m:sty m:val="b"/>
                  </m:rPr>
                  <w:rPr>
                    <w:rFonts w:ascii="Cambria Math" w:eastAsia="Cambria Math" w:hAnsi="Cambria Math" w:cs="Arial"/>
                    <w:color w:val="000000" w:themeColor="text1"/>
                    <w:kern w:val="24"/>
                  </w:rPr>
                  <m:t>Tx</m:t>
                </m:r>
              </m:oMath>
            </m:oMathPara>
          </w:p>
        </w:tc>
        <w:tc>
          <w:tcPr>
            <w:tcW w:w="298" w:type="dxa"/>
          </w:tcPr>
          <w:p w14:paraId="5FC88624" w14:textId="3F1033E6" w:rsidR="006E085E" w:rsidRPr="00D6242C" w:rsidRDefault="006E085E" w:rsidP="006E085E">
            <w:pPr>
              <w:ind w:left="0"/>
              <w:rPr>
                <w:rFonts w:ascii="Bookman Old Style" w:hAnsi="Bookman Old Style" w:cs="Arial"/>
                <w:b/>
              </w:rPr>
            </w:pPr>
            <w:r w:rsidRPr="00D6242C">
              <w:rPr>
                <w:rFonts w:ascii="Bookman Old Style" w:hAnsi="Bookman Old Style" w:cs="Arial"/>
                <w:b/>
              </w:rPr>
              <w:t>:</w:t>
            </w:r>
          </w:p>
        </w:tc>
        <w:tc>
          <w:tcPr>
            <w:tcW w:w="8065" w:type="dxa"/>
            <w:vAlign w:val="center"/>
          </w:tcPr>
          <w:p w14:paraId="3521EBC1" w14:textId="77777777" w:rsidR="006E085E" w:rsidRDefault="00F62F8F" w:rsidP="00D64F6E">
            <w:pPr>
              <w:ind w:left="0"/>
              <w:jc w:val="both"/>
              <w:rPr>
                <w:rFonts w:ascii="Bookman Old Style" w:hAnsi="Bookman Old Style" w:cs="Arial"/>
              </w:rPr>
            </w:pPr>
            <w:r w:rsidRPr="002D6AD3">
              <w:rPr>
                <w:rFonts w:ascii="Bookman Old Style" w:hAnsi="Bookman Old Style" w:cs="Arial"/>
              </w:rPr>
              <w:t>Tarifa general del impuesto sobre la renta de las personas jurídicas</w:t>
            </w:r>
            <w:r w:rsidR="002D6AD3" w:rsidRPr="002D6AD3">
              <w:rPr>
                <w:rFonts w:ascii="Bookman Old Style" w:hAnsi="Bookman Old Style" w:cs="Arial"/>
              </w:rPr>
              <w:t xml:space="preserve">, </w:t>
            </w:r>
            <w:r w:rsidR="006E085E" w:rsidRPr="002D6AD3">
              <w:rPr>
                <w:rFonts w:ascii="Bookman Old Style" w:hAnsi="Bookman Old Style" w:cs="Arial"/>
              </w:rPr>
              <w:t xml:space="preserve">vigente </w:t>
            </w:r>
            <w:r w:rsidR="00B62126" w:rsidRPr="002D6AD3">
              <w:rPr>
                <w:rFonts w:ascii="Bookman Old Style" w:hAnsi="Bookman Old Style" w:cs="Arial"/>
              </w:rPr>
              <w:t xml:space="preserve">al momento </w:t>
            </w:r>
            <m:oMath>
              <m:r>
                <m:rPr>
                  <m:sty m:val="p"/>
                </m:rPr>
                <w:rPr>
                  <w:rFonts w:ascii="Cambria Math" w:eastAsia="Cambria Math" w:hAnsi="Cambria Math" w:cstheme="minorBidi"/>
                  <w:color w:val="000000" w:themeColor="text1"/>
                  <w:kern w:val="24"/>
                </w:rPr>
                <m:t>τ</m:t>
              </m:r>
            </m:oMath>
            <w:r w:rsidR="006E085E" w:rsidRPr="002D6AD3" w:rsidDel="00FC1120">
              <w:rPr>
                <w:rFonts w:ascii="Bookman Old Style" w:hAnsi="Bookman Old Style" w:cs="Arial"/>
              </w:rPr>
              <w:t>.</w:t>
            </w:r>
          </w:p>
          <w:p w14:paraId="2ACEF217" w14:textId="0C6C6316" w:rsidR="00B1564F" w:rsidRPr="00215C1B" w:rsidRDefault="00B1564F" w:rsidP="00D64F6E">
            <w:pPr>
              <w:ind w:left="0"/>
              <w:jc w:val="both"/>
              <w:rPr>
                <w:rFonts w:ascii="Bookman Old Style" w:hAnsi="Bookman Old Style" w:cs="Arial"/>
              </w:rPr>
            </w:pPr>
          </w:p>
        </w:tc>
      </w:tr>
    </w:tbl>
    <w:p w14:paraId="562A5D03" w14:textId="77777777" w:rsidR="00D64F6E" w:rsidRPr="00D64F6E" w:rsidRDefault="00D64F6E" w:rsidP="00D64F6E">
      <w:pPr>
        <w:ind w:left="0"/>
        <w:rPr>
          <w:rFonts w:ascii="Bookman Old Style" w:hAnsi="Bookman Old Style"/>
        </w:rPr>
      </w:pPr>
    </w:p>
    <w:p w14:paraId="1B9930CA" w14:textId="50795F0B" w:rsidR="000776BE" w:rsidRDefault="000776BE" w:rsidP="00991BB4">
      <w:pPr>
        <w:pStyle w:val="Ttulo2"/>
        <w:numPr>
          <w:ilvl w:val="0"/>
          <w:numId w:val="0"/>
        </w:numPr>
        <w:spacing w:line="240" w:lineRule="auto"/>
        <w:rPr>
          <w:rFonts w:ascii="Bookman Old Style" w:hAnsi="Bookman Old Style" w:cs="Arial"/>
        </w:rPr>
      </w:pPr>
      <w:r w:rsidRPr="00F340A2">
        <w:rPr>
          <w:rFonts w:ascii="Bookman Old Style" w:hAnsi="Bookman Old Style" w:cs="Arial"/>
        </w:rPr>
        <w:t xml:space="preserve">Parágrafo 2. </w:t>
      </w:r>
      <w:r w:rsidRPr="00B83912">
        <w:rPr>
          <w:rFonts w:ascii="Bookman Old Style" w:hAnsi="Bookman Old Style" w:cs="Arial"/>
          <w:b w:val="0"/>
        </w:rPr>
        <w:t>El costo del capital propio en pesos</w:t>
      </w:r>
      <w:r w:rsidR="004A1C63" w:rsidRPr="00B83912">
        <w:rPr>
          <w:rFonts w:ascii="Bookman Old Style" w:hAnsi="Bookman Old Style" w:cs="Arial"/>
          <w:b w:val="0"/>
        </w:rPr>
        <w:t xml:space="preserve"> corrientes</w:t>
      </w:r>
      <w:r w:rsidRPr="00B83912">
        <w:rPr>
          <w:rFonts w:ascii="Bookman Old Style" w:hAnsi="Bookman Old Style" w:cs="Arial"/>
          <w:b w:val="0"/>
        </w:rPr>
        <w:t>, equivalente al costo del capital propio en dólares</w:t>
      </w:r>
      <w:r w:rsidR="004A1C63" w:rsidRPr="00B83912">
        <w:rPr>
          <w:rFonts w:ascii="Bookman Old Style" w:hAnsi="Bookman Old Style" w:cs="Arial"/>
          <w:b w:val="0"/>
        </w:rPr>
        <w:t xml:space="preserve"> corrientes</w:t>
      </w:r>
      <w:r w:rsidRPr="00B83912">
        <w:rPr>
          <w:rFonts w:ascii="Bookman Old Style" w:hAnsi="Bookman Old Style" w:cs="Arial"/>
          <w:b w:val="0"/>
        </w:rPr>
        <w:t xml:space="preserve">, para la actividad </w:t>
      </w:r>
      <m:oMath>
        <m:r>
          <m:rPr>
            <m:sty m:val="b"/>
          </m:rPr>
          <w:rPr>
            <w:rFonts w:ascii="Cambria Math" w:hAnsi="Cambria Math" w:cs="Arial"/>
          </w:rPr>
          <m:t>a</m:t>
        </m:r>
      </m:oMath>
      <w:r w:rsidRPr="00B83912">
        <w:rPr>
          <w:rFonts w:ascii="Bookman Old Style" w:hAnsi="Bookman Old Style" w:cs="Arial"/>
          <w:b w:val="0"/>
        </w:rPr>
        <w:t xml:space="preserve">, en el momento </w:t>
      </w:r>
      <m:oMath>
        <m:r>
          <m:rPr>
            <m:sty m:val="b"/>
          </m:rPr>
          <w:rPr>
            <w:rFonts w:ascii="Cambria Math" w:hAnsi="Cambria Math" w:cs="Arial"/>
          </w:rPr>
          <m:t>τ</m:t>
        </m:r>
      </m:oMath>
      <w:r w:rsidR="000060D2" w:rsidRPr="00B83912">
        <w:rPr>
          <w:rFonts w:ascii="Bookman Old Style" w:hAnsi="Bookman Old Style" w:cs="Arial"/>
          <w:b w:val="0"/>
        </w:rPr>
        <w:t>,</w:t>
      </w:r>
      <w:r w:rsidRPr="00B83912">
        <w:rPr>
          <w:rFonts w:ascii="Bookman Old Style" w:hAnsi="Bookman Old Style" w:cs="Arial"/>
          <w:b w:val="0"/>
        </w:rPr>
        <w:t xml:space="preserve"> está dado por la siguiente expresión:</w:t>
      </w:r>
    </w:p>
    <w:p w14:paraId="261457B2" w14:textId="77777777" w:rsidR="00AA0857" w:rsidRDefault="00AA0857" w:rsidP="000776BE">
      <w:pPr>
        <w:ind w:left="0"/>
        <w:contextualSpacing/>
        <w:jc w:val="both"/>
        <w:rPr>
          <w:rFonts w:ascii="Bookman Old Style" w:hAnsi="Bookman Old Style" w:cs="Arial"/>
        </w:rPr>
      </w:pPr>
    </w:p>
    <w:p w14:paraId="5EF178D1" w14:textId="4C12A372" w:rsidR="000776BE" w:rsidRPr="00F340A2" w:rsidRDefault="00CD23BF" w:rsidP="000776BE">
      <w:pPr>
        <w:rPr>
          <w:rFonts w:cs="Arial"/>
        </w:rPr>
      </w:pPr>
      <m:oMathPara>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Ke_cop</m:t>
              </m:r>
            </m:e>
            <m:sub>
              <m:r>
                <m:rPr>
                  <m:sty m:val="p"/>
                </m:rPr>
                <w:rPr>
                  <w:rFonts w:ascii="Cambria Math" w:eastAsia="Cambria Math" w:hAnsi="Cambria Math" w:cs="Arial"/>
                  <w:color w:val="000000" w:themeColor="text1"/>
                  <w:kern w:val="24"/>
                </w:rPr>
                <m:t>a,τ</m:t>
              </m:r>
            </m:sub>
          </m:sSub>
          <m:r>
            <m:rPr>
              <m:sty m:val="p"/>
            </m:rPr>
            <w:rPr>
              <w:rFonts w:ascii="Cambria Math" w:eastAsia="Cambria Math" w:hAnsi="Cambria Math" w:cs="Arial"/>
              <w:color w:val="000000" w:themeColor="text1"/>
              <w:kern w:val="24"/>
            </w:rPr>
            <m:t>=</m:t>
          </m:r>
          <m:d>
            <m:dPr>
              <m:begChr m:val="["/>
              <m:endChr m:val="]"/>
              <m:ctrlPr>
                <w:rPr>
                  <w:rFonts w:ascii="Cambria Math" w:eastAsia="Cambria Math" w:hAnsi="Cambria Math" w:cs="Arial"/>
                  <w:color w:val="000000" w:themeColor="text1"/>
                  <w:kern w:val="24"/>
                </w:rPr>
              </m:ctrlPr>
            </m:dPr>
            <m:e>
              <m:d>
                <m:dPr>
                  <m:ctrlPr>
                    <w:rPr>
                      <w:rFonts w:ascii="Cambria Math" w:eastAsia="Cambria Math" w:hAnsi="Cambria Math" w:cs="Arial"/>
                      <w:i/>
                      <w:color w:val="000000" w:themeColor="text1"/>
                      <w:kern w:val="24"/>
                    </w:rPr>
                  </m:ctrlPr>
                </m:d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Ke_usd</m:t>
                      </m:r>
                    </m:e>
                    <m:sub>
                      <m:r>
                        <m:rPr>
                          <m:sty m:val="p"/>
                        </m:rPr>
                        <w:rPr>
                          <w:rFonts w:ascii="Cambria Math" w:eastAsia="Cambria Math" w:hAnsi="Cambria Math" w:cs="Arial"/>
                          <w:color w:val="000000" w:themeColor="text1"/>
                          <w:kern w:val="24"/>
                        </w:rPr>
                        <m:t>a,τ</m:t>
                      </m:r>
                    </m:sub>
                  </m:sSub>
                </m:e>
              </m:d>
              <m:r>
                <w:rPr>
                  <w:rFonts w:ascii="Cambria Math" w:eastAsia="Cambria Math" w:hAnsi="Cambria Math" w:cs="Arial"/>
                  <w:color w:val="000000" w:themeColor="text1"/>
                  <w:kern w:val="24"/>
                </w:rPr>
                <m:t>∙</m:t>
              </m:r>
              <m:d>
                <m:dPr>
                  <m:ctrlPr>
                    <w:rPr>
                      <w:rFonts w:ascii="Cambria Math" w:eastAsia="Cambria Math" w:hAnsi="Cambria Math" w:cs="Arial"/>
                      <w:i/>
                      <w:color w:val="000000" w:themeColor="text1"/>
                      <w:kern w:val="24"/>
                    </w:rPr>
                  </m:ctrlPr>
                </m:d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e>
              </m:d>
            </m:e>
          </m:d>
          <m:r>
            <m:rPr>
              <m:sty m:val="p"/>
            </m:rPr>
            <w:rPr>
              <w:rFonts w:ascii="Cambria Math" w:eastAsiaTheme="minorEastAsia" w:hAnsi="Cambria Math" w:cs="Arial"/>
              <w:color w:val="000000" w:themeColor="text1"/>
              <w:kern w:val="24"/>
            </w:rPr>
            <m:t>-1</m:t>
          </m:r>
        </m:oMath>
      </m:oMathPara>
    </w:p>
    <w:p w14:paraId="14E5C4C1" w14:textId="77777777" w:rsidR="001667FA" w:rsidRDefault="001667FA" w:rsidP="000776BE">
      <w:pPr>
        <w:ind w:left="0"/>
        <w:contextualSpacing/>
        <w:jc w:val="both"/>
        <w:rPr>
          <w:rFonts w:ascii="Bookman Old Style" w:hAnsi="Bookman Old Style" w:cs="Arial"/>
        </w:rPr>
      </w:pPr>
    </w:p>
    <w:p w14:paraId="70B4D60B" w14:textId="3AB01B3E" w:rsidR="000776BE" w:rsidRPr="00F340A2" w:rsidRDefault="0072452B"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64846851" w14:textId="77777777" w:rsidR="000776BE" w:rsidRPr="00C520CE" w:rsidRDefault="000776BE" w:rsidP="000776BE">
      <w:pPr>
        <w:ind w:left="0"/>
        <w:contextualSpacing/>
        <w:jc w:val="both"/>
        <w:rPr>
          <w:rFonts w:ascii="Bookman Old Style" w:hAnsi="Bookman Old Style" w:cs="Arial"/>
          <w:sz w:val="20"/>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14:paraId="4E691AAF" w14:textId="77777777" w:rsidTr="00F67EAC">
        <w:tc>
          <w:tcPr>
            <w:tcW w:w="1384" w:type="dxa"/>
          </w:tcPr>
          <w:p w14:paraId="46A2E33C" w14:textId="775B7544" w:rsidR="000776BE" w:rsidRPr="00F340A2" w:rsidRDefault="00CD23BF"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Ke_usd</m:t>
                    </m:r>
                  </m:e>
                  <m:sub>
                    <m:r>
                      <m:rPr>
                        <m:sty m:val="b"/>
                      </m:rPr>
                      <w:rPr>
                        <w:rFonts w:ascii="Cambria Math" w:eastAsia="Cambria Math" w:hAnsi="Cambria Math" w:cs="Arial"/>
                        <w:color w:val="000000" w:themeColor="text1"/>
                        <w:kern w:val="24"/>
                      </w:rPr>
                      <m:t>a,τ</m:t>
                    </m:r>
                  </m:sub>
                </m:sSub>
              </m:oMath>
            </m:oMathPara>
          </w:p>
        </w:tc>
        <w:tc>
          <w:tcPr>
            <w:tcW w:w="284" w:type="dxa"/>
          </w:tcPr>
          <w:p w14:paraId="71F45FA4"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14:paraId="47061788" w14:textId="4B4F927B" w:rsidR="000776BE" w:rsidRPr="00F340A2" w:rsidRDefault="000776BE" w:rsidP="00F67EAC">
            <w:pPr>
              <w:ind w:left="0"/>
              <w:jc w:val="both"/>
              <w:rPr>
                <w:rFonts w:ascii="Bookman Old Style" w:hAnsi="Bookman Old Style" w:cs="Arial"/>
              </w:rPr>
            </w:pPr>
            <w:r w:rsidRPr="00F340A2">
              <w:rPr>
                <w:rFonts w:ascii="Bookman Old Style" w:hAnsi="Bookman Old Style" w:cs="Arial"/>
              </w:rPr>
              <w:t>Costo del capital propio</w:t>
            </w:r>
            <w:r w:rsidR="00B80217">
              <w:rPr>
                <w:rFonts w:ascii="Bookman Old Style" w:hAnsi="Bookman Old Style" w:cs="Arial"/>
              </w:rPr>
              <w:t>,</w:t>
            </w:r>
            <w:r w:rsidRPr="00F340A2">
              <w:rPr>
                <w:rFonts w:ascii="Bookman Old Style" w:hAnsi="Bookman Old Style" w:cs="Arial"/>
              </w:rPr>
              <w:t xml:space="preserve"> </w:t>
            </w:r>
            <w:r w:rsidR="00DF1B8D">
              <w:rPr>
                <w:rFonts w:ascii="Bookman Old Style" w:hAnsi="Bookman Old Style" w:cs="Arial"/>
              </w:rPr>
              <w:t xml:space="preserve">calculado </w:t>
            </w:r>
            <w:r w:rsidRPr="00F340A2">
              <w:rPr>
                <w:rFonts w:ascii="Bookman Old Style" w:hAnsi="Bookman Old Style" w:cs="Arial"/>
              </w:rPr>
              <w:t>en dólares</w:t>
            </w:r>
            <w:r w:rsidR="005538E0">
              <w:rPr>
                <w:rFonts w:ascii="Bookman Old Style" w:hAnsi="Bookman Old Style" w:cs="Arial"/>
              </w:rPr>
              <w:t xml:space="preserve"> corrientes</w:t>
            </w:r>
            <w:r w:rsidRPr="00F340A2">
              <w:rPr>
                <w:rFonts w:ascii="Bookman Old Style" w:hAnsi="Bookman Old Style" w:cs="Arial"/>
              </w:rPr>
              <w:t xml:space="preserve">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w:t>
            </w:r>
          </w:p>
          <w:p w14:paraId="4FC1871C" w14:textId="77777777" w:rsidR="000776BE" w:rsidRPr="00F340A2" w:rsidRDefault="000776BE" w:rsidP="00F67EAC">
            <w:pPr>
              <w:ind w:left="0"/>
              <w:jc w:val="both"/>
              <w:rPr>
                <w:rFonts w:ascii="Bookman Old Style" w:hAnsi="Bookman Old Style"/>
                <w:lang w:val="es-ES_tradnl"/>
              </w:rPr>
            </w:pPr>
          </w:p>
        </w:tc>
      </w:tr>
      <w:tr w:rsidR="000776BE" w:rsidRPr="00F340A2" w14:paraId="64294532" w14:textId="77777777" w:rsidTr="00F67EAC">
        <w:tc>
          <w:tcPr>
            <w:tcW w:w="1384" w:type="dxa"/>
          </w:tcPr>
          <w:p w14:paraId="3131796D" w14:textId="3C46CDAD" w:rsidR="000776BE" w:rsidRPr="00F340A2" w:rsidRDefault="00CD23BF" w:rsidP="00F67EAC">
            <w:pPr>
              <w:ind w:left="0"/>
              <w:rPr>
                <w:b/>
                <w:iCs/>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Dev</m:t>
                    </m:r>
                  </m:e>
                  <m:sub>
                    <m:r>
                      <m:rPr>
                        <m:sty m:val="b"/>
                      </m:rPr>
                      <w:rPr>
                        <w:rFonts w:ascii="Cambria Math" w:eastAsia="Cambria Math" w:hAnsi="Cambria Math" w:cs="Arial"/>
                        <w:color w:val="000000" w:themeColor="text1"/>
                        <w:kern w:val="24"/>
                      </w:rPr>
                      <m:t>τ</m:t>
                    </m:r>
                  </m:sub>
                </m:sSub>
              </m:oMath>
            </m:oMathPara>
          </w:p>
        </w:tc>
        <w:tc>
          <w:tcPr>
            <w:tcW w:w="284" w:type="dxa"/>
          </w:tcPr>
          <w:p w14:paraId="520C19DF"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14:paraId="2DA829B6" w14:textId="3B7CCFCE" w:rsidR="00A43B2B" w:rsidRPr="00F340A2" w:rsidRDefault="00385C1C" w:rsidP="00A43B2B">
            <w:pPr>
              <w:ind w:left="0"/>
              <w:contextualSpacing/>
              <w:jc w:val="both"/>
              <w:rPr>
                <w:rFonts w:ascii="Bookman Old Style" w:hAnsi="Bookman Old Style" w:cs="Arial"/>
                <w:iCs/>
                <w:color w:val="000000" w:themeColor="text1"/>
                <w:kern w:val="24"/>
              </w:rPr>
            </w:pPr>
            <w:r>
              <w:rPr>
                <w:rFonts w:ascii="Bookman Old Style" w:hAnsi="Bookman Old Style" w:cs="Arial"/>
                <w:iCs/>
                <w:color w:val="000000" w:themeColor="text1"/>
                <w:kern w:val="24"/>
              </w:rPr>
              <w:t>E</w:t>
            </w:r>
            <w:r w:rsidR="00A43B2B">
              <w:rPr>
                <w:rFonts w:ascii="Bookman Old Style" w:hAnsi="Bookman Old Style" w:cs="Arial"/>
                <w:iCs/>
                <w:color w:val="000000" w:themeColor="text1"/>
                <w:kern w:val="24"/>
              </w:rPr>
              <w:t xml:space="preserve">xpectativa de devaluación </w:t>
            </w:r>
            <w:r w:rsidR="00A43B2B" w:rsidRPr="00F340A2">
              <w:rPr>
                <w:rFonts w:ascii="Bookman Old Style" w:hAnsi="Bookman Old Style" w:cs="Arial"/>
                <w:iCs/>
                <w:color w:val="000000" w:themeColor="text1"/>
                <w:kern w:val="24"/>
              </w:rPr>
              <w:t xml:space="preserve">en el momento </w:t>
            </w:r>
            <m:oMath>
              <m:r>
                <m:rPr>
                  <m:sty m:val="p"/>
                </m:rPr>
                <w:rPr>
                  <w:rFonts w:ascii="Cambria Math" w:hAnsi="Cambria Math" w:cs="Arial"/>
                </w:rPr>
                <m:t>τ</m:t>
              </m:r>
            </m:oMath>
            <w:r w:rsidR="00A43B2B" w:rsidRPr="00F340A2">
              <w:rPr>
                <w:rFonts w:ascii="Bookman Old Style" w:hAnsi="Bookman Old Style" w:cs="Arial"/>
                <w:iCs/>
                <w:color w:val="000000" w:themeColor="text1"/>
                <w:kern w:val="24"/>
              </w:rPr>
              <w:t>, calculada como el promedio de los diferenciales entre las tasas</w:t>
            </w:r>
            <w:r w:rsidR="00DF732C">
              <w:rPr>
                <w:rFonts w:ascii="Bookman Old Style" w:hAnsi="Bookman Old Style" w:cs="Arial"/>
                <w:iCs/>
                <w:color w:val="000000" w:themeColor="text1"/>
                <w:kern w:val="24"/>
              </w:rPr>
              <w:t xml:space="preserve"> efectivas</w:t>
            </w:r>
            <w:r w:rsidR="007A2838">
              <w:rPr>
                <w:rFonts w:ascii="Bookman Old Style" w:hAnsi="Bookman Old Style" w:cs="Arial"/>
                <w:iCs/>
                <w:color w:val="000000" w:themeColor="text1"/>
                <w:kern w:val="24"/>
              </w:rPr>
              <w:t>,</w:t>
            </w:r>
            <w:r w:rsidR="00A43B2B" w:rsidRPr="00F340A2">
              <w:rPr>
                <w:rFonts w:ascii="Bookman Old Style" w:hAnsi="Bookman Old Style" w:cs="Arial"/>
                <w:iCs/>
                <w:color w:val="000000" w:themeColor="text1"/>
                <w:kern w:val="24"/>
              </w:rPr>
              <w:t xml:space="preserve"> del plazo de 3650 días, de la curva cero</w:t>
            </w:r>
            <w:r w:rsidR="00107C71">
              <w:rPr>
                <w:rFonts w:ascii="Bookman Old Style" w:hAnsi="Bookman Old Style" w:cs="Arial"/>
                <w:iCs/>
                <w:color w:val="000000" w:themeColor="text1"/>
                <w:kern w:val="24"/>
              </w:rPr>
              <w:t xml:space="preserve"> </w:t>
            </w:r>
            <w:r w:rsidR="00A43B2B" w:rsidRPr="00F340A2">
              <w:rPr>
                <w:rFonts w:ascii="Bookman Old Style" w:hAnsi="Bookman Old Style" w:cs="Arial"/>
                <w:iCs/>
                <w:color w:val="000000" w:themeColor="text1"/>
                <w:kern w:val="24"/>
              </w:rPr>
              <w:t>cupón de los títulos de tesorería TES COP</w:t>
            </w:r>
            <w:r w:rsidR="00D600DB">
              <w:rPr>
                <w:rFonts w:ascii="Bookman Old Style" w:hAnsi="Bookman Old Style" w:cs="Arial"/>
                <w:iCs/>
                <w:color w:val="000000" w:themeColor="text1"/>
                <w:kern w:val="24"/>
              </w:rPr>
              <w:t>,</w:t>
            </w:r>
            <w:r w:rsidR="00F53D89">
              <w:rPr>
                <w:rFonts w:ascii="Bookman Old Style" w:hAnsi="Bookman Old Style" w:cs="Arial"/>
                <w:iCs/>
                <w:color w:val="000000" w:themeColor="text1"/>
                <w:kern w:val="24"/>
              </w:rPr>
              <w:t xml:space="preserve"> que se obtiene de la información publicada por el Banco de la República</w:t>
            </w:r>
            <w:r w:rsidR="00D600DB">
              <w:rPr>
                <w:rFonts w:ascii="Bookman Old Style" w:hAnsi="Bookman Old Style" w:cs="Arial"/>
                <w:iCs/>
                <w:color w:val="000000" w:themeColor="text1"/>
                <w:kern w:val="24"/>
              </w:rPr>
              <w:t>,</w:t>
            </w:r>
            <w:r w:rsidR="00A43B2B" w:rsidRPr="00F340A2">
              <w:rPr>
                <w:rFonts w:ascii="Bookman Old Style" w:hAnsi="Bookman Old Style" w:cs="Arial"/>
                <w:iCs/>
                <w:color w:val="000000" w:themeColor="text1"/>
                <w:kern w:val="24"/>
              </w:rPr>
              <w:t xml:space="preserve"> y </w:t>
            </w:r>
            <w:r w:rsidR="00931B63" w:rsidRPr="00057317">
              <w:rPr>
                <w:rFonts w:ascii="Bookman Old Style" w:hAnsi="Bookman Old Style" w:cs="Arial"/>
                <w:color w:val="000000" w:themeColor="text1"/>
                <w:kern w:val="24"/>
              </w:rPr>
              <w:t>la curva cero cupón Colombia en USD</w:t>
            </w:r>
            <w:r w:rsidR="00A43B2B" w:rsidRPr="00057317">
              <w:rPr>
                <w:rFonts w:ascii="Bookman Old Style" w:hAnsi="Bookman Old Style" w:cs="Arial"/>
                <w:color w:val="000000" w:themeColor="text1"/>
                <w:kern w:val="24"/>
              </w:rPr>
              <w:t>,</w:t>
            </w:r>
            <w:r w:rsidR="00157B35">
              <w:rPr>
                <w:rFonts w:ascii="Bookman Old Style" w:hAnsi="Bookman Old Style" w:cs="Arial"/>
                <w:iCs/>
                <w:color w:val="000000" w:themeColor="text1"/>
                <w:kern w:val="24"/>
              </w:rPr>
              <w:t xml:space="preserve"> que se obtiene de la información publicada por Precia PPV S.A.,</w:t>
            </w:r>
            <w:r w:rsidR="00A43B2B" w:rsidRPr="00057317">
              <w:rPr>
                <w:rFonts w:ascii="Bookman Old Style" w:hAnsi="Bookman Old Style" w:cs="Arial"/>
                <w:color w:val="000000" w:themeColor="text1"/>
                <w:kern w:val="24"/>
              </w:rPr>
              <w:t xml:space="preserve"> </w:t>
            </w:r>
            <w:r w:rsidR="00E44129">
              <w:rPr>
                <w:rFonts w:ascii="Bookman Old Style" w:hAnsi="Bookman Old Style" w:cs="Arial"/>
                <w:color w:val="000000" w:themeColor="text1"/>
                <w:kern w:val="24"/>
              </w:rPr>
              <w:t xml:space="preserve">considerando </w:t>
            </w:r>
            <w:r w:rsidR="00A43B2B" w:rsidRPr="00057317">
              <w:rPr>
                <w:rFonts w:ascii="Bookman Old Style" w:hAnsi="Bookman Old Style" w:cs="Arial"/>
              </w:rPr>
              <w:t xml:space="preserve">los </w:t>
            </w:r>
            <w:r w:rsidR="001E1236">
              <w:rPr>
                <w:rFonts w:ascii="Bookman Old Style" w:hAnsi="Bookman Old Style" w:cs="Arial"/>
              </w:rPr>
              <w:t>sesenta</w:t>
            </w:r>
            <w:r w:rsidR="00A43B2B" w:rsidRPr="00057317">
              <w:rPr>
                <w:rFonts w:ascii="Bookman Old Style" w:hAnsi="Bookman Old Style" w:cs="Arial"/>
              </w:rPr>
              <w:t xml:space="preserve"> (</w:t>
            </w:r>
            <w:r w:rsidR="001E1236">
              <w:rPr>
                <w:rFonts w:ascii="Bookman Old Style" w:hAnsi="Bookman Old Style" w:cs="Arial"/>
              </w:rPr>
              <w:t>60</w:t>
            </w:r>
            <w:r w:rsidR="00A43B2B" w:rsidRPr="00057317">
              <w:rPr>
                <w:rFonts w:ascii="Bookman Old Style" w:hAnsi="Bookman Old Style" w:cs="Arial"/>
              </w:rPr>
              <w:t>) meses anteriores</w:t>
            </w:r>
            <w:r w:rsidR="003D7DB9">
              <w:rPr>
                <w:rFonts w:ascii="Bookman Old Style" w:hAnsi="Bookman Old Style" w:cs="Arial"/>
              </w:rPr>
              <w:t>,</w:t>
            </w:r>
            <w:r w:rsidR="003D7DB9">
              <w:rPr>
                <w:rFonts w:ascii="Bookman Old Style" w:hAnsi="Bookman Old Style" w:cs="Arial"/>
                <w:iCs/>
                <w:color w:val="000000" w:themeColor="text1"/>
                <w:kern w:val="24"/>
              </w:rPr>
              <w:t xml:space="preserve"> ponderados conforme al método de suma de dígitos</w:t>
            </w:r>
            <w:r w:rsidR="00A43B2B" w:rsidRPr="005538E0">
              <w:rPr>
                <w:rFonts w:ascii="Bookman Old Style" w:hAnsi="Bookman Old Style" w:cs="Arial"/>
                <w:color w:val="000000" w:themeColor="text1"/>
                <w:kern w:val="24"/>
              </w:rPr>
              <w:t>.</w:t>
            </w:r>
            <w:r w:rsidR="00A43B2B" w:rsidRPr="00F340A2">
              <w:rPr>
                <w:rFonts w:ascii="Bookman Old Style" w:hAnsi="Bookman Old Style" w:cs="Arial"/>
                <w:iCs/>
                <w:color w:val="000000" w:themeColor="text1"/>
                <w:kern w:val="24"/>
              </w:rPr>
              <w:t xml:space="preserve"> Cada uno de los diferenciales se calcula de la siguiente manera:</w:t>
            </w:r>
          </w:p>
          <w:p w14:paraId="2754F1B4" w14:textId="77777777" w:rsidR="00A43B2B" w:rsidRPr="00F340A2" w:rsidRDefault="00A43B2B" w:rsidP="00A43B2B">
            <w:pPr>
              <w:ind w:left="0"/>
              <w:contextualSpacing/>
              <w:jc w:val="both"/>
              <w:rPr>
                <w:rFonts w:ascii="Bookman Old Style" w:hAnsi="Bookman Old Style" w:cs="Arial"/>
                <w:iCs/>
                <w:color w:val="000000" w:themeColor="text1"/>
                <w:kern w:val="24"/>
              </w:rPr>
            </w:pPr>
          </w:p>
          <w:p w14:paraId="00C93DEB" w14:textId="1D72DA43" w:rsidR="00A43B2B" w:rsidRPr="00F340A2" w:rsidRDefault="00CD23BF" w:rsidP="00A43B2B">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Dev</m:t>
                    </m:r>
                  </m:e>
                  <m:sub>
                    <m:r>
                      <m:rPr>
                        <m:sty m:val="p"/>
                      </m:rPr>
                      <w:rPr>
                        <w:rFonts w:ascii="Cambria Math" w:hAnsi="Cambria Math" w:cs="Arial"/>
                        <w:color w:val="000000" w:themeColor="text1"/>
                        <w:kern w:val="24"/>
                      </w:rPr>
                      <m:t>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Tasa TES COP</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Rf_cop_usd</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14:paraId="43590456" w14:textId="77777777" w:rsidR="00A43B2B" w:rsidRPr="00F340A2" w:rsidRDefault="00A43B2B" w:rsidP="00A43B2B">
            <w:pPr>
              <w:ind w:left="0"/>
              <w:contextualSpacing/>
              <w:jc w:val="both"/>
              <w:rPr>
                <w:rFonts w:ascii="Bookman Old Style" w:hAnsi="Bookman Old Style"/>
                <w:lang w:val="es-ES_tradnl"/>
              </w:rPr>
            </w:pPr>
          </w:p>
          <w:p w14:paraId="49083846" w14:textId="35678110" w:rsidR="00A43B2B" w:rsidRDefault="00A43B2B" w:rsidP="00A43B2B">
            <w:pPr>
              <w:ind w:left="0"/>
              <w:contextualSpacing/>
              <w:jc w:val="both"/>
              <w:rPr>
                <w:rFonts w:ascii="Bookman Old Style" w:hAnsi="Bookman Old Style"/>
                <w:lang w:val="es-ES_tradnl"/>
              </w:rPr>
            </w:pPr>
            <w:r w:rsidRPr="00F340A2">
              <w:rPr>
                <w:rFonts w:ascii="Bookman Old Style" w:hAnsi="Bookman Old Style"/>
                <w:lang w:val="es-ES_tradnl"/>
              </w:rPr>
              <w:t>donde i es cada una de las fechas para las que existe información.</w:t>
            </w:r>
            <w:r w:rsidR="00F41791">
              <w:rPr>
                <w:rFonts w:ascii="Bookman Old Style" w:hAnsi="Bookman Old Style"/>
                <w:lang w:val="es-ES_tradnl"/>
              </w:rPr>
              <w:t xml:space="preserve"> </w:t>
            </w:r>
          </w:p>
          <w:p w14:paraId="263D5F94" w14:textId="77777777" w:rsidR="00E5267C" w:rsidRDefault="00E5267C" w:rsidP="00E5267C">
            <w:pPr>
              <w:ind w:left="0"/>
              <w:contextualSpacing/>
              <w:jc w:val="both"/>
              <w:rPr>
                <w:rFonts w:ascii="Bookman Old Style" w:hAnsi="Bookman Old Style"/>
                <w:lang w:val="es-ES_tradnl"/>
              </w:rPr>
            </w:pPr>
          </w:p>
          <w:p w14:paraId="1B8879AC" w14:textId="5A680AE3" w:rsidR="00E5267C" w:rsidRDefault="00E5267C" w:rsidP="00E5267C">
            <w:pPr>
              <w:ind w:left="0"/>
              <w:contextualSpacing/>
              <w:jc w:val="both"/>
              <w:rPr>
                <w:rFonts w:ascii="Bookman Old Style" w:hAnsi="Bookman Old Style"/>
                <w:lang w:val="es-ES_tradnl"/>
              </w:rPr>
            </w:pPr>
            <w:r>
              <w:rPr>
                <w:rFonts w:ascii="Bookman Old Style" w:hAnsi="Bookman Old Style"/>
                <w:lang w:val="es-ES_tradnl"/>
              </w:rPr>
              <w:t xml:space="preserve">El valor correspondiente </w:t>
            </w:r>
            <w:r w:rsidRPr="006E0797">
              <w:rPr>
                <w:rFonts w:ascii="Bookman Old Style" w:hAnsi="Bookman Old Style"/>
                <w:lang w:val="es-ES_tradnl"/>
              </w:rPr>
              <w:t xml:space="preserve">a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oMath>
            <w:r w:rsidRPr="006E0797">
              <w:rPr>
                <w:rFonts w:ascii="Bookman Old Style" w:hAnsi="Bookman Old Style"/>
                <w:lang w:val="es-ES_tradnl"/>
              </w:rPr>
              <w:t xml:space="preserve"> se</w:t>
            </w:r>
            <w:r>
              <w:rPr>
                <w:rFonts w:ascii="Bookman Old Style" w:hAnsi="Bookman Old Style"/>
                <w:lang w:val="es-ES_tradnl"/>
              </w:rPr>
              <w:t xml:space="preserve"> obtiene mediante la siguiente expresión:</w:t>
            </w:r>
          </w:p>
          <w:p w14:paraId="5DB08B35" w14:textId="77777777" w:rsidR="00E5267C" w:rsidRPr="00044A09" w:rsidRDefault="00E5267C" w:rsidP="00E5267C">
            <w:pPr>
              <w:ind w:left="0"/>
              <w:jc w:val="both"/>
              <w:rPr>
                <w:rFonts w:ascii="Bookman Old Style" w:hAnsi="Bookman Old Style" w:cs="Arial"/>
              </w:rPr>
            </w:pPr>
          </w:p>
          <w:p w14:paraId="58D95448" w14:textId="2F2BACF1" w:rsidR="00E5267C" w:rsidRPr="00044A09" w:rsidRDefault="00CD23BF" w:rsidP="00E5267C">
            <w:pPr>
              <w:ind w:left="0"/>
              <w:jc w:val="both"/>
              <w:rPr>
                <w:rFonts w:ascii="Bookman Old Style" w:hAnsi="Bookman Old Style" w:cs="Arial"/>
                <w:iCs/>
              </w:rPr>
            </w:pPr>
            <m:oMathPara>
              <m:oMath>
                <m:sSub>
                  <m:sSubPr>
                    <m:ctrlPr>
                      <w:rPr>
                        <w:rFonts w:ascii="Cambria Math" w:hAnsi="Cambria Math"/>
                        <w:iCs/>
                        <w:lang w:val="es-ES_tradnl"/>
                      </w:rPr>
                    </m:ctrlPr>
                  </m:sSubPr>
                  <m:e>
                    <m:r>
                      <m:rPr>
                        <m:sty m:val="p"/>
                      </m:rPr>
                      <w:rPr>
                        <w:rFonts w:ascii="Cambria Math" w:hAnsi="Cambria Math"/>
                        <w:lang w:val="es-ES_tradnl"/>
                      </w:rPr>
                      <m:t>Dev</m:t>
                    </m:r>
                  </m:e>
                  <m:sub>
                    <m:r>
                      <m:rPr>
                        <m:sty m:val="p"/>
                      </m:rPr>
                      <w:rPr>
                        <w:rFonts w:ascii="Cambria Math" w:hAnsi="Cambria Math"/>
                        <w:lang w:val="es-ES_tradnl"/>
                      </w:rPr>
                      <m:t>τ</m:t>
                    </m:r>
                  </m:sub>
                </m:sSub>
                <m:r>
                  <m:rPr>
                    <m:sty m:val="p"/>
                  </m:rPr>
                  <w:rPr>
                    <w:rFonts w:ascii="Cambria Math" w:hAnsi="Cambria Math" w:cs="Arial"/>
                  </w:rPr>
                  <m:t>=</m:t>
                </m:r>
                <m:nary>
                  <m:naryPr>
                    <m:chr m:val="∑"/>
                    <m:limLoc m:val="undOvr"/>
                    <m:ctrlPr>
                      <w:rPr>
                        <w:rFonts w:ascii="Cambria Math" w:hAnsi="Cambria Math" w:cs="Arial"/>
                        <w:iCs/>
                      </w:rPr>
                    </m:ctrlPr>
                  </m:naryPr>
                  <m:sub>
                    <m:r>
                      <m:rPr>
                        <m:sty m:val="p"/>
                      </m:rPr>
                      <w:rPr>
                        <w:rFonts w:ascii="Cambria Math" w:hAnsi="Cambria Math" w:cs="Arial"/>
                      </w:rPr>
                      <m:t>i=-n</m:t>
                    </m:r>
                  </m:sub>
                  <m:sup>
                    <m:r>
                      <m:rPr>
                        <m:sty m:val="p"/>
                      </m:rPr>
                      <w:rPr>
                        <w:rFonts w:ascii="Cambria Math" w:hAnsi="Cambria Math" w:cs="Arial"/>
                      </w:rPr>
                      <m:t>-1</m:t>
                    </m:r>
                  </m:sup>
                  <m:e>
                    <m:f>
                      <m:fPr>
                        <m:ctrlPr>
                          <w:rPr>
                            <w:rFonts w:ascii="Cambria Math" w:hAnsi="Cambria Math" w:cs="Arial"/>
                            <w:iCs/>
                          </w:rPr>
                        </m:ctrlPr>
                      </m:fPr>
                      <m:num>
                        <m:r>
                          <m:rPr>
                            <m:sty m:val="p"/>
                          </m:rPr>
                          <w:rPr>
                            <w:rFonts w:ascii="Cambria Math" w:hAnsi="Cambria Math" w:cs="Arial"/>
                          </w:rPr>
                          <m:t>(n+1)+i</m:t>
                        </m:r>
                      </m:num>
                      <m:den>
                        <m:f>
                          <m:fPr>
                            <m:type m:val="lin"/>
                            <m:ctrlPr>
                              <w:rPr>
                                <w:rFonts w:ascii="Cambria Math" w:hAnsi="Cambria Math" w:cs="Arial"/>
                                <w:iCs/>
                              </w:rPr>
                            </m:ctrlPr>
                          </m:fPr>
                          <m:num>
                            <m:r>
                              <m:rPr>
                                <m:sty m:val="p"/>
                              </m:rPr>
                              <w:rPr>
                                <w:rFonts w:ascii="Cambria Math" w:hAnsi="Cambria Math" w:cs="Arial"/>
                              </w:rPr>
                              <m:t>n(n+1)</m:t>
                            </m:r>
                          </m:num>
                          <m:den>
                            <m:r>
                              <m:rPr>
                                <m:sty m:val="p"/>
                              </m:rPr>
                              <w:rPr>
                                <w:rFonts w:ascii="Cambria Math" w:hAnsi="Cambria Math" w:cs="Arial"/>
                              </w:rPr>
                              <m:t>2</m:t>
                            </m:r>
                          </m:den>
                        </m:f>
                      </m:den>
                    </m:f>
                    <m:r>
                      <w:rPr>
                        <w:rFonts w:ascii="Cambria Math" w:hAnsi="Cambria Math" w:cs="Arial"/>
                      </w:rPr>
                      <m:t>∙</m:t>
                    </m:r>
                    <m:sSub>
                      <m:sSubPr>
                        <m:ctrlPr>
                          <w:rPr>
                            <w:rFonts w:ascii="Cambria Math" w:hAnsi="Cambria Math"/>
                            <w:iCs/>
                            <w:lang w:val="es-ES_tradnl"/>
                          </w:rPr>
                        </m:ctrlPr>
                      </m:sSubPr>
                      <m:e>
                        <m:r>
                          <m:rPr>
                            <m:sty m:val="p"/>
                          </m:rPr>
                          <w:rPr>
                            <w:rFonts w:ascii="Cambria Math" w:hAnsi="Cambria Math"/>
                            <w:lang w:val="es-ES_tradnl"/>
                          </w:rPr>
                          <m:t>Dev</m:t>
                        </m:r>
                      </m:e>
                      <m:sub>
                        <m:r>
                          <m:rPr>
                            <m:sty m:val="p"/>
                          </m:rPr>
                          <w:rPr>
                            <w:rFonts w:ascii="Cambria Math" w:hAnsi="Cambria Math"/>
                            <w:lang w:val="es-ES_tradnl"/>
                          </w:rPr>
                          <m:t>i</m:t>
                        </m:r>
                      </m:sub>
                    </m:sSub>
                  </m:e>
                </m:nary>
              </m:oMath>
            </m:oMathPara>
          </w:p>
          <w:p w14:paraId="24833ACE" w14:textId="77777777" w:rsidR="00E5267C" w:rsidRPr="00044A09" w:rsidRDefault="00E5267C" w:rsidP="00E5267C">
            <w:pPr>
              <w:ind w:left="0"/>
              <w:jc w:val="both"/>
              <w:rPr>
                <w:rFonts w:ascii="Bookman Old Style" w:hAnsi="Bookman Old Style" w:cs="Arial"/>
              </w:rPr>
            </w:pPr>
          </w:p>
          <w:p w14:paraId="5B0B863A" w14:textId="6B66C37A" w:rsidR="00A43B2B" w:rsidRPr="00C520CE" w:rsidRDefault="00E5267C" w:rsidP="00FA3AD0">
            <w:pPr>
              <w:ind w:left="0"/>
              <w:jc w:val="both"/>
              <w:rPr>
                <w:rFonts w:ascii="Bookman Old Style" w:hAnsi="Bookman Old Style" w:cs="Arial"/>
                <w:sz w:val="18"/>
              </w:rPr>
            </w:pPr>
            <w:r w:rsidRPr="00044A09">
              <w:rPr>
                <w:rFonts w:ascii="Bookman Old Style" w:hAnsi="Bookman Old Style" w:cs="Arial"/>
              </w:rPr>
              <w:t xml:space="preserve">En donde </w:t>
            </w:r>
            <w:r w:rsidRPr="00044A09">
              <w:rPr>
                <w:rFonts w:ascii="Bookman Old Style" w:hAnsi="Bookman Old Style" w:cs="Arial"/>
                <w:i/>
                <w:iCs/>
              </w:rPr>
              <w:t>n</w:t>
            </w:r>
            <w:r w:rsidRPr="00044A09">
              <w:rPr>
                <w:rFonts w:ascii="Bookman Old Style" w:hAnsi="Bookman Old Style" w:cs="Arial"/>
              </w:rPr>
              <w:t xml:space="preserve"> es el número de datos disponibles e </w:t>
            </w:r>
            <w:r w:rsidRPr="00044A09">
              <w:rPr>
                <w:rFonts w:ascii="Bookman Old Style" w:hAnsi="Bookman Old Style" w:cs="Arial"/>
                <w:i/>
                <w:iCs/>
              </w:rPr>
              <w:t>i</w:t>
            </w:r>
            <w:r w:rsidR="007413C6">
              <w:rPr>
                <w:rFonts w:ascii="Bookman Old Style" w:hAnsi="Bookman Old Style" w:cs="Arial"/>
                <w:i/>
                <w:iCs/>
              </w:rPr>
              <w:t xml:space="preserve"> </w:t>
            </w:r>
            <w:r w:rsidRPr="00044A09">
              <w:rPr>
                <w:rFonts w:ascii="Bookman Old Style" w:hAnsi="Bookman Old Style" w:cs="Arial"/>
              </w:rPr>
              <w:t>=</w:t>
            </w:r>
            <w:r w:rsidR="007413C6">
              <w:rPr>
                <w:rFonts w:ascii="Bookman Old Style" w:hAnsi="Bookman Old Style" w:cs="Arial"/>
              </w:rPr>
              <w:t xml:space="preserve"> </w:t>
            </w:r>
            <w:r w:rsidRPr="00044A09">
              <w:rPr>
                <w:rFonts w:ascii="Bookman Old Style" w:hAnsi="Bookman Old Style" w:cs="Arial"/>
              </w:rPr>
              <w:t>-1 es el dato más reciente.</w:t>
            </w:r>
          </w:p>
        </w:tc>
      </w:tr>
    </w:tbl>
    <w:p w14:paraId="7D30A0BD" w14:textId="77777777" w:rsidR="00044A09" w:rsidRPr="00044A09" w:rsidRDefault="00044A09" w:rsidP="00044A09">
      <w:pPr>
        <w:ind w:left="0"/>
        <w:rPr>
          <w:rFonts w:ascii="Bookman Old Style" w:hAnsi="Bookman Old Style"/>
        </w:rPr>
      </w:pPr>
    </w:p>
    <w:p w14:paraId="5622A036" w14:textId="282CD4F4" w:rsidR="000776BE" w:rsidRPr="00F340A2" w:rsidRDefault="000776BE" w:rsidP="007D0649">
      <w:pPr>
        <w:pStyle w:val="Ttulo2"/>
        <w:numPr>
          <w:ilvl w:val="0"/>
          <w:numId w:val="0"/>
        </w:numPr>
        <w:spacing w:line="240" w:lineRule="auto"/>
        <w:rPr>
          <w:rFonts w:ascii="Bookman Old Style" w:hAnsi="Bookman Old Style" w:cs="Arial"/>
        </w:rPr>
      </w:pPr>
      <w:r w:rsidRPr="00F340A2">
        <w:rPr>
          <w:rFonts w:ascii="Bookman Old Style" w:hAnsi="Bookman Old Style" w:cs="Arial"/>
        </w:rPr>
        <w:t xml:space="preserve">Parágrafo 3. </w:t>
      </w:r>
      <w:r w:rsidRPr="00FA3AD0">
        <w:rPr>
          <w:rFonts w:ascii="Bookman Old Style" w:hAnsi="Bookman Old Style" w:cs="Arial"/>
          <w:b w:val="0"/>
        </w:rPr>
        <w:t xml:space="preserve">El costo del capital propio </w:t>
      </w:r>
      <w:r w:rsidR="00CF5DF1">
        <w:rPr>
          <w:rFonts w:ascii="Bookman Old Style" w:hAnsi="Bookman Old Style" w:cs="Arial"/>
          <w:b w:val="0"/>
        </w:rPr>
        <w:t xml:space="preserve">calculado </w:t>
      </w:r>
      <w:r w:rsidRPr="00FA3AD0">
        <w:rPr>
          <w:rFonts w:ascii="Bookman Old Style" w:hAnsi="Bookman Old Style" w:cs="Arial"/>
          <w:b w:val="0"/>
        </w:rPr>
        <w:t>en dólares</w:t>
      </w:r>
      <w:r w:rsidR="00C76778" w:rsidRPr="00FA3AD0">
        <w:rPr>
          <w:rFonts w:ascii="Bookman Old Style" w:hAnsi="Bookman Old Style" w:cs="Arial"/>
          <w:b w:val="0"/>
        </w:rPr>
        <w:t xml:space="preserve"> corrientes</w:t>
      </w:r>
      <w:r w:rsidRPr="00FA3AD0">
        <w:rPr>
          <w:rFonts w:ascii="Bookman Old Style" w:hAnsi="Bookman Old Style" w:cs="Arial"/>
          <w:b w:val="0"/>
        </w:rPr>
        <w:t xml:space="preserve"> para la actividad </w:t>
      </w:r>
      <m:oMath>
        <m:r>
          <m:rPr>
            <m:sty m:val="b"/>
          </m:rPr>
          <w:rPr>
            <w:rFonts w:ascii="Cambria Math" w:hAnsi="Cambria Math" w:cs="Arial"/>
          </w:rPr>
          <m:t>a</m:t>
        </m:r>
      </m:oMath>
      <w:r w:rsidRPr="00FA3AD0">
        <w:rPr>
          <w:rFonts w:ascii="Bookman Old Style" w:hAnsi="Bookman Old Style" w:cs="Arial"/>
          <w:b w:val="0"/>
        </w:rPr>
        <w:t xml:space="preserve">, en el momento </w:t>
      </w:r>
      <m:oMath>
        <m:r>
          <m:rPr>
            <m:sty m:val="b"/>
          </m:rPr>
          <w:rPr>
            <w:rFonts w:ascii="Cambria Math" w:hAnsi="Cambria Math" w:cs="Arial"/>
          </w:rPr>
          <m:t>τ</m:t>
        </m:r>
      </m:oMath>
      <w:r w:rsidRPr="00FA3AD0">
        <w:rPr>
          <w:rFonts w:ascii="Bookman Old Style" w:hAnsi="Bookman Old Style" w:cs="Arial"/>
          <w:b w:val="0"/>
        </w:rPr>
        <w:t>, está dado por la siguiente expresión:</w:t>
      </w:r>
    </w:p>
    <w:p w14:paraId="09692504" w14:textId="77777777" w:rsidR="000776BE" w:rsidRPr="00F340A2" w:rsidRDefault="000776BE" w:rsidP="000776BE">
      <w:pPr>
        <w:ind w:left="0"/>
        <w:contextualSpacing/>
        <w:jc w:val="both"/>
        <w:rPr>
          <w:rFonts w:ascii="Bookman Old Style" w:hAnsi="Bookman Old Style" w:cs="Arial"/>
          <w:lang w:val="es-ES_tradnl"/>
        </w:rPr>
      </w:pPr>
    </w:p>
    <w:p w14:paraId="21BDC56D" w14:textId="5AF25334" w:rsidR="000776BE" w:rsidRPr="00F340A2" w:rsidRDefault="00CD23BF" w:rsidP="000776BE">
      <w:pPr>
        <w:ind w:left="0"/>
        <w:contextualSpacing/>
        <w:jc w:val="both"/>
        <w:rPr>
          <w:rFonts w:ascii="Bookman Old Style" w:hAnsi="Bookman Old Style" w:cs="Arial"/>
          <w:lang w:val="es-ES_tradnl"/>
        </w:rPr>
      </w:pPr>
      <m:oMathPara>
        <m:oMath>
          <m:sSub>
            <m:sSubPr>
              <m:ctrlPr>
                <w:rPr>
                  <w:rFonts w:ascii="Cambria Math" w:eastAsiaTheme="minorEastAsia" w:hAnsi="Cambria Math" w:cstheme="minorBidi"/>
                  <w:iCs/>
                  <w:color w:val="000000" w:themeColor="text1"/>
                  <w:kern w:val="24"/>
                </w:rPr>
              </m:ctrlPr>
            </m:sSubPr>
            <m:e>
              <m:r>
                <m:rPr>
                  <m:sty m:val="p"/>
                </m:rPr>
                <w:rPr>
                  <w:rFonts w:ascii="Cambria Math" w:hAnsi="Cambria Math" w:cstheme="minorBidi"/>
                  <w:color w:val="000000" w:themeColor="text1"/>
                  <w:kern w:val="24"/>
                </w:rPr>
                <m:t>Ke_usd</m:t>
              </m:r>
            </m:e>
            <m:sub>
              <m:r>
                <m:rPr>
                  <m:sty m:val="p"/>
                </m:rPr>
                <w:rPr>
                  <w:rFonts w:ascii="Cambria Math" w:hAnsi="Cambria Math" w:cstheme="minorBidi"/>
                  <w:color w:val="000000" w:themeColor="text1"/>
                  <w:kern w:val="24"/>
                </w:rPr>
                <m:t>a,τ</m:t>
              </m:r>
            </m:sub>
          </m:sSub>
          <m:r>
            <m:rPr>
              <m:sty m:val="p"/>
            </m:rP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Rf_cop_usd</m:t>
              </m:r>
            </m:e>
            <m:sub>
              <m:r>
                <m:rPr>
                  <m:sty m:val="p"/>
                </m:rPr>
                <w:rPr>
                  <w:rFonts w:ascii="Cambria Math" w:eastAsia="Cambria Math" w:hAnsi="Cambria Math" w:cstheme="minorBidi"/>
                  <w:color w:val="000000" w:themeColor="text1"/>
                  <w:kern w:val="24"/>
                </w:rPr>
                <m:t>τ</m:t>
              </m:r>
            </m:sub>
          </m:sSub>
          <m:r>
            <m:rPr>
              <m:sty m:val="p"/>
            </m:rPr>
            <w:rPr>
              <w:rFonts w:ascii="Cambria Math" w:eastAsia="Cambria Math" w:hAnsi="Cambria Math" w:cstheme="minorBidi"/>
              <w:color w:val="000000" w:themeColor="text1"/>
              <w:kern w:val="24"/>
            </w:rPr>
            <m:t>+</m:t>
          </m:r>
          <m:d>
            <m:dPr>
              <m:ctrlPr>
                <w:rPr>
                  <w:rFonts w:ascii="Cambria Math" w:eastAsia="Cambria Math" w:hAnsi="Cambria Math" w:cstheme="minorBidi"/>
                  <w:iCs/>
                  <w:color w:val="000000" w:themeColor="text1"/>
                  <w:kern w:val="24"/>
                </w:rPr>
              </m:ctrlPr>
            </m:dPr>
            <m:e>
              <m:sSub>
                <m:sSubPr>
                  <m:ctrlPr>
                    <w:rPr>
                      <w:rFonts w:ascii="Cambria Math" w:eastAsia="Cambria Math" w:hAnsi="Cambria Math" w:cstheme="minorBidi"/>
                      <w:iCs/>
                      <w:color w:val="000000" w:themeColor="text1"/>
                      <w:kern w:val="24"/>
                    </w:rPr>
                  </m:ctrlPr>
                </m:sSubPr>
                <m:e>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βL</m:t>
                      </m:r>
                    </m:e>
                    <m:sub>
                      <m:r>
                        <m:rPr>
                          <m:sty m:val="p"/>
                        </m:rPr>
                        <w:rPr>
                          <w:rFonts w:ascii="Cambria Math" w:eastAsia="Cambria Math" w:hAnsi="Cambria Math" w:cstheme="minorBidi"/>
                          <w:color w:val="000000" w:themeColor="text1"/>
                          <w:kern w:val="24"/>
                        </w:rPr>
                        <m:t>a,τ</m:t>
                      </m:r>
                    </m:sub>
                  </m:sSub>
                  <m:r>
                    <m:rPr>
                      <m:sty m:val="p"/>
                    </m:rPr>
                    <w:rPr>
                      <w:rFonts w:ascii="Cambria Math" w:eastAsia="Cambria Math" w:hAnsi="Cambria Math" w:cstheme="minorBidi"/>
                      <w:color w:val="000000" w:themeColor="text1"/>
                      <w:kern w:val="24"/>
                    </w:rPr>
                    <m:t>∙PRM</m:t>
                  </m:r>
                </m:e>
                <m:sub>
                  <m:r>
                    <m:rPr>
                      <m:sty m:val="p"/>
                    </m:rPr>
                    <w:rPr>
                      <w:rFonts w:ascii="Cambria Math" w:eastAsia="Cambria Math" w:hAnsi="Cambria Math" w:cstheme="minorBidi"/>
                      <w:color w:val="000000" w:themeColor="text1"/>
                      <w:kern w:val="24"/>
                    </w:rPr>
                    <m:t>τ</m:t>
                  </m:r>
                </m:sub>
              </m:sSub>
            </m:e>
          </m:d>
        </m:oMath>
      </m:oMathPara>
    </w:p>
    <w:p w14:paraId="084B9834" w14:textId="77777777" w:rsidR="000776BE" w:rsidRPr="00F340A2" w:rsidRDefault="000776BE" w:rsidP="000776BE">
      <w:pPr>
        <w:ind w:left="0"/>
        <w:contextualSpacing/>
        <w:jc w:val="both"/>
        <w:rPr>
          <w:rFonts w:ascii="Bookman Old Style" w:hAnsi="Bookman Old Style" w:cs="Arial"/>
          <w:lang w:val="es-ES_tradnl"/>
        </w:rPr>
      </w:pPr>
    </w:p>
    <w:p w14:paraId="571ABFCE" w14:textId="77777777" w:rsidR="000776BE" w:rsidRPr="00F340A2" w:rsidRDefault="000776BE" w:rsidP="000776BE">
      <w:pPr>
        <w:ind w:left="0"/>
        <w:contextualSpacing/>
        <w:jc w:val="both"/>
        <w:rPr>
          <w:rFonts w:ascii="Bookman Old Style" w:hAnsi="Bookman Old Style" w:cs="Arial"/>
          <w:lang w:val="es-ES_tradnl"/>
        </w:rPr>
      </w:pPr>
      <w:r w:rsidRPr="00F340A2">
        <w:rPr>
          <w:rFonts w:ascii="Bookman Old Style" w:hAnsi="Bookman Old Style" w:cs="Arial"/>
          <w:lang w:val="es-ES_tradnl"/>
        </w:rPr>
        <w:t>Donde,</w:t>
      </w:r>
    </w:p>
    <w:p w14:paraId="383D3587" w14:textId="77777777" w:rsidR="000776BE" w:rsidRPr="00F340A2" w:rsidRDefault="000776BE" w:rsidP="000776BE">
      <w:pPr>
        <w:ind w:left="0"/>
        <w:contextualSpacing/>
        <w:jc w:val="both"/>
        <w:rPr>
          <w:rFonts w:ascii="Bookman Old Style" w:hAnsi="Bookman Old Style" w:cs="Arial"/>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14:paraId="1CA7CAE4" w14:textId="77777777" w:rsidTr="00F67EAC">
        <w:tc>
          <w:tcPr>
            <w:tcW w:w="1384" w:type="dxa"/>
          </w:tcPr>
          <w:p w14:paraId="1F3B40E8" w14:textId="22AD92C4" w:rsidR="000776BE" w:rsidRPr="00046205" w:rsidRDefault="00CD23BF" w:rsidP="00F67EAC">
            <w:pPr>
              <w:ind w:left="0"/>
              <w:rPr>
                <w:rFonts w:ascii="Bookman Old Style" w:hAnsi="Bookman Old Style"/>
                <w:b/>
                <w:sz w:val="18"/>
                <w:szCs w:val="18"/>
                <w:lang w:val="es-ES_tradnl"/>
              </w:rPr>
            </w:pPr>
            <m:oMath>
              <m:sSub>
                <m:sSubPr>
                  <m:ctrlPr>
                    <w:rPr>
                      <w:rFonts w:ascii="Cambria Math" w:eastAsia="Cambria Math" w:hAnsi="Cambria Math" w:cstheme="minorBidi"/>
                      <w:b/>
                      <w:iCs/>
                      <w:color w:val="000000" w:themeColor="text1"/>
                      <w:kern w:val="24"/>
                      <w:sz w:val="22"/>
                      <w:szCs w:val="22"/>
                    </w:rPr>
                  </m:ctrlPr>
                </m:sSubPr>
                <m:e>
                  <m:r>
                    <m:rPr>
                      <m:sty m:val="b"/>
                    </m:rPr>
                    <w:rPr>
                      <w:rFonts w:ascii="Cambria Math" w:eastAsia="Cambria Math" w:hAnsi="Cambria Math" w:cstheme="minorBidi"/>
                      <w:color w:val="000000" w:themeColor="text1"/>
                      <w:kern w:val="24"/>
                      <w:sz w:val="22"/>
                      <w:szCs w:val="22"/>
                    </w:rPr>
                    <m:t>Rf_cop_usd</m:t>
                  </m:r>
                </m:e>
                <m:sub>
                  <m:r>
                    <m:rPr>
                      <m:sty m:val="b"/>
                    </m:rPr>
                    <w:rPr>
                      <w:rFonts w:ascii="Cambria Math" w:eastAsia="Cambria Math" w:hAnsi="Cambria Math" w:cstheme="minorBidi"/>
                      <w:color w:val="000000" w:themeColor="text1"/>
                      <w:kern w:val="24"/>
                      <w:sz w:val="22"/>
                      <w:szCs w:val="22"/>
                    </w:rPr>
                    <m:t>τ</m:t>
                  </m:r>
                </m:sub>
              </m:sSub>
            </m:oMath>
            <w:r w:rsidR="000776BE" w:rsidRPr="00046205">
              <w:rPr>
                <w:rFonts w:ascii="Bookman Old Style" w:hAnsi="Bookman Old Style"/>
                <w:b/>
                <w:iCs/>
                <w:color w:val="000000" w:themeColor="text1"/>
                <w:kern w:val="24"/>
                <w:sz w:val="18"/>
                <w:szCs w:val="18"/>
              </w:rPr>
              <w:t xml:space="preserve"> </w:t>
            </w:r>
          </w:p>
        </w:tc>
        <w:tc>
          <w:tcPr>
            <w:tcW w:w="284" w:type="dxa"/>
          </w:tcPr>
          <w:p w14:paraId="3F35B4FC" w14:textId="77777777" w:rsidR="000776BE" w:rsidRPr="00046205" w:rsidRDefault="000776BE" w:rsidP="00F67EAC">
            <w:pPr>
              <w:ind w:left="0"/>
              <w:rPr>
                <w:rFonts w:ascii="Bookman Old Style" w:hAnsi="Bookman Old Style" w:cs="Arial"/>
                <w:b/>
                <w:iCs/>
                <w:color w:val="000000" w:themeColor="text1"/>
                <w:kern w:val="24"/>
                <w:sz w:val="18"/>
                <w:szCs w:val="18"/>
              </w:rPr>
            </w:pPr>
            <w:r w:rsidRPr="00046205">
              <w:rPr>
                <w:rFonts w:ascii="Bookman Old Style" w:hAnsi="Bookman Old Style" w:cs="Arial"/>
                <w:b/>
                <w:iCs/>
                <w:color w:val="000000" w:themeColor="text1"/>
                <w:kern w:val="24"/>
                <w:sz w:val="18"/>
                <w:szCs w:val="18"/>
              </w:rPr>
              <w:t>:</w:t>
            </w:r>
          </w:p>
        </w:tc>
        <w:tc>
          <w:tcPr>
            <w:tcW w:w="7796" w:type="dxa"/>
            <w:vAlign w:val="center"/>
          </w:tcPr>
          <w:p w14:paraId="275A0AC2" w14:textId="1D6EE56F" w:rsidR="000E0C8A" w:rsidRDefault="0026685F" w:rsidP="00F67EAC">
            <w:pPr>
              <w:ind w:left="0"/>
              <w:jc w:val="both"/>
              <w:rPr>
                <w:rFonts w:ascii="Bookman Old Style" w:hAnsi="Bookman Old Style" w:cs="Arial"/>
              </w:rPr>
            </w:pPr>
            <w:r>
              <w:rPr>
                <w:rFonts w:ascii="Bookman Old Style" w:hAnsi="Bookman Old Style" w:cs="Arial"/>
              </w:rPr>
              <w:t>Costo</w:t>
            </w:r>
            <w:r w:rsidR="003B789E">
              <w:rPr>
                <w:rFonts w:ascii="Bookman Old Style" w:hAnsi="Bookman Old Style" w:cs="Arial"/>
              </w:rPr>
              <w:t xml:space="preserve"> en </w:t>
            </w:r>
            <w:r w:rsidR="00D03B07">
              <w:rPr>
                <w:rFonts w:ascii="Bookman Old Style" w:hAnsi="Bookman Old Style" w:cs="Arial"/>
              </w:rPr>
              <w:t xml:space="preserve">dólares de Estados Unidos de América (USD) </w:t>
            </w:r>
            <w:r w:rsidR="003B789E">
              <w:rPr>
                <w:rFonts w:ascii="Bookman Old Style" w:hAnsi="Bookman Old Style" w:cs="Arial"/>
              </w:rPr>
              <w:t>del endeudamiento</w:t>
            </w:r>
            <w:r w:rsidR="007E162B">
              <w:rPr>
                <w:rFonts w:ascii="Bookman Old Style" w:hAnsi="Bookman Old Style" w:cs="Arial"/>
              </w:rPr>
              <w:t xml:space="preserve"> de</w:t>
            </w:r>
            <w:r w:rsidR="004A317A">
              <w:rPr>
                <w:rFonts w:ascii="Bookman Old Style" w:hAnsi="Bookman Old Style" w:cs="Arial"/>
              </w:rPr>
              <w:t xml:space="preserve">l gobierno de </w:t>
            </w:r>
            <w:r w:rsidR="000E0C8A" w:rsidRPr="000E0C8A">
              <w:rPr>
                <w:rFonts w:ascii="Bookman Old Style" w:hAnsi="Bookman Old Style" w:cs="Arial"/>
              </w:rPr>
              <w:t xml:space="preserve">Colombia en </w:t>
            </w:r>
            <w:r w:rsidR="003B789E">
              <w:rPr>
                <w:rFonts w:ascii="Bookman Old Style" w:hAnsi="Bookman Old Style" w:cs="Arial"/>
              </w:rPr>
              <w:t>el exterior, calculado como el p</w:t>
            </w:r>
            <w:r w:rsidR="000E0C8A">
              <w:rPr>
                <w:rFonts w:ascii="Bookman Old Style" w:hAnsi="Bookman Old Style" w:cs="Arial"/>
              </w:rPr>
              <w:t>romedio de la</w:t>
            </w:r>
            <w:r w:rsidR="003B789E">
              <w:rPr>
                <w:rFonts w:ascii="Bookman Old Style" w:hAnsi="Bookman Old Style" w:cs="Arial"/>
              </w:rPr>
              <w:t>s</w:t>
            </w:r>
            <w:r w:rsidR="000E0C8A">
              <w:rPr>
                <w:rFonts w:ascii="Bookman Old Style" w:hAnsi="Bookman Old Style" w:cs="Arial"/>
              </w:rPr>
              <w:t xml:space="preserve"> tasa</w:t>
            </w:r>
            <w:r w:rsidR="003B789E">
              <w:rPr>
                <w:rFonts w:ascii="Bookman Old Style" w:hAnsi="Bookman Old Style" w:cs="Arial"/>
              </w:rPr>
              <w:t>s</w:t>
            </w:r>
            <w:r w:rsidR="004A35ED">
              <w:rPr>
                <w:rFonts w:ascii="Bookman Old Style" w:hAnsi="Bookman Old Style" w:cs="Arial"/>
              </w:rPr>
              <w:t xml:space="preserve"> efectivas</w:t>
            </w:r>
            <w:r w:rsidR="00044816">
              <w:rPr>
                <w:rFonts w:ascii="Bookman Old Style" w:hAnsi="Bookman Old Style" w:cs="Arial"/>
              </w:rPr>
              <w:t xml:space="preserve">, </w:t>
            </w:r>
            <w:r w:rsidR="00044816">
              <w:rPr>
                <w:rFonts w:ascii="Bookman Old Style" w:hAnsi="Bookman Old Style" w:cs="Arial"/>
                <w:color w:val="000000" w:themeColor="text1"/>
                <w:kern w:val="24"/>
              </w:rPr>
              <w:t>de la curva cero cupó</w:t>
            </w:r>
            <w:r w:rsidR="00044816" w:rsidRPr="00200289">
              <w:rPr>
                <w:rFonts w:ascii="Bookman Old Style" w:hAnsi="Bookman Old Style" w:cs="Arial"/>
                <w:color w:val="000000" w:themeColor="text1"/>
                <w:kern w:val="24"/>
              </w:rPr>
              <w:t xml:space="preserve">n </w:t>
            </w:r>
            <w:r w:rsidR="00CE3DF2" w:rsidRPr="00200289">
              <w:rPr>
                <w:rFonts w:ascii="Bookman Old Style" w:hAnsi="Bookman Old Style" w:cs="Arial"/>
                <w:iCs/>
                <w:color w:val="000000" w:themeColor="text1"/>
                <w:kern w:val="24"/>
              </w:rPr>
              <w:t xml:space="preserve">Colombia </w:t>
            </w:r>
            <w:r w:rsidR="00046205" w:rsidRPr="00200289">
              <w:rPr>
                <w:rFonts w:ascii="Bookman Old Style" w:hAnsi="Bookman Old Style" w:cs="Arial"/>
                <w:iCs/>
                <w:color w:val="000000" w:themeColor="text1"/>
                <w:kern w:val="24"/>
              </w:rPr>
              <w:t xml:space="preserve">en </w:t>
            </w:r>
            <w:r w:rsidR="006F35B4">
              <w:rPr>
                <w:rFonts w:ascii="Bookman Old Style" w:hAnsi="Bookman Old Style" w:cs="Arial"/>
                <w:iCs/>
                <w:color w:val="000000" w:themeColor="text1"/>
                <w:kern w:val="24"/>
              </w:rPr>
              <w:t xml:space="preserve">USD </w:t>
            </w:r>
            <w:r w:rsidR="00046205">
              <w:rPr>
                <w:rFonts w:ascii="Bookman Old Style" w:hAnsi="Bookman Old Style" w:cs="Arial"/>
                <w:iCs/>
                <w:color w:val="000000" w:themeColor="text1"/>
                <w:kern w:val="24"/>
              </w:rPr>
              <w:t>(</w:t>
            </w:r>
            <w:r w:rsidR="00046205" w:rsidRPr="00F340A2">
              <w:rPr>
                <w:rFonts w:ascii="Bookman Old Style" w:hAnsi="Bookman Old Style" w:cs="Arial"/>
                <w:iCs/>
                <w:color w:val="000000" w:themeColor="text1"/>
                <w:kern w:val="24"/>
              </w:rPr>
              <w:t>plazo de 3650 días</w:t>
            </w:r>
            <w:r w:rsidR="00046205">
              <w:rPr>
                <w:rFonts w:ascii="Bookman Old Style" w:hAnsi="Bookman Old Style" w:cs="Arial"/>
                <w:iCs/>
                <w:color w:val="000000" w:themeColor="text1"/>
                <w:kern w:val="24"/>
              </w:rPr>
              <w:t>)</w:t>
            </w:r>
            <w:r w:rsidR="00044816" w:rsidRPr="00200289">
              <w:rPr>
                <w:rFonts w:ascii="Bookman Old Style" w:hAnsi="Bookman Old Style" w:cs="Arial"/>
                <w:color w:val="000000" w:themeColor="text1"/>
                <w:kern w:val="24"/>
              </w:rPr>
              <w:t xml:space="preserve">, </w:t>
            </w:r>
            <w:r w:rsidR="00F35E4A">
              <w:rPr>
                <w:rFonts w:ascii="Bookman Old Style" w:hAnsi="Bookman Old Style" w:cs="Arial"/>
                <w:iCs/>
                <w:color w:val="000000" w:themeColor="text1"/>
                <w:kern w:val="24"/>
              </w:rPr>
              <w:t xml:space="preserve">que se obtienen de la información publicada por Precia PPV S.A., </w:t>
            </w:r>
            <w:r w:rsidR="000E0C8A" w:rsidRPr="00200289">
              <w:rPr>
                <w:rFonts w:ascii="Bookman Old Style" w:hAnsi="Bookman Old Style" w:cs="Arial"/>
              </w:rPr>
              <w:t xml:space="preserve">de los </w:t>
            </w:r>
            <w:r w:rsidR="00D25A1E">
              <w:rPr>
                <w:rFonts w:ascii="Bookman Old Style" w:hAnsi="Bookman Old Style" w:cs="Arial"/>
              </w:rPr>
              <w:t>sesenta</w:t>
            </w:r>
            <w:r w:rsidR="000E0C8A" w:rsidRPr="00200289">
              <w:rPr>
                <w:rFonts w:ascii="Bookman Old Style" w:hAnsi="Bookman Old Style" w:cs="Arial"/>
              </w:rPr>
              <w:t xml:space="preserve"> (</w:t>
            </w:r>
            <w:r w:rsidR="00D25A1E">
              <w:rPr>
                <w:rFonts w:ascii="Bookman Old Style" w:hAnsi="Bookman Old Style" w:cs="Arial"/>
              </w:rPr>
              <w:t>60</w:t>
            </w:r>
            <w:r w:rsidR="000E0C8A" w:rsidRPr="00200289">
              <w:rPr>
                <w:rFonts w:ascii="Bookman Old Style" w:hAnsi="Bookman Old Style" w:cs="Arial"/>
              </w:rPr>
              <w:t>) meses anteriores</w:t>
            </w:r>
            <w:r w:rsidR="00102983">
              <w:rPr>
                <w:rFonts w:ascii="Bookman Old Style" w:hAnsi="Bookman Old Style" w:cs="Arial"/>
              </w:rPr>
              <w:t>, ponderad</w:t>
            </w:r>
            <w:r w:rsidR="00191795">
              <w:rPr>
                <w:rFonts w:ascii="Bookman Old Style" w:hAnsi="Bookman Old Style" w:cs="Arial"/>
              </w:rPr>
              <w:t>as</w:t>
            </w:r>
            <w:r w:rsidR="00102983">
              <w:rPr>
                <w:rFonts w:ascii="Bookman Old Style" w:hAnsi="Bookman Old Style" w:cs="Arial"/>
              </w:rPr>
              <w:t xml:space="preserve"> mediante el método </w:t>
            </w:r>
            <w:r w:rsidR="00C51BB4">
              <w:rPr>
                <w:rFonts w:ascii="Bookman Old Style" w:hAnsi="Bookman Old Style" w:cs="Arial"/>
              </w:rPr>
              <w:t xml:space="preserve">de </w:t>
            </w:r>
            <w:r w:rsidR="00102983">
              <w:rPr>
                <w:rFonts w:ascii="Bookman Old Style" w:hAnsi="Bookman Old Style" w:cs="Arial"/>
              </w:rPr>
              <w:t>suma de dígitos</w:t>
            </w:r>
            <w:r w:rsidR="00ED1C94" w:rsidRPr="00200289">
              <w:rPr>
                <w:rFonts w:ascii="Bookman Old Style" w:hAnsi="Bookman Old Style" w:cs="Arial"/>
              </w:rPr>
              <w:t>.</w:t>
            </w:r>
          </w:p>
          <w:p w14:paraId="786937A9" w14:textId="77777777" w:rsidR="00511919" w:rsidRDefault="00511919" w:rsidP="00F67EAC">
            <w:pPr>
              <w:ind w:left="0"/>
              <w:jc w:val="both"/>
              <w:rPr>
                <w:rFonts w:ascii="Bookman Old Style" w:hAnsi="Bookman Old Style" w:cs="Arial"/>
              </w:rPr>
            </w:pPr>
          </w:p>
          <w:p w14:paraId="204570D9" w14:textId="137BD181" w:rsidR="00511919" w:rsidRPr="007B4F4C" w:rsidRDefault="00511919" w:rsidP="00511919">
            <w:pPr>
              <w:ind w:left="0"/>
              <w:contextualSpacing/>
              <w:jc w:val="both"/>
              <w:rPr>
                <w:rFonts w:ascii="Bookman Old Style" w:hAnsi="Bookman Old Style"/>
                <w:lang w:val="es-ES_tradnl"/>
              </w:rPr>
            </w:pPr>
            <w:r w:rsidRPr="007B4F4C">
              <w:rPr>
                <w:rFonts w:ascii="Bookman Old Style" w:hAnsi="Bookman Old Style"/>
                <w:lang w:val="es-ES_tradnl"/>
              </w:rPr>
              <w:t xml:space="preserve">El valor correspondiente a </w:t>
            </w:r>
            <m:oMath>
              <m:sSub>
                <m:sSubPr>
                  <m:ctrlPr>
                    <w:rPr>
                      <w:rFonts w:ascii="Cambria Math" w:eastAsia="Cambria Math" w:hAnsi="Cambria Math" w:cs="Arial"/>
                      <w:bCs/>
                      <w:iCs/>
                      <w:color w:val="000000" w:themeColor="text1"/>
                      <w:kern w:val="24"/>
                    </w:rPr>
                  </m:ctrlPr>
                </m:sSubPr>
                <m:e>
                  <m:r>
                    <m:rPr>
                      <m:sty m:val="p"/>
                    </m:rPr>
                    <w:rPr>
                      <w:rFonts w:ascii="Cambria Math" w:eastAsia="Cambria Math" w:hAnsi="Cambria Math" w:cs="Arial"/>
                      <w:color w:val="000000" w:themeColor="text1"/>
                      <w:kern w:val="24"/>
                    </w:rPr>
                    <m:t>Rf_cop_usd</m:t>
                  </m:r>
                </m:e>
                <m:sub>
                  <m:r>
                    <m:rPr>
                      <m:sty m:val="p"/>
                    </m:rPr>
                    <w:rPr>
                      <w:rFonts w:ascii="Cambria Math" w:eastAsia="Cambria Math" w:hAnsi="Cambria Math" w:cs="Arial"/>
                      <w:color w:val="000000" w:themeColor="text1"/>
                      <w:kern w:val="24"/>
                    </w:rPr>
                    <m:t>τ</m:t>
                  </m:r>
                </m:sub>
              </m:sSub>
            </m:oMath>
            <w:r w:rsidRPr="007B4F4C">
              <w:rPr>
                <w:rFonts w:ascii="Bookman Old Style" w:hAnsi="Bookman Old Style"/>
                <w:lang w:val="es-ES_tradnl"/>
              </w:rPr>
              <w:t xml:space="preserve"> se obtiene mediante la siguiente expresión:</w:t>
            </w:r>
          </w:p>
          <w:p w14:paraId="2306F0A0" w14:textId="77777777" w:rsidR="00511919" w:rsidRPr="007B4F4C" w:rsidRDefault="00511919" w:rsidP="00511919">
            <w:pPr>
              <w:ind w:left="0"/>
              <w:jc w:val="both"/>
              <w:rPr>
                <w:rFonts w:ascii="Bookman Old Style" w:hAnsi="Bookman Old Style" w:cs="Arial"/>
              </w:rPr>
            </w:pPr>
          </w:p>
          <w:p w14:paraId="5C4A0204" w14:textId="5947D842" w:rsidR="00511919" w:rsidRPr="007B4F4C" w:rsidRDefault="00CD23BF" w:rsidP="00511919">
            <w:pPr>
              <w:ind w:left="0"/>
              <w:jc w:val="both"/>
              <w:rPr>
                <w:rFonts w:ascii="Bookman Old Style" w:hAnsi="Bookman Old Style" w:cs="Arial"/>
                <w:iCs/>
              </w:rPr>
            </w:pPr>
            <m:oMathPara>
              <m:oMath>
                <m:sSub>
                  <m:sSubPr>
                    <m:ctrlPr>
                      <w:rPr>
                        <w:rFonts w:ascii="Cambria Math" w:hAnsi="Cambria Math"/>
                        <w:iCs/>
                        <w:lang w:val="es-ES_tradnl"/>
                      </w:rPr>
                    </m:ctrlPr>
                  </m:sSubPr>
                  <m:e>
                    <m:r>
                      <m:rPr>
                        <m:sty m:val="p"/>
                      </m:rPr>
                      <w:rPr>
                        <w:rFonts w:ascii="Cambria Math" w:hAnsi="Cambria Math"/>
                        <w:lang w:val="es-ES_tradnl"/>
                      </w:rPr>
                      <m:t>Rf_cop_usd</m:t>
                    </m:r>
                  </m:e>
                  <m:sub>
                    <m:r>
                      <m:rPr>
                        <m:sty m:val="p"/>
                      </m:rPr>
                      <w:rPr>
                        <w:rFonts w:ascii="Cambria Math" w:hAnsi="Cambria Math"/>
                        <w:lang w:val="es-ES_tradnl"/>
                      </w:rPr>
                      <m:t>τ</m:t>
                    </m:r>
                  </m:sub>
                </m:sSub>
                <m:r>
                  <m:rPr>
                    <m:sty m:val="p"/>
                  </m:rPr>
                  <w:rPr>
                    <w:rFonts w:ascii="Cambria Math" w:hAnsi="Cambria Math" w:cs="Arial"/>
                  </w:rPr>
                  <m:t>=</m:t>
                </m:r>
                <m:nary>
                  <m:naryPr>
                    <m:chr m:val="∑"/>
                    <m:limLoc m:val="undOvr"/>
                    <m:ctrlPr>
                      <w:rPr>
                        <w:rFonts w:ascii="Cambria Math" w:hAnsi="Cambria Math" w:cs="Arial"/>
                        <w:iCs/>
                      </w:rPr>
                    </m:ctrlPr>
                  </m:naryPr>
                  <m:sub>
                    <m:r>
                      <m:rPr>
                        <m:sty m:val="p"/>
                      </m:rPr>
                      <w:rPr>
                        <w:rFonts w:ascii="Cambria Math" w:hAnsi="Cambria Math" w:cs="Arial"/>
                      </w:rPr>
                      <m:t>i=-n</m:t>
                    </m:r>
                  </m:sub>
                  <m:sup>
                    <m:r>
                      <m:rPr>
                        <m:sty m:val="p"/>
                      </m:rPr>
                      <w:rPr>
                        <w:rFonts w:ascii="Cambria Math" w:hAnsi="Cambria Math" w:cs="Arial"/>
                      </w:rPr>
                      <m:t>-1</m:t>
                    </m:r>
                  </m:sup>
                  <m:e>
                    <m:f>
                      <m:fPr>
                        <m:ctrlPr>
                          <w:rPr>
                            <w:rFonts w:ascii="Cambria Math" w:hAnsi="Cambria Math" w:cs="Arial"/>
                            <w:iCs/>
                          </w:rPr>
                        </m:ctrlPr>
                      </m:fPr>
                      <m:num>
                        <m:r>
                          <m:rPr>
                            <m:sty m:val="p"/>
                          </m:rPr>
                          <w:rPr>
                            <w:rFonts w:ascii="Cambria Math" w:hAnsi="Cambria Math" w:cs="Arial"/>
                          </w:rPr>
                          <m:t>(n+1)+i</m:t>
                        </m:r>
                      </m:num>
                      <m:den>
                        <m:f>
                          <m:fPr>
                            <m:type m:val="lin"/>
                            <m:ctrlPr>
                              <w:rPr>
                                <w:rFonts w:ascii="Cambria Math" w:hAnsi="Cambria Math" w:cs="Arial"/>
                                <w:iCs/>
                              </w:rPr>
                            </m:ctrlPr>
                          </m:fPr>
                          <m:num>
                            <m:r>
                              <m:rPr>
                                <m:sty m:val="p"/>
                              </m:rPr>
                              <w:rPr>
                                <w:rFonts w:ascii="Cambria Math" w:hAnsi="Cambria Math" w:cs="Arial"/>
                              </w:rPr>
                              <m:t>n(n+1)</m:t>
                            </m:r>
                          </m:num>
                          <m:den>
                            <m:r>
                              <m:rPr>
                                <m:sty m:val="p"/>
                              </m:rPr>
                              <w:rPr>
                                <w:rFonts w:ascii="Cambria Math" w:hAnsi="Cambria Math" w:cs="Arial"/>
                              </w:rPr>
                              <m:t>2</m:t>
                            </m:r>
                          </m:den>
                        </m:f>
                      </m:den>
                    </m:f>
                    <m:r>
                      <w:rPr>
                        <w:rFonts w:ascii="Cambria Math" w:hAnsi="Cambria Math" w:cs="Arial"/>
                      </w:rPr>
                      <m:t>∙</m:t>
                    </m:r>
                    <m:sSub>
                      <m:sSubPr>
                        <m:ctrlPr>
                          <w:rPr>
                            <w:rFonts w:ascii="Cambria Math" w:hAnsi="Cambria Math"/>
                            <w:iCs/>
                            <w:lang w:val="es-ES_tradnl"/>
                          </w:rPr>
                        </m:ctrlPr>
                      </m:sSubPr>
                      <m:e>
                        <m:r>
                          <m:rPr>
                            <m:sty m:val="p"/>
                          </m:rPr>
                          <w:rPr>
                            <w:rFonts w:ascii="Cambria Math" w:hAnsi="Cambria Math"/>
                            <w:lang w:val="es-ES_tradnl"/>
                          </w:rPr>
                          <m:t>Rf_cop_usd</m:t>
                        </m:r>
                      </m:e>
                      <m:sub>
                        <m:r>
                          <m:rPr>
                            <m:sty m:val="p"/>
                          </m:rPr>
                          <w:rPr>
                            <w:rFonts w:ascii="Cambria Math" w:hAnsi="Cambria Math"/>
                            <w:lang w:val="es-ES_tradnl"/>
                          </w:rPr>
                          <m:t>i</m:t>
                        </m:r>
                      </m:sub>
                    </m:sSub>
                  </m:e>
                </m:nary>
              </m:oMath>
            </m:oMathPara>
          </w:p>
          <w:p w14:paraId="1E3C2FC4" w14:textId="77777777" w:rsidR="00511919" w:rsidRPr="007B4F4C" w:rsidRDefault="00511919" w:rsidP="00511919">
            <w:pPr>
              <w:ind w:left="0"/>
              <w:jc w:val="both"/>
              <w:rPr>
                <w:rFonts w:ascii="Bookman Old Style" w:hAnsi="Bookman Old Style" w:cs="Arial"/>
              </w:rPr>
            </w:pPr>
          </w:p>
          <w:p w14:paraId="1C706E55" w14:textId="664C25D7" w:rsidR="00511919" w:rsidRDefault="00511919" w:rsidP="00F67EAC">
            <w:pPr>
              <w:ind w:left="0"/>
              <w:jc w:val="both"/>
              <w:rPr>
                <w:rFonts w:ascii="Bookman Old Style" w:hAnsi="Bookman Old Style" w:cs="Arial"/>
              </w:rPr>
            </w:pPr>
            <w:r w:rsidRPr="007B4F4C">
              <w:rPr>
                <w:rFonts w:ascii="Bookman Old Style" w:hAnsi="Bookman Old Style" w:cs="Arial"/>
              </w:rPr>
              <w:t xml:space="preserve">En donde </w:t>
            </w:r>
            <w:r w:rsidRPr="007B4F4C">
              <w:rPr>
                <w:rFonts w:ascii="Bookman Old Style" w:hAnsi="Bookman Old Style"/>
                <w:lang w:val="es-ES_tradnl"/>
              </w:rPr>
              <w:t xml:space="preserve">i es cada una de las fechas para las que existe información, </w:t>
            </w:r>
            <m:oMath>
              <m:sSub>
                <m:sSubPr>
                  <m:ctrlPr>
                    <w:rPr>
                      <w:rFonts w:ascii="Cambria Math" w:hAnsi="Cambria Math"/>
                      <w:iCs/>
                      <w:lang w:val="es-ES_tradnl"/>
                    </w:rPr>
                  </m:ctrlPr>
                </m:sSubPr>
                <m:e>
                  <m:r>
                    <m:rPr>
                      <m:sty m:val="p"/>
                    </m:rPr>
                    <w:rPr>
                      <w:rFonts w:ascii="Cambria Math" w:hAnsi="Cambria Math"/>
                      <w:lang w:val="es-ES_tradnl"/>
                    </w:rPr>
                    <m:t>Rf_cop_usd</m:t>
                  </m:r>
                </m:e>
                <m:sub>
                  <m:r>
                    <m:rPr>
                      <m:sty m:val="p"/>
                    </m:rPr>
                    <w:rPr>
                      <w:rFonts w:ascii="Cambria Math" w:hAnsi="Cambria Math"/>
                      <w:lang w:val="es-ES_tradnl"/>
                    </w:rPr>
                    <m:t>i</m:t>
                  </m:r>
                </m:sub>
              </m:sSub>
            </m:oMath>
            <w:r w:rsidRPr="007B4F4C">
              <w:rPr>
                <w:rFonts w:ascii="Bookman Old Style" w:hAnsi="Bookman Old Style"/>
                <w:iCs/>
                <w:lang w:val="es-ES_tradnl"/>
              </w:rPr>
              <w:t xml:space="preserve"> es la tasa de </w:t>
            </w:r>
            <w:r w:rsidR="00142F2B">
              <w:rPr>
                <w:rFonts w:ascii="Bookman Old Style" w:hAnsi="Bookman Old Style" w:cs="Arial"/>
                <w:color w:val="000000" w:themeColor="text1"/>
                <w:kern w:val="24"/>
              </w:rPr>
              <w:t>la curva cero cupó</w:t>
            </w:r>
            <w:r w:rsidR="00142F2B" w:rsidRPr="00200289">
              <w:rPr>
                <w:rFonts w:ascii="Bookman Old Style" w:hAnsi="Bookman Old Style" w:cs="Arial"/>
                <w:color w:val="000000" w:themeColor="text1"/>
                <w:kern w:val="24"/>
              </w:rPr>
              <w:t xml:space="preserve">n </w:t>
            </w:r>
            <w:r w:rsidRPr="007B4F4C">
              <w:rPr>
                <w:rFonts w:ascii="Bookman Old Style" w:hAnsi="Bookman Old Style"/>
                <w:iCs/>
                <w:lang w:val="es-ES_tradnl"/>
              </w:rPr>
              <w:t xml:space="preserve">de la fecha i, </w:t>
            </w:r>
            <w:r w:rsidRPr="007B4F4C">
              <w:rPr>
                <w:rFonts w:ascii="Bookman Old Style" w:hAnsi="Bookman Old Style" w:cs="Arial"/>
                <w:i/>
                <w:iCs/>
              </w:rPr>
              <w:t>n</w:t>
            </w:r>
            <w:r w:rsidRPr="007B4F4C">
              <w:rPr>
                <w:rFonts w:ascii="Bookman Old Style" w:hAnsi="Bookman Old Style" w:cs="Arial"/>
              </w:rPr>
              <w:t xml:space="preserve"> es el número de datos disponibles e</w:t>
            </w:r>
            <w:r w:rsidRPr="00FE0142">
              <w:rPr>
                <w:rFonts w:ascii="Bookman Old Style" w:hAnsi="Bookman Old Style" w:cs="Arial"/>
              </w:rPr>
              <w:t xml:space="preserve"> </w:t>
            </w:r>
            <w:r w:rsidRPr="00FE0142">
              <w:rPr>
                <w:rFonts w:ascii="Bookman Old Style" w:hAnsi="Bookman Old Style" w:cs="Arial"/>
                <w:i/>
                <w:iCs/>
              </w:rPr>
              <w:t>i</w:t>
            </w:r>
            <w:r w:rsidR="00704257">
              <w:rPr>
                <w:rFonts w:ascii="Bookman Old Style" w:hAnsi="Bookman Old Style" w:cs="Arial"/>
                <w:i/>
                <w:iCs/>
              </w:rPr>
              <w:t xml:space="preserve"> </w:t>
            </w:r>
            <w:r w:rsidRPr="00FE0142">
              <w:rPr>
                <w:rFonts w:ascii="Bookman Old Style" w:hAnsi="Bookman Old Style" w:cs="Arial"/>
              </w:rPr>
              <w:t>=</w:t>
            </w:r>
            <w:r w:rsidR="00704257">
              <w:rPr>
                <w:rFonts w:ascii="Bookman Old Style" w:hAnsi="Bookman Old Style" w:cs="Arial"/>
              </w:rPr>
              <w:t xml:space="preserve"> </w:t>
            </w:r>
            <w:r w:rsidRPr="00704257">
              <w:rPr>
                <w:rFonts w:ascii="Bookman Old Style" w:hAnsi="Bookman Old Style" w:cs="Arial"/>
                <w:b/>
                <w:bCs/>
              </w:rPr>
              <w:t>-</w:t>
            </w:r>
            <w:r w:rsidRPr="00FE0142">
              <w:rPr>
                <w:rFonts w:ascii="Bookman Old Style" w:hAnsi="Bookman Old Style" w:cs="Arial"/>
              </w:rPr>
              <w:t>1 es</w:t>
            </w:r>
            <w:r w:rsidRPr="007B4F4C">
              <w:rPr>
                <w:rFonts w:ascii="Bookman Old Style" w:hAnsi="Bookman Old Style" w:cs="Arial"/>
              </w:rPr>
              <w:t xml:space="preserve"> el dato más reciente.</w:t>
            </w:r>
          </w:p>
          <w:p w14:paraId="133CC03E" w14:textId="77777777" w:rsidR="000776BE" w:rsidRPr="00F340A2" w:rsidRDefault="000776BE" w:rsidP="00F67EAC">
            <w:pPr>
              <w:ind w:left="0"/>
              <w:jc w:val="both"/>
              <w:rPr>
                <w:rFonts w:ascii="Bookman Old Style" w:hAnsi="Bookman Old Style"/>
                <w:lang w:val="es-ES_tradnl"/>
              </w:rPr>
            </w:pPr>
          </w:p>
        </w:tc>
      </w:tr>
      <w:tr w:rsidR="00A53D1E" w:rsidRPr="00F340A2" w14:paraId="59478BC2" w14:textId="77777777" w:rsidTr="00F67EAC">
        <w:tc>
          <w:tcPr>
            <w:tcW w:w="1384" w:type="dxa"/>
          </w:tcPr>
          <w:p w14:paraId="13950042" w14:textId="114790F0" w:rsidR="00A53D1E" w:rsidRPr="00A53D1E" w:rsidRDefault="00A53D1E" w:rsidP="00A53D1E">
            <w:pPr>
              <w:ind w:left="0"/>
              <w:rPr>
                <w:rFonts w:ascii="Bookman Old Style" w:hAnsi="Bookman Old Style" w:cs="Arial"/>
                <w:b/>
                <w:iCs/>
                <w:color w:val="000000" w:themeColor="text1"/>
                <w:kern w:val="24"/>
                <w:sz w:val="22"/>
                <w:szCs w:val="22"/>
              </w:rPr>
            </w:pPr>
            <m:oMathPara>
              <m:oMathParaPr>
                <m:jc m:val="left"/>
              </m:oMathParaPr>
              <m:oMath>
                <m:r>
                  <m:rPr>
                    <m:sty m:val="bi"/>
                  </m:rPr>
                  <w:rPr>
                    <w:rFonts w:ascii="Cambria Math" w:hAnsi="Cambria Math"/>
                    <w:lang w:val="es-ES_tradnl"/>
                  </w:rPr>
                  <m:t xml:space="preserve"> </m:t>
                </m:r>
                <m:sSub>
                  <m:sSubPr>
                    <m:ctrlPr>
                      <w:rPr>
                        <w:rFonts w:ascii="Cambria Math" w:hAnsi="Cambria Math"/>
                        <w:b/>
                        <w:iCs/>
                        <w:lang w:val="es-ES_tradnl"/>
                      </w:rPr>
                    </m:ctrlPr>
                  </m:sSubPr>
                  <m:e>
                    <m:r>
                      <m:rPr>
                        <m:sty m:val="b"/>
                      </m:rPr>
                      <w:rPr>
                        <w:rFonts w:ascii="Cambria Math" w:hAnsi="Cambria Math"/>
                      </w:rPr>
                      <m:t>PRM</m:t>
                    </m:r>
                  </m:e>
                  <m:sub>
                    <m:r>
                      <m:rPr>
                        <m:sty m:val="b"/>
                      </m:rPr>
                      <w:rPr>
                        <w:rFonts w:ascii="Cambria Math" w:hAnsi="Cambria Math"/>
                      </w:rPr>
                      <m:t>τ</m:t>
                    </m:r>
                  </m:sub>
                </m:sSub>
              </m:oMath>
            </m:oMathPara>
          </w:p>
        </w:tc>
        <w:tc>
          <w:tcPr>
            <w:tcW w:w="284" w:type="dxa"/>
          </w:tcPr>
          <w:p w14:paraId="5637AB75" w14:textId="018FF679" w:rsidR="00A53D1E" w:rsidRPr="00046205" w:rsidRDefault="00A53D1E" w:rsidP="00A53D1E">
            <w:pPr>
              <w:ind w:left="0"/>
              <w:rPr>
                <w:rFonts w:ascii="Bookman Old Style" w:hAnsi="Bookman Old Style" w:cs="Arial"/>
                <w:b/>
                <w:iCs/>
                <w:color w:val="000000" w:themeColor="text1"/>
                <w:kern w:val="24"/>
                <w:sz w:val="18"/>
                <w:szCs w:val="18"/>
              </w:rPr>
            </w:pPr>
            <w:r w:rsidRPr="00F340A2">
              <w:rPr>
                <w:rFonts w:ascii="Bookman Old Style" w:hAnsi="Bookman Old Style" w:cs="Arial"/>
                <w:b/>
                <w:iCs/>
              </w:rPr>
              <w:t>:</w:t>
            </w:r>
          </w:p>
        </w:tc>
        <w:tc>
          <w:tcPr>
            <w:tcW w:w="7796" w:type="dxa"/>
            <w:vAlign w:val="center"/>
          </w:tcPr>
          <w:p w14:paraId="135EB47A" w14:textId="4F85700F" w:rsidR="00A53D1E" w:rsidRPr="00997023" w:rsidRDefault="00A53D1E" w:rsidP="00A53D1E">
            <w:pPr>
              <w:ind w:left="0"/>
              <w:jc w:val="both"/>
              <w:rPr>
                <w:rFonts w:ascii="Bookman Old Style" w:hAnsi="Bookman Old Style" w:cs="Arial"/>
                <w:lang w:val="es-CO"/>
              </w:rPr>
            </w:pPr>
            <w:r w:rsidRPr="00F340A2">
              <w:rPr>
                <w:rFonts w:ascii="Bookman Old Style" w:hAnsi="Bookman Old Style" w:cs="Arial"/>
                <w:iCs/>
              </w:rPr>
              <w:t xml:space="preserve">Promedio </w:t>
            </w:r>
            <w:r w:rsidR="007E09B1">
              <w:rPr>
                <w:rFonts w:ascii="Bookman Old Style" w:hAnsi="Bookman Old Style" w:cs="Arial"/>
                <w:iCs/>
              </w:rPr>
              <w:t xml:space="preserve">aritmético </w:t>
            </w:r>
            <w:r w:rsidRPr="00F340A2">
              <w:rPr>
                <w:rFonts w:ascii="Bookman Old Style" w:hAnsi="Bookman Old Style" w:cs="Arial"/>
                <w:iCs/>
              </w:rPr>
              <w:t>de la</w:t>
            </w:r>
            <w:r w:rsidR="00101438">
              <w:rPr>
                <w:rFonts w:ascii="Bookman Old Style" w:hAnsi="Bookman Old Style" w:cs="Arial"/>
                <w:iCs/>
              </w:rPr>
              <w:t>s</w:t>
            </w:r>
            <w:r w:rsidRPr="00F340A2">
              <w:rPr>
                <w:rFonts w:ascii="Bookman Old Style" w:hAnsi="Bookman Old Style" w:cs="Arial"/>
                <w:iCs/>
              </w:rPr>
              <w:t xml:space="preserve"> p</w:t>
            </w:r>
            <w:r w:rsidRPr="00F340A2">
              <w:rPr>
                <w:rFonts w:ascii="Bookman Old Style" w:hAnsi="Bookman Old Style" w:cs="Arial"/>
                <w:iCs/>
                <w:lang w:val="es-ES_tradnl"/>
              </w:rPr>
              <w:t>rima</w:t>
            </w:r>
            <w:r w:rsidR="00101438">
              <w:rPr>
                <w:rFonts w:ascii="Bookman Old Style" w:hAnsi="Bookman Old Style" w:cs="Arial"/>
                <w:iCs/>
                <w:lang w:val="es-ES_tradnl"/>
              </w:rPr>
              <w:t>s</w:t>
            </w:r>
            <w:r w:rsidRPr="00F340A2">
              <w:rPr>
                <w:rFonts w:ascii="Bookman Old Style" w:hAnsi="Bookman Old Style" w:cs="Arial"/>
                <w:iCs/>
                <w:lang w:val="es-ES_tradnl"/>
              </w:rPr>
              <w:t xml:space="preserve"> de mercado </w:t>
            </w:r>
            <w:r w:rsidR="009E5F02">
              <w:rPr>
                <w:rFonts w:ascii="Bookman Old Style" w:hAnsi="Bookman Old Style" w:cs="Arial"/>
                <w:iCs/>
                <w:lang w:val="es-ES_tradnl"/>
              </w:rPr>
              <w:t xml:space="preserve">anuales </w:t>
            </w:r>
            <w:r>
              <w:rPr>
                <w:rFonts w:ascii="Bookman Old Style" w:hAnsi="Bookman Old Style" w:cs="Arial"/>
                <w:iCs/>
                <w:lang w:val="es-ES_tradnl"/>
              </w:rPr>
              <w:t xml:space="preserve">en el país de referencia, </w:t>
            </w:r>
            <w:r w:rsidRPr="00F340A2">
              <w:rPr>
                <w:rFonts w:ascii="Bookman Old Style" w:hAnsi="Bookman Old Style" w:cs="Arial"/>
                <w:iCs/>
                <w:lang w:val="es-ES_tradnl"/>
              </w:rPr>
              <w:t xml:space="preserve">en el momento </w:t>
            </w:r>
            <m:oMath>
              <m:r>
                <m:rPr>
                  <m:sty m:val="p"/>
                </m:rPr>
                <w:rPr>
                  <w:rFonts w:ascii="Cambria Math" w:hAnsi="Cambria Math"/>
                </w:rPr>
                <m:t>τ</m:t>
              </m:r>
            </m:oMath>
            <w:r w:rsidR="007E09B1">
              <w:rPr>
                <w:rFonts w:ascii="Bookman Old Style" w:hAnsi="Bookman Old Style" w:cs="Arial"/>
              </w:rPr>
              <w:t>.</w:t>
            </w:r>
            <w:r w:rsidRPr="00F340A2">
              <w:rPr>
                <w:rFonts w:ascii="Bookman Old Style" w:hAnsi="Bookman Old Style" w:cs="Arial"/>
              </w:rPr>
              <w:t xml:space="preserve"> Corresponde a</w:t>
            </w:r>
            <w:r>
              <w:rPr>
                <w:rFonts w:ascii="Bookman Old Style" w:hAnsi="Bookman Old Style" w:cs="Arial"/>
              </w:rPr>
              <w:t xml:space="preserve"> la diferencia entre </w:t>
            </w:r>
            <w:r w:rsidRPr="00F340A2">
              <w:rPr>
                <w:rFonts w:ascii="Bookman Old Style" w:hAnsi="Bookman Old Style" w:cs="Arial"/>
              </w:rPr>
              <w:t>la</w:t>
            </w:r>
            <w:r w:rsidR="00101438">
              <w:rPr>
                <w:rFonts w:ascii="Bookman Old Style" w:hAnsi="Bookman Old Style" w:cs="Arial"/>
              </w:rPr>
              <w:t>s</w:t>
            </w:r>
            <w:r w:rsidRPr="00F340A2">
              <w:rPr>
                <w:rFonts w:ascii="Bookman Old Style" w:hAnsi="Bookman Old Style" w:cs="Arial"/>
              </w:rPr>
              <w:t xml:space="preserve"> </w:t>
            </w:r>
            <w:r w:rsidR="001103F5">
              <w:rPr>
                <w:rFonts w:ascii="Bookman Old Style" w:hAnsi="Bookman Old Style" w:cs="Arial"/>
              </w:rPr>
              <w:t>rentabilidades</w:t>
            </w:r>
            <w:r w:rsidRPr="00F340A2">
              <w:rPr>
                <w:rFonts w:ascii="Bookman Old Style" w:hAnsi="Bookman Old Style" w:cs="Arial"/>
              </w:rPr>
              <w:t xml:space="preserve"> anuales</w:t>
            </w:r>
            <w:r>
              <w:rPr>
                <w:rFonts w:ascii="Bookman Old Style" w:hAnsi="Bookman Old Style" w:cs="Arial"/>
              </w:rPr>
              <w:t xml:space="preserve"> </w:t>
            </w:r>
            <w:r w:rsidR="00613F03">
              <w:rPr>
                <w:rFonts w:ascii="Bookman Old Style" w:hAnsi="Bookman Old Style" w:cs="Arial"/>
              </w:rPr>
              <w:t xml:space="preserve">del mercado </w:t>
            </w:r>
            <w:r>
              <w:rPr>
                <w:rFonts w:ascii="Bookman Old Style" w:hAnsi="Bookman Old Style" w:cs="Arial"/>
              </w:rPr>
              <w:t>en Estados Unidos de América</w:t>
            </w:r>
            <w:r w:rsidRPr="00F340A2">
              <w:rPr>
                <w:rFonts w:ascii="Bookman Old Style" w:hAnsi="Bookman Old Style" w:cs="Arial"/>
              </w:rPr>
              <w:t xml:space="preserve">, estimada a partir del </w:t>
            </w:r>
            <w:r>
              <w:rPr>
                <w:rFonts w:ascii="Bookman Old Style" w:hAnsi="Bookman Old Style" w:cs="Arial"/>
              </w:rPr>
              <w:t xml:space="preserve">índice </w:t>
            </w:r>
            <w:r w:rsidRPr="00F340A2">
              <w:rPr>
                <w:rFonts w:ascii="Bookman Old Style" w:hAnsi="Bookman Old Style" w:cs="Arial"/>
              </w:rPr>
              <w:t>Standard &amp; Poor’s 500</w:t>
            </w:r>
            <w:r w:rsidR="00613F03">
              <w:rPr>
                <w:rFonts w:ascii="Bookman Old Style" w:hAnsi="Bookman Old Style" w:cs="Arial"/>
              </w:rPr>
              <w:t>,</w:t>
            </w:r>
            <w:r w:rsidRPr="00F340A2">
              <w:rPr>
                <w:rFonts w:ascii="Bookman Old Style" w:hAnsi="Bookman Old Style" w:cs="Arial"/>
              </w:rPr>
              <w:t xml:space="preserve"> y de los bonos de</w:t>
            </w:r>
            <w:r>
              <w:rPr>
                <w:rFonts w:ascii="Bookman Old Style" w:hAnsi="Bookman Old Style" w:cs="Arial"/>
              </w:rPr>
              <w:t>l tesoro de</w:t>
            </w:r>
            <w:r w:rsidRPr="00F340A2">
              <w:rPr>
                <w:rFonts w:ascii="Bookman Old Style" w:hAnsi="Bookman Old Style" w:cs="Arial"/>
              </w:rPr>
              <w:t xml:space="preserve"> los Estados Unidos de América con plazo de emisión a 10 años</w:t>
            </w:r>
            <w:r>
              <w:rPr>
                <w:rFonts w:ascii="Bookman Old Style" w:hAnsi="Bookman Old Style" w:cs="Arial"/>
              </w:rPr>
              <w:t xml:space="preserve">, desde 1926 hasta el momento </w:t>
            </w:r>
            <m:oMath>
              <m:r>
                <m:rPr>
                  <m:sty m:val="p"/>
                </m:rPr>
                <w:rPr>
                  <w:rFonts w:ascii="Cambria Math" w:hAnsi="Cambria Math"/>
                </w:rPr>
                <m:t>τ</m:t>
              </m:r>
            </m:oMath>
            <w:r>
              <w:rPr>
                <w:rFonts w:ascii="Bookman Old Style" w:hAnsi="Bookman Old Style" w:cs="Arial"/>
              </w:rPr>
              <w:t xml:space="preserve">, </w:t>
            </w:r>
            <w:r w:rsidR="00131E79">
              <w:rPr>
                <w:rFonts w:ascii="Bookman Old Style" w:hAnsi="Bookman Old Style" w:cs="Arial"/>
              </w:rPr>
              <w:t>según</w:t>
            </w:r>
            <w:r w:rsidRPr="00997023">
              <w:rPr>
                <w:rFonts w:ascii="Bookman Old Style" w:hAnsi="Bookman Old Style" w:cs="Arial"/>
                <w:lang w:val="es-CO"/>
              </w:rPr>
              <w:t xml:space="preserve"> </w:t>
            </w:r>
            <w:r>
              <w:rPr>
                <w:rFonts w:ascii="Bookman Old Style" w:hAnsi="Bookman Old Style" w:cs="Arial"/>
                <w:lang w:val="es-CO"/>
              </w:rPr>
              <w:t xml:space="preserve">información </w:t>
            </w:r>
            <w:r w:rsidRPr="00997023">
              <w:rPr>
                <w:rFonts w:ascii="Bookman Old Style" w:hAnsi="Bookman Old Style" w:cs="Arial"/>
                <w:lang w:val="es-CO"/>
              </w:rPr>
              <w:t>publicad</w:t>
            </w:r>
            <w:r>
              <w:rPr>
                <w:rFonts w:ascii="Bookman Old Style" w:hAnsi="Bookman Old Style" w:cs="Arial"/>
                <w:lang w:val="es-CO"/>
              </w:rPr>
              <w:t>a</w:t>
            </w:r>
            <w:r w:rsidRPr="00997023">
              <w:rPr>
                <w:rFonts w:ascii="Bookman Old Style" w:hAnsi="Bookman Old Style" w:cs="Arial"/>
                <w:lang w:val="es-CO"/>
              </w:rPr>
              <w:t xml:space="preserve"> por Duff &amp; Phelps en </w:t>
            </w:r>
            <w:r w:rsidR="00131E79">
              <w:rPr>
                <w:rFonts w:ascii="Bookman Old Style" w:hAnsi="Bookman Old Style" w:cs="Arial"/>
                <w:lang w:val="es-CO"/>
              </w:rPr>
              <w:t>sus servicios de información</w:t>
            </w:r>
            <w:r>
              <w:rPr>
                <w:rFonts w:ascii="Bookman Old Style" w:hAnsi="Bookman Old Style" w:cs="Arial"/>
                <w:lang w:val="es-CO"/>
              </w:rPr>
              <w:t>.</w:t>
            </w:r>
          </w:p>
          <w:p w14:paraId="30B98C49" w14:textId="77777777" w:rsidR="00A53D1E" w:rsidRDefault="00A53D1E" w:rsidP="00A53D1E">
            <w:pPr>
              <w:ind w:left="0"/>
              <w:jc w:val="both"/>
              <w:rPr>
                <w:rFonts w:ascii="Bookman Old Style" w:hAnsi="Bookman Old Style" w:cs="Arial"/>
              </w:rPr>
            </w:pPr>
          </w:p>
        </w:tc>
      </w:tr>
      <w:tr w:rsidR="000776BE" w:rsidRPr="00F340A2" w14:paraId="6C7DC98C" w14:textId="77777777" w:rsidTr="00F67EAC">
        <w:tc>
          <w:tcPr>
            <w:tcW w:w="1384" w:type="dxa"/>
          </w:tcPr>
          <w:p w14:paraId="6C1F416D" w14:textId="29A333DE" w:rsidR="000776BE" w:rsidRPr="00F340A2" w:rsidRDefault="00CD23BF"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βL</m:t>
                    </m:r>
                  </m:e>
                  <m:sub>
                    <m:r>
                      <m:rPr>
                        <m:sty m:val="b"/>
                      </m:rPr>
                      <w:rPr>
                        <w:rFonts w:ascii="Cambria Math" w:eastAsia="Cambria Math" w:hAnsi="Cambria Math" w:cstheme="minorBidi"/>
                        <w:color w:val="000000" w:themeColor="text1"/>
                        <w:kern w:val="24"/>
                      </w:rPr>
                      <m:t>a,τ</m:t>
                    </m:r>
                  </m:sub>
                </m:sSub>
              </m:oMath>
            </m:oMathPara>
          </w:p>
        </w:tc>
        <w:tc>
          <w:tcPr>
            <w:tcW w:w="284" w:type="dxa"/>
          </w:tcPr>
          <w:p w14:paraId="061DE012"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vAlign w:val="center"/>
          </w:tcPr>
          <w:p w14:paraId="4329D48D" w14:textId="467415BA" w:rsidR="000776BE" w:rsidRPr="00F340A2" w:rsidRDefault="000776BE" w:rsidP="00F67EAC">
            <w:pPr>
              <w:ind w:left="0"/>
              <w:jc w:val="both"/>
              <w:rPr>
                <w:rFonts w:ascii="Bookman Old Style" w:hAnsi="Bookman Old Style" w:cs="Arial"/>
              </w:rPr>
            </w:pPr>
            <w:r w:rsidRPr="00F340A2">
              <w:rPr>
                <w:rFonts w:ascii="Bookman Old Style" w:hAnsi="Bookman Old Style" w:cs="Arial"/>
              </w:rPr>
              <w:t>Beta apalancado</w:t>
            </w:r>
            <w:r w:rsidR="00813F74">
              <w:rPr>
                <w:rFonts w:ascii="Bookman Old Style" w:hAnsi="Bookman Old Style" w:cs="Arial"/>
              </w:rPr>
              <w:t xml:space="preserve"> para la actividad a,</w:t>
            </w:r>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 xml:space="preserve">, </w:t>
            </w:r>
            <w:r w:rsidR="00883345">
              <w:rPr>
                <w:rFonts w:ascii="Bookman Old Style" w:hAnsi="Bookman Old Style" w:cs="Arial"/>
              </w:rPr>
              <w:t xml:space="preserve">que </w:t>
            </w:r>
            <w:r w:rsidR="00883345" w:rsidRPr="006E0797">
              <w:rPr>
                <w:rFonts w:ascii="Bookman Old Style" w:hAnsi="Bookman Old Style"/>
                <w:lang w:val="es-ES_tradnl"/>
              </w:rPr>
              <w:t>se</w:t>
            </w:r>
            <w:r w:rsidR="00883345">
              <w:rPr>
                <w:rFonts w:ascii="Bookman Old Style" w:hAnsi="Bookman Old Style"/>
                <w:lang w:val="es-ES_tradnl"/>
              </w:rPr>
              <w:t xml:space="preserve"> obtiene mediante la siguiente expresión</w:t>
            </w:r>
            <w:r w:rsidRPr="00F340A2">
              <w:rPr>
                <w:rFonts w:ascii="Bookman Old Style" w:hAnsi="Bookman Old Style" w:cs="Arial"/>
              </w:rPr>
              <w:t>:</w:t>
            </w:r>
          </w:p>
          <w:p w14:paraId="36CC0009" w14:textId="77777777" w:rsidR="000776BE" w:rsidRPr="00F340A2" w:rsidRDefault="000776BE" w:rsidP="00F67EAC">
            <w:pPr>
              <w:ind w:left="0"/>
              <w:jc w:val="both"/>
              <w:rPr>
                <w:rFonts w:ascii="Bookman Old Style" w:hAnsi="Bookman Old Style" w:cs="Arial"/>
              </w:rPr>
            </w:pPr>
          </w:p>
          <w:p w14:paraId="4B2A38CE" w14:textId="42648A3F" w:rsidR="000776BE" w:rsidRPr="00F340A2" w:rsidRDefault="00CD23BF" w:rsidP="00F67EAC">
            <w:pPr>
              <w:ind w:left="0"/>
              <w:jc w:val="both"/>
              <w:rPr>
                <w:rFonts w:ascii="Bookman Old Style" w:hAnsi="Bookman Old Style" w:cs="Arial"/>
              </w:rPr>
            </w:pPr>
            <m:oMathPara>
              <m:oMath>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βL</m:t>
                    </m:r>
                  </m:e>
                  <m:sub>
                    <m:r>
                      <m:rPr>
                        <m:sty m:val="p"/>
                      </m:rPr>
                      <w:rPr>
                        <w:rFonts w:ascii="Cambria Math" w:eastAsia="Cambria Math" w:hAnsi="Cambria Math" w:cstheme="minorBidi"/>
                        <w:kern w:val="24"/>
                      </w:rPr>
                      <m:t>a,τ</m:t>
                    </m:r>
                  </m:sub>
                </m:sSub>
                <m:r>
                  <m:rPr>
                    <m:sty m:val="p"/>
                  </m:rPr>
                  <w:rPr>
                    <w:rFonts w:ascii="Cambria Math" w:eastAsia="Cambria Math" w:hAnsi="Cambria Math" w:cstheme="minorBidi"/>
                    <w:kern w:val="24"/>
                  </w:rPr>
                  <m:t>=</m:t>
                </m:r>
                <m:d>
                  <m:dPr>
                    <m:ctrlPr>
                      <w:rPr>
                        <w:rFonts w:ascii="Cambria Math" w:eastAsia="Cambria Math" w:hAnsi="Cambria Math" w:cstheme="minorBidi"/>
                        <w:iCs/>
                        <w:kern w:val="24"/>
                      </w:rPr>
                    </m:ctrlPr>
                  </m:dPr>
                  <m:e>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βU</m:t>
                        </m:r>
                      </m:e>
                      <m:sub>
                        <m:r>
                          <m:rPr>
                            <m:sty m:val="p"/>
                          </m:rPr>
                          <w:rPr>
                            <w:rFonts w:ascii="Cambria Math" w:eastAsia="Cambria Math" w:hAnsi="Cambria Math" w:cstheme="minorBidi"/>
                            <w:kern w:val="24"/>
                          </w:rPr>
                          <m:t>a,τ</m:t>
                        </m:r>
                      </m:sub>
                    </m:sSub>
                    <m:r>
                      <m:rPr>
                        <m:sty m:val="p"/>
                      </m:rPr>
                      <w:rPr>
                        <w:rFonts w:ascii="Cambria Math" w:eastAsia="Cambria Math" w:hAnsi="Cambria Math" w:cstheme="minorBidi"/>
                        <w:kern w:val="24"/>
                      </w:rPr>
                      <m:t>+Δ</m:t>
                    </m:r>
                    <m:sSub>
                      <m:sSubPr>
                        <m:ctrlPr>
                          <w:rPr>
                            <w:rFonts w:ascii="Cambria Math" w:eastAsia="Cambria Math" w:hAnsi="Cambria Math" w:cstheme="minorBidi"/>
                            <w:kern w:val="24"/>
                          </w:rPr>
                        </m:ctrlPr>
                      </m:sSubPr>
                      <m:e>
                        <m:r>
                          <m:rPr>
                            <m:sty m:val="p"/>
                          </m:rPr>
                          <w:rPr>
                            <w:rFonts w:ascii="Cambria Math" w:eastAsia="Cambria Math" w:hAnsi="Cambria Math" w:cstheme="minorBidi"/>
                            <w:kern w:val="24"/>
                          </w:rPr>
                          <m:t>β</m:t>
                        </m:r>
                      </m:e>
                      <m:sub>
                        <m:r>
                          <m:rPr>
                            <m:sty m:val="p"/>
                          </m:rPr>
                          <w:rPr>
                            <w:rFonts w:ascii="Cambria Math" w:eastAsia="Cambria Math" w:hAnsi="Cambria Math" w:cstheme="minorBidi"/>
                            <w:kern w:val="24"/>
                          </w:rPr>
                          <m:t>a</m:t>
                        </m:r>
                      </m:sub>
                    </m:sSub>
                  </m:e>
                </m:d>
                <m:r>
                  <m:rPr>
                    <m:sty m:val="p"/>
                  </m:rPr>
                  <w:rPr>
                    <w:rFonts w:ascii="Cambria Math" w:eastAsia="Cambria Math" w:hAnsi="Cambria Math" w:cstheme="minorBidi"/>
                    <w:kern w:val="24"/>
                  </w:rPr>
                  <m:t>∙</m:t>
                </m:r>
                <m:d>
                  <m:dPr>
                    <m:ctrlPr>
                      <w:rPr>
                        <w:rFonts w:ascii="Cambria Math" w:eastAsia="Cambria Math" w:hAnsi="Cambria Math" w:cstheme="minorBidi"/>
                        <w:kern w:val="24"/>
                      </w:rPr>
                    </m:ctrlPr>
                  </m:dPr>
                  <m:e>
                    <m:r>
                      <m:rPr>
                        <m:sty m:val="p"/>
                      </m:rPr>
                      <w:rPr>
                        <w:rFonts w:ascii="Cambria Math" w:eastAsia="Cambria Math" w:hAnsi="Cambria Math" w:cstheme="minorBidi"/>
                        <w:kern w:val="24"/>
                      </w:rPr>
                      <m:t>1+</m:t>
                    </m:r>
                    <m:d>
                      <m:dPr>
                        <m:ctrlPr>
                          <w:rPr>
                            <w:rFonts w:ascii="Cambria Math" w:eastAsia="Cambria Math" w:hAnsi="Cambria Math" w:cstheme="minorBidi"/>
                            <w:iCs/>
                            <w:kern w:val="24"/>
                          </w:rPr>
                        </m:ctrlPr>
                      </m:dPr>
                      <m:e>
                        <m:r>
                          <m:rPr>
                            <m:sty m:val="p"/>
                          </m:rPr>
                          <w:rPr>
                            <w:rFonts w:ascii="Cambria Math" w:eastAsia="Cambria Math" w:hAnsi="Cambria Math" w:cstheme="minorBidi"/>
                            <w:kern w:val="24"/>
                          </w:rPr>
                          <m:t>1-Tx</m:t>
                        </m:r>
                      </m:e>
                    </m:d>
                    <m:r>
                      <w:rPr>
                        <w:rFonts w:ascii="Cambria Math" w:eastAsia="Cambria Math" w:hAnsi="Cambria Math" w:cstheme="minorBidi"/>
                        <w:kern w:val="24"/>
                      </w:rPr>
                      <m:t>∙</m:t>
                    </m:r>
                    <m:f>
                      <m:fPr>
                        <m:ctrlPr>
                          <w:rPr>
                            <w:rFonts w:ascii="Cambria Math" w:eastAsia="Cambria Math" w:hAnsi="Cambria Math" w:cstheme="minorBidi"/>
                            <w:iCs/>
                            <w:kern w:val="24"/>
                          </w:rPr>
                        </m:ctrlPr>
                      </m:fPr>
                      <m:num>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Wd</m:t>
                            </m:r>
                          </m:e>
                          <m:sub>
                            <m:r>
                              <m:rPr>
                                <m:sty m:val="p"/>
                              </m:rPr>
                              <w:rPr>
                                <w:rFonts w:ascii="Cambria Math" w:eastAsia="Cambria Math" w:hAnsi="Cambria Math" w:cstheme="minorBidi"/>
                                <w:kern w:val="24"/>
                              </w:rPr>
                              <m:t>a,τ</m:t>
                            </m:r>
                          </m:sub>
                        </m:sSub>
                      </m:num>
                      <m:den>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We</m:t>
                            </m:r>
                          </m:e>
                          <m:sub>
                            <m:r>
                              <m:rPr>
                                <m:sty m:val="p"/>
                              </m:rPr>
                              <w:rPr>
                                <w:rFonts w:ascii="Cambria Math" w:eastAsia="Cambria Math" w:hAnsi="Cambria Math" w:cstheme="minorBidi"/>
                                <w:kern w:val="24"/>
                              </w:rPr>
                              <m:t>a,τ</m:t>
                            </m:r>
                          </m:sub>
                        </m:sSub>
                      </m:den>
                    </m:f>
                  </m:e>
                </m:d>
              </m:oMath>
            </m:oMathPara>
          </w:p>
          <w:p w14:paraId="2FE57307" w14:textId="107AAC90" w:rsidR="000776BE" w:rsidRDefault="000776BE" w:rsidP="00F67EAC">
            <w:pPr>
              <w:ind w:left="0"/>
              <w:jc w:val="both"/>
              <w:rPr>
                <w:rFonts w:ascii="Bookman Old Style" w:hAnsi="Bookman Old Style"/>
                <w:lang w:val="es-ES_tradnl"/>
              </w:rPr>
            </w:pPr>
          </w:p>
          <w:p w14:paraId="4D3ABBB2" w14:textId="553B644C" w:rsidR="00883345" w:rsidRDefault="00883345" w:rsidP="00F67EAC">
            <w:pPr>
              <w:ind w:left="0"/>
              <w:jc w:val="both"/>
              <w:rPr>
                <w:rFonts w:ascii="Bookman Old Style" w:hAnsi="Bookman Old Style"/>
                <w:lang w:val="es-ES_tradnl"/>
              </w:rPr>
            </w:pPr>
            <w:r>
              <w:rPr>
                <w:rFonts w:ascii="Bookman Old Style" w:hAnsi="Bookman Old Style"/>
                <w:lang w:val="es-ES_tradnl"/>
              </w:rPr>
              <w:t>Donde:</w:t>
            </w:r>
          </w:p>
          <w:p w14:paraId="2DD20104" w14:textId="18C7466D" w:rsidR="00883345" w:rsidRPr="00F340A2" w:rsidRDefault="00883345" w:rsidP="00F67EAC">
            <w:pPr>
              <w:ind w:left="0"/>
              <w:jc w:val="both"/>
              <w:rPr>
                <w:rFonts w:ascii="Bookman Old Style" w:hAnsi="Bookman Old Style"/>
                <w:lang w:val="es-ES_tradnl"/>
              </w:rPr>
            </w:pPr>
          </w:p>
        </w:tc>
      </w:tr>
      <w:tr w:rsidR="00B73D39" w:rsidRPr="00F340A2" w14:paraId="150818AF" w14:textId="77777777" w:rsidTr="00F67EAC">
        <w:tc>
          <w:tcPr>
            <w:tcW w:w="1384" w:type="dxa"/>
          </w:tcPr>
          <w:p w14:paraId="6AB4F50F" w14:textId="03795C39" w:rsidR="00B73D39" w:rsidRPr="00A63208" w:rsidRDefault="00CD23BF" w:rsidP="00F67EAC">
            <w:pPr>
              <w:ind w:left="0"/>
              <w:rPr>
                <w:b/>
                <w:bCs/>
                <w:iCs/>
                <w:color w:val="000000" w:themeColor="text1"/>
                <w:kern w:val="24"/>
              </w:rPr>
            </w:pPr>
            <m:oMathPara>
              <m:oMathParaPr>
                <m:jc m:val="left"/>
              </m:oMathParaPr>
              <m:oMath>
                <m:sSub>
                  <m:sSubPr>
                    <m:ctrlPr>
                      <w:rPr>
                        <w:rFonts w:ascii="Cambria Math" w:eastAsia="Cambria Math" w:hAnsi="Cambria Math" w:cstheme="minorBidi"/>
                        <w:b/>
                        <w:bCs/>
                        <w:iCs/>
                        <w:color w:val="000000" w:themeColor="text1"/>
                        <w:kern w:val="24"/>
                      </w:rPr>
                    </m:ctrlPr>
                  </m:sSubPr>
                  <m:e>
                    <m:r>
                      <m:rPr>
                        <m:sty m:val="b"/>
                      </m:rPr>
                      <w:rPr>
                        <w:rFonts w:ascii="Cambria Math" w:eastAsia="Cambria Math" w:hAnsi="Cambria Math" w:cstheme="minorBidi"/>
                        <w:color w:val="000000" w:themeColor="text1"/>
                        <w:kern w:val="24"/>
                      </w:rPr>
                      <m:t>βU</m:t>
                    </m:r>
                  </m:e>
                  <m:sub>
                    <m:r>
                      <m:rPr>
                        <m:sty m:val="b"/>
                      </m:rPr>
                      <w:rPr>
                        <w:rFonts w:ascii="Cambria Math" w:eastAsia="Cambria Math" w:hAnsi="Cambria Math" w:cstheme="minorBidi"/>
                        <w:color w:val="000000" w:themeColor="text1"/>
                        <w:kern w:val="24"/>
                      </w:rPr>
                      <m:t>a,τ</m:t>
                    </m:r>
                  </m:sub>
                </m:sSub>
              </m:oMath>
            </m:oMathPara>
          </w:p>
        </w:tc>
        <w:tc>
          <w:tcPr>
            <w:tcW w:w="284" w:type="dxa"/>
          </w:tcPr>
          <w:p w14:paraId="3B2A3CC2" w14:textId="4EB0DC8D" w:rsidR="00B73D39" w:rsidRPr="00F340A2" w:rsidRDefault="00B73D39" w:rsidP="00F67EAC">
            <w:pPr>
              <w:ind w:left="0"/>
              <w:rPr>
                <w:rFonts w:ascii="Bookman Old Style" w:hAnsi="Bookman Old Style" w:cs="Arial"/>
                <w:b/>
              </w:rPr>
            </w:pPr>
            <w:r>
              <w:rPr>
                <w:rFonts w:ascii="Bookman Old Style" w:hAnsi="Bookman Old Style" w:cs="Arial"/>
                <w:b/>
              </w:rPr>
              <w:t>:</w:t>
            </w:r>
          </w:p>
        </w:tc>
        <w:tc>
          <w:tcPr>
            <w:tcW w:w="7796" w:type="dxa"/>
            <w:vAlign w:val="center"/>
          </w:tcPr>
          <w:p w14:paraId="22C240DA" w14:textId="09E9016A" w:rsidR="001C7CA0" w:rsidRDefault="00B73D39" w:rsidP="001C7CA0">
            <w:pPr>
              <w:ind w:left="0"/>
              <w:jc w:val="both"/>
              <w:rPr>
                <w:rFonts w:ascii="Bookman Old Style" w:hAnsi="Bookman Old Style" w:cs="Arial"/>
              </w:rPr>
            </w:pPr>
            <w:r w:rsidRPr="00131E79">
              <w:rPr>
                <w:rFonts w:ascii="Bookman Old Style" w:hAnsi="Bookman Old Style" w:cs="Arial"/>
              </w:rPr>
              <w:t xml:space="preserve">Beta desapalancado para la actividad a, en el momento </w:t>
            </w:r>
            <m:oMath>
              <m:r>
                <m:rPr>
                  <m:sty m:val="p"/>
                </m:rPr>
                <w:rPr>
                  <w:rFonts w:ascii="Cambria Math" w:hAnsi="Cambria Math" w:cs="Arial"/>
                </w:rPr>
                <m:t>τ</m:t>
              </m:r>
            </m:oMath>
            <w:r w:rsidR="00BB4A34" w:rsidRPr="00131E79">
              <w:rPr>
                <w:rFonts w:ascii="Bookman Old Style" w:hAnsi="Bookman Old Style" w:cs="Arial"/>
              </w:rPr>
              <w:t>.</w:t>
            </w:r>
            <w:r w:rsidR="00CC35BA" w:rsidRPr="00131E79">
              <w:rPr>
                <w:rFonts w:ascii="Bookman Old Style" w:hAnsi="Bookman Old Style" w:cs="Arial"/>
              </w:rPr>
              <w:t xml:space="preserve"> El valor corresponderá a</w:t>
            </w:r>
            <w:r w:rsidR="00C25420" w:rsidRPr="00131E79">
              <w:rPr>
                <w:rFonts w:ascii="Bookman Old Style" w:hAnsi="Bookman Old Style" w:cs="Arial"/>
              </w:rPr>
              <w:t xml:space="preserve"> </w:t>
            </w:r>
            <w:r w:rsidR="00CC35BA" w:rsidRPr="00131E79">
              <w:rPr>
                <w:rFonts w:ascii="Bookman Old Style" w:hAnsi="Bookman Old Style" w:cs="Arial"/>
              </w:rPr>
              <w:t>l</w:t>
            </w:r>
            <w:r w:rsidR="00C970F6" w:rsidRPr="00131E79">
              <w:rPr>
                <w:rFonts w:ascii="Bookman Old Style" w:hAnsi="Bookman Old Style" w:cs="Arial"/>
              </w:rPr>
              <w:t>a mediana del</w:t>
            </w:r>
            <w:r w:rsidR="00CC35BA" w:rsidRPr="00131E79">
              <w:rPr>
                <w:rFonts w:ascii="Bookman Old Style" w:hAnsi="Bookman Old Style" w:cs="Arial"/>
              </w:rPr>
              <w:t xml:space="preserve"> </w:t>
            </w:r>
            <w:r w:rsidR="00CC35BA" w:rsidRPr="00131E79">
              <w:rPr>
                <w:rFonts w:ascii="Bookman Old Style" w:hAnsi="Bookman Old Style" w:cs="Arial"/>
                <w:i/>
                <w:iCs/>
              </w:rPr>
              <w:t>“</w:t>
            </w:r>
            <w:r w:rsidR="00C27F26" w:rsidRPr="00131E79">
              <w:rPr>
                <w:rFonts w:ascii="Bookman Old Style" w:hAnsi="Bookman Old Style" w:cs="Arial"/>
                <w:i/>
                <w:iCs/>
              </w:rPr>
              <w:t>Beta Unlever</w:t>
            </w:r>
            <w:r w:rsidR="005E6F1A" w:rsidRPr="00131E79">
              <w:rPr>
                <w:rFonts w:ascii="Bookman Old Style" w:hAnsi="Bookman Old Style" w:cs="Arial"/>
                <w:i/>
                <w:iCs/>
              </w:rPr>
              <w:t xml:space="preserve">ed </w:t>
            </w:r>
            <w:r w:rsidR="00033622" w:rsidRPr="00131E79">
              <w:rPr>
                <w:rFonts w:ascii="Bookman Old Style" w:hAnsi="Bookman Old Style" w:cs="Arial"/>
                <w:i/>
                <w:iCs/>
              </w:rPr>
              <w:t>R</w:t>
            </w:r>
            <w:r w:rsidR="00CC35BA" w:rsidRPr="00131E79">
              <w:rPr>
                <w:rFonts w:ascii="Bookman Old Style" w:hAnsi="Bookman Old Style" w:cs="Arial"/>
                <w:i/>
                <w:iCs/>
              </w:rPr>
              <w:t>aw</w:t>
            </w:r>
            <w:r w:rsidR="00033622" w:rsidRPr="00131E79">
              <w:rPr>
                <w:rFonts w:ascii="Bookman Old Style" w:hAnsi="Bookman Old Style" w:cs="Arial"/>
                <w:i/>
                <w:iCs/>
              </w:rPr>
              <w:t xml:space="preserve"> </w:t>
            </w:r>
            <w:r w:rsidR="005E6F1A" w:rsidRPr="00131E79">
              <w:rPr>
                <w:rFonts w:ascii="Bookman Old Style" w:hAnsi="Bookman Old Style" w:cs="Arial"/>
                <w:i/>
                <w:iCs/>
              </w:rPr>
              <w:t>(OLS)</w:t>
            </w:r>
            <w:r w:rsidR="00CC35BA" w:rsidRPr="00131E79">
              <w:rPr>
                <w:rFonts w:ascii="Bookman Old Style" w:hAnsi="Bookman Old Style" w:cs="Arial"/>
                <w:i/>
                <w:iCs/>
              </w:rPr>
              <w:t>”</w:t>
            </w:r>
            <w:r w:rsidR="00D27FAE" w:rsidRPr="00131E79">
              <w:rPr>
                <w:rFonts w:ascii="Bookman Old Style" w:hAnsi="Bookman Old Style" w:cs="Arial"/>
              </w:rPr>
              <w:t xml:space="preserve">, </w:t>
            </w:r>
            <w:r w:rsidR="00CC35BA" w:rsidRPr="00131E79">
              <w:rPr>
                <w:rFonts w:ascii="Bookman Old Style" w:hAnsi="Bookman Old Style" w:cs="Arial"/>
              </w:rPr>
              <w:t xml:space="preserve">del último trimestre disponible en la fecha de cálculo, publicado por Duff &amp; Phelps en </w:t>
            </w:r>
            <w:r w:rsidR="00131E79" w:rsidRPr="00131E79">
              <w:rPr>
                <w:rFonts w:ascii="Bookman Old Style" w:hAnsi="Bookman Old Style" w:cs="Arial"/>
              </w:rPr>
              <w:t>sus servicios de información</w:t>
            </w:r>
            <w:r w:rsidR="001C7CA0" w:rsidRPr="00131E79">
              <w:rPr>
                <w:rFonts w:ascii="Bookman Old Style" w:hAnsi="Bookman Old Style" w:cs="Arial"/>
              </w:rPr>
              <w:t xml:space="preserve">, para el código </w:t>
            </w:r>
            <w:r w:rsidR="00D94C7A" w:rsidRPr="00131E79">
              <w:rPr>
                <w:rFonts w:ascii="Bookman Old Style" w:hAnsi="Bookman Old Style" w:cs="Arial"/>
              </w:rPr>
              <w:t xml:space="preserve">industrial </w:t>
            </w:r>
            <w:r w:rsidR="001C7CA0" w:rsidRPr="00131E79">
              <w:rPr>
                <w:rFonts w:ascii="Bookman Old Style" w:hAnsi="Bookman Old Style" w:cs="Arial"/>
              </w:rPr>
              <w:t>de referencia (Standard Industrial Classification - SIC Code), correspondiente a la actividad a, el cual establecerá la Comisión en resolución aparte.</w:t>
            </w:r>
          </w:p>
          <w:p w14:paraId="5E699F10" w14:textId="7AC9B284" w:rsidR="00BB4A34" w:rsidRPr="00F340A2" w:rsidRDefault="00BB4A34" w:rsidP="00F67EAC">
            <w:pPr>
              <w:ind w:left="0"/>
              <w:jc w:val="both"/>
              <w:rPr>
                <w:rFonts w:ascii="Bookman Old Style" w:hAnsi="Bookman Old Style" w:cs="Arial"/>
              </w:rPr>
            </w:pPr>
          </w:p>
        </w:tc>
      </w:tr>
      <w:tr w:rsidR="00CB00D1" w:rsidRPr="00F340A2" w14:paraId="69F10278" w14:textId="77777777" w:rsidTr="00F67EAC">
        <w:tc>
          <w:tcPr>
            <w:tcW w:w="1384" w:type="dxa"/>
          </w:tcPr>
          <w:p w14:paraId="21FEA5AD" w14:textId="18525D25" w:rsidR="00CB00D1" w:rsidRPr="00CB00D1" w:rsidRDefault="00B657AB" w:rsidP="00F67EAC">
            <w:pPr>
              <w:ind w:left="0"/>
              <w:rPr>
                <w:b/>
                <w:bCs/>
                <w:iCs/>
                <w:color w:val="000000" w:themeColor="text1"/>
                <w:kern w:val="24"/>
              </w:rPr>
            </w:pPr>
            <m:oMathPara>
              <m:oMathParaPr>
                <m:jc m:val="left"/>
              </m:oMathParaPr>
              <m:oMath>
                <m:r>
                  <m:rPr>
                    <m:sty m:val="b"/>
                  </m:rPr>
                  <w:rPr>
                    <w:rFonts w:ascii="Cambria Math" w:eastAsia="Cambria Math" w:hAnsi="Cambria Math" w:cstheme="minorBidi"/>
                    <w:kern w:val="24"/>
                  </w:rPr>
                  <m:t>Δ</m:t>
                </m:r>
                <m:sSub>
                  <m:sSubPr>
                    <m:ctrlPr>
                      <w:rPr>
                        <w:rFonts w:ascii="Cambria Math" w:eastAsia="Cambria Math" w:hAnsi="Cambria Math" w:cstheme="minorBidi"/>
                        <w:b/>
                        <w:kern w:val="24"/>
                      </w:rPr>
                    </m:ctrlPr>
                  </m:sSubPr>
                  <m:e>
                    <m:r>
                      <m:rPr>
                        <m:sty m:val="b"/>
                      </m:rPr>
                      <w:rPr>
                        <w:rFonts w:ascii="Cambria Math" w:eastAsia="Cambria Math" w:hAnsi="Cambria Math" w:cstheme="minorBidi"/>
                        <w:kern w:val="24"/>
                      </w:rPr>
                      <m:t>β</m:t>
                    </m:r>
                  </m:e>
                  <m:sub>
                    <m:r>
                      <m:rPr>
                        <m:sty m:val="b"/>
                      </m:rPr>
                      <w:rPr>
                        <w:rFonts w:ascii="Cambria Math" w:eastAsia="Cambria Math" w:hAnsi="Cambria Math" w:cstheme="minorBidi"/>
                        <w:kern w:val="24"/>
                      </w:rPr>
                      <m:t>a</m:t>
                    </m:r>
                  </m:sub>
                </m:sSub>
              </m:oMath>
            </m:oMathPara>
          </w:p>
        </w:tc>
        <w:tc>
          <w:tcPr>
            <w:tcW w:w="284" w:type="dxa"/>
          </w:tcPr>
          <w:p w14:paraId="4126AFA9" w14:textId="1756D9A5" w:rsidR="00CB00D1" w:rsidRDefault="00CB00D1" w:rsidP="00F67EAC">
            <w:pPr>
              <w:ind w:left="0"/>
              <w:rPr>
                <w:rFonts w:ascii="Bookman Old Style" w:hAnsi="Bookman Old Style" w:cs="Arial"/>
                <w:b/>
              </w:rPr>
            </w:pPr>
            <w:r>
              <w:rPr>
                <w:rFonts w:ascii="Bookman Old Style" w:hAnsi="Bookman Old Style" w:cs="Arial"/>
                <w:b/>
              </w:rPr>
              <w:t>:</w:t>
            </w:r>
          </w:p>
        </w:tc>
        <w:tc>
          <w:tcPr>
            <w:tcW w:w="7796" w:type="dxa"/>
            <w:vAlign w:val="center"/>
          </w:tcPr>
          <w:p w14:paraId="3D22BA37" w14:textId="11ADDFFB" w:rsidR="00C51A9A" w:rsidRDefault="003E70D1" w:rsidP="00235823">
            <w:pPr>
              <w:ind w:left="0"/>
              <w:jc w:val="both"/>
              <w:rPr>
                <w:rFonts w:ascii="Bookman Old Style" w:hAnsi="Bookman Old Style" w:cs="Arial"/>
              </w:rPr>
            </w:pPr>
            <w:r w:rsidRPr="00B81607">
              <w:rPr>
                <w:rFonts w:ascii="Bookman Old Style" w:hAnsi="Bookman Old Style" w:cs="Arial"/>
              </w:rPr>
              <w:t xml:space="preserve">Ajuste al </w:t>
            </w:r>
            <w:r w:rsidR="00AB3CF3" w:rsidRPr="00B81607">
              <w:rPr>
                <w:rFonts w:ascii="Bookman Old Style" w:hAnsi="Bookman Old Style" w:cs="Arial"/>
              </w:rPr>
              <w:t xml:space="preserve">beta desapalancado </w:t>
            </w:r>
            <w:r w:rsidRPr="00B81607">
              <w:rPr>
                <w:rFonts w:ascii="Bookman Old Style" w:hAnsi="Bookman Old Style" w:cs="Arial"/>
              </w:rPr>
              <w:t xml:space="preserve">de la actividad </w:t>
            </w:r>
            <w:r w:rsidR="00AB3CF3" w:rsidRPr="00B81607">
              <w:rPr>
                <w:rFonts w:ascii="Bookman Old Style" w:hAnsi="Bookman Old Style" w:cs="Arial"/>
              </w:rPr>
              <w:t xml:space="preserve">a, </w:t>
            </w:r>
            <w:r w:rsidR="0051651C" w:rsidRPr="00B81607">
              <w:rPr>
                <w:rFonts w:ascii="Bookman Old Style" w:hAnsi="Bookman Old Style" w:cs="Arial"/>
              </w:rPr>
              <w:t>por diferencias en el esquema de remuneración con el país de</w:t>
            </w:r>
            <w:r w:rsidR="00D94C7A">
              <w:rPr>
                <w:rFonts w:ascii="Bookman Old Style" w:hAnsi="Bookman Old Style" w:cs="Arial"/>
              </w:rPr>
              <w:t>l mercado de</w:t>
            </w:r>
            <w:r w:rsidR="0051651C" w:rsidRPr="00B81607">
              <w:rPr>
                <w:rFonts w:ascii="Bookman Old Style" w:hAnsi="Bookman Old Style" w:cs="Arial"/>
              </w:rPr>
              <w:t xml:space="preserve"> referencia</w:t>
            </w:r>
            <w:r w:rsidR="00C51A9A">
              <w:rPr>
                <w:rFonts w:ascii="Bookman Old Style" w:hAnsi="Bookman Old Style" w:cs="Arial"/>
              </w:rPr>
              <w:t>, aplicab</w:t>
            </w:r>
            <w:r w:rsidR="00EE7C46">
              <w:rPr>
                <w:rFonts w:ascii="Bookman Old Style" w:hAnsi="Bookman Old Style" w:cs="Arial"/>
              </w:rPr>
              <w:t>l</w:t>
            </w:r>
            <w:r w:rsidR="00C51A9A">
              <w:rPr>
                <w:rFonts w:ascii="Bookman Old Style" w:hAnsi="Bookman Old Style" w:cs="Arial"/>
              </w:rPr>
              <w:t xml:space="preserve">e solo para </w:t>
            </w:r>
            <w:r w:rsidR="00ED7A8E">
              <w:rPr>
                <w:rFonts w:ascii="Bookman Old Style" w:hAnsi="Bookman Old Style" w:cs="Arial"/>
              </w:rPr>
              <w:t xml:space="preserve">las </w:t>
            </w:r>
            <w:r w:rsidR="00C51A9A">
              <w:rPr>
                <w:rFonts w:ascii="Bookman Old Style" w:hAnsi="Bookman Old Style" w:cs="Arial"/>
              </w:rPr>
              <w:t xml:space="preserve">actividades </w:t>
            </w:r>
            <w:r w:rsidR="00ED7A8E">
              <w:rPr>
                <w:rFonts w:ascii="Bookman Old Style" w:hAnsi="Bookman Old Style" w:cs="Arial"/>
              </w:rPr>
              <w:t xml:space="preserve">que hacen parte </w:t>
            </w:r>
            <w:r w:rsidR="00C51A9A">
              <w:rPr>
                <w:rFonts w:ascii="Bookman Old Style" w:hAnsi="Bookman Old Style" w:cs="Arial"/>
              </w:rPr>
              <w:t xml:space="preserve">del </w:t>
            </w:r>
            <w:r w:rsidR="00EA3509">
              <w:rPr>
                <w:rFonts w:ascii="Bookman Old Style" w:hAnsi="Bookman Old Style" w:cs="Arial"/>
              </w:rPr>
              <w:t>servicio público de energía eléctrica o de</w:t>
            </w:r>
            <w:r w:rsidR="004B185F">
              <w:rPr>
                <w:rFonts w:ascii="Bookman Old Style" w:hAnsi="Bookman Old Style" w:cs="Arial"/>
              </w:rPr>
              <w:t xml:space="preserve">l servicio público de gas </w:t>
            </w:r>
            <w:r w:rsidR="00EE7C46">
              <w:rPr>
                <w:rFonts w:ascii="Bookman Old Style" w:hAnsi="Bookman Old Style" w:cs="Arial"/>
              </w:rPr>
              <w:t>c</w:t>
            </w:r>
            <w:r w:rsidR="004B185F">
              <w:rPr>
                <w:rFonts w:ascii="Bookman Old Style" w:hAnsi="Bookman Old Style" w:cs="Arial"/>
              </w:rPr>
              <w:t>ombustible</w:t>
            </w:r>
            <w:r w:rsidR="005123EE" w:rsidRPr="00B81607">
              <w:rPr>
                <w:rFonts w:ascii="Bookman Old Style" w:hAnsi="Bookman Old Style" w:cs="Arial"/>
              </w:rPr>
              <w:t>.</w:t>
            </w:r>
          </w:p>
          <w:p w14:paraId="7EB5B95C" w14:textId="77777777" w:rsidR="00C51A9A" w:rsidRDefault="00C51A9A" w:rsidP="00235823">
            <w:pPr>
              <w:ind w:left="0"/>
              <w:jc w:val="both"/>
              <w:rPr>
                <w:rFonts w:ascii="Bookman Old Style" w:hAnsi="Bookman Old Style" w:cs="Arial"/>
              </w:rPr>
            </w:pPr>
          </w:p>
          <w:p w14:paraId="042DBE7A" w14:textId="3837FDDE" w:rsidR="00CB00D1" w:rsidRPr="00B81607" w:rsidRDefault="00C748A6" w:rsidP="0070667C">
            <w:pPr>
              <w:ind w:left="0"/>
              <w:jc w:val="both"/>
              <w:rPr>
                <w:rFonts w:ascii="Bookman Old Style" w:hAnsi="Bookman Old Style" w:cs="Arial"/>
              </w:rPr>
            </w:pPr>
            <w:r w:rsidRPr="00131E79">
              <w:rPr>
                <w:rFonts w:ascii="Bookman Old Style" w:hAnsi="Bookman Old Style" w:cs="Arial"/>
              </w:rPr>
              <w:t xml:space="preserve">Se calcula </w:t>
            </w:r>
            <w:r w:rsidR="00033622" w:rsidRPr="00131E79">
              <w:rPr>
                <w:rFonts w:ascii="Bookman Old Style" w:hAnsi="Bookman Old Style" w:cs="Arial"/>
              </w:rPr>
              <w:t xml:space="preserve">como la diferencia entre </w:t>
            </w:r>
            <w:r w:rsidR="00E91ADF" w:rsidRPr="00131E79">
              <w:rPr>
                <w:rFonts w:ascii="Bookman Old Style" w:hAnsi="Bookman Old Style" w:cs="Arial"/>
              </w:rPr>
              <w:t xml:space="preserve">las medianas de </w:t>
            </w:r>
            <w:r w:rsidR="00033622" w:rsidRPr="00131E79">
              <w:rPr>
                <w:rFonts w:ascii="Bookman Old Style" w:hAnsi="Bookman Old Style" w:cs="Arial"/>
              </w:rPr>
              <w:t xml:space="preserve">los </w:t>
            </w:r>
            <w:r w:rsidR="00033622" w:rsidRPr="00131E79">
              <w:rPr>
                <w:rFonts w:ascii="Bookman Old Style" w:hAnsi="Bookman Old Style" w:cs="Arial"/>
                <w:i/>
                <w:iCs/>
              </w:rPr>
              <w:t>“</w:t>
            </w:r>
            <w:r w:rsidR="00EA3825" w:rsidRPr="00131E79">
              <w:rPr>
                <w:rFonts w:ascii="Bookman Old Style" w:hAnsi="Bookman Old Style" w:cs="Arial"/>
                <w:i/>
                <w:iCs/>
              </w:rPr>
              <w:t xml:space="preserve">Unlevered </w:t>
            </w:r>
            <w:r w:rsidR="009226CF" w:rsidRPr="00131E79">
              <w:rPr>
                <w:rFonts w:ascii="Bookman Old Style" w:hAnsi="Bookman Old Style" w:cs="Arial"/>
                <w:i/>
                <w:iCs/>
              </w:rPr>
              <w:t xml:space="preserve">Beta </w:t>
            </w:r>
            <w:r w:rsidR="00033622" w:rsidRPr="00131E79">
              <w:rPr>
                <w:rFonts w:ascii="Bookman Old Style" w:hAnsi="Bookman Old Style" w:cs="Arial"/>
                <w:i/>
                <w:iCs/>
              </w:rPr>
              <w:t xml:space="preserve">Raw </w:t>
            </w:r>
            <w:r w:rsidR="009226CF" w:rsidRPr="00131E79">
              <w:rPr>
                <w:rFonts w:ascii="Bookman Old Style" w:hAnsi="Bookman Old Style" w:cs="Arial"/>
                <w:i/>
                <w:iCs/>
              </w:rPr>
              <w:t>(OLS)</w:t>
            </w:r>
            <w:r w:rsidR="00033622" w:rsidRPr="00131E79">
              <w:rPr>
                <w:rFonts w:ascii="Bookman Old Style" w:hAnsi="Bookman Old Style" w:cs="Arial"/>
                <w:i/>
                <w:iCs/>
              </w:rPr>
              <w:t>”</w:t>
            </w:r>
            <w:r w:rsidR="006F385C" w:rsidRPr="00131E79">
              <w:rPr>
                <w:rFonts w:ascii="Bookman Old Style" w:hAnsi="Bookman Old Style" w:cs="Arial"/>
              </w:rPr>
              <w:t>,</w:t>
            </w:r>
            <w:r w:rsidR="00D27FAE" w:rsidRPr="00131E79">
              <w:rPr>
                <w:rFonts w:ascii="Bookman Old Style" w:hAnsi="Bookman Old Style" w:cs="Arial"/>
                <w:i/>
                <w:iCs/>
              </w:rPr>
              <w:t xml:space="preserve"> </w:t>
            </w:r>
            <w:r w:rsidR="00033622" w:rsidRPr="00131E79">
              <w:rPr>
                <w:rFonts w:ascii="Bookman Old Style" w:hAnsi="Bookman Old Style" w:cs="Arial"/>
              </w:rPr>
              <w:t>de</w:t>
            </w:r>
            <w:r w:rsidR="00536316" w:rsidRPr="00131E79">
              <w:rPr>
                <w:rFonts w:ascii="Bookman Old Style" w:hAnsi="Bookman Old Style" w:cs="Arial"/>
              </w:rPr>
              <w:t xml:space="preserve"> </w:t>
            </w:r>
            <w:r w:rsidR="00033622" w:rsidRPr="00131E79">
              <w:rPr>
                <w:rFonts w:ascii="Bookman Old Style" w:hAnsi="Bookman Old Style" w:cs="Arial"/>
              </w:rPr>
              <w:t>l</w:t>
            </w:r>
            <w:r w:rsidR="00536316" w:rsidRPr="00131E79">
              <w:rPr>
                <w:rFonts w:ascii="Bookman Old Style" w:hAnsi="Bookman Old Style" w:cs="Arial"/>
              </w:rPr>
              <w:t xml:space="preserve">a </w:t>
            </w:r>
            <w:r w:rsidR="00DF77A1" w:rsidRPr="00131E79">
              <w:rPr>
                <w:rFonts w:ascii="Bookman Old Style" w:hAnsi="Bookman Old Style" w:cs="Arial"/>
              </w:rPr>
              <w:t xml:space="preserve">clasificación </w:t>
            </w:r>
            <w:r w:rsidR="00033622" w:rsidRPr="00131E79">
              <w:rPr>
                <w:rFonts w:ascii="Bookman Old Style" w:hAnsi="Bookman Old Style" w:cs="Arial"/>
              </w:rPr>
              <w:t xml:space="preserve">SIC </w:t>
            </w:r>
            <w:r w:rsidR="003F3117" w:rsidRPr="00131E79">
              <w:rPr>
                <w:rFonts w:ascii="Bookman Old Style" w:hAnsi="Bookman Old Style" w:cs="Arial"/>
              </w:rPr>
              <w:t>55</w:t>
            </w:r>
            <w:r w:rsidR="00DF77A1" w:rsidRPr="00131E79">
              <w:rPr>
                <w:rFonts w:ascii="Bookman Old Style" w:hAnsi="Bookman Old Style" w:cs="Arial"/>
              </w:rPr>
              <w:t xml:space="preserve"> (</w:t>
            </w:r>
            <w:r w:rsidR="00DF77A1" w:rsidRPr="00131E79">
              <w:rPr>
                <w:rFonts w:ascii="Bookman Old Style" w:hAnsi="Bookman Old Style" w:cs="Arial"/>
                <w:i/>
                <w:iCs/>
              </w:rPr>
              <w:t>“Utilities”</w:t>
            </w:r>
            <w:r w:rsidR="00DF77A1" w:rsidRPr="00131E79">
              <w:rPr>
                <w:rFonts w:ascii="Bookman Old Style" w:hAnsi="Bookman Old Style" w:cs="Arial"/>
              </w:rPr>
              <w:t xml:space="preserve">) </w:t>
            </w:r>
            <w:r w:rsidR="00257893" w:rsidRPr="00131E79">
              <w:rPr>
                <w:rFonts w:ascii="Bookman Old Style" w:hAnsi="Bookman Old Style" w:cs="Arial"/>
              </w:rPr>
              <w:t xml:space="preserve">de Reino Unido (UK) y </w:t>
            </w:r>
            <w:r w:rsidR="00A670C9" w:rsidRPr="00131E79">
              <w:rPr>
                <w:rFonts w:ascii="Bookman Old Style" w:hAnsi="Bookman Old Style" w:cs="Arial"/>
              </w:rPr>
              <w:t>de</w:t>
            </w:r>
            <w:r w:rsidR="009E0F15" w:rsidRPr="00131E79">
              <w:rPr>
                <w:rFonts w:ascii="Bookman Old Style" w:hAnsi="Bookman Old Style" w:cs="Arial"/>
              </w:rPr>
              <w:t xml:space="preserve"> </w:t>
            </w:r>
            <w:r w:rsidR="00A670C9" w:rsidRPr="00131E79">
              <w:rPr>
                <w:rFonts w:ascii="Bookman Old Style" w:hAnsi="Bookman Old Style" w:cs="Arial"/>
              </w:rPr>
              <w:t>l</w:t>
            </w:r>
            <w:r w:rsidR="009E0F15" w:rsidRPr="00131E79">
              <w:rPr>
                <w:rFonts w:ascii="Bookman Old Style" w:hAnsi="Bookman Old Style" w:cs="Arial"/>
              </w:rPr>
              <w:t>a clasificación SIC 49</w:t>
            </w:r>
            <w:r w:rsidR="00536316" w:rsidRPr="00131E79">
              <w:rPr>
                <w:rFonts w:ascii="Bookman Old Style" w:hAnsi="Bookman Old Style" w:cs="Arial"/>
              </w:rPr>
              <w:t xml:space="preserve"> </w:t>
            </w:r>
            <w:r w:rsidR="009E0F15" w:rsidRPr="00131E79">
              <w:rPr>
                <w:rFonts w:ascii="Bookman Old Style" w:hAnsi="Bookman Old Style" w:cs="Arial"/>
              </w:rPr>
              <w:t>(</w:t>
            </w:r>
            <w:r w:rsidR="00A670C9" w:rsidRPr="00131E79">
              <w:rPr>
                <w:rFonts w:ascii="Bookman Old Style" w:hAnsi="Bookman Old Style" w:cs="Arial"/>
                <w:i/>
                <w:iCs/>
              </w:rPr>
              <w:t>“</w:t>
            </w:r>
            <w:r w:rsidR="00CB6B2B" w:rsidRPr="00131E79">
              <w:rPr>
                <w:rFonts w:ascii="Bookman Old Style" w:hAnsi="Bookman Old Style" w:cs="Arial"/>
                <w:i/>
                <w:iCs/>
              </w:rPr>
              <w:t>Electric, Gas and Sanitary Services</w:t>
            </w:r>
            <w:r w:rsidR="00A670C9" w:rsidRPr="00131E79">
              <w:rPr>
                <w:rFonts w:ascii="Bookman Old Style" w:hAnsi="Bookman Old Style" w:cs="Arial"/>
                <w:i/>
                <w:iCs/>
              </w:rPr>
              <w:t>”</w:t>
            </w:r>
            <w:r w:rsidR="00CB6B2B" w:rsidRPr="00131E79">
              <w:rPr>
                <w:rFonts w:ascii="Bookman Old Style" w:hAnsi="Bookman Old Style" w:cs="Arial"/>
              </w:rPr>
              <w:t xml:space="preserve">) de </w:t>
            </w:r>
            <w:r w:rsidR="00257893" w:rsidRPr="00131E79">
              <w:rPr>
                <w:rFonts w:ascii="Bookman Old Style" w:hAnsi="Bookman Old Style" w:cs="Arial"/>
              </w:rPr>
              <w:t>Estados Unidos (USA)</w:t>
            </w:r>
            <w:r w:rsidR="001210AB" w:rsidRPr="00131E79">
              <w:rPr>
                <w:rFonts w:ascii="Bookman Old Style" w:hAnsi="Bookman Old Style" w:cs="Arial"/>
              </w:rPr>
              <w:t xml:space="preserve">, del último trimestre disponible en la fecha de cálculo, publicado por Duff &amp; Phelps en </w:t>
            </w:r>
            <w:r w:rsidR="00131E79" w:rsidRPr="00131E79">
              <w:rPr>
                <w:rFonts w:ascii="Bookman Old Style" w:hAnsi="Bookman Old Style" w:cs="Arial"/>
              </w:rPr>
              <w:t>sus servicios de información</w:t>
            </w:r>
            <w:r w:rsidR="0070667C" w:rsidRPr="00131E79">
              <w:rPr>
                <w:rFonts w:ascii="Bookman Old Style" w:hAnsi="Bookman Old Style" w:cs="Arial"/>
              </w:rPr>
              <w:t>.</w:t>
            </w:r>
          </w:p>
        </w:tc>
      </w:tr>
    </w:tbl>
    <w:p w14:paraId="073FA6C1" w14:textId="77777777" w:rsidR="00DB16A1" w:rsidRPr="00997023" w:rsidRDefault="00DB16A1" w:rsidP="000776BE">
      <w:pPr>
        <w:ind w:left="0"/>
        <w:contextualSpacing/>
        <w:jc w:val="both"/>
        <w:rPr>
          <w:rFonts w:ascii="Bookman Old Style" w:hAnsi="Bookman Old Style" w:cs="Arial"/>
          <w:b/>
          <w:lang w:val="es-CO"/>
        </w:rPr>
      </w:pPr>
    </w:p>
    <w:p w14:paraId="5ABA72B8" w14:textId="4C3003A0" w:rsidR="000776BE" w:rsidRDefault="000776BE" w:rsidP="00FE49D2">
      <w:pPr>
        <w:pStyle w:val="Ttulo1"/>
        <w:ind w:left="0"/>
        <w:jc w:val="both"/>
        <w:rPr>
          <w:rFonts w:ascii="Bookman Old Style" w:hAnsi="Bookman Old Style" w:cs="Arial"/>
        </w:rPr>
      </w:pPr>
      <w:r w:rsidRPr="00F340A2">
        <w:rPr>
          <w:rFonts w:ascii="Bookman Old Style" w:hAnsi="Bookman Old Style" w:cs="Arial"/>
        </w:rPr>
        <w:t xml:space="preserve">ARTÍCULO </w:t>
      </w:r>
      <w:r w:rsidR="00D94C7A">
        <w:rPr>
          <w:rFonts w:ascii="Bookman Old Style" w:hAnsi="Bookman Old Style" w:cs="Arial"/>
        </w:rPr>
        <w:t>3</w:t>
      </w:r>
      <w:r w:rsidRPr="00F340A2">
        <w:rPr>
          <w:rFonts w:ascii="Bookman Old Style" w:hAnsi="Bookman Old Style" w:cs="Arial"/>
        </w:rPr>
        <w:t xml:space="preserve">. </w:t>
      </w:r>
      <w:r w:rsidR="00D94C7A">
        <w:rPr>
          <w:rFonts w:ascii="Bookman Old Style" w:hAnsi="Bookman Old Style" w:cs="Arial"/>
        </w:rPr>
        <w:t>Fórmula</w:t>
      </w:r>
      <w:r w:rsidR="00D94C7A" w:rsidRPr="00F340A2">
        <w:rPr>
          <w:rFonts w:ascii="Bookman Old Style" w:hAnsi="Bookman Old Style" w:cs="Arial"/>
        </w:rPr>
        <w:t xml:space="preserve"> </w:t>
      </w:r>
      <w:r w:rsidRPr="00F340A2">
        <w:rPr>
          <w:rFonts w:ascii="Bookman Old Style" w:hAnsi="Bookman Old Style" w:cs="Arial"/>
        </w:rPr>
        <w:t xml:space="preserve">de cálculo de la tasa de descuento en dólares. </w:t>
      </w:r>
      <w:r w:rsidRPr="00FE49D2">
        <w:rPr>
          <w:rFonts w:ascii="Bookman Old Style" w:hAnsi="Bookman Old Style" w:cs="Arial"/>
          <w:b w:val="0"/>
        </w:rPr>
        <w:t>Para el cálculo de la tasa de descuento en dólares</w:t>
      </w:r>
      <w:r w:rsidR="00C721BE">
        <w:rPr>
          <w:rFonts w:ascii="Bookman Old Style" w:hAnsi="Bookman Old Style" w:cs="Arial"/>
          <w:b w:val="0"/>
        </w:rPr>
        <w:t>,</w:t>
      </w:r>
      <w:r w:rsidRPr="00FE49D2">
        <w:rPr>
          <w:rFonts w:ascii="Bookman Old Style" w:hAnsi="Bookman Old Style" w:cs="Arial"/>
          <w:b w:val="0"/>
        </w:rPr>
        <w:t xml:space="preserve"> </w:t>
      </w:r>
      <w:r w:rsidR="00C721BE">
        <w:rPr>
          <w:rFonts w:ascii="Bookman Old Style" w:hAnsi="Bookman Old Style" w:cs="Arial"/>
          <w:b w:val="0"/>
        </w:rPr>
        <w:t xml:space="preserve">antes de impuestos (ai), </w:t>
      </w:r>
      <w:r w:rsidRPr="00FE49D2">
        <w:rPr>
          <w:rFonts w:ascii="Bookman Old Style" w:hAnsi="Bookman Old Style" w:cs="Arial"/>
          <w:b w:val="0"/>
        </w:rPr>
        <w:t>se utilizará la siguiente fórmula:</w:t>
      </w:r>
    </w:p>
    <w:p w14:paraId="65E541AC" w14:textId="27155F0B" w:rsidR="0025369E" w:rsidRDefault="0025369E" w:rsidP="000776BE">
      <w:pPr>
        <w:ind w:left="0"/>
        <w:contextualSpacing/>
        <w:jc w:val="both"/>
        <w:rPr>
          <w:rFonts w:ascii="Bookman Old Style" w:hAnsi="Bookman Old Style" w:cs="Arial"/>
        </w:rPr>
      </w:pPr>
    </w:p>
    <w:p w14:paraId="79EBF0A0" w14:textId="49A203BA" w:rsidR="0025369E" w:rsidRPr="00F340A2" w:rsidRDefault="00CD23BF" w:rsidP="000776BE">
      <w:pPr>
        <w:ind w:left="0"/>
        <w:contextualSpacing/>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TD_usd</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WACC_usd</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π_usd</m:t>
                  </m:r>
                </m:e>
                <m:sub>
                  <m:r>
                    <m:rPr>
                      <m:sty m:val="p"/>
                    </m:rPr>
                    <w:rPr>
                      <w:rFonts w:ascii="Cambria Math" w:eastAsia="Cambria Math" w:hAnsi="Cambria Math" w:cs="Arial"/>
                      <w:color w:val="000000" w:themeColor="text1"/>
                      <w:kern w:val="24"/>
                    </w:rPr>
                    <m:t>τ</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π_usd</m:t>
                  </m:r>
                </m:e>
                <m:sub>
                  <m:r>
                    <m:rPr>
                      <m:sty m:val="p"/>
                    </m:rPr>
                    <w:rPr>
                      <w:rFonts w:ascii="Cambria Math" w:eastAsia="Cambria Math" w:hAnsi="Cambria Math" w:cs="Arial"/>
                      <w:color w:val="000000" w:themeColor="text1"/>
                      <w:kern w:val="24"/>
                    </w:rPr>
                    <m:t>τ</m:t>
                  </m:r>
                </m:sub>
              </m:sSub>
            </m:den>
          </m:f>
        </m:oMath>
      </m:oMathPara>
    </w:p>
    <w:p w14:paraId="1D6D4707" w14:textId="77777777" w:rsidR="000776BE" w:rsidRPr="00F340A2" w:rsidRDefault="000776BE" w:rsidP="000776BE">
      <w:pPr>
        <w:ind w:left="0"/>
        <w:contextualSpacing/>
        <w:jc w:val="both"/>
        <w:rPr>
          <w:rFonts w:ascii="Bookman Old Style" w:hAnsi="Bookman Old Style" w:cs="Arial"/>
        </w:rPr>
      </w:pPr>
    </w:p>
    <w:p w14:paraId="044AAACB" w14:textId="225CC75D" w:rsidR="000776BE" w:rsidRPr="00F340A2" w:rsidRDefault="005A7179"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 xml:space="preserve">, </w:t>
      </w:r>
    </w:p>
    <w:p w14:paraId="3F86D9A8" w14:textId="77777777" w:rsidR="000776BE" w:rsidRPr="00F340A2" w:rsidRDefault="000776BE"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0"/>
        <w:gridCol w:w="298"/>
        <w:gridCol w:w="7366"/>
      </w:tblGrid>
      <w:tr w:rsidR="000776BE" w:rsidRPr="00F340A2" w14:paraId="3808CD2C" w14:textId="77777777" w:rsidTr="005F611D">
        <w:tc>
          <w:tcPr>
            <w:tcW w:w="1443" w:type="dxa"/>
          </w:tcPr>
          <w:p w14:paraId="3358C671" w14:textId="09E6728A" w:rsidR="000776BE" w:rsidRPr="00961980" w:rsidRDefault="00CD23BF" w:rsidP="00F67EAC">
            <w:pPr>
              <w:ind w:left="0"/>
              <w:rPr>
                <w:rFonts w:ascii="Bookman Old Style" w:hAnsi="Bookman Old Style"/>
                <w:b/>
                <w:bCs/>
                <w:lang w:val="es-ES_tradnl"/>
              </w:rPr>
            </w:pPr>
            <m:oMathPara>
              <m:oMathParaPr>
                <m:jc m:val="left"/>
              </m:oMathParaPr>
              <m:oMath>
                <m:sSubSup>
                  <m:sSubSupPr>
                    <m:ctrlPr>
                      <w:rPr>
                        <w:rFonts w:ascii="Cambria Math" w:hAnsi="Cambria Math" w:cs="Arial"/>
                        <w:b/>
                        <w:bCs/>
                        <w:color w:val="000000" w:themeColor="text1"/>
                        <w:kern w:val="24"/>
                      </w:rPr>
                    </m:ctrlPr>
                  </m:sSubSupPr>
                  <m:e>
                    <m:r>
                      <m:rPr>
                        <m:sty m:val="b"/>
                      </m:rPr>
                      <w:rPr>
                        <w:rFonts w:ascii="Cambria Math" w:hAnsi="Cambria Math" w:cs="Arial"/>
                        <w:color w:val="000000" w:themeColor="text1"/>
                        <w:kern w:val="24"/>
                      </w:rPr>
                      <m:t>TD_usd</m:t>
                    </m:r>
                  </m:e>
                  <m:sub>
                    <m:r>
                      <m:rPr>
                        <m:sty m:val="b"/>
                      </m:rPr>
                      <w:rPr>
                        <w:rFonts w:ascii="Cambria Math" w:hAnsi="Cambria Math" w:cs="Arial"/>
                        <w:color w:val="000000" w:themeColor="text1"/>
                        <w:kern w:val="24"/>
                      </w:rPr>
                      <m:t>a,τ,ai</m:t>
                    </m:r>
                  </m:sub>
                  <m:sup>
                    <m:r>
                      <m:rPr>
                        <m:sty m:val="bi"/>
                      </m:rPr>
                      <w:rPr>
                        <w:rFonts w:ascii="Cambria Math" w:hAnsi="Cambria Math" w:cs="Arial"/>
                        <w:color w:val="000000" w:themeColor="text1"/>
                        <w:kern w:val="24"/>
                      </w:rPr>
                      <m:t xml:space="preserve"> </m:t>
                    </m:r>
                  </m:sup>
                </m:sSubSup>
              </m:oMath>
            </m:oMathPara>
          </w:p>
        </w:tc>
        <w:tc>
          <w:tcPr>
            <w:tcW w:w="298" w:type="dxa"/>
          </w:tcPr>
          <w:p w14:paraId="6FC1B0AB" w14:textId="77777777"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23" w:type="dxa"/>
          </w:tcPr>
          <w:p w14:paraId="5428E957" w14:textId="4B3CADE8" w:rsidR="000776BE" w:rsidRDefault="000776BE" w:rsidP="00081BFA">
            <w:pPr>
              <w:ind w:left="0"/>
              <w:jc w:val="both"/>
              <w:rPr>
                <w:rFonts w:ascii="Bookman Old Style" w:hAnsi="Bookman Old Style" w:cs="Arial"/>
              </w:rPr>
            </w:pPr>
            <w:r w:rsidRPr="00F340A2">
              <w:rPr>
                <w:rFonts w:ascii="Bookman Old Style" w:hAnsi="Bookman Old Style" w:cs="Arial"/>
                <w:iCs/>
                <w:color w:val="000000" w:themeColor="text1"/>
                <w:kern w:val="24"/>
              </w:rPr>
              <w:t>T</w:t>
            </w:r>
            <w:r w:rsidRPr="00F340A2">
              <w:rPr>
                <w:rFonts w:ascii="Bookman Old Style" w:hAnsi="Bookman Old Style" w:cs="Arial"/>
              </w:rPr>
              <w:t>asa de descuento antes de impuestos</w:t>
            </w:r>
            <w:r w:rsidR="00DB72EE">
              <w:rPr>
                <w:rFonts w:ascii="Bookman Old Style" w:hAnsi="Bookman Old Style" w:cs="Arial"/>
              </w:rPr>
              <w:t xml:space="preserve"> (ai)</w:t>
            </w:r>
            <w:r w:rsidR="00961980">
              <w:rPr>
                <w:rFonts w:ascii="Bookman Old Style" w:hAnsi="Bookman Old Style" w:cs="Arial"/>
              </w:rPr>
              <w:t>,</w:t>
            </w:r>
            <w:r w:rsidRPr="00F340A2">
              <w:rPr>
                <w:rFonts w:ascii="Bookman Old Style" w:hAnsi="Bookman Old Style" w:cs="Arial"/>
              </w:rPr>
              <w:t xml:space="preserve"> en dólares constantes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w:t>
            </w:r>
          </w:p>
          <w:p w14:paraId="403B250A" w14:textId="77777777" w:rsidR="00081BFA" w:rsidRPr="00F340A2" w:rsidRDefault="00081BFA" w:rsidP="00081BFA">
            <w:pPr>
              <w:ind w:left="0"/>
              <w:jc w:val="both"/>
              <w:rPr>
                <w:rFonts w:ascii="Bookman Old Style" w:hAnsi="Bookman Old Style"/>
              </w:rPr>
            </w:pPr>
          </w:p>
        </w:tc>
      </w:tr>
      <w:tr w:rsidR="000776BE" w:rsidRPr="00F340A2" w14:paraId="37CFABA8" w14:textId="77777777" w:rsidTr="005F611D">
        <w:tc>
          <w:tcPr>
            <w:tcW w:w="1443" w:type="dxa"/>
          </w:tcPr>
          <w:p w14:paraId="44B3D0F9" w14:textId="1539DDB7" w:rsidR="000776BE" w:rsidRPr="00961980" w:rsidRDefault="00CD23BF" w:rsidP="00F67EAC">
            <w:pPr>
              <w:ind w:left="0"/>
              <w:rPr>
                <w:rFonts w:ascii="Bookman Old Style" w:hAnsi="Bookman Old Style"/>
                <w:b/>
                <w:bCs/>
                <w:lang w:val="es-ES_tradnl"/>
              </w:rPr>
            </w:pPr>
            <m:oMathPara>
              <m:oMathParaPr>
                <m:jc m:val="left"/>
              </m:oMathParaPr>
              <m:oMath>
                <m:sSubSup>
                  <m:sSubSupPr>
                    <m:ctrlPr>
                      <w:rPr>
                        <w:rFonts w:ascii="Cambria Math" w:hAnsi="Cambria Math" w:cs="Arial"/>
                        <w:b/>
                        <w:bCs/>
                        <w:color w:val="000000" w:themeColor="text1"/>
                        <w:kern w:val="24"/>
                      </w:rPr>
                    </m:ctrlPr>
                  </m:sSubSupPr>
                  <m:e>
                    <m:r>
                      <m:rPr>
                        <m:sty m:val="b"/>
                      </m:rPr>
                      <w:rPr>
                        <w:rFonts w:ascii="Cambria Math" w:hAnsi="Cambria Math" w:cs="Arial"/>
                        <w:color w:val="000000" w:themeColor="text1"/>
                        <w:kern w:val="24"/>
                      </w:rPr>
                      <m:t>WACC_usd</m:t>
                    </m:r>
                  </m:e>
                  <m:sub>
                    <m:r>
                      <m:rPr>
                        <m:sty m:val="b"/>
                      </m:rPr>
                      <w:rPr>
                        <w:rFonts w:ascii="Cambria Math" w:hAnsi="Cambria Math" w:cs="Arial"/>
                        <w:color w:val="000000" w:themeColor="text1"/>
                        <w:kern w:val="24"/>
                      </w:rPr>
                      <m:t>a,τ,ai</m:t>
                    </m:r>
                  </m:sub>
                  <m:sup>
                    <m:r>
                      <m:rPr>
                        <m:sty m:val="bi"/>
                      </m:rPr>
                      <w:rPr>
                        <w:rFonts w:ascii="Cambria Math" w:hAnsi="Cambria Math" w:cs="Arial"/>
                        <w:color w:val="000000" w:themeColor="text1"/>
                        <w:kern w:val="24"/>
                      </w:rPr>
                      <m:t xml:space="preserve"> </m:t>
                    </m:r>
                  </m:sup>
                </m:sSubSup>
              </m:oMath>
            </m:oMathPara>
          </w:p>
        </w:tc>
        <w:tc>
          <w:tcPr>
            <w:tcW w:w="298" w:type="dxa"/>
          </w:tcPr>
          <w:p w14:paraId="4164BEF1" w14:textId="77777777"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23" w:type="dxa"/>
          </w:tcPr>
          <w:p w14:paraId="50FDFF43" w14:textId="026F32A0"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C</w:t>
            </w:r>
            <w:r w:rsidRPr="00F340A2">
              <w:rPr>
                <w:rFonts w:ascii="Bookman Old Style" w:hAnsi="Bookman Old Style" w:cs="Arial"/>
              </w:rPr>
              <w:t>osto promedio ponderado de capital</w:t>
            </w:r>
            <w:r w:rsidR="007E0317">
              <w:rPr>
                <w:rFonts w:ascii="Bookman Old Style" w:hAnsi="Bookman Old Style" w:cs="Arial"/>
              </w:rPr>
              <w:t>,</w:t>
            </w:r>
            <w:r w:rsidRPr="00F340A2">
              <w:rPr>
                <w:rFonts w:ascii="Bookman Old Style" w:hAnsi="Bookman Old Style" w:cs="Arial"/>
              </w:rPr>
              <w:t xml:space="preserve"> en dólares </w:t>
            </w:r>
            <w:r w:rsidR="00AB7D86">
              <w:rPr>
                <w:rFonts w:ascii="Bookman Old Style" w:hAnsi="Bookman Old Style" w:cs="Arial"/>
              </w:rPr>
              <w:t xml:space="preserve">corrientes </w:t>
            </w:r>
            <w:r w:rsidRPr="00F340A2">
              <w:rPr>
                <w:rFonts w:ascii="Bookman Old Style" w:hAnsi="Bookman Old Style" w:cs="Arial"/>
              </w:rPr>
              <w:t xml:space="preserve">y </w:t>
            </w:r>
            <w:r w:rsidR="00AB7D86">
              <w:rPr>
                <w:rFonts w:ascii="Bookman Old Style" w:hAnsi="Bookman Old Style" w:cs="Arial"/>
              </w:rPr>
              <w:t xml:space="preserve">antes </w:t>
            </w:r>
            <w:r w:rsidRPr="00F340A2">
              <w:rPr>
                <w:rFonts w:ascii="Bookman Old Style" w:hAnsi="Bookman Old Style" w:cs="Arial"/>
              </w:rPr>
              <w:t>de impuestos</w:t>
            </w:r>
            <w:r w:rsidR="007E0317">
              <w:rPr>
                <w:rFonts w:ascii="Bookman Old Style" w:hAnsi="Bookman Old Style" w:cs="Arial"/>
              </w:rPr>
              <w:t xml:space="preserve"> (ai)</w:t>
            </w:r>
            <w:r w:rsidRPr="00F340A2">
              <w:rPr>
                <w:rFonts w:ascii="Bookman Old Style" w:hAnsi="Bookman Old Style" w:cs="Arial"/>
              </w:rPr>
              <w:t xml:space="preserve">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w:t>
            </w:r>
          </w:p>
          <w:p w14:paraId="3B3693C4" w14:textId="77777777" w:rsidR="000776BE" w:rsidRPr="00F340A2" w:rsidRDefault="000776BE" w:rsidP="00F67EAC">
            <w:pPr>
              <w:ind w:left="0"/>
              <w:jc w:val="both"/>
              <w:rPr>
                <w:rFonts w:ascii="Bookman Old Style" w:hAnsi="Bookman Old Style"/>
                <w:lang w:val="es-ES_tradnl"/>
              </w:rPr>
            </w:pPr>
          </w:p>
        </w:tc>
      </w:tr>
      <w:tr w:rsidR="005F611D" w:rsidRPr="00F340A2" w14:paraId="23332E60" w14:textId="77777777" w:rsidTr="005F611D">
        <w:tc>
          <w:tcPr>
            <w:tcW w:w="1443" w:type="dxa"/>
          </w:tcPr>
          <w:p w14:paraId="0740EE38" w14:textId="6348BCC4" w:rsidR="005F611D" w:rsidRPr="00374957" w:rsidRDefault="00CD23BF" w:rsidP="005F611D">
            <w:pPr>
              <w:ind w:left="0"/>
              <w:rPr>
                <w:b/>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π_usd</m:t>
                    </m:r>
                  </m:e>
                  <m:sub>
                    <m:r>
                      <m:rPr>
                        <m:sty m:val="b"/>
                      </m:rPr>
                      <w:rPr>
                        <w:rFonts w:ascii="Cambria Math" w:eastAsia="Cambria Math" w:hAnsi="Cambria Math" w:cs="Arial"/>
                        <w:color w:val="000000" w:themeColor="text1"/>
                        <w:kern w:val="24"/>
                      </w:rPr>
                      <m:t>τ</m:t>
                    </m:r>
                  </m:sub>
                </m:sSub>
              </m:oMath>
            </m:oMathPara>
          </w:p>
        </w:tc>
        <w:tc>
          <w:tcPr>
            <w:tcW w:w="298" w:type="dxa"/>
          </w:tcPr>
          <w:p w14:paraId="60FF9E87" w14:textId="16C7E726" w:rsidR="005F611D" w:rsidRDefault="005F611D" w:rsidP="005F611D">
            <w:pPr>
              <w:ind w:left="0"/>
              <w:rPr>
                <w:rFonts w:ascii="Bookman Old Style" w:hAnsi="Bookman Old Style"/>
                <w:b/>
                <w:lang w:val="es-ES_tradnl"/>
              </w:rPr>
            </w:pPr>
            <w:r w:rsidRPr="00F340A2">
              <w:rPr>
                <w:rFonts w:ascii="Bookman Old Style" w:hAnsi="Bookman Old Style" w:cs="Arial"/>
                <w:b/>
                <w:iCs/>
                <w:color w:val="000000" w:themeColor="text1"/>
                <w:kern w:val="24"/>
              </w:rPr>
              <w:t>:</w:t>
            </w:r>
          </w:p>
        </w:tc>
        <w:tc>
          <w:tcPr>
            <w:tcW w:w="7723" w:type="dxa"/>
          </w:tcPr>
          <w:p w14:paraId="0DFB5F45" w14:textId="40293A36" w:rsidR="005F611D" w:rsidRPr="00F340A2" w:rsidRDefault="005F611D" w:rsidP="005F611D">
            <w:pPr>
              <w:ind w:left="0"/>
              <w:contextualSpacing/>
              <w:jc w:val="both"/>
              <w:rPr>
                <w:rFonts w:ascii="Bookman Old Style" w:hAnsi="Bookman Old Style" w:cs="Arial"/>
                <w:iCs/>
                <w:color w:val="000000" w:themeColor="text1"/>
                <w:kern w:val="24"/>
              </w:rPr>
            </w:pPr>
            <w:r>
              <w:rPr>
                <w:rFonts w:ascii="Bookman Old Style" w:hAnsi="Bookman Old Style" w:cs="Arial"/>
                <w:iCs/>
                <w:color w:val="000000" w:themeColor="text1"/>
                <w:kern w:val="24"/>
              </w:rPr>
              <w:t>Expectativa de</w:t>
            </w:r>
            <w:r w:rsidRPr="00F340A2">
              <w:rPr>
                <w:rFonts w:ascii="Bookman Old Style" w:hAnsi="Bookman Old Style" w:cs="Arial"/>
                <w:iCs/>
                <w:color w:val="000000" w:themeColor="text1"/>
                <w:kern w:val="24"/>
              </w:rPr>
              <w:t xml:space="preserve"> inflación </w:t>
            </w:r>
            <w:r>
              <w:rPr>
                <w:rFonts w:ascii="Bookman Old Style" w:hAnsi="Bookman Old Style" w:cs="Arial"/>
                <w:iCs/>
                <w:color w:val="000000" w:themeColor="text1"/>
                <w:kern w:val="24"/>
              </w:rPr>
              <w:t>en</w:t>
            </w:r>
            <w:r w:rsidRPr="00F340A2">
              <w:rPr>
                <w:rFonts w:ascii="Bookman Old Style" w:hAnsi="Bookman Old Style" w:cs="Arial"/>
                <w:iCs/>
                <w:color w:val="000000" w:themeColor="text1"/>
                <w:kern w:val="24"/>
              </w:rPr>
              <w:t xml:space="preserve"> el momento </w:t>
            </w:r>
            <m:oMath>
              <m:r>
                <m:rPr>
                  <m:sty m:val="p"/>
                </m:rPr>
                <w:rPr>
                  <w:rFonts w:ascii="Cambria Math" w:hAnsi="Cambria Math" w:cs="Arial"/>
                </w:rPr>
                <m:t>τ</m:t>
              </m:r>
            </m:oMath>
            <w:r w:rsidRPr="00F340A2">
              <w:rPr>
                <w:rFonts w:ascii="Bookman Old Style" w:hAnsi="Bookman Old Style" w:cs="Arial"/>
                <w:iCs/>
                <w:color w:val="000000" w:themeColor="text1"/>
                <w:kern w:val="24"/>
              </w:rPr>
              <w:t>, calculada como el promedio</w:t>
            </w:r>
            <w:r w:rsidR="00550CAF">
              <w:rPr>
                <w:rFonts w:ascii="Bookman Old Style" w:hAnsi="Bookman Old Style" w:cs="Arial"/>
                <w:iCs/>
                <w:color w:val="000000" w:themeColor="text1"/>
                <w:kern w:val="24"/>
              </w:rPr>
              <w:t xml:space="preserve"> </w:t>
            </w:r>
            <w:r w:rsidRPr="00F340A2">
              <w:rPr>
                <w:rFonts w:ascii="Bookman Old Style" w:hAnsi="Bookman Old Style" w:cs="Arial"/>
                <w:iCs/>
                <w:color w:val="000000" w:themeColor="text1"/>
                <w:kern w:val="24"/>
              </w:rPr>
              <w:t>de los diferenciales entre l</w:t>
            </w:r>
            <w:r>
              <w:rPr>
                <w:rFonts w:ascii="Bookman Old Style" w:hAnsi="Bookman Old Style" w:cs="Arial"/>
                <w:iCs/>
                <w:color w:val="000000" w:themeColor="text1"/>
                <w:kern w:val="24"/>
              </w:rPr>
              <w:t xml:space="preserve">a tasa de interés del </w:t>
            </w:r>
            <w:r w:rsidRPr="001632BB">
              <w:rPr>
                <w:rFonts w:ascii="Bookman Old Style" w:hAnsi="Bookman Old Style" w:cs="Arial"/>
                <w:i/>
                <w:color w:val="000000" w:themeColor="text1"/>
                <w:kern w:val="24"/>
              </w:rPr>
              <w:t>Treasury Yield Curve</w:t>
            </w:r>
            <w:r>
              <w:rPr>
                <w:rFonts w:ascii="Bookman Old Style" w:hAnsi="Bookman Old Style" w:cs="Arial"/>
                <w:iCs/>
                <w:color w:val="000000" w:themeColor="text1"/>
                <w:kern w:val="24"/>
              </w:rPr>
              <w:t xml:space="preserve"> </w:t>
            </w:r>
            <w:r w:rsidRPr="00F340A2">
              <w:rPr>
                <w:rFonts w:ascii="Bookman Old Style" w:hAnsi="Bookman Old Style" w:cs="Arial"/>
                <w:iCs/>
                <w:color w:val="000000" w:themeColor="text1"/>
                <w:kern w:val="24"/>
              </w:rPr>
              <w:t xml:space="preserve">y la tasa </w:t>
            </w:r>
            <w:r>
              <w:rPr>
                <w:rFonts w:ascii="Bookman Old Style" w:hAnsi="Bookman Old Style" w:cs="Arial"/>
                <w:iCs/>
                <w:color w:val="000000" w:themeColor="text1"/>
                <w:kern w:val="24"/>
              </w:rPr>
              <w:t xml:space="preserve">de interés </w:t>
            </w:r>
            <w:r w:rsidRPr="00F340A2">
              <w:rPr>
                <w:rFonts w:ascii="Bookman Old Style" w:hAnsi="Bookman Old Style" w:cs="Arial"/>
                <w:iCs/>
                <w:color w:val="000000" w:themeColor="text1"/>
                <w:kern w:val="24"/>
              </w:rPr>
              <w:t xml:space="preserve">del </w:t>
            </w:r>
            <w:r w:rsidRPr="001632BB">
              <w:rPr>
                <w:rFonts w:ascii="Bookman Old Style" w:hAnsi="Bookman Old Style" w:cs="Arial"/>
                <w:i/>
                <w:color w:val="000000" w:themeColor="text1"/>
                <w:kern w:val="24"/>
              </w:rPr>
              <w:t>Treasury Real Yield Curve</w:t>
            </w:r>
            <w:r>
              <w:rPr>
                <w:rFonts w:ascii="Bookman Old Style" w:hAnsi="Bookman Old Style" w:cs="Arial"/>
                <w:iCs/>
                <w:color w:val="000000" w:themeColor="text1"/>
                <w:kern w:val="24"/>
              </w:rPr>
              <w:t>,</w:t>
            </w:r>
            <w:r w:rsidRPr="00F340A2">
              <w:rPr>
                <w:rFonts w:ascii="Bookman Old Style" w:hAnsi="Bookman Old Style" w:cs="Arial"/>
                <w:iCs/>
                <w:color w:val="000000" w:themeColor="text1"/>
                <w:kern w:val="24"/>
              </w:rPr>
              <w:t xml:space="preserve"> de los Estados Unidos de América</w:t>
            </w:r>
            <w:r>
              <w:rPr>
                <w:rFonts w:ascii="Bookman Old Style" w:hAnsi="Bookman Old Style" w:cs="Arial"/>
                <w:iCs/>
                <w:color w:val="000000" w:themeColor="text1"/>
                <w:kern w:val="24"/>
              </w:rPr>
              <w:t xml:space="preserve">, para el </w:t>
            </w:r>
            <w:r w:rsidRPr="00F340A2">
              <w:rPr>
                <w:rFonts w:ascii="Bookman Old Style" w:hAnsi="Bookman Old Style" w:cs="Arial"/>
                <w:iCs/>
                <w:color w:val="000000" w:themeColor="text1"/>
                <w:kern w:val="24"/>
              </w:rPr>
              <w:t>plazo de 10 años</w:t>
            </w:r>
            <w:r>
              <w:rPr>
                <w:rFonts w:ascii="Bookman Old Style" w:hAnsi="Bookman Old Style" w:cs="Arial"/>
                <w:iCs/>
                <w:color w:val="000000" w:themeColor="text1"/>
                <w:kern w:val="24"/>
              </w:rPr>
              <w:t>,</w:t>
            </w:r>
            <w:r w:rsidR="00C25B9B">
              <w:rPr>
                <w:rFonts w:ascii="Bookman Old Style" w:hAnsi="Bookman Old Style" w:cs="Arial"/>
                <w:iCs/>
                <w:color w:val="000000" w:themeColor="text1"/>
                <w:kern w:val="24"/>
              </w:rPr>
              <w:t xml:space="preserve"> publicadas por</w:t>
            </w:r>
            <w:r w:rsidR="0074562B">
              <w:t xml:space="preserve"> </w:t>
            </w:r>
            <w:r w:rsidR="0074562B" w:rsidRPr="0074562B">
              <w:rPr>
                <w:rFonts w:ascii="Bookman Old Style" w:hAnsi="Bookman Old Style" w:cs="Arial"/>
                <w:iCs/>
                <w:color w:val="000000" w:themeColor="text1"/>
                <w:kern w:val="24"/>
              </w:rPr>
              <w:t xml:space="preserve">U.S. </w:t>
            </w:r>
            <w:r w:rsidR="009866A9" w:rsidRPr="0074562B">
              <w:rPr>
                <w:rFonts w:ascii="Bookman Old Style" w:hAnsi="Bookman Old Style" w:cs="Arial"/>
                <w:iCs/>
                <w:color w:val="000000" w:themeColor="text1"/>
                <w:kern w:val="24"/>
              </w:rPr>
              <w:t xml:space="preserve">Department </w:t>
            </w:r>
            <w:r w:rsidR="0074562B" w:rsidRPr="0074562B">
              <w:rPr>
                <w:rFonts w:ascii="Bookman Old Style" w:hAnsi="Bookman Old Style" w:cs="Arial"/>
                <w:iCs/>
                <w:color w:val="000000" w:themeColor="text1"/>
                <w:kern w:val="24"/>
              </w:rPr>
              <w:t>O</w:t>
            </w:r>
            <w:r w:rsidR="009866A9">
              <w:rPr>
                <w:rFonts w:ascii="Bookman Old Style" w:hAnsi="Bookman Old Style" w:cs="Arial"/>
                <w:iCs/>
                <w:color w:val="000000" w:themeColor="text1"/>
                <w:kern w:val="24"/>
              </w:rPr>
              <w:t>f</w:t>
            </w:r>
            <w:r w:rsidR="0074562B" w:rsidRPr="0074562B">
              <w:rPr>
                <w:rFonts w:ascii="Bookman Old Style" w:hAnsi="Bookman Old Style" w:cs="Arial"/>
                <w:iCs/>
                <w:color w:val="000000" w:themeColor="text1"/>
                <w:kern w:val="24"/>
              </w:rPr>
              <w:t xml:space="preserve"> T</w:t>
            </w:r>
            <w:r w:rsidR="009866A9">
              <w:rPr>
                <w:rFonts w:ascii="Bookman Old Style" w:hAnsi="Bookman Old Style" w:cs="Arial"/>
                <w:iCs/>
                <w:color w:val="000000" w:themeColor="text1"/>
                <w:kern w:val="24"/>
              </w:rPr>
              <w:t>he</w:t>
            </w:r>
            <w:r w:rsidR="0074562B" w:rsidRPr="0074562B">
              <w:rPr>
                <w:rFonts w:ascii="Bookman Old Style" w:hAnsi="Bookman Old Style" w:cs="Arial"/>
                <w:iCs/>
                <w:color w:val="000000" w:themeColor="text1"/>
                <w:kern w:val="24"/>
              </w:rPr>
              <w:t xml:space="preserve"> </w:t>
            </w:r>
            <w:r w:rsidR="009866A9" w:rsidRPr="0074562B">
              <w:rPr>
                <w:rFonts w:ascii="Bookman Old Style" w:hAnsi="Bookman Old Style" w:cs="Arial"/>
                <w:iCs/>
                <w:color w:val="000000" w:themeColor="text1"/>
                <w:kern w:val="24"/>
              </w:rPr>
              <w:t>Treasury</w:t>
            </w:r>
            <w:r w:rsidR="009866A9">
              <w:rPr>
                <w:rFonts w:ascii="Bookman Old Style" w:hAnsi="Bookman Old Style" w:cs="Arial"/>
                <w:iCs/>
                <w:color w:val="000000" w:themeColor="text1"/>
                <w:kern w:val="24"/>
              </w:rPr>
              <w:t xml:space="preserve">, </w:t>
            </w:r>
            <w:r w:rsidR="00F720B2">
              <w:rPr>
                <w:rFonts w:ascii="Bookman Old Style" w:hAnsi="Bookman Old Style" w:cs="Arial"/>
                <w:iCs/>
                <w:color w:val="000000" w:themeColor="text1"/>
                <w:kern w:val="24"/>
              </w:rPr>
              <w:t xml:space="preserve">considerando </w:t>
            </w:r>
            <w:r w:rsidRPr="001632BB">
              <w:rPr>
                <w:rFonts w:ascii="Bookman Old Style" w:hAnsi="Bookman Old Style" w:cs="Arial"/>
                <w:color w:val="000000" w:themeColor="text1"/>
                <w:kern w:val="24"/>
              </w:rPr>
              <w:t xml:space="preserve">los </w:t>
            </w:r>
            <w:r w:rsidR="0010193A">
              <w:rPr>
                <w:rFonts w:ascii="Bookman Old Style" w:hAnsi="Bookman Old Style" w:cs="Arial"/>
                <w:color w:val="000000" w:themeColor="text1"/>
                <w:kern w:val="24"/>
              </w:rPr>
              <w:t>sesenta</w:t>
            </w:r>
            <w:r w:rsidRPr="001632BB">
              <w:rPr>
                <w:rFonts w:ascii="Bookman Old Style" w:hAnsi="Bookman Old Style" w:cs="Arial"/>
                <w:color w:val="000000" w:themeColor="text1"/>
                <w:kern w:val="24"/>
              </w:rPr>
              <w:t xml:space="preserve"> (</w:t>
            </w:r>
            <w:r w:rsidR="0010193A">
              <w:rPr>
                <w:rFonts w:ascii="Bookman Old Style" w:hAnsi="Bookman Old Style" w:cs="Arial"/>
                <w:color w:val="000000" w:themeColor="text1"/>
                <w:kern w:val="24"/>
              </w:rPr>
              <w:t>60</w:t>
            </w:r>
            <w:r w:rsidRPr="001632BB">
              <w:rPr>
                <w:rFonts w:ascii="Bookman Old Style" w:hAnsi="Bookman Old Style" w:cs="Arial"/>
                <w:color w:val="000000" w:themeColor="text1"/>
                <w:kern w:val="24"/>
              </w:rPr>
              <w:t xml:space="preserve">) meses </w:t>
            </w:r>
            <w:r w:rsidR="005B50FE">
              <w:rPr>
                <w:rFonts w:ascii="Bookman Old Style" w:hAnsi="Bookman Old Style" w:cs="Arial"/>
                <w:color w:val="000000" w:themeColor="text1"/>
                <w:kern w:val="24"/>
              </w:rPr>
              <w:t>precedentes</w:t>
            </w:r>
            <w:r w:rsidR="0010193A">
              <w:rPr>
                <w:rFonts w:ascii="Bookman Old Style" w:hAnsi="Bookman Old Style" w:cs="Arial"/>
                <w:color w:val="000000" w:themeColor="text1"/>
                <w:kern w:val="24"/>
              </w:rPr>
              <w:t xml:space="preserve">, ponderados </w:t>
            </w:r>
            <w:r w:rsidR="005B09ED">
              <w:rPr>
                <w:rFonts w:ascii="Bookman Old Style" w:hAnsi="Bookman Old Style" w:cs="Arial"/>
                <w:color w:val="000000" w:themeColor="text1"/>
                <w:kern w:val="24"/>
              </w:rPr>
              <w:t>conforme a</w:t>
            </w:r>
            <w:r w:rsidR="0010193A">
              <w:rPr>
                <w:rFonts w:ascii="Bookman Old Style" w:hAnsi="Bookman Old Style" w:cs="Arial"/>
                <w:color w:val="000000" w:themeColor="text1"/>
                <w:kern w:val="24"/>
              </w:rPr>
              <w:t>l método de la suma de dígitos</w:t>
            </w:r>
            <w:r w:rsidRPr="001632BB">
              <w:rPr>
                <w:rFonts w:ascii="Bookman Old Style" w:hAnsi="Bookman Old Style" w:cs="Arial"/>
                <w:iCs/>
                <w:color w:val="000000" w:themeColor="text1"/>
                <w:kern w:val="24"/>
              </w:rPr>
              <w:t>.</w:t>
            </w:r>
            <w:r w:rsidRPr="00F340A2">
              <w:rPr>
                <w:rFonts w:ascii="Bookman Old Style" w:hAnsi="Bookman Old Style" w:cs="Arial"/>
                <w:iCs/>
                <w:color w:val="000000" w:themeColor="text1"/>
                <w:kern w:val="24"/>
              </w:rPr>
              <w:t xml:space="preserve"> Cada uno de los diferenciales se calcula de la siguiente manera:</w:t>
            </w:r>
          </w:p>
          <w:p w14:paraId="7F8291F6" w14:textId="77777777" w:rsidR="005F611D" w:rsidRPr="00F340A2" w:rsidRDefault="005F611D" w:rsidP="005F611D">
            <w:pPr>
              <w:ind w:left="0"/>
              <w:contextualSpacing/>
              <w:jc w:val="both"/>
              <w:rPr>
                <w:rFonts w:ascii="Bookman Old Style" w:hAnsi="Bookman Old Style" w:cs="Arial"/>
                <w:iCs/>
                <w:color w:val="000000" w:themeColor="text1"/>
                <w:kern w:val="24"/>
              </w:rPr>
            </w:pPr>
          </w:p>
          <w:p w14:paraId="4F26778A" w14:textId="5F4910D3" w:rsidR="005F611D" w:rsidRPr="00F340A2" w:rsidRDefault="00CD23BF" w:rsidP="005F611D">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π</m:t>
                    </m:r>
                  </m:e>
                  <m:sub>
                    <m:r>
                      <m:rPr>
                        <m:sty m:val="p"/>
                      </m:rPr>
                      <w:rPr>
                        <w:rFonts w:ascii="Cambria Math" w:hAnsi="Cambria Math" w:cs="Arial"/>
                        <w:color w:val="000000" w:themeColor="text1"/>
                        <w:kern w:val="24"/>
                      </w:rPr>
                      <m:t>usd,i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US_TYC</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US_TRYC</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14:paraId="11C4B5A3" w14:textId="77777777" w:rsidR="005F611D" w:rsidRPr="00F340A2" w:rsidRDefault="005F611D" w:rsidP="005F611D">
            <w:pPr>
              <w:ind w:left="0"/>
              <w:jc w:val="both"/>
              <w:rPr>
                <w:rFonts w:ascii="Bookman Old Style" w:hAnsi="Bookman Old Style"/>
              </w:rPr>
            </w:pPr>
          </w:p>
          <w:p w14:paraId="4278F326" w14:textId="7001FCFF" w:rsidR="005F611D" w:rsidRDefault="005F611D" w:rsidP="005F611D">
            <w:pPr>
              <w:ind w:left="0"/>
              <w:jc w:val="both"/>
              <w:rPr>
                <w:rFonts w:ascii="Bookman Old Style" w:hAnsi="Bookman Old Style"/>
                <w:lang w:val="es-ES_tradnl"/>
              </w:rPr>
            </w:pPr>
            <w:r>
              <w:rPr>
                <w:rFonts w:ascii="Bookman Old Style" w:hAnsi="Bookman Old Style"/>
                <w:lang w:val="es-ES_tradnl"/>
              </w:rPr>
              <w:t>d</w:t>
            </w:r>
            <w:r w:rsidRPr="00F340A2">
              <w:rPr>
                <w:rFonts w:ascii="Bookman Old Style" w:hAnsi="Bookman Old Style"/>
                <w:lang w:val="es-ES_tradnl"/>
              </w:rPr>
              <w:t>onde i es cada una de las fechas para las que existe información</w:t>
            </w:r>
            <w:r>
              <w:rPr>
                <w:rFonts w:ascii="Bookman Old Style" w:hAnsi="Bookman Old Style"/>
                <w:lang w:val="es-ES_tradnl"/>
              </w:rPr>
              <w:t xml:space="preserv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US_TYC</m:t>
                  </m:r>
                </m:e>
                <m:sub>
                  <m:r>
                    <m:rPr>
                      <m:sty m:val="p"/>
                    </m:rPr>
                    <w:rPr>
                      <w:rFonts w:ascii="Cambria Math" w:eastAsia="Cambria Math" w:hAnsi="Cambria Math" w:cs="Arial"/>
                      <w:color w:val="000000" w:themeColor="text1"/>
                      <w:kern w:val="24"/>
                    </w:rPr>
                    <m:t>i</m:t>
                  </m:r>
                </m:sub>
              </m:sSub>
            </m:oMath>
            <w:r>
              <w:rPr>
                <w:rFonts w:ascii="Bookman Old Style" w:hAnsi="Bookman Old Style"/>
                <w:iCs/>
                <w:color w:val="000000" w:themeColor="text1"/>
                <w:kern w:val="24"/>
              </w:rPr>
              <w:t xml:space="preserve"> es la tasa </w:t>
            </w:r>
            <w:r>
              <w:rPr>
                <w:rFonts w:ascii="Bookman Old Style" w:hAnsi="Bookman Old Style" w:cs="Arial"/>
                <w:iCs/>
                <w:color w:val="000000" w:themeColor="text1"/>
                <w:kern w:val="24"/>
              </w:rPr>
              <w:t xml:space="preserve">de interés del </w:t>
            </w:r>
            <w:r w:rsidRPr="001632BB">
              <w:rPr>
                <w:rFonts w:ascii="Bookman Old Style" w:hAnsi="Bookman Old Style" w:cs="Arial"/>
                <w:i/>
                <w:color w:val="000000" w:themeColor="text1"/>
                <w:kern w:val="24"/>
              </w:rPr>
              <w:t>Treasury Yield Curve</w:t>
            </w:r>
            <w:r>
              <w:rPr>
                <w:rFonts w:ascii="Bookman Old Style" w:hAnsi="Bookman Old Style"/>
                <w:iCs/>
                <w:color w:val="000000" w:themeColor="text1"/>
                <w:kern w:val="24"/>
              </w:rPr>
              <w:t xml:space="preserve"> del día i y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US_TRYC</m:t>
                  </m:r>
                </m:e>
                <m:sub>
                  <m:r>
                    <m:rPr>
                      <m:sty m:val="p"/>
                    </m:rPr>
                    <w:rPr>
                      <w:rFonts w:ascii="Cambria Math" w:eastAsia="Cambria Math" w:hAnsi="Cambria Math" w:cs="Arial"/>
                      <w:color w:val="000000" w:themeColor="text1"/>
                      <w:kern w:val="24"/>
                    </w:rPr>
                    <m:t>i</m:t>
                  </m:r>
                </m:sub>
              </m:sSub>
            </m:oMath>
            <w:r>
              <w:rPr>
                <w:rFonts w:ascii="Bookman Old Style" w:hAnsi="Bookman Old Style"/>
                <w:iCs/>
                <w:color w:val="000000" w:themeColor="text1"/>
                <w:kern w:val="24"/>
              </w:rPr>
              <w:t xml:space="preserve"> es la tasa </w:t>
            </w:r>
            <w:r>
              <w:rPr>
                <w:rFonts w:ascii="Bookman Old Style" w:hAnsi="Bookman Old Style" w:cs="Arial"/>
                <w:iCs/>
                <w:color w:val="000000" w:themeColor="text1"/>
                <w:kern w:val="24"/>
              </w:rPr>
              <w:t xml:space="preserve">de interés del </w:t>
            </w:r>
            <w:r w:rsidRPr="001632BB">
              <w:rPr>
                <w:rFonts w:ascii="Bookman Old Style" w:hAnsi="Bookman Old Style" w:cs="Arial"/>
                <w:i/>
                <w:color w:val="000000" w:themeColor="text1"/>
                <w:kern w:val="24"/>
              </w:rPr>
              <w:t xml:space="preserve">Treasury </w:t>
            </w:r>
            <w:r>
              <w:rPr>
                <w:rFonts w:ascii="Bookman Old Style" w:hAnsi="Bookman Old Style" w:cs="Arial"/>
                <w:i/>
                <w:color w:val="000000" w:themeColor="text1"/>
                <w:kern w:val="24"/>
              </w:rPr>
              <w:t xml:space="preserve">Real </w:t>
            </w:r>
            <w:r w:rsidRPr="001632BB">
              <w:rPr>
                <w:rFonts w:ascii="Bookman Old Style" w:hAnsi="Bookman Old Style" w:cs="Arial"/>
                <w:i/>
                <w:color w:val="000000" w:themeColor="text1"/>
                <w:kern w:val="24"/>
              </w:rPr>
              <w:t>Yield Curve</w:t>
            </w:r>
            <w:r>
              <w:rPr>
                <w:rFonts w:ascii="Bookman Old Style" w:hAnsi="Bookman Old Style"/>
                <w:iCs/>
                <w:color w:val="000000" w:themeColor="text1"/>
                <w:kern w:val="24"/>
              </w:rPr>
              <w:t xml:space="preserve"> del día i</w:t>
            </w:r>
            <w:r w:rsidRPr="00F340A2">
              <w:rPr>
                <w:rFonts w:ascii="Bookman Old Style" w:hAnsi="Bookman Old Style"/>
                <w:lang w:val="es-ES_tradnl"/>
              </w:rPr>
              <w:t>.</w:t>
            </w:r>
          </w:p>
          <w:p w14:paraId="1BAA39BF" w14:textId="77777777" w:rsidR="009866A9" w:rsidRDefault="009866A9" w:rsidP="009866A9">
            <w:pPr>
              <w:ind w:left="0"/>
              <w:contextualSpacing/>
              <w:jc w:val="both"/>
              <w:rPr>
                <w:rFonts w:ascii="Bookman Old Style" w:hAnsi="Bookman Old Style"/>
                <w:lang w:val="es-ES_tradnl"/>
              </w:rPr>
            </w:pPr>
          </w:p>
          <w:p w14:paraId="6C76283B" w14:textId="75CABA8E" w:rsidR="009866A9" w:rsidRPr="009866A9" w:rsidRDefault="009866A9" w:rsidP="009866A9">
            <w:pPr>
              <w:ind w:left="0"/>
              <w:contextualSpacing/>
              <w:jc w:val="both"/>
              <w:rPr>
                <w:rFonts w:ascii="Bookman Old Style" w:hAnsi="Bookman Old Style"/>
                <w:lang w:val="es-ES_tradnl"/>
              </w:rPr>
            </w:pPr>
            <w:r w:rsidRPr="009866A9">
              <w:rPr>
                <w:rFonts w:ascii="Bookman Old Style" w:hAnsi="Bookman Old Style"/>
                <w:lang w:val="es-ES_tradnl"/>
              </w:rPr>
              <w:t xml:space="preserve">El valor correspondiente a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π_usd</m:t>
                  </m:r>
                </m:e>
                <m:sub>
                  <m:r>
                    <m:rPr>
                      <m:sty m:val="p"/>
                    </m:rPr>
                    <w:rPr>
                      <w:rFonts w:ascii="Cambria Math" w:eastAsia="Cambria Math" w:hAnsi="Cambria Math" w:cs="Arial"/>
                      <w:color w:val="000000" w:themeColor="text1"/>
                      <w:kern w:val="24"/>
                    </w:rPr>
                    <m:t>τ</m:t>
                  </m:r>
                </m:sub>
              </m:sSub>
            </m:oMath>
            <w:r w:rsidRPr="009866A9">
              <w:rPr>
                <w:rFonts w:ascii="Bookman Old Style" w:hAnsi="Bookman Old Style"/>
                <w:lang w:val="es-ES_tradnl"/>
              </w:rPr>
              <w:t xml:space="preserve"> se obtiene mediante la siguiente expresión:</w:t>
            </w:r>
          </w:p>
          <w:p w14:paraId="0BF24317" w14:textId="77777777" w:rsidR="009866A9" w:rsidRPr="009866A9" w:rsidRDefault="009866A9" w:rsidP="009866A9">
            <w:pPr>
              <w:ind w:left="0"/>
              <w:jc w:val="both"/>
              <w:rPr>
                <w:rFonts w:ascii="Bookman Old Style" w:hAnsi="Bookman Old Style" w:cs="Arial"/>
              </w:rPr>
            </w:pPr>
          </w:p>
          <w:p w14:paraId="6804934F" w14:textId="603271F3" w:rsidR="009866A9" w:rsidRPr="009866A9" w:rsidRDefault="00CD23BF" w:rsidP="009866A9">
            <w:pPr>
              <w:ind w:left="0"/>
              <w:jc w:val="both"/>
              <w:rPr>
                <w:rFonts w:ascii="Bookman Old Style" w:hAnsi="Bookman Old Style" w:cs="Arial"/>
                <w:iCs/>
              </w:rPr>
            </w:pPr>
            <m:oMathPara>
              <m:oMath>
                <m:sSub>
                  <m:sSubPr>
                    <m:ctrlPr>
                      <w:rPr>
                        <w:rFonts w:ascii="Cambria Math" w:hAnsi="Cambria Math"/>
                        <w:iCs/>
                        <w:lang w:val="es-ES_tradnl"/>
                      </w:rPr>
                    </m:ctrlPr>
                  </m:sSubPr>
                  <m:e>
                    <m:r>
                      <m:rPr>
                        <m:sty m:val="p"/>
                      </m:rPr>
                      <w:rPr>
                        <w:rFonts w:ascii="Cambria Math" w:hAnsi="Cambria Math"/>
                        <w:lang w:val="es-ES_tradnl"/>
                      </w:rPr>
                      <m:t>π_usd</m:t>
                    </m:r>
                  </m:e>
                  <m:sub>
                    <m:r>
                      <m:rPr>
                        <m:sty m:val="p"/>
                      </m:rPr>
                      <w:rPr>
                        <w:rFonts w:ascii="Cambria Math" w:hAnsi="Cambria Math"/>
                        <w:lang w:val="es-ES_tradnl"/>
                      </w:rPr>
                      <m:t>τ</m:t>
                    </m:r>
                  </m:sub>
                </m:sSub>
                <m:r>
                  <m:rPr>
                    <m:sty m:val="p"/>
                  </m:rPr>
                  <w:rPr>
                    <w:rFonts w:ascii="Cambria Math" w:hAnsi="Cambria Math" w:cs="Arial"/>
                  </w:rPr>
                  <m:t>=</m:t>
                </m:r>
                <m:nary>
                  <m:naryPr>
                    <m:chr m:val="∑"/>
                    <m:limLoc m:val="undOvr"/>
                    <m:ctrlPr>
                      <w:rPr>
                        <w:rFonts w:ascii="Cambria Math" w:hAnsi="Cambria Math" w:cs="Arial"/>
                        <w:iCs/>
                      </w:rPr>
                    </m:ctrlPr>
                  </m:naryPr>
                  <m:sub>
                    <m:r>
                      <m:rPr>
                        <m:sty m:val="p"/>
                      </m:rPr>
                      <w:rPr>
                        <w:rFonts w:ascii="Cambria Math" w:hAnsi="Cambria Math" w:cs="Arial"/>
                      </w:rPr>
                      <m:t>i=-n</m:t>
                    </m:r>
                  </m:sub>
                  <m:sup>
                    <m:r>
                      <m:rPr>
                        <m:sty m:val="p"/>
                      </m:rPr>
                      <w:rPr>
                        <w:rFonts w:ascii="Cambria Math" w:hAnsi="Cambria Math" w:cs="Arial"/>
                      </w:rPr>
                      <m:t>-1</m:t>
                    </m:r>
                  </m:sup>
                  <m:e>
                    <m:f>
                      <m:fPr>
                        <m:ctrlPr>
                          <w:rPr>
                            <w:rFonts w:ascii="Cambria Math" w:hAnsi="Cambria Math" w:cs="Arial"/>
                            <w:iCs/>
                          </w:rPr>
                        </m:ctrlPr>
                      </m:fPr>
                      <m:num>
                        <m:r>
                          <m:rPr>
                            <m:sty m:val="p"/>
                          </m:rPr>
                          <w:rPr>
                            <w:rFonts w:ascii="Cambria Math" w:hAnsi="Cambria Math" w:cs="Arial"/>
                          </w:rPr>
                          <m:t>(n+1)+i</m:t>
                        </m:r>
                      </m:num>
                      <m:den>
                        <m:f>
                          <m:fPr>
                            <m:type m:val="lin"/>
                            <m:ctrlPr>
                              <w:rPr>
                                <w:rFonts w:ascii="Cambria Math" w:hAnsi="Cambria Math" w:cs="Arial"/>
                                <w:iCs/>
                              </w:rPr>
                            </m:ctrlPr>
                          </m:fPr>
                          <m:num>
                            <m:r>
                              <m:rPr>
                                <m:sty m:val="p"/>
                              </m:rPr>
                              <w:rPr>
                                <w:rFonts w:ascii="Cambria Math" w:hAnsi="Cambria Math" w:cs="Arial"/>
                              </w:rPr>
                              <m:t>n(n+1)</m:t>
                            </m:r>
                          </m:num>
                          <m:den>
                            <m:r>
                              <m:rPr>
                                <m:sty m:val="p"/>
                              </m:rPr>
                              <w:rPr>
                                <w:rFonts w:ascii="Cambria Math" w:hAnsi="Cambria Math" w:cs="Arial"/>
                              </w:rPr>
                              <m:t>2</m:t>
                            </m:r>
                          </m:den>
                        </m:f>
                      </m:den>
                    </m:f>
                    <m:r>
                      <w:rPr>
                        <w:rFonts w:ascii="Cambria Math" w:hAnsi="Cambria Math" w:cs="Arial"/>
                      </w:rPr>
                      <m:t>∙</m:t>
                    </m:r>
                    <m:sSub>
                      <m:sSubPr>
                        <m:ctrlPr>
                          <w:rPr>
                            <w:rFonts w:ascii="Cambria Math" w:hAnsi="Cambria Math"/>
                            <w:iCs/>
                            <w:lang w:val="es-ES_tradnl"/>
                          </w:rPr>
                        </m:ctrlPr>
                      </m:sSubPr>
                      <m:e>
                        <m:r>
                          <m:rPr>
                            <m:sty m:val="p"/>
                          </m:rPr>
                          <w:rPr>
                            <w:rFonts w:ascii="Cambria Math" w:hAnsi="Cambria Math"/>
                            <w:lang w:val="es-ES_tradnl"/>
                          </w:rPr>
                          <m:t>π</m:t>
                        </m:r>
                      </m:e>
                      <m:sub>
                        <m:r>
                          <m:rPr>
                            <m:sty m:val="p"/>
                          </m:rPr>
                          <w:rPr>
                            <w:rFonts w:ascii="Cambria Math" w:hAnsi="Cambria Math"/>
                            <w:lang w:val="es-ES_tradnl"/>
                          </w:rPr>
                          <m:t>usd,i</m:t>
                        </m:r>
                      </m:sub>
                    </m:sSub>
                  </m:e>
                </m:nary>
              </m:oMath>
            </m:oMathPara>
          </w:p>
          <w:p w14:paraId="12942242" w14:textId="77777777" w:rsidR="009866A9" w:rsidRPr="009866A9" w:rsidRDefault="009866A9" w:rsidP="009866A9">
            <w:pPr>
              <w:ind w:left="0"/>
              <w:jc w:val="both"/>
              <w:rPr>
                <w:rFonts w:ascii="Bookman Old Style" w:hAnsi="Bookman Old Style" w:cs="Arial"/>
              </w:rPr>
            </w:pPr>
          </w:p>
          <w:p w14:paraId="46E5D2D9" w14:textId="121A79FE" w:rsidR="009866A9" w:rsidRPr="00F340A2" w:rsidRDefault="009866A9" w:rsidP="005F611D">
            <w:pPr>
              <w:ind w:left="0"/>
              <w:jc w:val="both"/>
              <w:rPr>
                <w:rFonts w:ascii="Bookman Old Style" w:hAnsi="Bookman Old Style"/>
              </w:rPr>
            </w:pPr>
            <w:r w:rsidRPr="009866A9">
              <w:rPr>
                <w:rFonts w:ascii="Bookman Old Style" w:hAnsi="Bookman Old Style" w:cs="Arial"/>
              </w:rPr>
              <w:t xml:space="preserve">En donde </w:t>
            </w:r>
            <w:r w:rsidRPr="009866A9">
              <w:rPr>
                <w:rFonts w:ascii="Bookman Old Style" w:hAnsi="Bookman Old Style" w:cs="Arial"/>
                <w:i/>
                <w:iCs/>
              </w:rPr>
              <w:t>n</w:t>
            </w:r>
            <w:r w:rsidRPr="009866A9">
              <w:rPr>
                <w:rFonts w:ascii="Bookman Old Style" w:hAnsi="Bookman Old Style" w:cs="Arial"/>
              </w:rPr>
              <w:t xml:space="preserve"> es el número de datos disponibles e </w:t>
            </w:r>
            <w:r w:rsidRPr="009866A9">
              <w:rPr>
                <w:rFonts w:ascii="Bookman Old Style" w:hAnsi="Bookman Old Style" w:cs="Arial"/>
                <w:i/>
                <w:iCs/>
              </w:rPr>
              <w:t>i</w:t>
            </w:r>
            <w:r w:rsidR="007A6BDC">
              <w:rPr>
                <w:rFonts w:ascii="Bookman Old Style" w:hAnsi="Bookman Old Style" w:cs="Arial"/>
                <w:i/>
                <w:iCs/>
              </w:rPr>
              <w:t xml:space="preserve"> </w:t>
            </w:r>
            <w:r w:rsidRPr="009866A9">
              <w:rPr>
                <w:rFonts w:ascii="Bookman Old Style" w:hAnsi="Bookman Old Style" w:cs="Arial"/>
              </w:rPr>
              <w:t>=</w:t>
            </w:r>
            <w:r w:rsidR="007A6BDC">
              <w:rPr>
                <w:rFonts w:ascii="Bookman Old Style" w:hAnsi="Bookman Old Style" w:cs="Arial"/>
              </w:rPr>
              <w:t xml:space="preserve"> </w:t>
            </w:r>
            <w:r w:rsidRPr="007A6BDC">
              <w:rPr>
                <w:rFonts w:ascii="Bookman Old Style" w:hAnsi="Bookman Old Style" w:cs="Arial"/>
                <w:b/>
                <w:bCs/>
              </w:rPr>
              <w:t>-</w:t>
            </w:r>
            <w:r w:rsidRPr="009866A9">
              <w:rPr>
                <w:rFonts w:ascii="Bookman Old Style" w:hAnsi="Bookman Old Style" w:cs="Arial"/>
              </w:rPr>
              <w:t>1 es el dato más reciente.</w:t>
            </w:r>
          </w:p>
          <w:p w14:paraId="4971861F" w14:textId="77777777" w:rsidR="005F611D" w:rsidRPr="001A2CF8" w:rsidRDefault="005F611D" w:rsidP="005F611D">
            <w:pPr>
              <w:ind w:left="0"/>
              <w:jc w:val="both"/>
              <w:rPr>
                <w:rFonts w:ascii="Bookman Old Style" w:hAnsi="Bookman Old Style" w:cs="Arial"/>
                <w:highlight w:val="yellow"/>
              </w:rPr>
            </w:pPr>
          </w:p>
        </w:tc>
      </w:tr>
      <w:tr w:rsidR="000776BE" w:rsidRPr="00F340A2" w14:paraId="15033AA0" w14:textId="77777777" w:rsidTr="005F611D">
        <w:tc>
          <w:tcPr>
            <w:tcW w:w="1443" w:type="dxa"/>
          </w:tcPr>
          <w:p w14:paraId="7555445F" w14:textId="77777777" w:rsidR="000776BE" w:rsidRPr="00F340A2" w:rsidRDefault="000776BE" w:rsidP="00F67EAC">
            <w:pPr>
              <w:ind w:left="0"/>
              <w:rPr>
                <w:rFonts w:ascii="Bookman Old Style" w:hAnsi="Bookman Old Style"/>
                <w:b/>
                <w:iCs/>
                <w:color w:val="000000" w:themeColor="text1"/>
                <w:kern w:val="24"/>
              </w:rPr>
            </w:pPr>
            <m:oMathPara>
              <m:oMathParaPr>
                <m:jc m:val="left"/>
              </m:oMathParaPr>
              <m:oMath>
                <m:r>
                  <m:rPr>
                    <m:sty m:val="b"/>
                  </m:rPr>
                  <w:rPr>
                    <w:rFonts w:ascii="Cambria Math" w:hAnsi="Cambria Math"/>
                  </w:rPr>
                  <m:t>a</m:t>
                </m:r>
              </m:oMath>
            </m:oMathPara>
          </w:p>
        </w:tc>
        <w:tc>
          <w:tcPr>
            <w:tcW w:w="298" w:type="dxa"/>
          </w:tcPr>
          <w:p w14:paraId="632CF1FC" w14:textId="77777777" w:rsidR="000776BE" w:rsidRPr="00F340A2" w:rsidRDefault="000776BE" w:rsidP="00F67EAC">
            <w:pPr>
              <w:ind w:left="0"/>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23" w:type="dxa"/>
          </w:tcPr>
          <w:p w14:paraId="413B27C0" w14:textId="77777777" w:rsidR="00F76FDC" w:rsidRPr="00F340A2" w:rsidRDefault="00F76FDC" w:rsidP="00F76FD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Cada una de </w:t>
            </w:r>
            <w:r w:rsidRPr="00F340A2">
              <w:rPr>
                <w:rFonts w:ascii="Bookman Old Style" w:hAnsi="Bookman Old Style" w:cs="Arial"/>
              </w:rPr>
              <w:t xml:space="preserve">las actividades </w:t>
            </w:r>
            <w:r>
              <w:rPr>
                <w:rFonts w:ascii="Bookman Old Style" w:hAnsi="Bookman Old Style" w:cs="Arial"/>
              </w:rPr>
              <w:t xml:space="preserve">para las cuales esta </w:t>
            </w:r>
            <w:r w:rsidRPr="00DC3F2D">
              <w:rPr>
                <w:rFonts w:ascii="Bookman Old Style" w:hAnsi="Bookman Old Style" w:cs="Arial"/>
              </w:rPr>
              <w:t xml:space="preserve">Comisión </w:t>
            </w:r>
            <w:r>
              <w:rPr>
                <w:rFonts w:ascii="Bookman Old Style" w:hAnsi="Bookman Old Style" w:cs="Arial"/>
              </w:rPr>
              <w:t xml:space="preserve">expide </w:t>
            </w:r>
            <w:r w:rsidRPr="00DC3F2D">
              <w:rPr>
                <w:rFonts w:ascii="Bookman Old Style" w:hAnsi="Bookman Old Style" w:cs="Arial"/>
              </w:rPr>
              <w:t>metodologías tarifarias</w:t>
            </w:r>
            <w:r>
              <w:rPr>
                <w:rFonts w:ascii="Bookman Old Style" w:hAnsi="Bookman Old Style" w:cs="Arial"/>
              </w:rPr>
              <w:t>.</w:t>
            </w:r>
          </w:p>
          <w:p w14:paraId="600AAFB2" w14:textId="77777777" w:rsidR="0018073E" w:rsidRPr="00F340A2" w:rsidRDefault="0018073E" w:rsidP="00F67EAC">
            <w:pPr>
              <w:ind w:left="0"/>
              <w:rPr>
                <w:rFonts w:ascii="Bookman Old Style" w:hAnsi="Bookman Old Style" w:cs="Arial"/>
                <w:iCs/>
                <w:color w:val="000000" w:themeColor="text1"/>
                <w:kern w:val="24"/>
              </w:rPr>
            </w:pPr>
          </w:p>
        </w:tc>
      </w:tr>
      <w:tr w:rsidR="000776BE" w:rsidRPr="00F340A2" w14:paraId="2F32D227" w14:textId="77777777" w:rsidTr="00AF1E61">
        <w:tc>
          <w:tcPr>
            <w:tcW w:w="1443" w:type="dxa"/>
          </w:tcPr>
          <w:p w14:paraId="37ECC260" w14:textId="2A98EAAA" w:rsidR="000776BE" w:rsidRPr="00F340A2" w:rsidRDefault="000060D2" w:rsidP="00F67EAC">
            <w:pPr>
              <w:ind w:left="0"/>
              <w:rPr>
                <w:rFonts w:ascii="Bookman Old Style" w:hAnsi="Bookman Old Style"/>
                <w:b/>
                <w:lang w:val="es-ES_tradnl"/>
              </w:rPr>
            </w:pPr>
            <m:oMathPara>
              <m:oMathParaPr>
                <m:jc m:val="left"/>
              </m:oMathParaPr>
              <m:oMath>
                <m:r>
                  <m:rPr>
                    <m:sty m:val="b"/>
                  </m:rPr>
                  <w:rPr>
                    <w:rFonts w:ascii="Cambria Math" w:hAnsi="Cambria Math"/>
                  </w:rPr>
                  <m:t>τ</m:t>
                </m:r>
              </m:oMath>
            </m:oMathPara>
          </w:p>
        </w:tc>
        <w:tc>
          <w:tcPr>
            <w:tcW w:w="298" w:type="dxa"/>
          </w:tcPr>
          <w:p w14:paraId="10E9A3D6" w14:textId="77777777"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23" w:type="dxa"/>
            <w:shd w:val="clear" w:color="auto" w:fill="auto"/>
          </w:tcPr>
          <w:p w14:paraId="0172E11D" w14:textId="26187233" w:rsidR="000776BE" w:rsidRPr="00B5766B" w:rsidRDefault="00530F29" w:rsidP="00F67EAC">
            <w:pPr>
              <w:ind w:left="0"/>
              <w:jc w:val="both"/>
              <w:rPr>
                <w:rFonts w:ascii="Bookman Old Style" w:hAnsi="Bookman Old Style"/>
              </w:rPr>
            </w:pPr>
            <w:r w:rsidRPr="005E08CD">
              <w:rPr>
                <w:rFonts w:ascii="Bookman Old Style" w:hAnsi="Bookman Old Style" w:cs="Arial"/>
                <w:iCs/>
                <w:color w:val="000000" w:themeColor="text1"/>
                <w:kern w:val="24"/>
              </w:rPr>
              <w:t xml:space="preserve">Fecha que defina la CREG, en resolución aparte, para el cálculo de </w:t>
            </w:r>
            <w:r w:rsidR="00E42630">
              <w:rPr>
                <w:rFonts w:ascii="Bookman Old Style" w:hAnsi="Bookman Old Style" w:cs="Arial"/>
                <w:iCs/>
                <w:color w:val="000000" w:themeColor="text1"/>
                <w:kern w:val="24"/>
              </w:rPr>
              <w:t>l</w:t>
            </w:r>
            <w:r w:rsidRPr="005E08CD">
              <w:rPr>
                <w:rFonts w:ascii="Bookman Old Style" w:hAnsi="Bookman Old Style" w:cs="Arial"/>
                <w:iCs/>
                <w:color w:val="000000" w:themeColor="text1"/>
                <w:kern w:val="24"/>
              </w:rPr>
              <w:t>a tasa de descuento</w:t>
            </w:r>
            <w:r w:rsidR="00E42630">
              <w:rPr>
                <w:rFonts w:ascii="Bookman Old Style" w:hAnsi="Bookman Old Style" w:cs="Arial"/>
                <w:iCs/>
                <w:color w:val="000000" w:themeColor="text1"/>
                <w:kern w:val="24"/>
              </w:rPr>
              <w:t xml:space="preserve"> en dólares de una actividad</w:t>
            </w:r>
            <w:r w:rsidRPr="005E08CD">
              <w:rPr>
                <w:rFonts w:ascii="Bookman Old Style" w:hAnsi="Bookman Old Style" w:cs="Arial"/>
                <w:iCs/>
                <w:color w:val="000000" w:themeColor="text1"/>
                <w:kern w:val="24"/>
              </w:rPr>
              <w:t>.</w:t>
            </w:r>
          </w:p>
        </w:tc>
      </w:tr>
    </w:tbl>
    <w:p w14:paraId="11FD4DFC" w14:textId="77777777" w:rsidR="00086156" w:rsidRPr="00530F29" w:rsidRDefault="00086156" w:rsidP="00086156">
      <w:pPr>
        <w:ind w:left="0"/>
        <w:rPr>
          <w:rFonts w:ascii="Bookman Old Style" w:hAnsi="Bookman Old Style"/>
        </w:rPr>
      </w:pPr>
    </w:p>
    <w:p w14:paraId="42A882BA" w14:textId="77777777" w:rsidR="00B1564F" w:rsidRDefault="00B1564F" w:rsidP="00C80C99">
      <w:pPr>
        <w:pStyle w:val="Ttulo2"/>
        <w:numPr>
          <w:ilvl w:val="0"/>
          <w:numId w:val="0"/>
        </w:numPr>
        <w:spacing w:line="240" w:lineRule="auto"/>
        <w:rPr>
          <w:rFonts w:ascii="Bookman Old Style" w:hAnsi="Bookman Old Style" w:cs="Arial"/>
        </w:rPr>
      </w:pPr>
    </w:p>
    <w:p w14:paraId="4BB4F9FC" w14:textId="715E1DC2" w:rsidR="000776BE" w:rsidRPr="00F340A2" w:rsidRDefault="000776BE" w:rsidP="00C80C99">
      <w:pPr>
        <w:pStyle w:val="Ttulo2"/>
        <w:numPr>
          <w:ilvl w:val="0"/>
          <w:numId w:val="0"/>
        </w:numPr>
        <w:spacing w:line="240" w:lineRule="auto"/>
        <w:rPr>
          <w:rFonts w:ascii="Bookman Old Style" w:hAnsi="Bookman Old Style" w:cs="Arial"/>
        </w:rPr>
      </w:pPr>
      <w:r w:rsidRPr="00F340A2">
        <w:rPr>
          <w:rFonts w:ascii="Bookman Old Style" w:hAnsi="Bookman Old Style" w:cs="Arial"/>
        </w:rPr>
        <w:t xml:space="preserve">Parágrafo. </w:t>
      </w:r>
      <w:r w:rsidRPr="00D875B0">
        <w:rPr>
          <w:rFonts w:ascii="Bookman Old Style" w:hAnsi="Bookman Old Style" w:cs="Arial"/>
          <w:b w:val="0"/>
        </w:rPr>
        <w:t xml:space="preserve">El costo promedio ponderado de capital en dólares </w:t>
      </w:r>
      <w:r w:rsidR="00FF72B2" w:rsidRPr="00D875B0">
        <w:rPr>
          <w:rFonts w:ascii="Bookman Old Style" w:hAnsi="Bookman Old Style" w:cs="Arial"/>
          <w:b w:val="0"/>
        </w:rPr>
        <w:t xml:space="preserve">corrientes </w:t>
      </w:r>
      <w:r w:rsidRPr="00D875B0">
        <w:rPr>
          <w:rFonts w:ascii="Bookman Old Style" w:hAnsi="Bookman Old Style" w:cs="Arial"/>
          <w:b w:val="0"/>
        </w:rPr>
        <w:t xml:space="preserve">y </w:t>
      </w:r>
      <w:r w:rsidR="00FF72B2" w:rsidRPr="00D875B0">
        <w:rPr>
          <w:rFonts w:ascii="Bookman Old Style" w:hAnsi="Bookman Old Style" w:cs="Arial"/>
          <w:b w:val="0"/>
        </w:rPr>
        <w:t xml:space="preserve">antes </w:t>
      </w:r>
      <w:r w:rsidRPr="00D875B0">
        <w:rPr>
          <w:rFonts w:ascii="Bookman Old Style" w:hAnsi="Bookman Old Style" w:cs="Arial"/>
          <w:b w:val="0"/>
        </w:rPr>
        <w:t xml:space="preserve">de impuestos </w:t>
      </w:r>
      <w:r w:rsidR="00C06751" w:rsidRPr="00D875B0">
        <w:rPr>
          <w:rFonts w:ascii="Bookman Old Style" w:hAnsi="Bookman Old Style" w:cs="Arial"/>
          <w:b w:val="0"/>
        </w:rPr>
        <w:t xml:space="preserve">(ai) </w:t>
      </w:r>
      <w:r w:rsidRPr="00D875B0">
        <w:rPr>
          <w:rFonts w:ascii="Bookman Old Style" w:hAnsi="Bookman Old Style" w:cs="Arial"/>
          <w:b w:val="0"/>
        </w:rPr>
        <w:t xml:space="preserve">para la actividad a, en el momento </w:t>
      </w:r>
      <m:oMath>
        <m:r>
          <m:rPr>
            <m:sty m:val="b"/>
          </m:rPr>
          <w:rPr>
            <w:rFonts w:ascii="Cambria Math" w:eastAsia="Cambria Math" w:hAnsi="Cambria Math" w:cs="Arial"/>
            <w:color w:val="000000" w:themeColor="text1"/>
            <w:kern w:val="24"/>
          </w:rPr>
          <m:t>τ</m:t>
        </m:r>
      </m:oMath>
      <w:r w:rsidRPr="00D875B0">
        <w:rPr>
          <w:rFonts w:ascii="Bookman Old Style" w:hAnsi="Bookman Old Style" w:cs="Arial"/>
          <w:b w:val="0"/>
        </w:rPr>
        <w:t>, está dado por la siguiente expresión:</w:t>
      </w:r>
    </w:p>
    <w:p w14:paraId="7DF4326E" w14:textId="77777777" w:rsidR="00877865" w:rsidRPr="00B1564F" w:rsidRDefault="00877865" w:rsidP="000776BE">
      <w:pPr>
        <w:ind w:left="0"/>
        <w:contextualSpacing/>
        <w:jc w:val="both"/>
        <w:rPr>
          <w:rFonts w:ascii="Bookman Old Style" w:hAnsi="Bookman Old Style" w:cs="Arial"/>
          <w:sz w:val="28"/>
          <w:szCs w:val="28"/>
        </w:rPr>
      </w:pPr>
    </w:p>
    <w:p w14:paraId="51EA5E97" w14:textId="7A216EEE" w:rsidR="00877865" w:rsidRPr="00374957" w:rsidRDefault="00CD23BF" w:rsidP="000776BE">
      <w:pPr>
        <w:ind w:left="0"/>
        <w:contextualSpacing/>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WACC_usd</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Wd</m:t>
              </m:r>
            </m:e>
            <m:sub>
              <m:r>
                <m:rPr>
                  <m:sty m:val="p"/>
                </m:rPr>
                <w:rPr>
                  <w:rFonts w:ascii="Cambria Math" w:eastAsia="Cambria Math" w:hAnsi="Cambria Math" w:cs="Arial"/>
                  <w:color w:val="000000" w:themeColor="text1"/>
                  <w:kern w:val="24"/>
                </w:rPr>
                <m:t>a,τ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Kd_usd</m:t>
              </m:r>
            </m:e>
            <m:sub>
              <m:r>
                <m:rPr>
                  <m:sty m:val="p"/>
                </m:rPr>
                <w:rPr>
                  <w:rFonts w:ascii="Cambria Math" w:eastAsia="Cambria Math" w:hAnsi="Cambria Math" w:cs="Arial"/>
                  <w:color w:val="000000" w:themeColor="text1"/>
                  <w:kern w:val="24"/>
                </w:rPr>
                <m:t>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We</m:t>
              </m:r>
            </m:e>
            <m:sub>
              <m:r>
                <m:rPr>
                  <m:sty m:val="p"/>
                </m:rPr>
                <w:rPr>
                  <w:rFonts w:ascii="Cambria Math" w:eastAsia="Cambria Math" w:hAnsi="Cambria Math" w:cs="Arial"/>
                  <w:color w:val="000000" w:themeColor="text1"/>
                  <w:kern w:val="24"/>
                </w:rPr>
                <m:t>a,τ</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color w:val="000000" w:themeColor="text1"/>
                  <w:kern w:val="24"/>
                </w:rPr>
              </m:ctrlPr>
            </m:fPr>
            <m:num>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Ke_usd</m:t>
                  </m:r>
                </m:e>
                <m:sub>
                  <m:r>
                    <m:rPr>
                      <m:sty m:val="p"/>
                    </m:rPr>
                    <w:rPr>
                      <w:rFonts w:ascii="Cambria Math" w:eastAsia="Cambria Math" w:hAnsi="Cambria Math" w:cs="Arial"/>
                      <w:color w:val="000000" w:themeColor="text1"/>
                      <w:kern w:val="24"/>
                    </w:rPr>
                    <m:t>a,τ</m:t>
                  </m:r>
                </m:sub>
              </m:sSub>
            </m:num>
            <m:den>
              <m:r>
                <m:rPr>
                  <m:sty m:val="p"/>
                </m:rPr>
                <w:rPr>
                  <w:rFonts w:ascii="Cambria Math" w:eastAsia="Cambria Math" w:hAnsi="Cambria Math" w:cs="Arial"/>
                  <w:color w:val="000000" w:themeColor="text1"/>
                  <w:kern w:val="24"/>
                </w:rPr>
                <m:t>1-Tx</m:t>
              </m:r>
            </m:den>
          </m:f>
        </m:oMath>
      </m:oMathPara>
    </w:p>
    <w:p w14:paraId="34BEC7C7" w14:textId="77777777" w:rsidR="00877865" w:rsidRDefault="00877865" w:rsidP="000776BE">
      <w:pPr>
        <w:ind w:left="0"/>
        <w:contextualSpacing/>
        <w:jc w:val="both"/>
        <w:rPr>
          <w:rFonts w:ascii="Bookman Old Style" w:hAnsi="Bookman Old Style" w:cs="Arial"/>
        </w:rPr>
      </w:pPr>
    </w:p>
    <w:p w14:paraId="496B3077" w14:textId="4ACBFFC6" w:rsidR="000776BE" w:rsidRDefault="003C635E"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492AB640" w14:textId="77777777" w:rsidR="00B359F8" w:rsidRPr="00F340A2" w:rsidRDefault="00B359F8" w:rsidP="000776BE">
      <w:pPr>
        <w:ind w:left="0"/>
        <w:contextualSpacing/>
        <w:jc w:val="both"/>
        <w:rPr>
          <w:rFonts w:ascii="Bookman Old Style" w:hAnsi="Bookman Old Style" w:cs="Aria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35"/>
        <w:gridCol w:w="298"/>
        <w:gridCol w:w="7681"/>
      </w:tblGrid>
      <w:tr w:rsidR="000776BE" w:rsidRPr="00F340A2" w14:paraId="2A8421E3" w14:textId="77777777" w:rsidTr="00B359F8">
        <w:tc>
          <w:tcPr>
            <w:tcW w:w="1235" w:type="dxa"/>
          </w:tcPr>
          <w:p w14:paraId="4843721C" w14:textId="5551CF9D" w:rsidR="000776BE" w:rsidRPr="00F340A2" w:rsidRDefault="00CD23BF" w:rsidP="00F67EAC">
            <w:pPr>
              <w:ind w:left="0"/>
              <w:rPr>
                <w:rFonts w:ascii="Bookman Old Style" w:hAnsi="Bookman Old Style"/>
                <w:b/>
                <w:lang w:val="es-ES_tradnl"/>
              </w:rPr>
            </w:p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Kd_usd</m:t>
                  </m:r>
                </m:e>
                <m:sub>
                  <m:r>
                    <m:rPr>
                      <m:sty m:val="b"/>
                    </m:rPr>
                    <w:rPr>
                      <w:rFonts w:ascii="Cambria Math" w:eastAsia="Cambria Math" w:hAnsi="Cambria Math" w:cs="Arial"/>
                      <w:color w:val="000000" w:themeColor="text1"/>
                      <w:kern w:val="24"/>
                    </w:rPr>
                    <m:t>τ</m:t>
                  </m:r>
                </m:sub>
              </m:sSub>
            </m:oMath>
            <w:r w:rsidR="000776BE" w:rsidRPr="00F340A2">
              <w:rPr>
                <w:rFonts w:ascii="Bookman Old Style" w:hAnsi="Bookman Old Style"/>
                <w:b/>
                <w:iCs/>
                <w:color w:val="000000" w:themeColor="text1"/>
                <w:kern w:val="24"/>
              </w:rPr>
              <w:t xml:space="preserve"> </w:t>
            </w:r>
          </w:p>
        </w:tc>
        <w:tc>
          <w:tcPr>
            <w:tcW w:w="298" w:type="dxa"/>
          </w:tcPr>
          <w:p w14:paraId="5E7D8179"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681" w:type="dxa"/>
            <w:vAlign w:val="center"/>
          </w:tcPr>
          <w:p w14:paraId="0FDCEEFA" w14:textId="4B09D94B" w:rsidR="000776BE" w:rsidRPr="00F340A2" w:rsidRDefault="000776BE" w:rsidP="00F67EAC">
            <w:pPr>
              <w:ind w:left="0"/>
              <w:jc w:val="both"/>
              <w:rPr>
                <w:rFonts w:ascii="Bookman Old Style" w:hAnsi="Bookman Old Style" w:cs="Arial"/>
              </w:rPr>
            </w:pPr>
            <w:r w:rsidRPr="00F340A2">
              <w:rPr>
                <w:rFonts w:ascii="Bookman Old Style" w:hAnsi="Bookman Old Style" w:cs="Arial"/>
              </w:rPr>
              <w:t>Costo de la deuda en dólares</w:t>
            </w:r>
            <w:r w:rsidR="0017533D">
              <w:rPr>
                <w:rFonts w:ascii="Bookman Old Style" w:hAnsi="Bookman Old Style" w:cs="Arial"/>
              </w:rPr>
              <w:t xml:space="preserve"> corrientes</w:t>
            </w:r>
            <w:r w:rsidRPr="00F340A2">
              <w:rPr>
                <w:rFonts w:ascii="Bookman Old Style" w:hAnsi="Bookman Old Style" w:cs="Arial"/>
              </w:rPr>
              <w:t>, equivalente al costo de la deuda en pesos</w:t>
            </w:r>
            <w:r w:rsidRPr="00F340A2">
              <w:t xml:space="preserve"> </w:t>
            </w:r>
            <w:r w:rsidR="0017533D" w:rsidRPr="00691B6D">
              <w:rPr>
                <w:rFonts w:ascii="Bookman Old Style" w:hAnsi="Bookman Old Style" w:cs="Arial"/>
              </w:rPr>
              <w:t xml:space="preserve">corrientes </w:t>
            </w:r>
            <w:r w:rsidRPr="00F340A2">
              <w:rPr>
                <w:rFonts w:ascii="Bookman Old Style" w:hAnsi="Bookman Old Style" w:cs="Arial"/>
              </w:rPr>
              <w:t xml:space="preserve">en el momento </w:t>
            </w:r>
            <m:oMath>
              <m:r>
                <m:rPr>
                  <m:sty m:val="p"/>
                </m:rPr>
                <w:rPr>
                  <w:rFonts w:ascii="Cambria Math" w:eastAsia="Cambria Math" w:hAnsi="Cambria Math" w:cstheme="minorBidi"/>
                  <w:color w:val="000000" w:themeColor="text1"/>
                  <w:kern w:val="24"/>
                </w:rPr>
                <m:t>τ</m:t>
              </m:r>
            </m:oMath>
            <w:r w:rsidRPr="00F340A2">
              <w:rPr>
                <w:rFonts w:ascii="Bookman Old Style" w:hAnsi="Bookman Old Style" w:cs="Arial"/>
              </w:rPr>
              <w:t>. Su valor está dado por la siguiente expresión:</w:t>
            </w:r>
          </w:p>
          <w:p w14:paraId="29C8B581" w14:textId="77777777" w:rsidR="000776BE" w:rsidRPr="00B1564F" w:rsidRDefault="000776BE" w:rsidP="00F67EAC">
            <w:pPr>
              <w:ind w:left="0"/>
              <w:jc w:val="both"/>
              <w:rPr>
                <w:rFonts w:ascii="Bookman Old Style" w:hAnsi="Bookman Old Style" w:cs="Arial"/>
                <w:sz w:val="28"/>
                <w:szCs w:val="28"/>
              </w:rPr>
            </w:pPr>
          </w:p>
          <w:p w14:paraId="13E7D0AF" w14:textId="5FA2E548" w:rsidR="000776BE" w:rsidRPr="00F340A2" w:rsidRDefault="00CD23BF" w:rsidP="00F67EAC">
            <w:pPr>
              <w:ind w:left="0"/>
              <w:jc w:val="both"/>
              <w:rPr>
                <w:rFonts w:ascii="Bookman Old Style" w:hAnsi="Bookman Old Style" w:cs="Arial"/>
              </w:rPr>
            </w:pPr>
            <m:oMathPara>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Kd_usd</m:t>
                    </m:r>
                  </m:e>
                  <m:sub>
                    <m:r>
                      <m:rPr>
                        <m:sty m:val="p"/>
                      </m:rPr>
                      <w:rPr>
                        <w:rFonts w:ascii="Cambria Math" w:eastAsia="Cambria Math" w:hAnsi="Cambria Math" w:cs="Arial"/>
                        <w:color w:val="000000" w:themeColor="text1"/>
                        <w:kern w:val="24"/>
                      </w:rPr>
                      <m:t>τ</m:t>
                    </m:r>
                  </m:sub>
                </m:sSub>
                <m:r>
                  <m:rPr>
                    <m:sty m:val="p"/>
                  </m:rPr>
                  <w:rPr>
                    <w:rFonts w:ascii="Cambria Math" w:eastAsia="Cambria Math" w:hAnsi="Cambria Math" w:cs="Arial"/>
                    <w:color w:val="000000" w:themeColor="text1"/>
                    <w:kern w:val="24"/>
                  </w:rPr>
                  <m:t>=</m:t>
                </m:r>
                <m:d>
                  <m:dPr>
                    <m:ctrlPr>
                      <w:rPr>
                        <w:rFonts w:ascii="Cambria Math" w:eastAsia="Cambria Math" w:hAnsi="Cambria Math" w:cs="Arial"/>
                        <w:color w:val="000000" w:themeColor="text1"/>
                        <w:kern w:val="24"/>
                      </w:rPr>
                    </m:ctrlPr>
                  </m:dPr>
                  <m:e>
                    <m:f>
                      <m:fPr>
                        <m:ctrlPr>
                          <w:rPr>
                            <w:rFonts w:ascii="Cambria Math" w:eastAsia="Cambria Math" w:hAnsi="Cambria Math" w:cs="Arial"/>
                            <w:i/>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Kd_cop</m:t>
                            </m:r>
                          </m:e>
                          <m:sub>
                            <m:r>
                              <m:rPr>
                                <m:sty m:val="p"/>
                              </m:rPr>
                              <w:rPr>
                                <w:rFonts w:ascii="Cambria Math" w:eastAsia="Cambria Math" w:hAnsi="Cambria Math" w:cs="Arial"/>
                                <w:color w:val="000000" w:themeColor="text1"/>
                                <w:kern w:val="24"/>
                              </w:rPr>
                              <m:t>τ</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den>
                    </m:f>
                  </m:e>
                </m:d>
                <m:r>
                  <m:rPr>
                    <m:sty m:val="p"/>
                  </m:rPr>
                  <w:rPr>
                    <w:rFonts w:ascii="Cambria Math" w:eastAsiaTheme="minorEastAsia" w:hAnsi="Cambria Math" w:cs="Arial"/>
                    <w:color w:val="000000" w:themeColor="text1"/>
                    <w:kern w:val="24"/>
                  </w:rPr>
                  <m:t>-1</m:t>
                </m:r>
              </m:oMath>
            </m:oMathPara>
          </w:p>
          <w:p w14:paraId="3F3D939B" w14:textId="77777777" w:rsidR="000776BE" w:rsidRPr="00F340A2" w:rsidRDefault="000776BE" w:rsidP="00F67EAC">
            <w:pPr>
              <w:ind w:left="0"/>
              <w:jc w:val="both"/>
              <w:rPr>
                <w:rFonts w:ascii="Bookman Old Style" w:hAnsi="Bookman Old Style" w:cs="Arial"/>
              </w:rPr>
            </w:pPr>
          </w:p>
          <w:p w14:paraId="38546678" w14:textId="076FF80E" w:rsidR="000776BE" w:rsidRPr="00F340A2" w:rsidRDefault="00637E55" w:rsidP="00F67EAC">
            <w:pPr>
              <w:ind w:left="0"/>
              <w:jc w:val="both"/>
              <w:rPr>
                <w:rFonts w:ascii="Bookman Old Style" w:hAnsi="Bookman Old Style" w:cs="Arial"/>
                <w:color w:val="000000" w:themeColor="text1"/>
                <w:kern w:val="24"/>
              </w:rPr>
            </w:pPr>
            <w:r>
              <w:rPr>
                <w:rFonts w:ascii="Bookman Old Style" w:hAnsi="Bookman Old Style" w:cs="Arial"/>
              </w:rPr>
              <w:t xml:space="preserve">Los </w:t>
            </w:r>
            <w:r w:rsidR="006801D9">
              <w:rPr>
                <w:rFonts w:ascii="Bookman Old Style" w:hAnsi="Bookman Old Style" w:cs="Arial"/>
              </w:rPr>
              <w:t>v</w:t>
            </w:r>
            <w:r w:rsidR="000776BE" w:rsidRPr="00F340A2">
              <w:rPr>
                <w:rFonts w:ascii="Bookman Old Style" w:hAnsi="Bookman Old Style" w:cs="Arial"/>
              </w:rPr>
              <w:t>alor</w:t>
            </w:r>
            <w:r>
              <w:rPr>
                <w:rFonts w:ascii="Bookman Old Style" w:hAnsi="Bookman Old Style" w:cs="Arial"/>
              </w:rPr>
              <w:t>es</w:t>
            </w:r>
            <w:r w:rsidR="000776BE" w:rsidRPr="00F340A2">
              <w:rPr>
                <w:rFonts w:ascii="Bookman Old Style" w:hAnsi="Bookman Old Style" w:cs="Arial"/>
              </w:rPr>
              <w:t xml:space="preserve"> de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Kd_cop</m:t>
                  </m:r>
                </m:e>
                <m:sub>
                  <m:r>
                    <m:rPr>
                      <m:sty m:val="p"/>
                    </m:rPr>
                    <w:rPr>
                      <w:rFonts w:ascii="Cambria Math" w:eastAsia="Cambria Math" w:hAnsi="Cambria Math" w:cs="Arial"/>
                      <w:color w:val="000000" w:themeColor="text1"/>
                      <w:kern w:val="24"/>
                    </w:rPr>
                    <m:t>τ</m:t>
                  </m:r>
                </m:sub>
              </m:sSub>
            </m:oMath>
            <w:r w:rsidR="000776BE" w:rsidRPr="00F340A2">
              <w:rPr>
                <w:rFonts w:ascii="Bookman Old Style" w:hAnsi="Bookman Old Style" w:cs="Arial"/>
                <w:iCs/>
                <w:color w:val="000000" w:themeColor="text1"/>
                <w:kern w:val="24"/>
              </w:rPr>
              <w:t xml:space="preserve"> </w:t>
            </w:r>
            <w:r w:rsidR="000D3CF4">
              <w:rPr>
                <w:rFonts w:ascii="Bookman Old Style" w:hAnsi="Bookman Old Style" w:cs="Arial"/>
                <w:iCs/>
                <w:color w:val="000000" w:themeColor="text1"/>
                <w:kern w:val="24"/>
              </w:rPr>
              <w:t xml:space="preserve">y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oMath>
            <w:r w:rsidR="000D3CF4">
              <w:rPr>
                <w:rFonts w:ascii="Bookman Old Style" w:hAnsi="Bookman Old Style" w:cs="Arial"/>
                <w:iCs/>
                <w:color w:val="000000" w:themeColor="text1"/>
                <w:kern w:val="24"/>
              </w:rPr>
              <w:t xml:space="preserve"> </w:t>
            </w:r>
            <w:r w:rsidR="000776BE" w:rsidRPr="00F340A2">
              <w:rPr>
                <w:rFonts w:ascii="Bookman Old Style" w:hAnsi="Bookman Old Style" w:cs="Arial"/>
                <w:color w:val="000000" w:themeColor="text1"/>
                <w:kern w:val="24"/>
              </w:rPr>
              <w:t>se obtiene</w:t>
            </w:r>
            <w:r w:rsidR="000D3CF4">
              <w:rPr>
                <w:rFonts w:ascii="Bookman Old Style" w:hAnsi="Bookman Old Style" w:cs="Arial"/>
                <w:color w:val="000000" w:themeColor="text1"/>
                <w:kern w:val="24"/>
              </w:rPr>
              <w:t>n</w:t>
            </w:r>
            <w:r w:rsidR="000776BE" w:rsidRPr="00F340A2">
              <w:rPr>
                <w:rFonts w:ascii="Bookman Old Style" w:hAnsi="Bookman Old Style" w:cs="Arial"/>
                <w:color w:val="000000" w:themeColor="text1"/>
                <w:kern w:val="24"/>
              </w:rPr>
              <w:t xml:space="preserve"> bajo el método de cálculo descrito en el artículo </w:t>
            </w:r>
            <w:r w:rsidR="005B50FE">
              <w:rPr>
                <w:rFonts w:ascii="Bookman Old Style" w:hAnsi="Bookman Old Style" w:cs="Arial"/>
                <w:color w:val="000000" w:themeColor="text1"/>
                <w:kern w:val="24"/>
              </w:rPr>
              <w:t>2</w:t>
            </w:r>
            <w:r w:rsidR="005B50FE" w:rsidRPr="00F340A2">
              <w:rPr>
                <w:rFonts w:ascii="Bookman Old Style" w:hAnsi="Bookman Old Style" w:cs="Arial"/>
                <w:color w:val="000000" w:themeColor="text1"/>
                <w:kern w:val="24"/>
              </w:rPr>
              <w:t xml:space="preserve"> </w:t>
            </w:r>
            <w:r w:rsidR="000776BE" w:rsidRPr="00F340A2">
              <w:rPr>
                <w:rFonts w:ascii="Bookman Old Style" w:hAnsi="Bookman Old Style" w:cs="Arial"/>
                <w:color w:val="000000" w:themeColor="text1"/>
                <w:kern w:val="24"/>
              </w:rPr>
              <w:t>de esta resolución.</w:t>
            </w:r>
          </w:p>
          <w:p w14:paraId="18EBD62C" w14:textId="77777777" w:rsidR="000776BE" w:rsidRPr="00F340A2" w:rsidRDefault="000776BE" w:rsidP="00F67EAC">
            <w:pPr>
              <w:ind w:left="0"/>
              <w:jc w:val="both"/>
              <w:rPr>
                <w:rFonts w:ascii="Bookman Old Style" w:hAnsi="Bookman Old Style"/>
                <w:lang w:val="es-ES_tradnl"/>
              </w:rPr>
            </w:pPr>
          </w:p>
        </w:tc>
      </w:tr>
      <w:tr w:rsidR="000776BE" w:rsidRPr="00F340A2" w14:paraId="46FE527D" w14:textId="77777777" w:rsidTr="00B359F8">
        <w:tc>
          <w:tcPr>
            <w:tcW w:w="1235" w:type="dxa"/>
          </w:tcPr>
          <w:p w14:paraId="2A14DB61" w14:textId="63EA3C3F" w:rsidR="000776BE" w:rsidRPr="00F340A2" w:rsidRDefault="00CD23BF" w:rsidP="00F67EAC">
            <w:pPr>
              <w:ind w:left="0"/>
              <w:rPr>
                <w:rFonts w:ascii="Bookman Old Style" w:hAnsi="Bookman Old Style"/>
                <w:b/>
                <w:lang w:val="es-ES_tradnl"/>
              </w:rPr>
            </w:pPr>
            <m:oMathPara>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Ke_usd</m:t>
                    </m:r>
                  </m:e>
                  <m:sub>
                    <m:r>
                      <m:rPr>
                        <m:sty m:val="b"/>
                      </m:rPr>
                      <w:rPr>
                        <w:rFonts w:ascii="Cambria Math" w:eastAsia="Cambria Math" w:hAnsi="Cambria Math" w:cs="Arial"/>
                        <w:color w:val="000000" w:themeColor="text1"/>
                        <w:kern w:val="24"/>
                      </w:rPr>
                      <m:t>a,τ</m:t>
                    </m:r>
                  </m:sub>
                </m:sSub>
              </m:oMath>
            </m:oMathPara>
          </w:p>
        </w:tc>
        <w:tc>
          <w:tcPr>
            <w:tcW w:w="298" w:type="dxa"/>
          </w:tcPr>
          <w:p w14:paraId="7D30F0E0"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681" w:type="dxa"/>
            <w:vAlign w:val="center"/>
          </w:tcPr>
          <w:p w14:paraId="5995BD01" w14:textId="4E72C7AF"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Costo del capital propio </w:t>
            </w:r>
            <w:r w:rsidR="00E42630">
              <w:rPr>
                <w:rFonts w:ascii="Bookman Old Style" w:hAnsi="Bookman Old Style" w:cs="Arial"/>
              </w:rPr>
              <w:t xml:space="preserve">calculado </w:t>
            </w:r>
            <w:r w:rsidRPr="00F340A2">
              <w:rPr>
                <w:rFonts w:ascii="Bookman Old Style" w:hAnsi="Bookman Old Style" w:cs="Arial"/>
              </w:rPr>
              <w:t>en dólares</w:t>
            </w:r>
            <w:r w:rsidR="00AA4B34">
              <w:rPr>
                <w:rFonts w:ascii="Bookman Old Style" w:hAnsi="Bookman Old Style" w:cs="Arial"/>
              </w:rPr>
              <w:t xml:space="preserve"> corrientes</w:t>
            </w:r>
            <w:r w:rsidRPr="00F340A2">
              <w:rPr>
                <w:rFonts w:ascii="Bookman Old Style" w:hAnsi="Bookman Old Style" w:cs="Arial"/>
              </w:rPr>
              <w:t xml:space="preserve">,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 xml:space="preserve">. El valor de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Ke_usd</m:t>
                  </m:r>
                </m:e>
                <m:sub>
                  <m:r>
                    <m:rPr>
                      <m:sty m:val="p"/>
                    </m:rPr>
                    <w:rPr>
                      <w:rFonts w:ascii="Cambria Math" w:eastAsia="Cambria Math" w:hAnsi="Cambria Math" w:cs="Arial"/>
                      <w:color w:val="000000" w:themeColor="text1"/>
                      <w:kern w:val="24"/>
                    </w:rPr>
                    <m:t>a,τ</m:t>
                  </m:r>
                </m:sub>
              </m:sSub>
            </m:oMath>
            <w:r w:rsidRPr="00F340A2">
              <w:rPr>
                <w:rFonts w:ascii="Bookman Old Style" w:hAnsi="Bookman Old Style" w:cs="Arial"/>
              </w:rPr>
              <w:t xml:space="preserve"> </w:t>
            </w:r>
            <w:r w:rsidRPr="00F340A2">
              <w:rPr>
                <w:rFonts w:ascii="Bookman Old Style" w:hAnsi="Bookman Old Style" w:cs="Arial"/>
                <w:color w:val="000000" w:themeColor="text1"/>
                <w:kern w:val="24"/>
              </w:rPr>
              <w:t xml:space="preserve">se obtiene bajo el método de cálculo descrito en el artículo </w:t>
            </w:r>
            <w:r w:rsidR="00C71FD6">
              <w:rPr>
                <w:rFonts w:ascii="Bookman Old Style" w:hAnsi="Bookman Old Style" w:cs="Arial"/>
                <w:color w:val="000000" w:themeColor="text1"/>
                <w:kern w:val="24"/>
              </w:rPr>
              <w:t>2</w:t>
            </w:r>
            <w:r w:rsidR="00C71FD6" w:rsidRPr="00F340A2">
              <w:rPr>
                <w:rFonts w:ascii="Bookman Old Style" w:hAnsi="Bookman Old Style" w:cs="Arial"/>
                <w:color w:val="000000" w:themeColor="text1"/>
                <w:kern w:val="24"/>
              </w:rPr>
              <w:t xml:space="preserve"> </w:t>
            </w:r>
            <w:r w:rsidRPr="00F340A2">
              <w:rPr>
                <w:rFonts w:ascii="Bookman Old Style" w:hAnsi="Bookman Old Style" w:cs="Arial"/>
                <w:color w:val="000000" w:themeColor="text1"/>
                <w:kern w:val="24"/>
              </w:rPr>
              <w:t>de esta resolución</w:t>
            </w:r>
            <w:r w:rsidRPr="00F340A2">
              <w:rPr>
                <w:rFonts w:ascii="Bookman Old Style" w:hAnsi="Bookman Old Style" w:cs="Arial"/>
              </w:rPr>
              <w:t>.</w:t>
            </w:r>
          </w:p>
          <w:p w14:paraId="6080C479" w14:textId="77777777" w:rsidR="000776BE" w:rsidRPr="00F340A2" w:rsidRDefault="000776BE" w:rsidP="00F67EAC">
            <w:pPr>
              <w:ind w:left="0"/>
              <w:jc w:val="both"/>
              <w:rPr>
                <w:rFonts w:ascii="Bookman Old Style" w:hAnsi="Bookman Old Style"/>
                <w:lang w:val="es-ES_tradnl"/>
              </w:rPr>
            </w:pPr>
          </w:p>
        </w:tc>
      </w:tr>
      <w:tr w:rsidR="00374957" w:rsidRPr="00F340A2" w14:paraId="2F5E90C0" w14:textId="77777777" w:rsidTr="00B359F8">
        <w:tc>
          <w:tcPr>
            <w:tcW w:w="1235" w:type="dxa"/>
          </w:tcPr>
          <w:p w14:paraId="237B8BB1" w14:textId="6B193483" w:rsidR="00374957" w:rsidRPr="00374957" w:rsidRDefault="00374957" w:rsidP="00374957">
            <w:pPr>
              <w:ind w:left="0"/>
              <w:rPr>
                <w:b/>
                <w:iCs/>
                <w:color w:val="000000" w:themeColor="text1"/>
                <w:kern w:val="24"/>
              </w:rPr>
            </w:pPr>
            <m:oMathPara>
              <m:oMathParaPr>
                <m:jc m:val="left"/>
              </m:oMathParaPr>
              <m:oMath>
                <m:r>
                  <m:rPr>
                    <m:sty m:val="b"/>
                  </m:rPr>
                  <w:rPr>
                    <w:rFonts w:ascii="Cambria Math" w:eastAsia="Cambria Math" w:hAnsi="Cambria Math" w:cs="Arial"/>
                    <w:color w:val="000000" w:themeColor="text1"/>
                    <w:kern w:val="24"/>
                  </w:rPr>
                  <m:t>Tx</m:t>
                </m:r>
              </m:oMath>
            </m:oMathPara>
          </w:p>
        </w:tc>
        <w:tc>
          <w:tcPr>
            <w:tcW w:w="298" w:type="dxa"/>
          </w:tcPr>
          <w:p w14:paraId="55AAC091" w14:textId="69124C44" w:rsidR="00374957" w:rsidRPr="00F340A2" w:rsidRDefault="00374957" w:rsidP="00374957">
            <w:pPr>
              <w:ind w:left="0"/>
              <w:rPr>
                <w:rFonts w:ascii="Bookman Old Style" w:hAnsi="Bookman Old Style" w:cs="Arial"/>
                <w:b/>
              </w:rPr>
            </w:pPr>
            <w:r>
              <w:rPr>
                <w:rFonts w:ascii="Bookman Old Style" w:hAnsi="Bookman Old Style"/>
                <w:b/>
                <w:lang w:val="es-ES_tradnl"/>
              </w:rPr>
              <w:t>:</w:t>
            </w:r>
          </w:p>
        </w:tc>
        <w:tc>
          <w:tcPr>
            <w:tcW w:w="7681" w:type="dxa"/>
          </w:tcPr>
          <w:p w14:paraId="12AA6E85" w14:textId="307C48A5" w:rsidR="0017533D" w:rsidRPr="00F340A2" w:rsidRDefault="00D2174E" w:rsidP="00374957">
            <w:pPr>
              <w:ind w:left="0"/>
              <w:jc w:val="both"/>
              <w:rPr>
                <w:rFonts w:ascii="Bookman Old Style" w:hAnsi="Bookman Old Style" w:cs="Arial"/>
              </w:rPr>
            </w:pPr>
            <w:r w:rsidRPr="002D6AD3">
              <w:rPr>
                <w:rFonts w:ascii="Bookman Old Style" w:hAnsi="Bookman Old Style" w:cs="Arial"/>
              </w:rPr>
              <w:t xml:space="preserve">Tarifa general del impuesto sobre la renta de las personas jurídicas, vigente al momento </w:t>
            </w:r>
            <m:oMath>
              <m:r>
                <m:rPr>
                  <m:sty m:val="p"/>
                </m:rPr>
                <w:rPr>
                  <w:rFonts w:ascii="Cambria Math" w:eastAsia="Cambria Math" w:hAnsi="Cambria Math" w:cstheme="minorBidi"/>
                  <w:color w:val="000000" w:themeColor="text1"/>
                  <w:kern w:val="24"/>
                </w:rPr>
                <m:t>τ</m:t>
              </m:r>
            </m:oMath>
            <w:r w:rsidRPr="002D6AD3" w:rsidDel="00FC1120">
              <w:rPr>
                <w:rFonts w:ascii="Bookman Old Style" w:hAnsi="Bookman Old Style" w:cs="Arial"/>
              </w:rPr>
              <w:t>.</w:t>
            </w:r>
          </w:p>
        </w:tc>
      </w:tr>
    </w:tbl>
    <w:p w14:paraId="41EC0135" w14:textId="77777777" w:rsidR="006A348D" w:rsidRPr="00B1564F" w:rsidRDefault="006A348D" w:rsidP="000776BE">
      <w:pPr>
        <w:ind w:left="0"/>
        <w:jc w:val="both"/>
        <w:rPr>
          <w:rFonts w:ascii="Bookman Old Style" w:hAnsi="Bookman Old Style" w:cs="Arial"/>
          <w:sz w:val="40"/>
          <w:szCs w:val="40"/>
        </w:rPr>
      </w:pPr>
    </w:p>
    <w:p w14:paraId="2F826F05" w14:textId="5BF78690" w:rsidR="00347F39" w:rsidRPr="00133575" w:rsidRDefault="000776BE" w:rsidP="00133575">
      <w:pPr>
        <w:pStyle w:val="Ttulo1"/>
        <w:ind w:left="0"/>
        <w:jc w:val="both"/>
        <w:rPr>
          <w:rFonts w:ascii="Bookman Old Style" w:hAnsi="Bookman Old Style" w:cs="Arial"/>
          <w:b w:val="0"/>
          <w:bCs/>
        </w:rPr>
      </w:pPr>
      <w:r w:rsidRPr="00F340A2">
        <w:rPr>
          <w:rFonts w:ascii="Bookman Old Style" w:hAnsi="Bookman Old Style" w:cs="Arial"/>
        </w:rPr>
        <w:t xml:space="preserve">ARTÍCULO </w:t>
      </w:r>
      <w:r w:rsidR="00C71FD6">
        <w:rPr>
          <w:rFonts w:ascii="Bookman Old Style" w:hAnsi="Bookman Old Style" w:cs="Arial"/>
        </w:rPr>
        <w:t>4</w:t>
      </w:r>
      <w:r w:rsidRPr="00F340A2">
        <w:rPr>
          <w:rFonts w:ascii="Bookman Old Style" w:hAnsi="Bookman Old Style" w:cs="Arial"/>
        </w:rPr>
        <w:t>. Valor de la tasa de descuento</w:t>
      </w:r>
      <w:r w:rsidR="00347F39" w:rsidRPr="00347F39">
        <w:rPr>
          <w:rFonts w:ascii="Bookman Old Style" w:hAnsi="Bookman Old Style" w:cs="Arial"/>
        </w:rPr>
        <w:t>.</w:t>
      </w:r>
      <w:r w:rsidR="00347F39" w:rsidRPr="00133575">
        <w:rPr>
          <w:rFonts w:ascii="Bookman Old Style" w:hAnsi="Bookman Old Style" w:cs="Arial"/>
          <w:b w:val="0"/>
          <w:bCs/>
        </w:rPr>
        <w:t xml:space="preserve"> Los valores de las tasas de descuento para cada actividad serán definidos por la CREG en resoluciones aparte. Los valores se calcularán y publicarán para cada metodología de cálculo de cargos que defina la CREG para el correspondiente p</w:t>
      </w:r>
      <w:r w:rsidR="001C6329">
        <w:rPr>
          <w:rFonts w:ascii="Bookman Old Style" w:hAnsi="Bookman Old Style" w:cs="Arial"/>
          <w:b w:val="0"/>
          <w:bCs/>
        </w:rPr>
        <w:t>eríodo</w:t>
      </w:r>
      <w:r w:rsidR="00347F39" w:rsidRPr="00133575">
        <w:rPr>
          <w:rFonts w:ascii="Bookman Old Style" w:hAnsi="Bookman Old Style" w:cs="Arial"/>
          <w:b w:val="0"/>
          <w:bCs/>
        </w:rPr>
        <w:t xml:space="preserve"> tarifario.</w:t>
      </w:r>
    </w:p>
    <w:p w14:paraId="492A12D3" w14:textId="77777777" w:rsidR="00E74E76" w:rsidRPr="00133575" w:rsidRDefault="00E74E76" w:rsidP="00347F39">
      <w:pPr>
        <w:ind w:left="0"/>
        <w:jc w:val="both"/>
        <w:rPr>
          <w:rFonts w:ascii="Bookman Old Style" w:hAnsi="Bookman Old Style" w:cs="Arial"/>
          <w:bCs/>
        </w:rPr>
      </w:pPr>
    </w:p>
    <w:p w14:paraId="09963860" w14:textId="1D3BAA89" w:rsidR="00347F39" w:rsidRDefault="00347F39" w:rsidP="00DF4FC4">
      <w:pPr>
        <w:ind w:left="0"/>
        <w:jc w:val="both"/>
        <w:rPr>
          <w:rFonts w:ascii="Bookman Old Style" w:hAnsi="Bookman Old Style" w:cs="Arial"/>
        </w:rPr>
      </w:pPr>
      <w:r w:rsidRPr="00247205">
        <w:rPr>
          <w:rFonts w:ascii="Bookman Old Style" w:hAnsi="Bookman Old Style" w:cs="Arial"/>
          <w:b/>
        </w:rPr>
        <w:t>Parágrafo</w:t>
      </w:r>
      <w:r w:rsidR="00247205">
        <w:rPr>
          <w:rFonts w:ascii="Bookman Old Style" w:hAnsi="Bookman Old Style" w:cs="Arial"/>
          <w:b/>
          <w:bCs/>
        </w:rPr>
        <w:t>.</w:t>
      </w:r>
      <w:r w:rsidRPr="00133575">
        <w:rPr>
          <w:rFonts w:ascii="Bookman Old Style" w:hAnsi="Bookman Old Style" w:cs="Arial"/>
        </w:rPr>
        <w:t xml:space="preserve"> </w:t>
      </w:r>
      <w:r w:rsidR="00A46DAA" w:rsidRPr="00133575">
        <w:rPr>
          <w:rFonts w:ascii="Bookman Old Style" w:hAnsi="Bookman Old Style" w:cs="Arial"/>
        </w:rPr>
        <w:t>Cua</w:t>
      </w:r>
      <w:r w:rsidR="00665CDE" w:rsidRPr="00133575">
        <w:rPr>
          <w:rFonts w:ascii="Bookman Old Style" w:hAnsi="Bookman Old Style" w:cs="Arial"/>
        </w:rPr>
        <w:t>n</w:t>
      </w:r>
      <w:r w:rsidR="00A46DAA" w:rsidRPr="00133575">
        <w:rPr>
          <w:rFonts w:ascii="Bookman Old Style" w:hAnsi="Bookman Old Style" w:cs="Arial"/>
        </w:rPr>
        <w:t xml:space="preserve">do </w:t>
      </w:r>
      <w:r w:rsidR="004B41FB" w:rsidRPr="00133575">
        <w:rPr>
          <w:rFonts w:ascii="Bookman Old Style" w:hAnsi="Bookman Old Style" w:cs="Arial"/>
        </w:rPr>
        <w:t xml:space="preserve">la </w:t>
      </w:r>
      <w:r w:rsidR="005046CB">
        <w:rPr>
          <w:rFonts w:ascii="Bookman Old Style" w:hAnsi="Bookman Old Style" w:cs="Arial"/>
        </w:rPr>
        <w:t>tarifa</w:t>
      </w:r>
      <w:r w:rsidR="004B41FB" w:rsidRPr="00133575">
        <w:rPr>
          <w:rFonts w:ascii="Bookman Old Style" w:hAnsi="Bookman Old Style" w:cs="Arial"/>
        </w:rPr>
        <w:t xml:space="preserve"> Tx</w:t>
      </w:r>
      <w:r w:rsidR="009E4A0D">
        <w:rPr>
          <w:rFonts w:ascii="Bookman Old Style" w:hAnsi="Bookman Old Style" w:cs="Arial"/>
        </w:rPr>
        <w:t>,</w:t>
      </w:r>
      <w:r w:rsidR="004B41FB" w:rsidRPr="00133575">
        <w:rPr>
          <w:rFonts w:ascii="Bookman Old Style" w:hAnsi="Bookman Old Style" w:cs="Arial"/>
        </w:rPr>
        <w:t xml:space="preserve"> aplicable a </w:t>
      </w:r>
      <w:r w:rsidR="002C73CA" w:rsidRPr="00133575">
        <w:rPr>
          <w:rFonts w:ascii="Bookman Old Style" w:hAnsi="Bookman Old Style" w:cs="Arial"/>
        </w:rPr>
        <w:t xml:space="preserve">una </w:t>
      </w:r>
      <w:r w:rsidR="004B41FB" w:rsidRPr="00133575">
        <w:rPr>
          <w:rFonts w:ascii="Bookman Old Style" w:hAnsi="Bookman Old Style" w:cs="Arial"/>
        </w:rPr>
        <w:t>vigencia fiscal</w:t>
      </w:r>
      <w:r w:rsidR="009E4A0D">
        <w:rPr>
          <w:rFonts w:ascii="Bookman Old Style" w:hAnsi="Bookman Old Style" w:cs="Arial"/>
        </w:rPr>
        <w:t>,</w:t>
      </w:r>
      <w:r w:rsidR="004B41FB" w:rsidRPr="00133575">
        <w:rPr>
          <w:rFonts w:ascii="Bookman Old Style" w:hAnsi="Bookman Old Style" w:cs="Arial"/>
        </w:rPr>
        <w:t xml:space="preserve"> sea distinta a la </w:t>
      </w:r>
      <w:r w:rsidR="009E4A0D">
        <w:rPr>
          <w:rFonts w:ascii="Bookman Old Style" w:hAnsi="Bookman Old Style" w:cs="Arial"/>
        </w:rPr>
        <w:t xml:space="preserve">tarifa </w:t>
      </w:r>
      <w:r w:rsidR="004B41FB" w:rsidRPr="00133575">
        <w:rPr>
          <w:rFonts w:ascii="Bookman Old Style" w:hAnsi="Bookman Old Style" w:cs="Arial"/>
        </w:rPr>
        <w:t xml:space="preserve">Tx con la que se aprobó la tasa de descuento </w:t>
      </w:r>
      <w:r w:rsidR="00F00339" w:rsidRPr="00133575">
        <w:rPr>
          <w:rFonts w:ascii="Bookman Old Style" w:hAnsi="Bookman Old Style" w:cs="Arial"/>
        </w:rPr>
        <w:t xml:space="preserve">vigente </w:t>
      </w:r>
      <w:r w:rsidR="004B41FB" w:rsidRPr="00133575">
        <w:rPr>
          <w:rFonts w:ascii="Bookman Old Style" w:hAnsi="Bookman Old Style" w:cs="Arial"/>
        </w:rPr>
        <w:t>de un</w:t>
      </w:r>
      <w:r w:rsidR="001478DE" w:rsidRPr="00133575">
        <w:rPr>
          <w:rFonts w:ascii="Bookman Old Style" w:hAnsi="Bookman Old Style" w:cs="Arial"/>
        </w:rPr>
        <w:t xml:space="preserve">a actividad, se </w:t>
      </w:r>
      <w:r w:rsidR="00753C5C">
        <w:rPr>
          <w:rFonts w:ascii="Bookman Old Style" w:hAnsi="Bookman Old Style" w:cs="Arial"/>
        </w:rPr>
        <w:t xml:space="preserve">efectuará </w:t>
      </w:r>
      <w:r w:rsidR="001478DE" w:rsidRPr="00133575">
        <w:rPr>
          <w:rFonts w:ascii="Bookman Old Style" w:hAnsi="Bookman Old Style" w:cs="Arial"/>
        </w:rPr>
        <w:t>el recálculo de dicha tasa de descuento</w:t>
      </w:r>
      <w:r w:rsidR="00D91624">
        <w:rPr>
          <w:rFonts w:ascii="Bookman Old Style" w:hAnsi="Bookman Old Style" w:cs="Arial"/>
        </w:rPr>
        <w:t xml:space="preserve"> con la</w:t>
      </w:r>
      <w:r w:rsidR="00AD2290">
        <w:rPr>
          <w:rFonts w:ascii="Bookman Old Style" w:hAnsi="Bookman Old Style" w:cs="Arial"/>
        </w:rPr>
        <w:t xml:space="preserve"> nueva tarifa Tx y </w:t>
      </w:r>
      <w:r w:rsidR="001478DE" w:rsidRPr="00133575">
        <w:rPr>
          <w:rFonts w:ascii="Bookman Old Style" w:hAnsi="Bookman Old Style" w:cs="Arial"/>
        </w:rPr>
        <w:t xml:space="preserve">actualizando todos los </w:t>
      </w:r>
      <w:r w:rsidR="00AD2290">
        <w:rPr>
          <w:rFonts w:ascii="Bookman Old Style" w:hAnsi="Bookman Old Style" w:cs="Arial"/>
        </w:rPr>
        <w:t xml:space="preserve">demás </w:t>
      </w:r>
      <w:r w:rsidR="001478DE" w:rsidRPr="00133575">
        <w:rPr>
          <w:rFonts w:ascii="Bookman Old Style" w:hAnsi="Bookman Old Style" w:cs="Arial"/>
        </w:rPr>
        <w:t>parámetros</w:t>
      </w:r>
      <w:r w:rsidR="00F54E9A">
        <w:rPr>
          <w:rFonts w:ascii="Bookman Old Style" w:hAnsi="Bookman Old Style" w:cs="Arial"/>
        </w:rPr>
        <w:t>,</w:t>
      </w:r>
      <w:r w:rsidR="0026699F" w:rsidRPr="00133575">
        <w:rPr>
          <w:rFonts w:ascii="Bookman Old Style" w:hAnsi="Bookman Old Style" w:cs="Arial"/>
        </w:rPr>
        <w:t xml:space="preserve"> con la información disponible</w:t>
      </w:r>
      <w:r w:rsidR="00B15033" w:rsidRPr="00133575">
        <w:rPr>
          <w:rFonts w:ascii="Bookman Old Style" w:hAnsi="Bookman Old Style" w:cs="Arial"/>
        </w:rPr>
        <w:t xml:space="preserve"> </w:t>
      </w:r>
      <w:r w:rsidR="009D5391" w:rsidRPr="00133575">
        <w:rPr>
          <w:rFonts w:ascii="Bookman Old Style" w:hAnsi="Bookman Old Style" w:cs="Arial"/>
        </w:rPr>
        <w:t xml:space="preserve">al </w:t>
      </w:r>
      <w:r w:rsidR="00971840" w:rsidRPr="00133575">
        <w:rPr>
          <w:rFonts w:ascii="Bookman Old Style" w:hAnsi="Bookman Old Style" w:cs="Arial"/>
        </w:rPr>
        <w:t xml:space="preserve">corte </w:t>
      </w:r>
      <w:r w:rsidR="009D5391" w:rsidRPr="00133575">
        <w:rPr>
          <w:rFonts w:ascii="Bookman Old Style" w:hAnsi="Bookman Old Style" w:cs="Arial"/>
        </w:rPr>
        <w:t>de</w:t>
      </w:r>
      <w:r w:rsidR="002B1588" w:rsidRPr="00133575">
        <w:rPr>
          <w:rFonts w:ascii="Bookman Old Style" w:hAnsi="Bookman Old Style" w:cs="Arial"/>
        </w:rPr>
        <w:t xml:space="preserve"> diciembre del año </w:t>
      </w:r>
      <w:r w:rsidR="009D5391" w:rsidRPr="00133575">
        <w:rPr>
          <w:rFonts w:ascii="Bookman Old Style" w:hAnsi="Bookman Old Style" w:cs="Arial"/>
        </w:rPr>
        <w:t xml:space="preserve">anterior </w:t>
      </w:r>
      <w:r w:rsidR="00AE443B" w:rsidRPr="00133575">
        <w:rPr>
          <w:rFonts w:ascii="Bookman Old Style" w:hAnsi="Bookman Old Style" w:cs="Arial"/>
        </w:rPr>
        <w:t>a</w:t>
      </w:r>
      <w:r w:rsidR="00E506C5" w:rsidRPr="00133575">
        <w:rPr>
          <w:rFonts w:ascii="Bookman Old Style" w:hAnsi="Bookman Old Style" w:cs="Arial"/>
        </w:rPr>
        <w:t xml:space="preserve">l inicio de la </w:t>
      </w:r>
      <w:r w:rsidR="004B1DC9" w:rsidRPr="00133575">
        <w:rPr>
          <w:rFonts w:ascii="Bookman Old Style" w:hAnsi="Bookman Old Style" w:cs="Arial"/>
        </w:rPr>
        <w:t>aplicación de la nueva</w:t>
      </w:r>
      <w:r w:rsidR="00AD2290">
        <w:rPr>
          <w:rFonts w:ascii="Bookman Old Style" w:hAnsi="Bookman Old Style" w:cs="Arial"/>
        </w:rPr>
        <w:t xml:space="preserve"> tarifa</w:t>
      </w:r>
      <w:r w:rsidR="004B1DC9" w:rsidRPr="00133575">
        <w:rPr>
          <w:rFonts w:ascii="Bookman Old Style" w:hAnsi="Bookman Old Style" w:cs="Arial"/>
        </w:rPr>
        <w:t xml:space="preserve"> </w:t>
      </w:r>
      <w:r w:rsidR="00E506C5" w:rsidRPr="00133575">
        <w:rPr>
          <w:rFonts w:ascii="Bookman Old Style" w:hAnsi="Bookman Old Style" w:cs="Arial"/>
        </w:rPr>
        <w:t>Tx</w:t>
      </w:r>
      <w:r w:rsidR="001478DE" w:rsidRPr="00133575">
        <w:rPr>
          <w:rFonts w:ascii="Bookman Old Style" w:hAnsi="Bookman Old Style" w:cs="Arial"/>
        </w:rPr>
        <w:t>. En caso de que</w:t>
      </w:r>
      <w:r w:rsidR="00A026F1" w:rsidRPr="00133575">
        <w:rPr>
          <w:rFonts w:ascii="Bookman Old Style" w:hAnsi="Bookman Old Style" w:cs="Arial"/>
        </w:rPr>
        <w:t xml:space="preserve"> el valor absoluto de</w:t>
      </w:r>
      <w:r w:rsidR="001478DE" w:rsidRPr="00133575">
        <w:rPr>
          <w:rFonts w:ascii="Bookman Old Style" w:hAnsi="Bookman Old Style" w:cs="Arial"/>
        </w:rPr>
        <w:t xml:space="preserve"> la variación</w:t>
      </w:r>
      <w:r w:rsidR="001A0E69">
        <w:rPr>
          <w:rFonts w:ascii="Bookman Old Style" w:hAnsi="Bookman Old Style" w:cs="Arial"/>
        </w:rPr>
        <w:t xml:space="preserve"> </w:t>
      </w:r>
      <w:r w:rsidR="001A0E69" w:rsidRPr="00C73A34">
        <w:rPr>
          <w:rFonts w:ascii="Bookman Old Style" w:hAnsi="Bookman Old Style" w:cs="Arial"/>
        </w:rPr>
        <w:t>porcentual</w:t>
      </w:r>
      <w:r w:rsidR="001478DE" w:rsidRPr="00C73A34">
        <w:rPr>
          <w:rFonts w:ascii="Bookman Old Style" w:hAnsi="Bookman Old Style" w:cs="Arial"/>
        </w:rPr>
        <w:t xml:space="preserve"> en</w:t>
      </w:r>
      <w:r w:rsidR="001478DE" w:rsidRPr="00133575">
        <w:rPr>
          <w:rFonts w:ascii="Bookman Old Style" w:hAnsi="Bookman Old Style" w:cs="Arial"/>
        </w:rPr>
        <w:t xml:space="preserve"> la tasa de descuento</w:t>
      </w:r>
      <w:r w:rsidR="001708DD">
        <w:rPr>
          <w:rFonts w:ascii="Bookman Old Style" w:hAnsi="Bookman Old Style" w:cs="Arial"/>
        </w:rPr>
        <w:t xml:space="preserve">, </w:t>
      </w:r>
      <w:r w:rsidR="001708DD" w:rsidRPr="00546A56">
        <w:rPr>
          <w:rFonts w:ascii="Bookman Old Style" w:hAnsi="Bookman Old Style" w:cs="Arial"/>
        </w:rPr>
        <w:t>producto del mencionado recálculo,</w:t>
      </w:r>
      <w:r w:rsidR="001C28A4" w:rsidRPr="00133575">
        <w:rPr>
          <w:rFonts w:ascii="Bookman Old Style" w:hAnsi="Bookman Old Style" w:cs="Arial"/>
        </w:rPr>
        <w:t xml:space="preserve"> sea super</w:t>
      </w:r>
      <w:r w:rsidR="00C735A1" w:rsidRPr="00133575">
        <w:rPr>
          <w:rFonts w:ascii="Bookman Old Style" w:hAnsi="Bookman Old Style" w:cs="Arial"/>
        </w:rPr>
        <w:t>i</w:t>
      </w:r>
      <w:r w:rsidR="009B0FE8" w:rsidRPr="00133575">
        <w:rPr>
          <w:rFonts w:ascii="Bookman Old Style" w:hAnsi="Bookman Old Style" w:cs="Arial"/>
        </w:rPr>
        <w:t>or</w:t>
      </w:r>
      <w:r w:rsidR="00A22A5A" w:rsidRPr="00133575">
        <w:rPr>
          <w:rFonts w:ascii="Bookman Old Style" w:hAnsi="Bookman Old Style" w:cs="Arial"/>
        </w:rPr>
        <w:t xml:space="preserve"> al 4%</w:t>
      </w:r>
      <w:r w:rsidR="00E70B97" w:rsidRPr="00133575">
        <w:rPr>
          <w:rFonts w:ascii="Bookman Old Style" w:hAnsi="Bookman Old Style" w:cs="Arial"/>
        </w:rPr>
        <w:t xml:space="preserve">, </w:t>
      </w:r>
      <w:r w:rsidR="00B472E9" w:rsidRPr="00133575">
        <w:rPr>
          <w:rFonts w:ascii="Bookman Old Style" w:hAnsi="Bookman Old Style" w:cs="Arial"/>
        </w:rPr>
        <w:t xml:space="preserve">la CREG </w:t>
      </w:r>
      <w:r w:rsidR="00FB00E6" w:rsidRPr="00133575">
        <w:rPr>
          <w:rFonts w:ascii="Bookman Old Style" w:hAnsi="Bookman Old Style" w:cs="Arial"/>
        </w:rPr>
        <w:t>actualiza</w:t>
      </w:r>
      <w:r w:rsidR="00F54E9A">
        <w:rPr>
          <w:rFonts w:ascii="Bookman Old Style" w:hAnsi="Bookman Old Style" w:cs="Arial"/>
        </w:rPr>
        <w:t>rá</w:t>
      </w:r>
      <w:r w:rsidR="00546A56">
        <w:rPr>
          <w:rFonts w:ascii="Bookman Old Style" w:hAnsi="Bookman Old Style" w:cs="Arial"/>
        </w:rPr>
        <w:t xml:space="preserve"> la tasa de descuento</w:t>
      </w:r>
      <w:r w:rsidR="00F54E9A">
        <w:rPr>
          <w:rFonts w:ascii="Bookman Old Style" w:hAnsi="Bookman Old Style" w:cs="Arial"/>
        </w:rPr>
        <w:t xml:space="preserve"> con el valor recalculado</w:t>
      </w:r>
      <w:r w:rsidR="00E70B97" w:rsidRPr="00133575">
        <w:rPr>
          <w:rFonts w:ascii="Bookman Old Style" w:hAnsi="Bookman Old Style" w:cs="Arial"/>
        </w:rPr>
        <w:t>.</w:t>
      </w:r>
    </w:p>
    <w:p w14:paraId="2F48A6D3" w14:textId="77777777" w:rsidR="00347F39" w:rsidRPr="00F340A2" w:rsidRDefault="00347F39" w:rsidP="00DF4FC4">
      <w:pPr>
        <w:ind w:left="0"/>
        <w:jc w:val="both"/>
        <w:rPr>
          <w:rFonts w:ascii="Bookman Old Style" w:hAnsi="Bookman Old Style" w:cs="Arial"/>
        </w:rPr>
      </w:pPr>
    </w:p>
    <w:p w14:paraId="18D9FC0E" w14:textId="55ABFF19" w:rsidR="00DF4FC4" w:rsidRDefault="00DF4FC4" w:rsidP="00DF4FC4">
      <w:pPr>
        <w:pStyle w:val="Ttulo1"/>
        <w:ind w:left="0"/>
        <w:jc w:val="both"/>
        <w:rPr>
          <w:rFonts w:ascii="Bookman Old Style" w:hAnsi="Bookman Old Style" w:cs="Arial"/>
          <w:b w:val="0"/>
        </w:rPr>
      </w:pPr>
      <w:r w:rsidRPr="00922191">
        <w:rPr>
          <w:rFonts w:ascii="Bookman Old Style" w:hAnsi="Bookman Old Style" w:cs="Arial"/>
          <w:bCs/>
        </w:rPr>
        <w:t xml:space="preserve">ARTÍCULO </w:t>
      </w:r>
      <w:r w:rsidR="000E1183">
        <w:rPr>
          <w:rFonts w:ascii="Bookman Old Style" w:hAnsi="Bookman Old Style" w:cs="Arial"/>
          <w:bCs/>
        </w:rPr>
        <w:t>5</w:t>
      </w:r>
      <w:r w:rsidRPr="001E6A19">
        <w:rPr>
          <w:rFonts w:ascii="Bookman Old Style" w:hAnsi="Bookman Old Style" w:cs="Arial"/>
          <w:bCs/>
        </w:rPr>
        <w:t xml:space="preserve">. </w:t>
      </w:r>
      <w:r>
        <w:rPr>
          <w:rFonts w:ascii="Bookman Old Style" w:hAnsi="Bookman Old Style" w:cs="Arial"/>
          <w:bCs/>
        </w:rPr>
        <w:t>Ámbito de aplicación</w:t>
      </w:r>
      <w:r w:rsidRPr="001E6A19">
        <w:rPr>
          <w:rFonts w:ascii="Bookman Old Style" w:hAnsi="Bookman Old Style" w:cs="Arial"/>
          <w:bCs/>
        </w:rPr>
        <w:t>.</w:t>
      </w:r>
      <w:r w:rsidRPr="00F340A2">
        <w:rPr>
          <w:rFonts w:ascii="Bookman Old Style" w:hAnsi="Bookman Old Style" w:cs="Arial"/>
        </w:rPr>
        <w:t xml:space="preserve"> </w:t>
      </w:r>
      <w:r w:rsidRPr="00770848">
        <w:rPr>
          <w:rFonts w:ascii="Bookman Old Style" w:hAnsi="Bookman Old Style" w:cs="Arial"/>
          <w:b w:val="0"/>
          <w:bCs/>
          <w:spacing w:val="-4"/>
        </w:rPr>
        <w:t xml:space="preserve">La presente resolución </w:t>
      </w:r>
      <w:r w:rsidR="00B82AC3">
        <w:rPr>
          <w:rFonts w:ascii="Bookman Old Style" w:hAnsi="Bookman Old Style" w:cs="Arial"/>
          <w:b w:val="0"/>
          <w:bCs/>
          <w:spacing w:val="-4"/>
        </w:rPr>
        <w:t xml:space="preserve">se </w:t>
      </w:r>
      <w:r>
        <w:rPr>
          <w:rFonts w:ascii="Bookman Old Style" w:hAnsi="Bookman Old Style" w:cs="Arial"/>
          <w:b w:val="0"/>
          <w:bCs/>
          <w:spacing w:val="-4"/>
        </w:rPr>
        <w:t xml:space="preserve">aplica para el cálculo de tasas de descuento de metodologías tarifarias que se expidan o apliquen con posterioridad </w:t>
      </w:r>
      <w:r w:rsidR="005C50F3">
        <w:rPr>
          <w:rFonts w:ascii="Bookman Old Style" w:hAnsi="Bookman Old Style" w:cs="Arial"/>
          <w:b w:val="0"/>
          <w:bCs/>
          <w:spacing w:val="-4"/>
        </w:rPr>
        <w:t>a su entrada en vigencia</w:t>
      </w:r>
      <w:r w:rsidRPr="001871CB">
        <w:rPr>
          <w:rFonts w:ascii="Bookman Old Style" w:hAnsi="Bookman Old Style" w:cs="Arial"/>
          <w:b w:val="0"/>
        </w:rPr>
        <w:t>.</w:t>
      </w:r>
      <w:r w:rsidR="00B271AC" w:rsidRPr="00B271AC">
        <w:rPr>
          <w:rFonts w:ascii="Bookman Old Style" w:hAnsi="Bookman Old Style" w:cs="Arial"/>
          <w:b w:val="0"/>
        </w:rPr>
        <w:t xml:space="preserve"> </w:t>
      </w:r>
      <w:r w:rsidR="00B271AC" w:rsidRPr="001871CB">
        <w:rPr>
          <w:rFonts w:ascii="Bookman Old Style" w:hAnsi="Bookman Old Style" w:cs="Arial"/>
          <w:b w:val="0"/>
        </w:rPr>
        <w:t>Las tasas de descuento aprobadas con anterioridad a la</w:t>
      </w:r>
      <w:r w:rsidR="002043A9">
        <w:rPr>
          <w:rFonts w:ascii="Bookman Old Style" w:hAnsi="Bookman Old Style" w:cs="Arial"/>
          <w:b w:val="0"/>
        </w:rPr>
        <w:t xml:space="preserve"> expedición de la</w:t>
      </w:r>
      <w:r w:rsidR="00B271AC" w:rsidRPr="001871CB">
        <w:rPr>
          <w:rFonts w:ascii="Bookman Old Style" w:hAnsi="Bookman Old Style" w:cs="Arial"/>
          <w:b w:val="0"/>
        </w:rPr>
        <w:t xml:space="preserve"> presente resolución, se mantendrán </w:t>
      </w:r>
      <w:r w:rsidR="00B271AC">
        <w:rPr>
          <w:rFonts w:ascii="Bookman Old Style" w:hAnsi="Bookman Old Style" w:cs="Arial"/>
          <w:b w:val="0"/>
        </w:rPr>
        <w:t xml:space="preserve">con las condiciones </w:t>
      </w:r>
      <w:r w:rsidR="00B271AC" w:rsidRPr="001871CB">
        <w:rPr>
          <w:rFonts w:ascii="Bookman Old Style" w:hAnsi="Bookman Old Style" w:cs="Arial"/>
          <w:b w:val="0"/>
        </w:rPr>
        <w:t xml:space="preserve">de la correspondiente metodología </w:t>
      </w:r>
      <w:r w:rsidR="00F36985">
        <w:rPr>
          <w:rFonts w:ascii="Bookman Old Style" w:hAnsi="Bookman Old Style" w:cs="Arial"/>
          <w:b w:val="0"/>
        </w:rPr>
        <w:t>con que fueron calculadas</w:t>
      </w:r>
      <w:r w:rsidR="00AF1A13">
        <w:rPr>
          <w:rFonts w:ascii="Bookman Old Style" w:hAnsi="Bookman Old Style" w:cs="Arial"/>
          <w:b w:val="0"/>
        </w:rPr>
        <w:t xml:space="preserve"> y aprobadas</w:t>
      </w:r>
      <w:r w:rsidR="00B271AC" w:rsidRPr="001871CB">
        <w:rPr>
          <w:rFonts w:ascii="Bookman Old Style" w:hAnsi="Bookman Old Style" w:cs="Arial"/>
          <w:b w:val="0"/>
        </w:rPr>
        <w:t>.</w:t>
      </w:r>
    </w:p>
    <w:p w14:paraId="426640A4" w14:textId="77777777" w:rsidR="00B1564F" w:rsidRPr="00B1564F" w:rsidRDefault="00B1564F" w:rsidP="00B1564F">
      <w:pPr>
        <w:rPr>
          <w:lang w:val="es-CO"/>
        </w:rPr>
      </w:pPr>
    </w:p>
    <w:p w14:paraId="751FEC6D" w14:textId="77777777" w:rsidR="00DF4FC4" w:rsidRPr="00F36985" w:rsidRDefault="00DF4FC4" w:rsidP="005D3C5C">
      <w:pPr>
        <w:ind w:left="0"/>
        <w:jc w:val="both"/>
        <w:rPr>
          <w:rFonts w:ascii="Bookman Old Style" w:hAnsi="Bookman Old Style" w:cs="Arial"/>
          <w:lang w:val="es-CO"/>
        </w:rPr>
      </w:pPr>
    </w:p>
    <w:p w14:paraId="0A42EBC3" w14:textId="5CC9DF00" w:rsidR="000776BE" w:rsidRPr="00770848" w:rsidRDefault="000776BE" w:rsidP="00770848">
      <w:pPr>
        <w:pStyle w:val="Ttulo1"/>
        <w:ind w:left="0"/>
        <w:jc w:val="both"/>
        <w:rPr>
          <w:rFonts w:ascii="Bookman Old Style" w:hAnsi="Bookman Old Style"/>
          <w:b w:val="0"/>
          <w:bCs/>
        </w:rPr>
      </w:pPr>
      <w:r w:rsidRPr="00922191">
        <w:rPr>
          <w:rFonts w:ascii="Bookman Old Style" w:hAnsi="Bookman Old Style" w:cs="Arial"/>
          <w:bCs/>
        </w:rPr>
        <w:t xml:space="preserve">ARTÍCULO </w:t>
      </w:r>
      <w:r w:rsidR="000E1183">
        <w:rPr>
          <w:rFonts w:ascii="Bookman Old Style" w:hAnsi="Bookman Old Style" w:cs="Arial"/>
          <w:bCs/>
        </w:rPr>
        <w:t>6</w:t>
      </w:r>
      <w:r w:rsidRPr="001E6A19">
        <w:rPr>
          <w:rFonts w:ascii="Bookman Old Style" w:hAnsi="Bookman Old Style" w:cs="Arial"/>
          <w:bCs/>
        </w:rPr>
        <w:t>. Vigencia</w:t>
      </w:r>
      <w:r w:rsidR="0038648C">
        <w:rPr>
          <w:rFonts w:ascii="Bookman Old Style" w:hAnsi="Bookman Old Style" w:cs="Arial"/>
          <w:bCs/>
        </w:rPr>
        <w:t xml:space="preserve"> y </w:t>
      </w:r>
      <w:r w:rsidR="000A1377">
        <w:rPr>
          <w:rFonts w:ascii="Bookman Old Style" w:hAnsi="Bookman Old Style" w:cs="Arial"/>
          <w:bCs/>
        </w:rPr>
        <w:t>derogatoria</w:t>
      </w:r>
      <w:r w:rsidRPr="001E6A19">
        <w:rPr>
          <w:rFonts w:ascii="Bookman Old Style" w:hAnsi="Bookman Old Style" w:cs="Arial"/>
          <w:bCs/>
        </w:rPr>
        <w:t>.</w:t>
      </w:r>
      <w:r w:rsidRPr="00F340A2">
        <w:rPr>
          <w:rFonts w:ascii="Bookman Old Style" w:hAnsi="Bookman Old Style" w:cs="Arial"/>
        </w:rPr>
        <w:t xml:space="preserve"> </w:t>
      </w:r>
      <w:r w:rsidRPr="00770848">
        <w:rPr>
          <w:rFonts w:ascii="Bookman Old Style" w:hAnsi="Bookman Old Style" w:cs="Arial"/>
          <w:b w:val="0"/>
          <w:bCs/>
          <w:spacing w:val="-4"/>
        </w:rPr>
        <w:t xml:space="preserve">La presente resolución rige a partir de la fecha de su publicación en el </w:t>
      </w:r>
      <w:r w:rsidRPr="00770848">
        <w:rPr>
          <w:rFonts w:ascii="Bookman Old Style" w:hAnsi="Bookman Old Style" w:cs="Arial"/>
          <w:b w:val="0"/>
          <w:bCs/>
          <w:i/>
          <w:iCs/>
          <w:spacing w:val="-4"/>
        </w:rPr>
        <w:t>Diario Oficial</w:t>
      </w:r>
      <w:r w:rsidR="00D3199C">
        <w:rPr>
          <w:rFonts w:ascii="Bookman Old Style" w:hAnsi="Bookman Old Style" w:cs="Arial"/>
          <w:b w:val="0"/>
          <w:bCs/>
          <w:i/>
          <w:iCs/>
          <w:spacing w:val="-4"/>
        </w:rPr>
        <w:t xml:space="preserve"> </w:t>
      </w:r>
      <w:r w:rsidR="00424942" w:rsidRPr="00770848">
        <w:rPr>
          <w:rFonts w:ascii="Bookman Old Style" w:hAnsi="Bookman Old Style"/>
          <w:b w:val="0"/>
          <w:bCs/>
        </w:rPr>
        <w:t xml:space="preserve">y deroga la </w:t>
      </w:r>
      <w:r w:rsidR="00620049">
        <w:rPr>
          <w:rFonts w:ascii="Bookman Old Style" w:hAnsi="Bookman Old Style"/>
          <w:b w:val="0"/>
          <w:bCs/>
        </w:rPr>
        <w:t xml:space="preserve">Resolución </w:t>
      </w:r>
      <w:r w:rsidR="00424942" w:rsidRPr="00770848">
        <w:rPr>
          <w:rFonts w:ascii="Bookman Old Style" w:hAnsi="Bookman Old Style"/>
          <w:b w:val="0"/>
          <w:bCs/>
        </w:rPr>
        <w:t>CREG 095 de 2015</w:t>
      </w:r>
      <w:r w:rsidR="00D56B13">
        <w:rPr>
          <w:rFonts w:ascii="Bookman Old Style" w:hAnsi="Bookman Old Style"/>
          <w:b w:val="0"/>
          <w:bCs/>
        </w:rPr>
        <w:t xml:space="preserve">, con excepción de las disposiciones relacionadas con la variable Tx, </w:t>
      </w:r>
      <w:r w:rsidR="00424942" w:rsidRPr="00770848">
        <w:rPr>
          <w:rFonts w:ascii="Bookman Old Style" w:hAnsi="Bookman Old Style"/>
          <w:b w:val="0"/>
          <w:bCs/>
        </w:rPr>
        <w:t xml:space="preserve">y </w:t>
      </w:r>
      <w:r w:rsidR="00792940">
        <w:rPr>
          <w:rFonts w:ascii="Bookman Old Style" w:hAnsi="Bookman Old Style"/>
          <w:b w:val="0"/>
          <w:bCs/>
        </w:rPr>
        <w:t xml:space="preserve">la Resolución CREG </w:t>
      </w:r>
      <w:r w:rsidR="00061E36" w:rsidRPr="00770848">
        <w:rPr>
          <w:rFonts w:ascii="Bookman Old Style" w:hAnsi="Bookman Old Style"/>
          <w:b w:val="0"/>
          <w:bCs/>
        </w:rPr>
        <w:t xml:space="preserve">029 </w:t>
      </w:r>
      <w:r w:rsidR="00424942" w:rsidRPr="00770848">
        <w:rPr>
          <w:rFonts w:ascii="Bookman Old Style" w:hAnsi="Bookman Old Style"/>
          <w:b w:val="0"/>
          <w:bCs/>
        </w:rPr>
        <w:t>de 201</w:t>
      </w:r>
      <w:r w:rsidR="00061E36" w:rsidRPr="00770848">
        <w:rPr>
          <w:rFonts w:ascii="Bookman Old Style" w:hAnsi="Bookman Old Style"/>
          <w:b w:val="0"/>
          <w:bCs/>
        </w:rPr>
        <w:t>8</w:t>
      </w:r>
      <w:r w:rsidR="2177D6DE" w:rsidRPr="00770848">
        <w:rPr>
          <w:rFonts w:ascii="Bookman Old Style" w:hAnsi="Bookman Old Style" w:cs="Arial"/>
          <w:b w:val="0"/>
          <w:bCs/>
          <w:i/>
          <w:iCs/>
        </w:rPr>
        <w:t>.</w:t>
      </w:r>
      <w:bookmarkEnd w:id="2"/>
    </w:p>
    <w:p w14:paraId="445B598D" w14:textId="47265B85" w:rsidR="000776BE" w:rsidRDefault="000776BE" w:rsidP="000776BE">
      <w:pPr>
        <w:jc w:val="center"/>
        <w:rPr>
          <w:rFonts w:ascii="Bookman Old Style" w:hAnsi="Bookman Old Style"/>
          <w:b/>
        </w:rPr>
      </w:pPr>
    </w:p>
    <w:p w14:paraId="7F875B86" w14:textId="77777777" w:rsidR="000776BE" w:rsidRPr="0049086F" w:rsidRDefault="000776BE" w:rsidP="00874130">
      <w:pPr>
        <w:ind w:left="0"/>
        <w:jc w:val="center"/>
        <w:rPr>
          <w:rFonts w:ascii="Bookman Old Style" w:hAnsi="Bookman Old Style"/>
          <w:b/>
        </w:rPr>
      </w:pPr>
      <w:r w:rsidRPr="0049086F">
        <w:rPr>
          <w:rFonts w:ascii="Bookman Old Style" w:hAnsi="Bookman Old Style"/>
          <w:b/>
        </w:rPr>
        <w:t>PUBLÍQUESE Y CÚMPLASE</w:t>
      </w:r>
    </w:p>
    <w:p w14:paraId="1A6C0D9E" w14:textId="35571CBF" w:rsidR="1CAAC357" w:rsidRDefault="1CAAC357" w:rsidP="1CAAC357">
      <w:pPr>
        <w:ind w:left="0"/>
        <w:rPr>
          <w:rFonts w:ascii="Bookman Old Style" w:hAnsi="Bookman Old Style"/>
        </w:rPr>
      </w:pPr>
    </w:p>
    <w:p w14:paraId="513382C8" w14:textId="64552040" w:rsidR="000776BE" w:rsidRPr="0049086F" w:rsidRDefault="002B43D7" w:rsidP="000776BE">
      <w:pPr>
        <w:ind w:left="0"/>
        <w:rPr>
          <w:rFonts w:ascii="Bookman Old Style" w:hAnsi="Bookman Old Style"/>
        </w:rPr>
      </w:pPr>
      <w:r w:rsidRPr="0049086F">
        <w:rPr>
          <w:rFonts w:ascii="Bookman Old Style" w:hAnsi="Bookman Old Style"/>
        </w:rPr>
        <w:t xml:space="preserve">Dada en Bogotá, D.C. a </w:t>
      </w:r>
      <w:r w:rsidR="00B1564F" w:rsidRPr="00B1564F">
        <w:rPr>
          <w:rFonts w:ascii="Bookman Old Style" w:hAnsi="Bookman Old Style"/>
          <w:b/>
          <w:bCs/>
        </w:rPr>
        <w:t>21 ENE. 2021</w:t>
      </w:r>
    </w:p>
    <w:p w14:paraId="6BD90D77" w14:textId="77BA3D29" w:rsidR="00981197" w:rsidRPr="00981197" w:rsidRDefault="00981197" w:rsidP="00981197">
      <w:pPr>
        <w:ind w:left="0"/>
        <w:rPr>
          <w:rFonts w:ascii="Bookman Old Style" w:hAnsi="Bookman Old Style"/>
        </w:rPr>
      </w:pPr>
    </w:p>
    <w:p w14:paraId="2DA12929" w14:textId="77777777" w:rsidR="00C71FD6" w:rsidRDefault="00C71FD6" w:rsidP="000776BE">
      <w:pPr>
        <w:ind w:left="0"/>
        <w:rPr>
          <w:rFonts w:ascii="Bookman Old Style" w:hAnsi="Bookman Old Style"/>
        </w:rPr>
      </w:pPr>
    </w:p>
    <w:p w14:paraId="793F0F1B" w14:textId="77777777" w:rsidR="0017287D" w:rsidRDefault="0017287D" w:rsidP="000776BE">
      <w:pPr>
        <w:ind w:left="0"/>
        <w:rPr>
          <w:rFonts w:ascii="Bookman Old Style" w:hAnsi="Bookman Old Style"/>
        </w:rPr>
      </w:pPr>
    </w:p>
    <w:p w14:paraId="5F407229" w14:textId="77777777" w:rsidR="0017287D" w:rsidRPr="0049086F" w:rsidRDefault="0017287D" w:rsidP="000776BE">
      <w:pPr>
        <w:ind w:left="0"/>
        <w:rPr>
          <w:rFonts w:ascii="Bookman Old Style" w:hAnsi="Bookman Old Style"/>
        </w:rPr>
      </w:pPr>
    </w:p>
    <w:p w14:paraId="796F5FC9" w14:textId="77777777" w:rsidR="00C71FD6" w:rsidRPr="0049086F" w:rsidRDefault="00C71FD6" w:rsidP="000776BE">
      <w:pPr>
        <w:ind w:left="0"/>
        <w:rPr>
          <w:rFonts w:ascii="Bookman Old Style" w:hAnsi="Bookman Old Style"/>
        </w:rPr>
      </w:pPr>
    </w:p>
    <w:tbl>
      <w:tblPr>
        <w:tblW w:w="9781" w:type="dxa"/>
        <w:jc w:val="center"/>
        <w:tblLayout w:type="fixed"/>
        <w:tblCellMar>
          <w:left w:w="70" w:type="dxa"/>
          <w:right w:w="70" w:type="dxa"/>
        </w:tblCellMar>
        <w:tblLook w:val="04A0" w:firstRow="1" w:lastRow="0" w:firstColumn="1" w:lastColumn="0" w:noHBand="0" w:noVBand="1"/>
      </w:tblPr>
      <w:tblGrid>
        <w:gridCol w:w="4962"/>
        <w:gridCol w:w="4819"/>
      </w:tblGrid>
      <w:tr w:rsidR="000776BE" w:rsidRPr="00F340A2" w14:paraId="783C3CEA" w14:textId="77777777" w:rsidTr="000A5729">
        <w:trPr>
          <w:jc w:val="center"/>
        </w:trPr>
        <w:tc>
          <w:tcPr>
            <w:tcW w:w="4962" w:type="dxa"/>
            <w:hideMark/>
          </w:tcPr>
          <w:p w14:paraId="1DDBB5DC" w14:textId="0C132802" w:rsidR="000776BE" w:rsidRPr="00D7492C" w:rsidRDefault="00AC2DEB" w:rsidP="000A5729">
            <w:pPr>
              <w:ind w:left="-142" w:firstLine="142"/>
              <w:jc w:val="center"/>
              <w:rPr>
                <w:rFonts w:ascii="Bookman Old Style" w:hAnsi="Bookman Old Style" w:cs="Arial"/>
                <w:b/>
                <w:spacing w:val="-3"/>
                <w:lang w:val="es-ES_tradnl"/>
              </w:rPr>
            </w:pPr>
            <w:r w:rsidRPr="00D7492C">
              <w:rPr>
                <w:rFonts w:ascii="Bookman Old Style" w:hAnsi="Bookman Old Style" w:cs="Arial"/>
                <w:b/>
                <w:spacing w:val="-3"/>
              </w:rPr>
              <w:t>DIEGO MESA PUY</w:t>
            </w:r>
            <w:r w:rsidR="00D7492C" w:rsidRPr="00D7492C">
              <w:rPr>
                <w:rFonts w:ascii="Bookman Old Style" w:hAnsi="Bookman Old Style" w:cs="Arial"/>
                <w:b/>
                <w:spacing w:val="-3"/>
              </w:rPr>
              <w:t>O</w:t>
            </w:r>
          </w:p>
        </w:tc>
        <w:tc>
          <w:tcPr>
            <w:tcW w:w="4819" w:type="dxa"/>
            <w:hideMark/>
          </w:tcPr>
          <w:p w14:paraId="10DC8DE5" w14:textId="5CB710D7" w:rsidR="000776BE" w:rsidRPr="00F340A2" w:rsidRDefault="000776BE" w:rsidP="00F67EAC">
            <w:pPr>
              <w:ind w:left="19" w:right="-142"/>
              <w:jc w:val="center"/>
              <w:rPr>
                <w:rFonts w:ascii="Bookman Old Style" w:hAnsi="Bookman Old Style" w:cs="Arial"/>
                <w:b/>
                <w:spacing w:val="-3"/>
                <w:lang w:val="es-ES_tradnl"/>
              </w:rPr>
            </w:pPr>
            <w:r w:rsidRPr="00D7492C">
              <w:rPr>
                <w:rFonts w:ascii="Bookman Old Style" w:hAnsi="Bookman Old Style" w:cs="Arial"/>
                <w:b/>
                <w:spacing w:val="-3"/>
                <w:lang w:val="es-ES_tradnl"/>
              </w:rPr>
              <w:t xml:space="preserve">JORGE </w:t>
            </w:r>
            <w:r w:rsidR="000A5729" w:rsidRPr="00D7492C">
              <w:rPr>
                <w:rFonts w:ascii="Bookman Old Style" w:hAnsi="Bookman Old Style" w:cs="Arial"/>
                <w:b/>
                <w:spacing w:val="-3"/>
                <w:lang w:val="es-ES_tradnl"/>
              </w:rPr>
              <w:t>ALBERTO VALENCIA MARÍN</w:t>
            </w:r>
          </w:p>
        </w:tc>
      </w:tr>
      <w:tr w:rsidR="000776BE" w14:paraId="56EA0A9D" w14:textId="77777777" w:rsidTr="000A5729">
        <w:trPr>
          <w:jc w:val="center"/>
        </w:trPr>
        <w:tc>
          <w:tcPr>
            <w:tcW w:w="4962" w:type="dxa"/>
            <w:hideMark/>
          </w:tcPr>
          <w:p w14:paraId="39F9DC16" w14:textId="42E01D64" w:rsidR="000776BE" w:rsidRPr="00F340A2" w:rsidRDefault="000776BE" w:rsidP="00F67EAC">
            <w:pPr>
              <w:ind w:left="0"/>
              <w:jc w:val="center"/>
              <w:rPr>
                <w:rFonts w:ascii="Bookman Old Style" w:hAnsi="Bookman Old Style" w:cs="Arial"/>
                <w:spacing w:val="-3"/>
                <w:lang w:val="es-ES_tradnl"/>
              </w:rPr>
            </w:pPr>
            <w:r w:rsidRPr="00F340A2">
              <w:rPr>
                <w:rFonts w:ascii="Bookman Old Style" w:hAnsi="Bookman Old Style" w:cs="Arial"/>
                <w:spacing w:val="-3"/>
                <w:lang w:val="es-ES_tradnl"/>
              </w:rPr>
              <w:t>Ministr</w:t>
            </w:r>
            <w:r w:rsidR="00560A2A">
              <w:rPr>
                <w:rFonts w:ascii="Bookman Old Style" w:hAnsi="Bookman Old Style" w:cs="Arial"/>
                <w:spacing w:val="-3"/>
                <w:lang w:val="es-ES_tradnl"/>
              </w:rPr>
              <w:t>o</w:t>
            </w:r>
            <w:r w:rsidRPr="00F340A2">
              <w:rPr>
                <w:rFonts w:ascii="Bookman Old Style" w:hAnsi="Bookman Old Style" w:cs="Arial"/>
                <w:spacing w:val="-3"/>
                <w:lang w:val="es-ES_tradnl"/>
              </w:rPr>
              <w:t xml:space="preserve"> de Minas y Energía </w:t>
            </w:r>
          </w:p>
          <w:p w14:paraId="417D143B" w14:textId="77777777" w:rsidR="000776BE" w:rsidRPr="00F340A2" w:rsidRDefault="000776BE" w:rsidP="00F67EAC">
            <w:pPr>
              <w:ind w:left="0"/>
              <w:jc w:val="center"/>
              <w:rPr>
                <w:rFonts w:ascii="Bookman Old Style" w:hAnsi="Bookman Old Style" w:cs="Arial"/>
                <w:spacing w:val="-3"/>
                <w:lang w:val="es-ES_tradnl"/>
              </w:rPr>
            </w:pPr>
            <w:r w:rsidRPr="00F340A2">
              <w:rPr>
                <w:rFonts w:ascii="Bookman Old Style" w:hAnsi="Bookman Old Style" w:cs="Arial"/>
                <w:spacing w:val="-3"/>
              </w:rPr>
              <w:t>Presidente</w:t>
            </w:r>
            <w:r w:rsidRPr="00F340A2" w:rsidDel="00F9100C">
              <w:rPr>
                <w:rFonts w:ascii="Bookman Old Style" w:hAnsi="Bookman Old Style" w:cs="Arial"/>
                <w:spacing w:val="-3"/>
                <w:lang w:val="es-ES_tradnl"/>
              </w:rPr>
              <w:t xml:space="preserve"> </w:t>
            </w:r>
          </w:p>
        </w:tc>
        <w:tc>
          <w:tcPr>
            <w:tcW w:w="4819" w:type="dxa"/>
            <w:hideMark/>
          </w:tcPr>
          <w:p w14:paraId="767DE5E9" w14:textId="77777777" w:rsidR="000776BE" w:rsidRDefault="000776BE" w:rsidP="00F67EAC">
            <w:pPr>
              <w:jc w:val="center"/>
              <w:rPr>
                <w:rFonts w:ascii="Bookman Old Style" w:hAnsi="Bookman Old Style" w:cs="Arial"/>
                <w:spacing w:val="-3"/>
                <w:lang w:val="es-ES_tradnl"/>
              </w:rPr>
            </w:pPr>
            <w:r w:rsidRPr="00F340A2">
              <w:rPr>
                <w:rFonts w:ascii="Bookman Old Style" w:hAnsi="Bookman Old Style" w:cs="Arial"/>
                <w:spacing w:val="-3"/>
                <w:lang w:val="es-ES_tradnl"/>
              </w:rPr>
              <w:t>Director Ejecutivo</w:t>
            </w:r>
          </w:p>
        </w:tc>
      </w:tr>
    </w:tbl>
    <w:p w14:paraId="5ADA5C45" w14:textId="77777777" w:rsidR="00B103F1" w:rsidRPr="000776BE" w:rsidRDefault="00B103F1" w:rsidP="00F03292">
      <w:pPr>
        <w:ind w:left="0"/>
      </w:pPr>
    </w:p>
    <w:sectPr w:rsidR="00B103F1" w:rsidRPr="000776BE" w:rsidSect="002301BC">
      <w:headerReference w:type="default" r:id="rId13"/>
      <w:headerReference w:type="first" r:id="rId14"/>
      <w:type w:val="continuous"/>
      <w:pgSz w:w="12242" w:h="18722" w:code="123"/>
      <w:pgMar w:top="2341" w:right="1185" w:bottom="1758" w:left="184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92E861" w14:textId="77777777" w:rsidR="00736DCC" w:rsidRDefault="00736DCC">
      <w:r>
        <w:separator/>
      </w:r>
    </w:p>
  </w:endnote>
  <w:endnote w:type="continuationSeparator" w:id="0">
    <w:p w14:paraId="2ED6A124" w14:textId="77777777" w:rsidR="00736DCC" w:rsidRDefault="00736DCC">
      <w:r>
        <w:continuationSeparator/>
      </w:r>
    </w:p>
  </w:endnote>
  <w:endnote w:type="continuationNotice" w:id="1">
    <w:p w14:paraId="7C3B8805" w14:textId="77777777" w:rsidR="00736DCC" w:rsidRDefault="00736D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algun Gothic">
    <w:panose1 w:val="020B0503020000020004"/>
    <w:charset w:val="81"/>
    <w:family w:val="swiss"/>
    <w:pitch w:val="variable"/>
    <w:sig w:usb0="900002AF" w:usb1="09D77CFB" w:usb2="00000012" w:usb3="00000000" w:csb0="00080001"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FE25F9" w14:textId="77777777" w:rsidR="00736DCC" w:rsidRDefault="00736DCC">
      <w:r>
        <w:separator/>
      </w:r>
    </w:p>
  </w:footnote>
  <w:footnote w:type="continuationSeparator" w:id="0">
    <w:p w14:paraId="24D1ADAB" w14:textId="77777777" w:rsidR="00736DCC" w:rsidRDefault="00736DCC">
      <w:r>
        <w:continuationSeparator/>
      </w:r>
    </w:p>
  </w:footnote>
  <w:footnote w:type="continuationNotice" w:id="1">
    <w:p w14:paraId="72D26332" w14:textId="77777777" w:rsidR="00736DCC" w:rsidRDefault="00736D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A6D717" w14:textId="77777777" w:rsidR="00F548DC" w:rsidRDefault="00F548DC" w:rsidP="00951F79">
    <w:pPr>
      <w:pStyle w:val="Ttulo1"/>
      <w:ind w:right="6"/>
      <w:jc w:val="left"/>
      <w:rPr>
        <w:rFonts w:ascii="Bookman Old Style" w:hAnsi="Bookman Old Style" w:cs="Arial"/>
        <w:b w:val="0"/>
        <w:sz w:val="22"/>
        <w:szCs w:val="22"/>
      </w:rPr>
    </w:pPr>
  </w:p>
  <w:p w14:paraId="4C96798D" w14:textId="738B0000" w:rsidR="00F548DC" w:rsidRPr="00951F79" w:rsidRDefault="00F548DC"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w:t>
    </w:r>
    <w:r>
      <w:rPr>
        <w:rFonts w:ascii="Bookman Old Style" w:hAnsi="Bookman Old Style" w:cs="Arial"/>
        <w:b w:val="0"/>
        <w:sz w:val="22"/>
        <w:szCs w:val="22"/>
        <w:u w:val="single"/>
      </w:rPr>
      <w:t xml:space="preserve">     </w:t>
    </w:r>
    <w:r w:rsidR="00B1564F" w:rsidRPr="00B1564F">
      <w:rPr>
        <w:rFonts w:ascii="Bookman Old Style" w:hAnsi="Bookman Old Style" w:cs="Arial"/>
        <w:bCs/>
        <w:szCs w:val="24"/>
        <w:u w:val="single"/>
      </w:rPr>
      <w:t>004</w:t>
    </w:r>
    <w:r>
      <w:rPr>
        <w:rFonts w:ascii="Bookman Old Style" w:hAnsi="Bookman Old Style" w:cs="Arial"/>
        <w:b w:val="0"/>
        <w:sz w:val="22"/>
        <w:szCs w:val="22"/>
        <w:u w:val="single"/>
      </w:rPr>
      <w:t xml:space="preserve">      </w:t>
    </w:r>
    <w:r>
      <w:rPr>
        <w:rFonts w:ascii="Bookman Old Style" w:hAnsi="Bookman Old Style" w:cs="Arial"/>
        <w:b w:val="0"/>
        <w:sz w:val="22"/>
        <w:szCs w:val="22"/>
      </w:rPr>
      <w:t xml:space="preserve">DE </w:t>
    </w:r>
    <w:r>
      <w:rPr>
        <w:rFonts w:ascii="Bookman Old Style" w:hAnsi="Bookman Old Style" w:cs="Arial"/>
        <w:b w:val="0"/>
        <w:sz w:val="22"/>
        <w:szCs w:val="22"/>
        <w:u w:val="single"/>
      </w:rPr>
      <w:t xml:space="preserve">      </w:t>
    </w:r>
    <w:r w:rsidR="00B1564F" w:rsidRPr="00B1564F">
      <w:rPr>
        <w:rFonts w:ascii="Bookman Old Style" w:hAnsi="Bookman Old Style" w:cs="Arial"/>
        <w:bCs/>
        <w:szCs w:val="24"/>
        <w:u w:val="single"/>
      </w:rPr>
      <w:t>21 ENE. 2021</w:t>
    </w:r>
    <w:r>
      <w:rPr>
        <w:rFonts w:ascii="Bookman Old Style" w:hAnsi="Bookman Old Style" w:cs="Arial"/>
        <w:b w:val="0"/>
        <w:sz w:val="22"/>
        <w:szCs w:val="22"/>
        <w:u w:val="single"/>
      </w:rPr>
      <w:t xml:space="preserve">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11</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NUMPAGES  \* MERGEFORMAT">
      <w:r w:rsidRPr="00F54E9A">
        <w:rPr>
          <w:rFonts w:ascii="Bookman Old Style" w:hAnsi="Bookman Old Style" w:cs="Arial"/>
          <w:b w:val="0"/>
          <w:noProof/>
          <w:sz w:val="22"/>
          <w:szCs w:val="22"/>
        </w:rPr>
        <w:t>11</w:t>
      </w:r>
    </w:fldSimple>
  </w:p>
  <w:p w14:paraId="43C1FB27" w14:textId="77777777" w:rsidR="00F548DC" w:rsidRDefault="00F548DC"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8240" behindDoc="0" locked="0" layoutInCell="1" allowOverlap="1" wp14:anchorId="28D51891" wp14:editId="057818A4">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a="http://schemas.openxmlformats.org/drawingml/2006/main" xmlns:a14="http://schemas.microsoft.com/office/drawing/2010/main" xmlns:arto="http://schemas.microsoft.com/office/word/2006/arto">
          <w:pict w14:anchorId="5CF049F9">
            <v:rect id="Rectangle 1"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weight="1.5pt" w14:anchorId="48E6EB8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HonGwIAABUEAAAOAAAAZHJzL2Uyb0RvYy54bWysU1Fv0zAQfkfiP1h+p0mrrlujptPUMYQ0&#10;YGLwA1zHSSxsnzm7Tcev5+y0pcAbIg+WL3f33XffnVe3B2vYXmHQ4Go+nZScKSeh0a6r+dcvD29u&#10;OAtRuEYYcKrmLyrw2/XrV6vBV2oGPZhGISMQF6rB17yP0VdFEWSvrAgT8MqRswW0IpKJXdGgGAjd&#10;mmJWlotiAGw8glQh0N/70cnXGb9tlYyf2jaoyEzNiVvMJ+Zzm85ivRJVh8L3Wh5piH9gYYV2VPQM&#10;dS+iYDvUf0FZLRECtHEiwRbQtlqq3AN1My3/6Oa5F17lXkic4M8yhf8HKz/un5DppuYzzpywNKLP&#10;JJpwnVFsmuQZfKgo6tk/YWow+EeQ3wJzsOkpSt0hwtAr0RCpHF/8lpCMQKlsO3yAhtDFLkJW6tCi&#10;TYCkATvkgbycB6IOkUn6uZgtrudXNDdJvuWyLJezPLJCVKd0jyG+U2BZutQciXyGF/vHEIk+hZ5C&#10;UjUHD9qYPHXj2ECclyUVyJ2B0U3yZgO77cYg24u0OPlLYhBauAyzOtL6Gm1rfnMOElXS461rcpko&#10;tBnvlGwcYZw0GbXdQvNC+iCMu0lviS494A/OBtrLmofvO4GKM/PekcbL6XyeFjkb86trEoThpWd7&#10;6RFOElTNI2fjdRPH5d951F1Plaa5dwd3NJdWZ8USv5HVkSztXm79+E7Scl/aOerXa17/BAAA//8D&#10;AFBLAwQUAAYACAAAACEAVxZBWOMAAAALAQAADwAAAGRycy9kb3ducmV2LnhtbEyPQUvDQBCF74L/&#10;YRnBi7SbhDZNYjalCJ4UpNFCe9vujkkwuxuz2zb9944nPQ7v471vyvVkenbG0XfOCojnETC0yunO&#10;NgI+3p9nGTAfpNWydxYFXNHDurq9KWWh3cVu8VyHhlGJ9YUU0IYwFJx71aKRfu4GtJR9utHIQOfY&#10;cD3KC5WbnidRlHIjO0sLrRzwqUX1VZ+MgIdFavRu/30dD/XLfveWqc2rV0Lc302bR2ABp/AHw68+&#10;qUNFTkd3stqzXsAsWaWECkjiHBgB+TJfADsSucziGHhV8v8/VD8AAAD//wMAUEsBAi0AFAAGAAgA&#10;AAAhALaDOJL+AAAA4QEAABMAAAAAAAAAAAAAAAAAAAAAAFtDb250ZW50X1R5cGVzXS54bWxQSwEC&#10;LQAUAAYACAAAACEAOP0h/9YAAACUAQAACwAAAAAAAAAAAAAAAAAvAQAAX3JlbHMvLnJlbHNQSwEC&#10;LQAUAAYACAAAACEAbkR6JxsCAAAVBAAADgAAAAAAAAAAAAAAAAAuAgAAZHJzL2Uyb0RvYy54bWxQ&#10;SwECLQAUAAYACAAAACEAVxZBWOMAAAALAQAADwAAAAAAAAAAAAAAAAB1BAAAZHJzL2Rvd25yZXYu&#10;eG1sUEsFBgAAAAAEAAQA8wAAAIUFAAAAAA==&#10;"/>
          </w:pict>
        </mc:Fallback>
      </mc:AlternateContent>
    </w:r>
  </w:p>
  <w:p w14:paraId="03CCD459" w14:textId="2F8ED837" w:rsidR="00F548DC" w:rsidRPr="00B1564F" w:rsidRDefault="00F548DC" w:rsidP="00344E7D">
    <w:pPr>
      <w:pBdr>
        <w:bottom w:val="single" w:sz="4" w:space="1" w:color="auto"/>
      </w:pBdr>
      <w:spacing w:after="240"/>
      <w:ind w:left="0" w:right="147"/>
      <w:jc w:val="both"/>
      <w:rPr>
        <w:b/>
      </w:rPr>
    </w:pPr>
    <w:r w:rsidRPr="00B1564F">
      <w:rPr>
        <w:rFonts w:ascii="Bookman Old Style" w:hAnsi="Bookman Old Style" w:cs="Arial"/>
      </w:rPr>
      <w:t>Por la cual se define el procedimiento para el cálculo de la tasa de descuento aplicable en las metodologías tarifarias que expide la Comisión de Regulación de Energía y Gas.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1C9EC" w14:textId="77777777" w:rsidR="00F548DC" w:rsidRDefault="00F548DC"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83C3E5F" w14:textId="77777777" w:rsidR="00F548DC" w:rsidRDefault="00F548DC">
    <w:pPr>
      <w:pStyle w:val="Encabezado"/>
      <w:jc w:val="center"/>
      <w:rPr>
        <w:rFonts w:ascii="Arial" w:hAnsi="Arial" w:cs="Arial"/>
        <w:spacing w:val="20"/>
        <w:sz w:val="20"/>
      </w:rPr>
    </w:pPr>
  </w:p>
  <w:p w14:paraId="1A31A1F9" w14:textId="77777777" w:rsidR="00F548DC" w:rsidRDefault="00F548DC"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613D664E" wp14:editId="0B8AB89F">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a="http://schemas.openxmlformats.org/drawingml/2006/main" xmlns:a14="http://schemas.microsoft.com/office/drawing/2010/main" xmlns:arto="http://schemas.microsoft.com/office/word/2006/arto">
          <w:pict w14:anchorId="33904F0F">
            <v:rect id="Rectangle 2"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weight="1.5pt" w14:anchorId="7939EAF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0F"/>
    <w:multiLevelType w:val="hybridMultilevel"/>
    <w:tmpl w:val="0000000F"/>
    <w:name w:val="WW8Num21"/>
    <w:lvl w:ilvl="0" w:tplc="8CDC7E98">
      <w:numFmt w:val="bullet"/>
      <w:lvlText w:val="-"/>
      <w:lvlJc w:val="left"/>
      <w:pPr>
        <w:tabs>
          <w:tab w:val="num" w:pos="720"/>
        </w:tabs>
      </w:pPr>
      <w:rPr>
        <w:rFonts w:ascii="Times New Roman" w:hAnsi="Times New Roman" w:cs="Times New Roman"/>
      </w:rPr>
    </w:lvl>
    <w:lvl w:ilvl="1" w:tplc="35708094">
      <w:numFmt w:val="decimal"/>
      <w:lvlText w:val=""/>
      <w:lvlJc w:val="left"/>
    </w:lvl>
    <w:lvl w:ilvl="2" w:tplc="33CA167E">
      <w:numFmt w:val="decimal"/>
      <w:lvlText w:val=""/>
      <w:lvlJc w:val="left"/>
    </w:lvl>
    <w:lvl w:ilvl="3" w:tplc="3AC02B56">
      <w:numFmt w:val="decimal"/>
      <w:lvlText w:val=""/>
      <w:lvlJc w:val="left"/>
    </w:lvl>
    <w:lvl w:ilvl="4" w:tplc="CBA61A3C">
      <w:numFmt w:val="decimal"/>
      <w:lvlText w:val=""/>
      <w:lvlJc w:val="left"/>
    </w:lvl>
    <w:lvl w:ilvl="5" w:tplc="E968E026">
      <w:numFmt w:val="decimal"/>
      <w:lvlText w:val=""/>
      <w:lvlJc w:val="left"/>
    </w:lvl>
    <w:lvl w:ilvl="6" w:tplc="AA6EB8DA">
      <w:numFmt w:val="decimal"/>
      <w:lvlText w:val=""/>
      <w:lvlJc w:val="left"/>
    </w:lvl>
    <w:lvl w:ilvl="7" w:tplc="2F567E54">
      <w:numFmt w:val="decimal"/>
      <w:lvlText w:val=""/>
      <w:lvlJc w:val="left"/>
    </w:lvl>
    <w:lvl w:ilvl="8" w:tplc="D250BD3A">
      <w:numFmt w:val="decimal"/>
      <w:lvlText w:val=""/>
      <w:lvlJc w:val="left"/>
    </w:lvl>
  </w:abstractNum>
  <w:abstractNum w:abstractNumId="2"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8794D7A"/>
    <w:multiLevelType w:val="multilevel"/>
    <w:tmpl w:val="001ED354"/>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 w15:restartNumberingAfterBreak="0">
    <w:nsid w:val="0DD8419B"/>
    <w:multiLevelType w:val="multilevel"/>
    <w:tmpl w:val="03E4A9A8"/>
    <w:lvl w:ilvl="0">
      <w:start w:val="1"/>
      <w:numFmt w:val="decimal"/>
      <w:lvlText w:val="Artículo %1."/>
      <w:lvlJc w:val="right"/>
      <w:pPr>
        <w:tabs>
          <w:tab w:val="num" w:pos="1524"/>
        </w:tabs>
        <w:ind w:left="-197" w:firstLine="1474"/>
      </w:pPr>
      <w:rPr>
        <w:rFonts w:ascii="Bookman Old Style" w:hAnsi="Bookman Old Style" w:hint="default"/>
        <w:b/>
        <w:i w:val="0"/>
        <w:color w:val="auto"/>
        <w:sz w:val="24"/>
      </w:rPr>
    </w:lvl>
    <w:lvl w:ilvl="1">
      <w:start w:val="1"/>
      <w:numFmt w:val="decimal"/>
      <w:lvlText w:val="%1.%2"/>
      <w:lvlJc w:val="left"/>
      <w:pPr>
        <w:tabs>
          <w:tab w:val="num" w:pos="437"/>
        </w:tabs>
        <w:ind w:left="-283" w:firstLine="0"/>
      </w:pPr>
      <w:rPr>
        <w:rFonts w:hint="default"/>
      </w:rPr>
    </w:lvl>
    <w:lvl w:ilvl="2">
      <w:start w:val="1"/>
      <w:numFmt w:val="decimal"/>
      <w:lvlText w:val="%3."/>
      <w:lvlJc w:val="left"/>
      <w:pPr>
        <w:tabs>
          <w:tab w:val="num" w:pos="437"/>
        </w:tabs>
        <w:ind w:left="-283" w:firstLine="0"/>
      </w:pPr>
      <w:rPr>
        <w:rFonts w:hint="default"/>
      </w:rPr>
    </w:lvl>
    <w:lvl w:ilvl="3">
      <w:start w:val="1"/>
      <w:numFmt w:val="decimal"/>
      <w:lvlText w:val="%1.%2.%3.%4"/>
      <w:lvlJc w:val="right"/>
      <w:pPr>
        <w:tabs>
          <w:tab w:val="num" w:pos="77"/>
        </w:tabs>
        <w:ind w:left="-283" w:firstLine="0"/>
      </w:pPr>
      <w:rPr>
        <w:rFonts w:hint="default"/>
      </w:rPr>
    </w:lvl>
    <w:lvl w:ilvl="4">
      <w:start w:val="1"/>
      <w:numFmt w:val="lowerLetter"/>
      <w:lvlText w:val="%5)"/>
      <w:lvlJc w:val="left"/>
      <w:pPr>
        <w:tabs>
          <w:tab w:val="num" w:pos="77"/>
        </w:tabs>
        <w:ind w:left="-283" w:firstLine="0"/>
      </w:pPr>
      <w:rPr>
        <w:rFonts w:hint="default"/>
        <w:b/>
      </w:rPr>
    </w:lvl>
    <w:lvl w:ilvl="5">
      <w:start w:val="1"/>
      <w:numFmt w:val="lowerRoman"/>
      <w:lvlText w:val="%6)"/>
      <w:lvlJc w:val="left"/>
      <w:pPr>
        <w:tabs>
          <w:tab w:val="num" w:pos="437"/>
        </w:tabs>
        <w:ind w:left="-283" w:firstLine="0"/>
      </w:pPr>
      <w:rPr>
        <w:rFonts w:hint="default"/>
      </w:rPr>
    </w:lvl>
    <w:lvl w:ilvl="6">
      <w:start w:val="1"/>
      <w:numFmt w:val="lowerRoman"/>
      <w:lvlText w:val="%7)"/>
      <w:lvlJc w:val="right"/>
      <w:pPr>
        <w:tabs>
          <w:tab w:val="num" w:pos="77"/>
        </w:tabs>
        <w:ind w:left="-283" w:firstLine="0"/>
      </w:pPr>
      <w:rPr>
        <w:rFonts w:hint="default"/>
      </w:rPr>
    </w:lvl>
    <w:lvl w:ilvl="7">
      <w:start w:val="1"/>
      <w:numFmt w:val="lowerLetter"/>
      <w:lvlText w:val="%7.%8."/>
      <w:lvlJc w:val="left"/>
      <w:pPr>
        <w:tabs>
          <w:tab w:val="num" w:pos="437"/>
        </w:tabs>
        <w:ind w:left="-283" w:firstLine="0"/>
      </w:pPr>
      <w:rPr>
        <w:rFonts w:hint="default"/>
      </w:rPr>
    </w:lvl>
    <w:lvl w:ilvl="8">
      <w:start w:val="1"/>
      <w:numFmt w:val="lowerRoman"/>
      <w:lvlText w:val="%9."/>
      <w:lvlJc w:val="right"/>
      <w:pPr>
        <w:tabs>
          <w:tab w:val="num" w:pos="77"/>
        </w:tabs>
        <w:ind w:left="-283" w:firstLine="0"/>
      </w:pPr>
      <w:rPr>
        <w:rFonts w:hint="default"/>
      </w:rPr>
    </w:lvl>
  </w:abstractNum>
  <w:abstractNum w:abstractNumId="6" w15:restartNumberingAfterBreak="0">
    <w:nsid w:val="0DF36714"/>
    <w:multiLevelType w:val="hybridMultilevel"/>
    <w:tmpl w:val="0F70A1FA"/>
    <w:lvl w:ilvl="0" w:tplc="0C0A000F">
      <w:start w:val="1"/>
      <w:numFmt w:val="decimal"/>
      <w:pStyle w:val="VietaLetra0"/>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E48DC"/>
    <w:multiLevelType w:val="multilevel"/>
    <w:tmpl w:val="207213AE"/>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15:restartNumberingAfterBreak="0">
    <w:nsid w:val="11DA002F"/>
    <w:multiLevelType w:val="hybridMultilevel"/>
    <w:tmpl w:val="BA1E8352"/>
    <w:lvl w:ilvl="0" w:tplc="ADFE9A94">
      <w:start w:val="1"/>
      <w:numFmt w:val="lowerLetter"/>
      <w:lvlText w:val="%1)"/>
      <w:legacy w:legacy="1" w:legacySpace="0" w:legacyIndent="283"/>
      <w:lvlJc w:val="left"/>
      <w:pPr>
        <w:ind w:left="283" w:hanging="283"/>
      </w:pPr>
    </w:lvl>
    <w:lvl w:ilvl="1" w:tplc="A276F694">
      <w:numFmt w:val="decimal"/>
      <w:lvlText w:val=""/>
      <w:lvlJc w:val="left"/>
    </w:lvl>
    <w:lvl w:ilvl="2" w:tplc="4492FDFE">
      <w:numFmt w:val="decimal"/>
      <w:lvlText w:val=""/>
      <w:lvlJc w:val="left"/>
    </w:lvl>
    <w:lvl w:ilvl="3" w:tplc="947262CE">
      <w:numFmt w:val="decimal"/>
      <w:lvlText w:val=""/>
      <w:lvlJc w:val="left"/>
    </w:lvl>
    <w:lvl w:ilvl="4" w:tplc="CE9A71B4">
      <w:numFmt w:val="decimal"/>
      <w:lvlText w:val=""/>
      <w:lvlJc w:val="left"/>
    </w:lvl>
    <w:lvl w:ilvl="5" w:tplc="84C02084">
      <w:numFmt w:val="decimal"/>
      <w:lvlText w:val=""/>
      <w:lvlJc w:val="left"/>
    </w:lvl>
    <w:lvl w:ilvl="6" w:tplc="AA82EEAA">
      <w:numFmt w:val="decimal"/>
      <w:lvlText w:val=""/>
      <w:lvlJc w:val="left"/>
    </w:lvl>
    <w:lvl w:ilvl="7" w:tplc="AA52BC3E">
      <w:numFmt w:val="decimal"/>
      <w:lvlText w:val=""/>
      <w:lvlJc w:val="left"/>
    </w:lvl>
    <w:lvl w:ilvl="8" w:tplc="3E887C76">
      <w:numFmt w:val="decimal"/>
      <w:lvlText w:val=""/>
      <w:lvlJc w:val="left"/>
    </w:lvl>
  </w:abstractNum>
  <w:abstractNum w:abstractNumId="9" w15:restartNumberingAfterBreak="0">
    <w:nsid w:val="1D296148"/>
    <w:multiLevelType w:val="multilevel"/>
    <w:tmpl w:val="EA22E0E6"/>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15:restartNumberingAfterBreak="0">
    <w:nsid w:val="25FD1A9C"/>
    <w:multiLevelType w:val="hybridMultilevel"/>
    <w:tmpl w:val="1638A23C"/>
    <w:lvl w:ilvl="0" w:tplc="24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7162351"/>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2" w15:restartNumberingAfterBreak="0">
    <w:nsid w:val="2A0B158F"/>
    <w:multiLevelType w:val="multilevel"/>
    <w:tmpl w:val="55FAF252"/>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3" w15:restartNumberingAfterBreak="0">
    <w:nsid w:val="2DE72191"/>
    <w:multiLevelType w:val="multilevel"/>
    <w:tmpl w:val="E204548C"/>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4" w15:restartNumberingAfterBreak="0">
    <w:nsid w:val="3C071598"/>
    <w:multiLevelType w:val="multilevel"/>
    <w:tmpl w:val="49A4AAD2"/>
    <w:lvl w:ilvl="0">
      <w:start w:val="1"/>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5" w15:restartNumberingAfterBreak="0">
    <w:nsid w:val="3CB81FEB"/>
    <w:multiLevelType w:val="hybridMultilevel"/>
    <w:tmpl w:val="9EC0B1CE"/>
    <w:lvl w:ilvl="0" w:tplc="FFFFFFFF">
      <w:start w:val="1"/>
      <w:numFmt w:val="upperLetter"/>
      <w:pStyle w:val="Ttulo2"/>
      <w:lvlText w:val="%1."/>
      <w:lvlJc w:val="left"/>
      <w:pPr>
        <w:tabs>
          <w:tab w:val="num" w:pos="502"/>
        </w:tabs>
        <w:ind w:left="502" w:hanging="360"/>
      </w:pPr>
      <w:rPr>
        <w:rFonts w:hint="default"/>
        <w:b/>
      </w:rPr>
    </w:lvl>
    <w:lvl w:ilvl="1" w:tplc="FFFFFFFF" w:tentative="1">
      <w:start w:val="1"/>
      <w:numFmt w:val="lowerLetter"/>
      <w:lvlText w:val="%2."/>
      <w:lvlJc w:val="left"/>
      <w:pPr>
        <w:tabs>
          <w:tab w:val="num" w:pos="1222"/>
        </w:tabs>
        <w:ind w:left="1222" w:hanging="360"/>
      </w:p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6" w15:restartNumberingAfterBreak="0">
    <w:nsid w:val="407A5C89"/>
    <w:multiLevelType w:val="multilevel"/>
    <w:tmpl w:val="BC3487F4"/>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7" w15:restartNumberingAfterBreak="0">
    <w:nsid w:val="40D44A35"/>
    <w:multiLevelType w:val="multilevel"/>
    <w:tmpl w:val="D8D066B2"/>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5D53516"/>
    <w:multiLevelType w:val="multilevel"/>
    <w:tmpl w:val="265AB092"/>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9" w15:restartNumberingAfterBreak="0">
    <w:nsid w:val="47FD66D2"/>
    <w:multiLevelType w:val="hybridMultilevel"/>
    <w:tmpl w:val="BAE80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8A3246"/>
    <w:multiLevelType w:val="multilevel"/>
    <w:tmpl w:val="847AC56C"/>
    <w:name w:val="WW8Num6423"/>
    <w:lvl w:ilvl="0">
      <w:start w:val="20"/>
      <w:numFmt w:val="decimal"/>
      <w:lvlText w:val="Artículo %1."/>
      <w:lvlJc w:val="right"/>
      <w:pPr>
        <w:tabs>
          <w:tab w:val="num" w:pos="1834"/>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lowerLetter"/>
      <w:lvlText w:val="(%3)"/>
      <w:lvlJc w:val="left"/>
      <w:pPr>
        <w:tabs>
          <w:tab w:val="num" w:pos="360"/>
        </w:tabs>
        <w:ind w:left="0" w:firstLine="0"/>
      </w:pPr>
      <w:rPr>
        <w:rFonts w:hint="default"/>
      </w:rPr>
    </w:lvl>
    <w:lvl w:ilvl="3">
      <w:start w:val="1"/>
      <w:numFmt w:val="lowerRoman"/>
      <w:lvlText w:val="(%4)"/>
      <w:lvlJc w:val="right"/>
      <w:pPr>
        <w:tabs>
          <w:tab w:val="num" w:pos="360"/>
        </w:tabs>
        <w:ind w:left="0" w:firstLine="0"/>
      </w:pPr>
      <w:rPr>
        <w:rFonts w:hint="default"/>
      </w:rPr>
    </w:lvl>
    <w:lvl w:ilvl="4">
      <w:start w:val="1"/>
      <w:numFmt w:val="decimal"/>
      <w:lvlText w:val="%5)"/>
      <w:lvlJc w:val="left"/>
      <w:pPr>
        <w:tabs>
          <w:tab w:val="num" w:pos="360"/>
        </w:tabs>
        <w:ind w:left="0" w:firstLine="0"/>
      </w:pPr>
      <w:rPr>
        <w:rFonts w:hint="default"/>
      </w:rPr>
    </w:lvl>
    <w:lvl w:ilvl="5">
      <w:start w:val="1"/>
      <w:numFmt w:val="lowerLetter"/>
      <w:lvlText w:val="%6)"/>
      <w:lvlJc w:val="left"/>
      <w:pPr>
        <w:tabs>
          <w:tab w:val="num" w:pos="36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1" w15:restartNumberingAfterBreak="0">
    <w:nsid w:val="4E0D017C"/>
    <w:multiLevelType w:val="hybridMultilevel"/>
    <w:tmpl w:val="6226BC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0FC163B"/>
    <w:multiLevelType w:val="multilevel"/>
    <w:tmpl w:val="9752A57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3" w15:restartNumberingAfterBreak="0">
    <w:nsid w:val="543C3C22"/>
    <w:multiLevelType w:val="hybridMultilevel"/>
    <w:tmpl w:val="5026343E"/>
    <w:lvl w:ilvl="0" w:tplc="240A0017">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6D0904"/>
    <w:multiLevelType w:val="hybridMultilevel"/>
    <w:tmpl w:val="27822F88"/>
    <w:name w:val="SECCION22"/>
    <w:lvl w:ilvl="0" w:tplc="FFFFFFFF">
      <w:start w:val="1"/>
      <w:numFmt w:val="lowerLetter"/>
      <w:lvlText w:val="%1)"/>
      <w:lvlJc w:val="left"/>
      <w:pPr>
        <w:ind w:left="360" w:hanging="360"/>
      </w:pPr>
    </w:lvl>
    <w:lvl w:ilvl="1" w:tplc="FFFFFFFF" w:tentative="1">
      <w:start w:val="1"/>
      <w:numFmt w:val="lowerLetter"/>
      <w:lvlText w:val="%2."/>
      <w:lvlJc w:val="left"/>
      <w:pPr>
        <w:ind w:left="2924" w:hanging="360"/>
      </w:pPr>
    </w:lvl>
    <w:lvl w:ilvl="2" w:tplc="FFFFFFFF" w:tentative="1">
      <w:start w:val="1"/>
      <w:numFmt w:val="lowerRoman"/>
      <w:lvlText w:val="%3."/>
      <w:lvlJc w:val="right"/>
      <w:pPr>
        <w:ind w:left="3644" w:hanging="180"/>
      </w:pPr>
    </w:lvl>
    <w:lvl w:ilvl="3" w:tplc="FFFFFFFF" w:tentative="1">
      <w:start w:val="1"/>
      <w:numFmt w:val="decimal"/>
      <w:lvlText w:val="%4."/>
      <w:lvlJc w:val="left"/>
      <w:pPr>
        <w:ind w:left="4364" w:hanging="360"/>
      </w:pPr>
    </w:lvl>
    <w:lvl w:ilvl="4" w:tplc="FFFFFFFF" w:tentative="1">
      <w:start w:val="1"/>
      <w:numFmt w:val="lowerLetter"/>
      <w:lvlText w:val="%5."/>
      <w:lvlJc w:val="left"/>
      <w:pPr>
        <w:ind w:left="5084" w:hanging="360"/>
      </w:pPr>
    </w:lvl>
    <w:lvl w:ilvl="5" w:tplc="FFFFFFFF" w:tentative="1">
      <w:start w:val="1"/>
      <w:numFmt w:val="lowerRoman"/>
      <w:lvlText w:val="%6."/>
      <w:lvlJc w:val="right"/>
      <w:pPr>
        <w:ind w:left="5804" w:hanging="180"/>
      </w:pPr>
    </w:lvl>
    <w:lvl w:ilvl="6" w:tplc="FFFFFFFF" w:tentative="1">
      <w:start w:val="1"/>
      <w:numFmt w:val="decimal"/>
      <w:lvlText w:val="%7."/>
      <w:lvlJc w:val="left"/>
      <w:pPr>
        <w:ind w:left="6524" w:hanging="360"/>
      </w:pPr>
    </w:lvl>
    <w:lvl w:ilvl="7" w:tplc="FFFFFFFF" w:tentative="1">
      <w:start w:val="1"/>
      <w:numFmt w:val="lowerLetter"/>
      <w:lvlText w:val="%8."/>
      <w:lvlJc w:val="left"/>
      <w:pPr>
        <w:ind w:left="7244" w:hanging="360"/>
      </w:pPr>
    </w:lvl>
    <w:lvl w:ilvl="8" w:tplc="FFFFFFFF" w:tentative="1">
      <w:start w:val="1"/>
      <w:numFmt w:val="lowerRoman"/>
      <w:lvlText w:val="%9."/>
      <w:lvlJc w:val="right"/>
      <w:pPr>
        <w:ind w:left="7964" w:hanging="180"/>
      </w:pPr>
    </w:lvl>
  </w:abstractNum>
  <w:abstractNum w:abstractNumId="25" w15:restartNumberingAfterBreak="0">
    <w:nsid w:val="62760887"/>
    <w:multiLevelType w:val="hybridMultilevel"/>
    <w:tmpl w:val="A3AA2F7C"/>
    <w:name w:val="SECCION22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2C2700"/>
    <w:multiLevelType w:val="multilevel"/>
    <w:tmpl w:val="415A726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7" w15:restartNumberingAfterBreak="0">
    <w:nsid w:val="680D101A"/>
    <w:multiLevelType w:val="hybridMultilevel"/>
    <w:tmpl w:val="A22C1F46"/>
    <w:name w:val="SECCION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6C944330"/>
    <w:multiLevelType w:val="hybridMultilevel"/>
    <w:tmpl w:val="A3E0751C"/>
    <w:lvl w:ilvl="0" w:tplc="B04AB476">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75440854"/>
    <w:multiLevelType w:val="hybridMultilevel"/>
    <w:tmpl w:val="543A8534"/>
    <w:name w:val="WW8Num6422"/>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7B1045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num w:numId="1">
    <w:abstractNumId w:val="6"/>
  </w:num>
  <w:num w:numId="2">
    <w:abstractNumId w:val="2"/>
  </w:num>
  <w:num w:numId="3">
    <w:abstractNumId w:val="15"/>
  </w:num>
  <w:num w:numId="4">
    <w:abstractNumId w:val="17"/>
  </w:num>
  <w:num w:numId="5">
    <w:abstractNumId w:val="0"/>
  </w:num>
  <w:num w:numId="6">
    <w:abstractNumId w:val="5"/>
  </w:num>
  <w:num w:numId="7">
    <w:abstractNumId w:val="8"/>
    <w:lvlOverride w:ilvl="0">
      <w:startOverride w:val="1"/>
    </w:lvlOverride>
  </w:num>
  <w:num w:numId="8">
    <w:abstractNumId w:val="4"/>
  </w:num>
  <w:num w:numId="9">
    <w:abstractNumId w:val="14"/>
  </w:num>
  <w:num w:numId="10">
    <w:abstractNumId w:val="30"/>
  </w:num>
  <w:num w:numId="11">
    <w:abstractNumId w:val="7"/>
  </w:num>
  <w:num w:numId="12">
    <w:abstractNumId w:val="26"/>
  </w:num>
  <w:num w:numId="13">
    <w:abstractNumId w:val="16"/>
  </w:num>
  <w:num w:numId="14">
    <w:abstractNumId w:val="27"/>
  </w:num>
  <w:num w:numId="15">
    <w:abstractNumId w:val="11"/>
  </w:num>
  <w:num w:numId="16">
    <w:abstractNumId w:val="23"/>
  </w:num>
  <w:num w:numId="17">
    <w:abstractNumId w:val="12"/>
  </w:num>
  <w:num w:numId="18">
    <w:abstractNumId w:val="25"/>
  </w:num>
  <w:num w:numId="19">
    <w:abstractNumId w:val="19"/>
  </w:num>
  <w:num w:numId="20">
    <w:abstractNumId w:val="21"/>
  </w:num>
  <w:num w:numId="21">
    <w:abstractNumId w:val="10"/>
  </w:num>
  <w:num w:numId="22">
    <w:abstractNumId w:val="18"/>
  </w:num>
  <w:num w:numId="23">
    <w:abstractNumId w:val="9"/>
  </w:num>
  <w:num w:numId="24">
    <w:abstractNumId w:val="22"/>
  </w:num>
  <w:num w:numId="25">
    <w:abstractNumId w:val="13"/>
  </w:num>
  <w:num w:numId="26">
    <w:abstractNumId w:val="28"/>
  </w:num>
  <w:num w:numId="27">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08"/>
  <w:hyphenationZone w:val="425"/>
  <w:drawingGridHorizontalSpacing w:val="120"/>
  <w:displayHorizontalDrawingGridEvery w:val="2"/>
  <w:noPunctuationKerning/>
  <w:characterSpacingControl w:val="doNotCompress"/>
  <w:savePreviewPicture/>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2E"/>
    <w:rsid w:val="000011E3"/>
    <w:rsid w:val="000019FA"/>
    <w:rsid w:val="00002027"/>
    <w:rsid w:val="000035BA"/>
    <w:rsid w:val="0000378C"/>
    <w:rsid w:val="00003C0B"/>
    <w:rsid w:val="00004749"/>
    <w:rsid w:val="000053E3"/>
    <w:rsid w:val="000060D2"/>
    <w:rsid w:val="00006AE2"/>
    <w:rsid w:val="00006C1C"/>
    <w:rsid w:val="000076A1"/>
    <w:rsid w:val="00007951"/>
    <w:rsid w:val="000079F7"/>
    <w:rsid w:val="00010596"/>
    <w:rsid w:val="00010D1C"/>
    <w:rsid w:val="000114E8"/>
    <w:rsid w:val="00012259"/>
    <w:rsid w:val="00012E7B"/>
    <w:rsid w:val="000130AB"/>
    <w:rsid w:val="000131A1"/>
    <w:rsid w:val="000150A9"/>
    <w:rsid w:val="000151EE"/>
    <w:rsid w:val="00015C2B"/>
    <w:rsid w:val="00016471"/>
    <w:rsid w:val="000167F6"/>
    <w:rsid w:val="00016A51"/>
    <w:rsid w:val="0002310D"/>
    <w:rsid w:val="00023D67"/>
    <w:rsid w:val="00023F2C"/>
    <w:rsid w:val="00024542"/>
    <w:rsid w:val="000248FE"/>
    <w:rsid w:val="00024A0A"/>
    <w:rsid w:val="00025383"/>
    <w:rsid w:val="00026E30"/>
    <w:rsid w:val="000319FE"/>
    <w:rsid w:val="0003214B"/>
    <w:rsid w:val="00032861"/>
    <w:rsid w:val="00032A5E"/>
    <w:rsid w:val="00032AE0"/>
    <w:rsid w:val="00032C64"/>
    <w:rsid w:val="00033622"/>
    <w:rsid w:val="00033DED"/>
    <w:rsid w:val="00035BAC"/>
    <w:rsid w:val="00036B2A"/>
    <w:rsid w:val="00037353"/>
    <w:rsid w:val="00037BAC"/>
    <w:rsid w:val="00040093"/>
    <w:rsid w:val="0004101E"/>
    <w:rsid w:val="00042820"/>
    <w:rsid w:val="00042D31"/>
    <w:rsid w:val="00043803"/>
    <w:rsid w:val="00043B9D"/>
    <w:rsid w:val="00044816"/>
    <w:rsid w:val="00044A09"/>
    <w:rsid w:val="00044D74"/>
    <w:rsid w:val="000451DE"/>
    <w:rsid w:val="00045D3D"/>
    <w:rsid w:val="00045F9B"/>
    <w:rsid w:val="00046205"/>
    <w:rsid w:val="000471C1"/>
    <w:rsid w:val="000471D3"/>
    <w:rsid w:val="0004770C"/>
    <w:rsid w:val="000532BF"/>
    <w:rsid w:val="000532EB"/>
    <w:rsid w:val="00053D1F"/>
    <w:rsid w:val="00053E7F"/>
    <w:rsid w:val="000546C6"/>
    <w:rsid w:val="00055A27"/>
    <w:rsid w:val="00057168"/>
    <w:rsid w:val="00057317"/>
    <w:rsid w:val="00057EB7"/>
    <w:rsid w:val="000612F5"/>
    <w:rsid w:val="00061E36"/>
    <w:rsid w:val="000622D7"/>
    <w:rsid w:val="00062A61"/>
    <w:rsid w:val="00063478"/>
    <w:rsid w:val="00063657"/>
    <w:rsid w:val="00063C4E"/>
    <w:rsid w:val="0006486B"/>
    <w:rsid w:val="000650B5"/>
    <w:rsid w:val="00065763"/>
    <w:rsid w:val="00065E1C"/>
    <w:rsid w:val="0006733E"/>
    <w:rsid w:val="000717F7"/>
    <w:rsid w:val="000738F2"/>
    <w:rsid w:val="000748E7"/>
    <w:rsid w:val="000749B5"/>
    <w:rsid w:val="00074B17"/>
    <w:rsid w:val="00074C13"/>
    <w:rsid w:val="00075CD4"/>
    <w:rsid w:val="00076680"/>
    <w:rsid w:val="00076A1D"/>
    <w:rsid w:val="000776BE"/>
    <w:rsid w:val="00077A7C"/>
    <w:rsid w:val="0008073E"/>
    <w:rsid w:val="00081BFA"/>
    <w:rsid w:val="00081C12"/>
    <w:rsid w:val="00082023"/>
    <w:rsid w:val="000821CF"/>
    <w:rsid w:val="000840AB"/>
    <w:rsid w:val="00084546"/>
    <w:rsid w:val="0008464E"/>
    <w:rsid w:val="00084933"/>
    <w:rsid w:val="0008510B"/>
    <w:rsid w:val="0008524C"/>
    <w:rsid w:val="0008532D"/>
    <w:rsid w:val="0008579D"/>
    <w:rsid w:val="00086156"/>
    <w:rsid w:val="000861DF"/>
    <w:rsid w:val="0008671D"/>
    <w:rsid w:val="00090CCD"/>
    <w:rsid w:val="00091089"/>
    <w:rsid w:val="000910C8"/>
    <w:rsid w:val="00091CDB"/>
    <w:rsid w:val="00092B2B"/>
    <w:rsid w:val="000931A3"/>
    <w:rsid w:val="000938B0"/>
    <w:rsid w:val="0009477F"/>
    <w:rsid w:val="00095053"/>
    <w:rsid w:val="00095070"/>
    <w:rsid w:val="00096E01"/>
    <w:rsid w:val="0009739D"/>
    <w:rsid w:val="000A0D83"/>
    <w:rsid w:val="000A106F"/>
    <w:rsid w:val="000A1377"/>
    <w:rsid w:val="000A1727"/>
    <w:rsid w:val="000A19AC"/>
    <w:rsid w:val="000A1DC5"/>
    <w:rsid w:val="000A2786"/>
    <w:rsid w:val="000A4082"/>
    <w:rsid w:val="000A4B28"/>
    <w:rsid w:val="000A5729"/>
    <w:rsid w:val="000A59FA"/>
    <w:rsid w:val="000A5DCA"/>
    <w:rsid w:val="000A67DB"/>
    <w:rsid w:val="000A6882"/>
    <w:rsid w:val="000A7289"/>
    <w:rsid w:val="000B1FBC"/>
    <w:rsid w:val="000B2646"/>
    <w:rsid w:val="000B2D6B"/>
    <w:rsid w:val="000B2EC9"/>
    <w:rsid w:val="000B3A44"/>
    <w:rsid w:val="000B7A3D"/>
    <w:rsid w:val="000C063D"/>
    <w:rsid w:val="000C1725"/>
    <w:rsid w:val="000C244D"/>
    <w:rsid w:val="000C2611"/>
    <w:rsid w:val="000C2A5E"/>
    <w:rsid w:val="000C2F14"/>
    <w:rsid w:val="000C3105"/>
    <w:rsid w:val="000C318A"/>
    <w:rsid w:val="000C31DE"/>
    <w:rsid w:val="000C3F2B"/>
    <w:rsid w:val="000C4641"/>
    <w:rsid w:val="000C4BEC"/>
    <w:rsid w:val="000C4C64"/>
    <w:rsid w:val="000C5381"/>
    <w:rsid w:val="000C57D7"/>
    <w:rsid w:val="000C5B4B"/>
    <w:rsid w:val="000C5F69"/>
    <w:rsid w:val="000C704C"/>
    <w:rsid w:val="000D26F8"/>
    <w:rsid w:val="000D2741"/>
    <w:rsid w:val="000D3338"/>
    <w:rsid w:val="000D358B"/>
    <w:rsid w:val="000D3CF4"/>
    <w:rsid w:val="000D4382"/>
    <w:rsid w:val="000D4681"/>
    <w:rsid w:val="000D5AF8"/>
    <w:rsid w:val="000D6688"/>
    <w:rsid w:val="000D6CC5"/>
    <w:rsid w:val="000D7E69"/>
    <w:rsid w:val="000E0508"/>
    <w:rsid w:val="000E0C8A"/>
    <w:rsid w:val="000E1183"/>
    <w:rsid w:val="000E40AD"/>
    <w:rsid w:val="000E4BE9"/>
    <w:rsid w:val="000E51AB"/>
    <w:rsid w:val="000E5BB6"/>
    <w:rsid w:val="000E722B"/>
    <w:rsid w:val="000E7538"/>
    <w:rsid w:val="000E7550"/>
    <w:rsid w:val="000E7742"/>
    <w:rsid w:val="000E792F"/>
    <w:rsid w:val="000E7EF1"/>
    <w:rsid w:val="000F02ED"/>
    <w:rsid w:val="000F0EDA"/>
    <w:rsid w:val="000F160C"/>
    <w:rsid w:val="000F265D"/>
    <w:rsid w:val="000F28B4"/>
    <w:rsid w:val="000F30EC"/>
    <w:rsid w:val="000F3B75"/>
    <w:rsid w:val="000F43F0"/>
    <w:rsid w:val="000F66D5"/>
    <w:rsid w:val="000F7B62"/>
    <w:rsid w:val="00100B50"/>
    <w:rsid w:val="00101438"/>
    <w:rsid w:val="0010193A"/>
    <w:rsid w:val="0010227B"/>
    <w:rsid w:val="00102983"/>
    <w:rsid w:val="00102C9C"/>
    <w:rsid w:val="0010345B"/>
    <w:rsid w:val="001063B5"/>
    <w:rsid w:val="0010790F"/>
    <w:rsid w:val="00107C71"/>
    <w:rsid w:val="00107D51"/>
    <w:rsid w:val="00107E93"/>
    <w:rsid w:val="001103F5"/>
    <w:rsid w:val="00110904"/>
    <w:rsid w:val="00110FEC"/>
    <w:rsid w:val="00111DBE"/>
    <w:rsid w:val="00112DE5"/>
    <w:rsid w:val="00113846"/>
    <w:rsid w:val="00113B81"/>
    <w:rsid w:val="00113DCE"/>
    <w:rsid w:val="00115499"/>
    <w:rsid w:val="00116BE0"/>
    <w:rsid w:val="00117999"/>
    <w:rsid w:val="00117FFD"/>
    <w:rsid w:val="001210AB"/>
    <w:rsid w:val="00121C01"/>
    <w:rsid w:val="00122975"/>
    <w:rsid w:val="00123466"/>
    <w:rsid w:val="00123579"/>
    <w:rsid w:val="00124650"/>
    <w:rsid w:val="00124735"/>
    <w:rsid w:val="00124E88"/>
    <w:rsid w:val="0012515F"/>
    <w:rsid w:val="00125610"/>
    <w:rsid w:val="00126899"/>
    <w:rsid w:val="00126C63"/>
    <w:rsid w:val="0013070E"/>
    <w:rsid w:val="00131E79"/>
    <w:rsid w:val="00133575"/>
    <w:rsid w:val="00134389"/>
    <w:rsid w:val="0013526C"/>
    <w:rsid w:val="00135432"/>
    <w:rsid w:val="00136692"/>
    <w:rsid w:val="001405C6"/>
    <w:rsid w:val="00141013"/>
    <w:rsid w:val="00142B3D"/>
    <w:rsid w:val="00142F2B"/>
    <w:rsid w:val="00143885"/>
    <w:rsid w:val="00145090"/>
    <w:rsid w:val="001457E5"/>
    <w:rsid w:val="00147066"/>
    <w:rsid w:val="00147526"/>
    <w:rsid w:val="001478DE"/>
    <w:rsid w:val="00147B21"/>
    <w:rsid w:val="0015022D"/>
    <w:rsid w:val="00150B1C"/>
    <w:rsid w:val="0015212A"/>
    <w:rsid w:val="00152157"/>
    <w:rsid w:val="001522C4"/>
    <w:rsid w:val="00152393"/>
    <w:rsid w:val="00152E91"/>
    <w:rsid w:val="00153E8D"/>
    <w:rsid w:val="001550F1"/>
    <w:rsid w:val="00155138"/>
    <w:rsid w:val="00155218"/>
    <w:rsid w:val="00155596"/>
    <w:rsid w:val="00156878"/>
    <w:rsid w:val="0015769B"/>
    <w:rsid w:val="00157B35"/>
    <w:rsid w:val="0016007C"/>
    <w:rsid w:val="001605EA"/>
    <w:rsid w:val="0016290D"/>
    <w:rsid w:val="001632BB"/>
    <w:rsid w:val="00164779"/>
    <w:rsid w:val="00164A54"/>
    <w:rsid w:val="00164C71"/>
    <w:rsid w:val="00164FDA"/>
    <w:rsid w:val="001660DC"/>
    <w:rsid w:val="001667FA"/>
    <w:rsid w:val="00167807"/>
    <w:rsid w:val="00167AA6"/>
    <w:rsid w:val="00167DDF"/>
    <w:rsid w:val="001708DD"/>
    <w:rsid w:val="00171691"/>
    <w:rsid w:val="0017287D"/>
    <w:rsid w:val="00172DFB"/>
    <w:rsid w:val="0017476B"/>
    <w:rsid w:val="00174BE6"/>
    <w:rsid w:val="0017533D"/>
    <w:rsid w:val="00176886"/>
    <w:rsid w:val="0018073E"/>
    <w:rsid w:val="00180ACD"/>
    <w:rsid w:val="00182888"/>
    <w:rsid w:val="00183625"/>
    <w:rsid w:val="001845A8"/>
    <w:rsid w:val="0018573D"/>
    <w:rsid w:val="00186449"/>
    <w:rsid w:val="001864E9"/>
    <w:rsid w:val="00186864"/>
    <w:rsid w:val="0018703E"/>
    <w:rsid w:val="001871CB"/>
    <w:rsid w:val="00187A40"/>
    <w:rsid w:val="00187B35"/>
    <w:rsid w:val="00191294"/>
    <w:rsid w:val="00191795"/>
    <w:rsid w:val="00192C6C"/>
    <w:rsid w:val="00192CBF"/>
    <w:rsid w:val="00192FF1"/>
    <w:rsid w:val="001935CB"/>
    <w:rsid w:val="00194824"/>
    <w:rsid w:val="00196912"/>
    <w:rsid w:val="00197478"/>
    <w:rsid w:val="001979F2"/>
    <w:rsid w:val="001A057F"/>
    <w:rsid w:val="001A0E69"/>
    <w:rsid w:val="001A2CF8"/>
    <w:rsid w:val="001A500F"/>
    <w:rsid w:val="001A5417"/>
    <w:rsid w:val="001A5E56"/>
    <w:rsid w:val="001A5F1B"/>
    <w:rsid w:val="001A6287"/>
    <w:rsid w:val="001A73AB"/>
    <w:rsid w:val="001B1756"/>
    <w:rsid w:val="001B1C22"/>
    <w:rsid w:val="001B3455"/>
    <w:rsid w:val="001B34C6"/>
    <w:rsid w:val="001B4D9D"/>
    <w:rsid w:val="001B5683"/>
    <w:rsid w:val="001B6221"/>
    <w:rsid w:val="001B62B4"/>
    <w:rsid w:val="001B63EC"/>
    <w:rsid w:val="001B689C"/>
    <w:rsid w:val="001B6B42"/>
    <w:rsid w:val="001C005F"/>
    <w:rsid w:val="001C15D5"/>
    <w:rsid w:val="001C28A4"/>
    <w:rsid w:val="001C301C"/>
    <w:rsid w:val="001C37D4"/>
    <w:rsid w:val="001C3F62"/>
    <w:rsid w:val="001C4128"/>
    <w:rsid w:val="001C51ED"/>
    <w:rsid w:val="001C52D4"/>
    <w:rsid w:val="001C5B0A"/>
    <w:rsid w:val="001C6329"/>
    <w:rsid w:val="001C7CA0"/>
    <w:rsid w:val="001D0971"/>
    <w:rsid w:val="001D0E43"/>
    <w:rsid w:val="001D1211"/>
    <w:rsid w:val="001D25D8"/>
    <w:rsid w:val="001D2C26"/>
    <w:rsid w:val="001D4287"/>
    <w:rsid w:val="001D51F0"/>
    <w:rsid w:val="001D5F3F"/>
    <w:rsid w:val="001D62D6"/>
    <w:rsid w:val="001D6352"/>
    <w:rsid w:val="001D72E8"/>
    <w:rsid w:val="001D7832"/>
    <w:rsid w:val="001D797E"/>
    <w:rsid w:val="001D7B47"/>
    <w:rsid w:val="001E0F40"/>
    <w:rsid w:val="001E1236"/>
    <w:rsid w:val="001E1870"/>
    <w:rsid w:val="001E1970"/>
    <w:rsid w:val="001E200A"/>
    <w:rsid w:val="001E3E4D"/>
    <w:rsid w:val="001E4AC4"/>
    <w:rsid w:val="001E4C32"/>
    <w:rsid w:val="001E4F36"/>
    <w:rsid w:val="001E54E0"/>
    <w:rsid w:val="001E5D27"/>
    <w:rsid w:val="001E6A19"/>
    <w:rsid w:val="001E7F82"/>
    <w:rsid w:val="001F07B0"/>
    <w:rsid w:val="001F11AB"/>
    <w:rsid w:val="001F1717"/>
    <w:rsid w:val="001F2A00"/>
    <w:rsid w:val="001F2B70"/>
    <w:rsid w:val="001F30D9"/>
    <w:rsid w:val="001F4188"/>
    <w:rsid w:val="001F4992"/>
    <w:rsid w:val="001F4A23"/>
    <w:rsid w:val="001F55D1"/>
    <w:rsid w:val="001F5810"/>
    <w:rsid w:val="00200289"/>
    <w:rsid w:val="00200BC4"/>
    <w:rsid w:val="0020144A"/>
    <w:rsid w:val="00201B57"/>
    <w:rsid w:val="00202960"/>
    <w:rsid w:val="00202CCF"/>
    <w:rsid w:val="0020412E"/>
    <w:rsid w:val="0020432A"/>
    <w:rsid w:val="002043A9"/>
    <w:rsid w:val="002046BF"/>
    <w:rsid w:val="00205B0D"/>
    <w:rsid w:val="00210DC1"/>
    <w:rsid w:val="00211139"/>
    <w:rsid w:val="0021136B"/>
    <w:rsid w:val="00211B94"/>
    <w:rsid w:val="00211C80"/>
    <w:rsid w:val="00211D34"/>
    <w:rsid w:val="0021287A"/>
    <w:rsid w:val="00212CA8"/>
    <w:rsid w:val="002132F8"/>
    <w:rsid w:val="002147D8"/>
    <w:rsid w:val="00214F04"/>
    <w:rsid w:val="00215C1B"/>
    <w:rsid w:val="00216922"/>
    <w:rsid w:val="002171AE"/>
    <w:rsid w:val="0021723C"/>
    <w:rsid w:val="00217893"/>
    <w:rsid w:val="00220722"/>
    <w:rsid w:val="00220B81"/>
    <w:rsid w:val="00221D3F"/>
    <w:rsid w:val="00222DA3"/>
    <w:rsid w:val="00223C3A"/>
    <w:rsid w:val="00223E05"/>
    <w:rsid w:val="00224184"/>
    <w:rsid w:val="002247C8"/>
    <w:rsid w:val="00225A29"/>
    <w:rsid w:val="00226540"/>
    <w:rsid w:val="0022753E"/>
    <w:rsid w:val="002275C4"/>
    <w:rsid w:val="00227E8B"/>
    <w:rsid w:val="002301BC"/>
    <w:rsid w:val="00231CC5"/>
    <w:rsid w:val="00232BB9"/>
    <w:rsid w:val="00233810"/>
    <w:rsid w:val="00233842"/>
    <w:rsid w:val="00233F0A"/>
    <w:rsid w:val="00235823"/>
    <w:rsid w:val="00235E58"/>
    <w:rsid w:val="00235FB7"/>
    <w:rsid w:val="00237A03"/>
    <w:rsid w:val="0024086B"/>
    <w:rsid w:val="00240A96"/>
    <w:rsid w:val="00241677"/>
    <w:rsid w:val="00241D62"/>
    <w:rsid w:val="00243991"/>
    <w:rsid w:val="00243FE7"/>
    <w:rsid w:val="002446D1"/>
    <w:rsid w:val="00245130"/>
    <w:rsid w:val="00245AF1"/>
    <w:rsid w:val="00245EF3"/>
    <w:rsid w:val="0024665D"/>
    <w:rsid w:val="00246AA4"/>
    <w:rsid w:val="00247205"/>
    <w:rsid w:val="0024732F"/>
    <w:rsid w:val="00247A48"/>
    <w:rsid w:val="00250829"/>
    <w:rsid w:val="002516DF"/>
    <w:rsid w:val="00251D28"/>
    <w:rsid w:val="00251EE7"/>
    <w:rsid w:val="002520B5"/>
    <w:rsid w:val="00253361"/>
    <w:rsid w:val="0025369E"/>
    <w:rsid w:val="00253CE1"/>
    <w:rsid w:val="00253EC7"/>
    <w:rsid w:val="0025530B"/>
    <w:rsid w:val="00257893"/>
    <w:rsid w:val="00257A57"/>
    <w:rsid w:val="002615C0"/>
    <w:rsid w:val="00261A8F"/>
    <w:rsid w:val="00262EDB"/>
    <w:rsid w:val="0026685F"/>
    <w:rsid w:val="0026699F"/>
    <w:rsid w:val="00266CD6"/>
    <w:rsid w:val="0026729A"/>
    <w:rsid w:val="00270880"/>
    <w:rsid w:val="002710D1"/>
    <w:rsid w:val="00273077"/>
    <w:rsid w:val="00274993"/>
    <w:rsid w:val="002750FB"/>
    <w:rsid w:val="00275215"/>
    <w:rsid w:val="00275DAB"/>
    <w:rsid w:val="00275E5C"/>
    <w:rsid w:val="00275F75"/>
    <w:rsid w:val="00275F96"/>
    <w:rsid w:val="002768F8"/>
    <w:rsid w:val="00276F91"/>
    <w:rsid w:val="00277813"/>
    <w:rsid w:val="002804E8"/>
    <w:rsid w:val="00282522"/>
    <w:rsid w:val="00282C5D"/>
    <w:rsid w:val="00283300"/>
    <w:rsid w:val="002837BC"/>
    <w:rsid w:val="00284CBA"/>
    <w:rsid w:val="00285702"/>
    <w:rsid w:val="00285C55"/>
    <w:rsid w:val="002923B9"/>
    <w:rsid w:val="00292E60"/>
    <w:rsid w:val="0029609F"/>
    <w:rsid w:val="002961E9"/>
    <w:rsid w:val="00296B45"/>
    <w:rsid w:val="002976E2"/>
    <w:rsid w:val="00297BDE"/>
    <w:rsid w:val="002A0283"/>
    <w:rsid w:val="002A0BF6"/>
    <w:rsid w:val="002A28B9"/>
    <w:rsid w:val="002A2A03"/>
    <w:rsid w:val="002A377A"/>
    <w:rsid w:val="002A41EE"/>
    <w:rsid w:val="002A782A"/>
    <w:rsid w:val="002B00D5"/>
    <w:rsid w:val="002B0EA7"/>
    <w:rsid w:val="002B11E2"/>
    <w:rsid w:val="002B1588"/>
    <w:rsid w:val="002B1E70"/>
    <w:rsid w:val="002B24B8"/>
    <w:rsid w:val="002B3164"/>
    <w:rsid w:val="002B43D7"/>
    <w:rsid w:val="002B46ED"/>
    <w:rsid w:val="002B4A7B"/>
    <w:rsid w:val="002B57CC"/>
    <w:rsid w:val="002B5983"/>
    <w:rsid w:val="002C09FD"/>
    <w:rsid w:val="002C12E5"/>
    <w:rsid w:val="002C2124"/>
    <w:rsid w:val="002C22DA"/>
    <w:rsid w:val="002C306F"/>
    <w:rsid w:val="002C4B0B"/>
    <w:rsid w:val="002C4F1B"/>
    <w:rsid w:val="002C5890"/>
    <w:rsid w:val="002C59AF"/>
    <w:rsid w:val="002C710D"/>
    <w:rsid w:val="002C73CA"/>
    <w:rsid w:val="002D140B"/>
    <w:rsid w:val="002D14C2"/>
    <w:rsid w:val="002D3156"/>
    <w:rsid w:val="002D356F"/>
    <w:rsid w:val="002D3AE9"/>
    <w:rsid w:val="002D3DC4"/>
    <w:rsid w:val="002D4510"/>
    <w:rsid w:val="002D5C44"/>
    <w:rsid w:val="002D6AD3"/>
    <w:rsid w:val="002D6CB3"/>
    <w:rsid w:val="002D6DE1"/>
    <w:rsid w:val="002D7CE0"/>
    <w:rsid w:val="002E05A5"/>
    <w:rsid w:val="002E089B"/>
    <w:rsid w:val="002E14DC"/>
    <w:rsid w:val="002E1881"/>
    <w:rsid w:val="002E2101"/>
    <w:rsid w:val="002E2212"/>
    <w:rsid w:val="002E254C"/>
    <w:rsid w:val="002E2A06"/>
    <w:rsid w:val="002E37CE"/>
    <w:rsid w:val="002E40B9"/>
    <w:rsid w:val="002E5087"/>
    <w:rsid w:val="002E6264"/>
    <w:rsid w:val="002E6526"/>
    <w:rsid w:val="002E74DC"/>
    <w:rsid w:val="002F0734"/>
    <w:rsid w:val="002F0B0A"/>
    <w:rsid w:val="002F11AF"/>
    <w:rsid w:val="002F139A"/>
    <w:rsid w:val="002F1F6D"/>
    <w:rsid w:val="002F3DA9"/>
    <w:rsid w:val="002F41D0"/>
    <w:rsid w:val="002F46E7"/>
    <w:rsid w:val="002F4789"/>
    <w:rsid w:val="002F4ACF"/>
    <w:rsid w:val="002F64A7"/>
    <w:rsid w:val="002F67A3"/>
    <w:rsid w:val="002F6E46"/>
    <w:rsid w:val="00300543"/>
    <w:rsid w:val="00300553"/>
    <w:rsid w:val="00302477"/>
    <w:rsid w:val="00303955"/>
    <w:rsid w:val="00303E83"/>
    <w:rsid w:val="0030426D"/>
    <w:rsid w:val="00305AB3"/>
    <w:rsid w:val="00305CA4"/>
    <w:rsid w:val="00306439"/>
    <w:rsid w:val="00306D08"/>
    <w:rsid w:val="00306FAE"/>
    <w:rsid w:val="003101DA"/>
    <w:rsid w:val="00310AFD"/>
    <w:rsid w:val="00311832"/>
    <w:rsid w:val="00312A45"/>
    <w:rsid w:val="00312BC9"/>
    <w:rsid w:val="003134ED"/>
    <w:rsid w:val="0031400F"/>
    <w:rsid w:val="00314757"/>
    <w:rsid w:val="00315048"/>
    <w:rsid w:val="003156BD"/>
    <w:rsid w:val="003163BC"/>
    <w:rsid w:val="00316BF6"/>
    <w:rsid w:val="00317FBA"/>
    <w:rsid w:val="0032044F"/>
    <w:rsid w:val="003211CE"/>
    <w:rsid w:val="00321A1F"/>
    <w:rsid w:val="003229FF"/>
    <w:rsid w:val="00322F62"/>
    <w:rsid w:val="00324408"/>
    <w:rsid w:val="003248C5"/>
    <w:rsid w:val="00324B20"/>
    <w:rsid w:val="00324B47"/>
    <w:rsid w:val="0032679A"/>
    <w:rsid w:val="0032698B"/>
    <w:rsid w:val="003301B7"/>
    <w:rsid w:val="00330B9B"/>
    <w:rsid w:val="00331614"/>
    <w:rsid w:val="0033162C"/>
    <w:rsid w:val="00331E07"/>
    <w:rsid w:val="0033205B"/>
    <w:rsid w:val="0033223A"/>
    <w:rsid w:val="003347B1"/>
    <w:rsid w:val="00336DE6"/>
    <w:rsid w:val="003372D2"/>
    <w:rsid w:val="003426D3"/>
    <w:rsid w:val="00343124"/>
    <w:rsid w:val="0034322F"/>
    <w:rsid w:val="00343661"/>
    <w:rsid w:val="00344E7D"/>
    <w:rsid w:val="00347F39"/>
    <w:rsid w:val="00350ADE"/>
    <w:rsid w:val="003515FA"/>
    <w:rsid w:val="00351639"/>
    <w:rsid w:val="0035403A"/>
    <w:rsid w:val="003541B6"/>
    <w:rsid w:val="00354E59"/>
    <w:rsid w:val="003550A9"/>
    <w:rsid w:val="0035527D"/>
    <w:rsid w:val="00355519"/>
    <w:rsid w:val="00355910"/>
    <w:rsid w:val="00360370"/>
    <w:rsid w:val="00360BC3"/>
    <w:rsid w:val="00361A4D"/>
    <w:rsid w:val="00362331"/>
    <w:rsid w:val="00362A66"/>
    <w:rsid w:val="0036394B"/>
    <w:rsid w:val="0036414D"/>
    <w:rsid w:val="00364375"/>
    <w:rsid w:val="003645D5"/>
    <w:rsid w:val="003647F4"/>
    <w:rsid w:val="0036677A"/>
    <w:rsid w:val="00366DB6"/>
    <w:rsid w:val="003709B5"/>
    <w:rsid w:val="003723DA"/>
    <w:rsid w:val="00372F10"/>
    <w:rsid w:val="0037331A"/>
    <w:rsid w:val="00374957"/>
    <w:rsid w:val="00374F22"/>
    <w:rsid w:val="003759C2"/>
    <w:rsid w:val="00377DE6"/>
    <w:rsid w:val="00382730"/>
    <w:rsid w:val="0038443C"/>
    <w:rsid w:val="003848C6"/>
    <w:rsid w:val="00385A02"/>
    <w:rsid w:val="00385C1C"/>
    <w:rsid w:val="0038648C"/>
    <w:rsid w:val="00387095"/>
    <w:rsid w:val="00387231"/>
    <w:rsid w:val="00391051"/>
    <w:rsid w:val="00393197"/>
    <w:rsid w:val="003931E2"/>
    <w:rsid w:val="00394052"/>
    <w:rsid w:val="00395495"/>
    <w:rsid w:val="00395A61"/>
    <w:rsid w:val="00395D05"/>
    <w:rsid w:val="0039720E"/>
    <w:rsid w:val="00397365"/>
    <w:rsid w:val="003A0E77"/>
    <w:rsid w:val="003A217A"/>
    <w:rsid w:val="003A2D69"/>
    <w:rsid w:val="003A31F6"/>
    <w:rsid w:val="003A3772"/>
    <w:rsid w:val="003A4743"/>
    <w:rsid w:val="003A4783"/>
    <w:rsid w:val="003A4B61"/>
    <w:rsid w:val="003A5B21"/>
    <w:rsid w:val="003A6AFC"/>
    <w:rsid w:val="003A6C52"/>
    <w:rsid w:val="003A6E46"/>
    <w:rsid w:val="003B01D4"/>
    <w:rsid w:val="003B09C7"/>
    <w:rsid w:val="003B0C2C"/>
    <w:rsid w:val="003B2174"/>
    <w:rsid w:val="003B2469"/>
    <w:rsid w:val="003B24D5"/>
    <w:rsid w:val="003B25B3"/>
    <w:rsid w:val="003B4C07"/>
    <w:rsid w:val="003B620D"/>
    <w:rsid w:val="003B701A"/>
    <w:rsid w:val="003B789E"/>
    <w:rsid w:val="003B7B04"/>
    <w:rsid w:val="003C0FA2"/>
    <w:rsid w:val="003C16E1"/>
    <w:rsid w:val="003C3447"/>
    <w:rsid w:val="003C3981"/>
    <w:rsid w:val="003C3F31"/>
    <w:rsid w:val="003C52E7"/>
    <w:rsid w:val="003C5A8F"/>
    <w:rsid w:val="003C635E"/>
    <w:rsid w:val="003C63D7"/>
    <w:rsid w:val="003D076C"/>
    <w:rsid w:val="003D0CA7"/>
    <w:rsid w:val="003D0E62"/>
    <w:rsid w:val="003D16AC"/>
    <w:rsid w:val="003D2BC2"/>
    <w:rsid w:val="003D3ABB"/>
    <w:rsid w:val="003D4261"/>
    <w:rsid w:val="003D43FA"/>
    <w:rsid w:val="003D5B62"/>
    <w:rsid w:val="003D5E52"/>
    <w:rsid w:val="003D60DE"/>
    <w:rsid w:val="003D68D4"/>
    <w:rsid w:val="003D6AD5"/>
    <w:rsid w:val="003D724D"/>
    <w:rsid w:val="003D7DB9"/>
    <w:rsid w:val="003E113A"/>
    <w:rsid w:val="003E2341"/>
    <w:rsid w:val="003E25DD"/>
    <w:rsid w:val="003E3419"/>
    <w:rsid w:val="003E3CD6"/>
    <w:rsid w:val="003E5B15"/>
    <w:rsid w:val="003E6876"/>
    <w:rsid w:val="003E6924"/>
    <w:rsid w:val="003E6D5C"/>
    <w:rsid w:val="003E70D1"/>
    <w:rsid w:val="003E7401"/>
    <w:rsid w:val="003E74DD"/>
    <w:rsid w:val="003E7625"/>
    <w:rsid w:val="003E78B5"/>
    <w:rsid w:val="003F09C3"/>
    <w:rsid w:val="003F0B04"/>
    <w:rsid w:val="003F17B4"/>
    <w:rsid w:val="003F1F3D"/>
    <w:rsid w:val="003F232A"/>
    <w:rsid w:val="003F3117"/>
    <w:rsid w:val="003F50D9"/>
    <w:rsid w:val="003F51A8"/>
    <w:rsid w:val="003F557E"/>
    <w:rsid w:val="003F55C7"/>
    <w:rsid w:val="003F5BC3"/>
    <w:rsid w:val="003F6899"/>
    <w:rsid w:val="004027AE"/>
    <w:rsid w:val="004034E8"/>
    <w:rsid w:val="00404FCC"/>
    <w:rsid w:val="00405C0D"/>
    <w:rsid w:val="00406C42"/>
    <w:rsid w:val="004102AE"/>
    <w:rsid w:val="004109E9"/>
    <w:rsid w:val="004151D1"/>
    <w:rsid w:val="0041533E"/>
    <w:rsid w:val="00415658"/>
    <w:rsid w:val="00415BAB"/>
    <w:rsid w:val="00415ED2"/>
    <w:rsid w:val="004161AE"/>
    <w:rsid w:val="00416BC7"/>
    <w:rsid w:val="00417E6B"/>
    <w:rsid w:val="0042068C"/>
    <w:rsid w:val="0042084E"/>
    <w:rsid w:val="004214F7"/>
    <w:rsid w:val="00421929"/>
    <w:rsid w:val="00422ADE"/>
    <w:rsid w:val="004233F7"/>
    <w:rsid w:val="00423A9D"/>
    <w:rsid w:val="00423EA4"/>
    <w:rsid w:val="00424942"/>
    <w:rsid w:val="00424A2A"/>
    <w:rsid w:val="0042558E"/>
    <w:rsid w:val="00426BDB"/>
    <w:rsid w:val="00426F86"/>
    <w:rsid w:val="00427A91"/>
    <w:rsid w:val="00427B66"/>
    <w:rsid w:val="004309BE"/>
    <w:rsid w:val="004315A6"/>
    <w:rsid w:val="0043280A"/>
    <w:rsid w:val="004338CB"/>
    <w:rsid w:val="00434E1F"/>
    <w:rsid w:val="004359B3"/>
    <w:rsid w:val="00437F71"/>
    <w:rsid w:val="00442203"/>
    <w:rsid w:val="00442475"/>
    <w:rsid w:val="00442ED5"/>
    <w:rsid w:val="0044318E"/>
    <w:rsid w:val="00444034"/>
    <w:rsid w:val="00444E55"/>
    <w:rsid w:val="00444EA7"/>
    <w:rsid w:val="00445924"/>
    <w:rsid w:val="0044618E"/>
    <w:rsid w:val="004475F0"/>
    <w:rsid w:val="00450409"/>
    <w:rsid w:val="00450DAA"/>
    <w:rsid w:val="004514EA"/>
    <w:rsid w:val="00451E7C"/>
    <w:rsid w:val="00452003"/>
    <w:rsid w:val="004528BD"/>
    <w:rsid w:val="004601B9"/>
    <w:rsid w:val="00460CB8"/>
    <w:rsid w:val="0046114C"/>
    <w:rsid w:val="00461E8F"/>
    <w:rsid w:val="004632D2"/>
    <w:rsid w:val="00465019"/>
    <w:rsid w:val="00465BC9"/>
    <w:rsid w:val="00467840"/>
    <w:rsid w:val="004678B0"/>
    <w:rsid w:val="00467A37"/>
    <w:rsid w:val="0047122B"/>
    <w:rsid w:val="004717B3"/>
    <w:rsid w:val="0047352F"/>
    <w:rsid w:val="004736B7"/>
    <w:rsid w:val="00473B7A"/>
    <w:rsid w:val="00474230"/>
    <w:rsid w:val="00474F0B"/>
    <w:rsid w:val="00475432"/>
    <w:rsid w:val="004757EE"/>
    <w:rsid w:val="00476107"/>
    <w:rsid w:val="0048144E"/>
    <w:rsid w:val="00482741"/>
    <w:rsid w:val="00482B54"/>
    <w:rsid w:val="0048335B"/>
    <w:rsid w:val="00483773"/>
    <w:rsid w:val="00483996"/>
    <w:rsid w:val="00485027"/>
    <w:rsid w:val="00485647"/>
    <w:rsid w:val="00486E70"/>
    <w:rsid w:val="00486F75"/>
    <w:rsid w:val="0049086F"/>
    <w:rsid w:val="00491679"/>
    <w:rsid w:val="00492850"/>
    <w:rsid w:val="00493101"/>
    <w:rsid w:val="004939EE"/>
    <w:rsid w:val="00494A58"/>
    <w:rsid w:val="00495EE5"/>
    <w:rsid w:val="00496083"/>
    <w:rsid w:val="004960E9"/>
    <w:rsid w:val="00496AB2"/>
    <w:rsid w:val="0049718F"/>
    <w:rsid w:val="00497678"/>
    <w:rsid w:val="004978AC"/>
    <w:rsid w:val="004A030F"/>
    <w:rsid w:val="004A054C"/>
    <w:rsid w:val="004A0A36"/>
    <w:rsid w:val="004A0C0D"/>
    <w:rsid w:val="004A0E95"/>
    <w:rsid w:val="004A1C63"/>
    <w:rsid w:val="004A24EC"/>
    <w:rsid w:val="004A2E88"/>
    <w:rsid w:val="004A317A"/>
    <w:rsid w:val="004A35ED"/>
    <w:rsid w:val="004A36E2"/>
    <w:rsid w:val="004A3A0C"/>
    <w:rsid w:val="004A405C"/>
    <w:rsid w:val="004A429E"/>
    <w:rsid w:val="004A4BBC"/>
    <w:rsid w:val="004A515E"/>
    <w:rsid w:val="004A5305"/>
    <w:rsid w:val="004A667B"/>
    <w:rsid w:val="004A6A50"/>
    <w:rsid w:val="004B185F"/>
    <w:rsid w:val="004B1DC9"/>
    <w:rsid w:val="004B234D"/>
    <w:rsid w:val="004B25B5"/>
    <w:rsid w:val="004B33B4"/>
    <w:rsid w:val="004B3CD5"/>
    <w:rsid w:val="004B4069"/>
    <w:rsid w:val="004B41FB"/>
    <w:rsid w:val="004B44F3"/>
    <w:rsid w:val="004B4EF4"/>
    <w:rsid w:val="004B501B"/>
    <w:rsid w:val="004B6F1F"/>
    <w:rsid w:val="004B7B4C"/>
    <w:rsid w:val="004C003D"/>
    <w:rsid w:val="004C03B6"/>
    <w:rsid w:val="004C1AFA"/>
    <w:rsid w:val="004C25C9"/>
    <w:rsid w:val="004C4A4F"/>
    <w:rsid w:val="004C5D17"/>
    <w:rsid w:val="004C5DF0"/>
    <w:rsid w:val="004C645A"/>
    <w:rsid w:val="004D20DD"/>
    <w:rsid w:val="004D2855"/>
    <w:rsid w:val="004D2A8B"/>
    <w:rsid w:val="004D2BE8"/>
    <w:rsid w:val="004D420E"/>
    <w:rsid w:val="004D44FC"/>
    <w:rsid w:val="004D62F8"/>
    <w:rsid w:val="004D72FF"/>
    <w:rsid w:val="004D7634"/>
    <w:rsid w:val="004E0A32"/>
    <w:rsid w:val="004E1595"/>
    <w:rsid w:val="004E1F1E"/>
    <w:rsid w:val="004E2397"/>
    <w:rsid w:val="004E298F"/>
    <w:rsid w:val="004E2A17"/>
    <w:rsid w:val="004E5324"/>
    <w:rsid w:val="004E5523"/>
    <w:rsid w:val="004E611A"/>
    <w:rsid w:val="004E61EB"/>
    <w:rsid w:val="004E7925"/>
    <w:rsid w:val="004F045B"/>
    <w:rsid w:val="004F06D3"/>
    <w:rsid w:val="004F2A6B"/>
    <w:rsid w:val="004F2C7A"/>
    <w:rsid w:val="004F56FC"/>
    <w:rsid w:val="004F6EC9"/>
    <w:rsid w:val="004F75AB"/>
    <w:rsid w:val="00500F77"/>
    <w:rsid w:val="005010E3"/>
    <w:rsid w:val="00501550"/>
    <w:rsid w:val="00501887"/>
    <w:rsid w:val="00501AED"/>
    <w:rsid w:val="00501C65"/>
    <w:rsid w:val="0050237A"/>
    <w:rsid w:val="005024D8"/>
    <w:rsid w:val="005046CB"/>
    <w:rsid w:val="00504D8E"/>
    <w:rsid w:val="005063FC"/>
    <w:rsid w:val="00506E23"/>
    <w:rsid w:val="0050764A"/>
    <w:rsid w:val="00507AFD"/>
    <w:rsid w:val="00507C90"/>
    <w:rsid w:val="00507CB7"/>
    <w:rsid w:val="00507E06"/>
    <w:rsid w:val="005104A4"/>
    <w:rsid w:val="00511919"/>
    <w:rsid w:val="00511A77"/>
    <w:rsid w:val="00511B08"/>
    <w:rsid w:val="005123EE"/>
    <w:rsid w:val="00512877"/>
    <w:rsid w:val="00512998"/>
    <w:rsid w:val="0051651C"/>
    <w:rsid w:val="00516CE7"/>
    <w:rsid w:val="0051741E"/>
    <w:rsid w:val="00517843"/>
    <w:rsid w:val="00521CFB"/>
    <w:rsid w:val="005221C4"/>
    <w:rsid w:val="00522517"/>
    <w:rsid w:val="00523CA7"/>
    <w:rsid w:val="00524E81"/>
    <w:rsid w:val="00526404"/>
    <w:rsid w:val="00526B30"/>
    <w:rsid w:val="00527320"/>
    <w:rsid w:val="00527328"/>
    <w:rsid w:val="00527AB8"/>
    <w:rsid w:val="005300D3"/>
    <w:rsid w:val="00530F29"/>
    <w:rsid w:val="0053162B"/>
    <w:rsid w:val="00533887"/>
    <w:rsid w:val="00533E22"/>
    <w:rsid w:val="0053517E"/>
    <w:rsid w:val="005351AA"/>
    <w:rsid w:val="00535305"/>
    <w:rsid w:val="005358DC"/>
    <w:rsid w:val="00535C07"/>
    <w:rsid w:val="00536316"/>
    <w:rsid w:val="00537B0A"/>
    <w:rsid w:val="00541403"/>
    <w:rsid w:val="00541EAE"/>
    <w:rsid w:val="00544C47"/>
    <w:rsid w:val="00544F1F"/>
    <w:rsid w:val="00544F82"/>
    <w:rsid w:val="00545704"/>
    <w:rsid w:val="00546A56"/>
    <w:rsid w:val="0054740F"/>
    <w:rsid w:val="00550093"/>
    <w:rsid w:val="0055018E"/>
    <w:rsid w:val="005509D2"/>
    <w:rsid w:val="00550CAF"/>
    <w:rsid w:val="005515FC"/>
    <w:rsid w:val="005516CD"/>
    <w:rsid w:val="005538E0"/>
    <w:rsid w:val="00554A6D"/>
    <w:rsid w:val="00554FC4"/>
    <w:rsid w:val="005563D3"/>
    <w:rsid w:val="00560A2A"/>
    <w:rsid w:val="00561929"/>
    <w:rsid w:val="00562472"/>
    <w:rsid w:val="005647AF"/>
    <w:rsid w:val="00564D15"/>
    <w:rsid w:val="00566A26"/>
    <w:rsid w:val="00570784"/>
    <w:rsid w:val="00570794"/>
    <w:rsid w:val="00570DA8"/>
    <w:rsid w:val="005715A2"/>
    <w:rsid w:val="005721F1"/>
    <w:rsid w:val="005726B8"/>
    <w:rsid w:val="00573027"/>
    <w:rsid w:val="0057392D"/>
    <w:rsid w:val="00573F5F"/>
    <w:rsid w:val="005744BB"/>
    <w:rsid w:val="00576FFD"/>
    <w:rsid w:val="0057713D"/>
    <w:rsid w:val="00577E51"/>
    <w:rsid w:val="0058025C"/>
    <w:rsid w:val="00584439"/>
    <w:rsid w:val="00584631"/>
    <w:rsid w:val="005858E8"/>
    <w:rsid w:val="00585C5D"/>
    <w:rsid w:val="0058683D"/>
    <w:rsid w:val="00586D62"/>
    <w:rsid w:val="00591370"/>
    <w:rsid w:val="00591D8A"/>
    <w:rsid w:val="00591E35"/>
    <w:rsid w:val="00593617"/>
    <w:rsid w:val="0059376D"/>
    <w:rsid w:val="00593C4F"/>
    <w:rsid w:val="00594202"/>
    <w:rsid w:val="00594223"/>
    <w:rsid w:val="005946A8"/>
    <w:rsid w:val="00595259"/>
    <w:rsid w:val="00595332"/>
    <w:rsid w:val="005961CC"/>
    <w:rsid w:val="0059636D"/>
    <w:rsid w:val="0059659F"/>
    <w:rsid w:val="00596632"/>
    <w:rsid w:val="00597A07"/>
    <w:rsid w:val="00597C25"/>
    <w:rsid w:val="005A054B"/>
    <w:rsid w:val="005A256A"/>
    <w:rsid w:val="005A25CF"/>
    <w:rsid w:val="005A3C86"/>
    <w:rsid w:val="005A4407"/>
    <w:rsid w:val="005A51B8"/>
    <w:rsid w:val="005A59EF"/>
    <w:rsid w:val="005A5E31"/>
    <w:rsid w:val="005A7179"/>
    <w:rsid w:val="005A721A"/>
    <w:rsid w:val="005A74EA"/>
    <w:rsid w:val="005B09ED"/>
    <w:rsid w:val="005B1B0D"/>
    <w:rsid w:val="005B1C7E"/>
    <w:rsid w:val="005B38F5"/>
    <w:rsid w:val="005B50FE"/>
    <w:rsid w:val="005B6203"/>
    <w:rsid w:val="005B7B0F"/>
    <w:rsid w:val="005B7C37"/>
    <w:rsid w:val="005C1759"/>
    <w:rsid w:val="005C2CDE"/>
    <w:rsid w:val="005C4C86"/>
    <w:rsid w:val="005C4EEC"/>
    <w:rsid w:val="005C50F3"/>
    <w:rsid w:val="005C5751"/>
    <w:rsid w:val="005C6976"/>
    <w:rsid w:val="005D11A4"/>
    <w:rsid w:val="005D286E"/>
    <w:rsid w:val="005D3415"/>
    <w:rsid w:val="005D37D8"/>
    <w:rsid w:val="005D3C5C"/>
    <w:rsid w:val="005D4E44"/>
    <w:rsid w:val="005D56D7"/>
    <w:rsid w:val="005D6284"/>
    <w:rsid w:val="005D71B6"/>
    <w:rsid w:val="005D75B3"/>
    <w:rsid w:val="005D7748"/>
    <w:rsid w:val="005D7A2C"/>
    <w:rsid w:val="005E08CD"/>
    <w:rsid w:val="005E0B7C"/>
    <w:rsid w:val="005E11FA"/>
    <w:rsid w:val="005E1CDE"/>
    <w:rsid w:val="005E3BD9"/>
    <w:rsid w:val="005E44E2"/>
    <w:rsid w:val="005E52A0"/>
    <w:rsid w:val="005E5A33"/>
    <w:rsid w:val="005E6323"/>
    <w:rsid w:val="005E63F2"/>
    <w:rsid w:val="005E6CE7"/>
    <w:rsid w:val="005E6F1A"/>
    <w:rsid w:val="005E7CAF"/>
    <w:rsid w:val="005F1176"/>
    <w:rsid w:val="005F157D"/>
    <w:rsid w:val="005F1620"/>
    <w:rsid w:val="005F29F1"/>
    <w:rsid w:val="005F4788"/>
    <w:rsid w:val="005F5232"/>
    <w:rsid w:val="005F611D"/>
    <w:rsid w:val="005F6522"/>
    <w:rsid w:val="005F6B6B"/>
    <w:rsid w:val="005F6B88"/>
    <w:rsid w:val="005F6F41"/>
    <w:rsid w:val="005F773B"/>
    <w:rsid w:val="005F7C5C"/>
    <w:rsid w:val="005F7D46"/>
    <w:rsid w:val="006017D0"/>
    <w:rsid w:val="00601B06"/>
    <w:rsid w:val="00602DB9"/>
    <w:rsid w:val="00603107"/>
    <w:rsid w:val="00603CE3"/>
    <w:rsid w:val="00606DA8"/>
    <w:rsid w:val="00610746"/>
    <w:rsid w:val="00610A50"/>
    <w:rsid w:val="00610FD5"/>
    <w:rsid w:val="006117E8"/>
    <w:rsid w:val="00612F3A"/>
    <w:rsid w:val="00613F03"/>
    <w:rsid w:val="006142AC"/>
    <w:rsid w:val="00615E9D"/>
    <w:rsid w:val="00617673"/>
    <w:rsid w:val="00620049"/>
    <w:rsid w:val="006200F2"/>
    <w:rsid w:val="00622928"/>
    <w:rsid w:val="0062292B"/>
    <w:rsid w:val="00622AC7"/>
    <w:rsid w:val="006237BB"/>
    <w:rsid w:val="00624F5A"/>
    <w:rsid w:val="006259E4"/>
    <w:rsid w:val="00625DC6"/>
    <w:rsid w:val="00630A25"/>
    <w:rsid w:val="00630AEB"/>
    <w:rsid w:val="00630EB4"/>
    <w:rsid w:val="0063112A"/>
    <w:rsid w:val="0063182C"/>
    <w:rsid w:val="00631C12"/>
    <w:rsid w:val="00632B03"/>
    <w:rsid w:val="00632C72"/>
    <w:rsid w:val="00632F0A"/>
    <w:rsid w:val="00633CFA"/>
    <w:rsid w:val="00633D58"/>
    <w:rsid w:val="006346D5"/>
    <w:rsid w:val="00634722"/>
    <w:rsid w:val="00636261"/>
    <w:rsid w:val="00636C6D"/>
    <w:rsid w:val="00637E55"/>
    <w:rsid w:val="006406C8"/>
    <w:rsid w:val="006411C9"/>
    <w:rsid w:val="006413AB"/>
    <w:rsid w:val="00642984"/>
    <w:rsid w:val="00642ADE"/>
    <w:rsid w:val="006434CA"/>
    <w:rsid w:val="00643643"/>
    <w:rsid w:val="0064391D"/>
    <w:rsid w:val="00643C62"/>
    <w:rsid w:val="00645CB0"/>
    <w:rsid w:val="00646032"/>
    <w:rsid w:val="00647193"/>
    <w:rsid w:val="00650471"/>
    <w:rsid w:val="0065057D"/>
    <w:rsid w:val="00650A06"/>
    <w:rsid w:val="00651821"/>
    <w:rsid w:val="00651F2D"/>
    <w:rsid w:val="0065298A"/>
    <w:rsid w:val="00652BB7"/>
    <w:rsid w:val="00653253"/>
    <w:rsid w:val="00653A2A"/>
    <w:rsid w:val="00654384"/>
    <w:rsid w:val="006565D2"/>
    <w:rsid w:val="00656BAB"/>
    <w:rsid w:val="00657398"/>
    <w:rsid w:val="006575D6"/>
    <w:rsid w:val="0066042A"/>
    <w:rsid w:val="00660485"/>
    <w:rsid w:val="006610C8"/>
    <w:rsid w:val="0066163F"/>
    <w:rsid w:val="00661A46"/>
    <w:rsid w:val="00662A2C"/>
    <w:rsid w:val="00662BF0"/>
    <w:rsid w:val="00662C1E"/>
    <w:rsid w:val="00662CC0"/>
    <w:rsid w:val="00662E41"/>
    <w:rsid w:val="00665428"/>
    <w:rsid w:val="006659BC"/>
    <w:rsid w:val="00665CDE"/>
    <w:rsid w:val="00666446"/>
    <w:rsid w:val="0066686B"/>
    <w:rsid w:val="006675CD"/>
    <w:rsid w:val="00667775"/>
    <w:rsid w:val="00667C8C"/>
    <w:rsid w:val="0067006C"/>
    <w:rsid w:val="00670AA8"/>
    <w:rsid w:val="00670F3C"/>
    <w:rsid w:val="00672EAF"/>
    <w:rsid w:val="0067368A"/>
    <w:rsid w:val="00674B15"/>
    <w:rsid w:val="006801D9"/>
    <w:rsid w:val="00680289"/>
    <w:rsid w:val="00681BFD"/>
    <w:rsid w:val="00682264"/>
    <w:rsid w:val="006837A5"/>
    <w:rsid w:val="00684A64"/>
    <w:rsid w:val="00684D9B"/>
    <w:rsid w:val="00685586"/>
    <w:rsid w:val="00685C01"/>
    <w:rsid w:val="006878D4"/>
    <w:rsid w:val="0068798E"/>
    <w:rsid w:val="00691B6D"/>
    <w:rsid w:val="006930DC"/>
    <w:rsid w:val="00693432"/>
    <w:rsid w:val="006937C8"/>
    <w:rsid w:val="00694090"/>
    <w:rsid w:val="00694CCB"/>
    <w:rsid w:val="00696F88"/>
    <w:rsid w:val="00697556"/>
    <w:rsid w:val="006A01AB"/>
    <w:rsid w:val="006A1A58"/>
    <w:rsid w:val="006A1B8E"/>
    <w:rsid w:val="006A1C84"/>
    <w:rsid w:val="006A2358"/>
    <w:rsid w:val="006A2F3F"/>
    <w:rsid w:val="006A348D"/>
    <w:rsid w:val="006A3A02"/>
    <w:rsid w:val="006A41DD"/>
    <w:rsid w:val="006A50CF"/>
    <w:rsid w:val="006A5348"/>
    <w:rsid w:val="006A5EA2"/>
    <w:rsid w:val="006A6DB0"/>
    <w:rsid w:val="006A7356"/>
    <w:rsid w:val="006A7F47"/>
    <w:rsid w:val="006B05D4"/>
    <w:rsid w:val="006B1195"/>
    <w:rsid w:val="006B11C2"/>
    <w:rsid w:val="006B395F"/>
    <w:rsid w:val="006B44FC"/>
    <w:rsid w:val="006B4647"/>
    <w:rsid w:val="006B4C2B"/>
    <w:rsid w:val="006B5E53"/>
    <w:rsid w:val="006B6194"/>
    <w:rsid w:val="006B6D47"/>
    <w:rsid w:val="006B7430"/>
    <w:rsid w:val="006B745B"/>
    <w:rsid w:val="006C1885"/>
    <w:rsid w:val="006C2EA8"/>
    <w:rsid w:val="006C3C2B"/>
    <w:rsid w:val="006C4041"/>
    <w:rsid w:val="006C4A35"/>
    <w:rsid w:val="006C5AFE"/>
    <w:rsid w:val="006C61CF"/>
    <w:rsid w:val="006C7287"/>
    <w:rsid w:val="006C7C3E"/>
    <w:rsid w:val="006D1031"/>
    <w:rsid w:val="006D38A4"/>
    <w:rsid w:val="006D3BE1"/>
    <w:rsid w:val="006D3C1E"/>
    <w:rsid w:val="006D4430"/>
    <w:rsid w:val="006D478E"/>
    <w:rsid w:val="006D55BF"/>
    <w:rsid w:val="006D5CC2"/>
    <w:rsid w:val="006D7CC5"/>
    <w:rsid w:val="006E0048"/>
    <w:rsid w:val="006E0441"/>
    <w:rsid w:val="006E0774"/>
    <w:rsid w:val="006E0797"/>
    <w:rsid w:val="006E085E"/>
    <w:rsid w:val="006E0D31"/>
    <w:rsid w:val="006E10A8"/>
    <w:rsid w:val="006E2894"/>
    <w:rsid w:val="006E41A0"/>
    <w:rsid w:val="006E613F"/>
    <w:rsid w:val="006E61BD"/>
    <w:rsid w:val="006E634F"/>
    <w:rsid w:val="006E640A"/>
    <w:rsid w:val="006E6D98"/>
    <w:rsid w:val="006E6DE5"/>
    <w:rsid w:val="006E7732"/>
    <w:rsid w:val="006E7869"/>
    <w:rsid w:val="006E7A3D"/>
    <w:rsid w:val="006F18D5"/>
    <w:rsid w:val="006F1A9A"/>
    <w:rsid w:val="006F35B4"/>
    <w:rsid w:val="006F385C"/>
    <w:rsid w:val="006F4880"/>
    <w:rsid w:val="006F5248"/>
    <w:rsid w:val="006F5930"/>
    <w:rsid w:val="006F5CA4"/>
    <w:rsid w:val="006F667E"/>
    <w:rsid w:val="006F6D95"/>
    <w:rsid w:val="00700660"/>
    <w:rsid w:val="007034B9"/>
    <w:rsid w:val="00704257"/>
    <w:rsid w:val="00704DCB"/>
    <w:rsid w:val="007055CF"/>
    <w:rsid w:val="0070667C"/>
    <w:rsid w:val="00706F13"/>
    <w:rsid w:val="007072E8"/>
    <w:rsid w:val="0070759A"/>
    <w:rsid w:val="00711044"/>
    <w:rsid w:val="00711140"/>
    <w:rsid w:val="0071155A"/>
    <w:rsid w:val="00712D59"/>
    <w:rsid w:val="00713D8A"/>
    <w:rsid w:val="0071618D"/>
    <w:rsid w:val="007168E7"/>
    <w:rsid w:val="00716D38"/>
    <w:rsid w:val="00717211"/>
    <w:rsid w:val="00722096"/>
    <w:rsid w:val="007233FA"/>
    <w:rsid w:val="007234E8"/>
    <w:rsid w:val="00723D0C"/>
    <w:rsid w:val="0072452B"/>
    <w:rsid w:val="00724DAE"/>
    <w:rsid w:val="007250AB"/>
    <w:rsid w:val="00725FA4"/>
    <w:rsid w:val="0072668F"/>
    <w:rsid w:val="00726CDB"/>
    <w:rsid w:val="00727F27"/>
    <w:rsid w:val="00731B56"/>
    <w:rsid w:val="00732D82"/>
    <w:rsid w:val="007339AE"/>
    <w:rsid w:val="007340B6"/>
    <w:rsid w:val="00734DD0"/>
    <w:rsid w:val="00734E7E"/>
    <w:rsid w:val="007350A7"/>
    <w:rsid w:val="007362D2"/>
    <w:rsid w:val="0073671C"/>
    <w:rsid w:val="00736DCC"/>
    <w:rsid w:val="00740446"/>
    <w:rsid w:val="007413C6"/>
    <w:rsid w:val="007438A9"/>
    <w:rsid w:val="0074407E"/>
    <w:rsid w:val="0074491E"/>
    <w:rsid w:val="00744C92"/>
    <w:rsid w:val="0074562B"/>
    <w:rsid w:val="0074567B"/>
    <w:rsid w:val="00746899"/>
    <w:rsid w:val="007514F6"/>
    <w:rsid w:val="00751556"/>
    <w:rsid w:val="00752DE3"/>
    <w:rsid w:val="007530CA"/>
    <w:rsid w:val="00753C5C"/>
    <w:rsid w:val="00753D0D"/>
    <w:rsid w:val="00754DCE"/>
    <w:rsid w:val="007556BF"/>
    <w:rsid w:val="00755C52"/>
    <w:rsid w:val="00756902"/>
    <w:rsid w:val="00757307"/>
    <w:rsid w:val="007609DA"/>
    <w:rsid w:val="00760F2F"/>
    <w:rsid w:val="00761392"/>
    <w:rsid w:val="007613DD"/>
    <w:rsid w:val="0076247A"/>
    <w:rsid w:val="00762A4F"/>
    <w:rsid w:val="00763CBB"/>
    <w:rsid w:val="00763DCF"/>
    <w:rsid w:val="00764240"/>
    <w:rsid w:val="007645C9"/>
    <w:rsid w:val="00764E12"/>
    <w:rsid w:val="00765E48"/>
    <w:rsid w:val="00765F81"/>
    <w:rsid w:val="00766099"/>
    <w:rsid w:val="007661FD"/>
    <w:rsid w:val="007662A5"/>
    <w:rsid w:val="0076687A"/>
    <w:rsid w:val="00766F8B"/>
    <w:rsid w:val="00767539"/>
    <w:rsid w:val="00770848"/>
    <w:rsid w:val="00771253"/>
    <w:rsid w:val="007717EF"/>
    <w:rsid w:val="00772023"/>
    <w:rsid w:val="00772C28"/>
    <w:rsid w:val="00774D6A"/>
    <w:rsid w:val="00775964"/>
    <w:rsid w:val="007765FE"/>
    <w:rsid w:val="00776F37"/>
    <w:rsid w:val="00777BAC"/>
    <w:rsid w:val="0078046A"/>
    <w:rsid w:val="007804BA"/>
    <w:rsid w:val="00780C18"/>
    <w:rsid w:val="00781503"/>
    <w:rsid w:val="00781A43"/>
    <w:rsid w:val="00782882"/>
    <w:rsid w:val="00783955"/>
    <w:rsid w:val="00783E14"/>
    <w:rsid w:val="00784113"/>
    <w:rsid w:val="0078418D"/>
    <w:rsid w:val="00784896"/>
    <w:rsid w:val="007849C7"/>
    <w:rsid w:val="00786F06"/>
    <w:rsid w:val="00790E1F"/>
    <w:rsid w:val="00791A5A"/>
    <w:rsid w:val="00792940"/>
    <w:rsid w:val="00792B0A"/>
    <w:rsid w:val="00794CA9"/>
    <w:rsid w:val="00794E2E"/>
    <w:rsid w:val="00795BFB"/>
    <w:rsid w:val="00796C22"/>
    <w:rsid w:val="00797134"/>
    <w:rsid w:val="00797574"/>
    <w:rsid w:val="00797F7E"/>
    <w:rsid w:val="007A02B4"/>
    <w:rsid w:val="007A065E"/>
    <w:rsid w:val="007A0792"/>
    <w:rsid w:val="007A0905"/>
    <w:rsid w:val="007A0FB1"/>
    <w:rsid w:val="007A2838"/>
    <w:rsid w:val="007A4D7B"/>
    <w:rsid w:val="007A5C8E"/>
    <w:rsid w:val="007A61E3"/>
    <w:rsid w:val="007A64D1"/>
    <w:rsid w:val="007A6BDC"/>
    <w:rsid w:val="007B0FB8"/>
    <w:rsid w:val="007B1158"/>
    <w:rsid w:val="007B1E10"/>
    <w:rsid w:val="007B1F21"/>
    <w:rsid w:val="007B2760"/>
    <w:rsid w:val="007B2EE0"/>
    <w:rsid w:val="007B30CA"/>
    <w:rsid w:val="007B351A"/>
    <w:rsid w:val="007B3D62"/>
    <w:rsid w:val="007B4F4C"/>
    <w:rsid w:val="007B5547"/>
    <w:rsid w:val="007B5DCC"/>
    <w:rsid w:val="007B5F0B"/>
    <w:rsid w:val="007C06AB"/>
    <w:rsid w:val="007C0CC4"/>
    <w:rsid w:val="007C29DF"/>
    <w:rsid w:val="007C371D"/>
    <w:rsid w:val="007C40FC"/>
    <w:rsid w:val="007C4475"/>
    <w:rsid w:val="007C5DED"/>
    <w:rsid w:val="007C7BB3"/>
    <w:rsid w:val="007D0649"/>
    <w:rsid w:val="007D0ED6"/>
    <w:rsid w:val="007D11CA"/>
    <w:rsid w:val="007D1B98"/>
    <w:rsid w:val="007D31BB"/>
    <w:rsid w:val="007D35BF"/>
    <w:rsid w:val="007D38B8"/>
    <w:rsid w:val="007D3AD4"/>
    <w:rsid w:val="007D3B47"/>
    <w:rsid w:val="007D3CB1"/>
    <w:rsid w:val="007D4725"/>
    <w:rsid w:val="007D4E16"/>
    <w:rsid w:val="007D6B8C"/>
    <w:rsid w:val="007D7616"/>
    <w:rsid w:val="007D7EF4"/>
    <w:rsid w:val="007E0317"/>
    <w:rsid w:val="007E05B3"/>
    <w:rsid w:val="007E09B1"/>
    <w:rsid w:val="007E162B"/>
    <w:rsid w:val="007E6FBA"/>
    <w:rsid w:val="007F028C"/>
    <w:rsid w:val="007F0DA1"/>
    <w:rsid w:val="007F18AD"/>
    <w:rsid w:val="007F1C98"/>
    <w:rsid w:val="007F29E8"/>
    <w:rsid w:val="007F2BF8"/>
    <w:rsid w:val="007F3000"/>
    <w:rsid w:val="007F3412"/>
    <w:rsid w:val="007F3832"/>
    <w:rsid w:val="007F3FAC"/>
    <w:rsid w:val="007F6594"/>
    <w:rsid w:val="007F79F6"/>
    <w:rsid w:val="007F7C90"/>
    <w:rsid w:val="00801561"/>
    <w:rsid w:val="00801D50"/>
    <w:rsid w:val="00802017"/>
    <w:rsid w:val="008020D8"/>
    <w:rsid w:val="00802FC5"/>
    <w:rsid w:val="00804228"/>
    <w:rsid w:val="00804717"/>
    <w:rsid w:val="00804CC2"/>
    <w:rsid w:val="008060F0"/>
    <w:rsid w:val="008061C1"/>
    <w:rsid w:val="008063A6"/>
    <w:rsid w:val="00806C01"/>
    <w:rsid w:val="00810EFE"/>
    <w:rsid w:val="00812285"/>
    <w:rsid w:val="00812292"/>
    <w:rsid w:val="008136FF"/>
    <w:rsid w:val="00813845"/>
    <w:rsid w:val="00813F74"/>
    <w:rsid w:val="00814139"/>
    <w:rsid w:val="00814599"/>
    <w:rsid w:val="008148CC"/>
    <w:rsid w:val="008148DE"/>
    <w:rsid w:val="00814EC0"/>
    <w:rsid w:val="00814F4F"/>
    <w:rsid w:val="0081647B"/>
    <w:rsid w:val="00817261"/>
    <w:rsid w:val="008211A4"/>
    <w:rsid w:val="00822F54"/>
    <w:rsid w:val="008232A6"/>
    <w:rsid w:val="00824561"/>
    <w:rsid w:val="00826484"/>
    <w:rsid w:val="00830243"/>
    <w:rsid w:val="00830AB1"/>
    <w:rsid w:val="00830CFE"/>
    <w:rsid w:val="00831963"/>
    <w:rsid w:val="00831EE7"/>
    <w:rsid w:val="008335AA"/>
    <w:rsid w:val="00833F41"/>
    <w:rsid w:val="008343B9"/>
    <w:rsid w:val="0083511D"/>
    <w:rsid w:val="00835A42"/>
    <w:rsid w:val="00836E6B"/>
    <w:rsid w:val="008379FB"/>
    <w:rsid w:val="008405E9"/>
    <w:rsid w:val="00840A0D"/>
    <w:rsid w:val="00843A07"/>
    <w:rsid w:val="008445AA"/>
    <w:rsid w:val="00844EF1"/>
    <w:rsid w:val="008451A8"/>
    <w:rsid w:val="00846B55"/>
    <w:rsid w:val="00847430"/>
    <w:rsid w:val="00847A2B"/>
    <w:rsid w:val="008500D3"/>
    <w:rsid w:val="008501B9"/>
    <w:rsid w:val="00850BB7"/>
    <w:rsid w:val="00850CEA"/>
    <w:rsid w:val="00851C61"/>
    <w:rsid w:val="00852B5F"/>
    <w:rsid w:val="008531B3"/>
    <w:rsid w:val="00855117"/>
    <w:rsid w:val="0085561F"/>
    <w:rsid w:val="00855C2F"/>
    <w:rsid w:val="00856F11"/>
    <w:rsid w:val="00857486"/>
    <w:rsid w:val="00857E6D"/>
    <w:rsid w:val="00860942"/>
    <w:rsid w:val="008613AB"/>
    <w:rsid w:val="0086197D"/>
    <w:rsid w:val="0086222D"/>
    <w:rsid w:val="00862399"/>
    <w:rsid w:val="00862A20"/>
    <w:rsid w:val="00863512"/>
    <w:rsid w:val="00863683"/>
    <w:rsid w:val="00864758"/>
    <w:rsid w:val="008649FE"/>
    <w:rsid w:val="00864B3F"/>
    <w:rsid w:val="00865F1C"/>
    <w:rsid w:val="008662F3"/>
    <w:rsid w:val="008667F5"/>
    <w:rsid w:val="00866A6F"/>
    <w:rsid w:val="00866FF7"/>
    <w:rsid w:val="00867639"/>
    <w:rsid w:val="0086770C"/>
    <w:rsid w:val="00867EF2"/>
    <w:rsid w:val="00870072"/>
    <w:rsid w:val="008726EB"/>
    <w:rsid w:val="00873150"/>
    <w:rsid w:val="0087355E"/>
    <w:rsid w:val="0087392B"/>
    <w:rsid w:val="00873B74"/>
    <w:rsid w:val="00874130"/>
    <w:rsid w:val="0087462B"/>
    <w:rsid w:val="00874E8F"/>
    <w:rsid w:val="00875FC1"/>
    <w:rsid w:val="0087657D"/>
    <w:rsid w:val="00877600"/>
    <w:rsid w:val="00877865"/>
    <w:rsid w:val="00877FF4"/>
    <w:rsid w:val="00880782"/>
    <w:rsid w:val="008807D5"/>
    <w:rsid w:val="00880832"/>
    <w:rsid w:val="00880D4A"/>
    <w:rsid w:val="00881048"/>
    <w:rsid w:val="00881E32"/>
    <w:rsid w:val="00883004"/>
    <w:rsid w:val="00883345"/>
    <w:rsid w:val="00884337"/>
    <w:rsid w:val="00885424"/>
    <w:rsid w:val="00885608"/>
    <w:rsid w:val="008857D8"/>
    <w:rsid w:val="008861B2"/>
    <w:rsid w:val="00886EE1"/>
    <w:rsid w:val="0088727D"/>
    <w:rsid w:val="00887772"/>
    <w:rsid w:val="008877B4"/>
    <w:rsid w:val="0089033A"/>
    <w:rsid w:val="00890585"/>
    <w:rsid w:val="00890E75"/>
    <w:rsid w:val="00893459"/>
    <w:rsid w:val="00893BD0"/>
    <w:rsid w:val="008956FC"/>
    <w:rsid w:val="008963F9"/>
    <w:rsid w:val="00896422"/>
    <w:rsid w:val="00896474"/>
    <w:rsid w:val="00897060"/>
    <w:rsid w:val="008973B9"/>
    <w:rsid w:val="00897487"/>
    <w:rsid w:val="008976A4"/>
    <w:rsid w:val="00897954"/>
    <w:rsid w:val="00897BEB"/>
    <w:rsid w:val="00897C72"/>
    <w:rsid w:val="00897C75"/>
    <w:rsid w:val="008A0D29"/>
    <w:rsid w:val="008A3132"/>
    <w:rsid w:val="008A3E72"/>
    <w:rsid w:val="008A3F7C"/>
    <w:rsid w:val="008A7BFF"/>
    <w:rsid w:val="008B02BD"/>
    <w:rsid w:val="008B1501"/>
    <w:rsid w:val="008B1585"/>
    <w:rsid w:val="008B2476"/>
    <w:rsid w:val="008B397A"/>
    <w:rsid w:val="008B3B11"/>
    <w:rsid w:val="008B4932"/>
    <w:rsid w:val="008B4FC6"/>
    <w:rsid w:val="008B6720"/>
    <w:rsid w:val="008B7E03"/>
    <w:rsid w:val="008C05E3"/>
    <w:rsid w:val="008C0EA4"/>
    <w:rsid w:val="008C1130"/>
    <w:rsid w:val="008C1862"/>
    <w:rsid w:val="008C417A"/>
    <w:rsid w:val="008C5F73"/>
    <w:rsid w:val="008C6287"/>
    <w:rsid w:val="008C7CB3"/>
    <w:rsid w:val="008D0DDB"/>
    <w:rsid w:val="008D18E6"/>
    <w:rsid w:val="008D1A98"/>
    <w:rsid w:val="008D1B8F"/>
    <w:rsid w:val="008D21F8"/>
    <w:rsid w:val="008D237F"/>
    <w:rsid w:val="008D2AEA"/>
    <w:rsid w:val="008D4A8F"/>
    <w:rsid w:val="008D4E04"/>
    <w:rsid w:val="008D6FAD"/>
    <w:rsid w:val="008D73BE"/>
    <w:rsid w:val="008D7A9B"/>
    <w:rsid w:val="008D7B84"/>
    <w:rsid w:val="008E0060"/>
    <w:rsid w:val="008E39AB"/>
    <w:rsid w:val="008E4C0B"/>
    <w:rsid w:val="008E552F"/>
    <w:rsid w:val="008E6128"/>
    <w:rsid w:val="008E7048"/>
    <w:rsid w:val="008E7508"/>
    <w:rsid w:val="008E76AC"/>
    <w:rsid w:val="008F115A"/>
    <w:rsid w:val="008F21F6"/>
    <w:rsid w:val="008F451B"/>
    <w:rsid w:val="008F5460"/>
    <w:rsid w:val="008F5F10"/>
    <w:rsid w:val="008F63FA"/>
    <w:rsid w:val="008F6745"/>
    <w:rsid w:val="008F7737"/>
    <w:rsid w:val="008F78DA"/>
    <w:rsid w:val="009001E3"/>
    <w:rsid w:val="00900D5F"/>
    <w:rsid w:val="0090103A"/>
    <w:rsid w:val="009014FC"/>
    <w:rsid w:val="00902207"/>
    <w:rsid w:val="00902D68"/>
    <w:rsid w:val="009037C8"/>
    <w:rsid w:val="00905B3D"/>
    <w:rsid w:val="00907609"/>
    <w:rsid w:val="0090799C"/>
    <w:rsid w:val="00910B87"/>
    <w:rsid w:val="00911ADC"/>
    <w:rsid w:val="0091215F"/>
    <w:rsid w:val="009121A8"/>
    <w:rsid w:val="00912B73"/>
    <w:rsid w:val="00913183"/>
    <w:rsid w:val="009138A6"/>
    <w:rsid w:val="009143EC"/>
    <w:rsid w:val="009153AF"/>
    <w:rsid w:val="009156AD"/>
    <w:rsid w:val="0091686E"/>
    <w:rsid w:val="0091700C"/>
    <w:rsid w:val="00917A96"/>
    <w:rsid w:val="00917DE3"/>
    <w:rsid w:val="009203C2"/>
    <w:rsid w:val="00922191"/>
    <w:rsid w:val="009226CF"/>
    <w:rsid w:val="00922766"/>
    <w:rsid w:val="00925934"/>
    <w:rsid w:val="00926080"/>
    <w:rsid w:val="00926DF3"/>
    <w:rsid w:val="009307D1"/>
    <w:rsid w:val="00930EAF"/>
    <w:rsid w:val="009319DF"/>
    <w:rsid w:val="00931B63"/>
    <w:rsid w:val="00933A01"/>
    <w:rsid w:val="00934449"/>
    <w:rsid w:val="00934A2D"/>
    <w:rsid w:val="00934B45"/>
    <w:rsid w:val="00935409"/>
    <w:rsid w:val="0093590C"/>
    <w:rsid w:val="009367C8"/>
    <w:rsid w:val="00937767"/>
    <w:rsid w:val="009377D3"/>
    <w:rsid w:val="009412DB"/>
    <w:rsid w:val="00941D72"/>
    <w:rsid w:val="009435E7"/>
    <w:rsid w:val="009436E0"/>
    <w:rsid w:val="00943B49"/>
    <w:rsid w:val="00944BA5"/>
    <w:rsid w:val="009457A0"/>
    <w:rsid w:val="009468AE"/>
    <w:rsid w:val="00950454"/>
    <w:rsid w:val="009505CD"/>
    <w:rsid w:val="009508E1"/>
    <w:rsid w:val="00951F79"/>
    <w:rsid w:val="00952E63"/>
    <w:rsid w:val="00955040"/>
    <w:rsid w:val="00955A03"/>
    <w:rsid w:val="009604DA"/>
    <w:rsid w:val="00960763"/>
    <w:rsid w:val="00960E74"/>
    <w:rsid w:val="00960E98"/>
    <w:rsid w:val="00960EE4"/>
    <w:rsid w:val="0096187E"/>
    <w:rsid w:val="00961980"/>
    <w:rsid w:val="0096223E"/>
    <w:rsid w:val="009623CE"/>
    <w:rsid w:val="009624DC"/>
    <w:rsid w:val="00962554"/>
    <w:rsid w:val="00962AB6"/>
    <w:rsid w:val="00962F72"/>
    <w:rsid w:val="0096487A"/>
    <w:rsid w:val="0096542D"/>
    <w:rsid w:val="009666A0"/>
    <w:rsid w:val="00966D58"/>
    <w:rsid w:val="009701B5"/>
    <w:rsid w:val="00971840"/>
    <w:rsid w:val="00971C5C"/>
    <w:rsid w:val="0097297E"/>
    <w:rsid w:val="00973413"/>
    <w:rsid w:val="00973865"/>
    <w:rsid w:val="00973F3D"/>
    <w:rsid w:val="00973FEF"/>
    <w:rsid w:val="00974259"/>
    <w:rsid w:val="009747A6"/>
    <w:rsid w:val="00974AB5"/>
    <w:rsid w:val="009755F5"/>
    <w:rsid w:val="00975AC2"/>
    <w:rsid w:val="009762C4"/>
    <w:rsid w:val="00977B6A"/>
    <w:rsid w:val="00977F7B"/>
    <w:rsid w:val="00981197"/>
    <w:rsid w:val="009821BF"/>
    <w:rsid w:val="00983BEB"/>
    <w:rsid w:val="0098450A"/>
    <w:rsid w:val="00984F02"/>
    <w:rsid w:val="00985360"/>
    <w:rsid w:val="00985D72"/>
    <w:rsid w:val="009866A9"/>
    <w:rsid w:val="00986957"/>
    <w:rsid w:val="00986CC5"/>
    <w:rsid w:val="0098706D"/>
    <w:rsid w:val="0098797F"/>
    <w:rsid w:val="00987D53"/>
    <w:rsid w:val="00987E57"/>
    <w:rsid w:val="009909DB"/>
    <w:rsid w:val="009919FD"/>
    <w:rsid w:val="00991A96"/>
    <w:rsid w:val="00991BB4"/>
    <w:rsid w:val="00991FE7"/>
    <w:rsid w:val="009922C1"/>
    <w:rsid w:val="00992DC8"/>
    <w:rsid w:val="009935FB"/>
    <w:rsid w:val="00993C0E"/>
    <w:rsid w:val="00996E2F"/>
    <w:rsid w:val="00996F79"/>
    <w:rsid w:val="00997023"/>
    <w:rsid w:val="009A0310"/>
    <w:rsid w:val="009A0957"/>
    <w:rsid w:val="009A2F2A"/>
    <w:rsid w:val="009A4647"/>
    <w:rsid w:val="009A5E17"/>
    <w:rsid w:val="009A6215"/>
    <w:rsid w:val="009A7AEC"/>
    <w:rsid w:val="009A7CF3"/>
    <w:rsid w:val="009B080F"/>
    <w:rsid w:val="009B0FE8"/>
    <w:rsid w:val="009B19C7"/>
    <w:rsid w:val="009B4E9F"/>
    <w:rsid w:val="009B5058"/>
    <w:rsid w:val="009B51B5"/>
    <w:rsid w:val="009B5853"/>
    <w:rsid w:val="009B632D"/>
    <w:rsid w:val="009B6946"/>
    <w:rsid w:val="009B6AA7"/>
    <w:rsid w:val="009B7EDA"/>
    <w:rsid w:val="009C16B7"/>
    <w:rsid w:val="009C188E"/>
    <w:rsid w:val="009C1D95"/>
    <w:rsid w:val="009C1FA5"/>
    <w:rsid w:val="009C2651"/>
    <w:rsid w:val="009C56D4"/>
    <w:rsid w:val="009D2772"/>
    <w:rsid w:val="009D2860"/>
    <w:rsid w:val="009D34B3"/>
    <w:rsid w:val="009D3577"/>
    <w:rsid w:val="009D5391"/>
    <w:rsid w:val="009D59DB"/>
    <w:rsid w:val="009D6227"/>
    <w:rsid w:val="009E015A"/>
    <w:rsid w:val="009E0223"/>
    <w:rsid w:val="009E0513"/>
    <w:rsid w:val="009E07DA"/>
    <w:rsid w:val="009E0824"/>
    <w:rsid w:val="009E0EB1"/>
    <w:rsid w:val="009E0F15"/>
    <w:rsid w:val="009E1962"/>
    <w:rsid w:val="009E1B02"/>
    <w:rsid w:val="009E1B58"/>
    <w:rsid w:val="009E28AE"/>
    <w:rsid w:val="009E3E0F"/>
    <w:rsid w:val="009E4A0D"/>
    <w:rsid w:val="009E5C86"/>
    <w:rsid w:val="009E5DEF"/>
    <w:rsid w:val="009E5F02"/>
    <w:rsid w:val="009E61EF"/>
    <w:rsid w:val="009E6369"/>
    <w:rsid w:val="009E6A49"/>
    <w:rsid w:val="009E7508"/>
    <w:rsid w:val="009E7626"/>
    <w:rsid w:val="009F0F6D"/>
    <w:rsid w:val="009F197E"/>
    <w:rsid w:val="009F1A5A"/>
    <w:rsid w:val="009F1AF5"/>
    <w:rsid w:val="009F2A11"/>
    <w:rsid w:val="009F3471"/>
    <w:rsid w:val="009F38EA"/>
    <w:rsid w:val="009F4473"/>
    <w:rsid w:val="009F49C1"/>
    <w:rsid w:val="009F4A54"/>
    <w:rsid w:val="009F4BEC"/>
    <w:rsid w:val="009F5874"/>
    <w:rsid w:val="009F61BF"/>
    <w:rsid w:val="009F680E"/>
    <w:rsid w:val="009F6DE5"/>
    <w:rsid w:val="009F7D26"/>
    <w:rsid w:val="00A008F1"/>
    <w:rsid w:val="00A00E69"/>
    <w:rsid w:val="00A01B5E"/>
    <w:rsid w:val="00A026F1"/>
    <w:rsid w:val="00A03857"/>
    <w:rsid w:val="00A06085"/>
    <w:rsid w:val="00A062F3"/>
    <w:rsid w:val="00A07E25"/>
    <w:rsid w:val="00A116A8"/>
    <w:rsid w:val="00A11A1C"/>
    <w:rsid w:val="00A124FF"/>
    <w:rsid w:val="00A1252F"/>
    <w:rsid w:val="00A1405F"/>
    <w:rsid w:val="00A14458"/>
    <w:rsid w:val="00A14E3D"/>
    <w:rsid w:val="00A157E7"/>
    <w:rsid w:val="00A17096"/>
    <w:rsid w:val="00A204B4"/>
    <w:rsid w:val="00A22A5A"/>
    <w:rsid w:val="00A245F0"/>
    <w:rsid w:val="00A24B96"/>
    <w:rsid w:val="00A24CF7"/>
    <w:rsid w:val="00A25377"/>
    <w:rsid w:val="00A25FD7"/>
    <w:rsid w:val="00A269B4"/>
    <w:rsid w:val="00A27146"/>
    <w:rsid w:val="00A27237"/>
    <w:rsid w:val="00A304C5"/>
    <w:rsid w:val="00A317FF"/>
    <w:rsid w:val="00A33915"/>
    <w:rsid w:val="00A353D9"/>
    <w:rsid w:val="00A35B40"/>
    <w:rsid w:val="00A35C9D"/>
    <w:rsid w:val="00A41C62"/>
    <w:rsid w:val="00A43AFF"/>
    <w:rsid w:val="00A43B2B"/>
    <w:rsid w:val="00A4422F"/>
    <w:rsid w:val="00A442D4"/>
    <w:rsid w:val="00A443D6"/>
    <w:rsid w:val="00A4493F"/>
    <w:rsid w:val="00A455CA"/>
    <w:rsid w:val="00A456E4"/>
    <w:rsid w:val="00A45826"/>
    <w:rsid w:val="00A46DAA"/>
    <w:rsid w:val="00A478C1"/>
    <w:rsid w:val="00A50610"/>
    <w:rsid w:val="00A5086C"/>
    <w:rsid w:val="00A51256"/>
    <w:rsid w:val="00A51769"/>
    <w:rsid w:val="00A51F9D"/>
    <w:rsid w:val="00A524D7"/>
    <w:rsid w:val="00A53A32"/>
    <w:rsid w:val="00A53D1E"/>
    <w:rsid w:val="00A54153"/>
    <w:rsid w:val="00A54451"/>
    <w:rsid w:val="00A54D5B"/>
    <w:rsid w:val="00A5545E"/>
    <w:rsid w:val="00A55A4A"/>
    <w:rsid w:val="00A57FB8"/>
    <w:rsid w:val="00A60666"/>
    <w:rsid w:val="00A61782"/>
    <w:rsid w:val="00A62427"/>
    <w:rsid w:val="00A62519"/>
    <w:rsid w:val="00A63208"/>
    <w:rsid w:val="00A6407B"/>
    <w:rsid w:val="00A65A41"/>
    <w:rsid w:val="00A666BE"/>
    <w:rsid w:val="00A670C9"/>
    <w:rsid w:val="00A70FF9"/>
    <w:rsid w:val="00A72370"/>
    <w:rsid w:val="00A72705"/>
    <w:rsid w:val="00A73D00"/>
    <w:rsid w:val="00A75A61"/>
    <w:rsid w:val="00A76598"/>
    <w:rsid w:val="00A76E84"/>
    <w:rsid w:val="00A7793A"/>
    <w:rsid w:val="00A779CF"/>
    <w:rsid w:val="00A77C04"/>
    <w:rsid w:val="00A80408"/>
    <w:rsid w:val="00A812EF"/>
    <w:rsid w:val="00A8151D"/>
    <w:rsid w:val="00A81EA7"/>
    <w:rsid w:val="00A8453F"/>
    <w:rsid w:val="00A866AE"/>
    <w:rsid w:val="00A8698A"/>
    <w:rsid w:val="00A87322"/>
    <w:rsid w:val="00A87D07"/>
    <w:rsid w:val="00A87E1C"/>
    <w:rsid w:val="00A90443"/>
    <w:rsid w:val="00A907EA"/>
    <w:rsid w:val="00A91C61"/>
    <w:rsid w:val="00A935D5"/>
    <w:rsid w:val="00A93873"/>
    <w:rsid w:val="00A93E93"/>
    <w:rsid w:val="00A94001"/>
    <w:rsid w:val="00A94013"/>
    <w:rsid w:val="00A94172"/>
    <w:rsid w:val="00A954D7"/>
    <w:rsid w:val="00A95D85"/>
    <w:rsid w:val="00AA0857"/>
    <w:rsid w:val="00AA316D"/>
    <w:rsid w:val="00AA3388"/>
    <w:rsid w:val="00AA33CE"/>
    <w:rsid w:val="00AA4388"/>
    <w:rsid w:val="00AA4B34"/>
    <w:rsid w:val="00AA4CC7"/>
    <w:rsid w:val="00AA5E8E"/>
    <w:rsid w:val="00AB0039"/>
    <w:rsid w:val="00AB0506"/>
    <w:rsid w:val="00AB0601"/>
    <w:rsid w:val="00AB189A"/>
    <w:rsid w:val="00AB2287"/>
    <w:rsid w:val="00AB23BA"/>
    <w:rsid w:val="00AB3538"/>
    <w:rsid w:val="00AB3B2B"/>
    <w:rsid w:val="00AB3CF3"/>
    <w:rsid w:val="00AB4315"/>
    <w:rsid w:val="00AB5128"/>
    <w:rsid w:val="00AB5970"/>
    <w:rsid w:val="00AB6CA7"/>
    <w:rsid w:val="00AB7D86"/>
    <w:rsid w:val="00AC0469"/>
    <w:rsid w:val="00AC09D5"/>
    <w:rsid w:val="00AC13AE"/>
    <w:rsid w:val="00AC13CC"/>
    <w:rsid w:val="00AC2DEB"/>
    <w:rsid w:val="00AC50E7"/>
    <w:rsid w:val="00AC59B4"/>
    <w:rsid w:val="00AC71A7"/>
    <w:rsid w:val="00AD01E4"/>
    <w:rsid w:val="00AD0449"/>
    <w:rsid w:val="00AD0858"/>
    <w:rsid w:val="00AD0BAB"/>
    <w:rsid w:val="00AD1122"/>
    <w:rsid w:val="00AD1883"/>
    <w:rsid w:val="00AD2290"/>
    <w:rsid w:val="00AD2E14"/>
    <w:rsid w:val="00AD2FBD"/>
    <w:rsid w:val="00AD4236"/>
    <w:rsid w:val="00AD43BA"/>
    <w:rsid w:val="00AD4580"/>
    <w:rsid w:val="00AD4B0E"/>
    <w:rsid w:val="00AD4F8F"/>
    <w:rsid w:val="00AD5090"/>
    <w:rsid w:val="00AD669C"/>
    <w:rsid w:val="00AD7999"/>
    <w:rsid w:val="00AE01FF"/>
    <w:rsid w:val="00AE041A"/>
    <w:rsid w:val="00AE06D5"/>
    <w:rsid w:val="00AE0CC5"/>
    <w:rsid w:val="00AE0DF2"/>
    <w:rsid w:val="00AE1E16"/>
    <w:rsid w:val="00AE3E43"/>
    <w:rsid w:val="00AE443B"/>
    <w:rsid w:val="00AE523F"/>
    <w:rsid w:val="00AE52B2"/>
    <w:rsid w:val="00AE53F7"/>
    <w:rsid w:val="00AE7340"/>
    <w:rsid w:val="00AF0958"/>
    <w:rsid w:val="00AF0CF0"/>
    <w:rsid w:val="00AF1A13"/>
    <w:rsid w:val="00AF1BBD"/>
    <w:rsid w:val="00AF1CF4"/>
    <w:rsid w:val="00AF1E5E"/>
    <w:rsid w:val="00AF1E61"/>
    <w:rsid w:val="00AF230B"/>
    <w:rsid w:val="00AF23C5"/>
    <w:rsid w:val="00AF35EA"/>
    <w:rsid w:val="00AF6348"/>
    <w:rsid w:val="00AF70DB"/>
    <w:rsid w:val="00B00275"/>
    <w:rsid w:val="00B01744"/>
    <w:rsid w:val="00B01E79"/>
    <w:rsid w:val="00B021D1"/>
    <w:rsid w:val="00B02FCE"/>
    <w:rsid w:val="00B05F3E"/>
    <w:rsid w:val="00B10207"/>
    <w:rsid w:val="00B103F1"/>
    <w:rsid w:val="00B10A2E"/>
    <w:rsid w:val="00B10BD1"/>
    <w:rsid w:val="00B11149"/>
    <w:rsid w:val="00B111D9"/>
    <w:rsid w:val="00B11E99"/>
    <w:rsid w:val="00B141E7"/>
    <w:rsid w:val="00B14B85"/>
    <w:rsid w:val="00B15033"/>
    <w:rsid w:val="00B1564F"/>
    <w:rsid w:val="00B15D33"/>
    <w:rsid w:val="00B15DBE"/>
    <w:rsid w:val="00B1726F"/>
    <w:rsid w:val="00B17A85"/>
    <w:rsid w:val="00B200CA"/>
    <w:rsid w:val="00B21077"/>
    <w:rsid w:val="00B2242D"/>
    <w:rsid w:val="00B22DFB"/>
    <w:rsid w:val="00B242CA"/>
    <w:rsid w:val="00B24738"/>
    <w:rsid w:val="00B26D98"/>
    <w:rsid w:val="00B271AC"/>
    <w:rsid w:val="00B27A28"/>
    <w:rsid w:val="00B27DA4"/>
    <w:rsid w:val="00B30AFC"/>
    <w:rsid w:val="00B31C15"/>
    <w:rsid w:val="00B31F3D"/>
    <w:rsid w:val="00B33BA8"/>
    <w:rsid w:val="00B34107"/>
    <w:rsid w:val="00B350B3"/>
    <w:rsid w:val="00B351B4"/>
    <w:rsid w:val="00B359F8"/>
    <w:rsid w:val="00B35C7A"/>
    <w:rsid w:val="00B37BB6"/>
    <w:rsid w:val="00B409BB"/>
    <w:rsid w:val="00B42230"/>
    <w:rsid w:val="00B42F44"/>
    <w:rsid w:val="00B43287"/>
    <w:rsid w:val="00B43A07"/>
    <w:rsid w:val="00B44200"/>
    <w:rsid w:val="00B44705"/>
    <w:rsid w:val="00B44BD1"/>
    <w:rsid w:val="00B4522E"/>
    <w:rsid w:val="00B4585A"/>
    <w:rsid w:val="00B45B5C"/>
    <w:rsid w:val="00B45F35"/>
    <w:rsid w:val="00B46BCA"/>
    <w:rsid w:val="00B472E9"/>
    <w:rsid w:val="00B476B7"/>
    <w:rsid w:val="00B478AA"/>
    <w:rsid w:val="00B500BF"/>
    <w:rsid w:val="00B5084C"/>
    <w:rsid w:val="00B50CA2"/>
    <w:rsid w:val="00B50D4C"/>
    <w:rsid w:val="00B51350"/>
    <w:rsid w:val="00B51BF4"/>
    <w:rsid w:val="00B5252B"/>
    <w:rsid w:val="00B53500"/>
    <w:rsid w:val="00B535E6"/>
    <w:rsid w:val="00B54232"/>
    <w:rsid w:val="00B5513F"/>
    <w:rsid w:val="00B5766B"/>
    <w:rsid w:val="00B57894"/>
    <w:rsid w:val="00B57C5C"/>
    <w:rsid w:val="00B57D8C"/>
    <w:rsid w:val="00B601C5"/>
    <w:rsid w:val="00B604AE"/>
    <w:rsid w:val="00B6210B"/>
    <w:rsid w:val="00B62126"/>
    <w:rsid w:val="00B62EEA"/>
    <w:rsid w:val="00B637F4"/>
    <w:rsid w:val="00B64CB2"/>
    <w:rsid w:val="00B657AB"/>
    <w:rsid w:val="00B65EF9"/>
    <w:rsid w:val="00B6670F"/>
    <w:rsid w:val="00B66A2D"/>
    <w:rsid w:val="00B66C52"/>
    <w:rsid w:val="00B71349"/>
    <w:rsid w:val="00B71C0E"/>
    <w:rsid w:val="00B72198"/>
    <w:rsid w:val="00B7306B"/>
    <w:rsid w:val="00B736D5"/>
    <w:rsid w:val="00B73D39"/>
    <w:rsid w:val="00B75133"/>
    <w:rsid w:val="00B7537F"/>
    <w:rsid w:val="00B75F9F"/>
    <w:rsid w:val="00B775CF"/>
    <w:rsid w:val="00B80217"/>
    <w:rsid w:val="00B81607"/>
    <w:rsid w:val="00B819CF"/>
    <w:rsid w:val="00B81C07"/>
    <w:rsid w:val="00B81F2C"/>
    <w:rsid w:val="00B8231E"/>
    <w:rsid w:val="00B82445"/>
    <w:rsid w:val="00B82AC3"/>
    <w:rsid w:val="00B83202"/>
    <w:rsid w:val="00B83912"/>
    <w:rsid w:val="00B83A54"/>
    <w:rsid w:val="00B84011"/>
    <w:rsid w:val="00B843B9"/>
    <w:rsid w:val="00B844E8"/>
    <w:rsid w:val="00B84C11"/>
    <w:rsid w:val="00B85C2B"/>
    <w:rsid w:val="00B867E8"/>
    <w:rsid w:val="00B87073"/>
    <w:rsid w:val="00B87806"/>
    <w:rsid w:val="00B87EC9"/>
    <w:rsid w:val="00B90FAB"/>
    <w:rsid w:val="00B91AD8"/>
    <w:rsid w:val="00B920E4"/>
    <w:rsid w:val="00B92286"/>
    <w:rsid w:val="00B94A2E"/>
    <w:rsid w:val="00B954EF"/>
    <w:rsid w:val="00B97FCE"/>
    <w:rsid w:val="00B97FD3"/>
    <w:rsid w:val="00BA1210"/>
    <w:rsid w:val="00BA3FD9"/>
    <w:rsid w:val="00BA6B70"/>
    <w:rsid w:val="00BA6EE6"/>
    <w:rsid w:val="00BA7187"/>
    <w:rsid w:val="00BB10FD"/>
    <w:rsid w:val="00BB11BF"/>
    <w:rsid w:val="00BB1298"/>
    <w:rsid w:val="00BB4A34"/>
    <w:rsid w:val="00BB599F"/>
    <w:rsid w:val="00BB6692"/>
    <w:rsid w:val="00BB713C"/>
    <w:rsid w:val="00BB78A8"/>
    <w:rsid w:val="00BB7D2A"/>
    <w:rsid w:val="00BC0A99"/>
    <w:rsid w:val="00BC2FBE"/>
    <w:rsid w:val="00BC38FD"/>
    <w:rsid w:val="00BC39E5"/>
    <w:rsid w:val="00BC46BF"/>
    <w:rsid w:val="00BC4BFB"/>
    <w:rsid w:val="00BC4D77"/>
    <w:rsid w:val="00BC5B9B"/>
    <w:rsid w:val="00BC66C8"/>
    <w:rsid w:val="00BC688A"/>
    <w:rsid w:val="00BC70C4"/>
    <w:rsid w:val="00BC7AD8"/>
    <w:rsid w:val="00BD11C9"/>
    <w:rsid w:val="00BD1460"/>
    <w:rsid w:val="00BD18D9"/>
    <w:rsid w:val="00BD1A6D"/>
    <w:rsid w:val="00BD1D1B"/>
    <w:rsid w:val="00BD1EC6"/>
    <w:rsid w:val="00BD30B2"/>
    <w:rsid w:val="00BD5AF9"/>
    <w:rsid w:val="00BD6AE6"/>
    <w:rsid w:val="00BE06C9"/>
    <w:rsid w:val="00BE23CB"/>
    <w:rsid w:val="00BE4B8B"/>
    <w:rsid w:val="00BE5B55"/>
    <w:rsid w:val="00BE602C"/>
    <w:rsid w:val="00BE61F6"/>
    <w:rsid w:val="00BE6EBF"/>
    <w:rsid w:val="00BE7EF5"/>
    <w:rsid w:val="00BF0FDC"/>
    <w:rsid w:val="00BF347F"/>
    <w:rsid w:val="00BF3DAD"/>
    <w:rsid w:val="00BF5043"/>
    <w:rsid w:val="00BF5CAD"/>
    <w:rsid w:val="00C003E9"/>
    <w:rsid w:val="00C034CB"/>
    <w:rsid w:val="00C038FB"/>
    <w:rsid w:val="00C04E1A"/>
    <w:rsid w:val="00C051A8"/>
    <w:rsid w:val="00C054BC"/>
    <w:rsid w:val="00C05D37"/>
    <w:rsid w:val="00C0647D"/>
    <w:rsid w:val="00C0660F"/>
    <w:rsid w:val="00C06751"/>
    <w:rsid w:val="00C0693D"/>
    <w:rsid w:val="00C06C97"/>
    <w:rsid w:val="00C07237"/>
    <w:rsid w:val="00C07D24"/>
    <w:rsid w:val="00C117D1"/>
    <w:rsid w:val="00C121E1"/>
    <w:rsid w:val="00C13DFD"/>
    <w:rsid w:val="00C141D4"/>
    <w:rsid w:val="00C1433A"/>
    <w:rsid w:val="00C14689"/>
    <w:rsid w:val="00C14777"/>
    <w:rsid w:val="00C14845"/>
    <w:rsid w:val="00C15B77"/>
    <w:rsid w:val="00C15CD6"/>
    <w:rsid w:val="00C17897"/>
    <w:rsid w:val="00C2056F"/>
    <w:rsid w:val="00C21639"/>
    <w:rsid w:val="00C2457D"/>
    <w:rsid w:val="00C253B6"/>
    <w:rsid w:val="00C25420"/>
    <w:rsid w:val="00C25B9B"/>
    <w:rsid w:val="00C261B1"/>
    <w:rsid w:val="00C2691E"/>
    <w:rsid w:val="00C26E1E"/>
    <w:rsid w:val="00C27F26"/>
    <w:rsid w:val="00C307BC"/>
    <w:rsid w:val="00C30C05"/>
    <w:rsid w:val="00C30D70"/>
    <w:rsid w:val="00C30ECE"/>
    <w:rsid w:val="00C31050"/>
    <w:rsid w:val="00C31FFA"/>
    <w:rsid w:val="00C32833"/>
    <w:rsid w:val="00C32839"/>
    <w:rsid w:val="00C32C13"/>
    <w:rsid w:val="00C3310E"/>
    <w:rsid w:val="00C33251"/>
    <w:rsid w:val="00C33A87"/>
    <w:rsid w:val="00C33CD0"/>
    <w:rsid w:val="00C3488A"/>
    <w:rsid w:val="00C3587E"/>
    <w:rsid w:val="00C3649F"/>
    <w:rsid w:val="00C36AE6"/>
    <w:rsid w:val="00C36DC9"/>
    <w:rsid w:val="00C36FF9"/>
    <w:rsid w:val="00C409D5"/>
    <w:rsid w:val="00C413BE"/>
    <w:rsid w:val="00C41BB7"/>
    <w:rsid w:val="00C42753"/>
    <w:rsid w:val="00C435C3"/>
    <w:rsid w:val="00C43620"/>
    <w:rsid w:val="00C447F8"/>
    <w:rsid w:val="00C45416"/>
    <w:rsid w:val="00C457AE"/>
    <w:rsid w:val="00C45B31"/>
    <w:rsid w:val="00C465AF"/>
    <w:rsid w:val="00C50319"/>
    <w:rsid w:val="00C51A9A"/>
    <w:rsid w:val="00C51BB4"/>
    <w:rsid w:val="00C51E97"/>
    <w:rsid w:val="00C520CE"/>
    <w:rsid w:val="00C5239D"/>
    <w:rsid w:val="00C526D8"/>
    <w:rsid w:val="00C53029"/>
    <w:rsid w:val="00C5371A"/>
    <w:rsid w:val="00C53772"/>
    <w:rsid w:val="00C54A43"/>
    <w:rsid w:val="00C57053"/>
    <w:rsid w:val="00C5737E"/>
    <w:rsid w:val="00C57FA4"/>
    <w:rsid w:val="00C61790"/>
    <w:rsid w:val="00C6234B"/>
    <w:rsid w:val="00C62424"/>
    <w:rsid w:val="00C63D49"/>
    <w:rsid w:val="00C63EAE"/>
    <w:rsid w:val="00C64DB7"/>
    <w:rsid w:val="00C660AB"/>
    <w:rsid w:val="00C671FD"/>
    <w:rsid w:val="00C7081A"/>
    <w:rsid w:val="00C7087C"/>
    <w:rsid w:val="00C70E18"/>
    <w:rsid w:val="00C7126B"/>
    <w:rsid w:val="00C71A99"/>
    <w:rsid w:val="00C71FD6"/>
    <w:rsid w:val="00C721BE"/>
    <w:rsid w:val="00C735A1"/>
    <w:rsid w:val="00C736BA"/>
    <w:rsid w:val="00C737B4"/>
    <w:rsid w:val="00C73A34"/>
    <w:rsid w:val="00C74749"/>
    <w:rsid w:val="00C748A6"/>
    <w:rsid w:val="00C75388"/>
    <w:rsid w:val="00C7589E"/>
    <w:rsid w:val="00C7629F"/>
    <w:rsid w:val="00C76609"/>
    <w:rsid w:val="00C76778"/>
    <w:rsid w:val="00C76B0E"/>
    <w:rsid w:val="00C77FFC"/>
    <w:rsid w:val="00C80518"/>
    <w:rsid w:val="00C80C99"/>
    <w:rsid w:val="00C81B59"/>
    <w:rsid w:val="00C82EE2"/>
    <w:rsid w:val="00C8331F"/>
    <w:rsid w:val="00C8350B"/>
    <w:rsid w:val="00C85095"/>
    <w:rsid w:val="00C8661B"/>
    <w:rsid w:val="00C873B5"/>
    <w:rsid w:val="00C92824"/>
    <w:rsid w:val="00C9350E"/>
    <w:rsid w:val="00C946A2"/>
    <w:rsid w:val="00C94803"/>
    <w:rsid w:val="00C96085"/>
    <w:rsid w:val="00C9681E"/>
    <w:rsid w:val="00C9701A"/>
    <w:rsid w:val="00C970F6"/>
    <w:rsid w:val="00C97167"/>
    <w:rsid w:val="00C972E8"/>
    <w:rsid w:val="00CA0148"/>
    <w:rsid w:val="00CA139A"/>
    <w:rsid w:val="00CA1D0F"/>
    <w:rsid w:val="00CA2899"/>
    <w:rsid w:val="00CA29FD"/>
    <w:rsid w:val="00CA33FB"/>
    <w:rsid w:val="00CA3A3D"/>
    <w:rsid w:val="00CA437E"/>
    <w:rsid w:val="00CA4FCB"/>
    <w:rsid w:val="00CA6640"/>
    <w:rsid w:val="00CA77FB"/>
    <w:rsid w:val="00CB00D1"/>
    <w:rsid w:val="00CB1DB6"/>
    <w:rsid w:val="00CB1F26"/>
    <w:rsid w:val="00CB368B"/>
    <w:rsid w:val="00CB379B"/>
    <w:rsid w:val="00CB3973"/>
    <w:rsid w:val="00CB3F4D"/>
    <w:rsid w:val="00CB4338"/>
    <w:rsid w:val="00CB4C82"/>
    <w:rsid w:val="00CB53E6"/>
    <w:rsid w:val="00CB5440"/>
    <w:rsid w:val="00CB5B40"/>
    <w:rsid w:val="00CB5DD0"/>
    <w:rsid w:val="00CB6364"/>
    <w:rsid w:val="00CB6742"/>
    <w:rsid w:val="00CB6B2B"/>
    <w:rsid w:val="00CC0F08"/>
    <w:rsid w:val="00CC1A16"/>
    <w:rsid w:val="00CC2588"/>
    <w:rsid w:val="00CC28D5"/>
    <w:rsid w:val="00CC35BA"/>
    <w:rsid w:val="00CC392C"/>
    <w:rsid w:val="00CC51D4"/>
    <w:rsid w:val="00CC65DA"/>
    <w:rsid w:val="00CC6C04"/>
    <w:rsid w:val="00CC6FA7"/>
    <w:rsid w:val="00CC782B"/>
    <w:rsid w:val="00CD0E00"/>
    <w:rsid w:val="00CD116A"/>
    <w:rsid w:val="00CD23BF"/>
    <w:rsid w:val="00CD2C4B"/>
    <w:rsid w:val="00CD3568"/>
    <w:rsid w:val="00CD49DA"/>
    <w:rsid w:val="00CD4C78"/>
    <w:rsid w:val="00CD5016"/>
    <w:rsid w:val="00CD63D6"/>
    <w:rsid w:val="00CD6780"/>
    <w:rsid w:val="00CD6CF1"/>
    <w:rsid w:val="00CD6F86"/>
    <w:rsid w:val="00CD74CE"/>
    <w:rsid w:val="00CD74E6"/>
    <w:rsid w:val="00CD7B28"/>
    <w:rsid w:val="00CE17C6"/>
    <w:rsid w:val="00CE3766"/>
    <w:rsid w:val="00CE3DF2"/>
    <w:rsid w:val="00CE5092"/>
    <w:rsid w:val="00CE53AA"/>
    <w:rsid w:val="00CE61F1"/>
    <w:rsid w:val="00CE6602"/>
    <w:rsid w:val="00CE6B2F"/>
    <w:rsid w:val="00CE6E4B"/>
    <w:rsid w:val="00CF21B9"/>
    <w:rsid w:val="00CF3130"/>
    <w:rsid w:val="00CF4048"/>
    <w:rsid w:val="00CF5751"/>
    <w:rsid w:val="00CF5D34"/>
    <w:rsid w:val="00CF5DF1"/>
    <w:rsid w:val="00CF5DFB"/>
    <w:rsid w:val="00CF6835"/>
    <w:rsid w:val="00CF6BF9"/>
    <w:rsid w:val="00CF7B08"/>
    <w:rsid w:val="00D00065"/>
    <w:rsid w:val="00D03800"/>
    <w:rsid w:val="00D03B07"/>
    <w:rsid w:val="00D04717"/>
    <w:rsid w:val="00D0501A"/>
    <w:rsid w:val="00D0603A"/>
    <w:rsid w:val="00D062C6"/>
    <w:rsid w:val="00D065D3"/>
    <w:rsid w:val="00D069F1"/>
    <w:rsid w:val="00D0702A"/>
    <w:rsid w:val="00D07083"/>
    <w:rsid w:val="00D073E1"/>
    <w:rsid w:val="00D104FC"/>
    <w:rsid w:val="00D10701"/>
    <w:rsid w:val="00D10F9C"/>
    <w:rsid w:val="00D12E35"/>
    <w:rsid w:val="00D1452A"/>
    <w:rsid w:val="00D14C94"/>
    <w:rsid w:val="00D14EB0"/>
    <w:rsid w:val="00D16B95"/>
    <w:rsid w:val="00D17657"/>
    <w:rsid w:val="00D20885"/>
    <w:rsid w:val="00D21074"/>
    <w:rsid w:val="00D214D4"/>
    <w:rsid w:val="00D2174E"/>
    <w:rsid w:val="00D22FD1"/>
    <w:rsid w:val="00D2399B"/>
    <w:rsid w:val="00D242F2"/>
    <w:rsid w:val="00D24994"/>
    <w:rsid w:val="00D258C4"/>
    <w:rsid w:val="00D25A1E"/>
    <w:rsid w:val="00D260F2"/>
    <w:rsid w:val="00D26799"/>
    <w:rsid w:val="00D268BC"/>
    <w:rsid w:val="00D277BF"/>
    <w:rsid w:val="00D27C98"/>
    <w:rsid w:val="00D27FAE"/>
    <w:rsid w:val="00D3157F"/>
    <w:rsid w:val="00D315E9"/>
    <w:rsid w:val="00D3199C"/>
    <w:rsid w:val="00D32881"/>
    <w:rsid w:val="00D32A0E"/>
    <w:rsid w:val="00D33085"/>
    <w:rsid w:val="00D342A6"/>
    <w:rsid w:val="00D35BB6"/>
    <w:rsid w:val="00D369CD"/>
    <w:rsid w:val="00D36B99"/>
    <w:rsid w:val="00D409B3"/>
    <w:rsid w:val="00D42748"/>
    <w:rsid w:val="00D427CE"/>
    <w:rsid w:val="00D429C7"/>
    <w:rsid w:val="00D42E1B"/>
    <w:rsid w:val="00D438C1"/>
    <w:rsid w:val="00D448A8"/>
    <w:rsid w:val="00D448C5"/>
    <w:rsid w:val="00D449A9"/>
    <w:rsid w:val="00D44A77"/>
    <w:rsid w:val="00D452E4"/>
    <w:rsid w:val="00D45C87"/>
    <w:rsid w:val="00D45CA6"/>
    <w:rsid w:val="00D46244"/>
    <w:rsid w:val="00D464BF"/>
    <w:rsid w:val="00D46D52"/>
    <w:rsid w:val="00D47440"/>
    <w:rsid w:val="00D47A78"/>
    <w:rsid w:val="00D50080"/>
    <w:rsid w:val="00D5103C"/>
    <w:rsid w:val="00D51494"/>
    <w:rsid w:val="00D52B87"/>
    <w:rsid w:val="00D53E26"/>
    <w:rsid w:val="00D559D1"/>
    <w:rsid w:val="00D56092"/>
    <w:rsid w:val="00D565A5"/>
    <w:rsid w:val="00D56B13"/>
    <w:rsid w:val="00D56D7E"/>
    <w:rsid w:val="00D600DB"/>
    <w:rsid w:val="00D612B4"/>
    <w:rsid w:val="00D6164E"/>
    <w:rsid w:val="00D617E0"/>
    <w:rsid w:val="00D6242C"/>
    <w:rsid w:val="00D6269F"/>
    <w:rsid w:val="00D63268"/>
    <w:rsid w:val="00D634B1"/>
    <w:rsid w:val="00D64595"/>
    <w:rsid w:val="00D64641"/>
    <w:rsid w:val="00D64F6E"/>
    <w:rsid w:val="00D65C80"/>
    <w:rsid w:val="00D65E39"/>
    <w:rsid w:val="00D66545"/>
    <w:rsid w:val="00D66A51"/>
    <w:rsid w:val="00D67669"/>
    <w:rsid w:val="00D70CA5"/>
    <w:rsid w:val="00D7219D"/>
    <w:rsid w:val="00D7276A"/>
    <w:rsid w:val="00D729E7"/>
    <w:rsid w:val="00D730E5"/>
    <w:rsid w:val="00D73EA9"/>
    <w:rsid w:val="00D7492C"/>
    <w:rsid w:val="00D761F1"/>
    <w:rsid w:val="00D76292"/>
    <w:rsid w:val="00D7664A"/>
    <w:rsid w:val="00D76D2C"/>
    <w:rsid w:val="00D80193"/>
    <w:rsid w:val="00D83292"/>
    <w:rsid w:val="00D83627"/>
    <w:rsid w:val="00D8367A"/>
    <w:rsid w:val="00D83B7A"/>
    <w:rsid w:val="00D854A9"/>
    <w:rsid w:val="00D86079"/>
    <w:rsid w:val="00D86882"/>
    <w:rsid w:val="00D8696C"/>
    <w:rsid w:val="00D8707B"/>
    <w:rsid w:val="00D875B0"/>
    <w:rsid w:val="00D87697"/>
    <w:rsid w:val="00D87F0B"/>
    <w:rsid w:val="00D9039F"/>
    <w:rsid w:val="00D91173"/>
    <w:rsid w:val="00D915F0"/>
    <w:rsid w:val="00D91624"/>
    <w:rsid w:val="00D92816"/>
    <w:rsid w:val="00D93180"/>
    <w:rsid w:val="00D931F0"/>
    <w:rsid w:val="00D93FCF"/>
    <w:rsid w:val="00D9423D"/>
    <w:rsid w:val="00D9459B"/>
    <w:rsid w:val="00D949ED"/>
    <w:rsid w:val="00D94C7A"/>
    <w:rsid w:val="00D9554E"/>
    <w:rsid w:val="00D957B5"/>
    <w:rsid w:val="00DA1B4B"/>
    <w:rsid w:val="00DA1F31"/>
    <w:rsid w:val="00DA31C2"/>
    <w:rsid w:val="00DA4094"/>
    <w:rsid w:val="00DA409E"/>
    <w:rsid w:val="00DA416F"/>
    <w:rsid w:val="00DA5306"/>
    <w:rsid w:val="00DA6E0C"/>
    <w:rsid w:val="00DA7D5A"/>
    <w:rsid w:val="00DB0A6B"/>
    <w:rsid w:val="00DB0DF4"/>
    <w:rsid w:val="00DB16A1"/>
    <w:rsid w:val="00DB18AF"/>
    <w:rsid w:val="00DB1970"/>
    <w:rsid w:val="00DB2542"/>
    <w:rsid w:val="00DB3DCF"/>
    <w:rsid w:val="00DB5570"/>
    <w:rsid w:val="00DB5D48"/>
    <w:rsid w:val="00DB72EE"/>
    <w:rsid w:val="00DB73B0"/>
    <w:rsid w:val="00DB799F"/>
    <w:rsid w:val="00DB7A23"/>
    <w:rsid w:val="00DC00A6"/>
    <w:rsid w:val="00DC0F9B"/>
    <w:rsid w:val="00DC1E86"/>
    <w:rsid w:val="00DC2ACF"/>
    <w:rsid w:val="00DC33C8"/>
    <w:rsid w:val="00DC3F2D"/>
    <w:rsid w:val="00DC4B74"/>
    <w:rsid w:val="00DC4F5B"/>
    <w:rsid w:val="00DC5609"/>
    <w:rsid w:val="00DC5658"/>
    <w:rsid w:val="00DC74CB"/>
    <w:rsid w:val="00DD0533"/>
    <w:rsid w:val="00DD0DC2"/>
    <w:rsid w:val="00DD25E2"/>
    <w:rsid w:val="00DD4F0E"/>
    <w:rsid w:val="00DD5DCC"/>
    <w:rsid w:val="00DD7A93"/>
    <w:rsid w:val="00DE163E"/>
    <w:rsid w:val="00DE2686"/>
    <w:rsid w:val="00DE4A99"/>
    <w:rsid w:val="00DE51C9"/>
    <w:rsid w:val="00DE642E"/>
    <w:rsid w:val="00DE6F29"/>
    <w:rsid w:val="00DF00B0"/>
    <w:rsid w:val="00DF0355"/>
    <w:rsid w:val="00DF0BF0"/>
    <w:rsid w:val="00DF1448"/>
    <w:rsid w:val="00DF1B8D"/>
    <w:rsid w:val="00DF1BDC"/>
    <w:rsid w:val="00DF2A63"/>
    <w:rsid w:val="00DF3CA2"/>
    <w:rsid w:val="00DF4FC4"/>
    <w:rsid w:val="00DF58C7"/>
    <w:rsid w:val="00DF6BBB"/>
    <w:rsid w:val="00DF732C"/>
    <w:rsid w:val="00DF77A1"/>
    <w:rsid w:val="00DF7A8C"/>
    <w:rsid w:val="00E00347"/>
    <w:rsid w:val="00E0038E"/>
    <w:rsid w:val="00E01463"/>
    <w:rsid w:val="00E014EF"/>
    <w:rsid w:val="00E0151F"/>
    <w:rsid w:val="00E01A11"/>
    <w:rsid w:val="00E04B1B"/>
    <w:rsid w:val="00E05E0A"/>
    <w:rsid w:val="00E060BE"/>
    <w:rsid w:val="00E06B2B"/>
    <w:rsid w:val="00E11918"/>
    <w:rsid w:val="00E11EF8"/>
    <w:rsid w:val="00E138E0"/>
    <w:rsid w:val="00E214E9"/>
    <w:rsid w:val="00E22369"/>
    <w:rsid w:val="00E22A84"/>
    <w:rsid w:val="00E23AA3"/>
    <w:rsid w:val="00E23DF3"/>
    <w:rsid w:val="00E23F99"/>
    <w:rsid w:val="00E2463D"/>
    <w:rsid w:val="00E24AD5"/>
    <w:rsid w:val="00E25700"/>
    <w:rsid w:val="00E25C5D"/>
    <w:rsid w:val="00E27B1D"/>
    <w:rsid w:val="00E30CAB"/>
    <w:rsid w:val="00E319B2"/>
    <w:rsid w:val="00E331D6"/>
    <w:rsid w:val="00E3389B"/>
    <w:rsid w:val="00E33954"/>
    <w:rsid w:val="00E35446"/>
    <w:rsid w:val="00E360E4"/>
    <w:rsid w:val="00E36432"/>
    <w:rsid w:val="00E365E9"/>
    <w:rsid w:val="00E374DB"/>
    <w:rsid w:val="00E37F8B"/>
    <w:rsid w:val="00E401E6"/>
    <w:rsid w:val="00E4072F"/>
    <w:rsid w:val="00E415EE"/>
    <w:rsid w:val="00E417BB"/>
    <w:rsid w:val="00E41C3A"/>
    <w:rsid w:val="00E42043"/>
    <w:rsid w:val="00E42630"/>
    <w:rsid w:val="00E42B3E"/>
    <w:rsid w:val="00E4377E"/>
    <w:rsid w:val="00E43FA7"/>
    <w:rsid w:val="00E44129"/>
    <w:rsid w:val="00E44277"/>
    <w:rsid w:val="00E445CE"/>
    <w:rsid w:val="00E446B1"/>
    <w:rsid w:val="00E44FE8"/>
    <w:rsid w:val="00E4502B"/>
    <w:rsid w:val="00E45540"/>
    <w:rsid w:val="00E461C5"/>
    <w:rsid w:val="00E4644F"/>
    <w:rsid w:val="00E46CA8"/>
    <w:rsid w:val="00E4738B"/>
    <w:rsid w:val="00E474BC"/>
    <w:rsid w:val="00E47C6C"/>
    <w:rsid w:val="00E506C5"/>
    <w:rsid w:val="00E51129"/>
    <w:rsid w:val="00E51D3C"/>
    <w:rsid w:val="00E51FB3"/>
    <w:rsid w:val="00E52511"/>
    <w:rsid w:val="00E5267C"/>
    <w:rsid w:val="00E52CC6"/>
    <w:rsid w:val="00E532EE"/>
    <w:rsid w:val="00E534CF"/>
    <w:rsid w:val="00E53741"/>
    <w:rsid w:val="00E54CA2"/>
    <w:rsid w:val="00E57ACE"/>
    <w:rsid w:val="00E57BCC"/>
    <w:rsid w:val="00E57DC6"/>
    <w:rsid w:val="00E57F9F"/>
    <w:rsid w:val="00E6077B"/>
    <w:rsid w:val="00E6120D"/>
    <w:rsid w:val="00E617BC"/>
    <w:rsid w:val="00E62398"/>
    <w:rsid w:val="00E623B4"/>
    <w:rsid w:val="00E628FA"/>
    <w:rsid w:val="00E70321"/>
    <w:rsid w:val="00E70B97"/>
    <w:rsid w:val="00E71A17"/>
    <w:rsid w:val="00E72C29"/>
    <w:rsid w:val="00E737E2"/>
    <w:rsid w:val="00E73B10"/>
    <w:rsid w:val="00E744D6"/>
    <w:rsid w:val="00E7480B"/>
    <w:rsid w:val="00E74E76"/>
    <w:rsid w:val="00E766A3"/>
    <w:rsid w:val="00E76C14"/>
    <w:rsid w:val="00E7713E"/>
    <w:rsid w:val="00E77C59"/>
    <w:rsid w:val="00E80F69"/>
    <w:rsid w:val="00E81CB4"/>
    <w:rsid w:val="00E82224"/>
    <w:rsid w:val="00E82D99"/>
    <w:rsid w:val="00E83EA8"/>
    <w:rsid w:val="00E8460C"/>
    <w:rsid w:val="00E84CE6"/>
    <w:rsid w:val="00E850C9"/>
    <w:rsid w:val="00E8585B"/>
    <w:rsid w:val="00E86B56"/>
    <w:rsid w:val="00E86C6D"/>
    <w:rsid w:val="00E87993"/>
    <w:rsid w:val="00E901F4"/>
    <w:rsid w:val="00E90410"/>
    <w:rsid w:val="00E91ADF"/>
    <w:rsid w:val="00E9309D"/>
    <w:rsid w:val="00E93A87"/>
    <w:rsid w:val="00E942CB"/>
    <w:rsid w:val="00E955FD"/>
    <w:rsid w:val="00EA0C2C"/>
    <w:rsid w:val="00EA0D88"/>
    <w:rsid w:val="00EA1E87"/>
    <w:rsid w:val="00EA335B"/>
    <w:rsid w:val="00EA3509"/>
    <w:rsid w:val="00EA3814"/>
    <w:rsid w:val="00EA3825"/>
    <w:rsid w:val="00EA3F15"/>
    <w:rsid w:val="00EA5341"/>
    <w:rsid w:val="00EA60AB"/>
    <w:rsid w:val="00EA6E9D"/>
    <w:rsid w:val="00EA6EAA"/>
    <w:rsid w:val="00EA723B"/>
    <w:rsid w:val="00EA7847"/>
    <w:rsid w:val="00EA7E36"/>
    <w:rsid w:val="00EB09A6"/>
    <w:rsid w:val="00EB1C37"/>
    <w:rsid w:val="00EB1CBB"/>
    <w:rsid w:val="00EB3DDE"/>
    <w:rsid w:val="00EB4C2F"/>
    <w:rsid w:val="00EB5E9F"/>
    <w:rsid w:val="00EB6FBB"/>
    <w:rsid w:val="00EB7257"/>
    <w:rsid w:val="00EB753E"/>
    <w:rsid w:val="00EB7A9D"/>
    <w:rsid w:val="00EC165F"/>
    <w:rsid w:val="00EC1D24"/>
    <w:rsid w:val="00EC20D9"/>
    <w:rsid w:val="00EC3BE8"/>
    <w:rsid w:val="00EC4128"/>
    <w:rsid w:val="00EC5A2C"/>
    <w:rsid w:val="00EC5D3C"/>
    <w:rsid w:val="00EC6986"/>
    <w:rsid w:val="00EC701A"/>
    <w:rsid w:val="00EC725C"/>
    <w:rsid w:val="00EC7EE0"/>
    <w:rsid w:val="00ED0673"/>
    <w:rsid w:val="00ED06D2"/>
    <w:rsid w:val="00ED13CD"/>
    <w:rsid w:val="00ED1A04"/>
    <w:rsid w:val="00ED1C94"/>
    <w:rsid w:val="00ED247A"/>
    <w:rsid w:val="00ED4740"/>
    <w:rsid w:val="00ED7A8E"/>
    <w:rsid w:val="00EE0CD0"/>
    <w:rsid w:val="00EE2A5E"/>
    <w:rsid w:val="00EE2E1C"/>
    <w:rsid w:val="00EE2E6E"/>
    <w:rsid w:val="00EE324C"/>
    <w:rsid w:val="00EE373F"/>
    <w:rsid w:val="00EE4697"/>
    <w:rsid w:val="00EE5534"/>
    <w:rsid w:val="00EE57D7"/>
    <w:rsid w:val="00EE6C0F"/>
    <w:rsid w:val="00EE6E1E"/>
    <w:rsid w:val="00EE7209"/>
    <w:rsid w:val="00EE7C46"/>
    <w:rsid w:val="00EF1E37"/>
    <w:rsid w:val="00EF2802"/>
    <w:rsid w:val="00EF3558"/>
    <w:rsid w:val="00EF40EF"/>
    <w:rsid w:val="00EF47B6"/>
    <w:rsid w:val="00EF49B7"/>
    <w:rsid w:val="00EF5899"/>
    <w:rsid w:val="00EF5ADC"/>
    <w:rsid w:val="00EF6250"/>
    <w:rsid w:val="00EF63A9"/>
    <w:rsid w:val="00EF69A5"/>
    <w:rsid w:val="00EF6AC7"/>
    <w:rsid w:val="00EF700D"/>
    <w:rsid w:val="00EF7236"/>
    <w:rsid w:val="00F00339"/>
    <w:rsid w:val="00F02FC9"/>
    <w:rsid w:val="00F03292"/>
    <w:rsid w:val="00F032E5"/>
    <w:rsid w:val="00F044C2"/>
    <w:rsid w:val="00F04EA6"/>
    <w:rsid w:val="00F0759E"/>
    <w:rsid w:val="00F11219"/>
    <w:rsid w:val="00F11EFB"/>
    <w:rsid w:val="00F12593"/>
    <w:rsid w:val="00F125EF"/>
    <w:rsid w:val="00F13667"/>
    <w:rsid w:val="00F13CD6"/>
    <w:rsid w:val="00F14C46"/>
    <w:rsid w:val="00F16A43"/>
    <w:rsid w:val="00F1785B"/>
    <w:rsid w:val="00F17ECE"/>
    <w:rsid w:val="00F2003E"/>
    <w:rsid w:val="00F22247"/>
    <w:rsid w:val="00F233A2"/>
    <w:rsid w:val="00F23A1F"/>
    <w:rsid w:val="00F274BE"/>
    <w:rsid w:val="00F2799E"/>
    <w:rsid w:val="00F27F10"/>
    <w:rsid w:val="00F309AB"/>
    <w:rsid w:val="00F340A2"/>
    <w:rsid w:val="00F3489E"/>
    <w:rsid w:val="00F350D0"/>
    <w:rsid w:val="00F3511A"/>
    <w:rsid w:val="00F35E4A"/>
    <w:rsid w:val="00F368AD"/>
    <w:rsid w:val="00F36985"/>
    <w:rsid w:val="00F37317"/>
    <w:rsid w:val="00F3793F"/>
    <w:rsid w:val="00F407A9"/>
    <w:rsid w:val="00F41791"/>
    <w:rsid w:val="00F41C65"/>
    <w:rsid w:val="00F424BF"/>
    <w:rsid w:val="00F4269D"/>
    <w:rsid w:val="00F42BC6"/>
    <w:rsid w:val="00F439EB"/>
    <w:rsid w:val="00F44218"/>
    <w:rsid w:val="00F45384"/>
    <w:rsid w:val="00F4576D"/>
    <w:rsid w:val="00F459B2"/>
    <w:rsid w:val="00F4668C"/>
    <w:rsid w:val="00F46780"/>
    <w:rsid w:val="00F47548"/>
    <w:rsid w:val="00F47706"/>
    <w:rsid w:val="00F47A79"/>
    <w:rsid w:val="00F47AB6"/>
    <w:rsid w:val="00F50488"/>
    <w:rsid w:val="00F512CB"/>
    <w:rsid w:val="00F514E2"/>
    <w:rsid w:val="00F5162D"/>
    <w:rsid w:val="00F525B9"/>
    <w:rsid w:val="00F5339D"/>
    <w:rsid w:val="00F53855"/>
    <w:rsid w:val="00F53D89"/>
    <w:rsid w:val="00F54622"/>
    <w:rsid w:val="00F548DC"/>
    <w:rsid w:val="00F54E9A"/>
    <w:rsid w:val="00F54F74"/>
    <w:rsid w:val="00F5564F"/>
    <w:rsid w:val="00F57562"/>
    <w:rsid w:val="00F60422"/>
    <w:rsid w:val="00F6142D"/>
    <w:rsid w:val="00F614C2"/>
    <w:rsid w:val="00F62F8F"/>
    <w:rsid w:val="00F63916"/>
    <w:rsid w:val="00F6480D"/>
    <w:rsid w:val="00F64E51"/>
    <w:rsid w:val="00F65119"/>
    <w:rsid w:val="00F65B00"/>
    <w:rsid w:val="00F66361"/>
    <w:rsid w:val="00F66C72"/>
    <w:rsid w:val="00F6766B"/>
    <w:rsid w:val="00F67EAC"/>
    <w:rsid w:val="00F720B2"/>
    <w:rsid w:val="00F74E0C"/>
    <w:rsid w:val="00F751BD"/>
    <w:rsid w:val="00F76EE0"/>
    <w:rsid w:val="00F76FDC"/>
    <w:rsid w:val="00F7722E"/>
    <w:rsid w:val="00F77F9A"/>
    <w:rsid w:val="00F821A3"/>
    <w:rsid w:val="00F85268"/>
    <w:rsid w:val="00F855F9"/>
    <w:rsid w:val="00F873D4"/>
    <w:rsid w:val="00F87878"/>
    <w:rsid w:val="00F90559"/>
    <w:rsid w:val="00F90D59"/>
    <w:rsid w:val="00F9105A"/>
    <w:rsid w:val="00F92BD9"/>
    <w:rsid w:val="00F9314A"/>
    <w:rsid w:val="00F93BFB"/>
    <w:rsid w:val="00F940B2"/>
    <w:rsid w:val="00F94BB8"/>
    <w:rsid w:val="00F953E1"/>
    <w:rsid w:val="00F95475"/>
    <w:rsid w:val="00F9646F"/>
    <w:rsid w:val="00F96E55"/>
    <w:rsid w:val="00F9799D"/>
    <w:rsid w:val="00FA0172"/>
    <w:rsid w:val="00FA0D5E"/>
    <w:rsid w:val="00FA29BD"/>
    <w:rsid w:val="00FA2A25"/>
    <w:rsid w:val="00FA2C71"/>
    <w:rsid w:val="00FA3AD0"/>
    <w:rsid w:val="00FA4BA6"/>
    <w:rsid w:val="00FA569A"/>
    <w:rsid w:val="00FA605C"/>
    <w:rsid w:val="00FA62A6"/>
    <w:rsid w:val="00FA6BBF"/>
    <w:rsid w:val="00FA6CC9"/>
    <w:rsid w:val="00FA774A"/>
    <w:rsid w:val="00FA776C"/>
    <w:rsid w:val="00FB00E6"/>
    <w:rsid w:val="00FB0298"/>
    <w:rsid w:val="00FB0B29"/>
    <w:rsid w:val="00FB0E50"/>
    <w:rsid w:val="00FB1585"/>
    <w:rsid w:val="00FB1800"/>
    <w:rsid w:val="00FB3209"/>
    <w:rsid w:val="00FB3A96"/>
    <w:rsid w:val="00FB3B9D"/>
    <w:rsid w:val="00FB435C"/>
    <w:rsid w:val="00FB4424"/>
    <w:rsid w:val="00FB5729"/>
    <w:rsid w:val="00FB609A"/>
    <w:rsid w:val="00FB631E"/>
    <w:rsid w:val="00FB65E7"/>
    <w:rsid w:val="00FB7C3B"/>
    <w:rsid w:val="00FC1120"/>
    <w:rsid w:val="00FC154D"/>
    <w:rsid w:val="00FC2698"/>
    <w:rsid w:val="00FC2BC3"/>
    <w:rsid w:val="00FC3BBB"/>
    <w:rsid w:val="00FC4577"/>
    <w:rsid w:val="00FC4A47"/>
    <w:rsid w:val="00FC531E"/>
    <w:rsid w:val="00FC58EF"/>
    <w:rsid w:val="00FC5BD8"/>
    <w:rsid w:val="00FC645C"/>
    <w:rsid w:val="00FC7E22"/>
    <w:rsid w:val="00FD0A4F"/>
    <w:rsid w:val="00FD2B70"/>
    <w:rsid w:val="00FD33DF"/>
    <w:rsid w:val="00FD3E02"/>
    <w:rsid w:val="00FD58B1"/>
    <w:rsid w:val="00FD6D83"/>
    <w:rsid w:val="00FE0142"/>
    <w:rsid w:val="00FE0495"/>
    <w:rsid w:val="00FE0861"/>
    <w:rsid w:val="00FE39D7"/>
    <w:rsid w:val="00FE3B37"/>
    <w:rsid w:val="00FE49D2"/>
    <w:rsid w:val="00FE4E8D"/>
    <w:rsid w:val="00FE53B8"/>
    <w:rsid w:val="00FE6F4D"/>
    <w:rsid w:val="00FE7026"/>
    <w:rsid w:val="00FF0587"/>
    <w:rsid w:val="00FF061E"/>
    <w:rsid w:val="00FF12A2"/>
    <w:rsid w:val="00FF19BF"/>
    <w:rsid w:val="00FF20CB"/>
    <w:rsid w:val="00FF37D3"/>
    <w:rsid w:val="00FF44C0"/>
    <w:rsid w:val="00FF4683"/>
    <w:rsid w:val="00FF4D1B"/>
    <w:rsid w:val="00FF4E70"/>
    <w:rsid w:val="00FF4F85"/>
    <w:rsid w:val="00FF5028"/>
    <w:rsid w:val="00FF72B2"/>
    <w:rsid w:val="00FF77B7"/>
    <w:rsid w:val="00FF792C"/>
    <w:rsid w:val="01AAE218"/>
    <w:rsid w:val="01DD8646"/>
    <w:rsid w:val="020A773E"/>
    <w:rsid w:val="02FBCA85"/>
    <w:rsid w:val="030DCEC9"/>
    <w:rsid w:val="04A99F2A"/>
    <w:rsid w:val="04ED6729"/>
    <w:rsid w:val="0616757F"/>
    <w:rsid w:val="06E66D5F"/>
    <w:rsid w:val="07F704A8"/>
    <w:rsid w:val="08202477"/>
    <w:rsid w:val="087454D6"/>
    <w:rsid w:val="092000C3"/>
    <w:rsid w:val="0A93618F"/>
    <w:rsid w:val="0B588CD1"/>
    <w:rsid w:val="0C60AA58"/>
    <w:rsid w:val="0CBED115"/>
    <w:rsid w:val="0FDB56EE"/>
    <w:rsid w:val="1090A192"/>
    <w:rsid w:val="10F3454E"/>
    <w:rsid w:val="1137439F"/>
    <w:rsid w:val="115DE82D"/>
    <w:rsid w:val="130FEC0E"/>
    <w:rsid w:val="13B515B7"/>
    <w:rsid w:val="13EEABC8"/>
    <w:rsid w:val="146DEA71"/>
    <w:rsid w:val="163A4B9C"/>
    <w:rsid w:val="166B4113"/>
    <w:rsid w:val="16C3780D"/>
    <w:rsid w:val="175A229A"/>
    <w:rsid w:val="18B6B3E5"/>
    <w:rsid w:val="195A3235"/>
    <w:rsid w:val="1A44D50A"/>
    <w:rsid w:val="1AD3F820"/>
    <w:rsid w:val="1B7611E0"/>
    <w:rsid w:val="1CA98D20"/>
    <w:rsid w:val="1CAAC357"/>
    <w:rsid w:val="1CF7EFF7"/>
    <w:rsid w:val="1E723003"/>
    <w:rsid w:val="1E7C4947"/>
    <w:rsid w:val="1EFE3FE9"/>
    <w:rsid w:val="212DD505"/>
    <w:rsid w:val="2177D6DE"/>
    <w:rsid w:val="241C6B78"/>
    <w:rsid w:val="24396C98"/>
    <w:rsid w:val="24A082D5"/>
    <w:rsid w:val="263B88ED"/>
    <w:rsid w:val="2680B251"/>
    <w:rsid w:val="2714C5DB"/>
    <w:rsid w:val="27CFD5A4"/>
    <w:rsid w:val="282F0BA7"/>
    <w:rsid w:val="29CADC08"/>
    <w:rsid w:val="2A16C363"/>
    <w:rsid w:val="2AF68D5B"/>
    <w:rsid w:val="2B1627E5"/>
    <w:rsid w:val="2BFCD34E"/>
    <w:rsid w:val="2D0C7592"/>
    <w:rsid w:val="2DFE5F19"/>
    <w:rsid w:val="2FE616D5"/>
    <w:rsid w:val="30E42B7A"/>
    <w:rsid w:val="30FB38A2"/>
    <w:rsid w:val="3181E736"/>
    <w:rsid w:val="324C0CF2"/>
    <w:rsid w:val="32532269"/>
    <w:rsid w:val="32D6AB93"/>
    <w:rsid w:val="3334D281"/>
    <w:rsid w:val="345097CE"/>
    <w:rsid w:val="356982EC"/>
    <w:rsid w:val="35ECE0C8"/>
    <w:rsid w:val="363582A9"/>
    <w:rsid w:val="36477D5E"/>
    <w:rsid w:val="366B2F23"/>
    <w:rsid w:val="366E3F56"/>
    <w:rsid w:val="381C9F2E"/>
    <w:rsid w:val="3885D8AE"/>
    <w:rsid w:val="38B23840"/>
    <w:rsid w:val="3A28A4B2"/>
    <w:rsid w:val="3A30E775"/>
    <w:rsid w:val="3A847AB4"/>
    <w:rsid w:val="3ABBEE87"/>
    <w:rsid w:val="3AD3BD04"/>
    <w:rsid w:val="3BCBBF8E"/>
    <w:rsid w:val="3C39AC8F"/>
    <w:rsid w:val="3C3B0EBA"/>
    <w:rsid w:val="3C6873CA"/>
    <w:rsid w:val="3C709326"/>
    <w:rsid w:val="3D0CA364"/>
    <w:rsid w:val="3D3E5EDF"/>
    <w:rsid w:val="3D3F3B80"/>
    <w:rsid w:val="3D593ACA"/>
    <w:rsid w:val="3DF1ED68"/>
    <w:rsid w:val="3E0C6387"/>
    <w:rsid w:val="3E6651E4"/>
    <w:rsid w:val="3ED4DA2B"/>
    <w:rsid w:val="3F099262"/>
    <w:rsid w:val="3F3B6B99"/>
    <w:rsid w:val="4049DEC0"/>
    <w:rsid w:val="411484E9"/>
    <w:rsid w:val="41440449"/>
    <w:rsid w:val="42C7DD9E"/>
    <w:rsid w:val="43B94241"/>
    <w:rsid w:val="43DBB6F9"/>
    <w:rsid w:val="444A0378"/>
    <w:rsid w:val="44BE02A2"/>
    <w:rsid w:val="4585265D"/>
    <w:rsid w:val="45F91119"/>
    <w:rsid w:val="462EF91A"/>
    <w:rsid w:val="4635892E"/>
    <w:rsid w:val="46635CC7"/>
    <w:rsid w:val="49694F6E"/>
    <w:rsid w:val="49AB11DC"/>
    <w:rsid w:val="4A18DC85"/>
    <w:rsid w:val="4B340B63"/>
    <w:rsid w:val="4BC5CDC4"/>
    <w:rsid w:val="4D9537CD"/>
    <w:rsid w:val="4E715E98"/>
    <w:rsid w:val="4EE9DA98"/>
    <w:rsid w:val="4F50CED5"/>
    <w:rsid w:val="4FD22B28"/>
    <w:rsid w:val="4FE8CDEA"/>
    <w:rsid w:val="521C4B69"/>
    <w:rsid w:val="526C1302"/>
    <w:rsid w:val="529F2F36"/>
    <w:rsid w:val="5316D0E9"/>
    <w:rsid w:val="56E40ABA"/>
    <w:rsid w:val="56F45A10"/>
    <w:rsid w:val="57232371"/>
    <w:rsid w:val="5730B1BA"/>
    <w:rsid w:val="58DF285C"/>
    <w:rsid w:val="5904C8F7"/>
    <w:rsid w:val="59A197AF"/>
    <w:rsid w:val="5B36330D"/>
    <w:rsid w:val="5B8CC2FE"/>
    <w:rsid w:val="5CEB65DE"/>
    <w:rsid w:val="5F0477B9"/>
    <w:rsid w:val="5F08077D"/>
    <w:rsid w:val="5F170CC3"/>
    <w:rsid w:val="5F35762C"/>
    <w:rsid w:val="605A31D6"/>
    <w:rsid w:val="60AB4FD5"/>
    <w:rsid w:val="612E67E2"/>
    <w:rsid w:val="619DE2C9"/>
    <w:rsid w:val="6455B2CE"/>
    <w:rsid w:val="645C0E70"/>
    <w:rsid w:val="64FA1CD1"/>
    <w:rsid w:val="66309966"/>
    <w:rsid w:val="66D79B3A"/>
    <w:rsid w:val="66E74EAA"/>
    <w:rsid w:val="67945250"/>
    <w:rsid w:val="6897233D"/>
    <w:rsid w:val="6903AF08"/>
    <w:rsid w:val="69F5C13A"/>
    <w:rsid w:val="6A415259"/>
    <w:rsid w:val="6AD4CE31"/>
    <w:rsid w:val="6AE52439"/>
    <w:rsid w:val="6B09971F"/>
    <w:rsid w:val="6B389CD1"/>
    <w:rsid w:val="6C2C4AD8"/>
    <w:rsid w:val="6C38E224"/>
    <w:rsid w:val="6C4CAA49"/>
    <w:rsid w:val="6D4C7F68"/>
    <w:rsid w:val="6D9586A0"/>
    <w:rsid w:val="6DE36CB7"/>
    <w:rsid w:val="6E4DB716"/>
    <w:rsid w:val="6E6C7538"/>
    <w:rsid w:val="6FC40744"/>
    <w:rsid w:val="70B711F9"/>
    <w:rsid w:val="711ADF64"/>
    <w:rsid w:val="71401185"/>
    <w:rsid w:val="7206E4D4"/>
    <w:rsid w:val="724FCF66"/>
    <w:rsid w:val="73183FFF"/>
    <w:rsid w:val="73223666"/>
    <w:rsid w:val="7377B318"/>
    <w:rsid w:val="749B9ABB"/>
    <w:rsid w:val="75C68159"/>
    <w:rsid w:val="76835277"/>
    <w:rsid w:val="77F84828"/>
    <w:rsid w:val="78CB0C99"/>
    <w:rsid w:val="7ABADD25"/>
    <w:rsid w:val="7B6B6B74"/>
    <w:rsid w:val="7D2A678D"/>
    <w:rsid w:val="7EE53928"/>
    <w:rsid w:val="7F15D9A5"/>
    <w:rsid w:val="7F2C8104"/>
    <w:rsid w:val="7F7BD9D3"/>
    <w:rsid w:val="7FC3F809"/>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A7786"/>
  <w15:docId w15:val="{26A5A2F6-A690-4D21-BE76-A6B9212E1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0"/>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 w:type="paragraph" w:customStyle="1" w:styleId="Textoindependiente3100">
    <w:name w:val="Texto independiente 3100"/>
    <w:basedOn w:val="Normal"/>
    <w:rsid w:val="00C671FD"/>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3698401">
      <w:bodyDiv w:val="1"/>
      <w:marLeft w:val="0"/>
      <w:marRight w:val="0"/>
      <w:marTop w:val="0"/>
      <w:marBottom w:val="0"/>
      <w:divBdr>
        <w:top w:val="none" w:sz="0" w:space="0" w:color="auto"/>
        <w:left w:val="none" w:sz="0" w:space="0" w:color="auto"/>
        <w:bottom w:val="none" w:sz="0" w:space="0" w:color="auto"/>
        <w:right w:val="none" w:sz="0" w:space="0" w:color="auto"/>
      </w:divBdr>
      <w:divsChild>
        <w:div w:id="352267732">
          <w:marLeft w:val="0"/>
          <w:marRight w:val="0"/>
          <w:marTop w:val="0"/>
          <w:marBottom w:val="0"/>
          <w:divBdr>
            <w:top w:val="none" w:sz="0" w:space="0" w:color="auto"/>
            <w:left w:val="none" w:sz="0" w:space="0" w:color="auto"/>
            <w:bottom w:val="none" w:sz="0" w:space="0" w:color="auto"/>
            <w:right w:val="none" w:sz="0" w:space="0" w:color="auto"/>
          </w:divBdr>
          <w:divsChild>
            <w:div w:id="4414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296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9008843DA1FEFC47A1DE4927CE931380" ma:contentTypeVersion="2" ma:contentTypeDescription="Crear nuevo documento." ma:contentTypeScope="" ma:versionID="6cd9afe5251636fab128a26d56a0a0f6">
  <xsd:schema xmlns:xsd="http://www.w3.org/2001/XMLSchema" xmlns:xs="http://www.w3.org/2001/XMLSchema" xmlns:p="http://schemas.microsoft.com/office/2006/metadata/properties" xmlns:ns2="9a6c2d20-416b-422a-aa79-bec6fc0092b6" targetNamespace="http://schemas.microsoft.com/office/2006/metadata/properties" ma:root="true" ma:fieldsID="b96ea24920ed9f7cf855d24cace5ee59" ns2:_="">
    <xsd:import namespace="9a6c2d20-416b-422a-aa79-bec6fc0092b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6c2d20-416b-422a-aa79-bec6fc0092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95280-7D36-4F56-BCB9-62B27662A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6c2d20-416b-422a-aa79-bec6fc0092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F4E630-312D-4570-855F-ADED849CC06C}">
  <ds:schemaRefs>
    <ds:schemaRef ds:uri="http://schemas.microsoft.com/sharepoint/v3/contenttype/forms"/>
  </ds:schemaRefs>
</ds:datastoreItem>
</file>

<file path=customXml/itemProps3.xml><?xml version="1.0" encoding="utf-8"?>
<ds:datastoreItem xmlns:ds="http://schemas.openxmlformats.org/officeDocument/2006/customXml" ds:itemID="{75C21035-8474-4E56-B425-4B84902ED08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4928853-CE73-4A88-A71F-03078761C1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11</Pages>
  <Words>3631</Words>
  <Characters>19493</Characters>
  <Application>Microsoft Office Word</Application>
  <DocSecurity>0</DocSecurity>
  <Lines>162</Lines>
  <Paragraphs>46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23078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Ramos</dc:creator>
  <cp:keywords/>
  <cp:lastModifiedBy>Luz Stella Rojas Macias</cp:lastModifiedBy>
  <cp:revision>2</cp:revision>
  <cp:lastPrinted>2021-01-29T16:33:00Z</cp:lastPrinted>
  <dcterms:created xsi:type="dcterms:W3CDTF">2021-02-08T14:56:00Z</dcterms:created>
  <dcterms:modified xsi:type="dcterms:W3CDTF">2021-02-08T14:56:00Z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0x0101009008843DA1FEFC47A1DE4927CE931380</vt:lpwstr>
  </property>
</Properties>
</file>