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3CBA" w:rsidRPr="00E418EA" w:rsidRDefault="000B7687" w:rsidP="005B1078">
      <w:pPr>
        <w:pStyle w:val="Encabezado"/>
        <w:tabs>
          <w:tab w:val="clear" w:pos="8504"/>
          <w:tab w:val="left" w:pos="2977"/>
        </w:tabs>
        <w:ind w:left="0"/>
        <w:jc w:val="both"/>
        <w:rPr>
          <w:rFonts w:ascii="Bookman Old Style" w:hAnsi="Bookman Old Style"/>
          <w:color w:val="000000" w:themeColor="text1"/>
          <w:szCs w:val="24"/>
          <w:lang w:val="es-ES"/>
        </w:rPr>
      </w:pPr>
      <w:bookmarkStart w:id="0" w:name="_GoBack"/>
      <w:bookmarkEnd w:id="0"/>
      <w:r w:rsidRPr="00E418EA">
        <w:rPr>
          <w:rFonts w:ascii="Bookman Old Style" w:hAnsi="Bookman Old Style"/>
          <w:noProof/>
          <w:color w:val="000000" w:themeColor="text1"/>
          <w:szCs w:val="24"/>
          <w:lang w:eastAsia="es-CO"/>
        </w:rPr>
        <w:drawing>
          <wp:anchor distT="0" distB="0" distL="114300" distR="114300" simplePos="0" relativeHeight="251657728" behindDoc="0" locked="0" layoutInCell="1" allowOverlap="1" wp14:anchorId="719A769C" wp14:editId="4DC54491">
            <wp:simplePos x="0" y="0"/>
            <wp:positionH relativeFrom="column">
              <wp:posOffset>2570480</wp:posOffset>
            </wp:positionH>
            <wp:positionV relativeFrom="paragraph">
              <wp:posOffset>-645160</wp:posOffset>
            </wp:positionV>
            <wp:extent cx="666750" cy="619125"/>
            <wp:effectExtent l="0" t="0" r="0" b="9525"/>
            <wp:wrapNone/>
            <wp:docPr id="3"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66750" cy="619125"/>
                    </a:xfrm>
                    <a:prstGeom prst="rect">
                      <a:avLst/>
                    </a:prstGeom>
                    <a:noFill/>
                  </pic:spPr>
                </pic:pic>
              </a:graphicData>
            </a:graphic>
            <wp14:sizeRelH relativeFrom="page">
              <wp14:pctWidth>0</wp14:pctWidth>
            </wp14:sizeRelH>
            <wp14:sizeRelV relativeFrom="page">
              <wp14:pctHeight>0</wp14:pctHeight>
            </wp14:sizeRelV>
          </wp:anchor>
        </w:drawing>
      </w:r>
    </w:p>
    <w:p w:rsidR="00F813A4" w:rsidRPr="00E418EA" w:rsidRDefault="00F813A4" w:rsidP="005B1078">
      <w:pPr>
        <w:pStyle w:val="Encabezado"/>
        <w:tabs>
          <w:tab w:val="clear" w:pos="8504"/>
        </w:tabs>
        <w:ind w:left="0"/>
        <w:jc w:val="both"/>
        <w:rPr>
          <w:rFonts w:ascii="Bookman Old Style" w:hAnsi="Bookman Old Style"/>
          <w:color w:val="000000" w:themeColor="text1"/>
          <w:szCs w:val="24"/>
          <w:lang w:val="es-ES"/>
        </w:rPr>
      </w:pPr>
    </w:p>
    <w:p w:rsidR="00F813A4" w:rsidRPr="00E418EA" w:rsidRDefault="00F813A4" w:rsidP="005B1078">
      <w:pPr>
        <w:pStyle w:val="Ttulo4"/>
        <w:ind w:left="0"/>
        <w:rPr>
          <w:rFonts w:ascii="Bookman Old Style" w:hAnsi="Bookman Old Style"/>
          <w:b w:val="0"/>
          <w:bCs/>
          <w:noProof/>
          <w:sz w:val="24"/>
          <w:szCs w:val="24"/>
          <w:lang w:val="es-ES"/>
        </w:rPr>
      </w:pPr>
      <w:r w:rsidRPr="00E418EA">
        <w:rPr>
          <w:rFonts w:ascii="Bookman Old Style" w:hAnsi="Bookman Old Style"/>
          <w:b w:val="0"/>
          <w:bCs/>
          <w:sz w:val="24"/>
          <w:szCs w:val="24"/>
        </w:rPr>
        <w:t>Ministerio de Minas y Energía</w:t>
      </w:r>
    </w:p>
    <w:p w:rsidR="00F813A4" w:rsidRPr="00E418EA" w:rsidRDefault="00F813A4" w:rsidP="005B1078">
      <w:pPr>
        <w:pStyle w:val="Ttulo4"/>
        <w:ind w:left="0"/>
        <w:rPr>
          <w:rFonts w:ascii="Bookman Old Style" w:hAnsi="Bookman Old Style"/>
          <w:b w:val="0"/>
          <w:bCs/>
          <w:sz w:val="24"/>
          <w:szCs w:val="24"/>
        </w:rPr>
      </w:pPr>
    </w:p>
    <w:p w:rsidR="00F813A4" w:rsidRPr="00E418EA" w:rsidRDefault="00F813A4" w:rsidP="005B1078">
      <w:pPr>
        <w:pStyle w:val="Ttulo3"/>
        <w:ind w:left="0"/>
        <w:rPr>
          <w:rFonts w:ascii="Bookman Old Style" w:hAnsi="Bookman Old Style" w:cs="Arial"/>
          <w:spacing w:val="20"/>
          <w:szCs w:val="24"/>
        </w:rPr>
      </w:pPr>
      <w:r w:rsidRPr="00E418EA">
        <w:rPr>
          <w:rFonts w:ascii="Bookman Old Style" w:hAnsi="Bookman Old Style" w:cs="Arial"/>
          <w:spacing w:val="20"/>
          <w:szCs w:val="24"/>
        </w:rPr>
        <w:t>COMISIÓN DE REGULACIÓN DE ENERGÍA Y GAS</w:t>
      </w:r>
    </w:p>
    <w:p w:rsidR="00F813A4" w:rsidRPr="00E418EA" w:rsidRDefault="00F813A4" w:rsidP="005B1078">
      <w:pPr>
        <w:pStyle w:val="Ttulo5"/>
        <w:ind w:left="0"/>
        <w:rPr>
          <w:rFonts w:ascii="Bookman Old Style" w:hAnsi="Bookman Old Style"/>
          <w:sz w:val="24"/>
          <w:szCs w:val="24"/>
        </w:rPr>
      </w:pPr>
    </w:p>
    <w:p w:rsidR="00F813A4" w:rsidRPr="00E418EA" w:rsidRDefault="00F813A4" w:rsidP="005B1078">
      <w:pPr>
        <w:pStyle w:val="Ttulo5"/>
        <w:ind w:left="0"/>
        <w:rPr>
          <w:rFonts w:ascii="Bookman Old Style" w:hAnsi="Bookman Old Style"/>
          <w:sz w:val="24"/>
          <w:szCs w:val="24"/>
        </w:rPr>
      </w:pPr>
    </w:p>
    <w:p w:rsidR="00F813A4" w:rsidRPr="00E418EA" w:rsidRDefault="00F813A4" w:rsidP="005B1078">
      <w:pPr>
        <w:pStyle w:val="Ttulo5"/>
        <w:ind w:left="0"/>
        <w:rPr>
          <w:rFonts w:ascii="Bookman Old Style" w:hAnsi="Bookman Old Style"/>
          <w:sz w:val="24"/>
          <w:szCs w:val="24"/>
        </w:rPr>
      </w:pPr>
      <w:r w:rsidRPr="00E418EA">
        <w:rPr>
          <w:rFonts w:ascii="Bookman Old Style" w:hAnsi="Bookman Old Style"/>
          <w:sz w:val="24"/>
          <w:szCs w:val="24"/>
        </w:rPr>
        <w:t>RESOLUCIÓN No.                   DE 201</w:t>
      </w:r>
      <w:r w:rsidR="00F261E1" w:rsidRPr="00E418EA">
        <w:rPr>
          <w:rFonts w:ascii="Bookman Old Style" w:hAnsi="Bookman Old Style"/>
          <w:sz w:val="24"/>
          <w:szCs w:val="24"/>
        </w:rPr>
        <w:t>4</w:t>
      </w:r>
    </w:p>
    <w:p w:rsidR="00F813A4" w:rsidRPr="00E418EA" w:rsidRDefault="00F813A4" w:rsidP="005B1078">
      <w:pPr>
        <w:ind w:left="0"/>
        <w:jc w:val="center"/>
        <w:rPr>
          <w:rFonts w:ascii="Bookman Old Style" w:hAnsi="Bookman Old Style" w:cs="Arial"/>
          <w:b/>
          <w:snapToGrid w:val="0"/>
          <w:color w:val="000000"/>
          <w:lang w:val="es-ES_tradnl"/>
        </w:rPr>
      </w:pPr>
    </w:p>
    <w:p w:rsidR="00F813A4" w:rsidRPr="00E418EA" w:rsidRDefault="00F813A4" w:rsidP="005B1078">
      <w:pPr>
        <w:pStyle w:val="Ttulo3"/>
        <w:ind w:left="0"/>
        <w:rPr>
          <w:rFonts w:ascii="Bookman Old Style" w:hAnsi="Bookman Old Style"/>
          <w:b w:val="0"/>
          <w:szCs w:val="24"/>
        </w:rPr>
      </w:pPr>
      <w:r w:rsidRPr="00E418EA">
        <w:rPr>
          <w:rFonts w:ascii="Bookman Old Style" w:hAnsi="Bookman Old Style"/>
          <w:b w:val="0"/>
          <w:szCs w:val="24"/>
        </w:rPr>
        <w:t>(                                  )</w:t>
      </w:r>
    </w:p>
    <w:p w:rsidR="00F813A4" w:rsidRPr="00E418EA" w:rsidRDefault="00F813A4" w:rsidP="005B1078">
      <w:pPr>
        <w:ind w:left="0"/>
        <w:rPr>
          <w:rFonts w:ascii="Bookman Old Style" w:hAnsi="Bookman Old Style"/>
          <w:bCs/>
          <w:lang w:val="es-CO"/>
        </w:rPr>
      </w:pPr>
    </w:p>
    <w:p w:rsidR="00F813A4" w:rsidRPr="00E418EA" w:rsidRDefault="00F813A4" w:rsidP="005B1078">
      <w:pPr>
        <w:ind w:left="0"/>
        <w:rPr>
          <w:rFonts w:ascii="Bookman Old Style" w:hAnsi="Bookman Old Style"/>
          <w:bCs/>
          <w:lang w:val="es-CO"/>
        </w:rPr>
      </w:pPr>
    </w:p>
    <w:p w:rsidR="00E41B36" w:rsidRDefault="00E41B36" w:rsidP="005B1078">
      <w:pPr>
        <w:ind w:left="0"/>
        <w:jc w:val="center"/>
        <w:rPr>
          <w:rFonts w:ascii="Bookman Old Style" w:hAnsi="Bookman Old Style"/>
        </w:rPr>
      </w:pPr>
    </w:p>
    <w:p w:rsidR="00F813A4" w:rsidRPr="00E418EA" w:rsidRDefault="00F813A4" w:rsidP="005B1078">
      <w:pPr>
        <w:ind w:left="0"/>
        <w:jc w:val="center"/>
        <w:rPr>
          <w:rFonts w:ascii="Bookman Old Style" w:hAnsi="Bookman Old Style" w:cs="Arial"/>
          <w:b/>
          <w:bCs/>
          <w:color w:val="000000" w:themeColor="text1"/>
          <w:lang w:eastAsia="es-CO"/>
        </w:rPr>
      </w:pPr>
      <w:r w:rsidRPr="00E418EA">
        <w:rPr>
          <w:rFonts w:ascii="Bookman Old Style" w:hAnsi="Bookman Old Style"/>
        </w:rPr>
        <w:t>Por la cual se ordena hacer público un proyecto de resolución</w:t>
      </w:r>
      <w:r w:rsidR="00D11BA0" w:rsidRPr="00E418EA">
        <w:rPr>
          <w:rFonts w:ascii="Bookman Old Style" w:hAnsi="Bookman Old Style"/>
        </w:rPr>
        <w:t xml:space="preserve"> de carácter general,</w:t>
      </w:r>
      <w:r w:rsidR="00CD4A1E" w:rsidRPr="00E418EA">
        <w:rPr>
          <w:rFonts w:ascii="Bookman Old Style" w:hAnsi="Bookman Old Style"/>
        </w:rPr>
        <w:t xml:space="preserve"> </w:t>
      </w:r>
      <w:r w:rsidR="0026405F" w:rsidRPr="00E418EA">
        <w:rPr>
          <w:rFonts w:ascii="Bookman Old Style" w:hAnsi="Bookman Old Style"/>
        </w:rPr>
        <w:t>“</w:t>
      </w:r>
      <w:r w:rsidRPr="00E418EA">
        <w:rPr>
          <w:rFonts w:ascii="Bookman Old Style" w:hAnsi="Bookman Old Style" w:cs="Arial"/>
          <w:color w:val="000000" w:themeColor="text1"/>
          <w:lang w:eastAsia="es-CO"/>
        </w:rPr>
        <w:t xml:space="preserve">Por la cual se </w:t>
      </w:r>
      <w:r w:rsidR="005C39FD" w:rsidRPr="00E418EA">
        <w:rPr>
          <w:rFonts w:ascii="Bookman Old Style" w:hAnsi="Bookman Old Style" w:cs="Arial"/>
          <w:color w:val="000000" w:themeColor="text1"/>
          <w:lang w:eastAsia="es-CO"/>
        </w:rPr>
        <w:t xml:space="preserve">modifica </w:t>
      </w:r>
      <w:r w:rsidR="000D1959">
        <w:rPr>
          <w:rFonts w:ascii="Bookman Old Style" w:hAnsi="Bookman Old Style" w:cs="Arial"/>
          <w:color w:val="000000" w:themeColor="text1"/>
          <w:lang w:eastAsia="es-CO"/>
        </w:rPr>
        <w:t>el parágrafo 4 del artículo 54 de la</w:t>
      </w:r>
      <w:r w:rsidR="005C39FD" w:rsidRPr="00E418EA">
        <w:rPr>
          <w:rFonts w:ascii="Bookman Old Style" w:hAnsi="Bookman Old Style" w:cs="Arial"/>
          <w:color w:val="000000" w:themeColor="text1"/>
          <w:lang w:eastAsia="es-CO"/>
        </w:rPr>
        <w:t xml:space="preserve"> Resolución </w:t>
      </w:r>
      <w:r w:rsidR="00B40AB6" w:rsidRPr="00E418EA">
        <w:rPr>
          <w:rFonts w:ascii="Bookman Old Style" w:hAnsi="Bookman Old Style" w:cs="Arial"/>
          <w:color w:val="000000" w:themeColor="text1"/>
          <w:lang w:eastAsia="es-CO"/>
        </w:rPr>
        <w:t xml:space="preserve">CREG </w:t>
      </w:r>
      <w:r w:rsidR="005C39FD" w:rsidRPr="00E418EA">
        <w:rPr>
          <w:rFonts w:ascii="Bookman Old Style" w:hAnsi="Bookman Old Style" w:cs="Arial"/>
          <w:color w:val="000000" w:themeColor="text1"/>
          <w:lang w:eastAsia="es-CO"/>
        </w:rPr>
        <w:t>089 de 2013</w:t>
      </w:r>
      <w:r w:rsidR="00CD4A1E" w:rsidRPr="00E418EA">
        <w:rPr>
          <w:rFonts w:ascii="Bookman Old Style" w:hAnsi="Bookman Old Style" w:cs="Arial"/>
          <w:color w:val="000000" w:themeColor="text1"/>
          <w:lang w:eastAsia="es-CO"/>
        </w:rPr>
        <w:t>”</w:t>
      </w:r>
    </w:p>
    <w:p w:rsidR="00F813A4" w:rsidRPr="00E418EA" w:rsidRDefault="00F813A4" w:rsidP="005B1078">
      <w:pPr>
        <w:ind w:left="0"/>
        <w:jc w:val="center"/>
        <w:rPr>
          <w:rFonts w:ascii="Bookman Old Style" w:hAnsi="Bookman Old Style"/>
        </w:rPr>
      </w:pPr>
    </w:p>
    <w:p w:rsidR="00F813A4" w:rsidRPr="00E418EA" w:rsidRDefault="00F813A4" w:rsidP="005B1078">
      <w:pPr>
        <w:ind w:left="0"/>
        <w:jc w:val="center"/>
        <w:rPr>
          <w:rFonts w:ascii="Bookman Old Style" w:hAnsi="Bookman Old Style"/>
        </w:rPr>
      </w:pPr>
    </w:p>
    <w:p w:rsidR="00F813A4" w:rsidRPr="00E418EA" w:rsidRDefault="00F813A4" w:rsidP="005B1078">
      <w:pPr>
        <w:ind w:left="0"/>
        <w:jc w:val="center"/>
        <w:rPr>
          <w:rFonts w:ascii="Bookman Old Style" w:hAnsi="Bookman Old Style"/>
          <w:b/>
        </w:rPr>
      </w:pPr>
      <w:r w:rsidRPr="00E418EA">
        <w:rPr>
          <w:rFonts w:ascii="Bookman Old Style" w:hAnsi="Bookman Old Style"/>
          <w:b/>
        </w:rPr>
        <w:t>LA COMISIÓN DE REGULACIÓN DE ENERGÍA Y GAS</w:t>
      </w:r>
    </w:p>
    <w:p w:rsidR="00F813A4" w:rsidRPr="00E418EA" w:rsidRDefault="00F813A4" w:rsidP="005B1078">
      <w:pPr>
        <w:ind w:left="0"/>
        <w:rPr>
          <w:rFonts w:ascii="Bookman Old Style" w:hAnsi="Bookman Old Style"/>
        </w:rPr>
      </w:pPr>
    </w:p>
    <w:p w:rsidR="00F813A4" w:rsidRPr="00E418EA" w:rsidRDefault="00F813A4" w:rsidP="005B1078">
      <w:pPr>
        <w:ind w:left="0"/>
        <w:rPr>
          <w:rFonts w:ascii="Bookman Old Style" w:hAnsi="Bookman Old Style"/>
        </w:rPr>
      </w:pPr>
    </w:p>
    <w:p w:rsidR="00F813A4" w:rsidRPr="00E418EA" w:rsidRDefault="00F813A4" w:rsidP="005B1078">
      <w:pPr>
        <w:pStyle w:val="Textoindependiente3"/>
        <w:ind w:left="0"/>
        <w:rPr>
          <w:rFonts w:ascii="Bookman Old Style" w:hAnsi="Bookman Old Style"/>
          <w:b w:val="0"/>
        </w:rPr>
      </w:pPr>
      <w:r w:rsidRPr="00E418EA">
        <w:rPr>
          <w:rFonts w:ascii="Bookman Old Style" w:hAnsi="Bookman Old Style"/>
          <w:b w:val="0"/>
        </w:rPr>
        <w:t>En ejercicio de sus atribuciones legales, en especial las conferidas por la Ley 142 de 1994, y en desarrollo del</w:t>
      </w:r>
      <w:r w:rsidRPr="00E418EA">
        <w:rPr>
          <w:rFonts w:ascii="Bookman Old Style" w:hAnsi="Bookman Old Style"/>
          <w:b w:val="0"/>
          <w:lang w:val="es-CO"/>
        </w:rPr>
        <w:t xml:space="preserve"> </w:t>
      </w:r>
      <w:r w:rsidRPr="00E418EA">
        <w:rPr>
          <w:rFonts w:ascii="Bookman Old Style" w:hAnsi="Bookman Old Style"/>
          <w:b w:val="0"/>
        </w:rPr>
        <w:t>Decreto 2253 de 1994</w:t>
      </w:r>
      <w:r w:rsidRPr="00E418EA">
        <w:rPr>
          <w:rFonts w:ascii="Bookman Old Style" w:hAnsi="Bookman Old Style"/>
          <w:b w:val="0"/>
          <w:lang w:val="es-CO"/>
        </w:rPr>
        <w:t xml:space="preserve"> y</w:t>
      </w:r>
    </w:p>
    <w:p w:rsidR="00F813A4" w:rsidRPr="00E418EA" w:rsidRDefault="00F813A4" w:rsidP="005B1078">
      <w:pPr>
        <w:ind w:left="0"/>
        <w:rPr>
          <w:rFonts w:ascii="Bookman Old Style" w:hAnsi="Bookman Old Style"/>
        </w:rPr>
      </w:pPr>
    </w:p>
    <w:p w:rsidR="00F813A4" w:rsidRPr="00E418EA" w:rsidRDefault="00F813A4" w:rsidP="005B1078">
      <w:pPr>
        <w:ind w:left="0"/>
        <w:rPr>
          <w:rFonts w:ascii="Bookman Old Style" w:hAnsi="Bookman Old Style"/>
        </w:rPr>
      </w:pPr>
    </w:p>
    <w:p w:rsidR="00F813A4" w:rsidRPr="00E418EA" w:rsidRDefault="00F813A4" w:rsidP="005B1078">
      <w:pPr>
        <w:ind w:left="0"/>
        <w:jc w:val="center"/>
        <w:rPr>
          <w:rFonts w:ascii="Bookman Old Style" w:hAnsi="Bookman Old Style"/>
          <w:b/>
        </w:rPr>
      </w:pPr>
      <w:r w:rsidRPr="00E418EA">
        <w:rPr>
          <w:rFonts w:ascii="Bookman Old Style" w:hAnsi="Bookman Old Style"/>
          <w:b/>
        </w:rPr>
        <w:t>C O N S I D E R A N D O Q U E:</w:t>
      </w:r>
    </w:p>
    <w:p w:rsidR="00F813A4" w:rsidRPr="00E418EA" w:rsidRDefault="00F813A4" w:rsidP="005B1078">
      <w:pPr>
        <w:ind w:left="0"/>
        <w:jc w:val="center"/>
        <w:rPr>
          <w:rFonts w:ascii="Bookman Old Style" w:hAnsi="Bookman Old Style"/>
          <w:b/>
        </w:rPr>
      </w:pPr>
    </w:p>
    <w:p w:rsidR="00F813A4" w:rsidRPr="00E418EA" w:rsidRDefault="00F813A4" w:rsidP="005B1078">
      <w:pPr>
        <w:ind w:left="0"/>
        <w:jc w:val="center"/>
        <w:rPr>
          <w:rFonts w:ascii="Bookman Old Style" w:hAnsi="Bookman Old Style"/>
          <w:b/>
        </w:rPr>
      </w:pPr>
    </w:p>
    <w:p w:rsidR="00F813A4" w:rsidRPr="00E418EA" w:rsidRDefault="00F813A4" w:rsidP="005B1078">
      <w:pPr>
        <w:ind w:left="0"/>
        <w:jc w:val="both"/>
        <w:rPr>
          <w:rFonts w:ascii="Bookman Old Style" w:hAnsi="Bookman Old Style" w:cs="Arial"/>
        </w:rPr>
      </w:pPr>
      <w:r w:rsidRPr="00E418EA">
        <w:rPr>
          <w:rFonts w:ascii="Bookman Old Style" w:hAnsi="Bookman Old Style" w:cs="Arial"/>
        </w:rPr>
        <w:t>Conforme a lo dispuesto por el artículo 8 del Código de Procedimiento Administrativo y de lo Contencioso Administrativo la Comisión debe hacer público</w:t>
      </w:r>
      <w:r w:rsidR="00B40AB6" w:rsidRPr="00E418EA">
        <w:rPr>
          <w:rFonts w:ascii="Bookman Old Style" w:hAnsi="Bookman Old Style" w:cs="Arial"/>
        </w:rPr>
        <w:t>s</w:t>
      </w:r>
      <w:r w:rsidRPr="00E418EA">
        <w:rPr>
          <w:rFonts w:ascii="Bookman Old Style" w:hAnsi="Bookman Old Style" w:cs="Arial"/>
        </w:rPr>
        <w:t xml:space="preserve"> en su página web todos los proyectos de resolución de carácter general que pretenda adoptar.</w:t>
      </w:r>
    </w:p>
    <w:p w:rsidR="00F813A4" w:rsidRPr="00E418EA" w:rsidRDefault="00F813A4" w:rsidP="005B1078">
      <w:pPr>
        <w:ind w:left="0"/>
        <w:jc w:val="both"/>
        <w:rPr>
          <w:rFonts w:ascii="Bookman Old Style" w:hAnsi="Bookman Old Style" w:cs="Arial"/>
        </w:rPr>
      </w:pPr>
    </w:p>
    <w:p w:rsidR="00F813A4" w:rsidRPr="00E418EA" w:rsidRDefault="00F813A4" w:rsidP="005B1078">
      <w:pPr>
        <w:tabs>
          <w:tab w:val="left" w:pos="0"/>
        </w:tabs>
        <w:ind w:left="0"/>
        <w:jc w:val="both"/>
        <w:rPr>
          <w:rFonts w:ascii="Bookman Old Style" w:hAnsi="Bookman Old Style"/>
        </w:rPr>
      </w:pPr>
      <w:r w:rsidRPr="00E418EA">
        <w:rPr>
          <w:rFonts w:ascii="Bookman Old Style" w:hAnsi="Bookman Old Style"/>
        </w:rPr>
        <w:t xml:space="preserve">La Comisión de Regulación de Energía y Gas, en su sesión No. </w:t>
      </w:r>
      <w:r w:rsidR="00E41B36">
        <w:rPr>
          <w:rFonts w:ascii="Bookman Old Style" w:hAnsi="Bookman Old Style"/>
        </w:rPr>
        <w:t>629</w:t>
      </w:r>
      <w:r w:rsidR="004F2404" w:rsidRPr="00E418EA">
        <w:rPr>
          <w:rFonts w:ascii="Bookman Old Style" w:hAnsi="Bookman Old Style"/>
        </w:rPr>
        <w:t xml:space="preserve"> </w:t>
      </w:r>
      <w:r w:rsidRPr="00E418EA">
        <w:rPr>
          <w:rFonts w:ascii="Bookman Old Style" w:hAnsi="Bookman Old Style"/>
        </w:rPr>
        <w:t xml:space="preserve">del </w:t>
      </w:r>
      <w:r w:rsidR="000D1959">
        <w:rPr>
          <w:rFonts w:ascii="Bookman Old Style" w:hAnsi="Bookman Old Style"/>
        </w:rPr>
        <w:t>2</w:t>
      </w:r>
      <w:r w:rsidR="004F2404">
        <w:rPr>
          <w:rFonts w:ascii="Bookman Old Style" w:hAnsi="Bookman Old Style"/>
        </w:rPr>
        <w:t>1</w:t>
      </w:r>
      <w:r w:rsidR="004F2404" w:rsidRPr="00E418EA">
        <w:rPr>
          <w:rFonts w:ascii="Bookman Old Style" w:hAnsi="Bookman Old Style"/>
        </w:rPr>
        <w:t xml:space="preserve"> </w:t>
      </w:r>
      <w:r w:rsidRPr="00E418EA">
        <w:rPr>
          <w:rFonts w:ascii="Bookman Old Style" w:hAnsi="Bookman Old Style"/>
        </w:rPr>
        <w:t xml:space="preserve">de </w:t>
      </w:r>
      <w:r w:rsidR="000D1959">
        <w:rPr>
          <w:rFonts w:ascii="Bookman Old Style" w:hAnsi="Bookman Old Style"/>
        </w:rPr>
        <w:t xml:space="preserve">noviembre </w:t>
      </w:r>
      <w:r w:rsidRPr="00E418EA">
        <w:rPr>
          <w:rFonts w:ascii="Bookman Old Style" w:hAnsi="Bookman Old Style"/>
        </w:rPr>
        <w:t>de 201</w:t>
      </w:r>
      <w:r w:rsidR="006F1914" w:rsidRPr="00E418EA">
        <w:rPr>
          <w:rFonts w:ascii="Bookman Old Style" w:hAnsi="Bookman Old Style"/>
        </w:rPr>
        <w:t>4</w:t>
      </w:r>
      <w:r w:rsidRPr="00E418EA">
        <w:rPr>
          <w:rFonts w:ascii="Bookman Old Style" w:hAnsi="Bookman Old Style"/>
        </w:rPr>
        <w:t xml:space="preserve">, aprobó hacer público el proyecto de resolución </w:t>
      </w:r>
      <w:r w:rsidR="00B40AB6" w:rsidRPr="00E418EA">
        <w:rPr>
          <w:rFonts w:ascii="Bookman Old Style" w:hAnsi="Bookman Old Style" w:cs="Arial"/>
          <w:color w:val="000000" w:themeColor="text1"/>
          <w:lang w:eastAsia="es-CO"/>
        </w:rPr>
        <w:t>“</w:t>
      </w:r>
      <w:r w:rsidR="000D1959" w:rsidRPr="00E418EA">
        <w:rPr>
          <w:rFonts w:ascii="Bookman Old Style" w:hAnsi="Bookman Old Style" w:cs="Arial"/>
          <w:color w:val="000000" w:themeColor="text1"/>
          <w:lang w:eastAsia="es-CO"/>
        </w:rPr>
        <w:t xml:space="preserve">Por la cual se modifica </w:t>
      </w:r>
      <w:r w:rsidR="000D1959">
        <w:rPr>
          <w:rFonts w:ascii="Bookman Old Style" w:hAnsi="Bookman Old Style" w:cs="Arial"/>
          <w:color w:val="000000" w:themeColor="text1"/>
          <w:lang w:eastAsia="es-CO"/>
        </w:rPr>
        <w:t>el parágrafo 4 del artículo 54 de la</w:t>
      </w:r>
      <w:r w:rsidR="000D1959" w:rsidRPr="00E418EA">
        <w:rPr>
          <w:rFonts w:ascii="Bookman Old Style" w:hAnsi="Bookman Old Style" w:cs="Arial"/>
          <w:color w:val="000000" w:themeColor="text1"/>
          <w:lang w:eastAsia="es-CO"/>
        </w:rPr>
        <w:t xml:space="preserve"> Resolución CREG 089 de 2013</w:t>
      </w:r>
      <w:r w:rsidR="00B40AB6" w:rsidRPr="00E418EA">
        <w:rPr>
          <w:rFonts w:ascii="Bookman Old Style" w:hAnsi="Bookman Old Style" w:cs="Arial"/>
          <w:color w:val="000000" w:themeColor="text1"/>
          <w:lang w:eastAsia="es-CO"/>
        </w:rPr>
        <w:t>”</w:t>
      </w:r>
      <w:r w:rsidRPr="00E418EA">
        <w:rPr>
          <w:rFonts w:ascii="Bookman Old Style" w:hAnsi="Bookman Old Style" w:cs="Arial"/>
          <w:color w:val="000000" w:themeColor="text1"/>
          <w:lang w:eastAsia="es-CO"/>
        </w:rPr>
        <w:t>.</w:t>
      </w:r>
    </w:p>
    <w:p w:rsidR="00F813A4" w:rsidRPr="00E418EA" w:rsidRDefault="00F813A4" w:rsidP="005B1078">
      <w:pPr>
        <w:ind w:left="0"/>
        <w:rPr>
          <w:rFonts w:ascii="Bookman Old Style" w:hAnsi="Bookman Old Style"/>
        </w:rPr>
      </w:pPr>
    </w:p>
    <w:p w:rsidR="00F813A4" w:rsidRPr="00E418EA" w:rsidRDefault="00F813A4" w:rsidP="005B1078">
      <w:pPr>
        <w:suppressAutoHyphens/>
        <w:ind w:left="0"/>
        <w:jc w:val="center"/>
        <w:rPr>
          <w:rFonts w:ascii="Bookman Old Style" w:hAnsi="Bookman Old Style"/>
          <w:b/>
          <w:spacing w:val="-3"/>
        </w:rPr>
      </w:pPr>
    </w:p>
    <w:p w:rsidR="00F813A4" w:rsidRPr="00E418EA" w:rsidRDefault="00F813A4" w:rsidP="005B1078">
      <w:pPr>
        <w:suppressAutoHyphens/>
        <w:ind w:left="0"/>
        <w:jc w:val="center"/>
        <w:rPr>
          <w:rFonts w:ascii="Bookman Old Style" w:hAnsi="Bookman Old Style"/>
          <w:spacing w:val="-3"/>
        </w:rPr>
      </w:pPr>
      <w:r w:rsidRPr="00E418EA">
        <w:rPr>
          <w:rFonts w:ascii="Bookman Old Style" w:hAnsi="Bookman Old Style"/>
          <w:b/>
          <w:spacing w:val="-3"/>
        </w:rPr>
        <w:t>R E S U E L V E:</w:t>
      </w:r>
    </w:p>
    <w:p w:rsidR="00F813A4" w:rsidRPr="00E418EA" w:rsidRDefault="00F813A4" w:rsidP="005B1078">
      <w:pPr>
        <w:ind w:left="0"/>
        <w:jc w:val="center"/>
        <w:rPr>
          <w:rFonts w:ascii="Bookman Old Style" w:hAnsi="Bookman Old Style"/>
        </w:rPr>
      </w:pPr>
    </w:p>
    <w:p w:rsidR="00A45C43" w:rsidRPr="00E418EA" w:rsidRDefault="00A45C43" w:rsidP="005B1078">
      <w:pPr>
        <w:ind w:left="0"/>
        <w:jc w:val="center"/>
        <w:rPr>
          <w:rFonts w:ascii="Bookman Old Style" w:hAnsi="Bookman Old Style"/>
        </w:rPr>
      </w:pPr>
    </w:p>
    <w:p w:rsidR="00F813A4" w:rsidRPr="00E418EA" w:rsidRDefault="00CD65E4" w:rsidP="005B1078">
      <w:pPr>
        <w:tabs>
          <w:tab w:val="left" w:pos="0"/>
        </w:tabs>
        <w:ind w:left="0"/>
        <w:jc w:val="both"/>
        <w:rPr>
          <w:rFonts w:ascii="Bookman Old Style" w:hAnsi="Bookman Old Style" w:cs="Arial"/>
        </w:rPr>
      </w:pPr>
      <w:r w:rsidRPr="00E418EA">
        <w:rPr>
          <w:rFonts w:ascii="Bookman Old Style" w:hAnsi="Bookman Old Style"/>
          <w:b/>
        </w:rPr>
        <w:t xml:space="preserve">Artículo </w:t>
      </w:r>
      <w:r w:rsidR="00F813A4" w:rsidRPr="00E418EA">
        <w:rPr>
          <w:rFonts w:ascii="Bookman Old Style" w:hAnsi="Bookman Old Style"/>
          <w:b/>
        </w:rPr>
        <w:t>1.</w:t>
      </w:r>
      <w:r w:rsidR="00F813A4" w:rsidRPr="00E418EA">
        <w:rPr>
          <w:rFonts w:ascii="Bookman Old Style" w:hAnsi="Bookman Old Style"/>
        </w:rPr>
        <w:t xml:space="preserve"> </w:t>
      </w:r>
      <w:r w:rsidR="00F813A4" w:rsidRPr="00E418EA">
        <w:rPr>
          <w:rFonts w:ascii="Bookman Old Style" w:hAnsi="Bookman Old Style" w:cs="Arial"/>
        </w:rPr>
        <w:t xml:space="preserve">Hágase público el proyecto de resolución </w:t>
      </w:r>
      <w:r w:rsidR="00B40AB6" w:rsidRPr="00E418EA">
        <w:rPr>
          <w:rFonts w:ascii="Bookman Old Style" w:hAnsi="Bookman Old Style"/>
        </w:rPr>
        <w:t>“</w:t>
      </w:r>
      <w:r w:rsidR="000D1959" w:rsidRPr="00E418EA">
        <w:rPr>
          <w:rFonts w:ascii="Bookman Old Style" w:hAnsi="Bookman Old Style" w:cs="Arial"/>
          <w:color w:val="000000" w:themeColor="text1"/>
          <w:lang w:eastAsia="es-CO"/>
        </w:rPr>
        <w:t xml:space="preserve">Por la cual se modifica </w:t>
      </w:r>
      <w:r w:rsidR="000D1959">
        <w:rPr>
          <w:rFonts w:ascii="Bookman Old Style" w:hAnsi="Bookman Old Style" w:cs="Arial"/>
          <w:color w:val="000000" w:themeColor="text1"/>
          <w:lang w:eastAsia="es-CO"/>
        </w:rPr>
        <w:t>el parágrafo 4 del artículo 54 de la</w:t>
      </w:r>
      <w:r w:rsidR="000D1959" w:rsidRPr="00E418EA">
        <w:rPr>
          <w:rFonts w:ascii="Bookman Old Style" w:hAnsi="Bookman Old Style" w:cs="Arial"/>
          <w:color w:val="000000" w:themeColor="text1"/>
          <w:lang w:eastAsia="es-CO"/>
        </w:rPr>
        <w:t xml:space="preserve"> Resolución CREG 089 de 2013</w:t>
      </w:r>
      <w:r w:rsidR="00B40AB6" w:rsidRPr="00E418EA">
        <w:rPr>
          <w:rFonts w:ascii="Bookman Old Style" w:hAnsi="Bookman Old Style" w:cs="Arial"/>
          <w:color w:val="000000" w:themeColor="text1"/>
          <w:lang w:eastAsia="es-CO"/>
        </w:rPr>
        <w:t>”</w:t>
      </w:r>
      <w:r w:rsidR="008F1E10" w:rsidRPr="00E418EA">
        <w:rPr>
          <w:rFonts w:ascii="Bookman Old Style" w:hAnsi="Bookman Old Style" w:cs="Arial"/>
          <w:color w:val="000000" w:themeColor="text1"/>
          <w:lang w:eastAsia="es-CO"/>
        </w:rPr>
        <w:t>.</w:t>
      </w:r>
    </w:p>
    <w:p w:rsidR="00F813A4" w:rsidRPr="00E418EA" w:rsidRDefault="00F813A4" w:rsidP="005B1078">
      <w:pPr>
        <w:ind w:left="0"/>
        <w:rPr>
          <w:rFonts w:ascii="Bookman Old Style" w:hAnsi="Bookman Old Style"/>
        </w:rPr>
      </w:pPr>
    </w:p>
    <w:p w:rsidR="00F813A4" w:rsidRPr="00E418EA" w:rsidRDefault="00CD65E4" w:rsidP="005B1078">
      <w:pPr>
        <w:ind w:left="0"/>
        <w:jc w:val="both"/>
        <w:rPr>
          <w:rFonts w:ascii="Bookman Old Style" w:hAnsi="Bookman Old Style"/>
        </w:rPr>
      </w:pPr>
      <w:r w:rsidRPr="00E418EA">
        <w:rPr>
          <w:rFonts w:ascii="Bookman Old Style" w:hAnsi="Bookman Old Style"/>
          <w:b/>
        </w:rPr>
        <w:t xml:space="preserve">Artículo </w:t>
      </w:r>
      <w:r w:rsidR="00F813A4" w:rsidRPr="00E418EA">
        <w:rPr>
          <w:rFonts w:ascii="Bookman Old Style" w:hAnsi="Bookman Old Style"/>
          <w:b/>
        </w:rPr>
        <w:t>2.</w:t>
      </w:r>
      <w:r w:rsidR="00F813A4" w:rsidRPr="00E418EA">
        <w:rPr>
          <w:rFonts w:ascii="Bookman Old Style" w:hAnsi="Bookman Old Style" w:cs="Arial"/>
          <w:lang w:val="es-CO" w:eastAsia="es-CO"/>
        </w:rPr>
        <w:t xml:space="preserve"> Se invita a los agentes, a los usuarios, a las autoridades locales municipales y departamentales competentes</w:t>
      </w:r>
      <w:r w:rsidR="000D1959">
        <w:rPr>
          <w:rFonts w:ascii="Bookman Old Style" w:hAnsi="Bookman Old Style" w:cs="Arial"/>
          <w:lang w:val="es-CO" w:eastAsia="es-CO"/>
        </w:rPr>
        <w:t xml:space="preserve"> y </w:t>
      </w:r>
      <w:r w:rsidR="00F813A4" w:rsidRPr="00E418EA">
        <w:rPr>
          <w:rFonts w:ascii="Bookman Old Style" w:hAnsi="Bookman Old Style" w:cs="Arial"/>
          <w:lang w:val="es-CO" w:eastAsia="es-CO"/>
        </w:rPr>
        <w:t>a la Superintendencia de Servicios Públicos Domiciliarios para que remitan sus observaciones o sugerencias sobre la propuesta</w:t>
      </w:r>
      <w:r w:rsidR="00BF271D" w:rsidRPr="00E418EA">
        <w:rPr>
          <w:rFonts w:ascii="Bookman Old Style" w:hAnsi="Bookman Old Style" w:cs="Arial"/>
          <w:lang w:val="es-CO" w:eastAsia="es-CO"/>
        </w:rPr>
        <w:t xml:space="preserve"> dentro de los </w:t>
      </w:r>
      <w:r w:rsidR="000D1959">
        <w:rPr>
          <w:rFonts w:ascii="Bookman Old Style" w:hAnsi="Bookman Old Style" w:cs="Arial"/>
          <w:lang w:val="es-CO" w:eastAsia="es-CO"/>
        </w:rPr>
        <w:t xml:space="preserve">tres </w:t>
      </w:r>
      <w:r w:rsidR="00BF271D" w:rsidRPr="00E418EA">
        <w:rPr>
          <w:rFonts w:ascii="Bookman Old Style" w:hAnsi="Bookman Old Style" w:cs="Arial"/>
          <w:lang w:val="es-CO" w:eastAsia="es-CO"/>
        </w:rPr>
        <w:t>(</w:t>
      </w:r>
      <w:r w:rsidR="000D1959">
        <w:rPr>
          <w:rFonts w:ascii="Bookman Old Style" w:hAnsi="Bookman Old Style" w:cs="Arial"/>
          <w:lang w:val="es-CO" w:eastAsia="es-CO"/>
        </w:rPr>
        <w:t>3</w:t>
      </w:r>
      <w:r w:rsidR="00BF271D" w:rsidRPr="00E418EA">
        <w:rPr>
          <w:rFonts w:ascii="Bookman Old Style" w:hAnsi="Bookman Old Style" w:cs="Arial"/>
          <w:lang w:val="es-CO" w:eastAsia="es-CO"/>
        </w:rPr>
        <w:t>) días hábiles siguientes a la publicación de este proyecto en la página web de la CREG.</w:t>
      </w:r>
    </w:p>
    <w:p w:rsidR="00F813A4" w:rsidRPr="00E418EA" w:rsidRDefault="00F813A4" w:rsidP="005B1078">
      <w:pPr>
        <w:ind w:left="0"/>
        <w:jc w:val="both"/>
        <w:rPr>
          <w:rFonts w:ascii="Bookman Old Style" w:hAnsi="Bookman Old Style"/>
        </w:rPr>
      </w:pPr>
    </w:p>
    <w:p w:rsidR="00E41B36" w:rsidRDefault="00E41B36" w:rsidP="005B1078">
      <w:pPr>
        <w:tabs>
          <w:tab w:val="left" w:pos="0"/>
        </w:tabs>
        <w:ind w:left="0"/>
        <w:jc w:val="both"/>
        <w:rPr>
          <w:rFonts w:ascii="Bookman Old Style" w:hAnsi="Bookman Old Style" w:cs="Arial"/>
          <w:b/>
          <w:bCs/>
        </w:rPr>
      </w:pPr>
    </w:p>
    <w:p w:rsidR="00E41B36" w:rsidRDefault="00E41B36" w:rsidP="005B1078">
      <w:pPr>
        <w:tabs>
          <w:tab w:val="left" w:pos="0"/>
        </w:tabs>
        <w:ind w:left="0"/>
        <w:jc w:val="both"/>
        <w:rPr>
          <w:rFonts w:ascii="Bookman Old Style" w:hAnsi="Bookman Old Style" w:cs="Arial"/>
          <w:b/>
          <w:bCs/>
        </w:rPr>
      </w:pPr>
    </w:p>
    <w:p w:rsidR="00F813A4" w:rsidRPr="00E418EA" w:rsidRDefault="00033F7E" w:rsidP="005B1078">
      <w:pPr>
        <w:tabs>
          <w:tab w:val="left" w:pos="0"/>
        </w:tabs>
        <w:ind w:left="0"/>
        <w:jc w:val="both"/>
        <w:rPr>
          <w:rFonts w:ascii="Bookman Old Style" w:hAnsi="Bookman Old Style" w:cs="Arial"/>
        </w:rPr>
      </w:pPr>
      <w:r w:rsidRPr="00E418EA">
        <w:rPr>
          <w:rFonts w:ascii="Bookman Old Style" w:hAnsi="Bookman Old Style" w:cs="Arial"/>
          <w:b/>
          <w:bCs/>
        </w:rPr>
        <w:t xml:space="preserve">Artículo </w:t>
      </w:r>
      <w:r w:rsidR="00F813A4" w:rsidRPr="00E418EA">
        <w:rPr>
          <w:rFonts w:ascii="Bookman Old Style" w:hAnsi="Bookman Old Style" w:cs="Arial"/>
          <w:b/>
          <w:bCs/>
        </w:rPr>
        <w:t>3</w:t>
      </w:r>
      <w:r w:rsidR="00F813A4" w:rsidRPr="00E418EA">
        <w:rPr>
          <w:rFonts w:ascii="Bookman Old Style" w:hAnsi="Bookman Old Style" w:cs="Arial"/>
          <w:b/>
        </w:rPr>
        <w:t>.</w:t>
      </w:r>
      <w:r w:rsidR="00F813A4" w:rsidRPr="00E418EA">
        <w:rPr>
          <w:rFonts w:ascii="Bookman Old Style" w:hAnsi="Bookman Old Style" w:cs="Arial"/>
        </w:rPr>
        <w:t xml:space="preserve"> </w:t>
      </w:r>
      <w:r w:rsidR="00F71DB1" w:rsidRPr="00E418EA">
        <w:rPr>
          <w:rFonts w:ascii="Bookman Old Style" w:hAnsi="Bookman Old Style" w:cs="Arial"/>
        </w:rPr>
        <w:t xml:space="preserve">Las observaciones y sugerencias sobre el proyecto deberán dirigirse a </w:t>
      </w:r>
      <w:r w:rsidR="000D1959">
        <w:rPr>
          <w:rFonts w:ascii="Bookman Old Style" w:hAnsi="Bookman Old Style" w:cs="Arial"/>
        </w:rPr>
        <w:t xml:space="preserve">Jorge Pinto </w:t>
      </w:r>
      <w:proofErr w:type="spellStart"/>
      <w:r w:rsidR="000D1959">
        <w:rPr>
          <w:rFonts w:ascii="Bookman Old Style" w:hAnsi="Bookman Old Style" w:cs="Arial"/>
        </w:rPr>
        <w:t>Nolla</w:t>
      </w:r>
      <w:proofErr w:type="spellEnd"/>
      <w:r w:rsidR="00F71DB1" w:rsidRPr="00E418EA">
        <w:rPr>
          <w:rFonts w:ascii="Bookman Old Style" w:hAnsi="Bookman Old Style" w:cs="Arial"/>
        </w:rPr>
        <w:t xml:space="preserve">, Director Ejecutivo de la Comisión, a la siguiente dirección: Avenida Calle 116 No. 7-15, Edificio Torre </w:t>
      </w:r>
      <w:proofErr w:type="spellStart"/>
      <w:r w:rsidR="00F71DB1" w:rsidRPr="00E418EA">
        <w:rPr>
          <w:rFonts w:ascii="Bookman Old Style" w:hAnsi="Bookman Old Style" w:cs="Arial"/>
        </w:rPr>
        <w:t>Cusezar</w:t>
      </w:r>
      <w:proofErr w:type="spellEnd"/>
      <w:r w:rsidR="00F71DB1" w:rsidRPr="00E418EA">
        <w:rPr>
          <w:rFonts w:ascii="Bookman Old Style" w:hAnsi="Bookman Old Style" w:cs="Arial"/>
        </w:rPr>
        <w:t>, Interior 2, Oficina 901 o al correo electrónico creg@creg.gov.co.</w:t>
      </w:r>
    </w:p>
    <w:p w:rsidR="00F813A4" w:rsidRPr="00E418EA" w:rsidRDefault="00F813A4" w:rsidP="005B1078">
      <w:pPr>
        <w:ind w:left="0"/>
        <w:rPr>
          <w:rFonts w:ascii="Bookman Old Style" w:hAnsi="Bookman Old Style"/>
        </w:rPr>
      </w:pPr>
    </w:p>
    <w:p w:rsidR="00F813A4" w:rsidRPr="00E418EA" w:rsidRDefault="00033F7E" w:rsidP="005B1078">
      <w:pPr>
        <w:tabs>
          <w:tab w:val="left" w:pos="0"/>
        </w:tabs>
        <w:ind w:left="0"/>
        <w:jc w:val="both"/>
        <w:rPr>
          <w:rFonts w:ascii="Bookman Old Style" w:hAnsi="Bookman Old Style" w:cs="Arial"/>
        </w:rPr>
      </w:pPr>
      <w:r w:rsidRPr="00E418EA">
        <w:rPr>
          <w:rFonts w:ascii="Bookman Old Style" w:hAnsi="Bookman Old Style" w:cs="Arial"/>
          <w:b/>
          <w:bCs/>
        </w:rPr>
        <w:t xml:space="preserve">Artículo </w:t>
      </w:r>
      <w:r w:rsidR="00F813A4" w:rsidRPr="00E418EA">
        <w:rPr>
          <w:rFonts w:ascii="Bookman Old Style" w:hAnsi="Bookman Old Style" w:cs="Arial"/>
          <w:b/>
          <w:bCs/>
        </w:rPr>
        <w:t>4</w:t>
      </w:r>
      <w:r w:rsidR="00F813A4" w:rsidRPr="00E418EA">
        <w:rPr>
          <w:rFonts w:ascii="Bookman Old Style" w:hAnsi="Bookman Old Style" w:cs="Arial"/>
        </w:rPr>
        <w:t>. La presente Resolución no deroga disposiciones vigentes por tratarse de un acto de trámite.</w:t>
      </w:r>
    </w:p>
    <w:p w:rsidR="00F813A4" w:rsidRPr="00E418EA" w:rsidRDefault="00F813A4" w:rsidP="005B1078">
      <w:pPr>
        <w:ind w:left="0"/>
        <w:rPr>
          <w:rFonts w:ascii="Bookman Old Style" w:hAnsi="Bookman Old Style"/>
        </w:rPr>
      </w:pPr>
    </w:p>
    <w:p w:rsidR="00F813A4" w:rsidRPr="00E418EA" w:rsidRDefault="00F813A4" w:rsidP="005B1078">
      <w:pPr>
        <w:ind w:left="0"/>
        <w:rPr>
          <w:rFonts w:ascii="Bookman Old Style" w:hAnsi="Bookman Old Style"/>
        </w:rPr>
      </w:pPr>
    </w:p>
    <w:p w:rsidR="00F813A4" w:rsidRPr="00E418EA" w:rsidRDefault="00F813A4" w:rsidP="005B1078">
      <w:pPr>
        <w:ind w:left="0"/>
        <w:jc w:val="center"/>
        <w:rPr>
          <w:rFonts w:ascii="Bookman Old Style" w:hAnsi="Bookman Old Style"/>
          <w:b/>
        </w:rPr>
      </w:pPr>
      <w:r w:rsidRPr="00E418EA">
        <w:rPr>
          <w:rFonts w:ascii="Bookman Old Style" w:hAnsi="Bookman Old Style"/>
          <w:b/>
        </w:rPr>
        <w:t>PUBLÍQUESE Y CÚMPLASE</w:t>
      </w:r>
    </w:p>
    <w:p w:rsidR="00F813A4" w:rsidRPr="00E418EA" w:rsidRDefault="00F813A4" w:rsidP="005B1078">
      <w:pPr>
        <w:ind w:left="0"/>
        <w:rPr>
          <w:rFonts w:ascii="Bookman Old Style" w:hAnsi="Bookman Old Style"/>
        </w:rPr>
      </w:pPr>
    </w:p>
    <w:p w:rsidR="00F813A4" w:rsidRPr="00E418EA" w:rsidRDefault="00F813A4" w:rsidP="005B1078">
      <w:pPr>
        <w:ind w:left="0"/>
        <w:rPr>
          <w:rFonts w:ascii="Bookman Old Style" w:hAnsi="Bookman Old Style"/>
        </w:rPr>
      </w:pPr>
      <w:r w:rsidRPr="00E418EA">
        <w:rPr>
          <w:rFonts w:ascii="Bookman Old Style" w:hAnsi="Bookman Old Style"/>
        </w:rPr>
        <w:t>Dada en Bogotá, D.C.</w:t>
      </w:r>
    </w:p>
    <w:p w:rsidR="00F813A4" w:rsidRPr="00E418EA" w:rsidRDefault="00F813A4" w:rsidP="005B1078">
      <w:pPr>
        <w:ind w:left="0"/>
        <w:rPr>
          <w:rFonts w:ascii="Bookman Old Style" w:hAnsi="Bookman Old Style"/>
        </w:rPr>
      </w:pPr>
    </w:p>
    <w:p w:rsidR="00F813A4" w:rsidRPr="00E418EA" w:rsidRDefault="00F813A4" w:rsidP="005B1078">
      <w:pPr>
        <w:ind w:left="0"/>
        <w:rPr>
          <w:rFonts w:ascii="Bookman Old Style" w:hAnsi="Bookman Old Style"/>
        </w:rPr>
      </w:pPr>
    </w:p>
    <w:p w:rsidR="00F813A4" w:rsidRPr="00E418EA" w:rsidRDefault="00F813A4" w:rsidP="005B1078">
      <w:pPr>
        <w:ind w:left="0"/>
        <w:rPr>
          <w:rFonts w:ascii="Bookman Old Style" w:hAnsi="Bookman Old Style"/>
        </w:rPr>
      </w:pPr>
    </w:p>
    <w:p w:rsidR="00F813A4" w:rsidRPr="00E418EA" w:rsidRDefault="00F813A4" w:rsidP="005B1078">
      <w:pPr>
        <w:ind w:left="0"/>
        <w:rPr>
          <w:rFonts w:ascii="Bookman Old Style" w:hAnsi="Bookman Old Style"/>
        </w:rPr>
      </w:pPr>
    </w:p>
    <w:p w:rsidR="00F813A4" w:rsidRPr="00E418EA" w:rsidRDefault="00F813A4" w:rsidP="005B1078">
      <w:pPr>
        <w:ind w:left="0"/>
        <w:rPr>
          <w:rFonts w:ascii="Bookman Old Style" w:hAnsi="Bookman Old Style"/>
        </w:rPr>
      </w:pPr>
    </w:p>
    <w:tbl>
      <w:tblPr>
        <w:tblW w:w="9761" w:type="dxa"/>
        <w:jc w:val="right"/>
        <w:tblLayout w:type="fixed"/>
        <w:tblCellMar>
          <w:left w:w="70" w:type="dxa"/>
          <w:right w:w="70" w:type="dxa"/>
        </w:tblCellMar>
        <w:tblLook w:val="0000" w:firstRow="0" w:lastRow="0" w:firstColumn="0" w:lastColumn="0" w:noHBand="0" w:noVBand="0"/>
      </w:tblPr>
      <w:tblGrid>
        <w:gridCol w:w="4503"/>
        <w:gridCol w:w="5258"/>
      </w:tblGrid>
      <w:tr w:rsidR="00F813A4" w:rsidRPr="00E418EA" w:rsidTr="006439CF">
        <w:trPr>
          <w:jc w:val="right"/>
        </w:trPr>
        <w:tc>
          <w:tcPr>
            <w:tcW w:w="4503" w:type="dxa"/>
          </w:tcPr>
          <w:p w:rsidR="00F813A4" w:rsidRPr="00E418EA" w:rsidRDefault="000D1959" w:rsidP="000D1959">
            <w:pPr>
              <w:ind w:left="0" w:firstLine="118"/>
              <w:jc w:val="center"/>
              <w:rPr>
                <w:rFonts w:ascii="Bookman Old Style" w:hAnsi="Bookman Old Style" w:cs="Arial"/>
                <w:b/>
                <w:spacing w:val="-3"/>
                <w:lang w:val="es-ES_tradnl"/>
              </w:rPr>
            </w:pPr>
            <w:r>
              <w:rPr>
                <w:rFonts w:ascii="Bookman Old Style" w:hAnsi="Bookman Old Style" w:cs="Arial"/>
                <w:b/>
                <w:spacing w:val="-3"/>
              </w:rPr>
              <w:t>TOMÁS GONZÁLEZ ESTRADA</w:t>
            </w:r>
          </w:p>
        </w:tc>
        <w:tc>
          <w:tcPr>
            <w:tcW w:w="5258" w:type="dxa"/>
          </w:tcPr>
          <w:p w:rsidR="00F813A4" w:rsidRPr="00E418EA" w:rsidRDefault="000D1959" w:rsidP="000D1959">
            <w:pPr>
              <w:ind w:left="0"/>
              <w:jc w:val="center"/>
              <w:rPr>
                <w:rFonts w:ascii="Bookman Old Style" w:hAnsi="Bookman Old Style" w:cs="Arial"/>
                <w:b/>
                <w:spacing w:val="-3"/>
                <w:lang w:val="es-ES_tradnl"/>
              </w:rPr>
            </w:pPr>
            <w:r>
              <w:rPr>
                <w:rFonts w:ascii="Bookman Old Style" w:hAnsi="Bookman Old Style" w:cs="Arial"/>
                <w:b/>
                <w:spacing w:val="-3"/>
                <w:lang w:val="es-ES_tradnl"/>
              </w:rPr>
              <w:t xml:space="preserve">JORGE PINTO NOLLA </w:t>
            </w:r>
          </w:p>
        </w:tc>
      </w:tr>
      <w:tr w:rsidR="00F813A4" w:rsidRPr="00E418EA" w:rsidTr="006439CF">
        <w:trPr>
          <w:jc w:val="right"/>
        </w:trPr>
        <w:tc>
          <w:tcPr>
            <w:tcW w:w="4503" w:type="dxa"/>
          </w:tcPr>
          <w:p w:rsidR="00F813A4" w:rsidRPr="00E418EA" w:rsidRDefault="00F813A4" w:rsidP="004A0407">
            <w:pPr>
              <w:ind w:left="0"/>
              <w:jc w:val="center"/>
              <w:rPr>
                <w:rFonts w:ascii="Bookman Old Style" w:hAnsi="Bookman Old Style" w:cs="Arial"/>
                <w:spacing w:val="-3"/>
                <w:lang w:val="es-ES_tradnl"/>
              </w:rPr>
            </w:pPr>
            <w:r w:rsidRPr="00E418EA">
              <w:rPr>
                <w:rFonts w:ascii="Bookman Old Style" w:hAnsi="Bookman Old Style" w:cs="Arial"/>
                <w:spacing w:val="-3"/>
                <w:lang w:val="es-ES_tradnl"/>
              </w:rPr>
              <w:t>Ministro de Minas y Energía</w:t>
            </w:r>
          </w:p>
        </w:tc>
        <w:tc>
          <w:tcPr>
            <w:tcW w:w="5258" w:type="dxa"/>
          </w:tcPr>
          <w:p w:rsidR="00F813A4" w:rsidRPr="00E418EA" w:rsidRDefault="00F813A4" w:rsidP="004A0407">
            <w:pPr>
              <w:ind w:left="0"/>
              <w:jc w:val="center"/>
              <w:rPr>
                <w:rFonts w:ascii="Bookman Old Style" w:hAnsi="Bookman Old Style" w:cs="Arial"/>
                <w:spacing w:val="-3"/>
                <w:lang w:val="es-ES_tradnl"/>
              </w:rPr>
            </w:pPr>
            <w:r w:rsidRPr="00E418EA">
              <w:rPr>
                <w:rFonts w:ascii="Bookman Old Style" w:hAnsi="Bookman Old Style" w:cs="Arial"/>
                <w:spacing w:val="-3"/>
                <w:lang w:val="es-ES_tradnl"/>
              </w:rPr>
              <w:t>Director Ejecutivo</w:t>
            </w:r>
          </w:p>
        </w:tc>
      </w:tr>
      <w:tr w:rsidR="00F813A4" w:rsidRPr="00E418EA" w:rsidTr="006439CF">
        <w:trPr>
          <w:jc w:val="right"/>
        </w:trPr>
        <w:tc>
          <w:tcPr>
            <w:tcW w:w="4503" w:type="dxa"/>
          </w:tcPr>
          <w:p w:rsidR="00F813A4" w:rsidRPr="00E418EA" w:rsidRDefault="00F813A4" w:rsidP="004A0407">
            <w:pPr>
              <w:ind w:left="0"/>
              <w:jc w:val="center"/>
              <w:rPr>
                <w:rFonts w:ascii="Bookman Old Style" w:hAnsi="Bookman Old Style" w:cs="Arial"/>
                <w:spacing w:val="-3"/>
              </w:rPr>
            </w:pPr>
            <w:r w:rsidRPr="00E418EA">
              <w:rPr>
                <w:rFonts w:ascii="Bookman Old Style" w:hAnsi="Bookman Old Style" w:cs="Arial"/>
                <w:spacing w:val="-3"/>
              </w:rPr>
              <w:t>Presidente</w:t>
            </w:r>
          </w:p>
          <w:p w:rsidR="00F813A4" w:rsidRPr="00E418EA" w:rsidRDefault="00F813A4" w:rsidP="004A0407">
            <w:pPr>
              <w:ind w:left="0"/>
              <w:jc w:val="center"/>
              <w:rPr>
                <w:rFonts w:ascii="Bookman Old Style" w:hAnsi="Bookman Old Style" w:cs="Arial"/>
                <w:spacing w:val="-3"/>
              </w:rPr>
            </w:pPr>
          </w:p>
        </w:tc>
        <w:tc>
          <w:tcPr>
            <w:tcW w:w="5258" w:type="dxa"/>
          </w:tcPr>
          <w:p w:rsidR="00F813A4" w:rsidRPr="00E418EA" w:rsidRDefault="00F813A4" w:rsidP="004A0407">
            <w:pPr>
              <w:ind w:left="0"/>
              <w:jc w:val="center"/>
              <w:rPr>
                <w:rFonts w:ascii="Bookman Old Style" w:hAnsi="Bookman Old Style" w:cs="Arial"/>
                <w:spacing w:val="-3"/>
              </w:rPr>
            </w:pPr>
          </w:p>
        </w:tc>
      </w:tr>
    </w:tbl>
    <w:p w:rsidR="00F813A4" w:rsidRPr="00E418EA" w:rsidRDefault="00F813A4" w:rsidP="005B1078">
      <w:pPr>
        <w:pStyle w:val="Encabezado"/>
        <w:tabs>
          <w:tab w:val="clear" w:pos="8504"/>
          <w:tab w:val="left" w:pos="0"/>
          <w:tab w:val="right" w:pos="9356"/>
        </w:tabs>
        <w:ind w:left="0"/>
        <w:jc w:val="both"/>
        <w:rPr>
          <w:rFonts w:ascii="Bookman Old Style" w:hAnsi="Bookman Old Style"/>
          <w:color w:val="000000" w:themeColor="text1"/>
          <w:szCs w:val="24"/>
          <w:lang w:val="es-ES"/>
        </w:rPr>
      </w:pPr>
    </w:p>
    <w:p w:rsidR="00F813A4" w:rsidRPr="00E418EA" w:rsidRDefault="00F813A4" w:rsidP="005B1078">
      <w:pPr>
        <w:pStyle w:val="Ttulo4"/>
        <w:tabs>
          <w:tab w:val="right" w:pos="9356"/>
        </w:tabs>
        <w:ind w:left="0"/>
        <w:rPr>
          <w:rFonts w:ascii="Bookman Old Style" w:hAnsi="Bookman Old Style"/>
          <w:b w:val="0"/>
          <w:bCs/>
          <w:color w:val="000000" w:themeColor="text1"/>
          <w:sz w:val="24"/>
          <w:szCs w:val="24"/>
          <w:lang w:val="es-ES"/>
        </w:rPr>
      </w:pPr>
    </w:p>
    <w:p w:rsidR="00F813A4" w:rsidRPr="00E418EA" w:rsidRDefault="00F813A4" w:rsidP="005B1078">
      <w:pPr>
        <w:pStyle w:val="Ttulo4"/>
        <w:tabs>
          <w:tab w:val="right" w:pos="9356"/>
        </w:tabs>
        <w:ind w:left="0"/>
        <w:rPr>
          <w:rFonts w:ascii="Bookman Old Style" w:hAnsi="Bookman Old Style"/>
          <w:b w:val="0"/>
          <w:bCs/>
          <w:color w:val="000000" w:themeColor="text1"/>
          <w:sz w:val="24"/>
          <w:szCs w:val="24"/>
          <w:lang w:val="es-ES"/>
        </w:rPr>
      </w:pPr>
    </w:p>
    <w:p w:rsidR="00F813A4" w:rsidRPr="00E418EA" w:rsidRDefault="00F813A4" w:rsidP="005B1078">
      <w:pPr>
        <w:ind w:left="0"/>
        <w:rPr>
          <w:rFonts w:ascii="Bookman Old Style" w:hAnsi="Bookman Old Style"/>
          <w:bCs/>
          <w:snapToGrid w:val="0"/>
          <w:color w:val="000000" w:themeColor="text1"/>
          <w:spacing w:val="20"/>
        </w:rPr>
      </w:pPr>
      <w:r w:rsidRPr="00E418EA">
        <w:rPr>
          <w:rFonts w:ascii="Bookman Old Style" w:hAnsi="Bookman Old Style"/>
          <w:b/>
          <w:bCs/>
          <w:color w:val="000000" w:themeColor="text1"/>
        </w:rPr>
        <w:br w:type="page"/>
      </w:r>
    </w:p>
    <w:p w:rsidR="00A758AE" w:rsidRDefault="00A758AE" w:rsidP="005B1078">
      <w:pPr>
        <w:pStyle w:val="Ttulo4"/>
        <w:tabs>
          <w:tab w:val="right" w:pos="9356"/>
        </w:tabs>
        <w:ind w:left="0"/>
        <w:rPr>
          <w:rFonts w:ascii="Bookman Old Style" w:hAnsi="Bookman Old Style"/>
          <w:bCs/>
          <w:color w:val="000000" w:themeColor="text1"/>
          <w:sz w:val="24"/>
          <w:szCs w:val="24"/>
          <w:lang w:val="es-ES"/>
        </w:rPr>
      </w:pPr>
    </w:p>
    <w:p w:rsidR="00F813A4" w:rsidRPr="00E418EA" w:rsidRDefault="00683F0F" w:rsidP="005B1078">
      <w:pPr>
        <w:pStyle w:val="Ttulo4"/>
        <w:tabs>
          <w:tab w:val="right" w:pos="9356"/>
        </w:tabs>
        <w:ind w:left="0"/>
        <w:rPr>
          <w:rFonts w:ascii="Bookman Old Style" w:hAnsi="Bookman Old Style"/>
          <w:bCs/>
          <w:color w:val="000000" w:themeColor="text1"/>
          <w:sz w:val="24"/>
          <w:szCs w:val="24"/>
          <w:lang w:val="es-ES"/>
        </w:rPr>
      </w:pPr>
      <w:r w:rsidRPr="00E418EA">
        <w:rPr>
          <w:rFonts w:ascii="Bookman Old Style" w:hAnsi="Bookman Old Style"/>
          <w:bCs/>
          <w:color w:val="000000" w:themeColor="text1"/>
          <w:sz w:val="24"/>
          <w:szCs w:val="24"/>
          <w:lang w:val="es-ES"/>
        </w:rPr>
        <w:t>PROYECTO DE RESOLUCIÓN</w:t>
      </w:r>
    </w:p>
    <w:p w:rsidR="00683F0F" w:rsidRPr="00E418EA" w:rsidRDefault="00683F0F" w:rsidP="00683F0F">
      <w:pPr>
        <w:rPr>
          <w:rFonts w:ascii="Bookman Old Style" w:hAnsi="Bookman Old Style"/>
        </w:rPr>
      </w:pPr>
    </w:p>
    <w:p w:rsidR="00683F0F" w:rsidRPr="00E418EA" w:rsidRDefault="00683F0F" w:rsidP="00683F0F">
      <w:pPr>
        <w:rPr>
          <w:rFonts w:ascii="Bookman Old Style" w:hAnsi="Bookman Old Style"/>
        </w:rPr>
      </w:pPr>
    </w:p>
    <w:p w:rsidR="00CD5DB7" w:rsidRPr="00E418EA" w:rsidRDefault="000D1959" w:rsidP="005B1078">
      <w:pPr>
        <w:ind w:left="0"/>
        <w:jc w:val="center"/>
        <w:rPr>
          <w:rFonts w:ascii="Bookman Old Style" w:hAnsi="Bookman Old Style" w:cs="Arial"/>
          <w:b/>
          <w:bCs/>
          <w:color w:val="000000" w:themeColor="text1"/>
          <w:lang w:eastAsia="es-CO"/>
        </w:rPr>
      </w:pPr>
      <w:r w:rsidRPr="00E418EA">
        <w:rPr>
          <w:rFonts w:ascii="Bookman Old Style" w:hAnsi="Bookman Old Style" w:cs="Arial"/>
          <w:color w:val="000000" w:themeColor="text1"/>
          <w:lang w:eastAsia="es-CO"/>
        </w:rPr>
        <w:t xml:space="preserve">Por la cual se modifica </w:t>
      </w:r>
      <w:r>
        <w:rPr>
          <w:rFonts w:ascii="Bookman Old Style" w:hAnsi="Bookman Old Style" w:cs="Arial"/>
          <w:color w:val="000000" w:themeColor="text1"/>
          <w:lang w:eastAsia="es-CO"/>
        </w:rPr>
        <w:t>el parágrafo 4 del artículo 54 de la</w:t>
      </w:r>
      <w:r w:rsidRPr="00E418EA">
        <w:rPr>
          <w:rFonts w:ascii="Bookman Old Style" w:hAnsi="Bookman Old Style" w:cs="Arial"/>
          <w:color w:val="000000" w:themeColor="text1"/>
          <w:lang w:eastAsia="es-CO"/>
        </w:rPr>
        <w:t xml:space="preserve"> Resolución CREG 089 de 2013</w:t>
      </w:r>
    </w:p>
    <w:p w:rsidR="00BF271D" w:rsidRPr="00E418EA" w:rsidRDefault="00BF271D" w:rsidP="005B1078">
      <w:pPr>
        <w:ind w:left="0"/>
        <w:jc w:val="center"/>
        <w:rPr>
          <w:rFonts w:ascii="Bookman Old Style" w:hAnsi="Bookman Old Style" w:cs="Arial"/>
          <w:b/>
          <w:bCs/>
          <w:color w:val="000000" w:themeColor="text1"/>
          <w:lang w:eastAsia="es-CO"/>
        </w:rPr>
      </w:pPr>
    </w:p>
    <w:p w:rsidR="00BF271D" w:rsidRPr="00E418EA" w:rsidRDefault="00BF271D" w:rsidP="005B1078">
      <w:pPr>
        <w:ind w:left="0"/>
        <w:jc w:val="center"/>
        <w:rPr>
          <w:rFonts w:ascii="Bookman Old Style" w:hAnsi="Bookman Old Style" w:cs="Arial"/>
          <w:b/>
          <w:bCs/>
          <w:color w:val="000000" w:themeColor="text1"/>
          <w:lang w:eastAsia="es-CO"/>
        </w:rPr>
      </w:pPr>
    </w:p>
    <w:p w:rsidR="00CD5DB7" w:rsidRPr="00E418EA" w:rsidRDefault="00CD5DB7" w:rsidP="005B1078">
      <w:pPr>
        <w:ind w:left="0"/>
        <w:jc w:val="center"/>
        <w:rPr>
          <w:rFonts w:ascii="Bookman Old Style" w:hAnsi="Bookman Old Style" w:cs="Arial"/>
          <w:color w:val="000000" w:themeColor="text1"/>
          <w:lang w:eastAsia="es-CO"/>
        </w:rPr>
      </w:pPr>
      <w:r w:rsidRPr="00E418EA">
        <w:rPr>
          <w:rFonts w:ascii="Bookman Old Style" w:hAnsi="Bookman Old Style" w:cs="Arial"/>
          <w:b/>
          <w:bCs/>
          <w:color w:val="000000" w:themeColor="text1"/>
          <w:lang w:eastAsia="es-CO"/>
        </w:rPr>
        <w:t>LA COMISIÓN DE REGULACIÓN DE ENERGÍA Y GAS</w:t>
      </w:r>
    </w:p>
    <w:p w:rsidR="00CD5DB7" w:rsidRPr="00E418EA" w:rsidRDefault="00CD5DB7" w:rsidP="005B1078">
      <w:pPr>
        <w:ind w:left="0"/>
        <w:rPr>
          <w:rFonts w:ascii="Bookman Old Style" w:hAnsi="Bookman Old Style" w:cs="Arial"/>
          <w:color w:val="000000" w:themeColor="text1"/>
          <w:lang w:eastAsia="es-CO"/>
        </w:rPr>
      </w:pPr>
    </w:p>
    <w:p w:rsidR="00CD5DB7" w:rsidRPr="00E418EA" w:rsidRDefault="00CD5DB7" w:rsidP="005B1078">
      <w:pPr>
        <w:ind w:left="0"/>
        <w:rPr>
          <w:rFonts w:ascii="Bookman Old Style" w:hAnsi="Bookman Old Style" w:cs="Arial"/>
          <w:color w:val="000000" w:themeColor="text1"/>
          <w:lang w:eastAsia="es-CO"/>
        </w:rPr>
      </w:pPr>
    </w:p>
    <w:p w:rsidR="00CD5DB7" w:rsidRPr="00E418EA" w:rsidRDefault="00CD5DB7" w:rsidP="005B1078">
      <w:pPr>
        <w:ind w:left="0"/>
        <w:jc w:val="center"/>
        <w:rPr>
          <w:rFonts w:ascii="Bookman Old Style" w:hAnsi="Bookman Old Style" w:cs="Arial"/>
          <w:color w:val="000000" w:themeColor="text1"/>
          <w:lang w:eastAsia="es-CO"/>
        </w:rPr>
      </w:pPr>
      <w:r w:rsidRPr="00E418EA">
        <w:rPr>
          <w:rFonts w:ascii="Bookman Old Style" w:hAnsi="Bookman Old Style" w:cs="Arial"/>
          <w:color w:val="000000" w:themeColor="text1"/>
          <w:lang w:eastAsia="es-CO"/>
        </w:rPr>
        <w:t xml:space="preserve">En ejercicio de sus </w:t>
      </w:r>
      <w:r w:rsidR="006E24AF" w:rsidRPr="00E418EA">
        <w:rPr>
          <w:rFonts w:ascii="Bookman Old Style" w:hAnsi="Bookman Old Style" w:cs="Arial"/>
          <w:color w:val="000000" w:themeColor="text1"/>
          <w:lang w:eastAsia="es-CO"/>
        </w:rPr>
        <w:t xml:space="preserve">facultades </w:t>
      </w:r>
      <w:r w:rsidRPr="00E418EA">
        <w:rPr>
          <w:rFonts w:ascii="Bookman Old Style" w:hAnsi="Bookman Old Style" w:cs="Arial"/>
          <w:color w:val="000000" w:themeColor="text1"/>
          <w:lang w:eastAsia="es-CO"/>
        </w:rPr>
        <w:t xml:space="preserve">legales, en especial </w:t>
      </w:r>
      <w:r w:rsidR="00F72BA7" w:rsidRPr="00E418EA">
        <w:rPr>
          <w:rFonts w:ascii="Bookman Old Style" w:hAnsi="Bookman Old Style" w:cs="Arial"/>
          <w:color w:val="000000" w:themeColor="text1"/>
          <w:lang w:eastAsia="es-CO"/>
        </w:rPr>
        <w:t xml:space="preserve">de </w:t>
      </w:r>
      <w:r w:rsidRPr="00E418EA">
        <w:rPr>
          <w:rFonts w:ascii="Bookman Old Style" w:hAnsi="Bookman Old Style" w:cs="Arial"/>
          <w:color w:val="000000" w:themeColor="text1"/>
          <w:lang w:eastAsia="es-CO"/>
        </w:rPr>
        <w:t xml:space="preserve">las conferidas por la Ley 142 de 1994, </w:t>
      </w:r>
      <w:r w:rsidR="0019169B" w:rsidRPr="00E418EA">
        <w:rPr>
          <w:rFonts w:ascii="Bookman Old Style" w:hAnsi="Bookman Old Style" w:cs="Arial"/>
          <w:color w:val="000000" w:themeColor="text1"/>
          <w:lang w:eastAsia="es-CO"/>
        </w:rPr>
        <w:t xml:space="preserve">y </w:t>
      </w:r>
      <w:r w:rsidR="009608BF" w:rsidRPr="00E418EA">
        <w:rPr>
          <w:rFonts w:ascii="Bookman Old Style" w:hAnsi="Bookman Old Style" w:cs="Arial"/>
          <w:color w:val="000000" w:themeColor="text1"/>
          <w:lang w:eastAsia="es-CO"/>
        </w:rPr>
        <w:t>en desarrollo de</w:t>
      </w:r>
      <w:r w:rsidR="00E6570C" w:rsidRPr="00E418EA">
        <w:rPr>
          <w:rFonts w:ascii="Bookman Old Style" w:hAnsi="Bookman Old Style" w:cs="Arial"/>
          <w:color w:val="000000" w:themeColor="text1"/>
          <w:lang w:eastAsia="es-CO"/>
        </w:rPr>
        <w:t>l Decreto</w:t>
      </w:r>
      <w:r w:rsidR="00813C04" w:rsidRPr="00E418EA">
        <w:rPr>
          <w:rFonts w:ascii="Bookman Old Style" w:hAnsi="Bookman Old Style" w:cs="Arial"/>
          <w:color w:val="000000" w:themeColor="text1"/>
          <w:lang w:eastAsia="es-CO"/>
        </w:rPr>
        <w:t xml:space="preserve"> </w:t>
      </w:r>
      <w:r w:rsidRPr="00E418EA">
        <w:rPr>
          <w:rFonts w:ascii="Bookman Old Style" w:hAnsi="Bookman Old Style" w:cs="Arial"/>
          <w:color w:val="000000" w:themeColor="text1"/>
          <w:lang w:eastAsia="es-CO"/>
        </w:rPr>
        <w:t>2253 de 1994, y</w:t>
      </w:r>
    </w:p>
    <w:p w:rsidR="00CD5DB7" w:rsidRPr="00E418EA" w:rsidRDefault="00CD5DB7" w:rsidP="005B1078">
      <w:pPr>
        <w:ind w:left="0"/>
        <w:rPr>
          <w:rFonts w:ascii="Bookman Old Style" w:hAnsi="Bookman Old Style" w:cs="Arial"/>
          <w:color w:val="000000" w:themeColor="text1"/>
          <w:lang w:eastAsia="es-CO"/>
        </w:rPr>
      </w:pPr>
    </w:p>
    <w:p w:rsidR="00CD5DB7" w:rsidRPr="00E418EA" w:rsidRDefault="00CD5DB7" w:rsidP="005B1078">
      <w:pPr>
        <w:ind w:left="0"/>
        <w:rPr>
          <w:rFonts w:ascii="Bookman Old Style" w:hAnsi="Bookman Old Style" w:cs="Arial"/>
          <w:color w:val="000000" w:themeColor="text1"/>
          <w:lang w:eastAsia="es-CO"/>
        </w:rPr>
      </w:pPr>
    </w:p>
    <w:p w:rsidR="00CD5DB7" w:rsidRPr="00E418EA" w:rsidRDefault="00CD5DB7" w:rsidP="005B1078">
      <w:pPr>
        <w:ind w:left="0"/>
        <w:jc w:val="center"/>
        <w:rPr>
          <w:rFonts w:ascii="Bookman Old Style" w:hAnsi="Bookman Old Style" w:cs="Arial"/>
          <w:b/>
          <w:bCs/>
          <w:color w:val="000000" w:themeColor="text1"/>
          <w:lang w:val="pt-BR" w:eastAsia="es-CO"/>
        </w:rPr>
      </w:pPr>
      <w:r w:rsidRPr="00E418EA">
        <w:rPr>
          <w:rFonts w:ascii="Bookman Old Style" w:hAnsi="Bookman Old Style" w:cs="Arial"/>
          <w:b/>
          <w:bCs/>
          <w:color w:val="000000" w:themeColor="text1"/>
          <w:lang w:val="pt-BR" w:eastAsia="es-CO"/>
        </w:rPr>
        <w:t>C O N S I D E R A N D O</w:t>
      </w:r>
      <w:r w:rsidR="00F27F24" w:rsidRPr="00E418EA">
        <w:rPr>
          <w:rFonts w:ascii="Bookman Old Style" w:hAnsi="Bookman Old Style" w:cs="Arial"/>
          <w:b/>
          <w:bCs/>
          <w:color w:val="000000" w:themeColor="text1"/>
          <w:lang w:val="pt-BR" w:eastAsia="es-CO"/>
        </w:rPr>
        <w:t xml:space="preserve"> Q U E</w:t>
      </w:r>
      <w:r w:rsidRPr="00E418EA">
        <w:rPr>
          <w:rFonts w:ascii="Bookman Old Style" w:hAnsi="Bookman Old Style" w:cs="Arial"/>
          <w:b/>
          <w:bCs/>
          <w:color w:val="000000" w:themeColor="text1"/>
          <w:lang w:val="pt-BR" w:eastAsia="es-CO"/>
        </w:rPr>
        <w:t>:</w:t>
      </w:r>
    </w:p>
    <w:p w:rsidR="00CD5DB7" w:rsidRPr="00E418EA" w:rsidRDefault="00CD5DB7" w:rsidP="005B1078">
      <w:pPr>
        <w:ind w:left="0"/>
        <w:jc w:val="center"/>
        <w:rPr>
          <w:rFonts w:ascii="Bookman Old Style" w:hAnsi="Bookman Old Style" w:cs="Arial"/>
          <w:color w:val="000000" w:themeColor="text1"/>
          <w:lang w:val="pt-BR" w:eastAsia="es-CO"/>
        </w:rPr>
      </w:pPr>
    </w:p>
    <w:p w:rsidR="00CD5DB7" w:rsidRPr="00E418EA" w:rsidRDefault="00CD5DB7" w:rsidP="005B1078">
      <w:pPr>
        <w:ind w:left="0"/>
        <w:jc w:val="both"/>
        <w:rPr>
          <w:rFonts w:ascii="Bookman Old Style" w:hAnsi="Bookman Old Style" w:cs="Arial"/>
          <w:color w:val="000000" w:themeColor="text1"/>
          <w:lang w:val="pt-BR"/>
        </w:rPr>
      </w:pPr>
    </w:p>
    <w:p w:rsidR="005C39FD" w:rsidRPr="00E418EA" w:rsidRDefault="00876F69" w:rsidP="005C39FD">
      <w:pPr>
        <w:ind w:left="0"/>
        <w:jc w:val="both"/>
        <w:rPr>
          <w:rFonts w:ascii="Bookman Old Style" w:hAnsi="Bookman Old Style" w:cs="Arial"/>
          <w:color w:val="000000" w:themeColor="text1"/>
        </w:rPr>
      </w:pPr>
      <w:r w:rsidRPr="00E418EA">
        <w:rPr>
          <w:rFonts w:ascii="Bookman Old Style" w:hAnsi="Bookman Old Style" w:cs="Arial"/>
          <w:color w:val="000000" w:themeColor="text1"/>
        </w:rPr>
        <w:t>Mediante la Resolución CREG 089 de 2013, la CREG expidió disposiciones relacionadas con los aspectos comerciales del mercado mayorista de gas natural, que hacen parte del reglamento de operación de gas natural.</w:t>
      </w:r>
      <w:r w:rsidR="005C39FD" w:rsidRPr="00E418EA">
        <w:rPr>
          <w:rFonts w:ascii="Bookman Old Style" w:hAnsi="Bookman Old Style" w:cs="Arial"/>
          <w:color w:val="000000" w:themeColor="text1"/>
        </w:rPr>
        <w:t xml:space="preserve"> </w:t>
      </w:r>
      <w:r w:rsidRPr="00E418EA">
        <w:rPr>
          <w:rFonts w:ascii="Bookman Old Style" w:hAnsi="Bookman Old Style" w:cs="Arial"/>
          <w:color w:val="000000" w:themeColor="text1"/>
        </w:rPr>
        <w:t>La r</w:t>
      </w:r>
      <w:r w:rsidR="005C39FD" w:rsidRPr="00E418EA">
        <w:rPr>
          <w:rFonts w:ascii="Bookman Old Style" w:hAnsi="Bookman Old Style" w:cs="Arial"/>
          <w:color w:val="000000" w:themeColor="text1"/>
        </w:rPr>
        <w:t xml:space="preserve">esolución </w:t>
      </w:r>
      <w:r w:rsidRPr="00E418EA">
        <w:rPr>
          <w:rFonts w:ascii="Bookman Old Style" w:hAnsi="Bookman Old Style" w:cs="Arial"/>
          <w:color w:val="000000" w:themeColor="text1"/>
        </w:rPr>
        <w:t xml:space="preserve">mencionada </w:t>
      </w:r>
      <w:r w:rsidR="005C39FD" w:rsidRPr="00E418EA">
        <w:rPr>
          <w:rFonts w:ascii="Bookman Old Style" w:hAnsi="Bookman Old Style" w:cs="Arial"/>
          <w:color w:val="000000" w:themeColor="text1"/>
        </w:rPr>
        <w:t>contiene el conjunto de disposiciones aplicables a las negociaciones del suministro y del transporte del gas natural utilizado efectivamente como combustible que se realicen en el mercado primario y en el mercado secundario.</w:t>
      </w:r>
    </w:p>
    <w:p w:rsidR="005C39FD" w:rsidRPr="00E418EA" w:rsidRDefault="005C39FD" w:rsidP="005C39FD">
      <w:pPr>
        <w:ind w:left="0"/>
        <w:jc w:val="both"/>
        <w:rPr>
          <w:rFonts w:ascii="Bookman Old Style" w:hAnsi="Bookman Old Style" w:cs="Arial"/>
          <w:color w:val="000000" w:themeColor="text1"/>
        </w:rPr>
      </w:pPr>
    </w:p>
    <w:p w:rsidR="00FF70C3" w:rsidRPr="00FF70C3" w:rsidRDefault="00FF70C3" w:rsidP="00FF70C3">
      <w:pPr>
        <w:ind w:left="0"/>
        <w:jc w:val="both"/>
        <w:rPr>
          <w:rFonts w:ascii="Bookman Old Style" w:hAnsi="Bookman Old Style" w:cs="Arial"/>
          <w:color w:val="000000" w:themeColor="text1"/>
        </w:rPr>
      </w:pPr>
      <w:r w:rsidRPr="00FF70C3">
        <w:rPr>
          <w:rFonts w:ascii="Bookman Old Style" w:hAnsi="Bookman Old Style" w:cs="Arial"/>
          <w:color w:val="000000" w:themeColor="text1"/>
        </w:rPr>
        <w:t xml:space="preserve">Mediante la Resolución CREG 089 de 2013 se estableció el valor de las compensaciones que los remitentes deben pagar al transportador </w:t>
      </w:r>
      <w:r>
        <w:rPr>
          <w:rFonts w:ascii="Bookman Old Style" w:hAnsi="Bookman Old Style" w:cs="Arial"/>
          <w:color w:val="000000" w:themeColor="text1"/>
        </w:rPr>
        <w:t xml:space="preserve">gas </w:t>
      </w:r>
      <w:r w:rsidRPr="00FF70C3">
        <w:rPr>
          <w:rFonts w:ascii="Bookman Old Style" w:hAnsi="Bookman Old Style" w:cs="Arial"/>
          <w:color w:val="000000" w:themeColor="text1"/>
        </w:rPr>
        <w:t>cuando se presenten variaciones de salida superiores al 5%. También se estableció que estas compensaciones empezarán a regir el 30 de noviembre de 2014 y que hasta ese momento se dará aplicación a lo pactado por los remitentes y los transportadores sobre la materia.</w:t>
      </w:r>
    </w:p>
    <w:p w:rsidR="00FF70C3" w:rsidRPr="00FF70C3" w:rsidRDefault="00FF70C3" w:rsidP="00FF70C3">
      <w:pPr>
        <w:ind w:left="0"/>
        <w:jc w:val="both"/>
        <w:rPr>
          <w:rFonts w:ascii="Bookman Old Style" w:hAnsi="Bookman Old Style" w:cs="Arial"/>
          <w:color w:val="000000" w:themeColor="text1"/>
        </w:rPr>
      </w:pPr>
    </w:p>
    <w:p w:rsidR="00FF70C3" w:rsidRPr="00FF70C3" w:rsidRDefault="00FF70C3" w:rsidP="00FF70C3">
      <w:pPr>
        <w:ind w:left="0"/>
        <w:jc w:val="both"/>
        <w:rPr>
          <w:rFonts w:ascii="Bookman Old Style" w:hAnsi="Bookman Old Style" w:cs="Arial"/>
          <w:color w:val="000000" w:themeColor="text1"/>
        </w:rPr>
      </w:pPr>
      <w:r w:rsidRPr="00FF70C3">
        <w:rPr>
          <w:rFonts w:ascii="Bookman Old Style" w:hAnsi="Bookman Old Style" w:cs="Arial"/>
          <w:color w:val="000000" w:themeColor="text1"/>
        </w:rPr>
        <w:t xml:space="preserve">Agentes del sector eléctrico han planteado inquietudes sobre la aplicación de las compensaciones por variaciones de salida establecida en el artículo 54 de la Resolución CREG 089 de 2013. En particular, el Consejo Nacional de Operación, CNO, del sector eléctrico y la Asociación Nacional de Empresas Generadoras, ANDEG, y GECELCA solicitaron suspender la aplicación de las reglas sobre compensaciones hasta que se disponga de la adecuada flexibilidad en el sector gas para atender a tiempo los </w:t>
      </w:r>
      <w:proofErr w:type="spellStart"/>
      <w:r w:rsidRPr="00FF70C3">
        <w:rPr>
          <w:rFonts w:ascii="Bookman Old Style" w:hAnsi="Bookman Old Style" w:cs="Arial"/>
          <w:color w:val="000000" w:themeColor="text1"/>
        </w:rPr>
        <w:t>redespachos</w:t>
      </w:r>
      <w:proofErr w:type="spellEnd"/>
      <w:r w:rsidRPr="00FF70C3">
        <w:rPr>
          <w:rFonts w:ascii="Bookman Old Style" w:hAnsi="Bookman Old Style" w:cs="Arial"/>
          <w:color w:val="000000" w:themeColor="text1"/>
        </w:rPr>
        <w:t xml:space="preserve"> y autorizaciones desde el sector eléctrico o hasta cuando se definan las alternativas adecuadas para que la demanda eléctrica no se vea en riesgo de atención. </w:t>
      </w:r>
    </w:p>
    <w:p w:rsidR="00FF70C3" w:rsidRPr="00FF70C3" w:rsidRDefault="00FF70C3" w:rsidP="00FF70C3">
      <w:pPr>
        <w:ind w:left="0"/>
        <w:jc w:val="both"/>
        <w:rPr>
          <w:rFonts w:ascii="Bookman Old Style" w:hAnsi="Bookman Old Style" w:cs="Arial"/>
          <w:color w:val="000000" w:themeColor="text1"/>
        </w:rPr>
      </w:pPr>
    </w:p>
    <w:p w:rsidR="00FF70C3" w:rsidRPr="00FF70C3" w:rsidRDefault="00FF70C3" w:rsidP="00FF70C3">
      <w:pPr>
        <w:ind w:left="0"/>
        <w:jc w:val="both"/>
        <w:rPr>
          <w:rFonts w:ascii="Bookman Old Style" w:hAnsi="Bookman Old Style" w:cs="Arial"/>
          <w:color w:val="000000" w:themeColor="text1"/>
        </w:rPr>
      </w:pPr>
      <w:r w:rsidRPr="00FF70C3">
        <w:rPr>
          <w:rFonts w:ascii="Bookman Old Style" w:hAnsi="Bookman Old Style" w:cs="Arial"/>
          <w:color w:val="000000" w:themeColor="text1"/>
        </w:rPr>
        <w:t>Algunos participantes del mercado solicitaron mayor análisis antes de dar aplicación al mecanismo de compensaciones por variaciones de salida previsto en el artículo 54 de la Resolución CREG 089 de 2013.</w:t>
      </w:r>
    </w:p>
    <w:p w:rsidR="00FF70C3" w:rsidRDefault="00FF70C3" w:rsidP="00FF70C3">
      <w:pPr>
        <w:ind w:left="0"/>
        <w:jc w:val="both"/>
        <w:rPr>
          <w:rFonts w:ascii="Bookman Old Style" w:hAnsi="Bookman Old Style" w:cs="Arial"/>
          <w:color w:val="000000" w:themeColor="text1"/>
        </w:rPr>
      </w:pPr>
    </w:p>
    <w:p w:rsidR="00FF70C3" w:rsidRDefault="00FF70C3" w:rsidP="00FF70C3">
      <w:pPr>
        <w:ind w:left="0"/>
        <w:jc w:val="both"/>
        <w:rPr>
          <w:rFonts w:ascii="Bookman Old Style" w:hAnsi="Bookman Old Style" w:cs="Arial"/>
          <w:color w:val="000000" w:themeColor="text1"/>
        </w:rPr>
      </w:pPr>
      <w:r>
        <w:rPr>
          <w:rFonts w:ascii="Bookman Old Style" w:hAnsi="Bookman Old Style" w:cs="Arial"/>
          <w:color w:val="000000" w:themeColor="text1"/>
        </w:rPr>
        <w:t>E</w:t>
      </w:r>
      <w:r w:rsidRPr="00FF70C3">
        <w:rPr>
          <w:rFonts w:ascii="Bookman Old Style" w:hAnsi="Bookman Old Style" w:cs="Arial"/>
          <w:color w:val="000000" w:themeColor="text1"/>
        </w:rPr>
        <w:t xml:space="preserve">l mercado secundario </w:t>
      </w:r>
      <w:proofErr w:type="spellStart"/>
      <w:r w:rsidRPr="00FF70C3">
        <w:rPr>
          <w:rFonts w:ascii="Bookman Old Style" w:hAnsi="Bookman Old Style" w:cs="Arial"/>
          <w:color w:val="000000" w:themeColor="text1"/>
        </w:rPr>
        <w:t>intradiario</w:t>
      </w:r>
      <w:proofErr w:type="spellEnd"/>
      <w:r w:rsidRPr="00FF70C3">
        <w:rPr>
          <w:rFonts w:ascii="Bookman Old Style" w:hAnsi="Bookman Old Style" w:cs="Arial"/>
          <w:color w:val="000000" w:themeColor="text1"/>
        </w:rPr>
        <w:t xml:space="preserve"> </w:t>
      </w:r>
      <w:r>
        <w:rPr>
          <w:rFonts w:ascii="Bookman Old Style" w:hAnsi="Bookman Old Style" w:cs="Arial"/>
          <w:color w:val="000000" w:themeColor="text1"/>
        </w:rPr>
        <w:t xml:space="preserve">definido en la Resolución CREG 089 de 2013 </w:t>
      </w:r>
      <w:proofErr w:type="gramStart"/>
      <w:r w:rsidRPr="00FF70C3">
        <w:rPr>
          <w:rFonts w:ascii="Bookman Old Style" w:hAnsi="Bookman Old Style" w:cs="Arial"/>
          <w:color w:val="000000" w:themeColor="text1"/>
        </w:rPr>
        <w:t>le</w:t>
      </w:r>
      <w:proofErr w:type="gramEnd"/>
      <w:r w:rsidRPr="00FF70C3">
        <w:rPr>
          <w:rFonts w:ascii="Bookman Old Style" w:hAnsi="Bookman Old Style" w:cs="Arial"/>
          <w:color w:val="000000" w:themeColor="text1"/>
        </w:rPr>
        <w:t xml:space="preserve"> permitirá a los participantes del mercado manejar desbalances durante el día de gas y por tanto mitigar posibles variaciones de salida. Se espera que este mercado se dinamice una vez entre a operar el gestor del mercado en 2015</w:t>
      </w:r>
      <w:r>
        <w:rPr>
          <w:rFonts w:ascii="Bookman Old Style" w:hAnsi="Bookman Old Style" w:cs="Arial"/>
          <w:color w:val="000000" w:themeColor="text1"/>
        </w:rPr>
        <w:t>.</w:t>
      </w:r>
    </w:p>
    <w:p w:rsidR="00FF70C3" w:rsidRPr="00FF70C3" w:rsidRDefault="00FF70C3" w:rsidP="00FF70C3">
      <w:pPr>
        <w:ind w:left="0"/>
        <w:jc w:val="both"/>
        <w:rPr>
          <w:rFonts w:ascii="Bookman Old Style" w:hAnsi="Bookman Old Style" w:cs="Arial"/>
          <w:color w:val="000000" w:themeColor="text1"/>
        </w:rPr>
      </w:pPr>
    </w:p>
    <w:p w:rsidR="00FF70C3" w:rsidRPr="00FF70C3" w:rsidRDefault="00FF70C3" w:rsidP="00FF70C3">
      <w:pPr>
        <w:ind w:left="0"/>
        <w:jc w:val="both"/>
        <w:rPr>
          <w:rFonts w:ascii="Bookman Old Style" w:hAnsi="Bookman Old Style" w:cs="Arial"/>
          <w:color w:val="000000" w:themeColor="text1"/>
        </w:rPr>
      </w:pPr>
      <w:r>
        <w:rPr>
          <w:rFonts w:ascii="Bookman Old Style" w:hAnsi="Bookman Old Style" w:cs="Arial"/>
          <w:color w:val="000000" w:themeColor="text1"/>
        </w:rPr>
        <w:t>S</w:t>
      </w:r>
      <w:r w:rsidRPr="00FF70C3">
        <w:rPr>
          <w:rFonts w:ascii="Bookman Old Style" w:hAnsi="Bookman Old Style" w:cs="Arial"/>
          <w:color w:val="000000" w:themeColor="text1"/>
        </w:rPr>
        <w:t xml:space="preserve">e considera adecuado ampliar el plazo para la entrada en vigencia de las compensaciones.  </w:t>
      </w:r>
    </w:p>
    <w:p w:rsidR="00FF70C3" w:rsidRDefault="00FF70C3" w:rsidP="001E6F0C">
      <w:pPr>
        <w:ind w:left="0"/>
        <w:jc w:val="both"/>
        <w:rPr>
          <w:rFonts w:ascii="Bookman Old Style" w:hAnsi="Bookman Old Style" w:cs="Arial"/>
          <w:color w:val="000000" w:themeColor="text1"/>
        </w:rPr>
      </w:pPr>
    </w:p>
    <w:p w:rsidR="00407447" w:rsidRPr="00E418EA" w:rsidRDefault="005470D9" w:rsidP="005B1078">
      <w:pPr>
        <w:pStyle w:val="Textosinformato"/>
        <w:jc w:val="both"/>
        <w:rPr>
          <w:rFonts w:ascii="Bookman Old Style" w:hAnsi="Bookman Old Style" w:cs="Tahoma"/>
          <w:color w:val="000000" w:themeColor="text1"/>
          <w:sz w:val="24"/>
          <w:szCs w:val="24"/>
        </w:rPr>
      </w:pPr>
      <w:r w:rsidRPr="00E418EA">
        <w:rPr>
          <w:rFonts w:ascii="Bookman Old Style" w:hAnsi="Bookman Old Style" w:cs="Arial"/>
          <w:color w:val="000000" w:themeColor="text1"/>
          <w:sz w:val="24"/>
          <w:szCs w:val="24"/>
          <w:shd w:val="clear" w:color="auto" w:fill="FFFFFF"/>
        </w:rPr>
        <w:t xml:space="preserve">Teniendo en cuenta </w:t>
      </w:r>
      <w:r w:rsidR="00407447" w:rsidRPr="00E418EA">
        <w:rPr>
          <w:rFonts w:ascii="Bookman Old Style" w:hAnsi="Bookman Old Style" w:cs="Arial"/>
          <w:color w:val="000000" w:themeColor="text1"/>
          <w:sz w:val="24"/>
          <w:szCs w:val="24"/>
          <w:shd w:val="clear" w:color="auto" w:fill="FFFFFF"/>
        </w:rPr>
        <w:t xml:space="preserve">lo establecido en el </w:t>
      </w:r>
      <w:r w:rsidRPr="00E418EA">
        <w:rPr>
          <w:rFonts w:ascii="Bookman Old Style" w:hAnsi="Bookman Old Style" w:cs="Arial"/>
          <w:color w:val="000000" w:themeColor="text1"/>
          <w:sz w:val="24"/>
          <w:szCs w:val="24"/>
          <w:shd w:val="clear" w:color="auto" w:fill="FFFFFF"/>
        </w:rPr>
        <w:t xml:space="preserve">artículo 4 del </w:t>
      </w:r>
      <w:r w:rsidR="00407447" w:rsidRPr="00E418EA">
        <w:rPr>
          <w:rFonts w:ascii="Bookman Old Style" w:hAnsi="Bookman Old Style" w:cs="Arial"/>
          <w:color w:val="000000" w:themeColor="text1"/>
          <w:sz w:val="24"/>
          <w:szCs w:val="24"/>
          <w:shd w:val="clear" w:color="auto" w:fill="FFFFFF"/>
        </w:rPr>
        <w:t>Decreto 2897 de 2010</w:t>
      </w:r>
      <w:r w:rsidR="003B7C9E" w:rsidRPr="00E418EA">
        <w:rPr>
          <w:rFonts w:ascii="Bookman Old Style" w:hAnsi="Bookman Old Style" w:cs="Arial"/>
          <w:color w:val="000000" w:themeColor="text1"/>
          <w:sz w:val="24"/>
          <w:szCs w:val="24"/>
          <w:shd w:val="clear" w:color="auto" w:fill="FFFFFF"/>
        </w:rPr>
        <w:t>,</w:t>
      </w:r>
      <w:r w:rsidR="00407447" w:rsidRPr="00E418EA">
        <w:rPr>
          <w:rFonts w:ascii="Bookman Old Style" w:hAnsi="Bookman Old Style" w:cs="Arial"/>
          <w:color w:val="000000" w:themeColor="text1"/>
          <w:sz w:val="24"/>
          <w:szCs w:val="24"/>
          <w:shd w:val="clear" w:color="auto" w:fill="FFFFFF"/>
        </w:rPr>
        <w:t xml:space="preserve"> </w:t>
      </w:r>
      <w:r w:rsidRPr="00E418EA">
        <w:rPr>
          <w:rFonts w:ascii="Bookman Old Style" w:hAnsi="Bookman Old Style" w:cs="Arial"/>
          <w:color w:val="000000" w:themeColor="text1"/>
          <w:sz w:val="24"/>
          <w:szCs w:val="24"/>
          <w:shd w:val="clear" w:color="auto" w:fill="FFFFFF"/>
        </w:rPr>
        <w:t xml:space="preserve">reglamentario de la Ley 1340 de 2009, no es necesaria la remisión del presente acto administrativo a la </w:t>
      </w:r>
      <w:r w:rsidR="00A87DEC" w:rsidRPr="00E418EA">
        <w:rPr>
          <w:rFonts w:ascii="Bookman Old Style" w:hAnsi="Bookman Old Style" w:cs="Arial"/>
          <w:color w:val="000000" w:themeColor="text1"/>
          <w:sz w:val="24"/>
          <w:szCs w:val="24"/>
          <w:shd w:val="clear" w:color="auto" w:fill="FFFFFF"/>
        </w:rPr>
        <w:t>Superintendencia</w:t>
      </w:r>
      <w:r w:rsidRPr="00E418EA">
        <w:rPr>
          <w:rFonts w:ascii="Bookman Old Style" w:hAnsi="Bookman Old Style" w:cs="Arial"/>
          <w:color w:val="000000" w:themeColor="text1"/>
          <w:sz w:val="24"/>
          <w:szCs w:val="24"/>
          <w:shd w:val="clear" w:color="auto" w:fill="FFFFFF"/>
        </w:rPr>
        <w:t xml:space="preserve"> de Industria y Comercio, ya que en éste se </w:t>
      </w:r>
      <w:r w:rsidR="00FF70C3">
        <w:rPr>
          <w:rFonts w:ascii="Bookman Old Style" w:hAnsi="Bookman Old Style" w:cs="Arial"/>
          <w:color w:val="000000" w:themeColor="text1"/>
          <w:sz w:val="24"/>
          <w:szCs w:val="24"/>
          <w:shd w:val="clear" w:color="auto" w:fill="FFFFFF"/>
        </w:rPr>
        <w:t>amplía un plazo para la entrada en vigencia de disposiciones que buscan organizar el mercado de gas.</w:t>
      </w:r>
    </w:p>
    <w:p w:rsidR="005470D9" w:rsidRPr="00E418EA" w:rsidRDefault="005470D9" w:rsidP="005B1078">
      <w:pPr>
        <w:pStyle w:val="Textosinformato"/>
        <w:jc w:val="both"/>
        <w:rPr>
          <w:rFonts w:ascii="Bookman Old Style" w:hAnsi="Bookman Old Style" w:cs="Tahoma"/>
          <w:color w:val="000000" w:themeColor="text1"/>
          <w:sz w:val="24"/>
          <w:szCs w:val="24"/>
        </w:rPr>
      </w:pPr>
    </w:p>
    <w:p w:rsidR="00170128" w:rsidRPr="00E418EA" w:rsidRDefault="00170128" w:rsidP="005B1078">
      <w:pPr>
        <w:autoSpaceDE w:val="0"/>
        <w:autoSpaceDN w:val="0"/>
        <w:adjustRightInd w:val="0"/>
        <w:ind w:left="0"/>
        <w:jc w:val="both"/>
        <w:rPr>
          <w:rFonts w:ascii="Bookman Old Style" w:hAnsi="Bookman Old Style" w:cs="Arial"/>
          <w:color w:val="000000" w:themeColor="text1"/>
        </w:rPr>
      </w:pPr>
      <w:r w:rsidRPr="00E418EA">
        <w:rPr>
          <w:rFonts w:ascii="Bookman Old Style" w:hAnsi="Bookman Old Style" w:cs="Arial"/>
          <w:color w:val="000000" w:themeColor="text1"/>
        </w:rPr>
        <w:t>Según lo previsto en el artículo 8 del Código de Procedimiento Administrativo y de lo Contencioso Administrativo, la regulación que mediante la presente resolución se adopta ha surtido el proceso de publicidad previo correspondiente</w:t>
      </w:r>
      <w:r w:rsidR="005F1971" w:rsidRPr="00E418EA">
        <w:rPr>
          <w:rFonts w:ascii="Bookman Old Style" w:hAnsi="Bookman Old Style" w:cs="Arial"/>
          <w:color w:val="000000" w:themeColor="text1"/>
        </w:rPr>
        <w:t>.</w:t>
      </w:r>
    </w:p>
    <w:p w:rsidR="00170128" w:rsidRPr="00E418EA" w:rsidRDefault="00170128" w:rsidP="005B1078">
      <w:pPr>
        <w:pStyle w:val="Textosinformato"/>
        <w:jc w:val="both"/>
        <w:rPr>
          <w:rFonts w:ascii="Bookman Old Style" w:hAnsi="Bookman Old Style" w:cs="Tahoma"/>
          <w:color w:val="000000" w:themeColor="text1"/>
          <w:sz w:val="24"/>
          <w:szCs w:val="24"/>
        </w:rPr>
      </w:pPr>
    </w:p>
    <w:p w:rsidR="001C534F" w:rsidRPr="00E418EA" w:rsidRDefault="001C534F" w:rsidP="005B1078">
      <w:pPr>
        <w:ind w:left="0"/>
        <w:rPr>
          <w:rFonts w:ascii="Bookman Old Style" w:hAnsi="Bookman Old Style" w:cs="Arial"/>
          <w:color w:val="000000" w:themeColor="text1"/>
        </w:rPr>
      </w:pPr>
    </w:p>
    <w:p w:rsidR="00CD5DB7" w:rsidRPr="00E418EA" w:rsidRDefault="00CD5DB7" w:rsidP="005B1078">
      <w:pPr>
        <w:ind w:left="0"/>
        <w:jc w:val="center"/>
        <w:rPr>
          <w:rFonts w:ascii="Bookman Old Style" w:hAnsi="Bookman Old Style" w:cs="Arial"/>
          <w:b/>
          <w:bCs/>
          <w:color w:val="000000" w:themeColor="text1"/>
          <w:lang w:val="pt-BR"/>
        </w:rPr>
      </w:pPr>
      <w:r w:rsidRPr="00E418EA">
        <w:rPr>
          <w:rFonts w:ascii="Bookman Old Style" w:hAnsi="Bookman Old Style" w:cs="Arial"/>
          <w:b/>
          <w:bCs/>
          <w:color w:val="000000" w:themeColor="text1"/>
          <w:lang w:val="pt-BR"/>
        </w:rPr>
        <w:t>R E S U E L V E:</w:t>
      </w:r>
    </w:p>
    <w:p w:rsidR="00CD5DB7" w:rsidRPr="00E418EA" w:rsidRDefault="00CD5DB7" w:rsidP="005B1078">
      <w:pPr>
        <w:ind w:left="0"/>
        <w:jc w:val="center"/>
        <w:rPr>
          <w:rFonts w:ascii="Bookman Old Style" w:hAnsi="Bookman Old Style" w:cs="Arial"/>
          <w:color w:val="000000" w:themeColor="text1"/>
          <w:lang w:val="pt-BR"/>
        </w:rPr>
      </w:pPr>
    </w:p>
    <w:p w:rsidR="007E79B7" w:rsidRPr="00E418EA" w:rsidRDefault="007E79B7" w:rsidP="00585035">
      <w:pPr>
        <w:pStyle w:val="ARTICULOS"/>
        <w:numPr>
          <w:ilvl w:val="0"/>
          <w:numId w:val="0"/>
        </w:numPr>
        <w:rPr>
          <w:color w:val="000000" w:themeColor="text1"/>
        </w:rPr>
      </w:pPr>
      <w:bookmarkStart w:id="1" w:name="_Ref330310840"/>
      <w:bookmarkStart w:id="2" w:name="_Ref330828080"/>
    </w:p>
    <w:p w:rsidR="00845203" w:rsidRPr="00E418EA" w:rsidRDefault="00E90EFF" w:rsidP="00845203">
      <w:pPr>
        <w:pStyle w:val="ARTICULOS"/>
        <w:numPr>
          <w:ilvl w:val="0"/>
          <w:numId w:val="0"/>
        </w:numPr>
        <w:tabs>
          <w:tab w:val="left" w:pos="1560"/>
        </w:tabs>
        <w:rPr>
          <w:rFonts w:cs="Arial"/>
          <w:b/>
          <w:bCs w:val="0"/>
          <w:color w:val="000000" w:themeColor="text1"/>
        </w:rPr>
      </w:pPr>
      <w:r w:rsidRPr="00E418EA">
        <w:rPr>
          <w:rFonts w:cs="Arial"/>
          <w:b/>
          <w:bCs w:val="0"/>
          <w:color w:val="000000" w:themeColor="text1"/>
          <w:lang w:val="es-ES" w:eastAsia="es-ES"/>
        </w:rPr>
        <w:t>Artículo 1</w:t>
      </w:r>
      <w:r w:rsidR="00845203" w:rsidRPr="00E418EA">
        <w:rPr>
          <w:rFonts w:cs="Arial"/>
          <w:b/>
          <w:bCs w:val="0"/>
          <w:color w:val="000000" w:themeColor="text1"/>
          <w:lang w:val="es-ES" w:eastAsia="es-ES"/>
        </w:rPr>
        <w:t xml:space="preserve">. </w:t>
      </w:r>
      <w:r w:rsidR="00AF1485" w:rsidRPr="00E418EA">
        <w:rPr>
          <w:rFonts w:cs="Arial"/>
          <w:b/>
          <w:color w:val="000000" w:themeColor="text1"/>
          <w:lang w:val="es-ES"/>
        </w:rPr>
        <w:t xml:space="preserve">Modificación del </w:t>
      </w:r>
      <w:r w:rsidR="00FF70C3">
        <w:rPr>
          <w:rFonts w:cs="Arial"/>
          <w:b/>
          <w:color w:val="000000" w:themeColor="text1"/>
          <w:lang w:val="es-ES"/>
        </w:rPr>
        <w:t>parágrafo 4 del artículo 54</w:t>
      </w:r>
      <w:r w:rsidR="00845203" w:rsidRPr="00E418EA">
        <w:rPr>
          <w:b/>
        </w:rPr>
        <w:t xml:space="preserve"> de la Resolución CREG 089 de 2013. </w:t>
      </w:r>
      <w:r w:rsidR="00FF70C3">
        <w:rPr>
          <w:color w:val="000000" w:themeColor="text1"/>
          <w:lang w:val="es-CO"/>
        </w:rPr>
        <w:t xml:space="preserve">El parágrafo 4 del </w:t>
      </w:r>
      <w:r w:rsidR="001B3D58" w:rsidRPr="00E418EA">
        <w:rPr>
          <w:color w:val="000000" w:themeColor="text1"/>
        </w:rPr>
        <w:t xml:space="preserve">artículo </w:t>
      </w:r>
      <w:r w:rsidR="00FF70C3">
        <w:rPr>
          <w:color w:val="000000" w:themeColor="text1"/>
          <w:lang w:val="es-CO"/>
        </w:rPr>
        <w:t>54</w:t>
      </w:r>
      <w:r w:rsidR="001B3D58" w:rsidRPr="00E418EA">
        <w:rPr>
          <w:color w:val="000000" w:themeColor="text1"/>
        </w:rPr>
        <w:t xml:space="preserve"> de la Resolución CREG 089 de 2013</w:t>
      </w:r>
      <w:r w:rsidR="00FF70C3">
        <w:rPr>
          <w:color w:val="000000" w:themeColor="text1"/>
          <w:lang w:val="es-CO"/>
        </w:rPr>
        <w:t xml:space="preserve">, modificado por la Resolución CREG 122 de 2014, quedará así: </w:t>
      </w:r>
    </w:p>
    <w:p w:rsidR="00845203" w:rsidRPr="00E418EA" w:rsidRDefault="00845203" w:rsidP="001B3D58">
      <w:pPr>
        <w:ind w:left="0"/>
        <w:rPr>
          <w:rFonts w:ascii="Bookman Old Style" w:hAnsi="Bookman Old Style"/>
        </w:rPr>
      </w:pPr>
    </w:p>
    <w:p w:rsidR="00845203" w:rsidRPr="000B7687" w:rsidRDefault="00845203" w:rsidP="0033476D">
      <w:pPr>
        <w:pStyle w:val="ARTICULOS"/>
        <w:numPr>
          <w:ilvl w:val="0"/>
          <w:numId w:val="0"/>
        </w:numPr>
        <w:ind w:left="284" w:right="289"/>
        <w:rPr>
          <w:color w:val="000000" w:themeColor="text1"/>
        </w:rPr>
      </w:pPr>
      <w:r w:rsidRPr="000B7687">
        <w:rPr>
          <w:rFonts w:cs="Arial"/>
          <w:b/>
          <w:color w:val="000000" w:themeColor="text1"/>
          <w:lang w:val="es-ES"/>
        </w:rPr>
        <w:t xml:space="preserve">Parágrafo </w:t>
      </w:r>
      <w:r w:rsidR="00FF70C3">
        <w:rPr>
          <w:rFonts w:cs="Arial"/>
          <w:b/>
          <w:color w:val="000000" w:themeColor="text1"/>
          <w:lang w:val="es-ES"/>
        </w:rPr>
        <w:t>4</w:t>
      </w:r>
      <w:r w:rsidRPr="000B7687">
        <w:rPr>
          <w:rFonts w:cs="Arial"/>
          <w:b/>
          <w:color w:val="000000" w:themeColor="text1"/>
          <w:lang w:val="es-ES"/>
        </w:rPr>
        <w:t>.</w:t>
      </w:r>
      <w:r w:rsidRPr="000B7687">
        <w:rPr>
          <w:rFonts w:cs="Arial"/>
          <w:color w:val="000000" w:themeColor="text1"/>
          <w:lang w:val="es-ES"/>
        </w:rPr>
        <w:t xml:space="preserve"> </w:t>
      </w:r>
      <w:r w:rsidR="00FF70C3" w:rsidRPr="00483BFD">
        <w:rPr>
          <w:rFonts w:cs="Arial"/>
          <w:bCs w:val="0"/>
          <w:color w:val="000000" w:themeColor="text1"/>
          <w:lang w:val="es-ES"/>
        </w:rPr>
        <w:t xml:space="preserve">Lo establecido en este artículo empezará a regir el </w:t>
      </w:r>
      <w:r w:rsidR="00FF70C3">
        <w:rPr>
          <w:rFonts w:cs="Arial"/>
          <w:bCs w:val="0"/>
          <w:color w:val="000000" w:themeColor="text1"/>
          <w:lang w:val="es-ES"/>
        </w:rPr>
        <w:t>1</w:t>
      </w:r>
      <w:r w:rsidR="00FF70C3" w:rsidRPr="00483BFD">
        <w:rPr>
          <w:rFonts w:cs="Arial"/>
          <w:color w:val="000000" w:themeColor="text1"/>
          <w:lang w:val="es-ES"/>
        </w:rPr>
        <w:t xml:space="preserve"> de </w:t>
      </w:r>
      <w:r w:rsidR="00FF70C3">
        <w:rPr>
          <w:rFonts w:cs="Arial"/>
          <w:color w:val="000000" w:themeColor="text1"/>
          <w:lang w:val="es-ES"/>
        </w:rPr>
        <w:t>abril d</w:t>
      </w:r>
      <w:r w:rsidR="00FF70C3" w:rsidRPr="00483BFD">
        <w:rPr>
          <w:rFonts w:cs="Arial"/>
          <w:color w:val="000000" w:themeColor="text1"/>
          <w:lang w:val="es-ES"/>
        </w:rPr>
        <w:t>e 201</w:t>
      </w:r>
      <w:r w:rsidR="00FF70C3">
        <w:rPr>
          <w:rFonts w:cs="Arial"/>
          <w:color w:val="000000" w:themeColor="text1"/>
          <w:lang w:val="es-ES"/>
        </w:rPr>
        <w:t>5</w:t>
      </w:r>
      <w:r w:rsidR="00FF70C3" w:rsidRPr="00483BFD">
        <w:rPr>
          <w:rFonts w:cs="Arial"/>
          <w:color w:val="000000" w:themeColor="text1"/>
          <w:lang w:val="es-ES"/>
        </w:rPr>
        <w:t>.</w:t>
      </w:r>
      <w:r w:rsidR="00FF70C3" w:rsidRPr="00483BFD">
        <w:rPr>
          <w:rFonts w:cs="Arial"/>
          <w:bCs w:val="0"/>
          <w:color w:val="000000" w:themeColor="text1"/>
          <w:lang w:val="es-ES"/>
        </w:rPr>
        <w:t xml:space="preserve"> Hasta ese momento se dará aplicación a lo pactado por los remitentes y los transportadores sobre la materia.</w:t>
      </w:r>
    </w:p>
    <w:p w:rsidR="00845203" w:rsidRDefault="00845203" w:rsidP="007F2304">
      <w:pPr>
        <w:pStyle w:val="ARTICULOS"/>
        <w:numPr>
          <w:ilvl w:val="0"/>
          <w:numId w:val="0"/>
        </w:numPr>
        <w:tabs>
          <w:tab w:val="left" w:pos="1560"/>
        </w:tabs>
        <w:rPr>
          <w:rFonts w:cs="Arial"/>
          <w:b/>
          <w:bCs w:val="0"/>
          <w:color w:val="000000" w:themeColor="text1"/>
          <w:lang w:val="es-CO"/>
        </w:rPr>
      </w:pPr>
    </w:p>
    <w:bookmarkEnd w:id="1"/>
    <w:bookmarkEnd w:id="2"/>
    <w:p w:rsidR="000D6E82" w:rsidRPr="000B7687" w:rsidRDefault="00E90EFF" w:rsidP="002764E2">
      <w:pPr>
        <w:ind w:left="0"/>
        <w:jc w:val="both"/>
        <w:rPr>
          <w:rFonts w:ascii="Bookman Old Style" w:hAnsi="Bookman Old Style"/>
          <w:color w:val="000000" w:themeColor="text1"/>
        </w:rPr>
      </w:pPr>
      <w:r w:rsidRPr="000B7687">
        <w:rPr>
          <w:rFonts w:ascii="Bookman Old Style" w:hAnsi="Bookman Old Style"/>
          <w:b/>
          <w:color w:val="000000" w:themeColor="text1"/>
        </w:rPr>
        <w:t xml:space="preserve">Artículo </w:t>
      </w:r>
      <w:r w:rsidR="00FF70C3">
        <w:rPr>
          <w:rFonts w:ascii="Bookman Old Style" w:hAnsi="Bookman Old Style"/>
          <w:b/>
          <w:color w:val="000000" w:themeColor="text1"/>
        </w:rPr>
        <w:t>2</w:t>
      </w:r>
      <w:r w:rsidR="000D6E82" w:rsidRPr="000B7687">
        <w:rPr>
          <w:rFonts w:ascii="Bookman Old Style" w:hAnsi="Bookman Old Style"/>
          <w:b/>
          <w:color w:val="000000" w:themeColor="text1"/>
        </w:rPr>
        <w:t>.</w:t>
      </w:r>
      <w:r w:rsidR="000D6E82" w:rsidRPr="000B7687">
        <w:rPr>
          <w:rFonts w:ascii="Bookman Old Style" w:hAnsi="Bookman Old Style"/>
          <w:color w:val="000000" w:themeColor="text1"/>
        </w:rPr>
        <w:t xml:space="preserve"> </w:t>
      </w:r>
      <w:r w:rsidR="000D6E82" w:rsidRPr="000B7687">
        <w:rPr>
          <w:rFonts w:ascii="Bookman Old Style" w:hAnsi="Bookman Old Style"/>
          <w:b/>
          <w:color w:val="000000" w:themeColor="text1"/>
        </w:rPr>
        <w:t>Derogatorias y Vigencia</w:t>
      </w:r>
      <w:r w:rsidR="000D6E82" w:rsidRPr="000B7687">
        <w:rPr>
          <w:rFonts w:ascii="Bookman Old Style" w:hAnsi="Bookman Old Style"/>
          <w:color w:val="000000" w:themeColor="text1"/>
        </w:rPr>
        <w:t xml:space="preserve">. La presente Resolución rige a partir de su publicación en el </w:t>
      </w:r>
      <w:r w:rsidR="000D6E82" w:rsidRPr="000B7687">
        <w:rPr>
          <w:rFonts w:ascii="Bookman Old Style" w:hAnsi="Bookman Old Style"/>
          <w:i/>
          <w:color w:val="000000" w:themeColor="text1"/>
        </w:rPr>
        <w:t>Diario Oficial</w:t>
      </w:r>
      <w:r w:rsidR="000D6E82" w:rsidRPr="000B7687">
        <w:rPr>
          <w:rFonts w:ascii="Bookman Old Style" w:hAnsi="Bookman Old Style"/>
          <w:color w:val="000000" w:themeColor="text1"/>
        </w:rPr>
        <w:t xml:space="preserve"> y deroga todas las disposiciones que le sean contrarias.</w:t>
      </w:r>
    </w:p>
    <w:p w:rsidR="0000654F" w:rsidRPr="000B7687" w:rsidRDefault="0000654F" w:rsidP="002764E2">
      <w:pPr>
        <w:ind w:left="0"/>
        <w:jc w:val="both"/>
        <w:rPr>
          <w:rFonts w:ascii="Bookman Old Style" w:hAnsi="Bookman Old Style"/>
          <w:color w:val="000000" w:themeColor="text1"/>
        </w:rPr>
      </w:pPr>
    </w:p>
    <w:p w:rsidR="0000654F" w:rsidRPr="000B7687" w:rsidRDefault="0000654F" w:rsidP="0000654F">
      <w:pPr>
        <w:ind w:left="0"/>
        <w:jc w:val="center"/>
        <w:rPr>
          <w:rFonts w:ascii="Bookman Old Style" w:hAnsi="Bookman Old Style"/>
          <w:b/>
        </w:rPr>
      </w:pPr>
      <w:r w:rsidRPr="000B7687">
        <w:rPr>
          <w:rFonts w:ascii="Bookman Old Style" w:hAnsi="Bookman Old Style"/>
          <w:b/>
        </w:rPr>
        <w:t>PUBLÍQUESE Y CÚMPLASE</w:t>
      </w:r>
    </w:p>
    <w:p w:rsidR="0000654F" w:rsidRPr="000B7687" w:rsidRDefault="0000654F" w:rsidP="002764E2">
      <w:pPr>
        <w:ind w:left="0"/>
        <w:jc w:val="both"/>
        <w:rPr>
          <w:rFonts w:ascii="Bookman Old Style" w:hAnsi="Bookman Old Style"/>
          <w:color w:val="000000" w:themeColor="text1"/>
        </w:rPr>
      </w:pPr>
    </w:p>
    <w:p w:rsidR="002764E2" w:rsidRPr="000B7687" w:rsidRDefault="002764E2" w:rsidP="002764E2">
      <w:pPr>
        <w:ind w:left="0"/>
        <w:jc w:val="both"/>
        <w:rPr>
          <w:rFonts w:ascii="Bookman Old Style" w:hAnsi="Bookman Old Style"/>
          <w:color w:val="000000" w:themeColor="text1"/>
        </w:rPr>
      </w:pPr>
      <w:r w:rsidRPr="000B7687">
        <w:rPr>
          <w:rFonts w:ascii="Bookman Old Style" w:hAnsi="Bookman Old Style"/>
          <w:color w:val="000000" w:themeColor="text1"/>
        </w:rPr>
        <w:t>Firma del proyecto</w:t>
      </w:r>
      <w:r w:rsidR="000B7687">
        <w:rPr>
          <w:rFonts w:ascii="Bookman Old Style" w:hAnsi="Bookman Old Style"/>
          <w:color w:val="000000" w:themeColor="text1"/>
        </w:rPr>
        <w:t>,</w:t>
      </w:r>
    </w:p>
    <w:p w:rsidR="000D6E82" w:rsidRPr="000B7687" w:rsidRDefault="000D6E82" w:rsidP="005B1078">
      <w:pPr>
        <w:ind w:left="0"/>
        <w:jc w:val="center"/>
        <w:rPr>
          <w:rFonts w:ascii="Bookman Old Style" w:hAnsi="Bookman Old Style"/>
          <w:color w:val="000000" w:themeColor="text1"/>
        </w:rPr>
      </w:pPr>
    </w:p>
    <w:p w:rsidR="00F4752D" w:rsidRDefault="00F4752D" w:rsidP="005B1078">
      <w:pPr>
        <w:ind w:left="0"/>
        <w:jc w:val="center"/>
        <w:rPr>
          <w:rFonts w:ascii="Bookman Old Style" w:hAnsi="Bookman Old Style"/>
          <w:color w:val="000000" w:themeColor="text1"/>
        </w:rPr>
      </w:pPr>
    </w:p>
    <w:p w:rsidR="00FF70C3" w:rsidRPr="000B7687" w:rsidRDefault="00FF70C3" w:rsidP="005B1078">
      <w:pPr>
        <w:ind w:left="0"/>
        <w:jc w:val="center"/>
        <w:rPr>
          <w:rFonts w:ascii="Bookman Old Style" w:hAnsi="Bookman Old Style"/>
          <w:color w:val="000000" w:themeColor="text1"/>
        </w:rPr>
      </w:pPr>
    </w:p>
    <w:p w:rsidR="00EE3106" w:rsidRDefault="00EE3106" w:rsidP="005B1078">
      <w:pPr>
        <w:pStyle w:val="Textoindependiente"/>
        <w:ind w:left="0"/>
        <w:rPr>
          <w:rFonts w:ascii="Bookman Old Style" w:hAnsi="Bookman Old Style"/>
          <w:color w:val="000000" w:themeColor="text1"/>
          <w:lang w:val="es-CO"/>
        </w:rPr>
      </w:pPr>
    </w:p>
    <w:tbl>
      <w:tblPr>
        <w:tblW w:w="9761" w:type="dxa"/>
        <w:jc w:val="right"/>
        <w:tblLayout w:type="fixed"/>
        <w:tblCellMar>
          <w:left w:w="70" w:type="dxa"/>
          <w:right w:w="70" w:type="dxa"/>
        </w:tblCellMar>
        <w:tblLook w:val="0000" w:firstRow="0" w:lastRow="0" w:firstColumn="0" w:lastColumn="0" w:noHBand="0" w:noVBand="0"/>
      </w:tblPr>
      <w:tblGrid>
        <w:gridCol w:w="4503"/>
        <w:gridCol w:w="5258"/>
      </w:tblGrid>
      <w:tr w:rsidR="004A0407" w:rsidRPr="000B7687" w:rsidTr="004A0407">
        <w:trPr>
          <w:jc w:val="right"/>
        </w:trPr>
        <w:tc>
          <w:tcPr>
            <w:tcW w:w="4503" w:type="dxa"/>
          </w:tcPr>
          <w:p w:rsidR="004A0407" w:rsidRPr="000B7687" w:rsidRDefault="00FF70C3" w:rsidP="00FF70C3">
            <w:pPr>
              <w:ind w:left="0" w:firstLine="118"/>
              <w:jc w:val="center"/>
              <w:rPr>
                <w:rFonts w:ascii="Bookman Old Style" w:hAnsi="Bookman Old Style" w:cs="Arial"/>
                <w:b/>
                <w:spacing w:val="-3"/>
                <w:lang w:val="es-ES_tradnl"/>
              </w:rPr>
            </w:pPr>
            <w:r>
              <w:rPr>
                <w:rFonts w:ascii="Bookman Old Style" w:hAnsi="Bookman Old Style" w:cs="Arial"/>
                <w:b/>
                <w:spacing w:val="-3"/>
              </w:rPr>
              <w:t xml:space="preserve">TOMÁS GONZÁLEZ ESTRADA </w:t>
            </w:r>
          </w:p>
        </w:tc>
        <w:tc>
          <w:tcPr>
            <w:tcW w:w="5258" w:type="dxa"/>
          </w:tcPr>
          <w:p w:rsidR="004A0407" w:rsidRPr="000B7687" w:rsidRDefault="00FF70C3" w:rsidP="00FF70C3">
            <w:pPr>
              <w:ind w:left="0"/>
              <w:jc w:val="center"/>
              <w:rPr>
                <w:rFonts w:ascii="Bookman Old Style" w:hAnsi="Bookman Old Style" w:cs="Arial"/>
                <w:b/>
                <w:spacing w:val="-3"/>
                <w:lang w:val="es-ES_tradnl"/>
              </w:rPr>
            </w:pPr>
            <w:r>
              <w:rPr>
                <w:rFonts w:ascii="Bookman Old Style" w:hAnsi="Bookman Old Style" w:cs="Arial"/>
                <w:b/>
                <w:spacing w:val="-3"/>
                <w:lang w:val="es-ES_tradnl"/>
              </w:rPr>
              <w:t>JORGE PINTO NOLLA</w:t>
            </w:r>
          </w:p>
        </w:tc>
      </w:tr>
      <w:tr w:rsidR="004A0407" w:rsidRPr="000B7687" w:rsidTr="004A0407">
        <w:trPr>
          <w:jc w:val="right"/>
        </w:trPr>
        <w:tc>
          <w:tcPr>
            <w:tcW w:w="4503" w:type="dxa"/>
          </w:tcPr>
          <w:p w:rsidR="004A0407" w:rsidRPr="000B7687" w:rsidRDefault="004A0407" w:rsidP="006439CF">
            <w:pPr>
              <w:ind w:left="0"/>
              <w:jc w:val="center"/>
              <w:rPr>
                <w:rFonts w:ascii="Bookman Old Style" w:hAnsi="Bookman Old Style" w:cs="Arial"/>
                <w:spacing w:val="-3"/>
                <w:lang w:val="es-ES_tradnl"/>
              </w:rPr>
            </w:pPr>
            <w:r w:rsidRPr="000B7687">
              <w:rPr>
                <w:rFonts w:ascii="Bookman Old Style" w:hAnsi="Bookman Old Style" w:cs="Arial"/>
                <w:spacing w:val="-3"/>
                <w:lang w:val="es-ES_tradnl"/>
              </w:rPr>
              <w:t>Ministro de Minas y Energía</w:t>
            </w:r>
          </w:p>
        </w:tc>
        <w:tc>
          <w:tcPr>
            <w:tcW w:w="5258" w:type="dxa"/>
          </w:tcPr>
          <w:p w:rsidR="004A0407" w:rsidRPr="000B7687" w:rsidRDefault="004A0407" w:rsidP="006439CF">
            <w:pPr>
              <w:ind w:left="0"/>
              <w:jc w:val="center"/>
              <w:rPr>
                <w:rFonts w:ascii="Bookman Old Style" w:hAnsi="Bookman Old Style" w:cs="Arial"/>
                <w:spacing w:val="-3"/>
                <w:lang w:val="es-ES_tradnl"/>
              </w:rPr>
            </w:pPr>
            <w:r w:rsidRPr="000B7687">
              <w:rPr>
                <w:rFonts w:ascii="Bookman Old Style" w:hAnsi="Bookman Old Style" w:cs="Arial"/>
                <w:spacing w:val="-3"/>
                <w:lang w:val="es-ES_tradnl"/>
              </w:rPr>
              <w:t>Director Ejecutivo</w:t>
            </w:r>
          </w:p>
        </w:tc>
      </w:tr>
      <w:tr w:rsidR="004A0407" w:rsidRPr="000B7687" w:rsidTr="004A0407">
        <w:trPr>
          <w:jc w:val="right"/>
        </w:trPr>
        <w:tc>
          <w:tcPr>
            <w:tcW w:w="4503" w:type="dxa"/>
          </w:tcPr>
          <w:p w:rsidR="004A0407" w:rsidRPr="000B7687" w:rsidRDefault="004A0407" w:rsidP="004A0407">
            <w:pPr>
              <w:ind w:left="0"/>
              <w:jc w:val="center"/>
              <w:rPr>
                <w:rFonts w:ascii="Bookman Old Style" w:hAnsi="Bookman Old Style" w:cs="Arial"/>
                <w:spacing w:val="-3"/>
              </w:rPr>
            </w:pPr>
            <w:r w:rsidRPr="000B7687">
              <w:rPr>
                <w:rFonts w:ascii="Bookman Old Style" w:hAnsi="Bookman Old Style" w:cs="Arial"/>
                <w:spacing w:val="-3"/>
              </w:rPr>
              <w:t>Presidente</w:t>
            </w:r>
          </w:p>
        </w:tc>
        <w:tc>
          <w:tcPr>
            <w:tcW w:w="5258" w:type="dxa"/>
          </w:tcPr>
          <w:p w:rsidR="004A0407" w:rsidRPr="000B7687" w:rsidRDefault="004A0407" w:rsidP="006439CF">
            <w:pPr>
              <w:ind w:left="0"/>
              <w:jc w:val="center"/>
              <w:rPr>
                <w:rFonts w:ascii="Bookman Old Style" w:hAnsi="Bookman Old Style" w:cs="Arial"/>
                <w:spacing w:val="-3"/>
              </w:rPr>
            </w:pPr>
          </w:p>
        </w:tc>
      </w:tr>
    </w:tbl>
    <w:p w:rsidR="00EE3106" w:rsidRPr="000B7687" w:rsidRDefault="00EE3106" w:rsidP="004A0407">
      <w:pPr>
        <w:tabs>
          <w:tab w:val="left" w:pos="1478"/>
        </w:tabs>
        <w:ind w:left="0"/>
        <w:rPr>
          <w:rFonts w:ascii="Bookman Old Style" w:hAnsi="Bookman Old Style" w:cs="Arial"/>
          <w:color w:val="000000" w:themeColor="text1"/>
        </w:rPr>
      </w:pPr>
    </w:p>
    <w:sectPr w:rsidR="00EE3106" w:rsidRPr="000B7687" w:rsidSect="00E002CC">
      <w:headerReference w:type="default" r:id="rId10"/>
      <w:headerReference w:type="first" r:id="rId11"/>
      <w:type w:val="continuous"/>
      <w:pgSz w:w="12247" w:h="18705" w:code="121"/>
      <w:pgMar w:top="2342"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7584" w:rsidRDefault="008E7584">
      <w:r>
        <w:separator/>
      </w:r>
    </w:p>
  </w:endnote>
  <w:endnote w:type="continuationSeparator" w:id="0">
    <w:p w:rsidR="008E7584" w:rsidRDefault="008E75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7584" w:rsidRDefault="008E7584">
      <w:r>
        <w:separator/>
      </w:r>
    </w:p>
  </w:footnote>
  <w:footnote w:type="continuationSeparator" w:id="0">
    <w:p w:rsidR="008E7584" w:rsidRDefault="008E75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70C3" w:rsidRDefault="00FF70C3" w:rsidP="00951F79">
    <w:pPr>
      <w:pStyle w:val="Ttulo1"/>
      <w:ind w:right="6"/>
      <w:jc w:val="left"/>
      <w:rPr>
        <w:rFonts w:ascii="Bookman Old Style" w:hAnsi="Bookman Old Style" w:cs="Arial"/>
        <w:b w:val="0"/>
        <w:sz w:val="22"/>
        <w:szCs w:val="22"/>
      </w:rPr>
    </w:pPr>
  </w:p>
  <w:p w:rsidR="00FF70C3" w:rsidRPr="00951F79" w:rsidRDefault="00FF70C3"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2C54AC">
      <w:rPr>
        <w:rFonts w:ascii="Bookman Old Style" w:hAnsi="Bookman Old Style" w:cs="Arial"/>
        <w:b w:val="0"/>
        <w:noProof/>
        <w:sz w:val="22"/>
        <w:szCs w:val="22"/>
      </w:rPr>
      <w:t>4</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r w:rsidR="002C54AC">
      <w:fldChar w:fldCharType="begin"/>
    </w:r>
    <w:r w:rsidR="002C54AC">
      <w:instrText xml:space="preserve"> NUMPAGES  \* MERGEFORMAT </w:instrText>
    </w:r>
    <w:r w:rsidR="002C54AC">
      <w:fldChar w:fldCharType="separate"/>
    </w:r>
    <w:r w:rsidR="002C54AC" w:rsidRPr="002C54AC">
      <w:rPr>
        <w:rFonts w:ascii="Bookman Old Style" w:hAnsi="Bookman Old Style" w:cs="Arial"/>
        <w:b w:val="0"/>
        <w:noProof/>
        <w:sz w:val="22"/>
        <w:szCs w:val="22"/>
      </w:rPr>
      <w:t>4</w:t>
    </w:r>
    <w:r w:rsidR="002C54AC">
      <w:rPr>
        <w:rFonts w:ascii="Bookman Old Style" w:hAnsi="Bookman Old Style" w:cs="Arial"/>
        <w:b w:val="0"/>
        <w:noProof/>
        <w:sz w:val="22"/>
        <w:szCs w:val="22"/>
      </w:rPr>
      <w:fldChar w:fldCharType="end"/>
    </w:r>
  </w:p>
  <w:p w:rsidR="00FF70C3" w:rsidRDefault="00FF70C3"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0700B44F" wp14:editId="4111EBC7">
              <wp:simplePos x="0" y="0"/>
              <wp:positionH relativeFrom="column">
                <wp:posOffset>-175260</wp:posOffset>
              </wp:positionH>
              <wp:positionV relativeFrom="paragraph">
                <wp:posOffset>139065</wp:posOffset>
              </wp:positionV>
              <wp:extent cx="6267450" cy="9900920"/>
              <wp:effectExtent l="0" t="0" r="19050" b="2413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FF70C3" w:rsidRPr="000B7687" w:rsidRDefault="00FF70C3" w:rsidP="000B7687">
    <w:pPr>
      <w:pBdr>
        <w:bottom w:val="single" w:sz="4" w:space="11" w:color="auto"/>
      </w:pBdr>
      <w:ind w:left="142" w:right="147"/>
      <w:jc w:val="both"/>
      <w:rPr>
        <w:rFonts w:ascii="Bookman Old Style" w:hAnsi="Bookman Old Style" w:cs="Arial"/>
        <w:b/>
        <w:bCs/>
        <w:color w:val="000000" w:themeColor="text1"/>
        <w:sz w:val="22"/>
        <w:szCs w:val="22"/>
        <w:lang w:eastAsia="es-CO"/>
      </w:rPr>
    </w:pPr>
    <w:r w:rsidRPr="000B7687">
      <w:rPr>
        <w:rFonts w:ascii="Bookman Old Style" w:hAnsi="Bookman Old Style"/>
        <w:sz w:val="22"/>
        <w:szCs w:val="22"/>
      </w:rPr>
      <w:t>Por la cual se ordena hacer público un proyecto de resolución de carácter general, “</w:t>
    </w:r>
    <w:r w:rsidRPr="00E418EA">
      <w:rPr>
        <w:rFonts w:ascii="Bookman Old Style" w:hAnsi="Bookman Old Style" w:cs="Arial"/>
        <w:color w:val="000000" w:themeColor="text1"/>
        <w:lang w:eastAsia="es-CO"/>
      </w:rPr>
      <w:t xml:space="preserve">Por la cual se modifica </w:t>
    </w:r>
    <w:r>
      <w:rPr>
        <w:rFonts w:ascii="Bookman Old Style" w:hAnsi="Bookman Old Style" w:cs="Arial"/>
        <w:color w:val="000000" w:themeColor="text1"/>
        <w:lang w:eastAsia="es-CO"/>
      </w:rPr>
      <w:t>el parágrafo 4 del artículo 54 de la</w:t>
    </w:r>
    <w:r w:rsidRPr="00E418EA">
      <w:rPr>
        <w:rFonts w:ascii="Bookman Old Style" w:hAnsi="Bookman Old Style" w:cs="Arial"/>
        <w:color w:val="000000" w:themeColor="text1"/>
        <w:lang w:eastAsia="es-CO"/>
      </w:rPr>
      <w:t xml:space="preserve"> Resolución CREG 089 de 2013</w:t>
    </w:r>
    <w:r w:rsidRPr="000B7687">
      <w:rPr>
        <w:rFonts w:ascii="Bookman Old Style" w:hAnsi="Bookman Old Style" w:cs="Arial"/>
        <w:color w:val="000000" w:themeColor="text1"/>
        <w:sz w:val="22"/>
        <w:szCs w:val="22"/>
        <w:lang w:eastAsia="es-CO"/>
      </w:rPr>
      <w: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70C3" w:rsidRDefault="00FF70C3"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FF70C3" w:rsidRDefault="00FF70C3">
    <w:pPr>
      <w:pStyle w:val="Encabezado"/>
      <w:jc w:val="center"/>
      <w:rPr>
        <w:rFonts w:ascii="Arial" w:hAnsi="Arial" w:cs="Arial"/>
        <w:spacing w:val="20"/>
        <w:sz w:val="20"/>
      </w:rPr>
    </w:pPr>
  </w:p>
  <w:p w:rsidR="00FF70C3" w:rsidRDefault="00FF70C3" w:rsidP="00CA77FB">
    <w:pPr>
      <w:pStyle w:val="Encabezado"/>
      <w:jc w:val="center"/>
    </w:pPr>
    <w:r>
      <w:rPr>
        <w:noProof/>
        <w:lang w:eastAsia="es-CO"/>
      </w:rPr>
      <mc:AlternateContent>
        <mc:Choice Requires="wps">
          <w:drawing>
            <wp:anchor distT="0" distB="0" distL="114300" distR="114300" simplePos="0" relativeHeight="251658240" behindDoc="0" locked="0" layoutInCell="1" allowOverlap="1" wp14:anchorId="2AB8998F" wp14:editId="06E7C809">
              <wp:simplePos x="0" y="0"/>
              <wp:positionH relativeFrom="column">
                <wp:posOffset>-213360</wp:posOffset>
              </wp:positionH>
              <wp:positionV relativeFrom="paragraph">
                <wp:posOffset>377190</wp:posOffset>
              </wp:positionV>
              <wp:extent cx="6343650" cy="9839325"/>
              <wp:effectExtent l="0" t="0" r="19050" b="285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6265B"/>
    <w:multiLevelType w:val="hybridMultilevel"/>
    <w:tmpl w:val="62A2459A"/>
    <w:lvl w:ilvl="0" w:tplc="240A0017">
      <w:start w:val="1"/>
      <w:numFmt w:val="lowerLetter"/>
      <w:lvlText w:val="%1)"/>
      <w:lvlJc w:val="left"/>
      <w:pPr>
        <w:ind w:left="1844" w:hanging="360"/>
      </w:pPr>
    </w:lvl>
    <w:lvl w:ilvl="1" w:tplc="240A0019" w:tentative="1">
      <w:start w:val="1"/>
      <w:numFmt w:val="lowerLetter"/>
      <w:lvlText w:val="%2."/>
      <w:lvlJc w:val="left"/>
      <w:pPr>
        <w:ind w:left="2564" w:hanging="360"/>
      </w:pPr>
    </w:lvl>
    <w:lvl w:ilvl="2" w:tplc="240A001B" w:tentative="1">
      <w:start w:val="1"/>
      <w:numFmt w:val="lowerRoman"/>
      <w:lvlText w:val="%3."/>
      <w:lvlJc w:val="right"/>
      <w:pPr>
        <w:ind w:left="3284" w:hanging="180"/>
      </w:pPr>
    </w:lvl>
    <w:lvl w:ilvl="3" w:tplc="240A000F" w:tentative="1">
      <w:start w:val="1"/>
      <w:numFmt w:val="decimal"/>
      <w:lvlText w:val="%4."/>
      <w:lvlJc w:val="left"/>
      <w:pPr>
        <w:ind w:left="4004" w:hanging="360"/>
      </w:pPr>
    </w:lvl>
    <w:lvl w:ilvl="4" w:tplc="240A0019" w:tentative="1">
      <w:start w:val="1"/>
      <w:numFmt w:val="lowerLetter"/>
      <w:lvlText w:val="%5."/>
      <w:lvlJc w:val="left"/>
      <w:pPr>
        <w:ind w:left="4724" w:hanging="360"/>
      </w:pPr>
    </w:lvl>
    <w:lvl w:ilvl="5" w:tplc="240A001B" w:tentative="1">
      <w:start w:val="1"/>
      <w:numFmt w:val="lowerRoman"/>
      <w:lvlText w:val="%6."/>
      <w:lvlJc w:val="right"/>
      <w:pPr>
        <w:ind w:left="5444" w:hanging="180"/>
      </w:pPr>
    </w:lvl>
    <w:lvl w:ilvl="6" w:tplc="240A000F" w:tentative="1">
      <w:start w:val="1"/>
      <w:numFmt w:val="decimal"/>
      <w:lvlText w:val="%7."/>
      <w:lvlJc w:val="left"/>
      <w:pPr>
        <w:ind w:left="6164" w:hanging="360"/>
      </w:pPr>
    </w:lvl>
    <w:lvl w:ilvl="7" w:tplc="240A0019" w:tentative="1">
      <w:start w:val="1"/>
      <w:numFmt w:val="lowerLetter"/>
      <w:lvlText w:val="%8."/>
      <w:lvlJc w:val="left"/>
      <w:pPr>
        <w:ind w:left="6884" w:hanging="360"/>
      </w:pPr>
    </w:lvl>
    <w:lvl w:ilvl="8" w:tplc="240A001B" w:tentative="1">
      <w:start w:val="1"/>
      <w:numFmt w:val="lowerRoman"/>
      <w:lvlText w:val="%9."/>
      <w:lvlJc w:val="right"/>
      <w:pPr>
        <w:ind w:left="7604" w:hanging="180"/>
      </w:pPr>
    </w:lvl>
  </w:abstractNum>
  <w:abstractNum w:abstractNumId="1">
    <w:nsid w:val="03061BFF"/>
    <w:multiLevelType w:val="multilevel"/>
    <w:tmpl w:val="D16E102A"/>
    <w:lvl w:ilvl="0">
      <w:start w:val="1"/>
      <w:numFmt w:val="decimal"/>
      <w:pStyle w:val="Estilo2"/>
      <w:lvlText w:val="Artículo %1."/>
      <w:lvlJc w:val="left"/>
      <w:pPr>
        <w:tabs>
          <w:tab w:val="num" w:pos="5126"/>
        </w:tabs>
        <w:ind w:left="3686" w:firstLine="0"/>
      </w:pPr>
      <w:rPr>
        <w:rFonts w:hint="default"/>
        <w:b/>
        <w:i w:val="0"/>
      </w:rPr>
    </w:lvl>
    <w:lvl w:ilvl="1">
      <w:start w:val="1"/>
      <w:numFmt w:val="lowerLetter"/>
      <w:lvlText w:val="%2)"/>
      <w:lvlJc w:val="left"/>
      <w:pPr>
        <w:ind w:left="1455" w:hanging="375"/>
      </w:pPr>
      <w:rPr>
        <w:rFonts w:hint="default"/>
      </w:rPr>
    </w:lvl>
    <w:lvl w:ilvl="2" w:tentative="1">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
    <w:nsid w:val="06A34C72"/>
    <w:multiLevelType w:val="hybridMultilevel"/>
    <w:tmpl w:val="3F249996"/>
    <w:lvl w:ilvl="0" w:tplc="A726E686">
      <w:start w:val="6"/>
      <w:numFmt w:val="decimal"/>
      <w:lvlText w:val="%1."/>
      <w:lvlJc w:val="left"/>
      <w:pPr>
        <w:ind w:left="9149" w:hanging="360"/>
      </w:pPr>
      <w:rPr>
        <w:rFonts w:hint="default"/>
        <w:b/>
      </w:rPr>
    </w:lvl>
    <w:lvl w:ilvl="1" w:tplc="0C0A0019">
      <w:start w:val="1"/>
      <w:numFmt w:val="lowerLetter"/>
      <w:lvlText w:val="%2."/>
      <w:lvlJc w:val="left"/>
      <w:pPr>
        <w:ind w:left="9869" w:hanging="360"/>
      </w:pPr>
    </w:lvl>
    <w:lvl w:ilvl="2" w:tplc="0C0A001B">
      <w:start w:val="1"/>
      <w:numFmt w:val="lowerRoman"/>
      <w:lvlText w:val="%3."/>
      <w:lvlJc w:val="right"/>
      <w:pPr>
        <w:ind w:left="10589" w:hanging="180"/>
      </w:pPr>
    </w:lvl>
    <w:lvl w:ilvl="3" w:tplc="0C0A000F" w:tentative="1">
      <w:start w:val="1"/>
      <w:numFmt w:val="decimal"/>
      <w:lvlText w:val="%4."/>
      <w:lvlJc w:val="left"/>
      <w:pPr>
        <w:ind w:left="11309" w:hanging="360"/>
      </w:pPr>
    </w:lvl>
    <w:lvl w:ilvl="4" w:tplc="0C0A0019" w:tentative="1">
      <w:start w:val="1"/>
      <w:numFmt w:val="lowerLetter"/>
      <w:lvlText w:val="%5."/>
      <w:lvlJc w:val="left"/>
      <w:pPr>
        <w:ind w:left="12029" w:hanging="360"/>
      </w:pPr>
    </w:lvl>
    <w:lvl w:ilvl="5" w:tplc="0C0A001B" w:tentative="1">
      <w:start w:val="1"/>
      <w:numFmt w:val="lowerRoman"/>
      <w:lvlText w:val="%6."/>
      <w:lvlJc w:val="right"/>
      <w:pPr>
        <w:ind w:left="12749" w:hanging="180"/>
      </w:pPr>
    </w:lvl>
    <w:lvl w:ilvl="6" w:tplc="0C0A000F" w:tentative="1">
      <w:start w:val="1"/>
      <w:numFmt w:val="decimal"/>
      <w:lvlText w:val="%7."/>
      <w:lvlJc w:val="left"/>
      <w:pPr>
        <w:ind w:left="13469" w:hanging="360"/>
      </w:pPr>
    </w:lvl>
    <w:lvl w:ilvl="7" w:tplc="0C0A0019" w:tentative="1">
      <w:start w:val="1"/>
      <w:numFmt w:val="lowerLetter"/>
      <w:lvlText w:val="%8."/>
      <w:lvlJc w:val="left"/>
      <w:pPr>
        <w:ind w:left="14189" w:hanging="360"/>
      </w:pPr>
    </w:lvl>
    <w:lvl w:ilvl="8" w:tplc="0C0A001B" w:tentative="1">
      <w:start w:val="1"/>
      <w:numFmt w:val="lowerRoman"/>
      <w:lvlText w:val="%9."/>
      <w:lvlJc w:val="right"/>
      <w:pPr>
        <w:ind w:left="14909" w:hanging="180"/>
      </w:pPr>
    </w:lvl>
  </w:abstractNum>
  <w:abstractNum w:abstractNumId="3">
    <w:nsid w:val="121867E5"/>
    <w:multiLevelType w:val="hybridMultilevel"/>
    <w:tmpl w:val="3DD2F004"/>
    <w:lvl w:ilvl="0" w:tplc="53A68754">
      <w:start w:val="1"/>
      <w:numFmt w:val="lowerRoman"/>
      <w:lvlText w:val="%1."/>
      <w:lvlJc w:val="left"/>
      <w:pPr>
        <w:ind w:left="1854" w:hanging="360"/>
      </w:pPr>
      <w:rPr>
        <w:rFonts w:hint="default"/>
      </w:rPr>
    </w:lvl>
    <w:lvl w:ilvl="1" w:tplc="240A0019" w:tentative="1">
      <w:start w:val="1"/>
      <w:numFmt w:val="lowerLetter"/>
      <w:lvlText w:val="%2."/>
      <w:lvlJc w:val="left"/>
      <w:pPr>
        <w:ind w:left="2574" w:hanging="360"/>
      </w:pPr>
    </w:lvl>
    <w:lvl w:ilvl="2" w:tplc="240A001B" w:tentative="1">
      <w:start w:val="1"/>
      <w:numFmt w:val="lowerRoman"/>
      <w:lvlText w:val="%3."/>
      <w:lvlJc w:val="right"/>
      <w:pPr>
        <w:ind w:left="3294" w:hanging="180"/>
      </w:pPr>
    </w:lvl>
    <w:lvl w:ilvl="3" w:tplc="240A000F" w:tentative="1">
      <w:start w:val="1"/>
      <w:numFmt w:val="decimal"/>
      <w:lvlText w:val="%4."/>
      <w:lvlJc w:val="left"/>
      <w:pPr>
        <w:ind w:left="4014" w:hanging="360"/>
      </w:pPr>
    </w:lvl>
    <w:lvl w:ilvl="4" w:tplc="240A0019" w:tentative="1">
      <w:start w:val="1"/>
      <w:numFmt w:val="lowerLetter"/>
      <w:lvlText w:val="%5."/>
      <w:lvlJc w:val="left"/>
      <w:pPr>
        <w:ind w:left="4734" w:hanging="360"/>
      </w:pPr>
    </w:lvl>
    <w:lvl w:ilvl="5" w:tplc="240A001B" w:tentative="1">
      <w:start w:val="1"/>
      <w:numFmt w:val="lowerRoman"/>
      <w:lvlText w:val="%6."/>
      <w:lvlJc w:val="right"/>
      <w:pPr>
        <w:ind w:left="5454" w:hanging="180"/>
      </w:pPr>
    </w:lvl>
    <w:lvl w:ilvl="6" w:tplc="240A000F" w:tentative="1">
      <w:start w:val="1"/>
      <w:numFmt w:val="decimal"/>
      <w:lvlText w:val="%7."/>
      <w:lvlJc w:val="left"/>
      <w:pPr>
        <w:ind w:left="6174" w:hanging="360"/>
      </w:pPr>
    </w:lvl>
    <w:lvl w:ilvl="7" w:tplc="240A0019" w:tentative="1">
      <w:start w:val="1"/>
      <w:numFmt w:val="lowerLetter"/>
      <w:lvlText w:val="%8."/>
      <w:lvlJc w:val="left"/>
      <w:pPr>
        <w:ind w:left="6894" w:hanging="360"/>
      </w:pPr>
    </w:lvl>
    <w:lvl w:ilvl="8" w:tplc="240A001B" w:tentative="1">
      <w:start w:val="1"/>
      <w:numFmt w:val="lowerRoman"/>
      <w:lvlText w:val="%9."/>
      <w:lvlJc w:val="right"/>
      <w:pPr>
        <w:ind w:left="7614" w:hanging="180"/>
      </w:pPr>
    </w:lvl>
  </w:abstractNum>
  <w:abstractNum w:abstractNumId="4">
    <w:nsid w:val="14966A66"/>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5">
    <w:nsid w:val="1F414540"/>
    <w:multiLevelType w:val="hybridMultilevel"/>
    <w:tmpl w:val="2A66EA86"/>
    <w:lvl w:ilvl="0" w:tplc="9D2E79FC">
      <w:start w:val="1"/>
      <w:numFmt w:val="decimal"/>
      <w:lvlText w:val="%1."/>
      <w:lvlJc w:val="left"/>
      <w:pPr>
        <w:ind w:left="1069" w:hanging="360"/>
      </w:pPr>
      <w:rPr>
        <w:rFonts w:hint="default"/>
      </w:rPr>
    </w:lvl>
    <w:lvl w:ilvl="1" w:tplc="240A0019" w:tentative="1">
      <w:start w:val="1"/>
      <w:numFmt w:val="lowerLetter"/>
      <w:lvlText w:val="%2."/>
      <w:lvlJc w:val="left"/>
      <w:pPr>
        <w:ind w:left="1789" w:hanging="360"/>
      </w:pPr>
    </w:lvl>
    <w:lvl w:ilvl="2" w:tplc="240A001B" w:tentative="1">
      <w:start w:val="1"/>
      <w:numFmt w:val="lowerRoman"/>
      <w:lvlText w:val="%3."/>
      <w:lvlJc w:val="right"/>
      <w:pPr>
        <w:ind w:left="2509" w:hanging="180"/>
      </w:pPr>
    </w:lvl>
    <w:lvl w:ilvl="3" w:tplc="240A000F" w:tentative="1">
      <w:start w:val="1"/>
      <w:numFmt w:val="decimal"/>
      <w:lvlText w:val="%4."/>
      <w:lvlJc w:val="left"/>
      <w:pPr>
        <w:ind w:left="3229" w:hanging="360"/>
      </w:pPr>
    </w:lvl>
    <w:lvl w:ilvl="4" w:tplc="240A0019" w:tentative="1">
      <w:start w:val="1"/>
      <w:numFmt w:val="lowerLetter"/>
      <w:lvlText w:val="%5."/>
      <w:lvlJc w:val="left"/>
      <w:pPr>
        <w:ind w:left="3949" w:hanging="360"/>
      </w:pPr>
    </w:lvl>
    <w:lvl w:ilvl="5" w:tplc="240A001B" w:tentative="1">
      <w:start w:val="1"/>
      <w:numFmt w:val="lowerRoman"/>
      <w:lvlText w:val="%6."/>
      <w:lvlJc w:val="right"/>
      <w:pPr>
        <w:ind w:left="4669" w:hanging="180"/>
      </w:pPr>
    </w:lvl>
    <w:lvl w:ilvl="6" w:tplc="240A000F" w:tentative="1">
      <w:start w:val="1"/>
      <w:numFmt w:val="decimal"/>
      <w:lvlText w:val="%7."/>
      <w:lvlJc w:val="left"/>
      <w:pPr>
        <w:ind w:left="5389" w:hanging="360"/>
      </w:pPr>
    </w:lvl>
    <w:lvl w:ilvl="7" w:tplc="240A0019" w:tentative="1">
      <w:start w:val="1"/>
      <w:numFmt w:val="lowerLetter"/>
      <w:lvlText w:val="%8."/>
      <w:lvlJc w:val="left"/>
      <w:pPr>
        <w:ind w:left="6109" w:hanging="360"/>
      </w:pPr>
    </w:lvl>
    <w:lvl w:ilvl="8" w:tplc="240A001B" w:tentative="1">
      <w:start w:val="1"/>
      <w:numFmt w:val="lowerRoman"/>
      <w:lvlText w:val="%9."/>
      <w:lvlJc w:val="right"/>
      <w:pPr>
        <w:ind w:left="6829" w:hanging="180"/>
      </w:pPr>
    </w:lvl>
  </w:abstractNum>
  <w:abstractNum w:abstractNumId="6">
    <w:nsid w:val="24C41E32"/>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7">
    <w:nsid w:val="2A176577"/>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8">
    <w:nsid w:val="2A873983"/>
    <w:multiLevelType w:val="hybridMultilevel"/>
    <w:tmpl w:val="87DA18E2"/>
    <w:lvl w:ilvl="0" w:tplc="FAB0DFDA">
      <w:start w:val="1"/>
      <w:numFmt w:val="lowerRoman"/>
      <w:lvlText w:val="%1."/>
      <w:lvlJc w:val="left"/>
      <w:pPr>
        <w:ind w:left="2360" w:hanging="360"/>
      </w:pPr>
      <w:rPr>
        <w:rFonts w:hint="default"/>
        <w:sz w:val="22"/>
        <w:szCs w:val="22"/>
      </w:rPr>
    </w:lvl>
    <w:lvl w:ilvl="1" w:tplc="240A0019" w:tentative="1">
      <w:start w:val="1"/>
      <w:numFmt w:val="lowerLetter"/>
      <w:lvlText w:val="%2."/>
      <w:lvlJc w:val="left"/>
      <w:pPr>
        <w:ind w:left="3080" w:hanging="360"/>
      </w:pPr>
    </w:lvl>
    <w:lvl w:ilvl="2" w:tplc="240A001B" w:tentative="1">
      <w:start w:val="1"/>
      <w:numFmt w:val="lowerRoman"/>
      <w:lvlText w:val="%3."/>
      <w:lvlJc w:val="right"/>
      <w:pPr>
        <w:ind w:left="3800" w:hanging="180"/>
      </w:pPr>
    </w:lvl>
    <w:lvl w:ilvl="3" w:tplc="240A000F" w:tentative="1">
      <w:start w:val="1"/>
      <w:numFmt w:val="decimal"/>
      <w:lvlText w:val="%4."/>
      <w:lvlJc w:val="left"/>
      <w:pPr>
        <w:ind w:left="4520" w:hanging="360"/>
      </w:pPr>
    </w:lvl>
    <w:lvl w:ilvl="4" w:tplc="240A0019" w:tentative="1">
      <w:start w:val="1"/>
      <w:numFmt w:val="lowerLetter"/>
      <w:lvlText w:val="%5."/>
      <w:lvlJc w:val="left"/>
      <w:pPr>
        <w:ind w:left="5240" w:hanging="360"/>
      </w:pPr>
    </w:lvl>
    <w:lvl w:ilvl="5" w:tplc="240A001B" w:tentative="1">
      <w:start w:val="1"/>
      <w:numFmt w:val="lowerRoman"/>
      <w:lvlText w:val="%6."/>
      <w:lvlJc w:val="right"/>
      <w:pPr>
        <w:ind w:left="5960" w:hanging="180"/>
      </w:pPr>
    </w:lvl>
    <w:lvl w:ilvl="6" w:tplc="240A000F" w:tentative="1">
      <w:start w:val="1"/>
      <w:numFmt w:val="decimal"/>
      <w:lvlText w:val="%7."/>
      <w:lvlJc w:val="left"/>
      <w:pPr>
        <w:ind w:left="6680" w:hanging="360"/>
      </w:pPr>
    </w:lvl>
    <w:lvl w:ilvl="7" w:tplc="240A0019" w:tentative="1">
      <w:start w:val="1"/>
      <w:numFmt w:val="lowerLetter"/>
      <w:lvlText w:val="%8."/>
      <w:lvlJc w:val="left"/>
      <w:pPr>
        <w:ind w:left="7400" w:hanging="360"/>
      </w:pPr>
    </w:lvl>
    <w:lvl w:ilvl="8" w:tplc="240A001B" w:tentative="1">
      <w:start w:val="1"/>
      <w:numFmt w:val="lowerRoman"/>
      <w:lvlText w:val="%9."/>
      <w:lvlJc w:val="right"/>
      <w:pPr>
        <w:ind w:left="8120" w:hanging="180"/>
      </w:pPr>
    </w:lvl>
  </w:abstractNum>
  <w:abstractNum w:abstractNumId="9">
    <w:nsid w:val="2B244DB6"/>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0">
    <w:nsid w:val="2F7E27BF"/>
    <w:multiLevelType w:val="multilevel"/>
    <w:tmpl w:val="FEF2255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nsid w:val="31402B18"/>
    <w:multiLevelType w:val="hybridMultilevel"/>
    <w:tmpl w:val="9A705F38"/>
    <w:lvl w:ilvl="0" w:tplc="84A05218">
      <w:start w:val="1"/>
      <w:numFmt w:val="lowerLetter"/>
      <w:lvlText w:val="%1)"/>
      <w:lvlJc w:val="left"/>
      <w:pPr>
        <w:ind w:left="1430" w:hanging="720"/>
      </w:pPr>
      <w:rPr>
        <w:rFonts w:ascii="Bookman Old Style" w:hAnsi="Bookman Old Style" w:hint="default"/>
        <w:b w:val="0"/>
        <w:i w:val="0"/>
        <w:sz w:val="22"/>
        <w:szCs w:val="22"/>
        <w:lang w:val="es-CO"/>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2">
    <w:nsid w:val="32EE0C42"/>
    <w:multiLevelType w:val="hybridMultilevel"/>
    <w:tmpl w:val="2A66EA86"/>
    <w:lvl w:ilvl="0" w:tplc="9D2E79FC">
      <w:start w:val="1"/>
      <w:numFmt w:val="decimal"/>
      <w:lvlText w:val="%1."/>
      <w:lvlJc w:val="left"/>
      <w:pPr>
        <w:ind w:left="1921" w:hanging="360"/>
      </w:pPr>
      <w:rPr>
        <w:rFonts w:hint="default"/>
      </w:rPr>
    </w:lvl>
    <w:lvl w:ilvl="1" w:tplc="240A0019" w:tentative="1">
      <w:start w:val="1"/>
      <w:numFmt w:val="lowerLetter"/>
      <w:lvlText w:val="%2."/>
      <w:lvlJc w:val="left"/>
      <w:pPr>
        <w:ind w:left="2641" w:hanging="360"/>
      </w:pPr>
    </w:lvl>
    <w:lvl w:ilvl="2" w:tplc="240A001B" w:tentative="1">
      <w:start w:val="1"/>
      <w:numFmt w:val="lowerRoman"/>
      <w:lvlText w:val="%3."/>
      <w:lvlJc w:val="right"/>
      <w:pPr>
        <w:ind w:left="3361" w:hanging="180"/>
      </w:pPr>
    </w:lvl>
    <w:lvl w:ilvl="3" w:tplc="240A000F" w:tentative="1">
      <w:start w:val="1"/>
      <w:numFmt w:val="decimal"/>
      <w:lvlText w:val="%4."/>
      <w:lvlJc w:val="left"/>
      <w:pPr>
        <w:ind w:left="4081" w:hanging="360"/>
      </w:pPr>
    </w:lvl>
    <w:lvl w:ilvl="4" w:tplc="240A0019" w:tentative="1">
      <w:start w:val="1"/>
      <w:numFmt w:val="lowerLetter"/>
      <w:lvlText w:val="%5."/>
      <w:lvlJc w:val="left"/>
      <w:pPr>
        <w:ind w:left="4801" w:hanging="360"/>
      </w:pPr>
    </w:lvl>
    <w:lvl w:ilvl="5" w:tplc="240A001B" w:tentative="1">
      <w:start w:val="1"/>
      <w:numFmt w:val="lowerRoman"/>
      <w:lvlText w:val="%6."/>
      <w:lvlJc w:val="right"/>
      <w:pPr>
        <w:ind w:left="5521" w:hanging="180"/>
      </w:pPr>
    </w:lvl>
    <w:lvl w:ilvl="6" w:tplc="240A000F" w:tentative="1">
      <w:start w:val="1"/>
      <w:numFmt w:val="decimal"/>
      <w:lvlText w:val="%7."/>
      <w:lvlJc w:val="left"/>
      <w:pPr>
        <w:ind w:left="6241" w:hanging="360"/>
      </w:pPr>
    </w:lvl>
    <w:lvl w:ilvl="7" w:tplc="240A0019" w:tentative="1">
      <w:start w:val="1"/>
      <w:numFmt w:val="lowerLetter"/>
      <w:lvlText w:val="%8."/>
      <w:lvlJc w:val="left"/>
      <w:pPr>
        <w:ind w:left="6961" w:hanging="360"/>
      </w:pPr>
    </w:lvl>
    <w:lvl w:ilvl="8" w:tplc="240A001B" w:tentative="1">
      <w:start w:val="1"/>
      <w:numFmt w:val="lowerRoman"/>
      <w:lvlText w:val="%9."/>
      <w:lvlJc w:val="right"/>
      <w:pPr>
        <w:ind w:left="7681" w:hanging="180"/>
      </w:pPr>
    </w:lvl>
  </w:abstractNum>
  <w:abstractNum w:abstractNumId="13">
    <w:nsid w:val="366E4833"/>
    <w:multiLevelType w:val="hybridMultilevel"/>
    <w:tmpl w:val="8F925738"/>
    <w:lvl w:ilvl="0" w:tplc="6E8A165A">
      <w:start w:val="1"/>
      <w:numFmt w:val="lowerLetter"/>
      <w:lvlText w:val="%1)"/>
      <w:lvlJc w:val="left"/>
      <w:pPr>
        <w:ind w:left="1440" w:hanging="720"/>
      </w:pPr>
      <w:rPr>
        <w:rFonts w:ascii="Bookman Old Style" w:hAnsi="Bookman Old Style" w:hint="default"/>
        <w:b w:val="0"/>
        <w:i w:val="0"/>
        <w:sz w:val="22"/>
        <w:szCs w:val="22"/>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4">
    <w:nsid w:val="37237EF9"/>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5">
    <w:nsid w:val="492F4F1C"/>
    <w:multiLevelType w:val="hybridMultilevel"/>
    <w:tmpl w:val="111231D6"/>
    <w:lvl w:ilvl="0" w:tplc="BD7264C4">
      <w:start w:val="1"/>
      <w:numFmt w:val="decimal"/>
      <w:lvlText w:val="(%1)"/>
      <w:lvlJc w:val="left"/>
      <w:pPr>
        <w:ind w:left="972" w:hanging="405"/>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16">
    <w:nsid w:val="4FE83BBF"/>
    <w:multiLevelType w:val="hybridMultilevel"/>
    <w:tmpl w:val="D3B2D262"/>
    <w:lvl w:ilvl="0" w:tplc="240A0001">
      <w:start w:val="1"/>
      <w:numFmt w:val="bullet"/>
      <w:lvlText w:val=""/>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nsid w:val="59D33DE9"/>
    <w:multiLevelType w:val="multilevel"/>
    <w:tmpl w:val="CD34E8C6"/>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nsid w:val="5D99076B"/>
    <w:multiLevelType w:val="hybridMultilevel"/>
    <w:tmpl w:val="55D2E8FE"/>
    <w:lvl w:ilvl="0" w:tplc="B5B80C96">
      <w:start w:val="1"/>
      <w:numFmt w:val="decimal"/>
      <w:pStyle w:val="Comentarios"/>
      <w:lvlText w:val="Comentario %1."/>
      <w:lvlJc w:val="left"/>
      <w:pPr>
        <w:tabs>
          <w:tab w:val="num" w:pos="1800"/>
        </w:tabs>
        <w:ind w:left="0" w:firstLine="0"/>
      </w:pPr>
      <w:rPr>
        <w:rFonts w:ascii="Arial" w:hAnsi="Arial" w:hint="default"/>
        <w:b/>
        <w:i w:val="0"/>
        <w:sz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9">
    <w:nsid w:val="60A15BA2"/>
    <w:multiLevelType w:val="hybridMultilevel"/>
    <w:tmpl w:val="F47AA132"/>
    <w:lvl w:ilvl="0" w:tplc="AD5AD63E">
      <w:start w:val="1"/>
      <w:numFmt w:val="lowerLetter"/>
      <w:lvlText w:val="%1)"/>
      <w:lvlJc w:val="left"/>
      <w:pPr>
        <w:ind w:left="1440" w:hanging="720"/>
      </w:pPr>
      <w:rPr>
        <w:rFonts w:ascii="Bookman Old Style" w:hAnsi="Bookman Old Style" w:hint="default"/>
        <w:b w:val="0"/>
        <w:i w:val="0"/>
        <w:sz w:val="22"/>
        <w:szCs w:val="22"/>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0">
    <w:nsid w:val="654F5DD6"/>
    <w:multiLevelType w:val="hybridMultilevel"/>
    <w:tmpl w:val="D72EBFDC"/>
    <w:lvl w:ilvl="0" w:tplc="13D89EBA">
      <w:start w:val="1"/>
      <w:numFmt w:val="lowerLetter"/>
      <w:lvlText w:val="%1)"/>
      <w:lvlJc w:val="left"/>
      <w:pPr>
        <w:ind w:left="1068" w:hanging="360"/>
      </w:pPr>
      <w:rPr>
        <w:rFonts w:hint="default"/>
        <w:b w:val="0"/>
        <w:lang w:val="es-CO"/>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21">
    <w:nsid w:val="65CD4118"/>
    <w:multiLevelType w:val="hybridMultilevel"/>
    <w:tmpl w:val="33140414"/>
    <w:lvl w:ilvl="0" w:tplc="C9E03D4A">
      <w:start w:val="1"/>
      <w:numFmt w:val="lowerLetter"/>
      <w:lvlText w:val="%1)"/>
      <w:lvlJc w:val="left"/>
      <w:pPr>
        <w:ind w:left="1440" w:hanging="720"/>
      </w:pPr>
      <w:rPr>
        <w:rFonts w:ascii="Bookman Old Style" w:hAnsi="Bookman Old Style" w:hint="default"/>
        <w:b w:val="0"/>
        <w:i w:val="0"/>
        <w:sz w:val="22"/>
        <w:szCs w:val="22"/>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2">
    <w:nsid w:val="680D101A"/>
    <w:multiLevelType w:val="hybridMultilevel"/>
    <w:tmpl w:val="A22C1F46"/>
    <w:lvl w:ilvl="0" w:tplc="211E0142">
      <w:start w:val="1"/>
      <w:numFmt w:val="lowerLetter"/>
      <w:pStyle w:val="Estilo5"/>
      <w:lvlText w:val="%1)"/>
      <w:lvlJc w:val="left"/>
      <w:pPr>
        <w:tabs>
          <w:tab w:val="num" w:pos="360"/>
        </w:tabs>
        <w:ind w:left="360" w:hanging="360"/>
      </w:pPr>
      <w:rPr>
        <w:rFonts w:hint="default"/>
      </w:rPr>
    </w:lvl>
    <w:lvl w:ilvl="1" w:tplc="240A0019" w:tentative="1">
      <w:start w:val="1"/>
      <w:numFmt w:val="lowerLetter"/>
      <w:lvlText w:val="%2."/>
      <w:lvlJc w:val="left"/>
      <w:pPr>
        <w:tabs>
          <w:tab w:val="num" w:pos="1080"/>
        </w:tabs>
        <w:ind w:left="1080" w:hanging="360"/>
      </w:pPr>
    </w:lvl>
    <w:lvl w:ilvl="2" w:tplc="240A001B" w:tentative="1">
      <w:start w:val="1"/>
      <w:numFmt w:val="lowerRoman"/>
      <w:lvlText w:val="%3."/>
      <w:lvlJc w:val="right"/>
      <w:pPr>
        <w:tabs>
          <w:tab w:val="num" w:pos="1800"/>
        </w:tabs>
        <w:ind w:left="1800" w:hanging="180"/>
      </w:pPr>
    </w:lvl>
    <w:lvl w:ilvl="3" w:tplc="240A000F" w:tentative="1">
      <w:start w:val="1"/>
      <w:numFmt w:val="decimal"/>
      <w:lvlText w:val="%4."/>
      <w:lvlJc w:val="left"/>
      <w:pPr>
        <w:tabs>
          <w:tab w:val="num" w:pos="2520"/>
        </w:tabs>
        <w:ind w:left="2520" w:hanging="360"/>
      </w:pPr>
    </w:lvl>
    <w:lvl w:ilvl="4" w:tplc="240A0019" w:tentative="1">
      <w:start w:val="1"/>
      <w:numFmt w:val="lowerLetter"/>
      <w:lvlText w:val="%5."/>
      <w:lvlJc w:val="left"/>
      <w:pPr>
        <w:tabs>
          <w:tab w:val="num" w:pos="3240"/>
        </w:tabs>
        <w:ind w:left="3240" w:hanging="360"/>
      </w:pPr>
    </w:lvl>
    <w:lvl w:ilvl="5" w:tplc="240A001B" w:tentative="1">
      <w:start w:val="1"/>
      <w:numFmt w:val="lowerRoman"/>
      <w:lvlText w:val="%6."/>
      <w:lvlJc w:val="right"/>
      <w:pPr>
        <w:tabs>
          <w:tab w:val="num" w:pos="3960"/>
        </w:tabs>
        <w:ind w:left="3960" w:hanging="180"/>
      </w:pPr>
    </w:lvl>
    <w:lvl w:ilvl="6" w:tplc="240A000F" w:tentative="1">
      <w:start w:val="1"/>
      <w:numFmt w:val="decimal"/>
      <w:lvlText w:val="%7."/>
      <w:lvlJc w:val="left"/>
      <w:pPr>
        <w:tabs>
          <w:tab w:val="num" w:pos="4680"/>
        </w:tabs>
        <w:ind w:left="4680" w:hanging="360"/>
      </w:pPr>
    </w:lvl>
    <w:lvl w:ilvl="7" w:tplc="240A0019" w:tentative="1">
      <w:start w:val="1"/>
      <w:numFmt w:val="lowerLetter"/>
      <w:lvlText w:val="%8."/>
      <w:lvlJc w:val="left"/>
      <w:pPr>
        <w:tabs>
          <w:tab w:val="num" w:pos="5400"/>
        </w:tabs>
        <w:ind w:left="5400" w:hanging="360"/>
      </w:pPr>
    </w:lvl>
    <w:lvl w:ilvl="8" w:tplc="240A001B" w:tentative="1">
      <w:start w:val="1"/>
      <w:numFmt w:val="lowerRoman"/>
      <w:lvlText w:val="%9."/>
      <w:lvlJc w:val="right"/>
      <w:pPr>
        <w:tabs>
          <w:tab w:val="num" w:pos="6120"/>
        </w:tabs>
        <w:ind w:left="6120" w:hanging="180"/>
      </w:pPr>
    </w:lvl>
  </w:abstractNum>
  <w:abstractNum w:abstractNumId="23">
    <w:nsid w:val="6D1F1C45"/>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24">
    <w:nsid w:val="6F1702BD"/>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25">
    <w:nsid w:val="73432BD8"/>
    <w:multiLevelType w:val="hybridMultilevel"/>
    <w:tmpl w:val="DB607420"/>
    <w:lvl w:ilvl="0" w:tplc="8EE8F796">
      <w:start w:val="1"/>
      <w:numFmt w:val="decimal"/>
      <w:pStyle w:val="ARTICULOS"/>
      <w:lvlText w:val="Artículo %1."/>
      <w:lvlJc w:val="left"/>
      <w:pPr>
        <w:ind w:left="1637"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ES"/>
        <w:specVanish w:val="0"/>
      </w:rPr>
    </w:lvl>
    <w:lvl w:ilvl="1" w:tplc="240A0019">
      <w:start w:val="1"/>
      <w:numFmt w:val="lowerLetter"/>
      <w:lvlText w:val="%2."/>
      <w:lvlJc w:val="left"/>
      <w:pPr>
        <w:ind w:left="-338" w:hanging="360"/>
      </w:pPr>
    </w:lvl>
    <w:lvl w:ilvl="2" w:tplc="240A000F">
      <w:start w:val="1"/>
      <w:numFmt w:val="decimal"/>
      <w:lvlText w:val="%3."/>
      <w:lvlJc w:val="left"/>
      <w:pPr>
        <w:ind w:left="382" w:hanging="180"/>
      </w:pPr>
    </w:lvl>
    <w:lvl w:ilvl="3" w:tplc="240A000F" w:tentative="1">
      <w:start w:val="1"/>
      <w:numFmt w:val="decimal"/>
      <w:lvlText w:val="%4."/>
      <w:lvlJc w:val="left"/>
      <w:pPr>
        <w:ind w:left="1102" w:hanging="360"/>
      </w:pPr>
    </w:lvl>
    <w:lvl w:ilvl="4" w:tplc="240A0019" w:tentative="1">
      <w:start w:val="1"/>
      <w:numFmt w:val="lowerLetter"/>
      <w:lvlText w:val="%5."/>
      <w:lvlJc w:val="left"/>
      <w:pPr>
        <w:ind w:left="1822" w:hanging="360"/>
      </w:pPr>
    </w:lvl>
    <w:lvl w:ilvl="5" w:tplc="240A001B" w:tentative="1">
      <w:start w:val="1"/>
      <w:numFmt w:val="lowerRoman"/>
      <w:lvlText w:val="%6."/>
      <w:lvlJc w:val="right"/>
      <w:pPr>
        <w:ind w:left="2542" w:hanging="180"/>
      </w:pPr>
    </w:lvl>
    <w:lvl w:ilvl="6" w:tplc="240A000F" w:tentative="1">
      <w:start w:val="1"/>
      <w:numFmt w:val="decimal"/>
      <w:lvlText w:val="%7."/>
      <w:lvlJc w:val="left"/>
      <w:pPr>
        <w:ind w:left="3262" w:hanging="360"/>
      </w:pPr>
    </w:lvl>
    <w:lvl w:ilvl="7" w:tplc="240A0019" w:tentative="1">
      <w:start w:val="1"/>
      <w:numFmt w:val="lowerLetter"/>
      <w:lvlText w:val="%8."/>
      <w:lvlJc w:val="left"/>
      <w:pPr>
        <w:ind w:left="3982" w:hanging="360"/>
      </w:pPr>
    </w:lvl>
    <w:lvl w:ilvl="8" w:tplc="240A001B" w:tentative="1">
      <w:start w:val="1"/>
      <w:numFmt w:val="lowerRoman"/>
      <w:lvlText w:val="%9."/>
      <w:lvlJc w:val="right"/>
      <w:pPr>
        <w:ind w:left="4702" w:hanging="180"/>
      </w:pPr>
    </w:lvl>
  </w:abstractNum>
  <w:abstractNum w:abstractNumId="26">
    <w:nsid w:val="78214D6A"/>
    <w:multiLevelType w:val="multilevel"/>
    <w:tmpl w:val="BA6C5F0E"/>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sz w:val="22"/>
        <w:szCs w:val="22"/>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7">
    <w:nsid w:val="79836711"/>
    <w:multiLevelType w:val="multilevel"/>
    <w:tmpl w:val="D0A040D2"/>
    <w:lvl w:ilvl="0">
      <w:start w:val="4"/>
      <w:numFmt w:val="decimal"/>
      <w:lvlText w:val="%1."/>
      <w:lvlJc w:val="left"/>
      <w:pPr>
        <w:ind w:left="480" w:hanging="480"/>
      </w:pPr>
      <w:rPr>
        <w:rFonts w:hint="default"/>
        <w:b/>
      </w:rPr>
    </w:lvl>
    <w:lvl w:ilvl="1">
      <w:start w:val="1"/>
      <w:numFmt w:val="decimal"/>
      <w:lvlText w:val="%2."/>
      <w:lvlJc w:val="left"/>
      <w:pPr>
        <w:ind w:left="720" w:hanging="720"/>
      </w:pPr>
      <w:rPr>
        <w:rFonts w:ascii="Bookman Old Style" w:hAnsi="Bookman Old Style" w:hint="default"/>
        <w:b w:val="0"/>
        <w:sz w:val="22"/>
        <w:szCs w:val="22"/>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8">
    <w:nsid w:val="7F2A33E3"/>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num w:numId="1">
    <w:abstractNumId w:val="25"/>
  </w:num>
  <w:num w:numId="2">
    <w:abstractNumId w:val="18"/>
  </w:num>
  <w:num w:numId="3">
    <w:abstractNumId w:val="1"/>
  </w:num>
  <w:num w:numId="4">
    <w:abstractNumId w:val="7"/>
  </w:num>
  <w:num w:numId="5">
    <w:abstractNumId w:val="22"/>
  </w:num>
  <w:num w:numId="6">
    <w:abstractNumId w:val="12"/>
  </w:num>
  <w:num w:numId="7">
    <w:abstractNumId w:val="5"/>
  </w:num>
  <w:num w:numId="8">
    <w:abstractNumId w:val="0"/>
  </w:num>
  <w:num w:numId="9">
    <w:abstractNumId w:val="3"/>
  </w:num>
  <w:num w:numId="10">
    <w:abstractNumId w:val="26"/>
  </w:num>
  <w:num w:numId="11">
    <w:abstractNumId w:val="19"/>
  </w:num>
  <w:num w:numId="12">
    <w:abstractNumId w:val="27"/>
  </w:num>
  <w:num w:numId="13">
    <w:abstractNumId w:val="21"/>
  </w:num>
  <w:num w:numId="14">
    <w:abstractNumId w:val="13"/>
  </w:num>
  <w:num w:numId="15">
    <w:abstractNumId w:val="16"/>
  </w:num>
  <w:num w:numId="16">
    <w:abstractNumId w:val="24"/>
  </w:num>
  <w:num w:numId="17">
    <w:abstractNumId w:val="23"/>
  </w:num>
  <w:num w:numId="18">
    <w:abstractNumId w:val="6"/>
  </w:num>
  <w:num w:numId="19">
    <w:abstractNumId w:val="11"/>
  </w:num>
  <w:num w:numId="20">
    <w:abstractNumId w:val="2"/>
  </w:num>
  <w:num w:numId="21">
    <w:abstractNumId w:val="17"/>
  </w:num>
  <w:num w:numId="22">
    <w:abstractNumId w:val="20"/>
  </w:num>
  <w:num w:numId="23">
    <w:abstractNumId w:val="9"/>
  </w:num>
  <w:num w:numId="24">
    <w:abstractNumId w:val="14"/>
  </w:num>
  <w:num w:numId="25">
    <w:abstractNumId w:val="28"/>
  </w:num>
  <w:num w:numId="26">
    <w:abstractNumId w:val="4"/>
  </w:num>
  <w:num w:numId="27">
    <w:abstractNumId w:val="15"/>
  </w:num>
  <w:num w:numId="28">
    <w:abstractNumId w:val="10"/>
  </w:num>
  <w:num w:numId="2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5"/>
  </w:num>
  <w:num w:numId="37">
    <w:abstractNumId w:val="25"/>
  </w:num>
  <w:num w:numId="38">
    <w:abstractNumId w:val="25"/>
  </w:num>
  <w:num w:numId="39">
    <w:abstractNumId w:val="25"/>
  </w:num>
  <w:num w:numId="40">
    <w:abstractNumId w:val="8"/>
  </w:num>
  <w:num w:numId="41">
    <w:abstractNumId w:val="25"/>
  </w:num>
  <w:num w:numId="42">
    <w:abstractNumId w:val="25"/>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9"/>
  <w:hyphenationZone w:val="425"/>
  <w:drawingGridHorizontalSpacing w:val="120"/>
  <w:displayHorizontalDrawingGridEvery w:val="2"/>
  <w:noPunctuationKerning/>
  <w:characterSpacingControl w:val="doNotCompress"/>
  <w:savePreviewPicture/>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01D4"/>
    <w:rsid w:val="00000850"/>
    <w:rsid w:val="00000C38"/>
    <w:rsid w:val="00000CF9"/>
    <w:rsid w:val="00000FCB"/>
    <w:rsid w:val="00001A61"/>
    <w:rsid w:val="000020A8"/>
    <w:rsid w:val="000034E8"/>
    <w:rsid w:val="000037CF"/>
    <w:rsid w:val="00003E8D"/>
    <w:rsid w:val="00004D83"/>
    <w:rsid w:val="00005ABF"/>
    <w:rsid w:val="00005EDD"/>
    <w:rsid w:val="0000654F"/>
    <w:rsid w:val="00006A04"/>
    <w:rsid w:val="00006AE2"/>
    <w:rsid w:val="00006F95"/>
    <w:rsid w:val="0000700C"/>
    <w:rsid w:val="000076A1"/>
    <w:rsid w:val="00007A06"/>
    <w:rsid w:val="00007F69"/>
    <w:rsid w:val="00010B1D"/>
    <w:rsid w:val="00010D61"/>
    <w:rsid w:val="00011D02"/>
    <w:rsid w:val="00012259"/>
    <w:rsid w:val="00012472"/>
    <w:rsid w:val="00012E4F"/>
    <w:rsid w:val="00013B69"/>
    <w:rsid w:val="00013DEA"/>
    <w:rsid w:val="00014D93"/>
    <w:rsid w:val="000152E6"/>
    <w:rsid w:val="0001533D"/>
    <w:rsid w:val="0001582A"/>
    <w:rsid w:val="00015852"/>
    <w:rsid w:val="00015C89"/>
    <w:rsid w:val="000162D9"/>
    <w:rsid w:val="0001631E"/>
    <w:rsid w:val="00016698"/>
    <w:rsid w:val="00017454"/>
    <w:rsid w:val="000178DC"/>
    <w:rsid w:val="00017983"/>
    <w:rsid w:val="00020B3C"/>
    <w:rsid w:val="0002108F"/>
    <w:rsid w:val="00021B30"/>
    <w:rsid w:val="000228E3"/>
    <w:rsid w:val="00022A19"/>
    <w:rsid w:val="00023A14"/>
    <w:rsid w:val="00024094"/>
    <w:rsid w:val="00024284"/>
    <w:rsid w:val="00024C04"/>
    <w:rsid w:val="000252D3"/>
    <w:rsid w:val="00025383"/>
    <w:rsid w:val="0002564D"/>
    <w:rsid w:val="00025E09"/>
    <w:rsid w:val="00025F55"/>
    <w:rsid w:val="00026477"/>
    <w:rsid w:val="00027CAD"/>
    <w:rsid w:val="00030C6C"/>
    <w:rsid w:val="00030C8A"/>
    <w:rsid w:val="000310AB"/>
    <w:rsid w:val="000320B7"/>
    <w:rsid w:val="0003364E"/>
    <w:rsid w:val="00033795"/>
    <w:rsid w:val="00033F7E"/>
    <w:rsid w:val="00034E9A"/>
    <w:rsid w:val="00035268"/>
    <w:rsid w:val="000356A7"/>
    <w:rsid w:val="00035CE1"/>
    <w:rsid w:val="00035D87"/>
    <w:rsid w:val="0003635C"/>
    <w:rsid w:val="00036B45"/>
    <w:rsid w:val="0003785E"/>
    <w:rsid w:val="00037BB4"/>
    <w:rsid w:val="00037F75"/>
    <w:rsid w:val="00037FF5"/>
    <w:rsid w:val="00040199"/>
    <w:rsid w:val="000401A2"/>
    <w:rsid w:val="00040F4D"/>
    <w:rsid w:val="0004162E"/>
    <w:rsid w:val="0004200A"/>
    <w:rsid w:val="0004317F"/>
    <w:rsid w:val="00044247"/>
    <w:rsid w:val="00044C64"/>
    <w:rsid w:val="0004566B"/>
    <w:rsid w:val="00046241"/>
    <w:rsid w:val="00046E7F"/>
    <w:rsid w:val="0004777C"/>
    <w:rsid w:val="00047D40"/>
    <w:rsid w:val="00050277"/>
    <w:rsid w:val="0005199A"/>
    <w:rsid w:val="00052EB6"/>
    <w:rsid w:val="00053175"/>
    <w:rsid w:val="0005340D"/>
    <w:rsid w:val="00053EBD"/>
    <w:rsid w:val="0005424A"/>
    <w:rsid w:val="00054CBF"/>
    <w:rsid w:val="00055386"/>
    <w:rsid w:val="000568B3"/>
    <w:rsid w:val="000572D1"/>
    <w:rsid w:val="00057ABD"/>
    <w:rsid w:val="00057D91"/>
    <w:rsid w:val="00057DD5"/>
    <w:rsid w:val="0006018C"/>
    <w:rsid w:val="000608FD"/>
    <w:rsid w:val="000616A2"/>
    <w:rsid w:val="000629CC"/>
    <w:rsid w:val="000635A1"/>
    <w:rsid w:val="00063657"/>
    <w:rsid w:val="00063E0C"/>
    <w:rsid w:val="00064237"/>
    <w:rsid w:val="00064B58"/>
    <w:rsid w:val="00064F1B"/>
    <w:rsid w:val="0006553E"/>
    <w:rsid w:val="00065647"/>
    <w:rsid w:val="00065CA6"/>
    <w:rsid w:val="00066393"/>
    <w:rsid w:val="0006651E"/>
    <w:rsid w:val="00067207"/>
    <w:rsid w:val="0006731B"/>
    <w:rsid w:val="00067583"/>
    <w:rsid w:val="00067958"/>
    <w:rsid w:val="00067CDB"/>
    <w:rsid w:val="0007013D"/>
    <w:rsid w:val="00070AF8"/>
    <w:rsid w:val="00070B84"/>
    <w:rsid w:val="00071219"/>
    <w:rsid w:val="00071928"/>
    <w:rsid w:val="00071B61"/>
    <w:rsid w:val="00071F39"/>
    <w:rsid w:val="000729B1"/>
    <w:rsid w:val="00074A9D"/>
    <w:rsid w:val="00074F03"/>
    <w:rsid w:val="00075550"/>
    <w:rsid w:val="0007624F"/>
    <w:rsid w:val="00076680"/>
    <w:rsid w:val="00076A1D"/>
    <w:rsid w:val="00077437"/>
    <w:rsid w:val="0008073E"/>
    <w:rsid w:val="00080BA2"/>
    <w:rsid w:val="0008149E"/>
    <w:rsid w:val="00081ECC"/>
    <w:rsid w:val="00082535"/>
    <w:rsid w:val="0008267A"/>
    <w:rsid w:val="00083E19"/>
    <w:rsid w:val="0008407A"/>
    <w:rsid w:val="00084274"/>
    <w:rsid w:val="00086783"/>
    <w:rsid w:val="00087591"/>
    <w:rsid w:val="00087A81"/>
    <w:rsid w:val="00090F11"/>
    <w:rsid w:val="0009116E"/>
    <w:rsid w:val="00091CDB"/>
    <w:rsid w:val="00091FFE"/>
    <w:rsid w:val="00092143"/>
    <w:rsid w:val="000924E9"/>
    <w:rsid w:val="0009270C"/>
    <w:rsid w:val="000928B4"/>
    <w:rsid w:val="00092C9E"/>
    <w:rsid w:val="0009327E"/>
    <w:rsid w:val="0009338B"/>
    <w:rsid w:val="000937B4"/>
    <w:rsid w:val="0009460D"/>
    <w:rsid w:val="0009514A"/>
    <w:rsid w:val="000954AB"/>
    <w:rsid w:val="00095A9D"/>
    <w:rsid w:val="0009683B"/>
    <w:rsid w:val="00096E65"/>
    <w:rsid w:val="000970B5"/>
    <w:rsid w:val="00097961"/>
    <w:rsid w:val="000A07EF"/>
    <w:rsid w:val="000A19AC"/>
    <w:rsid w:val="000A1C49"/>
    <w:rsid w:val="000A1F87"/>
    <w:rsid w:val="000A21C6"/>
    <w:rsid w:val="000A341F"/>
    <w:rsid w:val="000A3583"/>
    <w:rsid w:val="000A3BBE"/>
    <w:rsid w:val="000A4B47"/>
    <w:rsid w:val="000A4DC1"/>
    <w:rsid w:val="000A5F2E"/>
    <w:rsid w:val="000A6122"/>
    <w:rsid w:val="000A69D4"/>
    <w:rsid w:val="000A77BF"/>
    <w:rsid w:val="000A7BEE"/>
    <w:rsid w:val="000A7D3C"/>
    <w:rsid w:val="000B11D0"/>
    <w:rsid w:val="000B1E7A"/>
    <w:rsid w:val="000B2053"/>
    <w:rsid w:val="000B27F1"/>
    <w:rsid w:val="000B285B"/>
    <w:rsid w:val="000B2C8D"/>
    <w:rsid w:val="000B2EE5"/>
    <w:rsid w:val="000B2F81"/>
    <w:rsid w:val="000B36BC"/>
    <w:rsid w:val="000B4670"/>
    <w:rsid w:val="000B510D"/>
    <w:rsid w:val="000B55A2"/>
    <w:rsid w:val="000B6034"/>
    <w:rsid w:val="000B67A4"/>
    <w:rsid w:val="000B6E6F"/>
    <w:rsid w:val="000B7687"/>
    <w:rsid w:val="000B7F01"/>
    <w:rsid w:val="000C06F6"/>
    <w:rsid w:val="000C07E5"/>
    <w:rsid w:val="000C082A"/>
    <w:rsid w:val="000C0C78"/>
    <w:rsid w:val="000C0EA0"/>
    <w:rsid w:val="000C0F6A"/>
    <w:rsid w:val="000C125C"/>
    <w:rsid w:val="000C2530"/>
    <w:rsid w:val="000C2F8E"/>
    <w:rsid w:val="000C34C1"/>
    <w:rsid w:val="000C3A94"/>
    <w:rsid w:val="000C4489"/>
    <w:rsid w:val="000C488E"/>
    <w:rsid w:val="000C50CC"/>
    <w:rsid w:val="000C537A"/>
    <w:rsid w:val="000C5C83"/>
    <w:rsid w:val="000C6851"/>
    <w:rsid w:val="000C77B1"/>
    <w:rsid w:val="000C79E0"/>
    <w:rsid w:val="000C7DC7"/>
    <w:rsid w:val="000D0411"/>
    <w:rsid w:val="000D11E2"/>
    <w:rsid w:val="000D1456"/>
    <w:rsid w:val="000D166D"/>
    <w:rsid w:val="000D1959"/>
    <w:rsid w:val="000D26F8"/>
    <w:rsid w:val="000D2EF2"/>
    <w:rsid w:val="000D3209"/>
    <w:rsid w:val="000D3633"/>
    <w:rsid w:val="000D45B1"/>
    <w:rsid w:val="000D5724"/>
    <w:rsid w:val="000D5869"/>
    <w:rsid w:val="000D5B92"/>
    <w:rsid w:val="000D5E46"/>
    <w:rsid w:val="000D63C3"/>
    <w:rsid w:val="000D6E82"/>
    <w:rsid w:val="000D70C6"/>
    <w:rsid w:val="000D77FA"/>
    <w:rsid w:val="000E008F"/>
    <w:rsid w:val="000E0A0E"/>
    <w:rsid w:val="000E0A9D"/>
    <w:rsid w:val="000E0DA4"/>
    <w:rsid w:val="000E0E70"/>
    <w:rsid w:val="000E1A2F"/>
    <w:rsid w:val="000E1DD8"/>
    <w:rsid w:val="000E280B"/>
    <w:rsid w:val="000E28C9"/>
    <w:rsid w:val="000E2E3F"/>
    <w:rsid w:val="000E3616"/>
    <w:rsid w:val="000E36E0"/>
    <w:rsid w:val="000E47D5"/>
    <w:rsid w:val="000E47E6"/>
    <w:rsid w:val="000E4990"/>
    <w:rsid w:val="000E4C30"/>
    <w:rsid w:val="000E5806"/>
    <w:rsid w:val="000E78C7"/>
    <w:rsid w:val="000F06E3"/>
    <w:rsid w:val="000F0E66"/>
    <w:rsid w:val="000F0E70"/>
    <w:rsid w:val="000F1927"/>
    <w:rsid w:val="000F1C07"/>
    <w:rsid w:val="000F1E21"/>
    <w:rsid w:val="000F2EB3"/>
    <w:rsid w:val="000F300E"/>
    <w:rsid w:val="000F40D6"/>
    <w:rsid w:val="000F49DF"/>
    <w:rsid w:val="000F4B5F"/>
    <w:rsid w:val="000F4C1D"/>
    <w:rsid w:val="000F52BF"/>
    <w:rsid w:val="000F578A"/>
    <w:rsid w:val="000F5B99"/>
    <w:rsid w:val="000F65A2"/>
    <w:rsid w:val="000F7039"/>
    <w:rsid w:val="000F7159"/>
    <w:rsid w:val="00100390"/>
    <w:rsid w:val="00101200"/>
    <w:rsid w:val="00101B7E"/>
    <w:rsid w:val="0010220A"/>
    <w:rsid w:val="0010256D"/>
    <w:rsid w:val="0010278A"/>
    <w:rsid w:val="00103232"/>
    <w:rsid w:val="001038FA"/>
    <w:rsid w:val="00103F47"/>
    <w:rsid w:val="00104BD8"/>
    <w:rsid w:val="00104E62"/>
    <w:rsid w:val="00105093"/>
    <w:rsid w:val="0010546E"/>
    <w:rsid w:val="00105C47"/>
    <w:rsid w:val="00106B1A"/>
    <w:rsid w:val="001077DC"/>
    <w:rsid w:val="00107A62"/>
    <w:rsid w:val="0011064E"/>
    <w:rsid w:val="0011089E"/>
    <w:rsid w:val="00111F21"/>
    <w:rsid w:val="001121CE"/>
    <w:rsid w:val="00112B37"/>
    <w:rsid w:val="00113151"/>
    <w:rsid w:val="00114444"/>
    <w:rsid w:val="001151F3"/>
    <w:rsid w:val="001152CF"/>
    <w:rsid w:val="001159F1"/>
    <w:rsid w:val="00116126"/>
    <w:rsid w:val="001169CF"/>
    <w:rsid w:val="00116BF8"/>
    <w:rsid w:val="00116D65"/>
    <w:rsid w:val="00117076"/>
    <w:rsid w:val="001170D2"/>
    <w:rsid w:val="00117398"/>
    <w:rsid w:val="00117581"/>
    <w:rsid w:val="001208FC"/>
    <w:rsid w:val="00121027"/>
    <w:rsid w:val="00121211"/>
    <w:rsid w:val="001213EB"/>
    <w:rsid w:val="00121E87"/>
    <w:rsid w:val="00121E97"/>
    <w:rsid w:val="0012269D"/>
    <w:rsid w:val="0012273A"/>
    <w:rsid w:val="00122E15"/>
    <w:rsid w:val="001241B0"/>
    <w:rsid w:val="001244CD"/>
    <w:rsid w:val="00125218"/>
    <w:rsid w:val="00125731"/>
    <w:rsid w:val="00126C83"/>
    <w:rsid w:val="00127077"/>
    <w:rsid w:val="00127201"/>
    <w:rsid w:val="001273C2"/>
    <w:rsid w:val="001273F3"/>
    <w:rsid w:val="0013053F"/>
    <w:rsid w:val="0013110E"/>
    <w:rsid w:val="00131D5E"/>
    <w:rsid w:val="001324AB"/>
    <w:rsid w:val="001331AF"/>
    <w:rsid w:val="001339CD"/>
    <w:rsid w:val="001354D9"/>
    <w:rsid w:val="00135CA0"/>
    <w:rsid w:val="00136108"/>
    <w:rsid w:val="00136742"/>
    <w:rsid w:val="00136D5A"/>
    <w:rsid w:val="001405C6"/>
    <w:rsid w:val="001407B7"/>
    <w:rsid w:val="00141013"/>
    <w:rsid w:val="00141972"/>
    <w:rsid w:val="00141A71"/>
    <w:rsid w:val="00142650"/>
    <w:rsid w:val="00142C62"/>
    <w:rsid w:val="001432D8"/>
    <w:rsid w:val="001453EA"/>
    <w:rsid w:val="00145B0F"/>
    <w:rsid w:val="00145BA0"/>
    <w:rsid w:val="001468DD"/>
    <w:rsid w:val="00146A2E"/>
    <w:rsid w:val="00146CC4"/>
    <w:rsid w:val="001473CE"/>
    <w:rsid w:val="001479D0"/>
    <w:rsid w:val="00147C22"/>
    <w:rsid w:val="0015071C"/>
    <w:rsid w:val="001514DA"/>
    <w:rsid w:val="0015196B"/>
    <w:rsid w:val="00151C71"/>
    <w:rsid w:val="00153FBA"/>
    <w:rsid w:val="001549CA"/>
    <w:rsid w:val="0015588A"/>
    <w:rsid w:val="001559BB"/>
    <w:rsid w:val="00156521"/>
    <w:rsid w:val="001565D6"/>
    <w:rsid w:val="00157602"/>
    <w:rsid w:val="00157BD2"/>
    <w:rsid w:val="00157F68"/>
    <w:rsid w:val="00160992"/>
    <w:rsid w:val="00160FB1"/>
    <w:rsid w:val="001614C6"/>
    <w:rsid w:val="001615C8"/>
    <w:rsid w:val="0016184E"/>
    <w:rsid w:val="0016196C"/>
    <w:rsid w:val="00161F54"/>
    <w:rsid w:val="0016204C"/>
    <w:rsid w:val="00162C23"/>
    <w:rsid w:val="00162D48"/>
    <w:rsid w:val="00163363"/>
    <w:rsid w:val="00163CB1"/>
    <w:rsid w:val="0016484E"/>
    <w:rsid w:val="0016562D"/>
    <w:rsid w:val="0016584B"/>
    <w:rsid w:val="00165AEB"/>
    <w:rsid w:val="00165B40"/>
    <w:rsid w:val="0016637C"/>
    <w:rsid w:val="001674E1"/>
    <w:rsid w:val="00167871"/>
    <w:rsid w:val="001678BB"/>
    <w:rsid w:val="00170128"/>
    <w:rsid w:val="0017065F"/>
    <w:rsid w:val="00170DDD"/>
    <w:rsid w:val="00170E10"/>
    <w:rsid w:val="0017104E"/>
    <w:rsid w:val="001710C9"/>
    <w:rsid w:val="00171E72"/>
    <w:rsid w:val="00172BC5"/>
    <w:rsid w:val="0017302C"/>
    <w:rsid w:val="001731FA"/>
    <w:rsid w:val="001732B9"/>
    <w:rsid w:val="001732D9"/>
    <w:rsid w:val="001733E9"/>
    <w:rsid w:val="0017373A"/>
    <w:rsid w:val="0017392D"/>
    <w:rsid w:val="00173ADC"/>
    <w:rsid w:val="001745C3"/>
    <w:rsid w:val="00174993"/>
    <w:rsid w:val="00174BB6"/>
    <w:rsid w:val="00174DC5"/>
    <w:rsid w:val="00175430"/>
    <w:rsid w:val="00175E65"/>
    <w:rsid w:val="001776E2"/>
    <w:rsid w:val="00177A37"/>
    <w:rsid w:val="001802A1"/>
    <w:rsid w:val="00180599"/>
    <w:rsid w:val="00180DD5"/>
    <w:rsid w:val="001812AE"/>
    <w:rsid w:val="00181488"/>
    <w:rsid w:val="0018155A"/>
    <w:rsid w:val="001818A4"/>
    <w:rsid w:val="00181F86"/>
    <w:rsid w:val="00182761"/>
    <w:rsid w:val="00182964"/>
    <w:rsid w:val="00182B14"/>
    <w:rsid w:val="00182E94"/>
    <w:rsid w:val="00182EA4"/>
    <w:rsid w:val="001832C7"/>
    <w:rsid w:val="00183C2B"/>
    <w:rsid w:val="00183DA2"/>
    <w:rsid w:val="00184A1A"/>
    <w:rsid w:val="00184E7C"/>
    <w:rsid w:val="0018577F"/>
    <w:rsid w:val="00185B11"/>
    <w:rsid w:val="00185C24"/>
    <w:rsid w:val="00186406"/>
    <w:rsid w:val="0018733B"/>
    <w:rsid w:val="001876AE"/>
    <w:rsid w:val="00187AB5"/>
    <w:rsid w:val="00187B8E"/>
    <w:rsid w:val="00187C0F"/>
    <w:rsid w:val="0019085C"/>
    <w:rsid w:val="00190E5D"/>
    <w:rsid w:val="00190FAD"/>
    <w:rsid w:val="0019169B"/>
    <w:rsid w:val="00191CF5"/>
    <w:rsid w:val="00191E73"/>
    <w:rsid w:val="0019256B"/>
    <w:rsid w:val="001927F6"/>
    <w:rsid w:val="0019288A"/>
    <w:rsid w:val="00192CBF"/>
    <w:rsid w:val="00192FF1"/>
    <w:rsid w:val="00193277"/>
    <w:rsid w:val="00193769"/>
    <w:rsid w:val="00193A71"/>
    <w:rsid w:val="00194493"/>
    <w:rsid w:val="00194FD4"/>
    <w:rsid w:val="00195A39"/>
    <w:rsid w:val="0019740A"/>
    <w:rsid w:val="001976E0"/>
    <w:rsid w:val="00197B27"/>
    <w:rsid w:val="00197C94"/>
    <w:rsid w:val="00197D44"/>
    <w:rsid w:val="00197ED4"/>
    <w:rsid w:val="00197F4C"/>
    <w:rsid w:val="001A0038"/>
    <w:rsid w:val="001A02E9"/>
    <w:rsid w:val="001A0351"/>
    <w:rsid w:val="001A1B21"/>
    <w:rsid w:val="001A1CB9"/>
    <w:rsid w:val="001A2D40"/>
    <w:rsid w:val="001A3997"/>
    <w:rsid w:val="001A4617"/>
    <w:rsid w:val="001A587F"/>
    <w:rsid w:val="001A5A6B"/>
    <w:rsid w:val="001A5B11"/>
    <w:rsid w:val="001A5F1B"/>
    <w:rsid w:val="001A60D1"/>
    <w:rsid w:val="001A64C8"/>
    <w:rsid w:val="001A64F2"/>
    <w:rsid w:val="001A71EE"/>
    <w:rsid w:val="001A75BC"/>
    <w:rsid w:val="001A7EE0"/>
    <w:rsid w:val="001B124E"/>
    <w:rsid w:val="001B15B2"/>
    <w:rsid w:val="001B1C22"/>
    <w:rsid w:val="001B2560"/>
    <w:rsid w:val="001B31DC"/>
    <w:rsid w:val="001B34C6"/>
    <w:rsid w:val="001B3D58"/>
    <w:rsid w:val="001B45E5"/>
    <w:rsid w:val="001B56C1"/>
    <w:rsid w:val="001B5DDC"/>
    <w:rsid w:val="001B6001"/>
    <w:rsid w:val="001B7221"/>
    <w:rsid w:val="001B7843"/>
    <w:rsid w:val="001B7C29"/>
    <w:rsid w:val="001B7C41"/>
    <w:rsid w:val="001C0466"/>
    <w:rsid w:val="001C179B"/>
    <w:rsid w:val="001C1F51"/>
    <w:rsid w:val="001C221D"/>
    <w:rsid w:val="001C22CE"/>
    <w:rsid w:val="001C2E15"/>
    <w:rsid w:val="001C32C7"/>
    <w:rsid w:val="001C333A"/>
    <w:rsid w:val="001C3BE8"/>
    <w:rsid w:val="001C3F6C"/>
    <w:rsid w:val="001C416E"/>
    <w:rsid w:val="001C4452"/>
    <w:rsid w:val="001C4463"/>
    <w:rsid w:val="001C4DB7"/>
    <w:rsid w:val="001C4F12"/>
    <w:rsid w:val="001C4F89"/>
    <w:rsid w:val="001C534F"/>
    <w:rsid w:val="001C54B9"/>
    <w:rsid w:val="001C5793"/>
    <w:rsid w:val="001C6764"/>
    <w:rsid w:val="001C6B76"/>
    <w:rsid w:val="001C6C45"/>
    <w:rsid w:val="001D00C0"/>
    <w:rsid w:val="001D026A"/>
    <w:rsid w:val="001D03D5"/>
    <w:rsid w:val="001D09CD"/>
    <w:rsid w:val="001D142C"/>
    <w:rsid w:val="001D172F"/>
    <w:rsid w:val="001D1DBE"/>
    <w:rsid w:val="001D21FC"/>
    <w:rsid w:val="001D3819"/>
    <w:rsid w:val="001D40AF"/>
    <w:rsid w:val="001D40E9"/>
    <w:rsid w:val="001D4CE0"/>
    <w:rsid w:val="001D50D4"/>
    <w:rsid w:val="001D5629"/>
    <w:rsid w:val="001D5678"/>
    <w:rsid w:val="001D6000"/>
    <w:rsid w:val="001D6568"/>
    <w:rsid w:val="001D7832"/>
    <w:rsid w:val="001D7AA6"/>
    <w:rsid w:val="001D7ECF"/>
    <w:rsid w:val="001E0967"/>
    <w:rsid w:val="001E186E"/>
    <w:rsid w:val="001E229D"/>
    <w:rsid w:val="001E2EE7"/>
    <w:rsid w:val="001E4863"/>
    <w:rsid w:val="001E4876"/>
    <w:rsid w:val="001E492C"/>
    <w:rsid w:val="001E4CD1"/>
    <w:rsid w:val="001E4CE7"/>
    <w:rsid w:val="001E52BD"/>
    <w:rsid w:val="001E6826"/>
    <w:rsid w:val="001E6B6A"/>
    <w:rsid w:val="001E6F0C"/>
    <w:rsid w:val="001E7A51"/>
    <w:rsid w:val="001E7FB0"/>
    <w:rsid w:val="001F0299"/>
    <w:rsid w:val="001F0A15"/>
    <w:rsid w:val="001F0B4D"/>
    <w:rsid w:val="001F0EB9"/>
    <w:rsid w:val="001F1041"/>
    <w:rsid w:val="001F133A"/>
    <w:rsid w:val="001F2180"/>
    <w:rsid w:val="001F23A0"/>
    <w:rsid w:val="001F262B"/>
    <w:rsid w:val="001F2639"/>
    <w:rsid w:val="001F2A25"/>
    <w:rsid w:val="001F2F77"/>
    <w:rsid w:val="001F3ED9"/>
    <w:rsid w:val="001F4B8D"/>
    <w:rsid w:val="001F532D"/>
    <w:rsid w:val="001F5593"/>
    <w:rsid w:val="001F55A9"/>
    <w:rsid w:val="001F5941"/>
    <w:rsid w:val="001F5B2F"/>
    <w:rsid w:val="001F65A5"/>
    <w:rsid w:val="001F7082"/>
    <w:rsid w:val="001F740C"/>
    <w:rsid w:val="001F74FD"/>
    <w:rsid w:val="001F768E"/>
    <w:rsid w:val="002008F8"/>
    <w:rsid w:val="0020120E"/>
    <w:rsid w:val="00204634"/>
    <w:rsid w:val="00204ABF"/>
    <w:rsid w:val="0020534E"/>
    <w:rsid w:val="00205A38"/>
    <w:rsid w:val="002079A4"/>
    <w:rsid w:val="0021000F"/>
    <w:rsid w:val="0021077F"/>
    <w:rsid w:val="002109F1"/>
    <w:rsid w:val="00210FA0"/>
    <w:rsid w:val="00211185"/>
    <w:rsid w:val="00211D34"/>
    <w:rsid w:val="0021209C"/>
    <w:rsid w:val="002124A3"/>
    <w:rsid w:val="00212CEF"/>
    <w:rsid w:val="00212F62"/>
    <w:rsid w:val="002136EC"/>
    <w:rsid w:val="002136F4"/>
    <w:rsid w:val="00213D05"/>
    <w:rsid w:val="00214116"/>
    <w:rsid w:val="0021438D"/>
    <w:rsid w:val="002145F3"/>
    <w:rsid w:val="002149EB"/>
    <w:rsid w:val="002149FD"/>
    <w:rsid w:val="00214A8D"/>
    <w:rsid w:val="00214DAF"/>
    <w:rsid w:val="00214F04"/>
    <w:rsid w:val="00215919"/>
    <w:rsid w:val="00216F2F"/>
    <w:rsid w:val="00220957"/>
    <w:rsid w:val="002210A7"/>
    <w:rsid w:val="00221515"/>
    <w:rsid w:val="00221D86"/>
    <w:rsid w:val="00222A9E"/>
    <w:rsid w:val="00222B0A"/>
    <w:rsid w:val="00222D03"/>
    <w:rsid w:val="00223247"/>
    <w:rsid w:val="00223B10"/>
    <w:rsid w:val="00224071"/>
    <w:rsid w:val="00224814"/>
    <w:rsid w:val="002263DB"/>
    <w:rsid w:val="00226B06"/>
    <w:rsid w:val="00226BC8"/>
    <w:rsid w:val="00227C6A"/>
    <w:rsid w:val="0023019F"/>
    <w:rsid w:val="00230617"/>
    <w:rsid w:val="00232883"/>
    <w:rsid w:val="00234363"/>
    <w:rsid w:val="002358B9"/>
    <w:rsid w:val="00235B05"/>
    <w:rsid w:val="00236378"/>
    <w:rsid w:val="00236775"/>
    <w:rsid w:val="00236C85"/>
    <w:rsid w:val="00236EB8"/>
    <w:rsid w:val="002375C3"/>
    <w:rsid w:val="00237650"/>
    <w:rsid w:val="002376AA"/>
    <w:rsid w:val="00240937"/>
    <w:rsid w:val="00240BE2"/>
    <w:rsid w:val="002410D5"/>
    <w:rsid w:val="00241CA1"/>
    <w:rsid w:val="00241D77"/>
    <w:rsid w:val="00243C1C"/>
    <w:rsid w:val="00243C73"/>
    <w:rsid w:val="0024456C"/>
    <w:rsid w:val="00244761"/>
    <w:rsid w:val="00244C1D"/>
    <w:rsid w:val="00245E18"/>
    <w:rsid w:val="0024623F"/>
    <w:rsid w:val="00247A99"/>
    <w:rsid w:val="00250FBF"/>
    <w:rsid w:val="00251CD9"/>
    <w:rsid w:val="00252575"/>
    <w:rsid w:val="00252A2F"/>
    <w:rsid w:val="002532DD"/>
    <w:rsid w:val="002536BB"/>
    <w:rsid w:val="00253985"/>
    <w:rsid w:val="00253F38"/>
    <w:rsid w:val="00253F9A"/>
    <w:rsid w:val="00254057"/>
    <w:rsid w:val="002542EF"/>
    <w:rsid w:val="00254868"/>
    <w:rsid w:val="002557A1"/>
    <w:rsid w:val="00255CEE"/>
    <w:rsid w:val="00256200"/>
    <w:rsid w:val="00257678"/>
    <w:rsid w:val="00257B98"/>
    <w:rsid w:val="002605BE"/>
    <w:rsid w:val="0026091A"/>
    <w:rsid w:val="00260C6C"/>
    <w:rsid w:val="00260FA2"/>
    <w:rsid w:val="002615BC"/>
    <w:rsid w:val="00261A49"/>
    <w:rsid w:val="00261FDE"/>
    <w:rsid w:val="0026238B"/>
    <w:rsid w:val="00262BC3"/>
    <w:rsid w:val="0026301C"/>
    <w:rsid w:val="00263A62"/>
    <w:rsid w:val="00263F26"/>
    <w:rsid w:val="0026405F"/>
    <w:rsid w:val="002640F8"/>
    <w:rsid w:val="00264A0A"/>
    <w:rsid w:val="0026583A"/>
    <w:rsid w:val="00265D0F"/>
    <w:rsid w:val="00266CD6"/>
    <w:rsid w:val="002674F0"/>
    <w:rsid w:val="00267F1F"/>
    <w:rsid w:val="00270125"/>
    <w:rsid w:val="002705BE"/>
    <w:rsid w:val="0027094B"/>
    <w:rsid w:val="00271CD3"/>
    <w:rsid w:val="00273183"/>
    <w:rsid w:val="00273400"/>
    <w:rsid w:val="00273C3C"/>
    <w:rsid w:val="00273DC7"/>
    <w:rsid w:val="00274195"/>
    <w:rsid w:val="00274ABB"/>
    <w:rsid w:val="00274E92"/>
    <w:rsid w:val="00275844"/>
    <w:rsid w:val="00275B9A"/>
    <w:rsid w:val="00275DAB"/>
    <w:rsid w:val="0027600A"/>
    <w:rsid w:val="002764E2"/>
    <w:rsid w:val="00277B65"/>
    <w:rsid w:val="00277E55"/>
    <w:rsid w:val="00277E6A"/>
    <w:rsid w:val="00280809"/>
    <w:rsid w:val="002813ED"/>
    <w:rsid w:val="00281D74"/>
    <w:rsid w:val="00282BAC"/>
    <w:rsid w:val="0028322A"/>
    <w:rsid w:val="00285AB7"/>
    <w:rsid w:val="002870CA"/>
    <w:rsid w:val="0028750E"/>
    <w:rsid w:val="002879B8"/>
    <w:rsid w:val="00287F5C"/>
    <w:rsid w:val="002901B2"/>
    <w:rsid w:val="00290209"/>
    <w:rsid w:val="002902A5"/>
    <w:rsid w:val="0029072D"/>
    <w:rsid w:val="002907A3"/>
    <w:rsid w:val="002908AC"/>
    <w:rsid w:val="00291AF9"/>
    <w:rsid w:val="002927A1"/>
    <w:rsid w:val="002935C9"/>
    <w:rsid w:val="00293991"/>
    <w:rsid w:val="00293B48"/>
    <w:rsid w:val="00293D9D"/>
    <w:rsid w:val="0029542F"/>
    <w:rsid w:val="00295C97"/>
    <w:rsid w:val="00295EB9"/>
    <w:rsid w:val="00296DE6"/>
    <w:rsid w:val="002975BC"/>
    <w:rsid w:val="002977C1"/>
    <w:rsid w:val="0029780F"/>
    <w:rsid w:val="002A0037"/>
    <w:rsid w:val="002A0123"/>
    <w:rsid w:val="002A1672"/>
    <w:rsid w:val="002A1BE8"/>
    <w:rsid w:val="002A1ED4"/>
    <w:rsid w:val="002A25DE"/>
    <w:rsid w:val="002A2CA3"/>
    <w:rsid w:val="002A3AD9"/>
    <w:rsid w:val="002A40D1"/>
    <w:rsid w:val="002A4B27"/>
    <w:rsid w:val="002A5C17"/>
    <w:rsid w:val="002A64E4"/>
    <w:rsid w:val="002A6586"/>
    <w:rsid w:val="002A681A"/>
    <w:rsid w:val="002A7482"/>
    <w:rsid w:val="002A782A"/>
    <w:rsid w:val="002A7A47"/>
    <w:rsid w:val="002B00C2"/>
    <w:rsid w:val="002B0C46"/>
    <w:rsid w:val="002B1063"/>
    <w:rsid w:val="002B10AF"/>
    <w:rsid w:val="002B11E2"/>
    <w:rsid w:val="002B13C8"/>
    <w:rsid w:val="002B2118"/>
    <w:rsid w:val="002B231D"/>
    <w:rsid w:val="002B24B8"/>
    <w:rsid w:val="002B272E"/>
    <w:rsid w:val="002B2844"/>
    <w:rsid w:val="002B2C38"/>
    <w:rsid w:val="002B31C3"/>
    <w:rsid w:val="002B33E2"/>
    <w:rsid w:val="002B3E35"/>
    <w:rsid w:val="002B4647"/>
    <w:rsid w:val="002B6178"/>
    <w:rsid w:val="002B676C"/>
    <w:rsid w:val="002B70B9"/>
    <w:rsid w:val="002C0566"/>
    <w:rsid w:val="002C0A20"/>
    <w:rsid w:val="002C0B99"/>
    <w:rsid w:val="002C12E1"/>
    <w:rsid w:val="002C1F64"/>
    <w:rsid w:val="002C2043"/>
    <w:rsid w:val="002C2986"/>
    <w:rsid w:val="002C3ADF"/>
    <w:rsid w:val="002C41EA"/>
    <w:rsid w:val="002C4A09"/>
    <w:rsid w:val="002C4C14"/>
    <w:rsid w:val="002C54AC"/>
    <w:rsid w:val="002C61FB"/>
    <w:rsid w:val="002C6D5B"/>
    <w:rsid w:val="002D09DD"/>
    <w:rsid w:val="002D1360"/>
    <w:rsid w:val="002D14D6"/>
    <w:rsid w:val="002D28C5"/>
    <w:rsid w:val="002D2C28"/>
    <w:rsid w:val="002D2FEE"/>
    <w:rsid w:val="002D32DB"/>
    <w:rsid w:val="002D3936"/>
    <w:rsid w:val="002D3AE9"/>
    <w:rsid w:val="002D4239"/>
    <w:rsid w:val="002D4510"/>
    <w:rsid w:val="002D45E4"/>
    <w:rsid w:val="002D4DCB"/>
    <w:rsid w:val="002D5170"/>
    <w:rsid w:val="002D52EF"/>
    <w:rsid w:val="002D582F"/>
    <w:rsid w:val="002D5983"/>
    <w:rsid w:val="002D5CD9"/>
    <w:rsid w:val="002D5F5F"/>
    <w:rsid w:val="002D694E"/>
    <w:rsid w:val="002D6D93"/>
    <w:rsid w:val="002D6DEA"/>
    <w:rsid w:val="002D734E"/>
    <w:rsid w:val="002D7417"/>
    <w:rsid w:val="002D75D8"/>
    <w:rsid w:val="002D7897"/>
    <w:rsid w:val="002E0068"/>
    <w:rsid w:val="002E094A"/>
    <w:rsid w:val="002E0B6A"/>
    <w:rsid w:val="002E13D6"/>
    <w:rsid w:val="002E2200"/>
    <w:rsid w:val="002E2870"/>
    <w:rsid w:val="002E3BE2"/>
    <w:rsid w:val="002E3F34"/>
    <w:rsid w:val="002E45FB"/>
    <w:rsid w:val="002E467F"/>
    <w:rsid w:val="002E4A7B"/>
    <w:rsid w:val="002E52A2"/>
    <w:rsid w:val="002E5598"/>
    <w:rsid w:val="002E633F"/>
    <w:rsid w:val="002E6BFD"/>
    <w:rsid w:val="002E7392"/>
    <w:rsid w:val="002E7395"/>
    <w:rsid w:val="002E7B1F"/>
    <w:rsid w:val="002E7C97"/>
    <w:rsid w:val="002F0734"/>
    <w:rsid w:val="002F110D"/>
    <w:rsid w:val="002F1C15"/>
    <w:rsid w:val="002F1F22"/>
    <w:rsid w:val="002F2230"/>
    <w:rsid w:val="002F2CAE"/>
    <w:rsid w:val="002F2E5B"/>
    <w:rsid w:val="002F44EE"/>
    <w:rsid w:val="002F46E7"/>
    <w:rsid w:val="002F68DC"/>
    <w:rsid w:val="002F69E2"/>
    <w:rsid w:val="002F6B2D"/>
    <w:rsid w:val="002F6FA4"/>
    <w:rsid w:val="003001AB"/>
    <w:rsid w:val="003002CF"/>
    <w:rsid w:val="00300658"/>
    <w:rsid w:val="00301831"/>
    <w:rsid w:val="00301B69"/>
    <w:rsid w:val="003025A6"/>
    <w:rsid w:val="00303B0C"/>
    <w:rsid w:val="003050F2"/>
    <w:rsid w:val="0030543B"/>
    <w:rsid w:val="00305F90"/>
    <w:rsid w:val="003064CA"/>
    <w:rsid w:val="003067CB"/>
    <w:rsid w:val="00306806"/>
    <w:rsid w:val="00306FAE"/>
    <w:rsid w:val="0030742A"/>
    <w:rsid w:val="00307E78"/>
    <w:rsid w:val="00307EE0"/>
    <w:rsid w:val="003101DA"/>
    <w:rsid w:val="003104E6"/>
    <w:rsid w:val="00310D6D"/>
    <w:rsid w:val="003112F3"/>
    <w:rsid w:val="003116A1"/>
    <w:rsid w:val="003131EF"/>
    <w:rsid w:val="0031371F"/>
    <w:rsid w:val="00313EA3"/>
    <w:rsid w:val="003140F6"/>
    <w:rsid w:val="00314757"/>
    <w:rsid w:val="003158BB"/>
    <w:rsid w:val="0031597A"/>
    <w:rsid w:val="00315BDC"/>
    <w:rsid w:val="00315D1E"/>
    <w:rsid w:val="00315D7A"/>
    <w:rsid w:val="00316494"/>
    <w:rsid w:val="003164AE"/>
    <w:rsid w:val="003167A7"/>
    <w:rsid w:val="003172F2"/>
    <w:rsid w:val="00317867"/>
    <w:rsid w:val="00317AAB"/>
    <w:rsid w:val="00320E04"/>
    <w:rsid w:val="003211CE"/>
    <w:rsid w:val="00321514"/>
    <w:rsid w:val="00321A5C"/>
    <w:rsid w:val="00321A9D"/>
    <w:rsid w:val="00321D28"/>
    <w:rsid w:val="003225CF"/>
    <w:rsid w:val="00322725"/>
    <w:rsid w:val="00323436"/>
    <w:rsid w:val="003237C0"/>
    <w:rsid w:val="00324813"/>
    <w:rsid w:val="003252B3"/>
    <w:rsid w:val="00325DC9"/>
    <w:rsid w:val="00326EC9"/>
    <w:rsid w:val="003277CA"/>
    <w:rsid w:val="003279C3"/>
    <w:rsid w:val="00327F30"/>
    <w:rsid w:val="003304E3"/>
    <w:rsid w:val="00330664"/>
    <w:rsid w:val="00330C73"/>
    <w:rsid w:val="00330F48"/>
    <w:rsid w:val="00331498"/>
    <w:rsid w:val="00331519"/>
    <w:rsid w:val="003316CA"/>
    <w:rsid w:val="00331776"/>
    <w:rsid w:val="00332889"/>
    <w:rsid w:val="00333684"/>
    <w:rsid w:val="003338B2"/>
    <w:rsid w:val="00333991"/>
    <w:rsid w:val="00333BCF"/>
    <w:rsid w:val="00333D3C"/>
    <w:rsid w:val="00333D9E"/>
    <w:rsid w:val="00333FAD"/>
    <w:rsid w:val="0033449E"/>
    <w:rsid w:val="0033476D"/>
    <w:rsid w:val="0033586A"/>
    <w:rsid w:val="00336511"/>
    <w:rsid w:val="00336C8A"/>
    <w:rsid w:val="00340036"/>
    <w:rsid w:val="00340567"/>
    <w:rsid w:val="003405EE"/>
    <w:rsid w:val="00341553"/>
    <w:rsid w:val="0034339A"/>
    <w:rsid w:val="00343AAF"/>
    <w:rsid w:val="00343D27"/>
    <w:rsid w:val="00343E92"/>
    <w:rsid w:val="00344A2D"/>
    <w:rsid w:val="00344AD8"/>
    <w:rsid w:val="00344B86"/>
    <w:rsid w:val="003457B0"/>
    <w:rsid w:val="003458C2"/>
    <w:rsid w:val="003458D5"/>
    <w:rsid w:val="00345AFD"/>
    <w:rsid w:val="00345CF5"/>
    <w:rsid w:val="00345DCF"/>
    <w:rsid w:val="00345F9C"/>
    <w:rsid w:val="0034634C"/>
    <w:rsid w:val="003464DD"/>
    <w:rsid w:val="00346736"/>
    <w:rsid w:val="00347046"/>
    <w:rsid w:val="00350ADD"/>
    <w:rsid w:val="00350DCD"/>
    <w:rsid w:val="00350E02"/>
    <w:rsid w:val="00350F79"/>
    <w:rsid w:val="003510EA"/>
    <w:rsid w:val="0035131F"/>
    <w:rsid w:val="003517D7"/>
    <w:rsid w:val="00351B30"/>
    <w:rsid w:val="003520BA"/>
    <w:rsid w:val="003522D8"/>
    <w:rsid w:val="003532CD"/>
    <w:rsid w:val="00353B83"/>
    <w:rsid w:val="00353DB8"/>
    <w:rsid w:val="0035403A"/>
    <w:rsid w:val="00354CB2"/>
    <w:rsid w:val="00355740"/>
    <w:rsid w:val="00355BB8"/>
    <w:rsid w:val="00355CFA"/>
    <w:rsid w:val="0035666C"/>
    <w:rsid w:val="00356921"/>
    <w:rsid w:val="00356A4F"/>
    <w:rsid w:val="00356EDA"/>
    <w:rsid w:val="003578C1"/>
    <w:rsid w:val="00360266"/>
    <w:rsid w:val="00360772"/>
    <w:rsid w:val="00360C76"/>
    <w:rsid w:val="00360FC3"/>
    <w:rsid w:val="003615C0"/>
    <w:rsid w:val="00362020"/>
    <w:rsid w:val="0036296C"/>
    <w:rsid w:val="003634A0"/>
    <w:rsid w:val="0036394B"/>
    <w:rsid w:val="00363E38"/>
    <w:rsid w:val="00363FEF"/>
    <w:rsid w:val="00364E98"/>
    <w:rsid w:val="00365054"/>
    <w:rsid w:val="003666DE"/>
    <w:rsid w:val="00366E69"/>
    <w:rsid w:val="00366F6C"/>
    <w:rsid w:val="00367EDD"/>
    <w:rsid w:val="0037046B"/>
    <w:rsid w:val="003709B5"/>
    <w:rsid w:val="00371444"/>
    <w:rsid w:val="00371FF1"/>
    <w:rsid w:val="003725F2"/>
    <w:rsid w:val="00373493"/>
    <w:rsid w:val="00373972"/>
    <w:rsid w:val="00374459"/>
    <w:rsid w:val="003748D4"/>
    <w:rsid w:val="00374F24"/>
    <w:rsid w:val="003759C2"/>
    <w:rsid w:val="00375DFD"/>
    <w:rsid w:val="00376E91"/>
    <w:rsid w:val="00377081"/>
    <w:rsid w:val="003776F5"/>
    <w:rsid w:val="00377700"/>
    <w:rsid w:val="003779E2"/>
    <w:rsid w:val="00377DFB"/>
    <w:rsid w:val="00380469"/>
    <w:rsid w:val="00380F79"/>
    <w:rsid w:val="0038101B"/>
    <w:rsid w:val="0038159C"/>
    <w:rsid w:val="00381F8D"/>
    <w:rsid w:val="00382518"/>
    <w:rsid w:val="00382924"/>
    <w:rsid w:val="00382B58"/>
    <w:rsid w:val="0038321B"/>
    <w:rsid w:val="00383743"/>
    <w:rsid w:val="003846E2"/>
    <w:rsid w:val="00385074"/>
    <w:rsid w:val="00385348"/>
    <w:rsid w:val="00385747"/>
    <w:rsid w:val="00385B46"/>
    <w:rsid w:val="003862C8"/>
    <w:rsid w:val="003865A3"/>
    <w:rsid w:val="00386762"/>
    <w:rsid w:val="00386DCA"/>
    <w:rsid w:val="00387917"/>
    <w:rsid w:val="00390AA6"/>
    <w:rsid w:val="00390AFD"/>
    <w:rsid w:val="0039125C"/>
    <w:rsid w:val="003915B7"/>
    <w:rsid w:val="00391695"/>
    <w:rsid w:val="00391F2E"/>
    <w:rsid w:val="00392134"/>
    <w:rsid w:val="003921C5"/>
    <w:rsid w:val="00392839"/>
    <w:rsid w:val="003932A0"/>
    <w:rsid w:val="00393BB7"/>
    <w:rsid w:val="00393F1A"/>
    <w:rsid w:val="00394758"/>
    <w:rsid w:val="003947AB"/>
    <w:rsid w:val="00394B43"/>
    <w:rsid w:val="00395078"/>
    <w:rsid w:val="0039528C"/>
    <w:rsid w:val="00395F15"/>
    <w:rsid w:val="00395F41"/>
    <w:rsid w:val="0039633E"/>
    <w:rsid w:val="00396755"/>
    <w:rsid w:val="00397365"/>
    <w:rsid w:val="00397EE7"/>
    <w:rsid w:val="003A026A"/>
    <w:rsid w:val="003A0442"/>
    <w:rsid w:val="003A0781"/>
    <w:rsid w:val="003A07AC"/>
    <w:rsid w:val="003A0A73"/>
    <w:rsid w:val="003A19E0"/>
    <w:rsid w:val="003A2012"/>
    <w:rsid w:val="003A2098"/>
    <w:rsid w:val="003A2585"/>
    <w:rsid w:val="003A2D68"/>
    <w:rsid w:val="003A2ECD"/>
    <w:rsid w:val="003A31F6"/>
    <w:rsid w:val="003A3A8E"/>
    <w:rsid w:val="003A433A"/>
    <w:rsid w:val="003A45C2"/>
    <w:rsid w:val="003A47E9"/>
    <w:rsid w:val="003A4FBC"/>
    <w:rsid w:val="003A5707"/>
    <w:rsid w:val="003A59B3"/>
    <w:rsid w:val="003A6398"/>
    <w:rsid w:val="003A66ED"/>
    <w:rsid w:val="003A672C"/>
    <w:rsid w:val="003A6E0A"/>
    <w:rsid w:val="003B000F"/>
    <w:rsid w:val="003B0249"/>
    <w:rsid w:val="003B0BDA"/>
    <w:rsid w:val="003B0C63"/>
    <w:rsid w:val="003B0F4A"/>
    <w:rsid w:val="003B3374"/>
    <w:rsid w:val="003B3A4B"/>
    <w:rsid w:val="003B3B4D"/>
    <w:rsid w:val="003B4284"/>
    <w:rsid w:val="003B4767"/>
    <w:rsid w:val="003B4C7D"/>
    <w:rsid w:val="003B59D6"/>
    <w:rsid w:val="003B5BC2"/>
    <w:rsid w:val="003B5C50"/>
    <w:rsid w:val="003B610A"/>
    <w:rsid w:val="003B69D9"/>
    <w:rsid w:val="003B762B"/>
    <w:rsid w:val="003B7C9E"/>
    <w:rsid w:val="003B7F1D"/>
    <w:rsid w:val="003C0415"/>
    <w:rsid w:val="003C0780"/>
    <w:rsid w:val="003C0A0E"/>
    <w:rsid w:val="003C2ADE"/>
    <w:rsid w:val="003C30B7"/>
    <w:rsid w:val="003C317A"/>
    <w:rsid w:val="003C328B"/>
    <w:rsid w:val="003C33A7"/>
    <w:rsid w:val="003C3447"/>
    <w:rsid w:val="003C4107"/>
    <w:rsid w:val="003C4444"/>
    <w:rsid w:val="003C484E"/>
    <w:rsid w:val="003C54D3"/>
    <w:rsid w:val="003C63AF"/>
    <w:rsid w:val="003C7156"/>
    <w:rsid w:val="003C7827"/>
    <w:rsid w:val="003C7F70"/>
    <w:rsid w:val="003D076C"/>
    <w:rsid w:val="003D07A6"/>
    <w:rsid w:val="003D0983"/>
    <w:rsid w:val="003D11F9"/>
    <w:rsid w:val="003D128A"/>
    <w:rsid w:val="003D220A"/>
    <w:rsid w:val="003D3478"/>
    <w:rsid w:val="003D39B9"/>
    <w:rsid w:val="003D3B96"/>
    <w:rsid w:val="003D40FF"/>
    <w:rsid w:val="003D5179"/>
    <w:rsid w:val="003D7B0A"/>
    <w:rsid w:val="003D7C1A"/>
    <w:rsid w:val="003E033E"/>
    <w:rsid w:val="003E03A5"/>
    <w:rsid w:val="003E098E"/>
    <w:rsid w:val="003E21E1"/>
    <w:rsid w:val="003E368A"/>
    <w:rsid w:val="003E3723"/>
    <w:rsid w:val="003E3DFA"/>
    <w:rsid w:val="003E492F"/>
    <w:rsid w:val="003E4930"/>
    <w:rsid w:val="003E4CB2"/>
    <w:rsid w:val="003E5919"/>
    <w:rsid w:val="003E5E1C"/>
    <w:rsid w:val="003E609F"/>
    <w:rsid w:val="003E6C86"/>
    <w:rsid w:val="003E78B5"/>
    <w:rsid w:val="003E7CD4"/>
    <w:rsid w:val="003E7FC6"/>
    <w:rsid w:val="003F00DD"/>
    <w:rsid w:val="003F0B21"/>
    <w:rsid w:val="003F0F32"/>
    <w:rsid w:val="003F2061"/>
    <w:rsid w:val="003F2C15"/>
    <w:rsid w:val="003F2C68"/>
    <w:rsid w:val="003F42F5"/>
    <w:rsid w:val="003F47D3"/>
    <w:rsid w:val="003F4BA3"/>
    <w:rsid w:val="003F5030"/>
    <w:rsid w:val="003F5B85"/>
    <w:rsid w:val="003F5F69"/>
    <w:rsid w:val="003F67F8"/>
    <w:rsid w:val="003F693F"/>
    <w:rsid w:val="003F6CB9"/>
    <w:rsid w:val="003F6D82"/>
    <w:rsid w:val="003F7251"/>
    <w:rsid w:val="003F759E"/>
    <w:rsid w:val="0040061A"/>
    <w:rsid w:val="004006C4"/>
    <w:rsid w:val="00401146"/>
    <w:rsid w:val="00401931"/>
    <w:rsid w:val="004021C1"/>
    <w:rsid w:val="00402DB6"/>
    <w:rsid w:val="004030B3"/>
    <w:rsid w:val="0040394F"/>
    <w:rsid w:val="00404162"/>
    <w:rsid w:val="0040463C"/>
    <w:rsid w:val="00404AD5"/>
    <w:rsid w:val="00405154"/>
    <w:rsid w:val="00405A9B"/>
    <w:rsid w:val="00406786"/>
    <w:rsid w:val="0040689E"/>
    <w:rsid w:val="00406A5A"/>
    <w:rsid w:val="00407447"/>
    <w:rsid w:val="00407EC6"/>
    <w:rsid w:val="004104BA"/>
    <w:rsid w:val="00410898"/>
    <w:rsid w:val="0041140D"/>
    <w:rsid w:val="00411EB4"/>
    <w:rsid w:val="0041293E"/>
    <w:rsid w:val="00412A46"/>
    <w:rsid w:val="00412C33"/>
    <w:rsid w:val="00413231"/>
    <w:rsid w:val="004132EB"/>
    <w:rsid w:val="004137A7"/>
    <w:rsid w:val="00413CA2"/>
    <w:rsid w:val="00414196"/>
    <w:rsid w:val="004141AC"/>
    <w:rsid w:val="0041506D"/>
    <w:rsid w:val="004156AC"/>
    <w:rsid w:val="004157C0"/>
    <w:rsid w:val="00415BAB"/>
    <w:rsid w:val="00415E08"/>
    <w:rsid w:val="00415ED2"/>
    <w:rsid w:val="004161D2"/>
    <w:rsid w:val="0041751A"/>
    <w:rsid w:val="00417D2C"/>
    <w:rsid w:val="0042068C"/>
    <w:rsid w:val="0042108D"/>
    <w:rsid w:val="00421717"/>
    <w:rsid w:val="004219C2"/>
    <w:rsid w:val="004220E1"/>
    <w:rsid w:val="00422A56"/>
    <w:rsid w:val="00422C83"/>
    <w:rsid w:val="00423020"/>
    <w:rsid w:val="00423178"/>
    <w:rsid w:val="004232B6"/>
    <w:rsid w:val="00424B00"/>
    <w:rsid w:val="00425439"/>
    <w:rsid w:val="00425D61"/>
    <w:rsid w:val="004264A2"/>
    <w:rsid w:val="004265AD"/>
    <w:rsid w:val="00426BB5"/>
    <w:rsid w:val="00426EB0"/>
    <w:rsid w:val="00426ECD"/>
    <w:rsid w:val="004300F8"/>
    <w:rsid w:val="00430421"/>
    <w:rsid w:val="00430F5F"/>
    <w:rsid w:val="004326BC"/>
    <w:rsid w:val="004328B4"/>
    <w:rsid w:val="00432CC0"/>
    <w:rsid w:val="00432E73"/>
    <w:rsid w:val="0043355C"/>
    <w:rsid w:val="004340D7"/>
    <w:rsid w:val="004346F8"/>
    <w:rsid w:val="00434814"/>
    <w:rsid w:val="0043597F"/>
    <w:rsid w:val="0043700A"/>
    <w:rsid w:val="004370EE"/>
    <w:rsid w:val="004372C9"/>
    <w:rsid w:val="00437E09"/>
    <w:rsid w:val="00440675"/>
    <w:rsid w:val="004406DC"/>
    <w:rsid w:val="00442B7B"/>
    <w:rsid w:val="00442F78"/>
    <w:rsid w:val="0044323E"/>
    <w:rsid w:val="00443286"/>
    <w:rsid w:val="00443358"/>
    <w:rsid w:val="00443362"/>
    <w:rsid w:val="00443CCC"/>
    <w:rsid w:val="0044462D"/>
    <w:rsid w:val="0044478B"/>
    <w:rsid w:val="00444C0B"/>
    <w:rsid w:val="0044547A"/>
    <w:rsid w:val="00445BC0"/>
    <w:rsid w:val="0044652A"/>
    <w:rsid w:val="00446750"/>
    <w:rsid w:val="00447038"/>
    <w:rsid w:val="0044775D"/>
    <w:rsid w:val="004477A0"/>
    <w:rsid w:val="00447904"/>
    <w:rsid w:val="00451653"/>
    <w:rsid w:val="004534E7"/>
    <w:rsid w:val="00453B17"/>
    <w:rsid w:val="004542CA"/>
    <w:rsid w:val="00454713"/>
    <w:rsid w:val="00454CA6"/>
    <w:rsid w:val="00454F05"/>
    <w:rsid w:val="00454F77"/>
    <w:rsid w:val="00454FE2"/>
    <w:rsid w:val="0045545F"/>
    <w:rsid w:val="004554E2"/>
    <w:rsid w:val="004558D0"/>
    <w:rsid w:val="00455BB8"/>
    <w:rsid w:val="00455CB2"/>
    <w:rsid w:val="0045640A"/>
    <w:rsid w:val="00456A44"/>
    <w:rsid w:val="00456B7C"/>
    <w:rsid w:val="00456F7B"/>
    <w:rsid w:val="004574D4"/>
    <w:rsid w:val="00457EFA"/>
    <w:rsid w:val="004604C5"/>
    <w:rsid w:val="00460A04"/>
    <w:rsid w:val="00460B88"/>
    <w:rsid w:val="00461924"/>
    <w:rsid w:val="00461B2F"/>
    <w:rsid w:val="004623ED"/>
    <w:rsid w:val="00463A7A"/>
    <w:rsid w:val="00463A90"/>
    <w:rsid w:val="00463F64"/>
    <w:rsid w:val="00464B25"/>
    <w:rsid w:val="00464F48"/>
    <w:rsid w:val="00465D4A"/>
    <w:rsid w:val="00466859"/>
    <w:rsid w:val="004669D7"/>
    <w:rsid w:val="00466B8D"/>
    <w:rsid w:val="00467598"/>
    <w:rsid w:val="004700C0"/>
    <w:rsid w:val="0047122B"/>
    <w:rsid w:val="004716F2"/>
    <w:rsid w:val="00472764"/>
    <w:rsid w:val="00473B7A"/>
    <w:rsid w:val="004740A6"/>
    <w:rsid w:val="004741FF"/>
    <w:rsid w:val="004747F8"/>
    <w:rsid w:val="00476A76"/>
    <w:rsid w:val="00477657"/>
    <w:rsid w:val="00477940"/>
    <w:rsid w:val="00477B56"/>
    <w:rsid w:val="00477FA8"/>
    <w:rsid w:val="004804DB"/>
    <w:rsid w:val="004814AE"/>
    <w:rsid w:val="00481650"/>
    <w:rsid w:val="004817C1"/>
    <w:rsid w:val="0048230E"/>
    <w:rsid w:val="00482A32"/>
    <w:rsid w:val="00483379"/>
    <w:rsid w:val="00483BFD"/>
    <w:rsid w:val="0048630F"/>
    <w:rsid w:val="004875EF"/>
    <w:rsid w:val="00487E42"/>
    <w:rsid w:val="004902C7"/>
    <w:rsid w:val="004912F0"/>
    <w:rsid w:val="004925EB"/>
    <w:rsid w:val="00492943"/>
    <w:rsid w:val="00492C73"/>
    <w:rsid w:val="00492F22"/>
    <w:rsid w:val="00493415"/>
    <w:rsid w:val="00493EAE"/>
    <w:rsid w:val="00495155"/>
    <w:rsid w:val="004960E9"/>
    <w:rsid w:val="00496414"/>
    <w:rsid w:val="004964D6"/>
    <w:rsid w:val="00496D65"/>
    <w:rsid w:val="004971D3"/>
    <w:rsid w:val="0049798C"/>
    <w:rsid w:val="004A01C2"/>
    <w:rsid w:val="004A0407"/>
    <w:rsid w:val="004A0449"/>
    <w:rsid w:val="004A0A85"/>
    <w:rsid w:val="004A0DC6"/>
    <w:rsid w:val="004A0E37"/>
    <w:rsid w:val="004A0FD2"/>
    <w:rsid w:val="004A0FE9"/>
    <w:rsid w:val="004A1599"/>
    <w:rsid w:val="004A17C1"/>
    <w:rsid w:val="004A20FE"/>
    <w:rsid w:val="004A2D00"/>
    <w:rsid w:val="004A2DE3"/>
    <w:rsid w:val="004A2E88"/>
    <w:rsid w:val="004A326A"/>
    <w:rsid w:val="004A32DB"/>
    <w:rsid w:val="004A33B8"/>
    <w:rsid w:val="004A46C5"/>
    <w:rsid w:val="004A4BF0"/>
    <w:rsid w:val="004A51E0"/>
    <w:rsid w:val="004A5305"/>
    <w:rsid w:val="004A57FA"/>
    <w:rsid w:val="004A5D79"/>
    <w:rsid w:val="004B0074"/>
    <w:rsid w:val="004B0FC4"/>
    <w:rsid w:val="004B11B2"/>
    <w:rsid w:val="004B12C2"/>
    <w:rsid w:val="004B1676"/>
    <w:rsid w:val="004B25B0"/>
    <w:rsid w:val="004B27FE"/>
    <w:rsid w:val="004B2AA0"/>
    <w:rsid w:val="004B370F"/>
    <w:rsid w:val="004B3F5C"/>
    <w:rsid w:val="004B4139"/>
    <w:rsid w:val="004B428D"/>
    <w:rsid w:val="004B47B2"/>
    <w:rsid w:val="004B4A60"/>
    <w:rsid w:val="004B5442"/>
    <w:rsid w:val="004B5904"/>
    <w:rsid w:val="004B5F87"/>
    <w:rsid w:val="004B64DC"/>
    <w:rsid w:val="004B6821"/>
    <w:rsid w:val="004B6B94"/>
    <w:rsid w:val="004B73D6"/>
    <w:rsid w:val="004B7CE2"/>
    <w:rsid w:val="004B7F82"/>
    <w:rsid w:val="004C0B8C"/>
    <w:rsid w:val="004C1D1A"/>
    <w:rsid w:val="004C203F"/>
    <w:rsid w:val="004C24BD"/>
    <w:rsid w:val="004C27D5"/>
    <w:rsid w:val="004C2B06"/>
    <w:rsid w:val="004C3D09"/>
    <w:rsid w:val="004C3DBD"/>
    <w:rsid w:val="004C3E2A"/>
    <w:rsid w:val="004C4868"/>
    <w:rsid w:val="004C497A"/>
    <w:rsid w:val="004C5987"/>
    <w:rsid w:val="004C6D96"/>
    <w:rsid w:val="004C6FE1"/>
    <w:rsid w:val="004C7024"/>
    <w:rsid w:val="004D03CB"/>
    <w:rsid w:val="004D0934"/>
    <w:rsid w:val="004D142A"/>
    <w:rsid w:val="004D31A2"/>
    <w:rsid w:val="004D3EB6"/>
    <w:rsid w:val="004D49E3"/>
    <w:rsid w:val="004D4FB5"/>
    <w:rsid w:val="004D5600"/>
    <w:rsid w:val="004D7634"/>
    <w:rsid w:val="004E1FE4"/>
    <w:rsid w:val="004E214E"/>
    <w:rsid w:val="004E21B3"/>
    <w:rsid w:val="004E3275"/>
    <w:rsid w:val="004E37DE"/>
    <w:rsid w:val="004E39E2"/>
    <w:rsid w:val="004E47D0"/>
    <w:rsid w:val="004E499F"/>
    <w:rsid w:val="004E5893"/>
    <w:rsid w:val="004E5EDD"/>
    <w:rsid w:val="004E65F3"/>
    <w:rsid w:val="004E6DA1"/>
    <w:rsid w:val="004E6EB0"/>
    <w:rsid w:val="004E700F"/>
    <w:rsid w:val="004E74C8"/>
    <w:rsid w:val="004E74DF"/>
    <w:rsid w:val="004F0408"/>
    <w:rsid w:val="004F19FB"/>
    <w:rsid w:val="004F2404"/>
    <w:rsid w:val="004F24B5"/>
    <w:rsid w:val="004F2597"/>
    <w:rsid w:val="004F4032"/>
    <w:rsid w:val="004F43CD"/>
    <w:rsid w:val="004F4552"/>
    <w:rsid w:val="004F5032"/>
    <w:rsid w:val="004F505F"/>
    <w:rsid w:val="004F569D"/>
    <w:rsid w:val="004F6361"/>
    <w:rsid w:val="004F68C4"/>
    <w:rsid w:val="00500A28"/>
    <w:rsid w:val="005014A3"/>
    <w:rsid w:val="005019D0"/>
    <w:rsid w:val="00501A6B"/>
    <w:rsid w:val="00501DC9"/>
    <w:rsid w:val="0050269F"/>
    <w:rsid w:val="0050282B"/>
    <w:rsid w:val="0050318E"/>
    <w:rsid w:val="00503BA2"/>
    <w:rsid w:val="00503EB5"/>
    <w:rsid w:val="00504458"/>
    <w:rsid w:val="005048FB"/>
    <w:rsid w:val="00504D75"/>
    <w:rsid w:val="00504DE2"/>
    <w:rsid w:val="00505153"/>
    <w:rsid w:val="00505281"/>
    <w:rsid w:val="0050528C"/>
    <w:rsid w:val="00505673"/>
    <w:rsid w:val="00506B35"/>
    <w:rsid w:val="00507C8B"/>
    <w:rsid w:val="00510831"/>
    <w:rsid w:val="005114DD"/>
    <w:rsid w:val="005118A4"/>
    <w:rsid w:val="00512CC9"/>
    <w:rsid w:val="00513428"/>
    <w:rsid w:val="00513885"/>
    <w:rsid w:val="00513A6C"/>
    <w:rsid w:val="00514674"/>
    <w:rsid w:val="0051485D"/>
    <w:rsid w:val="00515246"/>
    <w:rsid w:val="00515C6C"/>
    <w:rsid w:val="00515F11"/>
    <w:rsid w:val="005169A3"/>
    <w:rsid w:val="0051737B"/>
    <w:rsid w:val="00517DBC"/>
    <w:rsid w:val="00517E73"/>
    <w:rsid w:val="005206E2"/>
    <w:rsid w:val="00521378"/>
    <w:rsid w:val="005213F1"/>
    <w:rsid w:val="00522142"/>
    <w:rsid w:val="00522D49"/>
    <w:rsid w:val="005233AA"/>
    <w:rsid w:val="005236DB"/>
    <w:rsid w:val="00524B22"/>
    <w:rsid w:val="00524EFD"/>
    <w:rsid w:val="00526C8A"/>
    <w:rsid w:val="00526CB1"/>
    <w:rsid w:val="00527113"/>
    <w:rsid w:val="00527E4B"/>
    <w:rsid w:val="005300D3"/>
    <w:rsid w:val="00530569"/>
    <w:rsid w:val="005307C3"/>
    <w:rsid w:val="00530A8E"/>
    <w:rsid w:val="0053131E"/>
    <w:rsid w:val="00532748"/>
    <w:rsid w:val="00533B44"/>
    <w:rsid w:val="00533B5B"/>
    <w:rsid w:val="00533FEB"/>
    <w:rsid w:val="00535147"/>
    <w:rsid w:val="005359FB"/>
    <w:rsid w:val="00535BE9"/>
    <w:rsid w:val="0053648C"/>
    <w:rsid w:val="005367E5"/>
    <w:rsid w:val="00536884"/>
    <w:rsid w:val="00536B23"/>
    <w:rsid w:val="00537525"/>
    <w:rsid w:val="00537735"/>
    <w:rsid w:val="005379D4"/>
    <w:rsid w:val="0054060C"/>
    <w:rsid w:val="0054066A"/>
    <w:rsid w:val="0054090B"/>
    <w:rsid w:val="00541222"/>
    <w:rsid w:val="00541724"/>
    <w:rsid w:val="005427A9"/>
    <w:rsid w:val="005429C6"/>
    <w:rsid w:val="0054305C"/>
    <w:rsid w:val="00543502"/>
    <w:rsid w:val="00543F74"/>
    <w:rsid w:val="00544019"/>
    <w:rsid w:val="005445C3"/>
    <w:rsid w:val="00544F82"/>
    <w:rsid w:val="00545484"/>
    <w:rsid w:val="00546550"/>
    <w:rsid w:val="005470D9"/>
    <w:rsid w:val="00547653"/>
    <w:rsid w:val="0055024D"/>
    <w:rsid w:val="005505D0"/>
    <w:rsid w:val="00551A54"/>
    <w:rsid w:val="00551CF1"/>
    <w:rsid w:val="005526D4"/>
    <w:rsid w:val="0055300C"/>
    <w:rsid w:val="005539CD"/>
    <w:rsid w:val="00554AF3"/>
    <w:rsid w:val="00554BC1"/>
    <w:rsid w:val="00556498"/>
    <w:rsid w:val="005575A4"/>
    <w:rsid w:val="0056082B"/>
    <w:rsid w:val="005609BC"/>
    <w:rsid w:val="00560C53"/>
    <w:rsid w:val="00561796"/>
    <w:rsid w:val="00562294"/>
    <w:rsid w:val="005626E0"/>
    <w:rsid w:val="0056286A"/>
    <w:rsid w:val="00564ABA"/>
    <w:rsid w:val="00564C4E"/>
    <w:rsid w:val="00565193"/>
    <w:rsid w:val="00565841"/>
    <w:rsid w:val="005672F4"/>
    <w:rsid w:val="0057046A"/>
    <w:rsid w:val="00570511"/>
    <w:rsid w:val="0057063C"/>
    <w:rsid w:val="00570D80"/>
    <w:rsid w:val="005721D6"/>
    <w:rsid w:val="00572213"/>
    <w:rsid w:val="00574084"/>
    <w:rsid w:val="005745EF"/>
    <w:rsid w:val="0057472E"/>
    <w:rsid w:val="00574FB3"/>
    <w:rsid w:val="005758E2"/>
    <w:rsid w:val="00575D04"/>
    <w:rsid w:val="00575E42"/>
    <w:rsid w:val="005766AC"/>
    <w:rsid w:val="00577129"/>
    <w:rsid w:val="005776E1"/>
    <w:rsid w:val="0057777C"/>
    <w:rsid w:val="00577CB1"/>
    <w:rsid w:val="00577EC1"/>
    <w:rsid w:val="0058064D"/>
    <w:rsid w:val="0058075D"/>
    <w:rsid w:val="00580F3A"/>
    <w:rsid w:val="00581C4D"/>
    <w:rsid w:val="00581F52"/>
    <w:rsid w:val="005823A4"/>
    <w:rsid w:val="00582420"/>
    <w:rsid w:val="0058248D"/>
    <w:rsid w:val="00582B8C"/>
    <w:rsid w:val="005841EE"/>
    <w:rsid w:val="00584F15"/>
    <w:rsid w:val="00584F27"/>
    <w:rsid w:val="00585035"/>
    <w:rsid w:val="00585CEE"/>
    <w:rsid w:val="0058644D"/>
    <w:rsid w:val="00586538"/>
    <w:rsid w:val="00587758"/>
    <w:rsid w:val="005879B0"/>
    <w:rsid w:val="00587A4B"/>
    <w:rsid w:val="00590A4F"/>
    <w:rsid w:val="00591425"/>
    <w:rsid w:val="00591A13"/>
    <w:rsid w:val="00591EE7"/>
    <w:rsid w:val="00591F6F"/>
    <w:rsid w:val="005925C3"/>
    <w:rsid w:val="0059268F"/>
    <w:rsid w:val="0059314A"/>
    <w:rsid w:val="005935AC"/>
    <w:rsid w:val="00593853"/>
    <w:rsid w:val="00593BFB"/>
    <w:rsid w:val="00593C2F"/>
    <w:rsid w:val="00593C4F"/>
    <w:rsid w:val="005946A8"/>
    <w:rsid w:val="00595744"/>
    <w:rsid w:val="005959BB"/>
    <w:rsid w:val="00596C97"/>
    <w:rsid w:val="00596D0A"/>
    <w:rsid w:val="00596E8D"/>
    <w:rsid w:val="00597494"/>
    <w:rsid w:val="00597F20"/>
    <w:rsid w:val="005A00FD"/>
    <w:rsid w:val="005A0536"/>
    <w:rsid w:val="005A05EE"/>
    <w:rsid w:val="005A158B"/>
    <w:rsid w:val="005A1AD2"/>
    <w:rsid w:val="005A24F3"/>
    <w:rsid w:val="005A2829"/>
    <w:rsid w:val="005A2923"/>
    <w:rsid w:val="005A36C1"/>
    <w:rsid w:val="005A38D6"/>
    <w:rsid w:val="005A38F3"/>
    <w:rsid w:val="005A3B54"/>
    <w:rsid w:val="005A3E10"/>
    <w:rsid w:val="005A4114"/>
    <w:rsid w:val="005A4191"/>
    <w:rsid w:val="005A4407"/>
    <w:rsid w:val="005A49FD"/>
    <w:rsid w:val="005A4C09"/>
    <w:rsid w:val="005A559B"/>
    <w:rsid w:val="005A5871"/>
    <w:rsid w:val="005A59EF"/>
    <w:rsid w:val="005A5C18"/>
    <w:rsid w:val="005A5DD8"/>
    <w:rsid w:val="005A624E"/>
    <w:rsid w:val="005A7139"/>
    <w:rsid w:val="005A7891"/>
    <w:rsid w:val="005B0AEB"/>
    <w:rsid w:val="005B0BBE"/>
    <w:rsid w:val="005B0E4C"/>
    <w:rsid w:val="005B1078"/>
    <w:rsid w:val="005B1CB8"/>
    <w:rsid w:val="005B21FE"/>
    <w:rsid w:val="005B289C"/>
    <w:rsid w:val="005B2A18"/>
    <w:rsid w:val="005B2B95"/>
    <w:rsid w:val="005B3825"/>
    <w:rsid w:val="005B3B6C"/>
    <w:rsid w:val="005B3F3E"/>
    <w:rsid w:val="005B424B"/>
    <w:rsid w:val="005B4D19"/>
    <w:rsid w:val="005B5FF8"/>
    <w:rsid w:val="005B6583"/>
    <w:rsid w:val="005C0BD6"/>
    <w:rsid w:val="005C0C94"/>
    <w:rsid w:val="005C0CD4"/>
    <w:rsid w:val="005C0F04"/>
    <w:rsid w:val="005C13F0"/>
    <w:rsid w:val="005C14B4"/>
    <w:rsid w:val="005C2383"/>
    <w:rsid w:val="005C361E"/>
    <w:rsid w:val="005C39FD"/>
    <w:rsid w:val="005C3F2A"/>
    <w:rsid w:val="005C4862"/>
    <w:rsid w:val="005C4AE7"/>
    <w:rsid w:val="005C50CB"/>
    <w:rsid w:val="005C5396"/>
    <w:rsid w:val="005C599C"/>
    <w:rsid w:val="005C63A8"/>
    <w:rsid w:val="005C7B2B"/>
    <w:rsid w:val="005D0F1F"/>
    <w:rsid w:val="005D1429"/>
    <w:rsid w:val="005D215E"/>
    <w:rsid w:val="005D3655"/>
    <w:rsid w:val="005D3998"/>
    <w:rsid w:val="005D492F"/>
    <w:rsid w:val="005D4E62"/>
    <w:rsid w:val="005D52B3"/>
    <w:rsid w:val="005D539E"/>
    <w:rsid w:val="005D55B0"/>
    <w:rsid w:val="005D6385"/>
    <w:rsid w:val="005D6F30"/>
    <w:rsid w:val="005D7748"/>
    <w:rsid w:val="005D790C"/>
    <w:rsid w:val="005E008F"/>
    <w:rsid w:val="005E099D"/>
    <w:rsid w:val="005E0EDE"/>
    <w:rsid w:val="005E10CF"/>
    <w:rsid w:val="005E189C"/>
    <w:rsid w:val="005E1DD4"/>
    <w:rsid w:val="005E2458"/>
    <w:rsid w:val="005E2563"/>
    <w:rsid w:val="005E343D"/>
    <w:rsid w:val="005E3CAA"/>
    <w:rsid w:val="005E438D"/>
    <w:rsid w:val="005E4D01"/>
    <w:rsid w:val="005E54E9"/>
    <w:rsid w:val="005E5875"/>
    <w:rsid w:val="005E5ED5"/>
    <w:rsid w:val="005E654A"/>
    <w:rsid w:val="005E6915"/>
    <w:rsid w:val="005E6D07"/>
    <w:rsid w:val="005E7111"/>
    <w:rsid w:val="005E7908"/>
    <w:rsid w:val="005E7991"/>
    <w:rsid w:val="005E7C1F"/>
    <w:rsid w:val="005F041B"/>
    <w:rsid w:val="005F1971"/>
    <w:rsid w:val="005F2625"/>
    <w:rsid w:val="005F26F3"/>
    <w:rsid w:val="005F3318"/>
    <w:rsid w:val="005F3359"/>
    <w:rsid w:val="005F3710"/>
    <w:rsid w:val="005F493B"/>
    <w:rsid w:val="005F4B51"/>
    <w:rsid w:val="005F4BA3"/>
    <w:rsid w:val="005F562F"/>
    <w:rsid w:val="005F65B1"/>
    <w:rsid w:val="005F6F41"/>
    <w:rsid w:val="005F770D"/>
    <w:rsid w:val="005F7A7E"/>
    <w:rsid w:val="00600176"/>
    <w:rsid w:val="00600D39"/>
    <w:rsid w:val="00601082"/>
    <w:rsid w:val="0060185B"/>
    <w:rsid w:val="00602A51"/>
    <w:rsid w:val="00602AC4"/>
    <w:rsid w:val="00602AEA"/>
    <w:rsid w:val="006038CC"/>
    <w:rsid w:val="00603AF2"/>
    <w:rsid w:val="006043B8"/>
    <w:rsid w:val="00604D50"/>
    <w:rsid w:val="00605168"/>
    <w:rsid w:val="006055B1"/>
    <w:rsid w:val="00605810"/>
    <w:rsid w:val="0060586A"/>
    <w:rsid w:val="00605B89"/>
    <w:rsid w:val="0060604C"/>
    <w:rsid w:val="006061CD"/>
    <w:rsid w:val="0060659D"/>
    <w:rsid w:val="00606F6A"/>
    <w:rsid w:val="006100C2"/>
    <w:rsid w:val="006105D5"/>
    <w:rsid w:val="0061061E"/>
    <w:rsid w:val="00610853"/>
    <w:rsid w:val="00610D7A"/>
    <w:rsid w:val="00611BAF"/>
    <w:rsid w:val="00611E61"/>
    <w:rsid w:val="00612058"/>
    <w:rsid w:val="006132E4"/>
    <w:rsid w:val="00613A17"/>
    <w:rsid w:val="00613AE5"/>
    <w:rsid w:val="00614BCD"/>
    <w:rsid w:val="00615A42"/>
    <w:rsid w:val="00616689"/>
    <w:rsid w:val="006173C7"/>
    <w:rsid w:val="0061769C"/>
    <w:rsid w:val="006205BB"/>
    <w:rsid w:val="00621520"/>
    <w:rsid w:val="006218F4"/>
    <w:rsid w:val="00621A12"/>
    <w:rsid w:val="00621ABE"/>
    <w:rsid w:val="00622414"/>
    <w:rsid w:val="006229FA"/>
    <w:rsid w:val="006235E2"/>
    <w:rsid w:val="006236DA"/>
    <w:rsid w:val="00623D9D"/>
    <w:rsid w:val="00624697"/>
    <w:rsid w:val="00624952"/>
    <w:rsid w:val="006250EC"/>
    <w:rsid w:val="00625642"/>
    <w:rsid w:val="00625DC6"/>
    <w:rsid w:val="00626C69"/>
    <w:rsid w:val="00627B30"/>
    <w:rsid w:val="006301EC"/>
    <w:rsid w:val="00630697"/>
    <w:rsid w:val="0063084B"/>
    <w:rsid w:val="006310E9"/>
    <w:rsid w:val="00631535"/>
    <w:rsid w:val="0063153F"/>
    <w:rsid w:val="00632BB1"/>
    <w:rsid w:val="00632C3D"/>
    <w:rsid w:val="00633102"/>
    <w:rsid w:val="00633485"/>
    <w:rsid w:val="0063353C"/>
    <w:rsid w:val="00634194"/>
    <w:rsid w:val="00635170"/>
    <w:rsid w:val="00635A91"/>
    <w:rsid w:val="00635D20"/>
    <w:rsid w:val="006363D0"/>
    <w:rsid w:val="006366A7"/>
    <w:rsid w:val="0064008D"/>
    <w:rsid w:val="00640274"/>
    <w:rsid w:val="00640FA4"/>
    <w:rsid w:val="0064111E"/>
    <w:rsid w:val="0064117E"/>
    <w:rsid w:val="00641483"/>
    <w:rsid w:val="00642010"/>
    <w:rsid w:val="0064391D"/>
    <w:rsid w:val="006439CF"/>
    <w:rsid w:val="00643EAD"/>
    <w:rsid w:val="00644013"/>
    <w:rsid w:val="00644451"/>
    <w:rsid w:val="006444D4"/>
    <w:rsid w:val="00644712"/>
    <w:rsid w:val="00644BBC"/>
    <w:rsid w:val="00644D44"/>
    <w:rsid w:val="006455EA"/>
    <w:rsid w:val="006459A5"/>
    <w:rsid w:val="006462F7"/>
    <w:rsid w:val="00646582"/>
    <w:rsid w:val="00646655"/>
    <w:rsid w:val="00646950"/>
    <w:rsid w:val="00646F7B"/>
    <w:rsid w:val="00647634"/>
    <w:rsid w:val="00647C1D"/>
    <w:rsid w:val="006500A8"/>
    <w:rsid w:val="006509FD"/>
    <w:rsid w:val="00650E29"/>
    <w:rsid w:val="00651218"/>
    <w:rsid w:val="00651249"/>
    <w:rsid w:val="00651821"/>
    <w:rsid w:val="00652548"/>
    <w:rsid w:val="0065280B"/>
    <w:rsid w:val="00652DB2"/>
    <w:rsid w:val="00652DE4"/>
    <w:rsid w:val="0065393F"/>
    <w:rsid w:val="00653C26"/>
    <w:rsid w:val="00653FF5"/>
    <w:rsid w:val="00654117"/>
    <w:rsid w:val="00654384"/>
    <w:rsid w:val="00654A7C"/>
    <w:rsid w:val="00654B37"/>
    <w:rsid w:val="00654F3E"/>
    <w:rsid w:val="00655782"/>
    <w:rsid w:val="00655805"/>
    <w:rsid w:val="0065599E"/>
    <w:rsid w:val="00656128"/>
    <w:rsid w:val="00656440"/>
    <w:rsid w:val="00657695"/>
    <w:rsid w:val="00660E08"/>
    <w:rsid w:val="006632DB"/>
    <w:rsid w:val="006645AA"/>
    <w:rsid w:val="00664A68"/>
    <w:rsid w:val="006666EB"/>
    <w:rsid w:val="00666FC9"/>
    <w:rsid w:val="006673B1"/>
    <w:rsid w:val="006675CD"/>
    <w:rsid w:val="00667F2A"/>
    <w:rsid w:val="006706EF"/>
    <w:rsid w:val="00670F1A"/>
    <w:rsid w:val="00670F7F"/>
    <w:rsid w:val="00671FC5"/>
    <w:rsid w:val="006725A2"/>
    <w:rsid w:val="00672A65"/>
    <w:rsid w:val="00672AA9"/>
    <w:rsid w:val="006731BA"/>
    <w:rsid w:val="00673468"/>
    <w:rsid w:val="00673885"/>
    <w:rsid w:val="006739F4"/>
    <w:rsid w:val="0067411C"/>
    <w:rsid w:val="00674125"/>
    <w:rsid w:val="00674921"/>
    <w:rsid w:val="00674C62"/>
    <w:rsid w:val="00674D4E"/>
    <w:rsid w:val="00675CCE"/>
    <w:rsid w:val="0067698E"/>
    <w:rsid w:val="00676A0D"/>
    <w:rsid w:val="00677099"/>
    <w:rsid w:val="006776CF"/>
    <w:rsid w:val="00677F5E"/>
    <w:rsid w:val="00680CCA"/>
    <w:rsid w:val="006829AD"/>
    <w:rsid w:val="00682A8D"/>
    <w:rsid w:val="00683161"/>
    <w:rsid w:val="00683F0F"/>
    <w:rsid w:val="00684919"/>
    <w:rsid w:val="00684AB3"/>
    <w:rsid w:val="00684D9B"/>
    <w:rsid w:val="006854E5"/>
    <w:rsid w:val="00685915"/>
    <w:rsid w:val="00685EE8"/>
    <w:rsid w:val="006861EF"/>
    <w:rsid w:val="00686C91"/>
    <w:rsid w:val="00686CBD"/>
    <w:rsid w:val="0068781A"/>
    <w:rsid w:val="00690155"/>
    <w:rsid w:val="0069091A"/>
    <w:rsid w:val="00690AC9"/>
    <w:rsid w:val="00690FA7"/>
    <w:rsid w:val="00691D21"/>
    <w:rsid w:val="00691EFE"/>
    <w:rsid w:val="0069208C"/>
    <w:rsid w:val="0069255B"/>
    <w:rsid w:val="00692B0E"/>
    <w:rsid w:val="00692D63"/>
    <w:rsid w:val="0069352A"/>
    <w:rsid w:val="00694885"/>
    <w:rsid w:val="00694BC8"/>
    <w:rsid w:val="00694E03"/>
    <w:rsid w:val="00696554"/>
    <w:rsid w:val="00696592"/>
    <w:rsid w:val="00696618"/>
    <w:rsid w:val="006966DC"/>
    <w:rsid w:val="00696CF4"/>
    <w:rsid w:val="006970CF"/>
    <w:rsid w:val="00697556"/>
    <w:rsid w:val="006A0F3F"/>
    <w:rsid w:val="006A14B5"/>
    <w:rsid w:val="006A2161"/>
    <w:rsid w:val="006A2CD4"/>
    <w:rsid w:val="006A2E43"/>
    <w:rsid w:val="006A32BB"/>
    <w:rsid w:val="006A33FF"/>
    <w:rsid w:val="006A42F9"/>
    <w:rsid w:val="006A4548"/>
    <w:rsid w:val="006A4DA4"/>
    <w:rsid w:val="006A5BD7"/>
    <w:rsid w:val="006A61E7"/>
    <w:rsid w:val="006A71B1"/>
    <w:rsid w:val="006A71F5"/>
    <w:rsid w:val="006A7392"/>
    <w:rsid w:val="006A7868"/>
    <w:rsid w:val="006B0EAB"/>
    <w:rsid w:val="006B12CB"/>
    <w:rsid w:val="006B23A9"/>
    <w:rsid w:val="006B2AC4"/>
    <w:rsid w:val="006B2C70"/>
    <w:rsid w:val="006B2CA2"/>
    <w:rsid w:val="006B3540"/>
    <w:rsid w:val="006B3A25"/>
    <w:rsid w:val="006B3E48"/>
    <w:rsid w:val="006B438E"/>
    <w:rsid w:val="006B4647"/>
    <w:rsid w:val="006B481B"/>
    <w:rsid w:val="006B491B"/>
    <w:rsid w:val="006B4C2B"/>
    <w:rsid w:val="006B5131"/>
    <w:rsid w:val="006B6D47"/>
    <w:rsid w:val="006B6DA5"/>
    <w:rsid w:val="006B6EB7"/>
    <w:rsid w:val="006B7101"/>
    <w:rsid w:val="006B7DCE"/>
    <w:rsid w:val="006C035B"/>
    <w:rsid w:val="006C0ED5"/>
    <w:rsid w:val="006C2A8E"/>
    <w:rsid w:val="006C3136"/>
    <w:rsid w:val="006C4101"/>
    <w:rsid w:val="006C4F01"/>
    <w:rsid w:val="006C51CA"/>
    <w:rsid w:val="006C5AFE"/>
    <w:rsid w:val="006C5DF0"/>
    <w:rsid w:val="006C5F79"/>
    <w:rsid w:val="006C5F80"/>
    <w:rsid w:val="006C608E"/>
    <w:rsid w:val="006D032F"/>
    <w:rsid w:val="006D0453"/>
    <w:rsid w:val="006D0550"/>
    <w:rsid w:val="006D0E7F"/>
    <w:rsid w:val="006D16A6"/>
    <w:rsid w:val="006D2557"/>
    <w:rsid w:val="006D2817"/>
    <w:rsid w:val="006D394A"/>
    <w:rsid w:val="006D3BEB"/>
    <w:rsid w:val="006D3C42"/>
    <w:rsid w:val="006D3CAD"/>
    <w:rsid w:val="006D3E0D"/>
    <w:rsid w:val="006D3F38"/>
    <w:rsid w:val="006D489D"/>
    <w:rsid w:val="006D50F4"/>
    <w:rsid w:val="006D594A"/>
    <w:rsid w:val="006D5A35"/>
    <w:rsid w:val="006D643D"/>
    <w:rsid w:val="006D6563"/>
    <w:rsid w:val="006D73D6"/>
    <w:rsid w:val="006D757F"/>
    <w:rsid w:val="006D77C2"/>
    <w:rsid w:val="006D7C8F"/>
    <w:rsid w:val="006D7EEB"/>
    <w:rsid w:val="006D7EF7"/>
    <w:rsid w:val="006E0D31"/>
    <w:rsid w:val="006E2120"/>
    <w:rsid w:val="006E22B6"/>
    <w:rsid w:val="006E24AF"/>
    <w:rsid w:val="006E2A92"/>
    <w:rsid w:val="006E36D6"/>
    <w:rsid w:val="006E42CE"/>
    <w:rsid w:val="006E443E"/>
    <w:rsid w:val="006E5435"/>
    <w:rsid w:val="006E654E"/>
    <w:rsid w:val="006E712D"/>
    <w:rsid w:val="006F0147"/>
    <w:rsid w:val="006F1914"/>
    <w:rsid w:val="006F2052"/>
    <w:rsid w:val="006F2F91"/>
    <w:rsid w:val="006F3FA8"/>
    <w:rsid w:val="006F45F5"/>
    <w:rsid w:val="006F4C1B"/>
    <w:rsid w:val="006F55A6"/>
    <w:rsid w:val="006F57C3"/>
    <w:rsid w:val="006F5AA7"/>
    <w:rsid w:val="006F5AD7"/>
    <w:rsid w:val="006F611E"/>
    <w:rsid w:val="006F65EE"/>
    <w:rsid w:val="006F6A9F"/>
    <w:rsid w:val="006F6D95"/>
    <w:rsid w:val="006F74A5"/>
    <w:rsid w:val="006F75C6"/>
    <w:rsid w:val="006F7B4F"/>
    <w:rsid w:val="00700BC0"/>
    <w:rsid w:val="0070130A"/>
    <w:rsid w:val="0070157F"/>
    <w:rsid w:val="00701F4A"/>
    <w:rsid w:val="00701FB5"/>
    <w:rsid w:val="007026B9"/>
    <w:rsid w:val="00702CC9"/>
    <w:rsid w:val="00702DFD"/>
    <w:rsid w:val="00703123"/>
    <w:rsid w:val="007031F7"/>
    <w:rsid w:val="00704B23"/>
    <w:rsid w:val="0070524E"/>
    <w:rsid w:val="0070698A"/>
    <w:rsid w:val="00706A6F"/>
    <w:rsid w:val="00706F13"/>
    <w:rsid w:val="00706F5F"/>
    <w:rsid w:val="00706FFA"/>
    <w:rsid w:val="0070702E"/>
    <w:rsid w:val="00707180"/>
    <w:rsid w:val="007072E8"/>
    <w:rsid w:val="00707ABF"/>
    <w:rsid w:val="0071081E"/>
    <w:rsid w:val="0071245C"/>
    <w:rsid w:val="00712D37"/>
    <w:rsid w:val="007130D0"/>
    <w:rsid w:val="007132F9"/>
    <w:rsid w:val="00713D0E"/>
    <w:rsid w:val="00713EC6"/>
    <w:rsid w:val="00714EB2"/>
    <w:rsid w:val="007158C6"/>
    <w:rsid w:val="007160FE"/>
    <w:rsid w:val="0071618D"/>
    <w:rsid w:val="00716EA8"/>
    <w:rsid w:val="007202DD"/>
    <w:rsid w:val="0072061B"/>
    <w:rsid w:val="00720985"/>
    <w:rsid w:val="0072154E"/>
    <w:rsid w:val="0072197D"/>
    <w:rsid w:val="00721A16"/>
    <w:rsid w:val="00721CB1"/>
    <w:rsid w:val="00721F7B"/>
    <w:rsid w:val="007224EF"/>
    <w:rsid w:val="00722504"/>
    <w:rsid w:val="007234AF"/>
    <w:rsid w:val="00723806"/>
    <w:rsid w:val="007241B7"/>
    <w:rsid w:val="007242D4"/>
    <w:rsid w:val="007245E2"/>
    <w:rsid w:val="00725FA4"/>
    <w:rsid w:val="007267A9"/>
    <w:rsid w:val="00726EEB"/>
    <w:rsid w:val="0072749E"/>
    <w:rsid w:val="00727F83"/>
    <w:rsid w:val="007304D6"/>
    <w:rsid w:val="00731156"/>
    <w:rsid w:val="007313E8"/>
    <w:rsid w:val="0073143C"/>
    <w:rsid w:val="007319CF"/>
    <w:rsid w:val="00731B22"/>
    <w:rsid w:val="007325B0"/>
    <w:rsid w:val="00733C9A"/>
    <w:rsid w:val="00734321"/>
    <w:rsid w:val="0073597E"/>
    <w:rsid w:val="00736377"/>
    <w:rsid w:val="00736F10"/>
    <w:rsid w:val="00737268"/>
    <w:rsid w:val="007402FF"/>
    <w:rsid w:val="00740446"/>
    <w:rsid w:val="00741712"/>
    <w:rsid w:val="007427CC"/>
    <w:rsid w:val="007434E2"/>
    <w:rsid w:val="00743809"/>
    <w:rsid w:val="007438A9"/>
    <w:rsid w:val="00743CCE"/>
    <w:rsid w:val="0074491E"/>
    <w:rsid w:val="00745325"/>
    <w:rsid w:val="00745D50"/>
    <w:rsid w:val="00746489"/>
    <w:rsid w:val="00746AEF"/>
    <w:rsid w:val="00747270"/>
    <w:rsid w:val="00747B9D"/>
    <w:rsid w:val="00747C13"/>
    <w:rsid w:val="0075075C"/>
    <w:rsid w:val="00751970"/>
    <w:rsid w:val="00751E8F"/>
    <w:rsid w:val="00752031"/>
    <w:rsid w:val="00753C4B"/>
    <w:rsid w:val="007546D0"/>
    <w:rsid w:val="00754AE0"/>
    <w:rsid w:val="00754E32"/>
    <w:rsid w:val="00756468"/>
    <w:rsid w:val="007567E2"/>
    <w:rsid w:val="00756DFA"/>
    <w:rsid w:val="00756EC3"/>
    <w:rsid w:val="00757462"/>
    <w:rsid w:val="00757A3E"/>
    <w:rsid w:val="00757B24"/>
    <w:rsid w:val="00760160"/>
    <w:rsid w:val="00761339"/>
    <w:rsid w:val="007616CD"/>
    <w:rsid w:val="00761A28"/>
    <w:rsid w:val="00761F02"/>
    <w:rsid w:val="0076247A"/>
    <w:rsid w:val="007624BB"/>
    <w:rsid w:val="00762E7E"/>
    <w:rsid w:val="007631AF"/>
    <w:rsid w:val="007636CA"/>
    <w:rsid w:val="00763E5B"/>
    <w:rsid w:val="007644E1"/>
    <w:rsid w:val="00764956"/>
    <w:rsid w:val="00764FC5"/>
    <w:rsid w:val="00765BF3"/>
    <w:rsid w:val="007662B3"/>
    <w:rsid w:val="0076635A"/>
    <w:rsid w:val="007667A8"/>
    <w:rsid w:val="00766F53"/>
    <w:rsid w:val="0076777C"/>
    <w:rsid w:val="00770203"/>
    <w:rsid w:val="00770391"/>
    <w:rsid w:val="00770C05"/>
    <w:rsid w:val="0077189E"/>
    <w:rsid w:val="00772CB0"/>
    <w:rsid w:val="007732A6"/>
    <w:rsid w:val="00773386"/>
    <w:rsid w:val="00774B8D"/>
    <w:rsid w:val="00774FF8"/>
    <w:rsid w:val="00775271"/>
    <w:rsid w:val="00775964"/>
    <w:rsid w:val="00775C47"/>
    <w:rsid w:val="00776159"/>
    <w:rsid w:val="007765FE"/>
    <w:rsid w:val="0077671A"/>
    <w:rsid w:val="00776775"/>
    <w:rsid w:val="00776A7A"/>
    <w:rsid w:val="00776BD0"/>
    <w:rsid w:val="00777DBF"/>
    <w:rsid w:val="00780489"/>
    <w:rsid w:val="0078052E"/>
    <w:rsid w:val="00780F76"/>
    <w:rsid w:val="007810BE"/>
    <w:rsid w:val="007818F2"/>
    <w:rsid w:val="00781E11"/>
    <w:rsid w:val="00782BA7"/>
    <w:rsid w:val="007833A7"/>
    <w:rsid w:val="007833C9"/>
    <w:rsid w:val="007838D1"/>
    <w:rsid w:val="00785730"/>
    <w:rsid w:val="00786458"/>
    <w:rsid w:val="00787219"/>
    <w:rsid w:val="00787FFA"/>
    <w:rsid w:val="00790034"/>
    <w:rsid w:val="007902A0"/>
    <w:rsid w:val="00790441"/>
    <w:rsid w:val="007905F7"/>
    <w:rsid w:val="00790ABF"/>
    <w:rsid w:val="00790E66"/>
    <w:rsid w:val="00792487"/>
    <w:rsid w:val="00794353"/>
    <w:rsid w:val="00794BAC"/>
    <w:rsid w:val="00794E60"/>
    <w:rsid w:val="007951A8"/>
    <w:rsid w:val="00795B57"/>
    <w:rsid w:val="00795BFB"/>
    <w:rsid w:val="0079655C"/>
    <w:rsid w:val="0079750B"/>
    <w:rsid w:val="007A0CF3"/>
    <w:rsid w:val="007A0F38"/>
    <w:rsid w:val="007A10D6"/>
    <w:rsid w:val="007A1BA2"/>
    <w:rsid w:val="007A223A"/>
    <w:rsid w:val="007A299D"/>
    <w:rsid w:val="007A4519"/>
    <w:rsid w:val="007A4753"/>
    <w:rsid w:val="007A570A"/>
    <w:rsid w:val="007A59A0"/>
    <w:rsid w:val="007A5A0A"/>
    <w:rsid w:val="007A5A47"/>
    <w:rsid w:val="007A6139"/>
    <w:rsid w:val="007A6F7F"/>
    <w:rsid w:val="007A766F"/>
    <w:rsid w:val="007A7B23"/>
    <w:rsid w:val="007A7D76"/>
    <w:rsid w:val="007A7E06"/>
    <w:rsid w:val="007B095A"/>
    <w:rsid w:val="007B0989"/>
    <w:rsid w:val="007B0CD0"/>
    <w:rsid w:val="007B0F22"/>
    <w:rsid w:val="007B2424"/>
    <w:rsid w:val="007B2617"/>
    <w:rsid w:val="007B2760"/>
    <w:rsid w:val="007B35F6"/>
    <w:rsid w:val="007B361C"/>
    <w:rsid w:val="007B4F3D"/>
    <w:rsid w:val="007B5D12"/>
    <w:rsid w:val="007B5E9A"/>
    <w:rsid w:val="007B5F8B"/>
    <w:rsid w:val="007B6A62"/>
    <w:rsid w:val="007B71A2"/>
    <w:rsid w:val="007B7211"/>
    <w:rsid w:val="007B7859"/>
    <w:rsid w:val="007B796D"/>
    <w:rsid w:val="007C14BA"/>
    <w:rsid w:val="007C1C5C"/>
    <w:rsid w:val="007C266F"/>
    <w:rsid w:val="007C2CB7"/>
    <w:rsid w:val="007C3D92"/>
    <w:rsid w:val="007C4779"/>
    <w:rsid w:val="007C51B6"/>
    <w:rsid w:val="007C52AB"/>
    <w:rsid w:val="007C543C"/>
    <w:rsid w:val="007C5765"/>
    <w:rsid w:val="007C5866"/>
    <w:rsid w:val="007C6311"/>
    <w:rsid w:val="007C6478"/>
    <w:rsid w:val="007C667B"/>
    <w:rsid w:val="007C6720"/>
    <w:rsid w:val="007C689F"/>
    <w:rsid w:val="007C6DF4"/>
    <w:rsid w:val="007D030C"/>
    <w:rsid w:val="007D0F59"/>
    <w:rsid w:val="007D10C6"/>
    <w:rsid w:val="007D139A"/>
    <w:rsid w:val="007D15B2"/>
    <w:rsid w:val="007D1E3E"/>
    <w:rsid w:val="007D2144"/>
    <w:rsid w:val="007D2BF0"/>
    <w:rsid w:val="007D2EB4"/>
    <w:rsid w:val="007D39F7"/>
    <w:rsid w:val="007D3F74"/>
    <w:rsid w:val="007D400B"/>
    <w:rsid w:val="007D40FE"/>
    <w:rsid w:val="007D47E9"/>
    <w:rsid w:val="007D4AC8"/>
    <w:rsid w:val="007D4BDB"/>
    <w:rsid w:val="007D4D34"/>
    <w:rsid w:val="007D5097"/>
    <w:rsid w:val="007D5237"/>
    <w:rsid w:val="007D5B60"/>
    <w:rsid w:val="007D793F"/>
    <w:rsid w:val="007E015A"/>
    <w:rsid w:val="007E01D6"/>
    <w:rsid w:val="007E0298"/>
    <w:rsid w:val="007E0CC2"/>
    <w:rsid w:val="007E0EE1"/>
    <w:rsid w:val="007E13C5"/>
    <w:rsid w:val="007E14A3"/>
    <w:rsid w:val="007E3184"/>
    <w:rsid w:val="007E34CC"/>
    <w:rsid w:val="007E4121"/>
    <w:rsid w:val="007E43C4"/>
    <w:rsid w:val="007E4A18"/>
    <w:rsid w:val="007E4A19"/>
    <w:rsid w:val="007E4AF0"/>
    <w:rsid w:val="007E6094"/>
    <w:rsid w:val="007E72CA"/>
    <w:rsid w:val="007E7590"/>
    <w:rsid w:val="007E79B7"/>
    <w:rsid w:val="007F0337"/>
    <w:rsid w:val="007F0361"/>
    <w:rsid w:val="007F0C9C"/>
    <w:rsid w:val="007F0D30"/>
    <w:rsid w:val="007F0E1F"/>
    <w:rsid w:val="007F18A8"/>
    <w:rsid w:val="007F20DF"/>
    <w:rsid w:val="007F2304"/>
    <w:rsid w:val="007F2631"/>
    <w:rsid w:val="007F3306"/>
    <w:rsid w:val="007F3EB7"/>
    <w:rsid w:val="007F4514"/>
    <w:rsid w:val="007F4754"/>
    <w:rsid w:val="007F4EDE"/>
    <w:rsid w:val="007F523F"/>
    <w:rsid w:val="007F5801"/>
    <w:rsid w:val="007F5C72"/>
    <w:rsid w:val="007F5D28"/>
    <w:rsid w:val="007F60ED"/>
    <w:rsid w:val="007F657D"/>
    <w:rsid w:val="007F693B"/>
    <w:rsid w:val="007F7077"/>
    <w:rsid w:val="007F76DA"/>
    <w:rsid w:val="007F7E38"/>
    <w:rsid w:val="0080025F"/>
    <w:rsid w:val="00800BD9"/>
    <w:rsid w:val="00800E56"/>
    <w:rsid w:val="00800E64"/>
    <w:rsid w:val="00801FFA"/>
    <w:rsid w:val="008024FC"/>
    <w:rsid w:val="00802762"/>
    <w:rsid w:val="00802C8D"/>
    <w:rsid w:val="0080345F"/>
    <w:rsid w:val="0080425C"/>
    <w:rsid w:val="00804950"/>
    <w:rsid w:val="00804EEE"/>
    <w:rsid w:val="008050B8"/>
    <w:rsid w:val="00805567"/>
    <w:rsid w:val="00805874"/>
    <w:rsid w:val="00805A37"/>
    <w:rsid w:val="00805F15"/>
    <w:rsid w:val="00806C01"/>
    <w:rsid w:val="00807273"/>
    <w:rsid w:val="00807A08"/>
    <w:rsid w:val="00807E09"/>
    <w:rsid w:val="00807F05"/>
    <w:rsid w:val="00810BE0"/>
    <w:rsid w:val="00812AD9"/>
    <w:rsid w:val="008137D1"/>
    <w:rsid w:val="00813839"/>
    <w:rsid w:val="00813908"/>
    <w:rsid w:val="00813C04"/>
    <w:rsid w:val="0081481D"/>
    <w:rsid w:val="008148CC"/>
    <w:rsid w:val="00814B85"/>
    <w:rsid w:val="00814D59"/>
    <w:rsid w:val="00814EE0"/>
    <w:rsid w:val="00815408"/>
    <w:rsid w:val="0081630D"/>
    <w:rsid w:val="008167B6"/>
    <w:rsid w:val="0081708A"/>
    <w:rsid w:val="00817625"/>
    <w:rsid w:val="00817846"/>
    <w:rsid w:val="00820794"/>
    <w:rsid w:val="008210A2"/>
    <w:rsid w:val="008211A4"/>
    <w:rsid w:val="00821797"/>
    <w:rsid w:val="00821A08"/>
    <w:rsid w:val="00821AA9"/>
    <w:rsid w:val="00822BE6"/>
    <w:rsid w:val="00822D51"/>
    <w:rsid w:val="0082340B"/>
    <w:rsid w:val="0082345D"/>
    <w:rsid w:val="0082417E"/>
    <w:rsid w:val="00824778"/>
    <w:rsid w:val="008248DF"/>
    <w:rsid w:val="008254FC"/>
    <w:rsid w:val="008263EB"/>
    <w:rsid w:val="00826AE0"/>
    <w:rsid w:val="00826CC6"/>
    <w:rsid w:val="0082750D"/>
    <w:rsid w:val="0082774E"/>
    <w:rsid w:val="00827893"/>
    <w:rsid w:val="008303E9"/>
    <w:rsid w:val="00830DFB"/>
    <w:rsid w:val="00831A19"/>
    <w:rsid w:val="00831DC1"/>
    <w:rsid w:val="0083274D"/>
    <w:rsid w:val="008334AE"/>
    <w:rsid w:val="008339A3"/>
    <w:rsid w:val="00833DC8"/>
    <w:rsid w:val="00834411"/>
    <w:rsid w:val="008346AF"/>
    <w:rsid w:val="00834A37"/>
    <w:rsid w:val="0083509A"/>
    <w:rsid w:val="00835290"/>
    <w:rsid w:val="008360FC"/>
    <w:rsid w:val="008365C2"/>
    <w:rsid w:val="00836609"/>
    <w:rsid w:val="008368F1"/>
    <w:rsid w:val="00836977"/>
    <w:rsid w:val="0083705E"/>
    <w:rsid w:val="0083734E"/>
    <w:rsid w:val="00837F44"/>
    <w:rsid w:val="008404DF"/>
    <w:rsid w:val="00841F41"/>
    <w:rsid w:val="00842138"/>
    <w:rsid w:val="00843CE8"/>
    <w:rsid w:val="00844603"/>
    <w:rsid w:val="00844B1A"/>
    <w:rsid w:val="00845203"/>
    <w:rsid w:val="00846EBD"/>
    <w:rsid w:val="0084730E"/>
    <w:rsid w:val="0084779A"/>
    <w:rsid w:val="008479FF"/>
    <w:rsid w:val="00847B74"/>
    <w:rsid w:val="00850800"/>
    <w:rsid w:val="00851155"/>
    <w:rsid w:val="00851C34"/>
    <w:rsid w:val="0085240E"/>
    <w:rsid w:val="008527B5"/>
    <w:rsid w:val="00852BA6"/>
    <w:rsid w:val="00852BBA"/>
    <w:rsid w:val="0085317C"/>
    <w:rsid w:val="0085379E"/>
    <w:rsid w:val="00853915"/>
    <w:rsid w:val="00853F5D"/>
    <w:rsid w:val="00854910"/>
    <w:rsid w:val="00854A95"/>
    <w:rsid w:val="00855277"/>
    <w:rsid w:val="0085560F"/>
    <w:rsid w:val="008557F9"/>
    <w:rsid w:val="0085582A"/>
    <w:rsid w:val="008561DA"/>
    <w:rsid w:val="00856DB0"/>
    <w:rsid w:val="00856FB5"/>
    <w:rsid w:val="008570D6"/>
    <w:rsid w:val="008577D0"/>
    <w:rsid w:val="00860101"/>
    <w:rsid w:val="00860266"/>
    <w:rsid w:val="00860C48"/>
    <w:rsid w:val="00862010"/>
    <w:rsid w:val="00862C82"/>
    <w:rsid w:val="00862FD1"/>
    <w:rsid w:val="00863B7D"/>
    <w:rsid w:val="008641A3"/>
    <w:rsid w:val="00864DF2"/>
    <w:rsid w:val="00865302"/>
    <w:rsid w:val="008657E9"/>
    <w:rsid w:val="00865DD0"/>
    <w:rsid w:val="00865F1E"/>
    <w:rsid w:val="00865FC7"/>
    <w:rsid w:val="00866B2F"/>
    <w:rsid w:val="0087001A"/>
    <w:rsid w:val="0087038A"/>
    <w:rsid w:val="00870498"/>
    <w:rsid w:val="0087054E"/>
    <w:rsid w:val="008707D8"/>
    <w:rsid w:val="0087105D"/>
    <w:rsid w:val="00871127"/>
    <w:rsid w:val="00871381"/>
    <w:rsid w:val="00871AE7"/>
    <w:rsid w:val="008720ED"/>
    <w:rsid w:val="00872A86"/>
    <w:rsid w:val="00872ACB"/>
    <w:rsid w:val="00872FA6"/>
    <w:rsid w:val="00873150"/>
    <w:rsid w:val="008749B9"/>
    <w:rsid w:val="00874ADA"/>
    <w:rsid w:val="0087657D"/>
    <w:rsid w:val="00876CC1"/>
    <w:rsid w:val="00876F69"/>
    <w:rsid w:val="008803F3"/>
    <w:rsid w:val="008807D5"/>
    <w:rsid w:val="00880832"/>
    <w:rsid w:val="008817B3"/>
    <w:rsid w:val="008817DA"/>
    <w:rsid w:val="00881968"/>
    <w:rsid w:val="00881A2C"/>
    <w:rsid w:val="00881DFD"/>
    <w:rsid w:val="00882046"/>
    <w:rsid w:val="00884344"/>
    <w:rsid w:val="0088438E"/>
    <w:rsid w:val="0088455F"/>
    <w:rsid w:val="00884584"/>
    <w:rsid w:val="00884D15"/>
    <w:rsid w:val="008858F8"/>
    <w:rsid w:val="00885BE0"/>
    <w:rsid w:val="00886992"/>
    <w:rsid w:val="00886EE1"/>
    <w:rsid w:val="0088727D"/>
    <w:rsid w:val="008874AE"/>
    <w:rsid w:val="00887778"/>
    <w:rsid w:val="00890C1C"/>
    <w:rsid w:val="008910BE"/>
    <w:rsid w:val="008916E7"/>
    <w:rsid w:val="00891C4A"/>
    <w:rsid w:val="00892933"/>
    <w:rsid w:val="00892C9F"/>
    <w:rsid w:val="00892FE7"/>
    <w:rsid w:val="0089361E"/>
    <w:rsid w:val="0089421C"/>
    <w:rsid w:val="00895B2C"/>
    <w:rsid w:val="00895C66"/>
    <w:rsid w:val="0089652A"/>
    <w:rsid w:val="00896DC1"/>
    <w:rsid w:val="008970D2"/>
    <w:rsid w:val="00897A5D"/>
    <w:rsid w:val="00897C75"/>
    <w:rsid w:val="008A0243"/>
    <w:rsid w:val="008A066F"/>
    <w:rsid w:val="008A0B31"/>
    <w:rsid w:val="008A205F"/>
    <w:rsid w:val="008A2549"/>
    <w:rsid w:val="008A2F58"/>
    <w:rsid w:val="008A38F4"/>
    <w:rsid w:val="008A41DE"/>
    <w:rsid w:val="008A4DD5"/>
    <w:rsid w:val="008A4F0C"/>
    <w:rsid w:val="008A5141"/>
    <w:rsid w:val="008A573A"/>
    <w:rsid w:val="008A58C5"/>
    <w:rsid w:val="008A5A4D"/>
    <w:rsid w:val="008A6103"/>
    <w:rsid w:val="008A6FA1"/>
    <w:rsid w:val="008A72BE"/>
    <w:rsid w:val="008A756A"/>
    <w:rsid w:val="008A7885"/>
    <w:rsid w:val="008A7E41"/>
    <w:rsid w:val="008A7E58"/>
    <w:rsid w:val="008B0752"/>
    <w:rsid w:val="008B0BCA"/>
    <w:rsid w:val="008B0C20"/>
    <w:rsid w:val="008B1501"/>
    <w:rsid w:val="008B1543"/>
    <w:rsid w:val="008B173B"/>
    <w:rsid w:val="008B220D"/>
    <w:rsid w:val="008B2589"/>
    <w:rsid w:val="008B370B"/>
    <w:rsid w:val="008B385E"/>
    <w:rsid w:val="008B3B03"/>
    <w:rsid w:val="008B3C18"/>
    <w:rsid w:val="008B3D84"/>
    <w:rsid w:val="008B3E68"/>
    <w:rsid w:val="008B49A0"/>
    <w:rsid w:val="008B4BAD"/>
    <w:rsid w:val="008B549E"/>
    <w:rsid w:val="008B79DB"/>
    <w:rsid w:val="008B7F2D"/>
    <w:rsid w:val="008C0852"/>
    <w:rsid w:val="008C1130"/>
    <w:rsid w:val="008C1B6A"/>
    <w:rsid w:val="008C2048"/>
    <w:rsid w:val="008C2D5D"/>
    <w:rsid w:val="008C303A"/>
    <w:rsid w:val="008C3E52"/>
    <w:rsid w:val="008C401E"/>
    <w:rsid w:val="008C42F5"/>
    <w:rsid w:val="008C43DC"/>
    <w:rsid w:val="008C464D"/>
    <w:rsid w:val="008C4AE9"/>
    <w:rsid w:val="008C4BAE"/>
    <w:rsid w:val="008C4DB9"/>
    <w:rsid w:val="008C4DCC"/>
    <w:rsid w:val="008C4DD6"/>
    <w:rsid w:val="008C571F"/>
    <w:rsid w:val="008C62B9"/>
    <w:rsid w:val="008C66E6"/>
    <w:rsid w:val="008C66ED"/>
    <w:rsid w:val="008C7804"/>
    <w:rsid w:val="008C79A9"/>
    <w:rsid w:val="008C7FDB"/>
    <w:rsid w:val="008D04A9"/>
    <w:rsid w:val="008D1130"/>
    <w:rsid w:val="008D18E6"/>
    <w:rsid w:val="008D1CA0"/>
    <w:rsid w:val="008D227C"/>
    <w:rsid w:val="008D2C28"/>
    <w:rsid w:val="008D2F15"/>
    <w:rsid w:val="008D31DE"/>
    <w:rsid w:val="008D32F0"/>
    <w:rsid w:val="008D3424"/>
    <w:rsid w:val="008D36C8"/>
    <w:rsid w:val="008D4513"/>
    <w:rsid w:val="008D462E"/>
    <w:rsid w:val="008D4BCA"/>
    <w:rsid w:val="008D538A"/>
    <w:rsid w:val="008D55A9"/>
    <w:rsid w:val="008D6A65"/>
    <w:rsid w:val="008D78F4"/>
    <w:rsid w:val="008D7A9B"/>
    <w:rsid w:val="008D7CA2"/>
    <w:rsid w:val="008E1C05"/>
    <w:rsid w:val="008E2118"/>
    <w:rsid w:val="008E2DAC"/>
    <w:rsid w:val="008E2F4A"/>
    <w:rsid w:val="008E4B42"/>
    <w:rsid w:val="008E5B20"/>
    <w:rsid w:val="008E5D8F"/>
    <w:rsid w:val="008E64DD"/>
    <w:rsid w:val="008E6F6E"/>
    <w:rsid w:val="008E70DD"/>
    <w:rsid w:val="008E7584"/>
    <w:rsid w:val="008E76AC"/>
    <w:rsid w:val="008F035E"/>
    <w:rsid w:val="008F057E"/>
    <w:rsid w:val="008F11DD"/>
    <w:rsid w:val="008F1403"/>
    <w:rsid w:val="008F18D2"/>
    <w:rsid w:val="008F1B6C"/>
    <w:rsid w:val="008F1E10"/>
    <w:rsid w:val="008F1E5F"/>
    <w:rsid w:val="008F2086"/>
    <w:rsid w:val="008F209A"/>
    <w:rsid w:val="008F20FD"/>
    <w:rsid w:val="008F21F6"/>
    <w:rsid w:val="008F2649"/>
    <w:rsid w:val="008F3209"/>
    <w:rsid w:val="008F3FAA"/>
    <w:rsid w:val="008F460B"/>
    <w:rsid w:val="008F4D05"/>
    <w:rsid w:val="008F4F4C"/>
    <w:rsid w:val="008F4F52"/>
    <w:rsid w:val="008F52C3"/>
    <w:rsid w:val="008F5A34"/>
    <w:rsid w:val="008F67D9"/>
    <w:rsid w:val="008F7434"/>
    <w:rsid w:val="008F7F7E"/>
    <w:rsid w:val="009000A9"/>
    <w:rsid w:val="00900FAF"/>
    <w:rsid w:val="0090144C"/>
    <w:rsid w:val="00901E63"/>
    <w:rsid w:val="009025CA"/>
    <w:rsid w:val="0090264D"/>
    <w:rsid w:val="009033FA"/>
    <w:rsid w:val="009039F3"/>
    <w:rsid w:val="00903E1A"/>
    <w:rsid w:val="0090471A"/>
    <w:rsid w:val="00905366"/>
    <w:rsid w:val="0090539D"/>
    <w:rsid w:val="00906B3E"/>
    <w:rsid w:val="00906E99"/>
    <w:rsid w:val="009076EF"/>
    <w:rsid w:val="009077B5"/>
    <w:rsid w:val="00910695"/>
    <w:rsid w:val="00910EC5"/>
    <w:rsid w:val="009115EE"/>
    <w:rsid w:val="00911877"/>
    <w:rsid w:val="00911DE7"/>
    <w:rsid w:val="009124F3"/>
    <w:rsid w:val="00912537"/>
    <w:rsid w:val="00912E33"/>
    <w:rsid w:val="009138D1"/>
    <w:rsid w:val="00914212"/>
    <w:rsid w:val="009142BF"/>
    <w:rsid w:val="009148E0"/>
    <w:rsid w:val="00915A28"/>
    <w:rsid w:val="00915BD9"/>
    <w:rsid w:val="009164EC"/>
    <w:rsid w:val="00916751"/>
    <w:rsid w:val="00916E0C"/>
    <w:rsid w:val="00916E79"/>
    <w:rsid w:val="0091743C"/>
    <w:rsid w:val="009202E4"/>
    <w:rsid w:val="009204CE"/>
    <w:rsid w:val="00920E83"/>
    <w:rsid w:val="0092158C"/>
    <w:rsid w:val="00921ED2"/>
    <w:rsid w:val="00922112"/>
    <w:rsid w:val="00922328"/>
    <w:rsid w:val="0092237A"/>
    <w:rsid w:val="00922A42"/>
    <w:rsid w:val="00922A54"/>
    <w:rsid w:val="0092364C"/>
    <w:rsid w:val="00923892"/>
    <w:rsid w:val="00923FD5"/>
    <w:rsid w:val="009251E0"/>
    <w:rsid w:val="009253DC"/>
    <w:rsid w:val="00925D29"/>
    <w:rsid w:val="0092636A"/>
    <w:rsid w:val="00926A15"/>
    <w:rsid w:val="00926FC7"/>
    <w:rsid w:val="00927002"/>
    <w:rsid w:val="009303B3"/>
    <w:rsid w:val="009304C4"/>
    <w:rsid w:val="009307A4"/>
    <w:rsid w:val="009311FB"/>
    <w:rsid w:val="009315F9"/>
    <w:rsid w:val="00931691"/>
    <w:rsid w:val="009317D5"/>
    <w:rsid w:val="0093195E"/>
    <w:rsid w:val="00931FC2"/>
    <w:rsid w:val="009322BE"/>
    <w:rsid w:val="00934163"/>
    <w:rsid w:val="009353DF"/>
    <w:rsid w:val="00935BDA"/>
    <w:rsid w:val="00936D61"/>
    <w:rsid w:val="00937E6A"/>
    <w:rsid w:val="00940779"/>
    <w:rsid w:val="009413F9"/>
    <w:rsid w:val="0094170E"/>
    <w:rsid w:val="0094240E"/>
    <w:rsid w:val="009424E6"/>
    <w:rsid w:val="009426E4"/>
    <w:rsid w:val="00942862"/>
    <w:rsid w:val="00942B17"/>
    <w:rsid w:val="009431FC"/>
    <w:rsid w:val="009434D0"/>
    <w:rsid w:val="0094390A"/>
    <w:rsid w:val="00943A49"/>
    <w:rsid w:val="00943C28"/>
    <w:rsid w:val="00943D9B"/>
    <w:rsid w:val="009443B2"/>
    <w:rsid w:val="009449EB"/>
    <w:rsid w:val="00944D54"/>
    <w:rsid w:val="00945262"/>
    <w:rsid w:val="009454C6"/>
    <w:rsid w:val="00946CD2"/>
    <w:rsid w:val="00946DA2"/>
    <w:rsid w:val="00947256"/>
    <w:rsid w:val="00947A45"/>
    <w:rsid w:val="00947E01"/>
    <w:rsid w:val="009500B9"/>
    <w:rsid w:val="0095052C"/>
    <w:rsid w:val="00950D25"/>
    <w:rsid w:val="00951652"/>
    <w:rsid w:val="00951EEF"/>
    <w:rsid w:val="00951F79"/>
    <w:rsid w:val="00952E6F"/>
    <w:rsid w:val="00953D94"/>
    <w:rsid w:val="009548BF"/>
    <w:rsid w:val="00955001"/>
    <w:rsid w:val="009556A3"/>
    <w:rsid w:val="00955C28"/>
    <w:rsid w:val="00956B6C"/>
    <w:rsid w:val="0095702B"/>
    <w:rsid w:val="0095737C"/>
    <w:rsid w:val="00957AFA"/>
    <w:rsid w:val="00957D90"/>
    <w:rsid w:val="009608BF"/>
    <w:rsid w:val="00961272"/>
    <w:rsid w:val="009617BA"/>
    <w:rsid w:val="00961D9C"/>
    <w:rsid w:val="00961E52"/>
    <w:rsid w:val="009624B2"/>
    <w:rsid w:val="00962F94"/>
    <w:rsid w:val="00963079"/>
    <w:rsid w:val="009630CB"/>
    <w:rsid w:val="009641E0"/>
    <w:rsid w:val="00964837"/>
    <w:rsid w:val="00964E37"/>
    <w:rsid w:val="009668C2"/>
    <w:rsid w:val="0096779C"/>
    <w:rsid w:val="00967818"/>
    <w:rsid w:val="00967846"/>
    <w:rsid w:val="00967F14"/>
    <w:rsid w:val="009702EF"/>
    <w:rsid w:val="0097042F"/>
    <w:rsid w:val="00970AB5"/>
    <w:rsid w:val="00970F05"/>
    <w:rsid w:val="0097137B"/>
    <w:rsid w:val="0097184C"/>
    <w:rsid w:val="00971C1D"/>
    <w:rsid w:val="00971CAE"/>
    <w:rsid w:val="00972067"/>
    <w:rsid w:val="00972810"/>
    <w:rsid w:val="0097332C"/>
    <w:rsid w:val="00973B27"/>
    <w:rsid w:val="009740AD"/>
    <w:rsid w:val="0097484B"/>
    <w:rsid w:val="009749BF"/>
    <w:rsid w:val="00974A51"/>
    <w:rsid w:val="00974AB5"/>
    <w:rsid w:val="00975FE2"/>
    <w:rsid w:val="009768B3"/>
    <w:rsid w:val="00976FA3"/>
    <w:rsid w:val="009773D9"/>
    <w:rsid w:val="0097762F"/>
    <w:rsid w:val="00977B56"/>
    <w:rsid w:val="0098014A"/>
    <w:rsid w:val="00980CC0"/>
    <w:rsid w:val="00980CE6"/>
    <w:rsid w:val="00981454"/>
    <w:rsid w:val="00981EC9"/>
    <w:rsid w:val="00982133"/>
    <w:rsid w:val="00982C98"/>
    <w:rsid w:val="0098306D"/>
    <w:rsid w:val="009835A3"/>
    <w:rsid w:val="009838BB"/>
    <w:rsid w:val="009839DB"/>
    <w:rsid w:val="00983AC3"/>
    <w:rsid w:val="00984450"/>
    <w:rsid w:val="009849EF"/>
    <w:rsid w:val="00984A11"/>
    <w:rsid w:val="00984F50"/>
    <w:rsid w:val="009856DC"/>
    <w:rsid w:val="009858BC"/>
    <w:rsid w:val="00985E0A"/>
    <w:rsid w:val="009861D3"/>
    <w:rsid w:val="0098685C"/>
    <w:rsid w:val="009868C9"/>
    <w:rsid w:val="00986D00"/>
    <w:rsid w:val="0098704F"/>
    <w:rsid w:val="0098706D"/>
    <w:rsid w:val="00987A3B"/>
    <w:rsid w:val="00987A78"/>
    <w:rsid w:val="009906B3"/>
    <w:rsid w:val="00991053"/>
    <w:rsid w:val="00991279"/>
    <w:rsid w:val="0099183C"/>
    <w:rsid w:val="00991C8F"/>
    <w:rsid w:val="009935FB"/>
    <w:rsid w:val="00993C4E"/>
    <w:rsid w:val="009947A4"/>
    <w:rsid w:val="00995A85"/>
    <w:rsid w:val="00995CD6"/>
    <w:rsid w:val="00996FBB"/>
    <w:rsid w:val="00997427"/>
    <w:rsid w:val="0099791B"/>
    <w:rsid w:val="00997DB6"/>
    <w:rsid w:val="009A0BE3"/>
    <w:rsid w:val="009A1546"/>
    <w:rsid w:val="009A2471"/>
    <w:rsid w:val="009A2A6E"/>
    <w:rsid w:val="009A358A"/>
    <w:rsid w:val="009A3677"/>
    <w:rsid w:val="009A3699"/>
    <w:rsid w:val="009A3CB4"/>
    <w:rsid w:val="009A40CB"/>
    <w:rsid w:val="009A45AE"/>
    <w:rsid w:val="009A48BD"/>
    <w:rsid w:val="009A4937"/>
    <w:rsid w:val="009A5085"/>
    <w:rsid w:val="009A577F"/>
    <w:rsid w:val="009A5801"/>
    <w:rsid w:val="009A5A79"/>
    <w:rsid w:val="009A718C"/>
    <w:rsid w:val="009A7FBB"/>
    <w:rsid w:val="009B0512"/>
    <w:rsid w:val="009B08CE"/>
    <w:rsid w:val="009B0DB1"/>
    <w:rsid w:val="009B0EAA"/>
    <w:rsid w:val="009B0F5D"/>
    <w:rsid w:val="009B16DD"/>
    <w:rsid w:val="009B1E44"/>
    <w:rsid w:val="009B23A4"/>
    <w:rsid w:val="009B24A0"/>
    <w:rsid w:val="009B251A"/>
    <w:rsid w:val="009B2AE1"/>
    <w:rsid w:val="009B2CD0"/>
    <w:rsid w:val="009B2E29"/>
    <w:rsid w:val="009B3FBE"/>
    <w:rsid w:val="009B47B8"/>
    <w:rsid w:val="009B4EC1"/>
    <w:rsid w:val="009B5B47"/>
    <w:rsid w:val="009B5BF0"/>
    <w:rsid w:val="009B650E"/>
    <w:rsid w:val="009B684E"/>
    <w:rsid w:val="009B6A4D"/>
    <w:rsid w:val="009B719C"/>
    <w:rsid w:val="009C1259"/>
    <w:rsid w:val="009C1F98"/>
    <w:rsid w:val="009C2CDC"/>
    <w:rsid w:val="009C2FE7"/>
    <w:rsid w:val="009C39E9"/>
    <w:rsid w:val="009C43A9"/>
    <w:rsid w:val="009C4611"/>
    <w:rsid w:val="009C4E15"/>
    <w:rsid w:val="009C5517"/>
    <w:rsid w:val="009C5638"/>
    <w:rsid w:val="009C5B8B"/>
    <w:rsid w:val="009C5DF9"/>
    <w:rsid w:val="009C5EF8"/>
    <w:rsid w:val="009C7377"/>
    <w:rsid w:val="009C7834"/>
    <w:rsid w:val="009C7C72"/>
    <w:rsid w:val="009C7F0C"/>
    <w:rsid w:val="009C7F5D"/>
    <w:rsid w:val="009D181B"/>
    <w:rsid w:val="009D1FFE"/>
    <w:rsid w:val="009D228A"/>
    <w:rsid w:val="009D26E4"/>
    <w:rsid w:val="009D29B9"/>
    <w:rsid w:val="009D3F90"/>
    <w:rsid w:val="009D42DC"/>
    <w:rsid w:val="009D53AA"/>
    <w:rsid w:val="009D5B19"/>
    <w:rsid w:val="009D75A2"/>
    <w:rsid w:val="009D7E92"/>
    <w:rsid w:val="009E01CC"/>
    <w:rsid w:val="009E040C"/>
    <w:rsid w:val="009E045A"/>
    <w:rsid w:val="009E0E69"/>
    <w:rsid w:val="009E1442"/>
    <w:rsid w:val="009E1760"/>
    <w:rsid w:val="009E1D42"/>
    <w:rsid w:val="009E2C2B"/>
    <w:rsid w:val="009E3519"/>
    <w:rsid w:val="009E3B2E"/>
    <w:rsid w:val="009E3FBC"/>
    <w:rsid w:val="009E5101"/>
    <w:rsid w:val="009E5D0C"/>
    <w:rsid w:val="009E5FE5"/>
    <w:rsid w:val="009E6687"/>
    <w:rsid w:val="009E66DF"/>
    <w:rsid w:val="009E7833"/>
    <w:rsid w:val="009E7D6E"/>
    <w:rsid w:val="009F00F4"/>
    <w:rsid w:val="009F014E"/>
    <w:rsid w:val="009F05C2"/>
    <w:rsid w:val="009F0EA9"/>
    <w:rsid w:val="009F1067"/>
    <w:rsid w:val="009F1422"/>
    <w:rsid w:val="009F1C65"/>
    <w:rsid w:val="009F2008"/>
    <w:rsid w:val="009F27EF"/>
    <w:rsid w:val="009F308B"/>
    <w:rsid w:val="009F3EAA"/>
    <w:rsid w:val="009F4523"/>
    <w:rsid w:val="009F46E8"/>
    <w:rsid w:val="009F4A54"/>
    <w:rsid w:val="009F4BEC"/>
    <w:rsid w:val="009F55E7"/>
    <w:rsid w:val="009F66BE"/>
    <w:rsid w:val="009F77AD"/>
    <w:rsid w:val="009F7D26"/>
    <w:rsid w:val="00A00412"/>
    <w:rsid w:val="00A0087D"/>
    <w:rsid w:val="00A01227"/>
    <w:rsid w:val="00A02005"/>
    <w:rsid w:val="00A02A35"/>
    <w:rsid w:val="00A035D1"/>
    <w:rsid w:val="00A0383E"/>
    <w:rsid w:val="00A04891"/>
    <w:rsid w:val="00A04BAA"/>
    <w:rsid w:val="00A04D07"/>
    <w:rsid w:val="00A058BC"/>
    <w:rsid w:val="00A05918"/>
    <w:rsid w:val="00A06C9A"/>
    <w:rsid w:val="00A06EBF"/>
    <w:rsid w:val="00A0773B"/>
    <w:rsid w:val="00A10266"/>
    <w:rsid w:val="00A11034"/>
    <w:rsid w:val="00A1129E"/>
    <w:rsid w:val="00A11759"/>
    <w:rsid w:val="00A11A8C"/>
    <w:rsid w:val="00A12305"/>
    <w:rsid w:val="00A12B6F"/>
    <w:rsid w:val="00A12BEB"/>
    <w:rsid w:val="00A12F7B"/>
    <w:rsid w:val="00A12FCC"/>
    <w:rsid w:val="00A13243"/>
    <w:rsid w:val="00A13E30"/>
    <w:rsid w:val="00A14EA8"/>
    <w:rsid w:val="00A1540B"/>
    <w:rsid w:val="00A15A77"/>
    <w:rsid w:val="00A15B44"/>
    <w:rsid w:val="00A16106"/>
    <w:rsid w:val="00A16111"/>
    <w:rsid w:val="00A1618F"/>
    <w:rsid w:val="00A169CF"/>
    <w:rsid w:val="00A1714D"/>
    <w:rsid w:val="00A20326"/>
    <w:rsid w:val="00A20444"/>
    <w:rsid w:val="00A20616"/>
    <w:rsid w:val="00A20E4C"/>
    <w:rsid w:val="00A21C1A"/>
    <w:rsid w:val="00A24CC3"/>
    <w:rsid w:val="00A24EF2"/>
    <w:rsid w:val="00A253A8"/>
    <w:rsid w:val="00A25983"/>
    <w:rsid w:val="00A25FD7"/>
    <w:rsid w:val="00A2614F"/>
    <w:rsid w:val="00A27C03"/>
    <w:rsid w:val="00A27DFA"/>
    <w:rsid w:val="00A27F03"/>
    <w:rsid w:val="00A304F5"/>
    <w:rsid w:val="00A30C52"/>
    <w:rsid w:val="00A31187"/>
    <w:rsid w:val="00A31737"/>
    <w:rsid w:val="00A31C48"/>
    <w:rsid w:val="00A32F10"/>
    <w:rsid w:val="00A337E2"/>
    <w:rsid w:val="00A33A56"/>
    <w:rsid w:val="00A33B76"/>
    <w:rsid w:val="00A33E67"/>
    <w:rsid w:val="00A33E9B"/>
    <w:rsid w:val="00A351C4"/>
    <w:rsid w:val="00A3581D"/>
    <w:rsid w:val="00A3618F"/>
    <w:rsid w:val="00A361EC"/>
    <w:rsid w:val="00A36D39"/>
    <w:rsid w:val="00A377D8"/>
    <w:rsid w:val="00A37CE1"/>
    <w:rsid w:val="00A4007F"/>
    <w:rsid w:val="00A40671"/>
    <w:rsid w:val="00A40A32"/>
    <w:rsid w:val="00A410FB"/>
    <w:rsid w:val="00A4385A"/>
    <w:rsid w:val="00A43AFF"/>
    <w:rsid w:val="00A4407F"/>
    <w:rsid w:val="00A44AEF"/>
    <w:rsid w:val="00A452A4"/>
    <w:rsid w:val="00A452D1"/>
    <w:rsid w:val="00A45A18"/>
    <w:rsid w:val="00A45C43"/>
    <w:rsid w:val="00A46251"/>
    <w:rsid w:val="00A46C3E"/>
    <w:rsid w:val="00A47AE3"/>
    <w:rsid w:val="00A50763"/>
    <w:rsid w:val="00A508EB"/>
    <w:rsid w:val="00A511B7"/>
    <w:rsid w:val="00A52666"/>
    <w:rsid w:val="00A53DD8"/>
    <w:rsid w:val="00A54264"/>
    <w:rsid w:val="00A5443C"/>
    <w:rsid w:val="00A54A10"/>
    <w:rsid w:val="00A55EE3"/>
    <w:rsid w:val="00A57EF0"/>
    <w:rsid w:val="00A60AF5"/>
    <w:rsid w:val="00A60E96"/>
    <w:rsid w:val="00A61663"/>
    <w:rsid w:val="00A61AAE"/>
    <w:rsid w:val="00A61AE1"/>
    <w:rsid w:val="00A62242"/>
    <w:rsid w:val="00A62A1D"/>
    <w:rsid w:val="00A62B6E"/>
    <w:rsid w:val="00A630EE"/>
    <w:rsid w:val="00A631F2"/>
    <w:rsid w:val="00A63753"/>
    <w:rsid w:val="00A656DE"/>
    <w:rsid w:val="00A65874"/>
    <w:rsid w:val="00A66068"/>
    <w:rsid w:val="00A662D1"/>
    <w:rsid w:val="00A66776"/>
    <w:rsid w:val="00A66989"/>
    <w:rsid w:val="00A66F82"/>
    <w:rsid w:val="00A6732D"/>
    <w:rsid w:val="00A67878"/>
    <w:rsid w:val="00A67918"/>
    <w:rsid w:val="00A7005F"/>
    <w:rsid w:val="00A7042D"/>
    <w:rsid w:val="00A70544"/>
    <w:rsid w:val="00A70A1B"/>
    <w:rsid w:val="00A70ED0"/>
    <w:rsid w:val="00A712C5"/>
    <w:rsid w:val="00A71ACE"/>
    <w:rsid w:val="00A72250"/>
    <w:rsid w:val="00A743FA"/>
    <w:rsid w:val="00A74472"/>
    <w:rsid w:val="00A74774"/>
    <w:rsid w:val="00A74DC3"/>
    <w:rsid w:val="00A75391"/>
    <w:rsid w:val="00A75594"/>
    <w:rsid w:val="00A758AE"/>
    <w:rsid w:val="00A75927"/>
    <w:rsid w:val="00A75C0D"/>
    <w:rsid w:val="00A76023"/>
    <w:rsid w:val="00A76034"/>
    <w:rsid w:val="00A76208"/>
    <w:rsid w:val="00A76EA1"/>
    <w:rsid w:val="00A77273"/>
    <w:rsid w:val="00A77302"/>
    <w:rsid w:val="00A7793A"/>
    <w:rsid w:val="00A77AB5"/>
    <w:rsid w:val="00A77FB0"/>
    <w:rsid w:val="00A77FDE"/>
    <w:rsid w:val="00A81112"/>
    <w:rsid w:val="00A838A1"/>
    <w:rsid w:val="00A83AAF"/>
    <w:rsid w:val="00A8406C"/>
    <w:rsid w:val="00A8433E"/>
    <w:rsid w:val="00A8491D"/>
    <w:rsid w:val="00A84A77"/>
    <w:rsid w:val="00A8593A"/>
    <w:rsid w:val="00A86003"/>
    <w:rsid w:val="00A861EE"/>
    <w:rsid w:val="00A8699C"/>
    <w:rsid w:val="00A86EF0"/>
    <w:rsid w:val="00A871F0"/>
    <w:rsid w:val="00A87373"/>
    <w:rsid w:val="00A87B9B"/>
    <w:rsid w:val="00A87DEC"/>
    <w:rsid w:val="00A9003C"/>
    <w:rsid w:val="00A909B9"/>
    <w:rsid w:val="00A90EEB"/>
    <w:rsid w:val="00A913E7"/>
    <w:rsid w:val="00A913F2"/>
    <w:rsid w:val="00A91462"/>
    <w:rsid w:val="00A9179E"/>
    <w:rsid w:val="00A917C2"/>
    <w:rsid w:val="00A9395A"/>
    <w:rsid w:val="00A93D5C"/>
    <w:rsid w:val="00A94166"/>
    <w:rsid w:val="00A94392"/>
    <w:rsid w:val="00A94D54"/>
    <w:rsid w:val="00A963D2"/>
    <w:rsid w:val="00A970DD"/>
    <w:rsid w:val="00A97364"/>
    <w:rsid w:val="00A974B6"/>
    <w:rsid w:val="00A97A28"/>
    <w:rsid w:val="00AA0A5C"/>
    <w:rsid w:val="00AA1586"/>
    <w:rsid w:val="00AA1657"/>
    <w:rsid w:val="00AA1C4D"/>
    <w:rsid w:val="00AA1F72"/>
    <w:rsid w:val="00AA258A"/>
    <w:rsid w:val="00AA2AF6"/>
    <w:rsid w:val="00AA386A"/>
    <w:rsid w:val="00AA3BE6"/>
    <w:rsid w:val="00AA4CC7"/>
    <w:rsid w:val="00AA4FBB"/>
    <w:rsid w:val="00AA555B"/>
    <w:rsid w:val="00AA5B59"/>
    <w:rsid w:val="00AA5BDF"/>
    <w:rsid w:val="00AA5E8E"/>
    <w:rsid w:val="00AA5EC8"/>
    <w:rsid w:val="00AA608C"/>
    <w:rsid w:val="00AA6264"/>
    <w:rsid w:val="00AA6F1B"/>
    <w:rsid w:val="00AA74BE"/>
    <w:rsid w:val="00AA75CA"/>
    <w:rsid w:val="00AB07C8"/>
    <w:rsid w:val="00AB07EB"/>
    <w:rsid w:val="00AB0E1B"/>
    <w:rsid w:val="00AB103D"/>
    <w:rsid w:val="00AB1601"/>
    <w:rsid w:val="00AB1DEF"/>
    <w:rsid w:val="00AB1EFA"/>
    <w:rsid w:val="00AB2597"/>
    <w:rsid w:val="00AB2B39"/>
    <w:rsid w:val="00AB2FA7"/>
    <w:rsid w:val="00AB43D6"/>
    <w:rsid w:val="00AB4443"/>
    <w:rsid w:val="00AB4D00"/>
    <w:rsid w:val="00AB5744"/>
    <w:rsid w:val="00AB580D"/>
    <w:rsid w:val="00AB5929"/>
    <w:rsid w:val="00AB6147"/>
    <w:rsid w:val="00AB6C64"/>
    <w:rsid w:val="00AB6CA7"/>
    <w:rsid w:val="00AB74A9"/>
    <w:rsid w:val="00AB77DB"/>
    <w:rsid w:val="00AB7B39"/>
    <w:rsid w:val="00AC08F0"/>
    <w:rsid w:val="00AC0A76"/>
    <w:rsid w:val="00AC2065"/>
    <w:rsid w:val="00AC2827"/>
    <w:rsid w:val="00AC2CDE"/>
    <w:rsid w:val="00AC3500"/>
    <w:rsid w:val="00AC3523"/>
    <w:rsid w:val="00AC4338"/>
    <w:rsid w:val="00AC5633"/>
    <w:rsid w:val="00AC582F"/>
    <w:rsid w:val="00AC7C41"/>
    <w:rsid w:val="00AD01E4"/>
    <w:rsid w:val="00AD0858"/>
    <w:rsid w:val="00AD1077"/>
    <w:rsid w:val="00AD14A1"/>
    <w:rsid w:val="00AD17DB"/>
    <w:rsid w:val="00AD1A5B"/>
    <w:rsid w:val="00AD1B36"/>
    <w:rsid w:val="00AD318F"/>
    <w:rsid w:val="00AD3F7E"/>
    <w:rsid w:val="00AD4E76"/>
    <w:rsid w:val="00AD4F16"/>
    <w:rsid w:val="00AD50FF"/>
    <w:rsid w:val="00AD587E"/>
    <w:rsid w:val="00AD6AEC"/>
    <w:rsid w:val="00AD6D52"/>
    <w:rsid w:val="00AD701D"/>
    <w:rsid w:val="00AD71C2"/>
    <w:rsid w:val="00AD7F9E"/>
    <w:rsid w:val="00AE0FB8"/>
    <w:rsid w:val="00AE1220"/>
    <w:rsid w:val="00AE1487"/>
    <w:rsid w:val="00AE1FDC"/>
    <w:rsid w:val="00AE2B23"/>
    <w:rsid w:val="00AE32AC"/>
    <w:rsid w:val="00AE389E"/>
    <w:rsid w:val="00AE4CB4"/>
    <w:rsid w:val="00AE6237"/>
    <w:rsid w:val="00AE68DF"/>
    <w:rsid w:val="00AE6A0A"/>
    <w:rsid w:val="00AE6D42"/>
    <w:rsid w:val="00AE6E4A"/>
    <w:rsid w:val="00AE71B0"/>
    <w:rsid w:val="00AE7340"/>
    <w:rsid w:val="00AE739C"/>
    <w:rsid w:val="00AE7D23"/>
    <w:rsid w:val="00AF0627"/>
    <w:rsid w:val="00AF1485"/>
    <w:rsid w:val="00AF1BBD"/>
    <w:rsid w:val="00AF1F28"/>
    <w:rsid w:val="00AF274E"/>
    <w:rsid w:val="00AF2DAB"/>
    <w:rsid w:val="00AF3067"/>
    <w:rsid w:val="00AF4340"/>
    <w:rsid w:val="00AF5197"/>
    <w:rsid w:val="00AF5F46"/>
    <w:rsid w:val="00AF6726"/>
    <w:rsid w:val="00AF6CA1"/>
    <w:rsid w:val="00AF6D23"/>
    <w:rsid w:val="00AF6FF3"/>
    <w:rsid w:val="00AF7658"/>
    <w:rsid w:val="00AF7767"/>
    <w:rsid w:val="00B00376"/>
    <w:rsid w:val="00B006A8"/>
    <w:rsid w:val="00B00922"/>
    <w:rsid w:val="00B00B58"/>
    <w:rsid w:val="00B00BF0"/>
    <w:rsid w:val="00B00EAC"/>
    <w:rsid w:val="00B0176E"/>
    <w:rsid w:val="00B01E05"/>
    <w:rsid w:val="00B0295C"/>
    <w:rsid w:val="00B0307F"/>
    <w:rsid w:val="00B0373C"/>
    <w:rsid w:val="00B03A3A"/>
    <w:rsid w:val="00B04B7C"/>
    <w:rsid w:val="00B04E55"/>
    <w:rsid w:val="00B05A1D"/>
    <w:rsid w:val="00B05BEA"/>
    <w:rsid w:val="00B05E5B"/>
    <w:rsid w:val="00B06297"/>
    <w:rsid w:val="00B0677C"/>
    <w:rsid w:val="00B06798"/>
    <w:rsid w:val="00B07649"/>
    <w:rsid w:val="00B07E5C"/>
    <w:rsid w:val="00B07E93"/>
    <w:rsid w:val="00B07E9B"/>
    <w:rsid w:val="00B10207"/>
    <w:rsid w:val="00B107E0"/>
    <w:rsid w:val="00B10CE6"/>
    <w:rsid w:val="00B10DCE"/>
    <w:rsid w:val="00B10E9A"/>
    <w:rsid w:val="00B11B92"/>
    <w:rsid w:val="00B11CE0"/>
    <w:rsid w:val="00B11E0C"/>
    <w:rsid w:val="00B120D4"/>
    <w:rsid w:val="00B12C8C"/>
    <w:rsid w:val="00B12D02"/>
    <w:rsid w:val="00B12EB8"/>
    <w:rsid w:val="00B12F4E"/>
    <w:rsid w:val="00B13C5C"/>
    <w:rsid w:val="00B141E7"/>
    <w:rsid w:val="00B14556"/>
    <w:rsid w:val="00B14F80"/>
    <w:rsid w:val="00B16BAF"/>
    <w:rsid w:val="00B20589"/>
    <w:rsid w:val="00B21ABC"/>
    <w:rsid w:val="00B21DAA"/>
    <w:rsid w:val="00B2255A"/>
    <w:rsid w:val="00B23645"/>
    <w:rsid w:val="00B23F04"/>
    <w:rsid w:val="00B2568B"/>
    <w:rsid w:val="00B25747"/>
    <w:rsid w:val="00B25B45"/>
    <w:rsid w:val="00B26435"/>
    <w:rsid w:val="00B264B5"/>
    <w:rsid w:val="00B26FBE"/>
    <w:rsid w:val="00B27123"/>
    <w:rsid w:val="00B30FEA"/>
    <w:rsid w:val="00B32148"/>
    <w:rsid w:val="00B327F2"/>
    <w:rsid w:val="00B32EB3"/>
    <w:rsid w:val="00B330AC"/>
    <w:rsid w:val="00B33AEF"/>
    <w:rsid w:val="00B34AE0"/>
    <w:rsid w:val="00B351B4"/>
    <w:rsid w:val="00B3577F"/>
    <w:rsid w:val="00B362BF"/>
    <w:rsid w:val="00B365ED"/>
    <w:rsid w:val="00B37429"/>
    <w:rsid w:val="00B37CF6"/>
    <w:rsid w:val="00B37F7E"/>
    <w:rsid w:val="00B403A3"/>
    <w:rsid w:val="00B40AB6"/>
    <w:rsid w:val="00B414C3"/>
    <w:rsid w:val="00B416D3"/>
    <w:rsid w:val="00B4190E"/>
    <w:rsid w:val="00B41DD4"/>
    <w:rsid w:val="00B42776"/>
    <w:rsid w:val="00B42959"/>
    <w:rsid w:val="00B42BD5"/>
    <w:rsid w:val="00B44EED"/>
    <w:rsid w:val="00B44F73"/>
    <w:rsid w:val="00B454C6"/>
    <w:rsid w:val="00B456AC"/>
    <w:rsid w:val="00B4596C"/>
    <w:rsid w:val="00B467FA"/>
    <w:rsid w:val="00B46BCA"/>
    <w:rsid w:val="00B46BD6"/>
    <w:rsid w:val="00B46F84"/>
    <w:rsid w:val="00B46F87"/>
    <w:rsid w:val="00B472BF"/>
    <w:rsid w:val="00B478A0"/>
    <w:rsid w:val="00B50148"/>
    <w:rsid w:val="00B5058C"/>
    <w:rsid w:val="00B50591"/>
    <w:rsid w:val="00B50F14"/>
    <w:rsid w:val="00B510DE"/>
    <w:rsid w:val="00B51F50"/>
    <w:rsid w:val="00B52612"/>
    <w:rsid w:val="00B52B6B"/>
    <w:rsid w:val="00B53767"/>
    <w:rsid w:val="00B53D86"/>
    <w:rsid w:val="00B541AF"/>
    <w:rsid w:val="00B54206"/>
    <w:rsid w:val="00B54919"/>
    <w:rsid w:val="00B54A13"/>
    <w:rsid w:val="00B54F96"/>
    <w:rsid w:val="00B55F6D"/>
    <w:rsid w:val="00B579BE"/>
    <w:rsid w:val="00B57BC4"/>
    <w:rsid w:val="00B608E3"/>
    <w:rsid w:val="00B60EE3"/>
    <w:rsid w:val="00B61525"/>
    <w:rsid w:val="00B616F2"/>
    <w:rsid w:val="00B61C8B"/>
    <w:rsid w:val="00B61ED0"/>
    <w:rsid w:val="00B62EDD"/>
    <w:rsid w:val="00B65858"/>
    <w:rsid w:val="00B65917"/>
    <w:rsid w:val="00B661C6"/>
    <w:rsid w:val="00B7004F"/>
    <w:rsid w:val="00B70231"/>
    <w:rsid w:val="00B70355"/>
    <w:rsid w:val="00B70AC4"/>
    <w:rsid w:val="00B71387"/>
    <w:rsid w:val="00B714F5"/>
    <w:rsid w:val="00B72053"/>
    <w:rsid w:val="00B72B2D"/>
    <w:rsid w:val="00B73087"/>
    <w:rsid w:val="00B7387A"/>
    <w:rsid w:val="00B739EB"/>
    <w:rsid w:val="00B74422"/>
    <w:rsid w:val="00B744B4"/>
    <w:rsid w:val="00B746A5"/>
    <w:rsid w:val="00B74C67"/>
    <w:rsid w:val="00B753E5"/>
    <w:rsid w:val="00B7562D"/>
    <w:rsid w:val="00B76279"/>
    <w:rsid w:val="00B80276"/>
    <w:rsid w:val="00B8074B"/>
    <w:rsid w:val="00B8115C"/>
    <w:rsid w:val="00B8164C"/>
    <w:rsid w:val="00B81769"/>
    <w:rsid w:val="00B81D9F"/>
    <w:rsid w:val="00B82452"/>
    <w:rsid w:val="00B84135"/>
    <w:rsid w:val="00B84636"/>
    <w:rsid w:val="00B84EF1"/>
    <w:rsid w:val="00B852BE"/>
    <w:rsid w:val="00B85376"/>
    <w:rsid w:val="00B856FB"/>
    <w:rsid w:val="00B859DD"/>
    <w:rsid w:val="00B85A55"/>
    <w:rsid w:val="00B863FA"/>
    <w:rsid w:val="00B87806"/>
    <w:rsid w:val="00B879C6"/>
    <w:rsid w:val="00B87BC1"/>
    <w:rsid w:val="00B87EC9"/>
    <w:rsid w:val="00B90499"/>
    <w:rsid w:val="00B90564"/>
    <w:rsid w:val="00B90904"/>
    <w:rsid w:val="00B90936"/>
    <w:rsid w:val="00B9156A"/>
    <w:rsid w:val="00B9176F"/>
    <w:rsid w:val="00B91BD8"/>
    <w:rsid w:val="00B91FCC"/>
    <w:rsid w:val="00B92352"/>
    <w:rsid w:val="00B9253E"/>
    <w:rsid w:val="00B930DE"/>
    <w:rsid w:val="00B9313E"/>
    <w:rsid w:val="00B93474"/>
    <w:rsid w:val="00B938FD"/>
    <w:rsid w:val="00B9393F"/>
    <w:rsid w:val="00B93CCC"/>
    <w:rsid w:val="00B94475"/>
    <w:rsid w:val="00B94561"/>
    <w:rsid w:val="00B94A56"/>
    <w:rsid w:val="00B94A92"/>
    <w:rsid w:val="00B94D02"/>
    <w:rsid w:val="00B94F9D"/>
    <w:rsid w:val="00B953F3"/>
    <w:rsid w:val="00B96A5E"/>
    <w:rsid w:val="00B96BE0"/>
    <w:rsid w:val="00B970F9"/>
    <w:rsid w:val="00B9739D"/>
    <w:rsid w:val="00B97FD3"/>
    <w:rsid w:val="00BA0415"/>
    <w:rsid w:val="00BA1A50"/>
    <w:rsid w:val="00BA1CF6"/>
    <w:rsid w:val="00BA37EF"/>
    <w:rsid w:val="00BA652B"/>
    <w:rsid w:val="00BA6AC6"/>
    <w:rsid w:val="00BA6B17"/>
    <w:rsid w:val="00BA7371"/>
    <w:rsid w:val="00BA794F"/>
    <w:rsid w:val="00BB0D0D"/>
    <w:rsid w:val="00BB1AE2"/>
    <w:rsid w:val="00BB240E"/>
    <w:rsid w:val="00BB2AF2"/>
    <w:rsid w:val="00BB4DA1"/>
    <w:rsid w:val="00BC01CB"/>
    <w:rsid w:val="00BC04AE"/>
    <w:rsid w:val="00BC0C38"/>
    <w:rsid w:val="00BC1012"/>
    <w:rsid w:val="00BC1A23"/>
    <w:rsid w:val="00BC1BDF"/>
    <w:rsid w:val="00BC37CC"/>
    <w:rsid w:val="00BC389C"/>
    <w:rsid w:val="00BC38FD"/>
    <w:rsid w:val="00BC4C2F"/>
    <w:rsid w:val="00BC4F60"/>
    <w:rsid w:val="00BC5C8E"/>
    <w:rsid w:val="00BC6374"/>
    <w:rsid w:val="00BC789D"/>
    <w:rsid w:val="00BD08B5"/>
    <w:rsid w:val="00BD10CF"/>
    <w:rsid w:val="00BD17B8"/>
    <w:rsid w:val="00BD2615"/>
    <w:rsid w:val="00BD338B"/>
    <w:rsid w:val="00BD58E3"/>
    <w:rsid w:val="00BD5E99"/>
    <w:rsid w:val="00BD60BA"/>
    <w:rsid w:val="00BD692E"/>
    <w:rsid w:val="00BD736A"/>
    <w:rsid w:val="00BE10E0"/>
    <w:rsid w:val="00BE1884"/>
    <w:rsid w:val="00BE2258"/>
    <w:rsid w:val="00BE22ED"/>
    <w:rsid w:val="00BE2E74"/>
    <w:rsid w:val="00BE3117"/>
    <w:rsid w:val="00BE312F"/>
    <w:rsid w:val="00BE3AA2"/>
    <w:rsid w:val="00BE3F19"/>
    <w:rsid w:val="00BE4AC7"/>
    <w:rsid w:val="00BE511C"/>
    <w:rsid w:val="00BE5F03"/>
    <w:rsid w:val="00BE6CB2"/>
    <w:rsid w:val="00BF271D"/>
    <w:rsid w:val="00BF2A3A"/>
    <w:rsid w:val="00BF3B8F"/>
    <w:rsid w:val="00BF413D"/>
    <w:rsid w:val="00BF4A84"/>
    <w:rsid w:val="00BF4AF3"/>
    <w:rsid w:val="00BF4F5B"/>
    <w:rsid w:val="00BF5537"/>
    <w:rsid w:val="00BF55C7"/>
    <w:rsid w:val="00BF5C18"/>
    <w:rsid w:val="00BF6325"/>
    <w:rsid w:val="00BF691B"/>
    <w:rsid w:val="00C001BC"/>
    <w:rsid w:val="00C0052D"/>
    <w:rsid w:val="00C01296"/>
    <w:rsid w:val="00C01681"/>
    <w:rsid w:val="00C016B3"/>
    <w:rsid w:val="00C0242F"/>
    <w:rsid w:val="00C02F15"/>
    <w:rsid w:val="00C034CB"/>
    <w:rsid w:val="00C03704"/>
    <w:rsid w:val="00C0380F"/>
    <w:rsid w:val="00C05140"/>
    <w:rsid w:val="00C051A8"/>
    <w:rsid w:val="00C05360"/>
    <w:rsid w:val="00C054BC"/>
    <w:rsid w:val="00C0562E"/>
    <w:rsid w:val="00C05B13"/>
    <w:rsid w:val="00C063DA"/>
    <w:rsid w:val="00C067D9"/>
    <w:rsid w:val="00C068B4"/>
    <w:rsid w:val="00C06AD9"/>
    <w:rsid w:val="00C072D4"/>
    <w:rsid w:val="00C0737F"/>
    <w:rsid w:val="00C07AB6"/>
    <w:rsid w:val="00C07B5B"/>
    <w:rsid w:val="00C104A6"/>
    <w:rsid w:val="00C10580"/>
    <w:rsid w:val="00C10AEA"/>
    <w:rsid w:val="00C12451"/>
    <w:rsid w:val="00C13329"/>
    <w:rsid w:val="00C14CE2"/>
    <w:rsid w:val="00C152DE"/>
    <w:rsid w:val="00C15AD7"/>
    <w:rsid w:val="00C15D4A"/>
    <w:rsid w:val="00C164EF"/>
    <w:rsid w:val="00C16E34"/>
    <w:rsid w:val="00C16EC7"/>
    <w:rsid w:val="00C16F07"/>
    <w:rsid w:val="00C17105"/>
    <w:rsid w:val="00C17185"/>
    <w:rsid w:val="00C17897"/>
    <w:rsid w:val="00C1799A"/>
    <w:rsid w:val="00C20575"/>
    <w:rsid w:val="00C20F02"/>
    <w:rsid w:val="00C21984"/>
    <w:rsid w:val="00C21D42"/>
    <w:rsid w:val="00C22623"/>
    <w:rsid w:val="00C22939"/>
    <w:rsid w:val="00C24409"/>
    <w:rsid w:val="00C248DA"/>
    <w:rsid w:val="00C25325"/>
    <w:rsid w:val="00C254DA"/>
    <w:rsid w:val="00C255BD"/>
    <w:rsid w:val="00C259B6"/>
    <w:rsid w:val="00C25EEE"/>
    <w:rsid w:val="00C260F1"/>
    <w:rsid w:val="00C30416"/>
    <w:rsid w:val="00C30A4D"/>
    <w:rsid w:val="00C320BC"/>
    <w:rsid w:val="00C328B9"/>
    <w:rsid w:val="00C32B9C"/>
    <w:rsid w:val="00C335F6"/>
    <w:rsid w:val="00C33CEE"/>
    <w:rsid w:val="00C340A7"/>
    <w:rsid w:val="00C344B1"/>
    <w:rsid w:val="00C34945"/>
    <w:rsid w:val="00C3532F"/>
    <w:rsid w:val="00C35531"/>
    <w:rsid w:val="00C35EAD"/>
    <w:rsid w:val="00C35FD7"/>
    <w:rsid w:val="00C36AC7"/>
    <w:rsid w:val="00C37827"/>
    <w:rsid w:val="00C37DCE"/>
    <w:rsid w:val="00C40098"/>
    <w:rsid w:val="00C409D5"/>
    <w:rsid w:val="00C4158C"/>
    <w:rsid w:val="00C419C4"/>
    <w:rsid w:val="00C422B7"/>
    <w:rsid w:val="00C43538"/>
    <w:rsid w:val="00C435C3"/>
    <w:rsid w:val="00C43DEE"/>
    <w:rsid w:val="00C43E46"/>
    <w:rsid w:val="00C43FB3"/>
    <w:rsid w:val="00C454D2"/>
    <w:rsid w:val="00C4564A"/>
    <w:rsid w:val="00C4593E"/>
    <w:rsid w:val="00C45C07"/>
    <w:rsid w:val="00C45C1D"/>
    <w:rsid w:val="00C461F9"/>
    <w:rsid w:val="00C46D54"/>
    <w:rsid w:val="00C46D70"/>
    <w:rsid w:val="00C47123"/>
    <w:rsid w:val="00C4799E"/>
    <w:rsid w:val="00C47AAC"/>
    <w:rsid w:val="00C47E68"/>
    <w:rsid w:val="00C47EB1"/>
    <w:rsid w:val="00C503C9"/>
    <w:rsid w:val="00C504F0"/>
    <w:rsid w:val="00C505AE"/>
    <w:rsid w:val="00C50C61"/>
    <w:rsid w:val="00C50CB6"/>
    <w:rsid w:val="00C51339"/>
    <w:rsid w:val="00C515A7"/>
    <w:rsid w:val="00C51C0F"/>
    <w:rsid w:val="00C51F22"/>
    <w:rsid w:val="00C521D6"/>
    <w:rsid w:val="00C52731"/>
    <w:rsid w:val="00C53ACA"/>
    <w:rsid w:val="00C53CD9"/>
    <w:rsid w:val="00C5513B"/>
    <w:rsid w:val="00C55A70"/>
    <w:rsid w:val="00C56429"/>
    <w:rsid w:val="00C5651E"/>
    <w:rsid w:val="00C56625"/>
    <w:rsid w:val="00C5685E"/>
    <w:rsid w:val="00C57545"/>
    <w:rsid w:val="00C578BA"/>
    <w:rsid w:val="00C57F24"/>
    <w:rsid w:val="00C60332"/>
    <w:rsid w:val="00C610E4"/>
    <w:rsid w:val="00C61528"/>
    <w:rsid w:val="00C61EFC"/>
    <w:rsid w:val="00C6234B"/>
    <w:rsid w:val="00C62896"/>
    <w:rsid w:val="00C62FA9"/>
    <w:rsid w:val="00C63295"/>
    <w:rsid w:val="00C63554"/>
    <w:rsid w:val="00C63D2B"/>
    <w:rsid w:val="00C63EAE"/>
    <w:rsid w:val="00C64632"/>
    <w:rsid w:val="00C64B34"/>
    <w:rsid w:val="00C64EBD"/>
    <w:rsid w:val="00C6530D"/>
    <w:rsid w:val="00C65F90"/>
    <w:rsid w:val="00C66102"/>
    <w:rsid w:val="00C66288"/>
    <w:rsid w:val="00C669A5"/>
    <w:rsid w:val="00C66EF2"/>
    <w:rsid w:val="00C67449"/>
    <w:rsid w:val="00C67E4C"/>
    <w:rsid w:val="00C70CED"/>
    <w:rsid w:val="00C71119"/>
    <w:rsid w:val="00C7177D"/>
    <w:rsid w:val="00C71CD7"/>
    <w:rsid w:val="00C722B7"/>
    <w:rsid w:val="00C738B6"/>
    <w:rsid w:val="00C73F70"/>
    <w:rsid w:val="00C73FE9"/>
    <w:rsid w:val="00C74A6C"/>
    <w:rsid w:val="00C74CD6"/>
    <w:rsid w:val="00C752B7"/>
    <w:rsid w:val="00C756B3"/>
    <w:rsid w:val="00C75884"/>
    <w:rsid w:val="00C7593E"/>
    <w:rsid w:val="00C75964"/>
    <w:rsid w:val="00C75DB5"/>
    <w:rsid w:val="00C7629F"/>
    <w:rsid w:val="00C76C96"/>
    <w:rsid w:val="00C7740C"/>
    <w:rsid w:val="00C77E93"/>
    <w:rsid w:val="00C80845"/>
    <w:rsid w:val="00C80EC1"/>
    <w:rsid w:val="00C812E4"/>
    <w:rsid w:val="00C81674"/>
    <w:rsid w:val="00C81A85"/>
    <w:rsid w:val="00C81E60"/>
    <w:rsid w:val="00C834FD"/>
    <w:rsid w:val="00C83648"/>
    <w:rsid w:val="00C83E38"/>
    <w:rsid w:val="00C84B6F"/>
    <w:rsid w:val="00C865D4"/>
    <w:rsid w:val="00C8661B"/>
    <w:rsid w:val="00C86A6F"/>
    <w:rsid w:val="00C8734F"/>
    <w:rsid w:val="00C87698"/>
    <w:rsid w:val="00C87C0D"/>
    <w:rsid w:val="00C87C2A"/>
    <w:rsid w:val="00C911C3"/>
    <w:rsid w:val="00C91AD0"/>
    <w:rsid w:val="00C9275E"/>
    <w:rsid w:val="00C92948"/>
    <w:rsid w:val="00C92BC5"/>
    <w:rsid w:val="00C9410E"/>
    <w:rsid w:val="00C9430C"/>
    <w:rsid w:val="00C953A8"/>
    <w:rsid w:val="00C957F6"/>
    <w:rsid w:val="00C95B62"/>
    <w:rsid w:val="00CA01A4"/>
    <w:rsid w:val="00CA0A6E"/>
    <w:rsid w:val="00CA0C9B"/>
    <w:rsid w:val="00CA1286"/>
    <w:rsid w:val="00CA1334"/>
    <w:rsid w:val="00CA139A"/>
    <w:rsid w:val="00CA17F1"/>
    <w:rsid w:val="00CA1D72"/>
    <w:rsid w:val="00CA256C"/>
    <w:rsid w:val="00CA2899"/>
    <w:rsid w:val="00CA3046"/>
    <w:rsid w:val="00CA30FF"/>
    <w:rsid w:val="00CA3782"/>
    <w:rsid w:val="00CA3A3D"/>
    <w:rsid w:val="00CA3CBA"/>
    <w:rsid w:val="00CA49F0"/>
    <w:rsid w:val="00CA4AD9"/>
    <w:rsid w:val="00CA549C"/>
    <w:rsid w:val="00CA572E"/>
    <w:rsid w:val="00CA5807"/>
    <w:rsid w:val="00CA58B9"/>
    <w:rsid w:val="00CA5EF6"/>
    <w:rsid w:val="00CA65DA"/>
    <w:rsid w:val="00CA6FEA"/>
    <w:rsid w:val="00CA70C6"/>
    <w:rsid w:val="00CA7274"/>
    <w:rsid w:val="00CA77FB"/>
    <w:rsid w:val="00CB0726"/>
    <w:rsid w:val="00CB090E"/>
    <w:rsid w:val="00CB1150"/>
    <w:rsid w:val="00CB1869"/>
    <w:rsid w:val="00CB1903"/>
    <w:rsid w:val="00CB1FCC"/>
    <w:rsid w:val="00CB2566"/>
    <w:rsid w:val="00CB2692"/>
    <w:rsid w:val="00CB2BC5"/>
    <w:rsid w:val="00CB2BDB"/>
    <w:rsid w:val="00CB2C9C"/>
    <w:rsid w:val="00CB379B"/>
    <w:rsid w:val="00CB3EE2"/>
    <w:rsid w:val="00CB3F1C"/>
    <w:rsid w:val="00CB4632"/>
    <w:rsid w:val="00CB4CC7"/>
    <w:rsid w:val="00CB4DEA"/>
    <w:rsid w:val="00CB5DD0"/>
    <w:rsid w:val="00CB66D6"/>
    <w:rsid w:val="00CB680C"/>
    <w:rsid w:val="00CB6E0E"/>
    <w:rsid w:val="00CB7F73"/>
    <w:rsid w:val="00CC0027"/>
    <w:rsid w:val="00CC0FAA"/>
    <w:rsid w:val="00CC1256"/>
    <w:rsid w:val="00CC1CF9"/>
    <w:rsid w:val="00CC31F9"/>
    <w:rsid w:val="00CC3214"/>
    <w:rsid w:val="00CC373A"/>
    <w:rsid w:val="00CC3DD3"/>
    <w:rsid w:val="00CC457E"/>
    <w:rsid w:val="00CC497B"/>
    <w:rsid w:val="00CC51D4"/>
    <w:rsid w:val="00CC5275"/>
    <w:rsid w:val="00CC5834"/>
    <w:rsid w:val="00CC598E"/>
    <w:rsid w:val="00CC5FAC"/>
    <w:rsid w:val="00CC6296"/>
    <w:rsid w:val="00CC65DA"/>
    <w:rsid w:val="00CC688E"/>
    <w:rsid w:val="00CC6DF7"/>
    <w:rsid w:val="00CC735A"/>
    <w:rsid w:val="00CC7F9E"/>
    <w:rsid w:val="00CC7FA1"/>
    <w:rsid w:val="00CD0F38"/>
    <w:rsid w:val="00CD11A0"/>
    <w:rsid w:val="00CD16F9"/>
    <w:rsid w:val="00CD17D5"/>
    <w:rsid w:val="00CD1B1B"/>
    <w:rsid w:val="00CD1C22"/>
    <w:rsid w:val="00CD1F4E"/>
    <w:rsid w:val="00CD237A"/>
    <w:rsid w:val="00CD32B1"/>
    <w:rsid w:val="00CD36CE"/>
    <w:rsid w:val="00CD3F6A"/>
    <w:rsid w:val="00CD403F"/>
    <w:rsid w:val="00CD4A1E"/>
    <w:rsid w:val="00CD51E4"/>
    <w:rsid w:val="00CD5508"/>
    <w:rsid w:val="00CD56FC"/>
    <w:rsid w:val="00CD5DB7"/>
    <w:rsid w:val="00CD5F81"/>
    <w:rsid w:val="00CD65E4"/>
    <w:rsid w:val="00CD6E3D"/>
    <w:rsid w:val="00CD7251"/>
    <w:rsid w:val="00CE000F"/>
    <w:rsid w:val="00CE06ED"/>
    <w:rsid w:val="00CE11D2"/>
    <w:rsid w:val="00CE1445"/>
    <w:rsid w:val="00CE1D36"/>
    <w:rsid w:val="00CE2499"/>
    <w:rsid w:val="00CE25D2"/>
    <w:rsid w:val="00CE3133"/>
    <w:rsid w:val="00CE40A5"/>
    <w:rsid w:val="00CE4778"/>
    <w:rsid w:val="00CE496B"/>
    <w:rsid w:val="00CE4F14"/>
    <w:rsid w:val="00CE542C"/>
    <w:rsid w:val="00CE5BA5"/>
    <w:rsid w:val="00CE608F"/>
    <w:rsid w:val="00CE60AC"/>
    <w:rsid w:val="00CE6804"/>
    <w:rsid w:val="00CE6AA8"/>
    <w:rsid w:val="00CE6E2C"/>
    <w:rsid w:val="00CE6EA8"/>
    <w:rsid w:val="00CE6FB0"/>
    <w:rsid w:val="00CE7538"/>
    <w:rsid w:val="00CE7AFA"/>
    <w:rsid w:val="00CE7CF8"/>
    <w:rsid w:val="00CE7E19"/>
    <w:rsid w:val="00CF03F3"/>
    <w:rsid w:val="00CF0C8D"/>
    <w:rsid w:val="00CF0FA6"/>
    <w:rsid w:val="00CF1707"/>
    <w:rsid w:val="00CF1D62"/>
    <w:rsid w:val="00CF1E56"/>
    <w:rsid w:val="00CF210F"/>
    <w:rsid w:val="00CF21B9"/>
    <w:rsid w:val="00CF23BD"/>
    <w:rsid w:val="00CF29D9"/>
    <w:rsid w:val="00CF2F4F"/>
    <w:rsid w:val="00CF2FA3"/>
    <w:rsid w:val="00CF4C8F"/>
    <w:rsid w:val="00CF502D"/>
    <w:rsid w:val="00CF524F"/>
    <w:rsid w:val="00CF6069"/>
    <w:rsid w:val="00CF64F0"/>
    <w:rsid w:val="00CF6BF9"/>
    <w:rsid w:val="00D00B94"/>
    <w:rsid w:val="00D0106E"/>
    <w:rsid w:val="00D018F0"/>
    <w:rsid w:val="00D019B7"/>
    <w:rsid w:val="00D033DD"/>
    <w:rsid w:val="00D03800"/>
    <w:rsid w:val="00D0404E"/>
    <w:rsid w:val="00D041E4"/>
    <w:rsid w:val="00D04822"/>
    <w:rsid w:val="00D050C7"/>
    <w:rsid w:val="00D06264"/>
    <w:rsid w:val="00D065D3"/>
    <w:rsid w:val="00D06724"/>
    <w:rsid w:val="00D06DD6"/>
    <w:rsid w:val="00D076D6"/>
    <w:rsid w:val="00D10A6F"/>
    <w:rsid w:val="00D10E88"/>
    <w:rsid w:val="00D11BA0"/>
    <w:rsid w:val="00D11BCD"/>
    <w:rsid w:val="00D135FB"/>
    <w:rsid w:val="00D13F0F"/>
    <w:rsid w:val="00D14C94"/>
    <w:rsid w:val="00D150D8"/>
    <w:rsid w:val="00D15A13"/>
    <w:rsid w:val="00D15B8D"/>
    <w:rsid w:val="00D16F41"/>
    <w:rsid w:val="00D21151"/>
    <w:rsid w:val="00D21295"/>
    <w:rsid w:val="00D21AA4"/>
    <w:rsid w:val="00D224D3"/>
    <w:rsid w:val="00D2288E"/>
    <w:rsid w:val="00D2315D"/>
    <w:rsid w:val="00D23267"/>
    <w:rsid w:val="00D23CEA"/>
    <w:rsid w:val="00D23D87"/>
    <w:rsid w:val="00D25453"/>
    <w:rsid w:val="00D25962"/>
    <w:rsid w:val="00D25D64"/>
    <w:rsid w:val="00D26388"/>
    <w:rsid w:val="00D2674B"/>
    <w:rsid w:val="00D26CBF"/>
    <w:rsid w:val="00D30136"/>
    <w:rsid w:val="00D30326"/>
    <w:rsid w:val="00D312DE"/>
    <w:rsid w:val="00D3132E"/>
    <w:rsid w:val="00D31ACF"/>
    <w:rsid w:val="00D31CDE"/>
    <w:rsid w:val="00D323AA"/>
    <w:rsid w:val="00D327CF"/>
    <w:rsid w:val="00D330CC"/>
    <w:rsid w:val="00D330DB"/>
    <w:rsid w:val="00D342A6"/>
    <w:rsid w:val="00D34465"/>
    <w:rsid w:val="00D34B67"/>
    <w:rsid w:val="00D34EC1"/>
    <w:rsid w:val="00D352C5"/>
    <w:rsid w:val="00D35B5D"/>
    <w:rsid w:val="00D36F17"/>
    <w:rsid w:val="00D372A4"/>
    <w:rsid w:val="00D3759C"/>
    <w:rsid w:val="00D37CBB"/>
    <w:rsid w:val="00D40739"/>
    <w:rsid w:val="00D418EA"/>
    <w:rsid w:val="00D419E0"/>
    <w:rsid w:val="00D424D5"/>
    <w:rsid w:val="00D435DF"/>
    <w:rsid w:val="00D4363E"/>
    <w:rsid w:val="00D444EF"/>
    <w:rsid w:val="00D45361"/>
    <w:rsid w:val="00D4560F"/>
    <w:rsid w:val="00D45783"/>
    <w:rsid w:val="00D45C90"/>
    <w:rsid w:val="00D464BF"/>
    <w:rsid w:val="00D47B51"/>
    <w:rsid w:val="00D47F76"/>
    <w:rsid w:val="00D50184"/>
    <w:rsid w:val="00D50480"/>
    <w:rsid w:val="00D50999"/>
    <w:rsid w:val="00D51238"/>
    <w:rsid w:val="00D5176D"/>
    <w:rsid w:val="00D520CB"/>
    <w:rsid w:val="00D524A1"/>
    <w:rsid w:val="00D52C8C"/>
    <w:rsid w:val="00D531BE"/>
    <w:rsid w:val="00D538BA"/>
    <w:rsid w:val="00D53E26"/>
    <w:rsid w:val="00D54DAE"/>
    <w:rsid w:val="00D54F80"/>
    <w:rsid w:val="00D551B8"/>
    <w:rsid w:val="00D5524B"/>
    <w:rsid w:val="00D56179"/>
    <w:rsid w:val="00D563AD"/>
    <w:rsid w:val="00D56A72"/>
    <w:rsid w:val="00D56E81"/>
    <w:rsid w:val="00D571B7"/>
    <w:rsid w:val="00D57299"/>
    <w:rsid w:val="00D57BB1"/>
    <w:rsid w:val="00D57C3F"/>
    <w:rsid w:val="00D60177"/>
    <w:rsid w:val="00D60731"/>
    <w:rsid w:val="00D60852"/>
    <w:rsid w:val="00D60ABF"/>
    <w:rsid w:val="00D6108F"/>
    <w:rsid w:val="00D6109E"/>
    <w:rsid w:val="00D61166"/>
    <w:rsid w:val="00D6167D"/>
    <w:rsid w:val="00D6179A"/>
    <w:rsid w:val="00D61E17"/>
    <w:rsid w:val="00D62287"/>
    <w:rsid w:val="00D628EA"/>
    <w:rsid w:val="00D62C2F"/>
    <w:rsid w:val="00D631A6"/>
    <w:rsid w:val="00D6322D"/>
    <w:rsid w:val="00D63932"/>
    <w:rsid w:val="00D63B9A"/>
    <w:rsid w:val="00D6451F"/>
    <w:rsid w:val="00D6476B"/>
    <w:rsid w:val="00D6548B"/>
    <w:rsid w:val="00D657F8"/>
    <w:rsid w:val="00D6623E"/>
    <w:rsid w:val="00D6632D"/>
    <w:rsid w:val="00D665AD"/>
    <w:rsid w:val="00D66AF7"/>
    <w:rsid w:val="00D66E2F"/>
    <w:rsid w:val="00D67482"/>
    <w:rsid w:val="00D674C4"/>
    <w:rsid w:val="00D67E4F"/>
    <w:rsid w:val="00D7178C"/>
    <w:rsid w:val="00D71A0F"/>
    <w:rsid w:val="00D722CB"/>
    <w:rsid w:val="00D72F94"/>
    <w:rsid w:val="00D733CA"/>
    <w:rsid w:val="00D73EE0"/>
    <w:rsid w:val="00D74A89"/>
    <w:rsid w:val="00D74CDB"/>
    <w:rsid w:val="00D76739"/>
    <w:rsid w:val="00D76FED"/>
    <w:rsid w:val="00D771CC"/>
    <w:rsid w:val="00D7739C"/>
    <w:rsid w:val="00D777B8"/>
    <w:rsid w:val="00D77923"/>
    <w:rsid w:val="00D77FA6"/>
    <w:rsid w:val="00D8105C"/>
    <w:rsid w:val="00D82C30"/>
    <w:rsid w:val="00D82FE0"/>
    <w:rsid w:val="00D835FD"/>
    <w:rsid w:val="00D83EA2"/>
    <w:rsid w:val="00D8410B"/>
    <w:rsid w:val="00D867BC"/>
    <w:rsid w:val="00D86DC8"/>
    <w:rsid w:val="00D86DCD"/>
    <w:rsid w:val="00D9027B"/>
    <w:rsid w:val="00D90648"/>
    <w:rsid w:val="00D9070A"/>
    <w:rsid w:val="00D909D7"/>
    <w:rsid w:val="00D9141E"/>
    <w:rsid w:val="00D91480"/>
    <w:rsid w:val="00D914DE"/>
    <w:rsid w:val="00D92967"/>
    <w:rsid w:val="00D92C87"/>
    <w:rsid w:val="00D92C98"/>
    <w:rsid w:val="00D93788"/>
    <w:rsid w:val="00D93CDB"/>
    <w:rsid w:val="00D94249"/>
    <w:rsid w:val="00D94ADF"/>
    <w:rsid w:val="00D950FB"/>
    <w:rsid w:val="00D951B7"/>
    <w:rsid w:val="00D95533"/>
    <w:rsid w:val="00D969CA"/>
    <w:rsid w:val="00D9723C"/>
    <w:rsid w:val="00DA051D"/>
    <w:rsid w:val="00DA0C3F"/>
    <w:rsid w:val="00DA2C4C"/>
    <w:rsid w:val="00DA2FF4"/>
    <w:rsid w:val="00DA3295"/>
    <w:rsid w:val="00DA34BD"/>
    <w:rsid w:val="00DA380E"/>
    <w:rsid w:val="00DA3A60"/>
    <w:rsid w:val="00DA466C"/>
    <w:rsid w:val="00DA4DD7"/>
    <w:rsid w:val="00DA52BD"/>
    <w:rsid w:val="00DA565E"/>
    <w:rsid w:val="00DA5909"/>
    <w:rsid w:val="00DA6280"/>
    <w:rsid w:val="00DA7F53"/>
    <w:rsid w:val="00DB065C"/>
    <w:rsid w:val="00DB0F27"/>
    <w:rsid w:val="00DB1943"/>
    <w:rsid w:val="00DB2884"/>
    <w:rsid w:val="00DB2B9E"/>
    <w:rsid w:val="00DB319E"/>
    <w:rsid w:val="00DB41A2"/>
    <w:rsid w:val="00DB4B10"/>
    <w:rsid w:val="00DB4EF0"/>
    <w:rsid w:val="00DB5410"/>
    <w:rsid w:val="00DB612E"/>
    <w:rsid w:val="00DB64BC"/>
    <w:rsid w:val="00DB73EC"/>
    <w:rsid w:val="00DB74AC"/>
    <w:rsid w:val="00DB7C61"/>
    <w:rsid w:val="00DC1438"/>
    <w:rsid w:val="00DC1671"/>
    <w:rsid w:val="00DC180F"/>
    <w:rsid w:val="00DC20B0"/>
    <w:rsid w:val="00DC2181"/>
    <w:rsid w:val="00DC350B"/>
    <w:rsid w:val="00DC364A"/>
    <w:rsid w:val="00DC383C"/>
    <w:rsid w:val="00DC542E"/>
    <w:rsid w:val="00DC5AA6"/>
    <w:rsid w:val="00DC5C29"/>
    <w:rsid w:val="00DC6B5C"/>
    <w:rsid w:val="00DC6F2A"/>
    <w:rsid w:val="00DC720D"/>
    <w:rsid w:val="00DD01E5"/>
    <w:rsid w:val="00DD0EE5"/>
    <w:rsid w:val="00DD10E4"/>
    <w:rsid w:val="00DD1471"/>
    <w:rsid w:val="00DD273A"/>
    <w:rsid w:val="00DD2C10"/>
    <w:rsid w:val="00DD2F13"/>
    <w:rsid w:val="00DD485D"/>
    <w:rsid w:val="00DD486D"/>
    <w:rsid w:val="00DD4BFF"/>
    <w:rsid w:val="00DD4C3C"/>
    <w:rsid w:val="00DD4CE3"/>
    <w:rsid w:val="00DD4F0E"/>
    <w:rsid w:val="00DD5E06"/>
    <w:rsid w:val="00DD7A13"/>
    <w:rsid w:val="00DE0B40"/>
    <w:rsid w:val="00DE17E4"/>
    <w:rsid w:val="00DE3053"/>
    <w:rsid w:val="00DE3142"/>
    <w:rsid w:val="00DE47B1"/>
    <w:rsid w:val="00DE4CD8"/>
    <w:rsid w:val="00DE4E24"/>
    <w:rsid w:val="00DE56B8"/>
    <w:rsid w:val="00DE596A"/>
    <w:rsid w:val="00DE5D06"/>
    <w:rsid w:val="00DE65D5"/>
    <w:rsid w:val="00DE69F8"/>
    <w:rsid w:val="00DE7955"/>
    <w:rsid w:val="00DE7983"/>
    <w:rsid w:val="00DE7E5B"/>
    <w:rsid w:val="00DE7EF3"/>
    <w:rsid w:val="00DF04E3"/>
    <w:rsid w:val="00DF05F1"/>
    <w:rsid w:val="00DF0B66"/>
    <w:rsid w:val="00DF0BF0"/>
    <w:rsid w:val="00DF0CEA"/>
    <w:rsid w:val="00DF11EC"/>
    <w:rsid w:val="00DF1BA3"/>
    <w:rsid w:val="00DF1FED"/>
    <w:rsid w:val="00DF2617"/>
    <w:rsid w:val="00DF27EA"/>
    <w:rsid w:val="00DF2809"/>
    <w:rsid w:val="00DF2F9C"/>
    <w:rsid w:val="00DF3444"/>
    <w:rsid w:val="00DF378F"/>
    <w:rsid w:val="00DF39E6"/>
    <w:rsid w:val="00DF4535"/>
    <w:rsid w:val="00DF5684"/>
    <w:rsid w:val="00DF5859"/>
    <w:rsid w:val="00DF5FAD"/>
    <w:rsid w:val="00DF69F5"/>
    <w:rsid w:val="00DF7511"/>
    <w:rsid w:val="00DF7AA8"/>
    <w:rsid w:val="00DF7E7A"/>
    <w:rsid w:val="00E002CC"/>
    <w:rsid w:val="00E0079F"/>
    <w:rsid w:val="00E00A9E"/>
    <w:rsid w:val="00E00BAE"/>
    <w:rsid w:val="00E01249"/>
    <w:rsid w:val="00E01408"/>
    <w:rsid w:val="00E014EA"/>
    <w:rsid w:val="00E01F0B"/>
    <w:rsid w:val="00E02964"/>
    <w:rsid w:val="00E034A7"/>
    <w:rsid w:val="00E03DB3"/>
    <w:rsid w:val="00E03F73"/>
    <w:rsid w:val="00E054DF"/>
    <w:rsid w:val="00E0579F"/>
    <w:rsid w:val="00E05B53"/>
    <w:rsid w:val="00E05E0A"/>
    <w:rsid w:val="00E05FB4"/>
    <w:rsid w:val="00E0638D"/>
    <w:rsid w:val="00E0680F"/>
    <w:rsid w:val="00E101AA"/>
    <w:rsid w:val="00E10F4B"/>
    <w:rsid w:val="00E118CD"/>
    <w:rsid w:val="00E11A4F"/>
    <w:rsid w:val="00E11CE7"/>
    <w:rsid w:val="00E12083"/>
    <w:rsid w:val="00E13B60"/>
    <w:rsid w:val="00E143C4"/>
    <w:rsid w:val="00E15284"/>
    <w:rsid w:val="00E15628"/>
    <w:rsid w:val="00E156FE"/>
    <w:rsid w:val="00E1595F"/>
    <w:rsid w:val="00E15DAC"/>
    <w:rsid w:val="00E160B1"/>
    <w:rsid w:val="00E162A4"/>
    <w:rsid w:val="00E164E4"/>
    <w:rsid w:val="00E17502"/>
    <w:rsid w:val="00E17B31"/>
    <w:rsid w:val="00E17D4D"/>
    <w:rsid w:val="00E2018B"/>
    <w:rsid w:val="00E21D6A"/>
    <w:rsid w:val="00E21EBB"/>
    <w:rsid w:val="00E221A2"/>
    <w:rsid w:val="00E22328"/>
    <w:rsid w:val="00E22707"/>
    <w:rsid w:val="00E23419"/>
    <w:rsid w:val="00E23A82"/>
    <w:rsid w:val="00E23D5F"/>
    <w:rsid w:val="00E24607"/>
    <w:rsid w:val="00E26F47"/>
    <w:rsid w:val="00E27AEE"/>
    <w:rsid w:val="00E27B1D"/>
    <w:rsid w:val="00E3085D"/>
    <w:rsid w:val="00E31239"/>
    <w:rsid w:val="00E3357D"/>
    <w:rsid w:val="00E3437A"/>
    <w:rsid w:val="00E35D5A"/>
    <w:rsid w:val="00E36F20"/>
    <w:rsid w:val="00E37499"/>
    <w:rsid w:val="00E37F7A"/>
    <w:rsid w:val="00E403BF"/>
    <w:rsid w:val="00E40696"/>
    <w:rsid w:val="00E40C86"/>
    <w:rsid w:val="00E40F00"/>
    <w:rsid w:val="00E418EA"/>
    <w:rsid w:val="00E41ADE"/>
    <w:rsid w:val="00E41B36"/>
    <w:rsid w:val="00E41C43"/>
    <w:rsid w:val="00E42680"/>
    <w:rsid w:val="00E42B55"/>
    <w:rsid w:val="00E42CB6"/>
    <w:rsid w:val="00E43DFB"/>
    <w:rsid w:val="00E43EAB"/>
    <w:rsid w:val="00E43EEF"/>
    <w:rsid w:val="00E447F8"/>
    <w:rsid w:val="00E44A2D"/>
    <w:rsid w:val="00E44BBB"/>
    <w:rsid w:val="00E44F2B"/>
    <w:rsid w:val="00E45C2B"/>
    <w:rsid w:val="00E45F88"/>
    <w:rsid w:val="00E4651F"/>
    <w:rsid w:val="00E47074"/>
    <w:rsid w:val="00E47304"/>
    <w:rsid w:val="00E47873"/>
    <w:rsid w:val="00E479F5"/>
    <w:rsid w:val="00E504EC"/>
    <w:rsid w:val="00E50647"/>
    <w:rsid w:val="00E51025"/>
    <w:rsid w:val="00E511C1"/>
    <w:rsid w:val="00E516BB"/>
    <w:rsid w:val="00E52574"/>
    <w:rsid w:val="00E531EE"/>
    <w:rsid w:val="00E5335D"/>
    <w:rsid w:val="00E534CF"/>
    <w:rsid w:val="00E53B82"/>
    <w:rsid w:val="00E53C15"/>
    <w:rsid w:val="00E5407D"/>
    <w:rsid w:val="00E55041"/>
    <w:rsid w:val="00E55564"/>
    <w:rsid w:val="00E55FE8"/>
    <w:rsid w:val="00E562AA"/>
    <w:rsid w:val="00E56830"/>
    <w:rsid w:val="00E57393"/>
    <w:rsid w:val="00E604EE"/>
    <w:rsid w:val="00E60EBB"/>
    <w:rsid w:val="00E6127F"/>
    <w:rsid w:val="00E618AC"/>
    <w:rsid w:val="00E61CF9"/>
    <w:rsid w:val="00E6234C"/>
    <w:rsid w:val="00E62842"/>
    <w:rsid w:val="00E62858"/>
    <w:rsid w:val="00E62EE4"/>
    <w:rsid w:val="00E63061"/>
    <w:rsid w:val="00E632E0"/>
    <w:rsid w:val="00E635AC"/>
    <w:rsid w:val="00E637F6"/>
    <w:rsid w:val="00E6389E"/>
    <w:rsid w:val="00E63A17"/>
    <w:rsid w:val="00E6570C"/>
    <w:rsid w:val="00E66DD9"/>
    <w:rsid w:val="00E67019"/>
    <w:rsid w:val="00E678E3"/>
    <w:rsid w:val="00E70217"/>
    <w:rsid w:val="00E70312"/>
    <w:rsid w:val="00E70865"/>
    <w:rsid w:val="00E70FAD"/>
    <w:rsid w:val="00E7111E"/>
    <w:rsid w:val="00E711DB"/>
    <w:rsid w:val="00E71EB4"/>
    <w:rsid w:val="00E71EFF"/>
    <w:rsid w:val="00E72537"/>
    <w:rsid w:val="00E7258C"/>
    <w:rsid w:val="00E72F46"/>
    <w:rsid w:val="00E73114"/>
    <w:rsid w:val="00E73633"/>
    <w:rsid w:val="00E7424A"/>
    <w:rsid w:val="00E74844"/>
    <w:rsid w:val="00E74D67"/>
    <w:rsid w:val="00E7509E"/>
    <w:rsid w:val="00E75220"/>
    <w:rsid w:val="00E75463"/>
    <w:rsid w:val="00E75484"/>
    <w:rsid w:val="00E75B01"/>
    <w:rsid w:val="00E761CD"/>
    <w:rsid w:val="00E76CDC"/>
    <w:rsid w:val="00E76ECB"/>
    <w:rsid w:val="00E772E3"/>
    <w:rsid w:val="00E77B66"/>
    <w:rsid w:val="00E8067A"/>
    <w:rsid w:val="00E80927"/>
    <w:rsid w:val="00E80DA7"/>
    <w:rsid w:val="00E812BF"/>
    <w:rsid w:val="00E817C3"/>
    <w:rsid w:val="00E81CB4"/>
    <w:rsid w:val="00E82A8B"/>
    <w:rsid w:val="00E83147"/>
    <w:rsid w:val="00E840E1"/>
    <w:rsid w:val="00E849BA"/>
    <w:rsid w:val="00E84FD2"/>
    <w:rsid w:val="00E851AD"/>
    <w:rsid w:val="00E85679"/>
    <w:rsid w:val="00E8585B"/>
    <w:rsid w:val="00E85CE0"/>
    <w:rsid w:val="00E85E59"/>
    <w:rsid w:val="00E8713A"/>
    <w:rsid w:val="00E87BC1"/>
    <w:rsid w:val="00E87F6A"/>
    <w:rsid w:val="00E9061E"/>
    <w:rsid w:val="00E90955"/>
    <w:rsid w:val="00E90EFF"/>
    <w:rsid w:val="00E9264A"/>
    <w:rsid w:val="00E92E0A"/>
    <w:rsid w:val="00E93C5E"/>
    <w:rsid w:val="00E93EB3"/>
    <w:rsid w:val="00E93FB3"/>
    <w:rsid w:val="00E9503E"/>
    <w:rsid w:val="00E9574D"/>
    <w:rsid w:val="00E9684B"/>
    <w:rsid w:val="00E96874"/>
    <w:rsid w:val="00E97099"/>
    <w:rsid w:val="00E97CB0"/>
    <w:rsid w:val="00EA0849"/>
    <w:rsid w:val="00EA14C7"/>
    <w:rsid w:val="00EA28FF"/>
    <w:rsid w:val="00EA30EB"/>
    <w:rsid w:val="00EA372B"/>
    <w:rsid w:val="00EA3C94"/>
    <w:rsid w:val="00EA3F15"/>
    <w:rsid w:val="00EA3F81"/>
    <w:rsid w:val="00EA52EF"/>
    <w:rsid w:val="00EA59DF"/>
    <w:rsid w:val="00EA5FBC"/>
    <w:rsid w:val="00EA6384"/>
    <w:rsid w:val="00EA6385"/>
    <w:rsid w:val="00EA64F9"/>
    <w:rsid w:val="00EA7847"/>
    <w:rsid w:val="00EA7FB7"/>
    <w:rsid w:val="00EB005E"/>
    <w:rsid w:val="00EB0F2E"/>
    <w:rsid w:val="00EB0F69"/>
    <w:rsid w:val="00EB0F94"/>
    <w:rsid w:val="00EB180D"/>
    <w:rsid w:val="00EB1C8E"/>
    <w:rsid w:val="00EB2359"/>
    <w:rsid w:val="00EB2884"/>
    <w:rsid w:val="00EB290B"/>
    <w:rsid w:val="00EB298E"/>
    <w:rsid w:val="00EB2BFD"/>
    <w:rsid w:val="00EB2F1D"/>
    <w:rsid w:val="00EB382D"/>
    <w:rsid w:val="00EB449D"/>
    <w:rsid w:val="00EB463A"/>
    <w:rsid w:val="00EB512D"/>
    <w:rsid w:val="00EB5E91"/>
    <w:rsid w:val="00EB623F"/>
    <w:rsid w:val="00EB6B3E"/>
    <w:rsid w:val="00EB6D3E"/>
    <w:rsid w:val="00EB6DC4"/>
    <w:rsid w:val="00EB6EC3"/>
    <w:rsid w:val="00EB7721"/>
    <w:rsid w:val="00EC0664"/>
    <w:rsid w:val="00EC081A"/>
    <w:rsid w:val="00EC0893"/>
    <w:rsid w:val="00EC090A"/>
    <w:rsid w:val="00EC0D38"/>
    <w:rsid w:val="00EC19F3"/>
    <w:rsid w:val="00EC1B50"/>
    <w:rsid w:val="00EC1D4D"/>
    <w:rsid w:val="00EC2796"/>
    <w:rsid w:val="00EC3714"/>
    <w:rsid w:val="00EC4B96"/>
    <w:rsid w:val="00EC564B"/>
    <w:rsid w:val="00EC62C4"/>
    <w:rsid w:val="00EC71E4"/>
    <w:rsid w:val="00EC72FC"/>
    <w:rsid w:val="00EC7775"/>
    <w:rsid w:val="00ED0102"/>
    <w:rsid w:val="00ED0822"/>
    <w:rsid w:val="00ED0A14"/>
    <w:rsid w:val="00ED0EE2"/>
    <w:rsid w:val="00ED1DFF"/>
    <w:rsid w:val="00ED28C9"/>
    <w:rsid w:val="00ED2A1C"/>
    <w:rsid w:val="00ED33F5"/>
    <w:rsid w:val="00ED3EA2"/>
    <w:rsid w:val="00ED4147"/>
    <w:rsid w:val="00ED45AC"/>
    <w:rsid w:val="00ED4D14"/>
    <w:rsid w:val="00ED4EB3"/>
    <w:rsid w:val="00ED51A0"/>
    <w:rsid w:val="00ED54C8"/>
    <w:rsid w:val="00ED63A2"/>
    <w:rsid w:val="00ED7166"/>
    <w:rsid w:val="00ED7610"/>
    <w:rsid w:val="00EE014D"/>
    <w:rsid w:val="00EE058F"/>
    <w:rsid w:val="00EE0793"/>
    <w:rsid w:val="00EE0E6E"/>
    <w:rsid w:val="00EE1002"/>
    <w:rsid w:val="00EE2E6D"/>
    <w:rsid w:val="00EE2E6E"/>
    <w:rsid w:val="00EE2F3A"/>
    <w:rsid w:val="00EE3106"/>
    <w:rsid w:val="00EE3A47"/>
    <w:rsid w:val="00EE3B42"/>
    <w:rsid w:val="00EE422D"/>
    <w:rsid w:val="00EE45B9"/>
    <w:rsid w:val="00EE49E1"/>
    <w:rsid w:val="00EE4BDB"/>
    <w:rsid w:val="00EE5298"/>
    <w:rsid w:val="00EE594F"/>
    <w:rsid w:val="00EE59D3"/>
    <w:rsid w:val="00EE5CB9"/>
    <w:rsid w:val="00EE5F7D"/>
    <w:rsid w:val="00EE6C8A"/>
    <w:rsid w:val="00EE6E20"/>
    <w:rsid w:val="00EE71CE"/>
    <w:rsid w:val="00EE7573"/>
    <w:rsid w:val="00EE7BF4"/>
    <w:rsid w:val="00EE7D8A"/>
    <w:rsid w:val="00EF0942"/>
    <w:rsid w:val="00EF0A19"/>
    <w:rsid w:val="00EF0C4F"/>
    <w:rsid w:val="00EF0E52"/>
    <w:rsid w:val="00EF10AD"/>
    <w:rsid w:val="00EF1B32"/>
    <w:rsid w:val="00EF2031"/>
    <w:rsid w:val="00EF297F"/>
    <w:rsid w:val="00EF2A9E"/>
    <w:rsid w:val="00EF2BFF"/>
    <w:rsid w:val="00EF32C0"/>
    <w:rsid w:val="00EF330F"/>
    <w:rsid w:val="00EF339E"/>
    <w:rsid w:val="00EF3921"/>
    <w:rsid w:val="00EF3BBC"/>
    <w:rsid w:val="00EF4B93"/>
    <w:rsid w:val="00EF63CE"/>
    <w:rsid w:val="00EF6591"/>
    <w:rsid w:val="00EF6789"/>
    <w:rsid w:val="00EF7019"/>
    <w:rsid w:val="00EF773E"/>
    <w:rsid w:val="00EF7B4F"/>
    <w:rsid w:val="00EF7F92"/>
    <w:rsid w:val="00F001F2"/>
    <w:rsid w:val="00F01068"/>
    <w:rsid w:val="00F011F8"/>
    <w:rsid w:val="00F01431"/>
    <w:rsid w:val="00F017CD"/>
    <w:rsid w:val="00F01806"/>
    <w:rsid w:val="00F01B61"/>
    <w:rsid w:val="00F01F7C"/>
    <w:rsid w:val="00F04455"/>
    <w:rsid w:val="00F044EB"/>
    <w:rsid w:val="00F04E59"/>
    <w:rsid w:val="00F0501D"/>
    <w:rsid w:val="00F05FD5"/>
    <w:rsid w:val="00F0631F"/>
    <w:rsid w:val="00F066E9"/>
    <w:rsid w:val="00F0759E"/>
    <w:rsid w:val="00F075A1"/>
    <w:rsid w:val="00F07E4D"/>
    <w:rsid w:val="00F10203"/>
    <w:rsid w:val="00F10644"/>
    <w:rsid w:val="00F10E43"/>
    <w:rsid w:val="00F10F88"/>
    <w:rsid w:val="00F13554"/>
    <w:rsid w:val="00F13810"/>
    <w:rsid w:val="00F13C85"/>
    <w:rsid w:val="00F13FC5"/>
    <w:rsid w:val="00F143DE"/>
    <w:rsid w:val="00F14C6D"/>
    <w:rsid w:val="00F15075"/>
    <w:rsid w:val="00F15208"/>
    <w:rsid w:val="00F158B1"/>
    <w:rsid w:val="00F158EE"/>
    <w:rsid w:val="00F158F4"/>
    <w:rsid w:val="00F16034"/>
    <w:rsid w:val="00F1649D"/>
    <w:rsid w:val="00F16C18"/>
    <w:rsid w:val="00F16E1A"/>
    <w:rsid w:val="00F170CC"/>
    <w:rsid w:val="00F171E1"/>
    <w:rsid w:val="00F1720B"/>
    <w:rsid w:val="00F17C1E"/>
    <w:rsid w:val="00F2158F"/>
    <w:rsid w:val="00F2233E"/>
    <w:rsid w:val="00F22540"/>
    <w:rsid w:val="00F2274A"/>
    <w:rsid w:val="00F22B5C"/>
    <w:rsid w:val="00F22B84"/>
    <w:rsid w:val="00F2329B"/>
    <w:rsid w:val="00F23351"/>
    <w:rsid w:val="00F23E17"/>
    <w:rsid w:val="00F24931"/>
    <w:rsid w:val="00F24FFB"/>
    <w:rsid w:val="00F261E1"/>
    <w:rsid w:val="00F263F8"/>
    <w:rsid w:val="00F27665"/>
    <w:rsid w:val="00F27729"/>
    <w:rsid w:val="00F27F24"/>
    <w:rsid w:val="00F306A1"/>
    <w:rsid w:val="00F30B18"/>
    <w:rsid w:val="00F31266"/>
    <w:rsid w:val="00F31642"/>
    <w:rsid w:val="00F31679"/>
    <w:rsid w:val="00F318A5"/>
    <w:rsid w:val="00F321F4"/>
    <w:rsid w:val="00F32898"/>
    <w:rsid w:val="00F33430"/>
    <w:rsid w:val="00F337D9"/>
    <w:rsid w:val="00F33B43"/>
    <w:rsid w:val="00F33C70"/>
    <w:rsid w:val="00F34239"/>
    <w:rsid w:val="00F34585"/>
    <w:rsid w:val="00F34782"/>
    <w:rsid w:val="00F34E34"/>
    <w:rsid w:val="00F350AF"/>
    <w:rsid w:val="00F358D1"/>
    <w:rsid w:val="00F35935"/>
    <w:rsid w:val="00F35B02"/>
    <w:rsid w:val="00F369B5"/>
    <w:rsid w:val="00F37175"/>
    <w:rsid w:val="00F375F6"/>
    <w:rsid w:val="00F37B32"/>
    <w:rsid w:val="00F41373"/>
    <w:rsid w:val="00F41DCA"/>
    <w:rsid w:val="00F42536"/>
    <w:rsid w:val="00F42CBD"/>
    <w:rsid w:val="00F432E6"/>
    <w:rsid w:val="00F43858"/>
    <w:rsid w:val="00F43CA8"/>
    <w:rsid w:val="00F4514D"/>
    <w:rsid w:val="00F4540C"/>
    <w:rsid w:val="00F459E6"/>
    <w:rsid w:val="00F4627D"/>
    <w:rsid w:val="00F465C5"/>
    <w:rsid w:val="00F4752D"/>
    <w:rsid w:val="00F479D3"/>
    <w:rsid w:val="00F505B2"/>
    <w:rsid w:val="00F50683"/>
    <w:rsid w:val="00F50FAE"/>
    <w:rsid w:val="00F51347"/>
    <w:rsid w:val="00F513F0"/>
    <w:rsid w:val="00F51E2E"/>
    <w:rsid w:val="00F52C1D"/>
    <w:rsid w:val="00F52F1F"/>
    <w:rsid w:val="00F53D77"/>
    <w:rsid w:val="00F55D66"/>
    <w:rsid w:val="00F55DA9"/>
    <w:rsid w:val="00F5619A"/>
    <w:rsid w:val="00F569FD"/>
    <w:rsid w:val="00F57245"/>
    <w:rsid w:val="00F572C5"/>
    <w:rsid w:val="00F61F7D"/>
    <w:rsid w:val="00F621DA"/>
    <w:rsid w:val="00F62312"/>
    <w:rsid w:val="00F62459"/>
    <w:rsid w:val="00F62791"/>
    <w:rsid w:val="00F62ECE"/>
    <w:rsid w:val="00F633BD"/>
    <w:rsid w:val="00F634AC"/>
    <w:rsid w:val="00F63C57"/>
    <w:rsid w:val="00F64113"/>
    <w:rsid w:val="00F645E4"/>
    <w:rsid w:val="00F64E17"/>
    <w:rsid w:val="00F651E9"/>
    <w:rsid w:val="00F652B9"/>
    <w:rsid w:val="00F66696"/>
    <w:rsid w:val="00F669AB"/>
    <w:rsid w:val="00F66A2C"/>
    <w:rsid w:val="00F66B49"/>
    <w:rsid w:val="00F66D76"/>
    <w:rsid w:val="00F66E9F"/>
    <w:rsid w:val="00F671ED"/>
    <w:rsid w:val="00F700DD"/>
    <w:rsid w:val="00F707B3"/>
    <w:rsid w:val="00F70D52"/>
    <w:rsid w:val="00F712A7"/>
    <w:rsid w:val="00F7159B"/>
    <w:rsid w:val="00F718F3"/>
    <w:rsid w:val="00F719A8"/>
    <w:rsid w:val="00F71C6E"/>
    <w:rsid w:val="00F71CBA"/>
    <w:rsid w:val="00F71DB1"/>
    <w:rsid w:val="00F71E33"/>
    <w:rsid w:val="00F72311"/>
    <w:rsid w:val="00F72719"/>
    <w:rsid w:val="00F72BA7"/>
    <w:rsid w:val="00F72C2E"/>
    <w:rsid w:val="00F736B6"/>
    <w:rsid w:val="00F742A8"/>
    <w:rsid w:val="00F7590A"/>
    <w:rsid w:val="00F75BC2"/>
    <w:rsid w:val="00F76456"/>
    <w:rsid w:val="00F7664E"/>
    <w:rsid w:val="00F76F67"/>
    <w:rsid w:val="00F778C7"/>
    <w:rsid w:val="00F779E7"/>
    <w:rsid w:val="00F77BED"/>
    <w:rsid w:val="00F81167"/>
    <w:rsid w:val="00F813A4"/>
    <w:rsid w:val="00F8145D"/>
    <w:rsid w:val="00F81D80"/>
    <w:rsid w:val="00F82194"/>
    <w:rsid w:val="00F821A3"/>
    <w:rsid w:val="00F82FD1"/>
    <w:rsid w:val="00F830E9"/>
    <w:rsid w:val="00F84069"/>
    <w:rsid w:val="00F841B2"/>
    <w:rsid w:val="00F84267"/>
    <w:rsid w:val="00F84898"/>
    <w:rsid w:val="00F85061"/>
    <w:rsid w:val="00F854E0"/>
    <w:rsid w:val="00F85C08"/>
    <w:rsid w:val="00F85DD5"/>
    <w:rsid w:val="00F862DC"/>
    <w:rsid w:val="00F865FC"/>
    <w:rsid w:val="00F86627"/>
    <w:rsid w:val="00F867C6"/>
    <w:rsid w:val="00F86A8F"/>
    <w:rsid w:val="00F870C0"/>
    <w:rsid w:val="00F875A4"/>
    <w:rsid w:val="00F8779B"/>
    <w:rsid w:val="00F9033A"/>
    <w:rsid w:val="00F9088F"/>
    <w:rsid w:val="00F913DF"/>
    <w:rsid w:val="00F9164E"/>
    <w:rsid w:val="00F9314A"/>
    <w:rsid w:val="00F935FB"/>
    <w:rsid w:val="00F9373E"/>
    <w:rsid w:val="00F94BAD"/>
    <w:rsid w:val="00F955C3"/>
    <w:rsid w:val="00F957D8"/>
    <w:rsid w:val="00F95F39"/>
    <w:rsid w:val="00F97F25"/>
    <w:rsid w:val="00FA136C"/>
    <w:rsid w:val="00FA15A0"/>
    <w:rsid w:val="00FA2188"/>
    <w:rsid w:val="00FA2AD8"/>
    <w:rsid w:val="00FA2D26"/>
    <w:rsid w:val="00FA2E4E"/>
    <w:rsid w:val="00FA310D"/>
    <w:rsid w:val="00FA31C4"/>
    <w:rsid w:val="00FA34B4"/>
    <w:rsid w:val="00FA42C7"/>
    <w:rsid w:val="00FA5679"/>
    <w:rsid w:val="00FA7D90"/>
    <w:rsid w:val="00FB0C1A"/>
    <w:rsid w:val="00FB0EE9"/>
    <w:rsid w:val="00FB1146"/>
    <w:rsid w:val="00FB1299"/>
    <w:rsid w:val="00FB1437"/>
    <w:rsid w:val="00FB153A"/>
    <w:rsid w:val="00FB1546"/>
    <w:rsid w:val="00FB2114"/>
    <w:rsid w:val="00FB2E67"/>
    <w:rsid w:val="00FB37B7"/>
    <w:rsid w:val="00FB47BD"/>
    <w:rsid w:val="00FB4B5A"/>
    <w:rsid w:val="00FB4BD0"/>
    <w:rsid w:val="00FB5666"/>
    <w:rsid w:val="00FB57F3"/>
    <w:rsid w:val="00FB5D77"/>
    <w:rsid w:val="00FB5F17"/>
    <w:rsid w:val="00FB63CC"/>
    <w:rsid w:val="00FB643F"/>
    <w:rsid w:val="00FB6677"/>
    <w:rsid w:val="00FB7323"/>
    <w:rsid w:val="00FC0120"/>
    <w:rsid w:val="00FC0171"/>
    <w:rsid w:val="00FC02FB"/>
    <w:rsid w:val="00FC0C9B"/>
    <w:rsid w:val="00FC14E0"/>
    <w:rsid w:val="00FC1531"/>
    <w:rsid w:val="00FC1AB3"/>
    <w:rsid w:val="00FC1D20"/>
    <w:rsid w:val="00FC1ED8"/>
    <w:rsid w:val="00FC2A06"/>
    <w:rsid w:val="00FC33A7"/>
    <w:rsid w:val="00FC3897"/>
    <w:rsid w:val="00FC4840"/>
    <w:rsid w:val="00FC50E8"/>
    <w:rsid w:val="00FC58EF"/>
    <w:rsid w:val="00FC5D2B"/>
    <w:rsid w:val="00FC60B4"/>
    <w:rsid w:val="00FC614C"/>
    <w:rsid w:val="00FC625C"/>
    <w:rsid w:val="00FC6B86"/>
    <w:rsid w:val="00FC6CB9"/>
    <w:rsid w:val="00FC6FBD"/>
    <w:rsid w:val="00FC7069"/>
    <w:rsid w:val="00FC7356"/>
    <w:rsid w:val="00FC7F4F"/>
    <w:rsid w:val="00FD0468"/>
    <w:rsid w:val="00FD0766"/>
    <w:rsid w:val="00FD0C39"/>
    <w:rsid w:val="00FD1C22"/>
    <w:rsid w:val="00FD33DF"/>
    <w:rsid w:val="00FD4319"/>
    <w:rsid w:val="00FD43AF"/>
    <w:rsid w:val="00FD4523"/>
    <w:rsid w:val="00FD4BC8"/>
    <w:rsid w:val="00FD4BD4"/>
    <w:rsid w:val="00FD5191"/>
    <w:rsid w:val="00FD5B78"/>
    <w:rsid w:val="00FD68B0"/>
    <w:rsid w:val="00FD6FD5"/>
    <w:rsid w:val="00FD769D"/>
    <w:rsid w:val="00FD7A96"/>
    <w:rsid w:val="00FE00C6"/>
    <w:rsid w:val="00FE038E"/>
    <w:rsid w:val="00FE0DC5"/>
    <w:rsid w:val="00FE1FE5"/>
    <w:rsid w:val="00FE277E"/>
    <w:rsid w:val="00FE39D7"/>
    <w:rsid w:val="00FE3EA7"/>
    <w:rsid w:val="00FE43B3"/>
    <w:rsid w:val="00FE48A9"/>
    <w:rsid w:val="00FE4B04"/>
    <w:rsid w:val="00FE5037"/>
    <w:rsid w:val="00FE59E2"/>
    <w:rsid w:val="00FE5D5D"/>
    <w:rsid w:val="00FE6E46"/>
    <w:rsid w:val="00FF03A0"/>
    <w:rsid w:val="00FF0AD3"/>
    <w:rsid w:val="00FF0B25"/>
    <w:rsid w:val="00FF158F"/>
    <w:rsid w:val="00FF19A3"/>
    <w:rsid w:val="00FF19B6"/>
    <w:rsid w:val="00FF26F4"/>
    <w:rsid w:val="00FF3285"/>
    <w:rsid w:val="00FF3651"/>
    <w:rsid w:val="00FF3EAD"/>
    <w:rsid w:val="00FF4670"/>
    <w:rsid w:val="00FF46DF"/>
    <w:rsid w:val="00FF4F3F"/>
    <w:rsid w:val="00FF50A9"/>
    <w:rsid w:val="00FF52FB"/>
    <w:rsid w:val="00FF6855"/>
    <w:rsid w:val="00FF6BE9"/>
    <w:rsid w:val="00FF70C3"/>
    <w:rsid w:val="00FF7673"/>
    <w:rsid w:val="00FF795D"/>
    <w:rsid w:val="00FF7F3D"/>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CD5DB7"/>
    <w:pPr>
      <w:widowControl w:val="0"/>
      <w:numPr>
        <w:numId w:val="1"/>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CD5DB7"/>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
    <w:basedOn w:val="Normal"/>
    <w:link w:val="TextonotapieCar"/>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
    <w:link w:val="Textonotapie"/>
    <w:uiPriority w:val="99"/>
    <w:rsid w:val="00C505AE"/>
    <w:rPr>
      <w:rFonts w:ascii="Arial" w:hAnsi="Arial"/>
      <w:lang w:val="es-ES_tradnl"/>
    </w:rPr>
  </w:style>
  <w:style w:type="character" w:styleId="Refdenotaalpie">
    <w:name w:val="footnote reference"/>
    <w:aliases w:val="Texto de nota al pie,Footnotes refss,Appel note de bas de page,Ref,de nota al pie,FC,Appel note d,Appel note de,Appel note de bas de p,Ref. de nota al pie 2,Appel note de bas de"/>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3"/>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customStyle="1" w:styleId="Estilo5">
    <w:name w:val="Estilo5"/>
    <w:basedOn w:val="Estilo1"/>
    <w:qFormat/>
    <w:rsid w:val="005A559B"/>
    <w:pPr>
      <w:keepNext/>
      <w:numPr>
        <w:numId w:val="5"/>
      </w:numPr>
      <w:shd w:val="clear" w:color="auto" w:fill="auto"/>
      <w:spacing w:before="240" w:after="60"/>
      <w:jc w:val="both"/>
      <w:outlineLvl w:val="0"/>
    </w:pPr>
    <w:rPr>
      <w:rFonts w:ascii="Arial" w:hAnsi="Arial"/>
      <w:b/>
      <w:color w:val="auto"/>
      <w:kern w:val="28"/>
      <w:sz w:val="22"/>
      <w:szCs w:val="22"/>
      <w:lang w:val="es-ES_tradnl" w:eastAsia="es-CO"/>
    </w:rPr>
  </w:style>
  <w:style w:type="paragraph" w:styleId="Textosinformato">
    <w:name w:val="Plain Text"/>
    <w:basedOn w:val="Normal"/>
    <w:link w:val="TextosinformatoCar"/>
    <w:rsid w:val="00170128"/>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170128"/>
    <w:rPr>
      <w:rFonts w:ascii="Courier New" w:hAnsi="Courier New" w:cs="Courier New"/>
      <w:lang w:val="es-ES" w:eastAsia="es-ES"/>
    </w:rPr>
  </w:style>
  <w:style w:type="paragraph" w:styleId="NormalWeb">
    <w:name w:val="Normal (Web)"/>
    <w:basedOn w:val="Normal"/>
    <w:uiPriority w:val="99"/>
    <w:semiHidden/>
    <w:unhideWhenUsed/>
    <w:rsid w:val="00F66E9F"/>
    <w:pPr>
      <w:spacing w:before="100" w:beforeAutospacing="1" w:after="100" w:afterAutospacing="1"/>
      <w:ind w:left="0"/>
    </w:pPr>
    <w:rPr>
      <w:lang w:val="es-CO" w:eastAsia="es-CO"/>
    </w:rPr>
  </w:style>
  <w:style w:type="paragraph" w:customStyle="1" w:styleId="CM9">
    <w:name w:val="CM9"/>
    <w:basedOn w:val="Default"/>
    <w:next w:val="Default"/>
    <w:uiPriority w:val="99"/>
    <w:rsid w:val="00633102"/>
    <w:rPr>
      <w:rFonts w:ascii="Arial" w:eastAsia="Times New Roman" w:hAnsi="Arial" w:cs="Arial"/>
      <w:color w:val="auto"/>
      <w:lang w:eastAsia="es-CO"/>
    </w:rPr>
  </w:style>
  <w:style w:type="character" w:customStyle="1" w:styleId="CharStyle11">
    <w:name w:val="Char Style 11"/>
    <w:basedOn w:val="Fuentedeprrafopredeter"/>
    <w:link w:val="Style10"/>
    <w:uiPriority w:val="99"/>
    <w:rsid w:val="005C39FD"/>
    <w:rPr>
      <w:rFonts w:ascii="Arial" w:hAnsi="Arial" w:cs="Arial"/>
      <w:b/>
      <w:bCs/>
      <w:sz w:val="16"/>
      <w:szCs w:val="16"/>
      <w:shd w:val="clear" w:color="auto" w:fill="FFFFFF"/>
    </w:rPr>
  </w:style>
  <w:style w:type="character" w:customStyle="1" w:styleId="CharStyle20">
    <w:name w:val="Char Style 20"/>
    <w:basedOn w:val="Fuentedeprrafopredeter"/>
    <w:link w:val="Style19"/>
    <w:uiPriority w:val="99"/>
    <w:rsid w:val="005C39FD"/>
    <w:rPr>
      <w:rFonts w:ascii="Arial" w:hAnsi="Arial" w:cs="Arial"/>
      <w:sz w:val="19"/>
      <w:szCs w:val="19"/>
      <w:shd w:val="clear" w:color="auto" w:fill="FFFFFF"/>
    </w:rPr>
  </w:style>
  <w:style w:type="paragraph" w:customStyle="1" w:styleId="Style10">
    <w:name w:val="Style 10"/>
    <w:basedOn w:val="Normal"/>
    <w:link w:val="CharStyle11"/>
    <w:uiPriority w:val="99"/>
    <w:rsid w:val="005C39FD"/>
    <w:pPr>
      <w:widowControl w:val="0"/>
      <w:shd w:val="clear" w:color="auto" w:fill="FFFFFF"/>
      <w:spacing w:before="300" w:line="763" w:lineRule="exact"/>
      <w:ind w:left="0" w:hanging="340"/>
    </w:pPr>
    <w:rPr>
      <w:rFonts w:ascii="Arial" w:hAnsi="Arial" w:cs="Arial"/>
      <w:b/>
      <w:bCs/>
      <w:sz w:val="16"/>
      <w:szCs w:val="16"/>
      <w:lang w:val="es-CO" w:eastAsia="es-CO"/>
    </w:rPr>
  </w:style>
  <w:style w:type="paragraph" w:customStyle="1" w:styleId="Style19">
    <w:name w:val="Style 19"/>
    <w:basedOn w:val="Normal"/>
    <w:link w:val="CharStyle20"/>
    <w:uiPriority w:val="99"/>
    <w:rsid w:val="005C39FD"/>
    <w:pPr>
      <w:widowControl w:val="0"/>
      <w:shd w:val="clear" w:color="auto" w:fill="FFFFFF"/>
      <w:spacing w:before="300" w:line="259" w:lineRule="exact"/>
      <w:ind w:left="0"/>
      <w:jc w:val="both"/>
    </w:pPr>
    <w:rPr>
      <w:rFonts w:ascii="Arial" w:hAnsi="Arial" w:cs="Arial"/>
      <w:sz w:val="19"/>
      <w:szCs w:val="19"/>
      <w:lang w:val="es-CO" w:eastAsia="es-C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CD5DB7"/>
    <w:pPr>
      <w:widowControl w:val="0"/>
      <w:numPr>
        <w:numId w:val="1"/>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CD5DB7"/>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
    <w:basedOn w:val="Normal"/>
    <w:link w:val="TextonotapieCar"/>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
    <w:link w:val="Textonotapie"/>
    <w:uiPriority w:val="99"/>
    <w:rsid w:val="00C505AE"/>
    <w:rPr>
      <w:rFonts w:ascii="Arial" w:hAnsi="Arial"/>
      <w:lang w:val="es-ES_tradnl"/>
    </w:rPr>
  </w:style>
  <w:style w:type="character" w:styleId="Refdenotaalpie">
    <w:name w:val="footnote reference"/>
    <w:aliases w:val="Texto de nota al pie,Footnotes refss,Appel note de bas de page,Ref,de nota al pie,FC,Appel note d,Appel note de,Appel note de bas de p,Ref. de nota al pie 2,Appel note de bas de"/>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3"/>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customStyle="1" w:styleId="Estilo5">
    <w:name w:val="Estilo5"/>
    <w:basedOn w:val="Estilo1"/>
    <w:qFormat/>
    <w:rsid w:val="005A559B"/>
    <w:pPr>
      <w:keepNext/>
      <w:numPr>
        <w:numId w:val="5"/>
      </w:numPr>
      <w:shd w:val="clear" w:color="auto" w:fill="auto"/>
      <w:spacing w:before="240" w:after="60"/>
      <w:jc w:val="both"/>
      <w:outlineLvl w:val="0"/>
    </w:pPr>
    <w:rPr>
      <w:rFonts w:ascii="Arial" w:hAnsi="Arial"/>
      <w:b/>
      <w:color w:val="auto"/>
      <w:kern w:val="28"/>
      <w:sz w:val="22"/>
      <w:szCs w:val="22"/>
      <w:lang w:val="es-ES_tradnl" w:eastAsia="es-CO"/>
    </w:rPr>
  </w:style>
  <w:style w:type="paragraph" w:styleId="Textosinformato">
    <w:name w:val="Plain Text"/>
    <w:basedOn w:val="Normal"/>
    <w:link w:val="TextosinformatoCar"/>
    <w:rsid w:val="00170128"/>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170128"/>
    <w:rPr>
      <w:rFonts w:ascii="Courier New" w:hAnsi="Courier New" w:cs="Courier New"/>
      <w:lang w:val="es-ES" w:eastAsia="es-ES"/>
    </w:rPr>
  </w:style>
  <w:style w:type="paragraph" w:styleId="NormalWeb">
    <w:name w:val="Normal (Web)"/>
    <w:basedOn w:val="Normal"/>
    <w:uiPriority w:val="99"/>
    <w:semiHidden/>
    <w:unhideWhenUsed/>
    <w:rsid w:val="00F66E9F"/>
    <w:pPr>
      <w:spacing w:before="100" w:beforeAutospacing="1" w:after="100" w:afterAutospacing="1"/>
      <w:ind w:left="0"/>
    </w:pPr>
    <w:rPr>
      <w:lang w:val="es-CO" w:eastAsia="es-CO"/>
    </w:rPr>
  </w:style>
  <w:style w:type="paragraph" w:customStyle="1" w:styleId="CM9">
    <w:name w:val="CM9"/>
    <w:basedOn w:val="Default"/>
    <w:next w:val="Default"/>
    <w:uiPriority w:val="99"/>
    <w:rsid w:val="00633102"/>
    <w:rPr>
      <w:rFonts w:ascii="Arial" w:eastAsia="Times New Roman" w:hAnsi="Arial" w:cs="Arial"/>
      <w:color w:val="auto"/>
      <w:lang w:eastAsia="es-CO"/>
    </w:rPr>
  </w:style>
  <w:style w:type="character" w:customStyle="1" w:styleId="CharStyle11">
    <w:name w:val="Char Style 11"/>
    <w:basedOn w:val="Fuentedeprrafopredeter"/>
    <w:link w:val="Style10"/>
    <w:uiPriority w:val="99"/>
    <w:rsid w:val="005C39FD"/>
    <w:rPr>
      <w:rFonts w:ascii="Arial" w:hAnsi="Arial" w:cs="Arial"/>
      <w:b/>
      <w:bCs/>
      <w:sz w:val="16"/>
      <w:szCs w:val="16"/>
      <w:shd w:val="clear" w:color="auto" w:fill="FFFFFF"/>
    </w:rPr>
  </w:style>
  <w:style w:type="character" w:customStyle="1" w:styleId="CharStyle20">
    <w:name w:val="Char Style 20"/>
    <w:basedOn w:val="Fuentedeprrafopredeter"/>
    <w:link w:val="Style19"/>
    <w:uiPriority w:val="99"/>
    <w:rsid w:val="005C39FD"/>
    <w:rPr>
      <w:rFonts w:ascii="Arial" w:hAnsi="Arial" w:cs="Arial"/>
      <w:sz w:val="19"/>
      <w:szCs w:val="19"/>
      <w:shd w:val="clear" w:color="auto" w:fill="FFFFFF"/>
    </w:rPr>
  </w:style>
  <w:style w:type="paragraph" w:customStyle="1" w:styleId="Style10">
    <w:name w:val="Style 10"/>
    <w:basedOn w:val="Normal"/>
    <w:link w:val="CharStyle11"/>
    <w:uiPriority w:val="99"/>
    <w:rsid w:val="005C39FD"/>
    <w:pPr>
      <w:widowControl w:val="0"/>
      <w:shd w:val="clear" w:color="auto" w:fill="FFFFFF"/>
      <w:spacing w:before="300" w:line="763" w:lineRule="exact"/>
      <w:ind w:left="0" w:hanging="340"/>
    </w:pPr>
    <w:rPr>
      <w:rFonts w:ascii="Arial" w:hAnsi="Arial" w:cs="Arial"/>
      <w:b/>
      <w:bCs/>
      <w:sz w:val="16"/>
      <w:szCs w:val="16"/>
      <w:lang w:val="es-CO" w:eastAsia="es-CO"/>
    </w:rPr>
  </w:style>
  <w:style w:type="paragraph" w:customStyle="1" w:styleId="Style19">
    <w:name w:val="Style 19"/>
    <w:basedOn w:val="Normal"/>
    <w:link w:val="CharStyle20"/>
    <w:uiPriority w:val="99"/>
    <w:rsid w:val="005C39FD"/>
    <w:pPr>
      <w:widowControl w:val="0"/>
      <w:shd w:val="clear" w:color="auto" w:fill="FFFFFF"/>
      <w:spacing w:before="300" w:line="259" w:lineRule="exact"/>
      <w:ind w:left="0"/>
      <w:jc w:val="both"/>
    </w:pPr>
    <w:rPr>
      <w:rFonts w:ascii="Arial" w:hAnsi="Arial" w:cs="Arial"/>
      <w:sz w:val="19"/>
      <w:szCs w:val="19"/>
      <w:lang w:val="es-CO"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415916">
      <w:bodyDiv w:val="1"/>
      <w:marLeft w:val="0"/>
      <w:marRight w:val="0"/>
      <w:marTop w:val="0"/>
      <w:marBottom w:val="0"/>
      <w:divBdr>
        <w:top w:val="none" w:sz="0" w:space="0" w:color="auto"/>
        <w:left w:val="none" w:sz="0" w:space="0" w:color="auto"/>
        <w:bottom w:val="none" w:sz="0" w:space="0" w:color="auto"/>
        <w:right w:val="none" w:sz="0" w:space="0" w:color="auto"/>
      </w:divBdr>
      <w:divsChild>
        <w:div w:id="1474564471">
          <w:marLeft w:val="0"/>
          <w:marRight w:val="0"/>
          <w:marTop w:val="0"/>
          <w:marBottom w:val="0"/>
          <w:divBdr>
            <w:top w:val="none" w:sz="0" w:space="0" w:color="auto"/>
            <w:left w:val="none" w:sz="0" w:space="0" w:color="auto"/>
            <w:bottom w:val="none" w:sz="0" w:space="0" w:color="auto"/>
            <w:right w:val="none" w:sz="0" w:space="0" w:color="auto"/>
          </w:divBdr>
        </w:div>
      </w:divsChild>
    </w:div>
    <w:div w:id="163590172">
      <w:bodyDiv w:val="1"/>
      <w:marLeft w:val="150"/>
      <w:marRight w:val="150"/>
      <w:marTop w:val="150"/>
      <w:marBottom w:val="150"/>
      <w:divBdr>
        <w:top w:val="none" w:sz="0" w:space="0" w:color="auto"/>
        <w:left w:val="none" w:sz="0" w:space="0" w:color="auto"/>
        <w:bottom w:val="none" w:sz="0" w:space="0" w:color="auto"/>
        <w:right w:val="none" w:sz="0" w:space="0" w:color="auto"/>
      </w:divBdr>
      <w:divsChild>
        <w:div w:id="430662574">
          <w:marLeft w:val="0"/>
          <w:marRight w:val="0"/>
          <w:marTop w:val="0"/>
          <w:marBottom w:val="0"/>
          <w:divBdr>
            <w:top w:val="none" w:sz="0" w:space="0" w:color="auto"/>
            <w:left w:val="none" w:sz="0" w:space="0" w:color="auto"/>
            <w:bottom w:val="none" w:sz="0" w:space="0" w:color="auto"/>
            <w:right w:val="none" w:sz="0" w:space="0" w:color="auto"/>
          </w:divBdr>
        </w:div>
        <w:div w:id="646544565">
          <w:marLeft w:val="0"/>
          <w:marRight w:val="0"/>
          <w:marTop w:val="0"/>
          <w:marBottom w:val="0"/>
          <w:divBdr>
            <w:top w:val="none" w:sz="0" w:space="0" w:color="auto"/>
            <w:left w:val="none" w:sz="0" w:space="0" w:color="auto"/>
            <w:bottom w:val="none" w:sz="0" w:space="0" w:color="auto"/>
            <w:right w:val="none" w:sz="0" w:space="0" w:color="auto"/>
          </w:divBdr>
        </w:div>
        <w:div w:id="1769346128">
          <w:marLeft w:val="0"/>
          <w:marRight w:val="0"/>
          <w:marTop w:val="0"/>
          <w:marBottom w:val="0"/>
          <w:divBdr>
            <w:top w:val="none" w:sz="0" w:space="0" w:color="auto"/>
            <w:left w:val="none" w:sz="0" w:space="0" w:color="auto"/>
            <w:bottom w:val="none" w:sz="0" w:space="0" w:color="auto"/>
            <w:right w:val="none" w:sz="0" w:space="0" w:color="auto"/>
          </w:divBdr>
        </w:div>
      </w:divsChild>
    </w:div>
    <w:div w:id="1045447228">
      <w:bodyDiv w:val="1"/>
      <w:marLeft w:val="0"/>
      <w:marRight w:val="0"/>
      <w:marTop w:val="0"/>
      <w:marBottom w:val="0"/>
      <w:divBdr>
        <w:top w:val="none" w:sz="0" w:space="0" w:color="auto"/>
        <w:left w:val="none" w:sz="0" w:space="0" w:color="auto"/>
        <w:bottom w:val="none" w:sz="0" w:space="0" w:color="auto"/>
        <w:right w:val="none" w:sz="0" w:space="0" w:color="auto"/>
      </w:divBdr>
      <w:divsChild>
        <w:div w:id="1832789833">
          <w:marLeft w:val="0"/>
          <w:marRight w:val="0"/>
          <w:marTop w:val="0"/>
          <w:marBottom w:val="0"/>
          <w:divBdr>
            <w:top w:val="none" w:sz="0" w:space="0" w:color="auto"/>
            <w:left w:val="none" w:sz="0" w:space="0" w:color="auto"/>
            <w:bottom w:val="none" w:sz="0" w:space="0" w:color="auto"/>
            <w:right w:val="none" w:sz="0" w:space="0" w:color="auto"/>
          </w:divBdr>
        </w:div>
      </w:divsChild>
    </w:div>
    <w:div w:id="1406873895">
      <w:bodyDiv w:val="1"/>
      <w:marLeft w:val="0"/>
      <w:marRight w:val="0"/>
      <w:marTop w:val="0"/>
      <w:marBottom w:val="0"/>
      <w:divBdr>
        <w:top w:val="none" w:sz="0" w:space="0" w:color="auto"/>
        <w:left w:val="none" w:sz="0" w:space="0" w:color="auto"/>
        <w:bottom w:val="none" w:sz="0" w:space="0" w:color="auto"/>
        <w:right w:val="none" w:sz="0" w:space="0" w:color="auto"/>
      </w:divBdr>
    </w:div>
    <w:div w:id="1410729380">
      <w:bodyDiv w:val="1"/>
      <w:marLeft w:val="0"/>
      <w:marRight w:val="0"/>
      <w:marTop w:val="0"/>
      <w:marBottom w:val="0"/>
      <w:divBdr>
        <w:top w:val="none" w:sz="0" w:space="0" w:color="auto"/>
        <w:left w:val="none" w:sz="0" w:space="0" w:color="auto"/>
        <w:bottom w:val="none" w:sz="0" w:space="0" w:color="auto"/>
        <w:right w:val="none" w:sz="0" w:space="0" w:color="auto"/>
      </w:divBdr>
    </w:div>
    <w:div w:id="1504129833">
      <w:bodyDiv w:val="1"/>
      <w:marLeft w:val="0"/>
      <w:marRight w:val="0"/>
      <w:marTop w:val="0"/>
      <w:marBottom w:val="0"/>
      <w:divBdr>
        <w:top w:val="none" w:sz="0" w:space="0" w:color="auto"/>
        <w:left w:val="none" w:sz="0" w:space="0" w:color="auto"/>
        <w:bottom w:val="none" w:sz="0" w:space="0" w:color="auto"/>
        <w:right w:val="none" w:sz="0" w:space="0" w:color="auto"/>
      </w:divBdr>
    </w:div>
    <w:div w:id="1581022099">
      <w:bodyDiv w:val="1"/>
      <w:marLeft w:val="0"/>
      <w:marRight w:val="0"/>
      <w:marTop w:val="0"/>
      <w:marBottom w:val="0"/>
      <w:divBdr>
        <w:top w:val="none" w:sz="0" w:space="0" w:color="auto"/>
        <w:left w:val="none" w:sz="0" w:space="0" w:color="auto"/>
        <w:bottom w:val="none" w:sz="0" w:space="0" w:color="auto"/>
        <w:right w:val="none" w:sz="0" w:space="0" w:color="auto"/>
      </w:divBdr>
    </w:div>
    <w:div w:id="1808082276">
      <w:bodyDiv w:val="1"/>
      <w:marLeft w:val="0"/>
      <w:marRight w:val="0"/>
      <w:marTop w:val="0"/>
      <w:marBottom w:val="0"/>
      <w:divBdr>
        <w:top w:val="none" w:sz="0" w:space="0" w:color="auto"/>
        <w:left w:val="none" w:sz="0" w:space="0" w:color="auto"/>
        <w:bottom w:val="none" w:sz="0" w:space="0" w:color="auto"/>
        <w:right w:val="none" w:sz="0" w:space="0" w:color="auto"/>
      </w:divBdr>
    </w:div>
    <w:div w:id="1899975495">
      <w:bodyDiv w:val="1"/>
      <w:marLeft w:val="0"/>
      <w:marRight w:val="0"/>
      <w:marTop w:val="0"/>
      <w:marBottom w:val="0"/>
      <w:divBdr>
        <w:top w:val="none" w:sz="0" w:space="0" w:color="auto"/>
        <w:left w:val="none" w:sz="0" w:space="0" w:color="auto"/>
        <w:bottom w:val="none" w:sz="0" w:space="0" w:color="auto"/>
        <w:right w:val="none" w:sz="0" w:space="0" w:color="auto"/>
      </w:divBdr>
      <w:divsChild>
        <w:div w:id="2112966397">
          <w:marLeft w:val="0"/>
          <w:marRight w:val="0"/>
          <w:marTop w:val="0"/>
          <w:marBottom w:val="0"/>
          <w:divBdr>
            <w:top w:val="none" w:sz="0" w:space="0" w:color="auto"/>
            <w:left w:val="none" w:sz="0" w:space="0" w:color="auto"/>
            <w:bottom w:val="none" w:sz="0" w:space="0" w:color="auto"/>
            <w:right w:val="none" w:sz="0" w:space="0" w:color="auto"/>
          </w:divBdr>
          <w:divsChild>
            <w:div w:id="1323461663">
              <w:marLeft w:val="0"/>
              <w:marRight w:val="0"/>
              <w:marTop w:val="0"/>
              <w:marBottom w:val="0"/>
              <w:divBdr>
                <w:top w:val="none" w:sz="0" w:space="0" w:color="auto"/>
                <w:left w:val="none" w:sz="0" w:space="0" w:color="auto"/>
                <w:bottom w:val="none" w:sz="0" w:space="0" w:color="auto"/>
                <w:right w:val="none" w:sz="0" w:space="0" w:color="auto"/>
              </w:divBdr>
              <w:divsChild>
                <w:div w:id="1891767563">
                  <w:marLeft w:val="0"/>
                  <w:marRight w:val="0"/>
                  <w:marTop w:val="0"/>
                  <w:marBottom w:val="0"/>
                  <w:divBdr>
                    <w:top w:val="none" w:sz="0" w:space="0" w:color="auto"/>
                    <w:left w:val="none" w:sz="0" w:space="0" w:color="auto"/>
                    <w:bottom w:val="none" w:sz="0" w:space="0" w:color="auto"/>
                    <w:right w:val="none" w:sz="0" w:space="0" w:color="auto"/>
                  </w:divBdr>
                  <w:divsChild>
                    <w:div w:id="2071612828">
                      <w:marLeft w:val="0"/>
                      <w:marRight w:val="0"/>
                      <w:marTop w:val="0"/>
                      <w:marBottom w:val="0"/>
                      <w:divBdr>
                        <w:top w:val="none" w:sz="0" w:space="0" w:color="auto"/>
                        <w:left w:val="none" w:sz="0" w:space="0" w:color="auto"/>
                        <w:bottom w:val="none" w:sz="0" w:space="0" w:color="auto"/>
                        <w:right w:val="none" w:sz="0" w:space="0" w:color="auto"/>
                      </w:divBdr>
                      <w:divsChild>
                        <w:div w:id="456532420">
                          <w:marLeft w:val="0"/>
                          <w:marRight w:val="0"/>
                          <w:marTop w:val="0"/>
                          <w:marBottom w:val="0"/>
                          <w:divBdr>
                            <w:top w:val="none" w:sz="0" w:space="0" w:color="auto"/>
                            <w:left w:val="none" w:sz="0" w:space="0" w:color="auto"/>
                            <w:bottom w:val="none" w:sz="0" w:space="0" w:color="auto"/>
                            <w:right w:val="none" w:sz="0" w:space="0" w:color="auto"/>
                          </w:divBdr>
                          <w:divsChild>
                            <w:div w:id="2107118457">
                              <w:marLeft w:val="0"/>
                              <w:marRight w:val="0"/>
                              <w:marTop w:val="0"/>
                              <w:marBottom w:val="0"/>
                              <w:divBdr>
                                <w:top w:val="none" w:sz="0" w:space="0" w:color="auto"/>
                                <w:left w:val="none" w:sz="0" w:space="0" w:color="auto"/>
                                <w:bottom w:val="none" w:sz="0" w:space="0" w:color="auto"/>
                                <w:right w:val="none" w:sz="0" w:space="0" w:color="auto"/>
                              </w:divBdr>
                              <w:divsChild>
                                <w:div w:id="1650598387">
                                  <w:marLeft w:val="0"/>
                                  <w:marRight w:val="0"/>
                                  <w:marTop w:val="0"/>
                                  <w:marBottom w:val="0"/>
                                  <w:divBdr>
                                    <w:top w:val="none" w:sz="0" w:space="0" w:color="auto"/>
                                    <w:left w:val="none" w:sz="0" w:space="0" w:color="auto"/>
                                    <w:bottom w:val="none" w:sz="0" w:space="0" w:color="auto"/>
                                    <w:right w:val="none" w:sz="0" w:space="0" w:color="auto"/>
                                  </w:divBdr>
                                  <w:divsChild>
                                    <w:div w:id="614795040">
                                      <w:marLeft w:val="0"/>
                                      <w:marRight w:val="0"/>
                                      <w:marTop w:val="0"/>
                                      <w:marBottom w:val="0"/>
                                      <w:divBdr>
                                        <w:top w:val="none" w:sz="0" w:space="0" w:color="auto"/>
                                        <w:left w:val="none" w:sz="0" w:space="0" w:color="auto"/>
                                        <w:bottom w:val="none" w:sz="0" w:space="0" w:color="auto"/>
                                        <w:right w:val="none" w:sz="0" w:space="0" w:color="auto"/>
                                      </w:divBdr>
                                      <w:divsChild>
                                        <w:div w:id="1484152432">
                                          <w:marLeft w:val="0"/>
                                          <w:marRight w:val="0"/>
                                          <w:marTop w:val="0"/>
                                          <w:marBottom w:val="0"/>
                                          <w:divBdr>
                                            <w:top w:val="none" w:sz="0" w:space="0" w:color="auto"/>
                                            <w:left w:val="none" w:sz="0" w:space="0" w:color="auto"/>
                                            <w:bottom w:val="none" w:sz="0" w:space="0" w:color="auto"/>
                                            <w:right w:val="none" w:sz="0" w:space="0" w:color="auto"/>
                                          </w:divBdr>
                                          <w:divsChild>
                                            <w:div w:id="268778282">
                                              <w:marLeft w:val="0"/>
                                              <w:marRight w:val="0"/>
                                              <w:marTop w:val="0"/>
                                              <w:marBottom w:val="0"/>
                                              <w:divBdr>
                                                <w:top w:val="none" w:sz="0" w:space="0" w:color="auto"/>
                                                <w:left w:val="none" w:sz="0" w:space="0" w:color="auto"/>
                                                <w:bottom w:val="none" w:sz="0" w:space="0" w:color="auto"/>
                                                <w:right w:val="none" w:sz="0" w:space="0" w:color="auto"/>
                                              </w:divBdr>
                                              <w:divsChild>
                                                <w:div w:id="2087847430">
                                                  <w:marLeft w:val="0"/>
                                                  <w:marRight w:val="0"/>
                                                  <w:marTop w:val="0"/>
                                                  <w:marBottom w:val="0"/>
                                                  <w:divBdr>
                                                    <w:top w:val="none" w:sz="0" w:space="0" w:color="auto"/>
                                                    <w:left w:val="none" w:sz="0" w:space="0" w:color="auto"/>
                                                    <w:bottom w:val="none" w:sz="0" w:space="0" w:color="auto"/>
                                                    <w:right w:val="none" w:sz="0" w:space="0" w:color="auto"/>
                                                  </w:divBdr>
                                                  <w:divsChild>
                                                    <w:div w:id="1419055348">
                                                      <w:marLeft w:val="0"/>
                                                      <w:marRight w:val="0"/>
                                                      <w:marTop w:val="0"/>
                                                      <w:marBottom w:val="0"/>
                                                      <w:divBdr>
                                                        <w:top w:val="none" w:sz="0" w:space="0" w:color="auto"/>
                                                        <w:left w:val="none" w:sz="0" w:space="0" w:color="auto"/>
                                                        <w:bottom w:val="none" w:sz="0" w:space="0" w:color="auto"/>
                                                        <w:right w:val="none" w:sz="0" w:space="0" w:color="auto"/>
                                                      </w:divBdr>
                                                      <w:divsChild>
                                                        <w:div w:id="1106848316">
                                                          <w:marLeft w:val="0"/>
                                                          <w:marRight w:val="0"/>
                                                          <w:marTop w:val="0"/>
                                                          <w:marBottom w:val="0"/>
                                                          <w:divBdr>
                                                            <w:top w:val="none" w:sz="0" w:space="0" w:color="auto"/>
                                                            <w:left w:val="none" w:sz="0" w:space="0" w:color="auto"/>
                                                            <w:bottom w:val="none" w:sz="0" w:space="0" w:color="auto"/>
                                                            <w:right w:val="none" w:sz="0" w:space="0" w:color="auto"/>
                                                          </w:divBdr>
                                                          <w:divsChild>
                                                            <w:div w:id="1223177725">
                                                              <w:marLeft w:val="0"/>
                                                              <w:marRight w:val="0"/>
                                                              <w:marTop w:val="0"/>
                                                              <w:marBottom w:val="0"/>
                                                              <w:divBdr>
                                                                <w:top w:val="none" w:sz="0" w:space="0" w:color="auto"/>
                                                                <w:left w:val="none" w:sz="0" w:space="0" w:color="auto"/>
                                                                <w:bottom w:val="none" w:sz="0" w:space="0" w:color="auto"/>
                                                                <w:right w:val="none" w:sz="0" w:space="0" w:color="auto"/>
                                                              </w:divBdr>
                                                              <w:divsChild>
                                                                <w:div w:id="1668287797">
                                                                  <w:marLeft w:val="0"/>
                                                                  <w:marRight w:val="0"/>
                                                                  <w:marTop w:val="0"/>
                                                                  <w:marBottom w:val="0"/>
                                                                  <w:divBdr>
                                                                    <w:top w:val="none" w:sz="0" w:space="0" w:color="auto"/>
                                                                    <w:left w:val="none" w:sz="0" w:space="0" w:color="auto"/>
                                                                    <w:bottom w:val="none" w:sz="0" w:space="0" w:color="auto"/>
                                                                    <w:right w:val="none" w:sz="0" w:space="0" w:color="auto"/>
                                                                  </w:divBdr>
                                                                  <w:divsChild>
                                                                    <w:div w:id="1532957590">
                                                                      <w:marLeft w:val="0"/>
                                                                      <w:marRight w:val="0"/>
                                                                      <w:marTop w:val="0"/>
                                                                      <w:marBottom w:val="0"/>
                                                                      <w:divBdr>
                                                                        <w:top w:val="none" w:sz="0" w:space="0" w:color="auto"/>
                                                                        <w:left w:val="none" w:sz="0" w:space="0" w:color="auto"/>
                                                                        <w:bottom w:val="none" w:sz="0" w:space="0" w:color="auto"/>
                                                                        <w:right w:val="none" w:sz="0" w:space="0" w:color="auto"/>
                                                                      </w:divBdr>
                                                                      <w:divsChild>
                                                                        <w:div w:id="1693610515">
                                                                          <w:marLeft w:val="0"/>
                                                                          <w:marRight w:val="0"/>
                                                                          <w:marTop w:val="0"/>
                                                                          <w:marBottom w:val="0"/>
                                                                          <w:divBdr>
                                                                            <w:top w:val="none" w:sz="0" w:space="0" w:color="auto"/>
                                                                            <w:left w:val="none" w:sz="0" w:space="0" w:color="auto"/>
                                                                            <w:bottom w:val="none" w:sz="0" w:space="0" w:color="auto"/>
                                                                            <w:right w:val="none" w:sz="0" w:space="0" w:color="auto"/>
                                                                          </w:divBdr>
                                                                          <w:divsChild>
                                                                            <w:div w:id="2049259660">
                                                                              <w:marLeft w:val="0"/>
                                                                              <w:marRight w:val="0"/>
                                                                              <w:marTop w:val="0"/>
                                                                              <w:marBottom w:val="0"/>
                                                                              <w:divBdr>
                                                                                <w:top w:val="none" w:sz="0" w:space="0" w:color="auto"/>
                                                                                <w:left w:val="none" w:sz="0" w:space="0" w:color="auto"/>
                                                                                <w:bottom w:val="none" w:sz="0" w:space="0" w:color="auto"/>
                                                                                <w:right w:val="none" w:sz="0" w:space="0" w:color="auto"/>
                                                                              </w:divBdr>
                                                                              <w:divsChild>
                                                                                <w:div w:id="467864290">
                                                                                  <w:marLeft w:val="0"/>
                                                                                  <w:marRight w:val="0"/>
                                                                                  <w:marTop w:val="0"/>
                                                                                  <w:marBottom w:val="0"/>
                                                                                  <w:divBdr>
                                                                                    <w:top w:val="none" w:sz="0" w:space="0" w:color="auto"/>
                                                                                    <w:left w:val="none" w:sz="0" w:space="0" w:color="auto"/>
                                                                                    <w:bottom w:val="none" w:sz="0" w:space="0" w:color="auto"/>
                                                                                    <w:right w:val="none" w:sz="0" w:space="0" w:color="auto"/>
                                                                                  </w:divBdr>
                                                                                  <w:divsChild>
                                                                                    <w:div w:id="1052853777">
                                                                                      <w:marLeft w:val="0"/>
                                                                                      <w:marRight w:val="0"/>
                                                                                      <w:marTop w:val="0"/>
                                                                                      <w:marBottom w:val="0"/>
                                                                                      <w:divBdr>
                                                                                        <w:top w:val="none" w:sz="0" w:space="0" w:color="auto"/>
                                                                                        <w:left w:val="none" w:sz="0" w:space="0" w:color="auto"/>
                                                                                        <w:bottom w:val="none" w:sz="0" w:space="0" w:color="auto"/>
                                                                                        <w:right w:val="none" w:sz="0" w:space="0" w:color="auto"/>
                                                                                      </w:divBdr>
                                                                                      <w:divsChild>
                                                                                        <w:div w:id="905408738">
                                                                                          <w:marLeft w:val="0"/>
                                                                                          <w:marRight w:val="0"/>
                                                                                          <w:marTop w:val="0"/>
                                                                                          <w:marBottom w:val="0"/>
                                                                                          <w:divBdr>
                                                                                            <w:top w:val="none" w:sz="0" w:space="0" w:color="auto"/>
                                                                                            <w:left w:val="none" w:sz="0" w:space="0" w:color="auto"/>
                                                                                            <w:bottom w:val="none" w:sz="0" w:space="0" w:color="auto"/>
                                                                                            <w:right w:val="none" w:sz="0" w:space="0" w:color="auto"/>
                                                                                          </w:divBdr>
                                                                                          <w:divsChild>
                                                                                            <w:div w:id="347291510">
                                                                                              <w:marLeft w:val="0"/>
                                                                                              <w:marRight w:val="0"/>
                                                                                              <w:marTop w:val="0"/>
                                                                                              <w:marBottom w:val="0"/>
                                                                                              <w:divBdr>
                                                                                                <w:top w:val="none" w:sz="0" w:space="0" w:color="auto"/>
                                                                                                <w:left w:val="none" w:sz="0" w:space="0" w:color="auto"/>
                                                                                                <w:bottom w:val="none" w:sz="0" w:space="0" w:color="auto"/>
                                                                                                <w:right w:val="none" w:sz="0" w:space="0" w:color="auto"/>
                                                                                              </w:divBdr>
                                                                                              <w:divsChild>
                                                                                                <w:div w:id="687414691">
                                                                                                  <w:marLeft w:val="0"/>
                                                                                                  <w:marRight w:val="0"/>
                                                                                                  <w:marTop w:val="0"/>
                                                                                                  <w:marBottom w:val="0"/>
                                                                                                  <w:divBdr>
                                                                                                    <w:top w:val="none" w:sz="0" w:space="0" w:color="auto"/>
                                                                                                    <w:left w:val="none" w:sz="0" w:space="0" w:color="auto"/>
                                                                                                    <w:bottom w:val="none" w:sz="0" w:space="0" w:color="auto"/>
                                                                                                    <w:right w:val="none" w:sz="0" w:space="0" w:color="auto"/>
                                                                                                  </w:divBdr>
                                                                                                  <w:divsChild>
                                                                                                    <w:div w:id="1018193631">
                                                                                                      <w:marLeft w:val="0"/>
                                                                                                      <w:marRight w:val="0"/>
                                                                                                      <w:marTop w:val="0"/>
                                                                                                      <w:marBottom w:val="0"/>
                                                                                                      <w:divBdr>
                                                                                                        <w:top w:val="none" w:sz="0" w:space="0" w:color="auto"/>
                                                                                                        <w:left w:val="none" w:sz="0" w:space="0" w:color="auto"/>
                                                                                                        <w:bottom w:val="none" w:sz="0" w:space="0" w:color="auto"/>
                                                                                                        <w:right w:val="none" w:sz="0" w:space="0" w:color="auto"/>
                                                                                                      </w:divBdr>
                                                                                                      <w:divsChild>
                                                                                                        <w:div w:id="1432162153">
                                                                                                          <w:marLeft w:val="0"/>
                                                                                                          <w:marRight w:val="0"/>
                                                                                                          <w:marTop w:val="0"/>
                                                                                                          <w:marBottom w:val="0"/>
                                                                                                          <w:divBdr>
                                                                                                            <w:top w:val="none" w:sz="0" w:space="0" w:color="auto"/>
                                                                                                            <w:left w:val="none" w:sz="0" w:space="0" w:color="auto"/>
                                                                                                            <w:bottom w:val="none" w:sz="0" w:space="0" w:color="auto"/>
                                                                                                            <w:right w:val="none" w:sz="0" w:space="0" w:color="auto"/>
                                                                                                          </w:divBdr>
                                                                                                          <w:divsChild>
                                                                                                            <w:div w:id="1123571206">
                                                                                                              <w:marLeft w:val="0"/>
                                                                                                              <w:marRight w:val="0"/>
                                                                                                              <w:marTop w:val="0"/>
                                                                                                              <w:marBottom w:val="0"/>
                                                                                                              <w:divBdr>
                                                                                                                <w:top w:val="none" w:sz="0" w:space="0" w:color="auto"/>
                                                                                                                <w:left w:val="none" w:sz="0" w:space="0" w:color="auto"/>
                                                                                                                <w:bottom w:val="none" w:sz="0" w:space="0" w:color="auto"/>
                                                                                                                <w:right w:val="none" w:sz="0" w:space="0" w:color="auto"/>
                                                                                                              </w:divBdr>
                                                                                                              <w:divsChild>
                                                                                                                <w:div w:id="545063467">
                                                                                                                  <w:marLeft w:val="0"/>
                                                                                                                  <w:marRight w:val="0"/>
                                                                                                                  <w:marTop w:val="0"/>
                                                                                                                  <w:marBottom w:val="0"/>
                                                                                                                  <w:divBdr>
                                                                                                                    <w:top w:val="none" w:sz="0" w:space="0" w:color="auto"/>
                                                                                                                    <w:left w:val="none" w:sz="0" w:space="0" w:color="auto"/>
                                                                                                                    <w:bottom w:val="none" w:sz="0" w:space="0" w:color="auto"/>
                                                                                                                    <w:right w:val="none" w:sz="0" w:space="0" w:color="auto"/>
                                                                                                                  </w:divBdr>
                                                                                                                  <w:divsChild>
                                                                                                                    <w:div w:id="1611935221">
                                                                                                                      <w:marLeft w:val="0"/>
                                                                                                                      <w:marRight w:val="0"/>
                                                                                                                      <w:marTop w:val="0"/>
                                                                                                                      <w:marBottom w:val="0"/>
                                                                                                                      <w:divBdr>
                                                                                                                        <w:top w:val="none" w:sz="0" w:space="0" w:color="auto"/>
                                                                                                                        <w:left w:val="none" w:sz="0" w:space="0" w:color="auto"/>
                                                                                                                        <w:bottom w:val="none" w:sz="0" w:space="0" w:color="auto"/>
                                                                                                                        <w:right w:val="none" w:sz="0" w:space="0" w:color="auto"/>
                                                                                                                      </w:divBdr>
                                                                                                                      <w:divsChild>
                                                                                                                        <w:div w:id="1371952123">
                                                                                                                          <w:marLeft w:val="0"/>
                                                                                                                          <w:marRight w:val="0"/>
                                                                                                                          <w:marTop w:val="0"/>
                                                                                                                          <w:marBottom w:val="0"/>
                                                                                                                          <w:divBdr>
                                                                                                                            <w:top w:val="none" w:sz="0" w:space="0" w:color="auto"/>
                                                                                                                            <w:left w:val="none" w:sz="0" w:space="0" w:color="auto"/>
                                                                                                                            <w:bottom w:val="none" w:sz="0" w:space="0" w:color="auto"/>
                                                                                                                            <w:right w:val="none" w:sz="0" w:space="0" w:color="auto"/>
                                                                                                                          </w:divBdr>
                                                                                                                          <w:divsChild>
                                                                                                                            <w:div w:id="955991093">
                                                                                                                              <w:marLeft w:val="0"/>
                                                                                                                              <w:marRight w:val="0"/>
                                                                                                                              <w:marTop w:val="0"/>
                                                                                                                              <w:marBottom w:val="0"/>
                                                                                                                              <w:divBdr>
                                                                                                                                <w:top w:val="none" w:sz="0" w:space="0" w:color="auto"/>
                                                                                                                                <w:left w:val="none" w:sz="0" w:space="0" w:color="auto"/>
                                                                                                                                <w:bottom w:val="none" w:sz="0" w:space="0" w:color="auto"/>
                                                                                                                                <w:right w:val="none" w:sz="0" w:space="0" w:color="auto"/>
                                                                                                                              </w:divBdr>
                                                                                                                              <w:divsChild>
                                                                                                                                <w:div w:id="1547258863">
                                                                                                                                  <w:marLeft w:val="0"/>
                                                                                                                                  <w:marRight w:val="0"/>
                                                                                                                                  <w:marTop w:val="0"/>
                                                                                                                                  <w:marBottom w:val="0"/>
                                                                                                                                  <w:divBdr>
                                                                                                                                    <w:top w:val="none" w:sz="0" w:space="0" w:color="auto"/>
                                                                                                                                    <w:left w:val="none" w:sz="0" w:space="0" w:color="auto"/>
                                                                                                                                    <w:bottom w:val="none" w:sz="0" w:space="0" w:color="auto"/>
                                                                                                                                    <w:right w:val="none" w:sz="0" w:space="0" w:color="auto"/>
                                                                                                                                  </w:divBdr>
                                                                                                                                  <w:divsChild>
                                                                                                                                    <w:div w:id="2002655506">
                                                                                                                                      <w:marLeft w:val="0"/>
                                                                                                                                      <w:marRight w:val="0"/>
                                                                                                                                      <w:marTop w:val="0"/>
                                                                                                                                      <w:marBottom w:val="0"/>
                                                                                                                                      <w:divBdr>
                                                                                                                                        <w:top w:val="none" w:sz="0" w:space="0" w:color="auto"/>
                                                                                                                                        <w:left w:val="none" w:sz="0" w:space="0" w:color="auto"/>
                                                                                                                                        <w:bottom w:val="none" w:sz="0" w:space="0" w:color="auto"/>
                                                                                                                                        <w:right w:val="none" w:sz="0" w:space="0" w:color="auto"/>
                                                                                                                                      </w:divBdr>
                                                                                                                                      <w:divsChild>
                                                                                                                                        <w:div w:id="725108601">
                                                                                                                                          <w:marLeft w:val="0"/>
                                                                                                                                          <w:marRight w:val="0"/>
                                                                                                                                          <w:marTop w:val="0"/>
                                                                                                                                          <w:marBottom w:val="0"/>
                                                                                                                                          <w:divBdr>
                                                                                                                                            <w:top w:val="none" w:sz="0" w:space="0" w:color="auto"/>
                                                                                                                                            <w:left w:val="none" w:sz="0" w:space="0" w:color="auto"/>
                                                                                                                                            <w:bottom w:val="none" w:sz="0" w:space="0" w:color="auto"/>
                                                                                                                                            <w:right w:val="none" w:sz="0" w:space="0" w:color="auto"/>
                                                                                                                                          </w:divBdr>
                                                                                                                                          <w:divsChild>
                                                                                                                                            <w:div w:id="1920745324">
                                                                                                                                              <w:marLeft w:val="0"/>
                                                                                                                                              <w:marRight w:val="0"/>
                                                                                                                                              <w:marTop w:val="0"/>
                                                                                                                                              <w:marBottom w:val="0"/>
                                                                                                                                              <w:divBdr>
                                                                                                                                                <w:top w:val="none" w:sz="0" w:space="0" w:color="auto"/>
                                                                                                                                                <w:left w:val="none" w:sz="0" w:space="0" w:color="auto"/>
                                                                                                                                                <w:bottom w:val="none" w:sz="0" w:space="0" w:color="auto"/>
                                                                                                                                                <w:right w:val="none" w:sz="0" w:space="0" w:color="auto"/>
                                                                                                                                              </w:divBdr>
                                                                                                                                              <w:divsChild>
                                                                                                                                                <w:div w:id="807749346">
                                                                                                                                                  <w:marLeft w:val="0"/>
                                                                                                                                                  <w:marRight w:val="0"/>
                                                                                                                                                  <w:marTop w:val="0"/>
                                                                                                                                                  <w:marBottom w:val="0"/>
                                                                                                                                                  <w:divBdr>
                                                                                                                                                    <w:top w:val="none" w:sz="0" w:space="0" w:color="auto"/>
                                                                                                                                                    <w:left w:val="none" w:sz="0" w:space="0" w:color="auto"/>
                                                                                                                                                    <w:bottom w:val="none" w:sz="0" w:space="0" w:color="auto"/>
                                                                                                                                                    <w:right w:val="none" w:sz="0" w:space="0" w:color="auto"/>
                                                                                                                                                  </w:divBdr>
                                                                                                                                                  <w:divsChild>
                                                                                                                                                    <w:div w:id="685862450">
                                                                                                                                                      <w:marLeft w:val="0"/>
                                                                                                                                                      <w:marRight w:val="0"/>
                                                                                                                                                      <w:marTop w:val="0"/>
                                                                                                                                                      <w:marBottom w:val="0"/>
                                                                                                                                                      <w:divBdr>
                                                                                                                                                        <w:top w:val="none" w:sz="0" w:space="0" w:color="auto"/>
                                                                                                                                                        <w:left w:val="none" w:sz="0" w:space="0" w:color="auto"/>
                                                                                                                                                        <w:bottom w:val="none" w:sz="0" w:space="0" w:color="auto"/>
                                                                                                                                                        <w:right w:val="none" w:sz="0" w:space="0" w:color="auto"/>
                                                                                                                                                      </w:divBdr>
                                                                                                                                                      <w:divsChild>
                                                                                                                                                        <w:div w:id="103691902">
                                                                                                                                                          <w:marLeft w:val="0"/>
                                                                                                                                                          <w:marRight w:val="0"/>
                                                                                                                                                          <w:marTop w:val="0"/>
                                                                                                                                                          <w:marBottom w:val="0"/>
                                                                                                                                                          <w:divBdr>
                                                                                                                                                            <w:top w:val="none" w:sz="0" w:space="0" w:color="auto"/>
                                                                                                                                                            <w:left w:val="none" w:sz="0" w:space="0" w:color="auto"/>
                                                                                                                                                            <w:bottom w:val="none" w:sz="0" w:space="0" w:color="auto"/>
                                                                                                                                                            <w:right w:val="none" w:sz="0" w:space="0" w:color="auto"/>
                                                                                                                                                          </w:divBdr>
                                                                                                                                                          <w:divsChild>
                                                                                                                                                            <w:div w:id="2050296459">
                                                                                                                                                              <w:marLeft w:val="0"/>
                                                                                                                                                              <w:marRight w:val="0"/>
                                                                                                                                                              <w:marTop w:val="0"/>
                                                                                                                                                              <w:marBottom w:val="0"/>
                                                                                                                                                              <w:divBdr>
                                                                                                                                                                <w:top w:val="none" w:sz="0" w:space="0" w:color="auto"/>
                                                                                                                                                                <w:left w:val="none" w:sz="0" w:space="0" w:color="auto"/>
                                                                                                                                                                <w:bottom w:val="none" w:sz="0" w:space="0" w:color="auto"/>
                                                                                                                                                                <w:right w:val="none" w:sz="0" w:space="0" w:color="auto"/>
                                                                                                                                                              </w:divBdr>
                                                                                                                                                              <w:divsChild>
                                                                                                                                                                <w:div w:id="39091752">
                                                                                                                                                                  <w:marLeft w:val="0"/>
                                                                                                                                                                  <w:marRight w:val="0"/>
                                                                                                                                                                  <w:marTop w:val="0"/>
                                                                                                                                                                  <w:marBottom w:val="0"/>
                                                                                                                                                                  <w:divBdr>
                                                                                                                                                                    <w:top w:val="none" w:sz="0" w:space="0" w:color="auto"/>
                                                                                                                                                                    <w:left w:val="none" w:sz="0" w:space="0" w:color="auto"/>
                                                                                                                                                                    <w:bottom w:val="none" w:sz="0" w:space="0" w:color="auto"/>
                                                                                                                                                                    <w:right w:val="none" w:sz="0" w:space="0" w:color="auto"/>
                                                                                                                                                                  </w:divBdr>
                                                                                                                                                                  <w:divsChild>
                                                                                                                                                                    <w:div w:id="432360370">
                                                                                                                                                                      <w:marLeft w:val="0"/>
                                                                                                                                                                      <w:marRight w:val="0"/>
                                                                                                                                                                      <w:marTop w:val="0"/>
                                                                                                                                                                      <w:marBottom w:val="0"/>
                                                                                                                                                                      <w:divBdr>
                                                                                                                                                                        <w:top w:val="none" w:sz="0" w:space="0" w:color="auto"/>
                                                                                                                                                                        <w:left w:val="none" w:sz="0" w:space="0" w:color="auto"/>
                                                                                                                                                                        <w:bottom w:val="none" w:sz="0" w:space="0" w:color="auto"/>
                                                                                                                                                                        <w:right w:val="none" w:sz="0" w:space="0" w:color="auto"/>
                                                                                                                                                                      </w:divBdr>
                                                                                                                                                                      <w:divsChild>
                                                                                                                                                                        <w:div w:id="130485953">
                                                                                                                                                                          <w:marLeft w:val="567"/>
                                                                                                                                                                          <w:marRight w:val="0"/>
                                                                                                                                                                          <w:marTop w:val="0"/>
                                                                                                                                                                          <w:marBottom w:val="0"/>
                                                                                                                                                                          <w:divBdr>
                                                                                                                                                                            <w:top w:val="none" w:sz="0" w:space="0" w:color="auto"/>
                                                                                                                                                                            <w:left w:val="none" w:sz="0" w:space="0" w:color="auto"/>
                                                                                                                                                                            <w:bottom w:val="none" w:sz="0" w:space="0" w:color="auto"/>
                                                                                                                                                                            <w:right w:val="none" w:sz="0" w:space="0" w:color="auto"/>
                                                                                                                                                                          </w:divBdr>
                                                                                                                                                                        </w:div>
                                                                                                                                                                        <w:div w:id="245724213">
                                                                                                                                                                          <w:marLeft w:val="0"/>
                                                                                                                                                                          <w:marRight w:val="0"/>
                                                                                                                                                                          <w:marTop w:val="0"/>
                                                                                                                                                                          <w:marBottom w:val="0"/>
                                                                                                                                                                          <w:divBdr>
                                                                                                                                                                            <w:top w:val="none" w:sz="0" w:space="0" w:color="auto"/>
                                                                                                                                                                            <w:left w:val="none" w:sz="0" w:space="0" w:color="auto"/>
                                                                                                                                                                            <w:bottom w:val="none" w:sz="0" w:space="0" w:color="auto"/>
                                                                                                                                                                            <w:right w:val="none" w:sz="0" w:space="0" w:color="auto"/>
                                                                                                                                                                          </w:divBdr>
                                                                                                                                                                        </w:div>
                                                                                                                                                                        <w:div w:id="308750697">
                                                                                                                                                                          <w:marLeft w:val="567"/>
                                                                                                                                                                          <w:marRight w:val="0"/>
                                                                                                                                                                          <w:marTop w:val="0"/>
                                                                                                                                                                          <w:marBottom w:val="0"/>
                                                                                                                                                                          <w:divBdr>
                                                                                                                                                                            <w:top w:val="none" w:sz="0" w:space="0" w:color="auto"/>
                                                                                                                                                                            <w:left w:val="none" w:sz="0" w:space="0" w:color="auto"/>
                                                                                                                                                                            <w:bottom w:val="none" w:sz="0" w:space="0" w:color="auto"/>
                                                                                                                                                                            <w:right w:val="none" w:sz="0" w:space="0" w:color="auto"/>
                                                                                                                                                                          </w:divBdr>
                                                                                                                                                                        </w:div>
                                                                                                                                                                        <w:div w:id="439033549">
                                                                                                                                                                          <w:marLeft w:val="567"/>
                                                                                                                                                                          <w:marRight w:val="0"/>
                                                                                                                                                                          <w:marTop w:val="0"/>
                                                                                                                                                                          <w:marBottom w:val="0"/>
                                                                                                                                                                          <w:divBdr>
                                                                                                                                                                            <w:top w:val="none" w:sz="0" w:space="0" w:color="auto"/>
                                                                                                                                                                            <w:left w:val="none" w:sz="0" w:space="0" w:color="auto"/>
                                                                                                                                                                            <w:bottom w:val="none" w:sz="0" w:space="0" w:color="auto"/>
                                                                                                                                                                            <w:right w:val="none" w:sz="0" w:space="0" w:color="auto"/>
                                                                                                                                                                          </w:divBdr>
                                                                                                                                                                        </w:div>
                                                                                                                                                                        <w:div w:id="486166411">
                                                                                                                                                                          <w:marLeft w:val="720"/>
                                                                                                                                                                          <w:marRight w:val="0"/>
                                                                                                                                                                          <w:marTop w:val="0"/>
                                                                                                                                                                          <w:marBottom w:val="0"/>
                                                                                                                                                                          <w:divBdr>
                                                                                                                                                                            <w:top w:val="none" w:sz="0" w:space="0" w:color="auto"/>
                                                                                                                                                                            <w:left w:val="none" w:sz="0" w:space="0" w:color="auto"/>
                                                                                                                                                                            <w:bottom w:val="none" w:sz="0" w:space="0" w:color="auto"/>
                                                                                                                                                                            <w:right w:val="none" w:sz="0" w:space="0" w:color="auto"/>
                                                                                                                                                                          </w:divBdr>
                                                                                                                                                                        </w:div>
                                                                                                                                                                        <w:div w:id="576475855">
                                                                                                                                                                          <w:marLeft w:val="567"/>
                                                                                                                                                                          <w:marRight w:val="0"/>
                                                                                                                                                                          <w:marTop w:val="0"/>
                                                                                                                                                                          <w:marBottom w:val="0"/>
                                                                                                                                                                          <w:divBdr>
                                                                                                                                                                            <w:top w:val="none" w:sz="0" w:space="0" w:color="auto"/>
                                                                                                                                                                            <w:left w:val="none" w:sz="0" w:space="0" w:color="auto"/>
                                                                                                                                                                            <w:bottom w:val="none" w:sz="0" w:space="0" w:color="auto"/>
                                                                                                                                                                            <w:right w:val="none" w:sz="0" w:space="0" w:color="auto"/>
                                                                                                                                                                          </w:divBdr>
                                                                                                                                                                        </w:div>
                                                                                                                                                                        <w:div w:id="613750131">
                                                                                                                                                                          <w:marLeft w:val="567"/>
                                                                                                                                                                          <w:marRight w:val="0"/>
                                                                                                                                                                          <w:marTop w:val="0"/>
                                                                                                                                                                          <w:marBottom w:val="0"/>
                                                                                                                                                                          <w:divBdr>
                                                                                                                                                                            <w:top w:val="none" w:sz="0" w:space="0" w:color="auto"/>
                                                                                                                                                                            <w:left w:val="none" w:sz="0" w:space="0" w:color="auto"/>
                                                                                                                                                                            <w:bottom w:val="none" w:sz="0" w:space="0" w:color="auto"/>
                                                                                                                                                                            <w:right w:val="none" w:sz="0" w:space="0" w:color="auto"/>
                                                                                                                                                                          </w:divBdr>
                                                                                                                                                                        </w:div>
                                                                                                                                                                        <w:div w:id="831531223">
                                                                                                                                                                          <w:marLeft w:val="720"/>
                                                                                                                                                                          <w:marRight w:val="0"/>
                                                                                                                                                                          <w:marTop w:val="0"/>
                                                                                                                                                                          <w:marBottom w:val="0"/>
                                                                                                                                                                          <w:divBdr>
                                                                                                                                                                            <w:top w:val="none" w:sz="0" w:space="0" w:color="auto"/>
                                                                                                                                                                            <w:left w:val="none" w:sz="0" w:space="0" w:color="auto"/>
                                                                                                                                                                            <w:bottom w:val="none" w:sz="0" w:space="0" w:color="auto"/>
                                                                                                                                                                            <w:right w:val="none" w:sz="0" w:space="0" w:color="auto"/>
                                                                                                                                                                          </w:divBdr>
                                                                                                                                                                        </w:div>
                                                                                                                                                                        <w:div w:id="1091469180">
                                                                                                                                                                          <w:marLeft w:val="0"/>
                                                                                                                                                                          <w:marRight w:val="0"/>
                                                                                                                                                                          <w:marTop w:val="0"/>
                                                                                                                                                                          <w:marBottom w:val="0"/>
                                                                                                                                                                          <w:divBdr>
                                                                                                                                                                            <w:top w:val="none" w:sz="0" w:space="0" w:color="auto"/>
                                                                                                                                                                            <w:left w:val="none" w:sz="0" w:space="0" w:color="auto"/>
                                                                                                                                                                            <w:bottom w:val="none" w:sz="0" w:space="0" w:color="auto"/>
                                                                                                                                                                            <w:right w:val="none" w:sz="0" w:space="0" w:color="auto"/>
                                                                                                                                                                          </w:divBdr>
                                                                                                                                                                        </w:div>
                                                                                                                                                                        <w:div w:id="1110932392">
                                                                                                                                                                          <w:marLeft w:val="567"/>
                                                                                                                                                                          <w:marRight w:val="0"/>
                                                                                                                                                                          <w:marTop w:val="0"/>
                                                                                                                                                                          <w:marBottom w:val="0"/>
                                                                                                                                                                          <w:divBdr>
                                                                                                                                                                            <w:top w:val="none" w:sz="0" w:space="0" w:color="auto"/>
                                                                                                                                                                            <w:left w:val="none" w:sz="0" w:space="0" w:color="auto"/>
                                                                                                                                                                            <w:bottom w:val="none" w:sz="0" w:space="0" w:color="auto"/>
                                                                                                                                                                            <w:right w:val="none" w:sz="0" w:space="0" w:color="auto"/>
                                                                                                                                                                          </w:divBdr>
                                                                                                                                                                        </w:div>
                                                                                                                                                                        <w:div w:id="1294947871">
                                                                                                                                                                          <w:marLeft w:val="567"/>
                                                                                                                                                                          <w:marRight w:val="0"/>
                                                                                                                                                                          <w:marTop w:val="0"/>
                                                                                                                                                                          <w:marBottom w:val="0"/>
                                                                                                                                                                          <w:divBdr>
                                                                                                                                                                            <w:top w:val="none" w:sz="0" w:space="0" w:color="auto"/>
                                                                                                                                                                            <w:left w:val="none" w:sz="0" w:space="0" w:color="auto"/>
                                                                                                                                                                            <w:bottom w:val="none" w:sz="0" w:space="0" w:color="auto"/>
                                                                                                                                                                            <w:right w:val="none" w:sz="0" w:space="0" w:color="auto"/>
                                                                                                                                                                          </w:divBdr>
                                                                                                                                                                        </w:div>
                                                                                                                                                                        <w:div w:id="1621839111">
                                                                                                                                                                          <w:marLeft w:val="0"/>
                                                                                                                                                                          <w:marRight w:val="0"/>
                                                                                                                                                                          <w:marTop w:val="0"/>
                                                                                                                                                                          <w:marBottom w:val="0"/>
                                                                                                                                                                          <w:divBdr>
                                                                                                                                                                            <w:top w:val="none" w:sz="0" w:space="0" w:color="auto"/>
                                                                                                                                                                            <w:left w:val="none" w:sz="0" w:space="0" w:color="auto"/>
                                                                                                                                                                            <w:bottom w:val="none" w:sz="0" w:space="0" w:color="auto"/>
                                                                                                                                                                            <w:right w:val="none" w:sz="0" w:space="0" w:color="auto"/>
                                                                                                                                                                          </w:divBdr>
                                                                                                                                                                        </w:div>
                                                                                                                                                                        <w:div w:id="1644701322">
                                                                                                                                                                          <w:marLeft w:val="0"/>
                                                                                                                                                                          <w:marRight w:val="0"/>
                                                                                                                                                                          <w:marTop w:val="0"/>
                                                                                                                                                                          <w:marBottom w:val="0"/>
                                                                                                                                                                          <w:divBdr>
                                                                                                                                                                            <w:top w:val="none" w:sz="0" w:space="0" w:color="auto"/>
                                                                                                                                                                            <w:left w:val="none" w:sz="0" w:space="0" w:color="auto"/>
                                                                                                                                                                            <w:bottom w:val="none" w:sz="0" w:space="0" w:color="auto"/>
                                                                                                                                                                            <w:right w:val="none" w:sz="0" w:space="0" w:color="auto"/>
                                                                                                                                                                          </w:divBdr>
                                                                                                                                                                        </w:div>
                                                                                                                                                                        <w:div w:id="1844513028">
                                                                                                                                                                          <w:marLeft w:val="567"/>
                                                                                                                                                                          <w:marRight w:val="0"/>
                                                                                                                                                                          <w:marTop w:val="0"/>
                                                                                                                                                                          <w:marBottom w:val="0"/>
                                                                                                                                                                          <w:divBdr>
                                                                                                                                                                            <w:top w:val="none" w:sz="0" w:space="0" w:color="auto"/>
                                                                                                                                                                            <w:left w:val="none" w:sz="0" w:space="0" w:color="auto"/>
                                                                                                                                                                            <w:bottom w:val="none" w:sz="0" w:space="0" w:color="auto"/>
                                                                                                                                                                            <w:right w:val="none" w:sz="0" w:space="0" w:color="auto"/>
                                                                                                                                                                          </w:divBdr>
                                                                                                                                                                        </w:div>
                                                                                                                                                                        <w:div w:id="1897737359">
                                                                                                                                                                          <w:marLeft w:val="567"/>
                                                                                                                                                                          <w:marRight w:val="0"/>
                                                                                                                                                                          <w:marTop w:val="0"/>
                                                                                                                                                                          <w:marBottom w:val="0"/>
                                                                                                                                                                          <w:divBdr>
                                                                                                                                                                            <w:top w:val="none" w:sz="0" w:space="0" w:color="auto"/>
                                                                                                                                                                            <w:left w:val="none" w:sz="0" w:space="0" w:color="auto"/>
                                                                                                                                                                            <w:bottom w:val="none" w:sz="0" w:space="0" w:color="auto"/>
                                                                                                                                                                            <w:right w:val="none" w:sz="0" w:space="0" w:color="auto"/>
                                                                                                                                                                          </w:divBdr>
                                                                                                                                                                        </w:div>
                                                                                                                                                                        <w:div w:id="2060129783">
                                                                                                                                                                          <w:marLeft w:val="567"/>
                                                                                                                                                                          <w:marRight w:val="0"/>
                                                                                                                                                                          <w:marTop w:val="0"/>
                                                                                                                                                                          <w:marBottom w:val="0"/>
                                                                                                                                                                          <w:divBdr>
                                                                                                                                                                            <w:top w:val="none" w:sz="0" w:space="0" w:color="auto"/>
                                                                                                                                                                            <w:left w:val="none" w:sz="0" w:space="0" w:color="auto"/>
                                                                                                                                                                            <w:bottom w:val="none" w:sz="0" w:space="0" w:color="auto"/>
                                                                                                                                                                            <w:right w:val="none" w:sz="0" w:space="0" w:color="auto"/>
                                                                                                                                                                          </w:divBdr>
                                                                                                                                                                        </w:div>
                                                                                                                                                                        <w:div w:id="2135175755">
                                                                                                                                                                          <w:marLeft w:val="567"/>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1180856">
      <w:bodyDiv w:val="1"/>
      <w:marLeft w:val="0"/>
      <w:marRight w:val="0"/>
      <w:marTop w:val="0"/>
      <w:marBottom w:val="0"/>
      <w:divBdr>
        <w:top w:val="none" w:sz="0" w:space="0" w:color="auto"/>
        <w:left w:val="none" w:sz="0" w:space="0" w:color="auto"/>
        <w:bottom w:val="none" w:sz="0" w:space="0" w:color="auto"/>
        <w:right w:val="none" w:sz="0" w:space="0" w:color="auto"/>
      </w:divBdr>
    </w:div>
    <w:div w:id="2003578676">
      <w:bodyDiv w:val="1"/>
      <w:marLeft w:val="0"/>
      <w:marRight w:val="0"/>
      <w:marTop w:val="0"/>
      <w:marBottom w:val="0"/>
      <w:divBdr>
        <w:top w:val="none" w:sz="0" w:space="0" w:color="auto"/>
        <w:left w:val="none" w:sz="0" w:space="0" w:color="auto"/>
        <w:bottom w:val="none" w:sz="0" w:space="0" w:color="auto"/>
        <w:right w:val="none" w:sz="0" w:space="0" w:color="auto"/>
      </w:divBdr>
    </w:div>
    <w:div w:id="2042127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05D951-CA68-4795-9532-9E5416183F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Template>
  <TotalTime>0</TotalTime>
  <Pages>4</Pages>
  <Words>974</Words>
  <Characters>4943</Characters>
  <Application>Microsoft Office Word</Application>
  <DocSecurity>0</DocSecurity>
  <Lines>41</Lines>
  <Paragraphs>11</Paragraphs>
  <ScaleCrop>false</ScaleCrop>
  <HeadingPairs>
    <vt:vector size="4" baseType="variant">
      <vt:variant>
        <vt:lpstr>Título</vt:lpstr>
      </vt:variant>
      <vt:variant>
        <vt:i4>1</vt:i4>
      </vt:variant>
      <vt:variant>
        <vt:lpstr>Títulos</vt:lpstr>
      </vt:variant>
      <vt:variant>
        <vt:i4>3</vt:i4>
      </vt:variant>
    </vt:vector>
  </HeadingPairs>
  <TitlesOfParts>
    <vt:vector size="4" baseType="lpstr">
      <vt:lpstr/>
      <vt:lpstr>        COMISIÓN DE REGULACIÓN DE ENERGÍA Y GAS</vt:lpstr>
      <vt:lpstr>        (                                  )</vt:lpstr>
      <vt:lpstr>En ejercicio de sus atribuciones legales, en especial las conferidas por la Ley </vt:lpstr>
    </vt:vector>
  </TitlesOfParts>
  <Company>CREG</Company>
  <LinksUpToDate>false</LinksUpToDate>
  <CharactersWithSpaces>5906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2014-11-21T19:49:00Z</cp:lastPrinted>
  <dcterms:created xsi:type="dcterms:W3CDTF">2014-11-24T15:52:00Z</dcterms:created>
  <dcterms:modified xsi:type="dcterms:W3CDTF">2014-11-24T15:52:00Z</dcterms:modified>
</cp:coreProperties>
</file>