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13A4" w:rsidRPr="00E418EA" w:rsidRDefault="000B7687" w:rsidP="006C2D00">
      <w:pPr>
        <w:pStyle w:val="Encabezado"/>
        <w:tabs>
          <w:tab w:val="clear" w:pos="8504"/>
          <w:tab w:val="left" w:pos="2977"/>
        </w:tabs>
        <w:ind w:left="0"/>
        <w:jc w:val="both"/>
        <w:rPr>
          <w:rFonts w:ascii="Bookman Old Style" w:hAnsi="Bookman Old Style"/>
          <w:color w:val="000000" w:themeColor="text1"/>
          <w:szCs w:val="24"/>
          <w:lang w:val="es-ES"/>
        </w:rPr>
      </w:pPr>
      <w:bookmarkStart w:id="0" w:name="_GoBack"/>
      <w:bookmarkEnd w:id="0"/>
      <w:r w:rsidRPr="00E418EA">
        <w:rPr>
          <w:rFonts w:ascii="Bookman Old Style" w:hAnsi="Bookman Old Style"/>
          <w:noProof/>
          <w:color w:val="000000" w:themeColor="text1"/>
          <w:szCs w:val="24"/>
          <w:lang w:eastAsia="es-CO"/>
        </w:rPr>
        <w:drawing>
          <wp:anchor distT="0" distB="0" distL="114300" distR="114300" simplePos="0" relativeHeight="251657728" behindDoc="0" locked="0" layoutInCell="1" allowOverlap="1" wp14:anchorId="076D07FB" wp14:editId="7CD7DE81">
            <wp:simplePos x="0" y="0"/>
            <wp:positionH relativeFrom="column">
              <wp:posOffset>2570480</wp:posOffset>
            </wp:positionH>
            <wp:positionV relativeFrom="paragraph">
              <wp:posOffset>-645160</wp:posOffset>
            </wp:positionV>
            <wp:extent cx="666750" cy="619125"/>
            <wp:effectExtent l="0" t="0" r="0" b="9525"/>
            <wp:wrapNone/>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6750" cy="619125"/>
                    </a:xfrm>
                    <a:prstGeom prst="rect">
                      <a:avLst/>
                    </a:prstGeom>
                    <a:noFill/>
                  </pic:spPr>
                </pic:pic>
              </a:graphicData>
            </a:graphic>
            <wp14:sizeRelH relativeFrom="page">
              <wp14:pctWidth>0</wp14:pctWidth>
            </wp14:sizeRelH>
            <wp14:sizeRelV relativeFrom="page">
              <wp14:pctHeight>0</wp14:pctHeight>
            </wp14:sizeRelV>
          </wp:anchor>
        </w:drawing>
      </w:r>
    </w:p>
    <w:p w:rsidR="00F813A4" w:rsidRPr="00E418EA" w:rsidRDefault="00F813A4" w:rsidP="005B1078">
      <w:pPr>
        <w:pStyle w:val="Ttulo4"/>
        <w:ind w:left="0"/>
        <w:rPr>
          <w:rFonts w:ascii="Bookman Old Style" w:hAnsi="Bookman Old Style"/>
          <w:b w:val="0"/>
          <w:bCs/>
          <w:noProof/>
          <w:sz w:val="24"/>
          <w:szCs w:val="24"/>
          <w:lang w:val="es-ES"/>
        </w:rPr>
      </w:pPr>
      <w:r w:rsidRPr="00E418EA">
        <w:rPr>
          <w:rFonts w:ascii="Bookman Old Style" w:hAnsi="Bookman Old Style"/>
          <w:b w:val="0"/>
          <w:bCs/>
          <w:sz w:val="24"/>
          <w:szCs w:val="24"/>
        </w:rPr>
        <w:t>Ministerio de Minas y Energía</w:t>
      </w:r>
    </w:p>
    <w:p w:rsidR="00F813A4" w:rsidRPr="00E418EA" w:rsidRDefault="00F813A4" w:rsidP="005B1078">
      <w:pPr>
        <w:pStyle w:val="Ttulo4"/>
        <w:ind w:left="0"/>
        <w:rPr>
          <w:rFonts w:ascii="Bookman Old Style" w:hAnsi="Bookman Old Style"/>
          <w:b w:val="0"/>
          <w:bCs/>
          <w:sz w:val="24"/>
          <w:szCs w:val="24"/>
        </w:rPr>
      </w:pPr>
    </w:p>
    <w:p w:rsidR="00F813A4" w:rsidRPr="00E418EA" w:rsidRDefault="00F813A4" w:rsidP="005B1078">
      <w:pPr>
        <w:pStyle w:val="Ttulo3"/>
        <w:ind w:left="0"/>
        <w:rPr>
          <w:rFonts w:ascii="Bookman Old Style" w:hAnsi="Bookman Old Style" w:cs="Arial"/>
          <w:spacing w:val="20"/>
          <w:szCs w:val="24"/>
        </w:rPr>
      </w:pPr>
      <w:r w:rsidRPr="00E418EA">
        <w:rPr>
          <w:rFonts w:ascii="Bookman Old Style" w:hAnsi="Bookman Old Style" w:cs="Arial"/>
          <w:spacing w:val="20"/>
          <w:szCs w:val="24"/>
        </w:rPr>
        <w:t>COMISIÓN DE REGULACIÓN DE ENERGÍA Y GAS</w:t>
      </w:r>
    </w:p>
    <w:p w:rsidR="00F813A4" w:rsidRPr="00E418EA" w:rsidRDefault="00F813A4" w:rsidP="005B1078">
      <w:pPr>
        <w:pStyle w:val="Ttulo5"/>
        <w:ind w:left="0"/>
        <w:rPr>
          <w:rFonts w:ascii="Bookman Old Style" w:hAnsi="Bookman Old Style"/>
          <w:sz w:val="24"/>
          <w:szCs w:val="24"/>
        </w:rPr>
      </w:pPr>
    </w:p>
    <w:p w:rsidR="00F813A4" w:rsidRPr="00E418EA" w:rsidRDefault="00F813A4" w:rsidP="005B1078">
      <w:pPr>
        <w:pStyle w:val="Ttulo5"/>
        <w:ind w:left="0"/>
        <w:rPr>
          <w:rFonts w:ascii="Bookman Old Style" w:hAnsi="Bookman Old Style"/>
          <w:sz w:val="24"/>
          <w:szCs w:val="24"/>
        </w:rPr>
      </w:pPr>
    </w:p>
    <w:p w:rsidR="00F813A4" w:rsidRPr="00E418EA" w:rsidRDefault="00F813A4" w:rsidP="005B1078">
      <w:pPr>
        <w:pStyle w:val="Ttulo5"/>
        <w:ind w:left="0"/>
        <w:rPr>
          <w:rFonts w:ascii="Bookman Old Style" w:hAnsi="Bookman Old Style"/>
          <w:sz w:val="24"/>
          <w:szCs w:val="24"/>
        </w:rPr>
      </w:pPr>
      <w:r w:rsidRPr="00E418EA">
        <w:rPr>
          <w:rFonts w:ascii="Bookman Old Style" w:hAnsi="Bookman Old Style"/>
          <w:sz w:val="24"/>
          <w:szCs w:val="24"/>
        </w:rPr>
        <w:t>RESOLUCIÓN No.                   DE 201</w:t>
      </w:r>
      <w:r w:rsidR="00A328C0">
        <w:rPr>
          <w:rFonts w:ascii="Bookman Old Style" w:hAnsi="Bookman Old Style"/>
          <w:sz w:val="24"/>
          <w:szCs w:val="24"/>
        </w:rPr>
        <w:t>5</w:t>
      </w:r>
    </w:p>
    <w:p w:rsidR="00F813A4" w:rsidRPr="00E418EA" w:rsidRDefault="00F813A4" w:rsidP="005B1078">
      <w:pPr>
        <w:ind w:left="0"/>
        <w:jc w:val="center"/>
        <w:rPr>
          <w:rFonts w:ascii="Bookman Old Style" w:hAnsi="Bookman Old Style" w:cs="Arial"/>
          <w:b/>
          <w:snapToGrid w:val="0"/>
          <w:color w:val="000000"/>
          <w:lang w:val="es-ES_tradnl"/>
        </w:rPr>
      </w:pPr>
    </w:p>
    <w:p w:rsidR="00F813A4" w:rsidRPr="00E418EA" w:rsidRDefault="00F813A4" w:rsidP="005B1078">
      <w:pPr>
        <w:pStyle w:val="Ttulo3"/>
        <w:ind w:left="0"/>
        <w:rPr>
          <w:rFonts w:ascii="Bookman Old Style" w:hAnsi="Bookman Old Style"/>
          <w:b w:val="0"/>
          <w:szCs w:val="24"/>
        </w:rPr>
      </w:pPr>
      <w:r w:rsidRPr="00E418EA">
        <w:rPr>
          <w:rFonts w:ascii="Bookman Old Style" w:hAnsi="Bookman Old Style"/>
          <w:b w:val="0"/>
          <w:szCs w:val="24"/>
        </w:rPr>
        <w:t>(                                  )</w:t>
      </w:r>
    </w:p>
    <w:p w:rsidR="00F813A4" w:rsidRDefault="00F813A4" w:rsidP="005B1078">
      <w:pPr>
        <w:ind w:left="0"/>
        <w:rPr>
          <w:rFonts w:ascii="Bookman Old Style" w:hAnsi="Bookman Old Style"/>
          <w:bCs/>
          <w:lang w:val="es-CO"/>
        </w:rPr>
      </w:pPr>
    </w:p>
    <w:p w:rsidR="00A328C0" w:rsidRDefault="00A328C0" w:rsidP="005B1078">
      <w:pPr>
        <w:ind w:left="0"/>
        <w:rPr>
          <w:rFonts w:ascii="Bookman Old Style" w:hAnsi="Bookman Old Style"/>
          <w:bCs/>
          <w:lang w:val="es-CO"/>
        </w:rPr>
      </w:pPr>
    </w:p>
    <w:p w:rsidR="00A328C0" w:rsidRPr="00E418EA" w:rsidRDefault="00A328C0" w:rsidP="005B1078">
      <w:pPr>
        <w:ind w:left="0"/>
        <w:rPr>
          <w:rFonts w:ascii="Bookman Old Style" w:hAnsi="Bookman Old Style"/>
          <w:bCs/>
          <w:lang w:val="es-CO"/>
        </w:rPr>
      </w:pPr>
    </w:p>
    <w:p w:rsidR="00CD5DB7" w:rsidRPr="00E418EA" w:rsidRDefault="000D1959" w:rsidP="005B1078">
      <w:pPr>
        <w:ind w:left="0"/>
        <w:jc w:val="center"/>
        <w:rPr>
          <w:rFonts w:ascii="Bookman Old Style" w:hAnsi="Bookman Old Style" w:cs="Arial"/>
          <w:b/>
          <w:bCs/>
          <w:color w:val="000000" w:themeColor="text1"/>
          <w:lang w:eastAsia="es-CO"/>
        </w:rPr>
      </w:pPr>
      <w:r w:rsidRPr="00E418EA">
        <w:rPr>
          <w:rFonts w:ascii="Bookman Old Style" w:hAnsi="Bookman Old Style" w:cs="Arial"/>
          <w:color w:val="000000" w:themeColor="text1"/>
          <w:lang w:eastAsia="es-CO"/>
        </w:rPr>
        <w:t xml:space="preserve">Por la cual se modifica </w:t>
      </w:r>
      <w:r>
        <w:rPr>
          <w:rFonts w:ascii="Bookman Old Style" w:hAnsi="Bookman Old Style" w:cs="Arial"/>
          <w:color w:val="000000" w:themeColor="text1"/>
          <w:lang w:eastAsia="es-CO"/>
        </w:rPr>
        <w:t xml:space="preserve">el </w:t>
      </w:r>
      <w:r w:rsidR="00132150">
        <w:rPr>
          <w:rFonts w:ascii="Bookman Old Style" w:hAnsi="Bookman Old Style" w:cs="Arial"/>
          <w:color w:val="000000" w:themeColor="text1"/>
          <w:lang w:eastAsia="es-CO"/>
        </w:rPr>
        <w:t xml:space="preserve">plazo establecido en el </w:t>
      </w:r>
      <w:r w:rsidR="0098635A">
        <w:rPr>
          <w:rFonts w:ascii="Bookman Old Style" w:hAnsi="Bookman Old Style" w:cs="Arial"/>
          <w:color w:val="000000" w:themeColor="text1"/>
          <w:lang w:eastAsia="es-CO"/>
        </w:rPr>
        <w:t>artículo 6</w:t>
      </w:r>
      <w:r>
        <w:rPr>
          <w:rFonts w:ascii="Bookman Old Style" w:hAnsi="Bookman Old Style" w:cs="Arial"/>
          <w:color w:val="000000" w:themeColor="text1"/>
          <w:lang w:eastAsia="es-CO"/>
        </w:rPr>
        <w:t xml:space="preserve"> de</w:t>
      </w:r>
      <w:r w:rsidR="0098635A">
        <w:rPr>
          <w:rFonts w:ascii="Bookman Old Style" w:hAnsi="Bookman Old Style" w:cs="Arial"/>
          <w:color w:val="000000" w:themeColor="text1"/>
          <w:lang w:eastAsia="es-CO"/>
        </w:rPr>
        <w:t xml:space="preserve"> </w:t>
      </w:r>
      <w:r>
        <w:rPr>
          <w:rFonts w:ascii="Bookman Old Style" w:hAnsi="Bookman Old Style" w:cs="Arial"/>
          <w:color w:val="000000" w:themeColor="text1"/>
          <w:lang w:eastAsia="es-CO"/>
        </w:rPr>
        <w:t>l</w:t>
      </w:r>
      <w:r w:rsidR="0098635A">
        <w:rPr>
          <w:rFonts w:ascii="Bookman Old Style" w:hAnsi="Bookman Old Style" w:cs="Arial"/>
          <w:color w:val="000000" w:themeColor="text1"/>
          <w:lang w:eastAsia="es-CO"/>
        </w:rPr>
        <w:t>a</w:t>
      </w:r>
      <w:r>
        <w:rPr>
          <w:rFonts w:ascii="Bookman Old Style" w:hAnsi="Bookman Old Style" w:cs="Arial"/>
          <w:color w:val="000000" w:themeColor="text1"/>
          <w:lang w:eastAsia="es-CO"/>
        </w:rPr>
        <w:t xml:space="preserve"> </w:t>
      </w:r>
      <w:r w:rsidR="0098635A">
        <w:rPr>
          <w:rFonts w:ascii="Bookman Old Style" w:hAnsi="Bookman Old Style" w:cs="Arial"/>
          <w:color w:val="000000" w:themeColor="text1"/>
          <w:lang w:eastAsia="es-CO"/>
        </w:rPr>
        <w:t>Resolución 017</w:t>
      </w:r>
      <w:r>
        <w:rPr>
          <w:rFonts w:ascii="Bookman Old Style" w:hAnsi="Bookman Old Style" w:cs="Arial"/>
          <w:color w:val="000000" w:themeColor="text1"/>
          <w:lang w:eastAsia="es-CO"/>
        </w:rPr>
        <w:t xml:space="preserve"> </w:t>
      </w:r>
      <w:r w:rsidRPr="00E418EA">
        <w:rPr>
          <w:rFonts w:ascii="Bookman Old Style" w:hAnsi="Bookman Old Style" w:cs="Arial"/>
          <w:color w:val="000000" w:themeColor="text1"/>
          <w:lang w:eastAsia="es-CO"/>
        </w:rPr>
        <w:t>de 201</w:t>
      </w:r>
      <w:r w:rsidR="0098635A">
        <w:rPr>
          <w:rFonts w:ascii="Bookman Old Style" w:hAnsi="Bookman Old Style" w:cs="Arial"/>
          <w:color w:val="000000" w:themeColor="text1"/>
          <w:lang w:eastAsia="es-CO"/>
        </w:rPr>
        <w:t>5</w:t>
      </w:r>
    </w:p>
    <w:p w:rsidR="00BF271D" w:rsidRDefault="00BF271D" w:rsidP="005B1078">
      <w:pPr>
        <w:ind w:left="0"/>
        <w:jc w:val="center"/>
        <w:rPr>
          <w:rFonts w:ascii="Bookman Old Style" w:hAnsi="Bookman Old Style" w:cs="Arial"/>
          <w:b/>
          <w:bCs/>
          <w:color w:val="000000" w:themeColor="text1"/>
          <w:lang w:eastAsia="es-CO"/>
        </w:rPr>
      </w:pPr>
    </w:p>
    <w:p w:rsidR="00132150" w:rsidRPr="00E418EA" w:rsidRDefault="00132150" w:rsidP="005B1078">
      <w:pPr>
        <w:ind w:left="0"/>
        <w:jc w:val="center"/>
        <w:rPr>
          <w:rFonts w:ascii="Bookman Old Style" w:hAnsi="Bookman Old Style" w:cs="Arial"/>
          <w:b/>
          <w:bCs/>
          <w:color w:val="000000" w:themeColor="text1"/>
          <w:lang w:eastAsia="es-CO"/>
        </w:rPr>
      </w:pPr>
    </w:p>
    <w:p w:rsidR="00CD5DB7" w:rsidRPr="00E418EA" w:rsidRDefault="00CD5DB7" w:rsidP="005B1078">
      <w:pPr>
        <w:ind w:left="0"/>
        <w:jc w:val="center"/>
        <w:rPr>
          <w:rFonts w:ascii="Bookman Old Style" w:hAnsi="Bookman Old Style" w:cs="Arial"/>
          <w:color w:val="000000" w:themeColor="text1"/>
          <w:lang w:eastAsia="es-CO"/>
        </w:rPr>
      </w:pPr>
      <w:r w:rsidRPr="00E418EA">
        <w:rPr>
          <w:rFonts w:ascii="Bookman Old Style" w:hAnsi="Bookman Old Style" w:cs="Arial"/>
          <w:b/>
          <w:bCs/>
          <w:color w:val="000000" w:themeColor="text1"/>
          <w:lang w:eastAsia="es-CO"/>
        </w:rPr>
        <w:t>LA COMISIÓN DE REGULACIÓN DE ENERGÍA Y GAS</w:t>
      </w:r>
    </w:p>
    <w:p w:rsidR="00CD5DB7" w:rsidRPr="00E418EA" w:rsidRDefault="00CD5DB7" w:rsidP="005B1078">
      <w:pPr>
        <w:ind w:left="0"/>
        <w:rPr>
          <w:rFonts w:ascii="Bookman Old Style" w:hAnsi="Bookman Old Style" w:cs="Arial"/>
          <w:color w:val="000000" w:themeColor="text1"/>
          <w:lang w:eastAsia="es-CO"/>
        </w:rPr>
      </w:pPr>
    </w:p>
    <w:p w:rsidR="00CD5DB7" w:rsidRPr="00CE7697" w:rsidRDefault="00CD5DB7" w:rsidP="005B1078">
      <w:pPr>
        <w:ind w:left="0"/>
        <w:rPr>
          <w:rFonts w:ascii="Bookman Old Style" w:hAnsi="Bookman Old Style" w:cs="Arial"/>
          <w:color w:val="000000" w:themeColor="text1"/>
          <w:sz w:val="12"/>
          <w:lang w:eastAsia="es-CO"/>
        </w:rPr>
      </w:pPr>
    </w:p>
    <w:p w:rsidR="00CD5DB7" w:rsidRPr="00E418EA" w:rsidRDefault="00CD5DB7" w:rsidP="005B1078">
      <w:pPr>
        <w:ind w:left="0"/>
        <w:jc w:val="center"/>
        <w:rPr>
          <w:rFonts w:ascii="Bookman Old Style" w:hAnsi="Bookman Old Style" w:cs="Arial"/>
          <w:color w:val="000000" w:themeColor="text1"/>
          <w:lang w:eastAsia="es-CO"/>
        </w:rPr>
      </w:pPr>
      <w:r w:rsidRPr="00E418EA">
        <w:rPr>
          <w:rFonts w:ascii="Bookman Old Style" w:hAnsi="Bookman Old Style" w:cs="Arial"/>
          <w:color w:val="000000" w:themeColor="text1"/>
          <w:lang w:eastAsia="es-CO"/>
        </w:rPr>
        <w:t xml:space="preserve">En ejercicio de sus </w:t>
      </w:r>
      <w:r w:rsidR="006E24AF" w:rsidRPr="00E418EA">
        <w:rPr>
          <w:rFonts w:ascii="Bookman Old Style" w:hAnsi="Bookman Old Style" w:cs="Arial"/>
          <w:color w:val="000000" w:themeColor="text1"/>
          <w:lang w:eastAsia="es-CO"/>
        </w:rPr>
        <w:t xml:space="preserve">facultades </w:t>
      </w:r>
      <w:r w:rsidRPr="00E418EA">
        <w:rPr>
          <w:rFonts w:ascii="Bookman Old Style" w:hAnsi="Bookman Old Style" w:cs="Arial"/>
          <w:color w:val="000000" w:themeColor="text1"/>
          <w:lang w:eastAsia="es-CO"/>
        </w:rPr>
        <w:t xml:space="preserve">legales, en especial </w:t>
      </w:r>
      <w:r w:rsidR="00F72BA7" w:rsidRPr="00E418EA">
        <w:rPr>
          <w:rFonts w:ascii="Bookman Old Style" w:hAnsi="Bookman Old Style" w:cs="Arial"/>
          <w:color w:val="000000" w:themeColor="text1"/>
          <w:lang w:eastAsia="es-CO"/>
        </w:rPr>
        <w:t xml:space="preserve">de </w:t>
      </w:r>
      <w:r w:rsidRPr="00E418EA">
        <w:rPr>
          <w:rFonts w:ascii="Bookman Old Style" w:hAnsi="Bookman Old Style" w:cs="Arial"/>
          <w:color w:val="000000" w:themeColor="text1"/>
          <w:lang w:eastAsia="es-CO"/>
        </w:rPr>
        <w:t xml:space="preserve">las conferidas por la Ley 142 de 1994, </w:t>
      </w:r>
      <w:r w:rsidR="0019169B" w:rsidRPr="00E418EA">
        <w:rPr>
          <w:rFonts w:ascii="Bookman Old Style" w:hAnsi="Bookman Old Style" w:cs="Arial"/>
          <w:color w:val="000000" w:themeColor="text1"/>
          <w:lang w:eastAsia="es-CO"/>
        </w:rPr>
        <w:t xml:space="preserve">y </w:t>
      </w:r>
      <w:r w:rsidR="009608BF" w:rsidRPr="00E418EA">
        <w:rPr>
          <w:rFonts w:ascii="Bookman Old Style" w:hAnsi="Bookman Old Style" w:cs="Arial"/>
          <w:color w:val="000000" w:themeColor="text1"/>
          <w:lang w:eastAsia="es-CO"/>
        </w:rPr>
        <w:t>en desarrollo de</w:t>
      </w:r>
      <w:r w:rsidR="00132150">
        <w:rPr>
          <w:rFonts w:ascii="Bookman Old Style" w:hAnsi="Bookman Old Style" w:cs="Arial"/>
          <w:color w:val="000000" w:themeColor="text1"/>
          <w:lang w:eastAsia="es-CO"/>
        </w:rPr>
        <w:t xml:space="preserve"> </w:t>
      </w:r>
      <w:r w:rsidR="00E6570C" w:rsidRPr="00E418EA">
        <w:rPr>
          <w:rFonts w:ascii="Bookman Old Style" w:hAnsi="Bookman Old Style" w:cs="Arial"/>
          <w:color w:val="000000" w:themeColor="text1"/>
          <w:lang w:eastAsia="es-CO"/>
        </w:rPr>
        <w:t>l</w:t>
      </w:r>
      <w:r w:rsidR="00132150">
        <w:rPr>
          <w:rFonts w:ascii="Bookman Old Style" w:hAnsi="Bookman Old Style" w:cs="Arial"/>
          <w:color w:val="000000" w:themeColor="text1"/>
          <w:lang w:eastAsia="es-CO"/>
        </w:rPr>
        <w:t>os</w:t>
      </w:r>
      <w:r w:rsidR="00E6570C" w:rsidRPr="00E418EA">
        <w:rPr>
          <w:rFonts w:ascii="Bookman Old Style" w:hAnsi="Bookman Old Style" w:cs="Arial"/>
          <w:color w:val="000000" w:themeColor="text1"/>
          <w:lang w:eastAsia="es-CO"/>
        </w:rPr>
        <w:t xml:space="preserve"> </w:t>
      </w:r>
      <w:r w:rsidR="00132150">
        <w:rPr>
          <w:rFonts w:ascii="Bookman Old Style" w:hAnsi="Bookman Old Style" w:cs="Arial"/>
          <w:color w:val="000000" w:themeColor="text1"/>
          <w:lang w:eastAsia="es-CO"/>
        </w:rPr>
        <w:t>d</w:t>
      </w:r>
      <w:r w:rsidR="00E6570C" w:rsidRPr="00E418EA">
        <w:rPr>
          <w:rFonts w:ascii="Bookman Old Style" w:hAnsi="Bookman Old Style" w:cs="Arial"/>
          <w:color w:val="000000" w:themeColor="text1"/>
          <w:lang w:eastAsia="es-CO"/>
        </w:rPr>
        <w:t>ecreto</w:t>
      </w:r>
      <w:r w:rsidR="00132150">
        <w:rPr>
          <w:rFonts w:ascii="Bookman Old Style" w:hAnsi="Bookman Old Style" w:cs="Arial"/>
          <w:color w:val="000000" w:themeColor="text1"/>
          <w:lang w:eastAsia="es-CO"/>
        </w:rPr>
        <w:t>s</w:t>
      </w:r>
      <w:r w:rsidR="00813C04" w:rsidRPr="00E418EA">
        <w:rPr>
          <w:rFonts w:ascii="Bookman Old Style" w:hAnsi="Bookman Old Style" w:cs="Arial"/>
          <w:color w:val="000000" w:themeColor="text1"/>
          <w:lang w:eastAsia="es-CO"/>
        </w:rPr>
        <w:t xml:space="preserve"> </w:t>
      </w:r>
      <w:r w:rsidRPr="00E418EA">
        <w:rPr>
          <w:rFonts w:ascii="Bookman Old Style" w:hAnsi="Bookman Old Style" w:cs="Arial"/>
          <w:color w:val="000000" w:themeColor="text1"/>
          <w:lang w:eastAsia="es-CO"/>
        </w:rPr>
        <w:t>2253 de 1994 y</w:t>
      </w:r>
      <w:r w:rsidR="0098635A">
        <w:rPr>
          <w:rFonts w:ascii="Bookman Old Style" w:hAnsi="Bookman Old Style" w:cs="Arial"/>
          <w:color w:val="000000" w:themeColor="text1"/>
          <w:lang w:eastAsia="es-CO"/>
        </w:rPr>
        <w:t xml:space="preserve"> </w:t>
      </w:r>
      <w:r w:rsidR="0098635A">
        <w:rPr>
          <w:rFonts w:ascii="Bookman Old Style" w:hAnsi="Bookman Old Style"/>
          <w:lang w:val="es-CO"/>
        </w:rPr>
        <w:t xml:space="preserve">1260 de 2013, </w:t>
      </w:r>
      <w:r w:rsidR="0098635A" w:rsidRPr="00F5188D">
        <w:rPr>
          <w:rFonts w:ascii="Bookman Old Style" w:hAnsi="Bookman Old Style"/>
          <w:lang w:val="es-CO"/>
        </w:rPr>
        <w:t>y</w:t>
      </w:r>
    </w:p>
    <w:p w:rsidR="00CD5DB7" w:rsidRPr="00E418EA" w:rsidRDefault="00CD5DB7" w:rsidP="005B1078">
      <w:pPr>
        <w:ind w:left="0"/>
        <w:rPr>
          <w:rFonts w:ascii="Bookman Old Style" w:hAnsi="Bookman Old Style" w:cs="Arial"/>
          <w:color w:val="000000" w:themeColor="text1"/>
          <w:lang w:eastAsia="es-CO"/>
        </w:rPr>
      </w:pPr>
    </w:p>
    <w:p w:rsidR="00CD5DB7" w:rsidRPr="00E418EA" w:rsidRDefault="00CD5DB7" w:rsidP="005B1078">
      <w:pPr>
        <w:ind w:left="0"/>
        <w:jc w:val="center"/>
        <w:rPr>
          <w:rFonts w:ascii="Bookman Old Style" w:hAnsi="Bookman Old Style" w:cs="Arial"/>
          <w:b/>
          <w:bCs/>
          <w:color w:val="000000" w:themeColor="text1"/>
          <w:lang w:val="pt-BR" w:eastAsia="es-CO"/>
        </w:rPr>
      </w:pPr>
      <w:r w:rsidRPr="00E418EA">
        <w:rPr>
          <w:rFonts w:ascii="Bookman Old Style" w:hAnsi="Bookman Old Style" w:cs="Arial"/>
          <w:b/>
          <w:bCs/>
          <w:color w:val="000000" w:themeColor="text1"/>
          <w:lang w:val="pt-BR" w:eastAsia="es-CO"/>
        </w:rPr>
        <w:t>C O N S I D E R A N D O:</w:t>
      </w:r>
    </w:p>
    <w:p w:rsidR="00CD5DB7" w:rsidRDefault="00CD5DB7" w:rsidP="005B1078">
      <w:pPr>
        <w:ind w:left="0"/>
        <w:jc w:val="center"/>
        <w:rPr>
          <w:rFonts w:ascii="Bookman Old Style" w:hAnsi="Bookman Old Style" w:cs="Arial"/>
          <w:color w:val="000000" w:themeColor="text1"/>
          <w:lang w:val="pt-BR" w:eastAsia="es-CO"/>
        </w:rPr>
      </w:pPr>
    </w:p>
    <w:p w:rsidR="00132150" w:rsidRPr="00E418EA" w:rsidRDefault="00132150" w:rsidP="005B1078">
      <w:pPr>
        <w:ind w:left="0"/>
        <w:jc w:val="center"/>
        <w:rPr>
          <w:rFonts w:ascii="Bookman Old Style" w:hAnsi="Bookman Old Style" w:cs="Arial"/>
          <w:color w:val="000000" w:themeColor="text1"/>
          <w:lang w:val="pt-BR" w:eastAsia="es-CO"/>
        </w:rPr>
      </w:pPr>
    </w:p>
    <w:p w:rsidR="005C39FD" w:rsidRPr="00E418EA" w:rsidRDefault="00876F69" w:rsidP="005C39FD">
      <w:pPr>
        <w:ind w:left="0"/>
        <w:jc w:val="both"/>
        <w:rPr>
          <w:rFonts w:ascii="Bookman Old Style" w:hAnsi="Bookman Old Style" w:cs="Arial"/>
          <w:color w:val="000000" w:themeColor="text1"/>
        </w:rPr>
      </w:pPr>
      <w:r w:rsidRPr="00E418EA">
        <w:rPr>
          <w:rFonts w:ascii="Bookman Old Style" w:hAnsi="Bookman Old Style" w:cs="Arial"/>
          <w:color w:val="000000" w:themeColor="text1"/>
        </w:rPr>
        <w:t>Mediante la Resolución CREG 089 de 2013, la CREG expidió disposiciones relacionadas con los aspectos comerciales del mercado mayorista de gas natural, que hacen parte del reglamento de operación de gas natural.</w:t>
      </w:r>
      <w:r w:rsidR="005C39FD" w:rsidRPr="00E418EA">
        <w:rPr>
          <w:rFonts w:ascii="Bookman Old Style" w:hAnsi="Bookman Old Style" w:cs="Arial"/>
          <w:color w:val="000000" w:themeColor="text1"/>
        </w:rPr>
        <w:t xml:space="preserve"> </w:t>
      </w:r>
      <w:r w:rsidRPr="00E418EA">
        <w:rPr>
          <w:rFonts w:ascii="Bookman Old Style" w:hAnsi="Bookman Old Style" w:cs="Arial"/>
          <w:color w:val="000000" w:themeColor="text1"/>
        </w:rPr>
        <w:t>La r</w:t>
      </w:r>
      <w:r w:rsidR="005C39FD" w:rsidRPr="00E418EA">
        <w:rPr>
          <w:rFonts w:ascii="Bookman Old Style" w:hAnsi="Bookman Old Style" w:cs="Arial"/>
          <w:color w:val="000000" w:themeColor="text1"/>
        </w:rPr>
        <w:t xml:space="preserve">esolución </w:t>
      </w:r>
      <w:r w:rsidRPr="00E418EA">
        <w:rPr>
          <w:rFonts w:ascii="Bookman Old Style" w:hAnsi="Bookman Old Style" w:cs="Arial"/>
          <w:color w:val="000000" w:themeColor="text1"/>
        </w:rPr>
        <w:t xml:space="preserve">mencionada </w:t>
      </w:r>
      <w:r w:rsidR="005C39FD" w:rsidRPr="00E418EA">
        <w:rPr>
          <w:rFonts w:ascii="Bookman Old Style" w:hAnsi="Bookman Old Style" w:cs="Arial"/>
          <w:color w:val="000000" w:themeColor="text1"/>
        </w:rPr>
        <w:t>contiene el conjunto de disposiciones aplicables a las negociaciones del suministro y del transporte del gas natural utilizado efectivamente como combustible que se realicen en el mercado primario y en el mercado secundario.</w:t>
      </w:r>
    </w:p>
    <w:p w:rsidR="005C39FD" w:rsidRPr="00E418EA" w:rsidRDefault="005C39FD" w:rsidP="005C39FD">
      <w:pPr>
        <w:ind w:left="0"/>
        <w:jc w:val="both"/>
        <w:rPr>
          <w:rFonts w:ascii="Bookman Old Style" w:hAnsi="Bookman Old Style" w:cs="Arial"/>
          <w:color w:val="000000" w:themeColor="text1"/>
        </w:rPr>
      </w:pPr>
    </w:p>
    <w:p w:rsidR="00FF70C3" w:rsidRDefault="0098635A" w:rsidP="00FF70C3">
      <w:pPr>
        <w:ind w:left="0"/>
        <w:jc w:val="both"/>
        <w:rPr>
          <w:rFonts w:ascii="Bookman Old Style" w:hAnsi="Bookman Old Style" w:cs="Arial"/>
          <w:color w:val="000000"/>
        </w:rPr>
      </w:pPr>
      <w:r w:rsidRPr="00F6673E">
        <w:rPr>
          <w:rFonts w:ascii="Bookman Old Style" w:hAnsi="Bookman Old Style" w:cs="Arial"/>
          <w:color w:val="000000"/>
        </w:rPr>
        <w:t>En el artículo 16 de la Resolución CREG 089 de 2013 se establece que los precios pactados en los contratos de suministro bajo las modalidades firme, de firmeza condiciona y de opción de compra, sólo se actualizarán anualmente con base en las ecuaciones establecidas en el anexo 4 de la  Resolución CREG 089 de 2013.</w:t>
      </w:r>
    </w:p>
    <w:p w:rsidR="0098635A" w:rsidRDefault="0098635A" w:rsidP="00FF70C3">
      <w:pPr>
        <w:ind w:left="0"/>
        <w:jc w:val="both"/>
        <w:rPr>
          <w:rFonts w:ascii="Bookman Old Style" w:hAnsi="Bookman Old Style" w:cs="Arial"/>
          <w:color w:val="000000" w:themeColor="text1"/>
        </w:rPr>
      </w:pPr>
    </w:p>
    <w:p w:rsidR="0098635A" w:rsidRPr="00F6673E" w:rsidRDefault="0098635A" w:rsidP="0098635A">
      <w:pPr>
        <w:ind w:left="0"/>
        <w:jc w:val="both"/>
        <w:rPr>
          <w:rFonts w:ascii="Bookman Old Style" w:hAnsi="Bookman Old Style" w:cs="Arial"/>
          <w:color w:val="000000"/>
        </w:rPr>
      </w:pPr>
      <w:r w:rsidRPr="00F6673E">
        <w:rPr>
          <w:rFonts w:ascii="Bookman Old Style" w:hAnsi="Bookman Old Style" w:cs="Arial"/>
          <w:color w:val="000000"/>
        </w:rPr>
        <w:t>Mediante la Resolución CREG 183 de 2014 se estableció una opción para que las partes de los contratos de suministro de gas natural en las modalidades firmes, de firmeza condicionada y de opción de compra acuerden modificar el precio de los contratos de un (1) año suscritos en 2014 y modificar la ecuación de actualización de los precios de los contratos de cinco (5) años suscritos en 2013.</w:t>
      </w:r>
    </w:p>
    <w:p w:rsidR="0098635A" w:rsidRPr="00F6673E" w:rsidRDefault="0098635A" w:rsidP="0098635A">
      <w:pPr>
        <w:ind w:left="0"/>
        <w:jc w:val="both"/>
        <w:rPr>
          <w:rFonts w:ascii="Bookman Old Style" w:hAnsi="Bookman Old Style" w:cs="Arial"/>
          <w:color w:val="000000"/>
        </w:rPr>
      </w:pPr>
    </w:p>
    <w:p w:rsidR="003D66A5" w:rsidRDefault="0098635A" w:rsidP="0098635A">
      <w:pPr>
        <w:ind w:left="0"/>
        <w:jc w:val="both"/>
        <w:rPr>
          <w:rFonts w:ascii="Bookman Old Style" w:hAnsi="Bookman Old Style"/>
          <w:color w:val="000000"/>
        </w:rPr>
      </w:pPr>
      <w:r w:rsidRPr="00F6673E">
        <w:rPr>
          <w:rFonts w:ascii="Bookman Old Style" w:hAnsi="Bookman Old Style" w:cs="Arial"/>
          <w:color w:val="000000"/>
        </w:rPr>
        <w:t>En el artículo 2 de la Resolución CREG 183 de 2014 se establece que “</w:t>
      </w:r>
      <w:r w:rsidRPr="00F6673E">
        <w:rPr>
          <w:rFonts w:ascii="Bookman Old Style" w:hAnsi="Bookman Old Style"/>
          <w:color w:val="000000"/>
        </w:rPr>
        <w:t xml:space="preserve">Las partes de los contratos de suministro de gas natural bajo las modalidades firme, de firmeza condicionada y de opción de compra, con duración de cinco (5) años, celebrados en el año 2013 como resultado de la aplicación de los mecanismos de comercialización definidos en la Resolución CREG 089 de 2013 podrán, de común acuerdo, modificar la ecuación de actualización de los precios pactados en 2013, caso en el cual dichos precios en dólares se </w:t>
      </w:r>
      <w:r w:rsidRPr="00F6673E">
        <w:rPr>
          <w:rFonts w:ascii="Bookman Old Style" w:hAnsi="Bookman Old Style"/>
          <w:color w:val="000000"/>
        </w:rPr>
        <w:lastRenderedPageBreak/>
        <w:t xml:space="preserve">actualizarán para diciembre de 2014, enero de 2015 y febrero de 2015 con un indicador igual a 1, y a partir del </w:t>
      </w:r>
      <w:hyperlink r:id="rId10" w:history="1">
        <w:r w:rsidRPr="00F6673E">
          <w:rPr>
            <w:rFonts w:ascii="Bookman Old Style" w:hAnsi="Bookman Old Style"/>
          </w:rPr>
          <w:t>1 de marzo de 2015</w:t>
        </w:r>
      </w:hyperlink>
      <w:r w:rsidRPr="00F6673E">
        <w:rPr>
          <w:rFonts w:ascii="Bookman Old Style" w:hAnsi="Bookman Old Style"/>
        </w:rPr>
        <w:t xml:space="preserve"> con</w:t>
      </w:r>
      <w:r w:rsidRPr="00F6673E">
        <w:rPr>
          <w:rFonts w:ascii="Bookman Old Style" w:hAnsi="Bookman Old Style"/>
          <w:color w:val="000000"/>
        </w:rPr>
        <w:t xml:space="preserve"> las ecuaciones para actualización que establezca la CREG según el artículo 3 de la presente Resolución”. </w:t>
      </w:r>
    </w:p>
    <w:p w:rsidR="003D66A5" w:rsidRDefault="003D66A5" w:rsidP="0098635A">
      <w:pPr>
        <w:ind w:left="0"/>
        <w:jc w:val="both"/>
        <w:rPr>
          <w:rFonts w:ascii="Bookman Old Style" w:hAnsi="Bookman Old Style"/>
          <w:color w:val="000000"/>
        </w:rPr>
      </w:pPr>
    </w:p>
    <w:p w:rsidR="0098635A" w:rsidRPr="003D66A5" w:rsidRDefault="003D66A5" w:rsidP="0098635A">
      <w:pPr>
        <w:ind w:left="0"/>
        <w:jc w:val="both"/>
        <w:rPr>
          <w:rFonts w:ascii="Bookman Old Style" w:hAnsi="Bookman Old Style"/>
          <w:color w:val="000000"/>
        </w:rPr>
      </w:pPr>
      <w:r>
        <w:rPr>
          <w:rFonts w:ascii="Bookman Old Style" w:hAnsi="Bookman Old Style"/>
          <w:color w:val="000000"/>
        </w:rPr>
        <w:t xml:space="preserve">Así mismo, en el artículo en mención se dispone </w:t>
      </w:r>
      <w:r w:rsidR="0098635A" w:rsidRPr="00F6673E">
        <w:rPr>
          <w:rFonts w:ascii="Bookman Old Style" w:hAnsi="Bookman Old Style"/>
          <w:color w:val="000000"/>
        </w:rPr>
        <w:t xml:space="preserve">que “Las partes de los contratos a los que se hace referencia en este artículo dispondrán hasta </w:t>
      </w:r>
      <w:hyperlink r:id="rId11" w:history="1">
        <w:r w:rsidR="0098635A" w:rsidRPr="00F6673E">
          <w:rPr>
            <w:rFonts w:ascii="Bookman Old Style" w:hAnsi="Bookman Old Style"/>
          </w:rPr>
          <w:t>el 31 de diciembre de 2014</w:t>
        </w:r>
      </w:hyperlink>
      <w:r w:rsidR="0098635A" w:rsidRPr="00F6673E">
        <w:rPr>
          <w:rFonts w:ascii="Bookman Old Style" w:hAnsi="Bookman Old Style"/>
        </w:rPr>
        <w:t xml:space="preserve"> </w:t>
      </w:r>
      <w:r w:rsidR="0098635A" w:rsidRPr="00F6673E">
        <w:rPr>
          <w:rFonts w:ascii="Bookman Old Style" w:hAnsi="Bookman Old Style"/>
          <w:color w:val="000000"/>
        </w:rPr>
        <w:t>para acogerse a esta opción por mutuo acuerdo. Los productores enviarán copia de los acuerdos a la Comisión a más tardar el 15 de enero de 2015”.</w:t>
      </w:r>
    </w:p>
    <w:p w:rsidR="0098635A" w:rsidRPr="0091150E" w:rsidRDefault="0098635A" w:rsidP="00FF70C3">
      <w:pPr>
        <w:ind w:left="0"/>
        <w:jc w:val="both"/>
        <w:rPr>
          <w:rFonts w:ascii="Bookman Old Style" w:hAnsi="Bookman Old Style"/>
          <w:color w:val="000000"/>
        </w:rPr>
      </w:pPr>
    </w:p>
    <w:p w:rsidR="0091150E" w:rsidRPr="0091150E" w:rsidRDefault="0091150E" w:rsidP="0091150E">
      <w:pPr>
        <w:ind w:left="0"/>
        <w:jc w:val="both"/>
        <w:rPr>
          <w:rFonts w:ascii="Bookman Old Style" w:hAnsi="Bookman Old Style"/>
          <w:color w:val="000000"/>
        </w:rPr>
      </w:pPr>
      <w:r w:rsidRPr="0091150E">
        <w:rPr>
          <w:rFonts w:ascii="Bookman Old Style" w:hAnsi="Bookman Old Style"/>
          <w:color w:val="000000"/>
        </w:rPr>
        <w:t xml:space="preserve">Mediante la comunicación con radicación CREG E-2015-000393 del 19 de enero de 2015 </w:t>
      </w:r>
      <w:proofErr w:type="spellStart"/>
      <w:r w:rsidRPr="0091150E">
        <w:rPr>
          <w:rFonts w:ascii="Bookman Old Style" w:hAnsi="Bookman Old Style"/>
          <w:color w:val="000000"/>
        </w:rPr>
        <w:t>Chevron</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Petroleum</w:t>
      </w:r>
      <w:proofErr w:type="spellEnd"/>
      <w:r w:rsidRPr="0091150E">
        <w:rPr>
          <w:rFonts w:ascii="Bookman Old Style" w:hAnsi="Bookman Old Style"/>
          <w:color w:val="000000"/>
        </w:rPr>
        <w:t xml:space="preserve"> Company reportó a la Comisión copia de los acuerdos realizados en virtud de lo establecido en el artículo 2 de la Resolución CREG 183 de 2014. Estos acuerdos se realizaron entre </w:t>
      </w:r>
      <w:proofErr w:type="spellStart"/>
      <w:r w:rsidRPr="0091150E">
        <w:rPr>
          <w:rFonts w:ascii="Bookman Old Style" w:hAnsi="Bookman Old Style"/>
          <w:color w:val="000000"/>
        </w:rPr>
        <w:t>Chevron</w:t>
      </w:r>
      <w:proofErr w:type="spellEnd"/>
      <w:r w:rsidRPr="0091150E">
        <w:rPr>
          <w:rFonts w:ascii="Bookman Old Style" w:hAnsi="Bookman Old Style"/>
          <w:color w:val="000000"/>
        </w:rPr>
        <w:t xml:space="preserve"> y los comercializadores Gases del Caribe, </w:t>
      </w:r>
      <w:proofErr w:type="spellStart"/>
      <w:r w:rsidRPr="0091150E">
        <w:rPr>
          <w:rFonts w:ascii="Bookman Old Style" w:hAnsi="Bookman Old Style"/>
          <w:color w:val="000000"/>
        </w:rPr>
        <w:t>Surtigás</w:t>
      </w:r>
      <w:proofErr w:type="spellEnd"/>
      <w:r w:rsidRPr="0091150E">
        <w:rPr>
          <w:rFonts w:ascii="Bookman Old Style" w:hAnsi="Bookman Old Style"/>
          <w:color w:val="000000"/>
        </w:rPr>
        <w:t xml:space="preserve"> y EPM.</w:t>
      </w:r>
    </w:p>
    <w:p w:rsidR="0091150E" w:rsidRPr="0091150E" w:rsidRDefault="0091150E" w:rsidP="0091150E">
      <w:pPr>
        <w:ind w:left="0"/>
        <w:jc w:val="both"/>
        <w:rPr>
          <w:rFonts w:ascii="Bookman Old Style" w:hAnsi="Bookman Old Style"/>
          <w:color w:val="000000"/>
        </w:rPr>
      </w:pPr>
    </w:p>
    <w:p w:rsidR="0091150E" w:rsidRPr="0091150E" w:rsidRDefault="0091150E" w:rsidP="0091150E">
      <w:pPr>
        <w:ind w:left="0"/>
        <w:jc w:val="both"/>
        <w:rPr>
          <w:rFonts w:ascii="Bookman Old Style" w:hAnsi="Bookman Old Style"/>
          <w:color w:val="000000"/>
        </w:rPr>
      </w:pPr>
      <w:r w:rsidRPr="0091150E">
        <w:rPr>
          <w:rFonts w:ascii="Bookman Old Style" w:hAnsi="Bookman Old Style"/>
          <w:color w:val="000000"/>
        </w:rPr>
        <w:t xml:space="preserve">Mediante la comunicación con radicación CREG E-2015-000312 del 15 de enero de 2015 Ecopetrol reportó a la Comisión copia de los acuerdos realizados en virtud de lo establecido en el artículo 2 de la Resolución CREG 183 de 2014. Estos acuerdos se realizaron entre Ecopetrol y los comercializadores Gases del Caribe, </w:t>
      </w:r>
      <w:proofErr w:type="spellStart"/>
      <w:r w:rsidRPr="0091150E">
        <w:rPr>
          <w:rFonts w:ascii="Bookman Old Style" w:hAnsi="Bookman Old Style"/>
          <w:color w:val="000000"/>
        </w:rPr>
        <w:t>Surtigás</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Proviservicios</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Celsia</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Gecelca</w:t>
      </w:r>
      <w:proofErr w:type="spellEnd"/>
      <w:r w:rsidRPr="0091150E">
        <w:rPr>
          <w:rFonts w:ascii="Bookman Old Style" w:hAnsi="Bookman Old Style"/>
          <w:color w:val="000000"/>
        </w:rPr>
        <w:t xml:space="preserve"> y </w:t>
      </w:r>
      <w:proofErr w:type="spellStart"/>
      <w:r w:rsidRPr="0091150E">
        <w:rPr>
          <w:rFonts w:ascii="Bookman Old Style" w:hAnsi="Bookman Old Style"/>
          <w:color w:val="000000"/>
        </w:rPr>
        <w:t>Gasnacer</w:t>
      </w:r>
      <w:proofErr w:type="spellEnd"/>
      <w:r w:rsidRPr="0091150E">
        <w:rPr>
          <w:rFonts w:ascii="Bookman Old Style" w:hAnsi="Bookman Old Style"/>
          <w:color w:val="000000"/>
        </w:rPr>
        <w:t>.</w:t>
      </w:r>
    </w:p>
    <w:p w:rsidR="0091150E" w:rsidRPr="0091150E" w:rsidRDefault="0091150E" w:rsidP="00FF70C3">
      <w:pPr>
        <w:ind w:left="0"/>
        <w:jc w:val="both"/>
        <w:rPr>
          <w:rFonts w:ascii="Bookman Old Style" w:hAnsi="Bookman Old Style"/>
          <w:color w:val="000000"/>
        </w:rPr>
      </w:pPr>
    </w:p>
    <w:p w:rsidR="0098635A" w:rsidRPr="0098635A" w:rsidRDefault="003D66A5" w:rsidP="0098635A">
      <w:pPr>
        <w:ind w:left="0"/>
        <w:jc w:val="both"/>
        <w:rPr>
          <w:rFonts w:ascii="Bookman Old Style" w:hAnsi="Bookman Old Style"/>
          <w:color w:val="000000"/>
        </w:rPr>
      </w:pPr>
      <w:r>
        <w:rPr>
          <w:rFonts w:ascii="Bookman Old Style" w:hAnsi="Bookman Old Style"/>
          <w:color w:val="000000"/>
        </w:rPr>
        <w:t xml:space="preserve">Con la expedición posterior de </w:t>
      </w:r>
      <w:r w:rsidR="0098635A">
        <w:rPr>
          <w:rFonts w:ascii="Bookman Old Style" w:hAnsi="Bookman Old Style"/>
          <w:color w:val="000000"/>
        </w:rPr>
        <w:t xml:space="preserve">la </w:t>
      </w:r>
      <w:r w:rsidR="00BE3BDA">
        <w:rPr>
          <w:rFonts w:ascii="Bookman Old Style" w:hAnsi="Bookman Old Style"/>
          <w:color w:val="000000"/>
        </w:rPr>
        <w:t xml:space="preserve">Resolución CREG 017 de 2015 </w:t>
      </w:r>
      <w:r w:rsidR="0098635A" w:rsidRPr="0098635A">
        <w:rPr>
          <w:rFonts w:ascii="Bookman Old Style" w:hAnsi="Bookman Old Style"/>
          <w:color w:val="000000"/>
        </w:rPr>
        <w:t>se establec</w:t>
      </w:r>
      <w:r w:rsidR="00BE3BDA">
        <w:rPr>
          <w:rFonts w:ascii="Bookman Old Style" w:hAnsi="Bookman Old Style"/>
          <w:color w:val="000000"/>
        </w:rPr>
        <w:t>ió</w:t>
      </w:r>
      <w:r w:rsidR="0098635A" w:rsidRPr="0098635A">
        <w:rPr>
          <w:rFonts w:ascii="Bookman Old Style" w:hAnsi="Bookman Old Style"/>
          <w:color w:val="000000"/>
        </w:rPr>
        <w:t xml:space="preserve"> una opción para que las partes de los contratos de suministro de gas natural en las modalidades firmes, de firmeza condicionada y de opción de compra, acuerden modificar el precio de los contratos suscritos en 2014 y modificar la ecuación de actualización de los precios de los contratos de más de un (1) año suscritos en 2013 y 2014.</w:t>
      </w:r>
    </w:p>
    <w:p w:rsidR="0098635A" w:rsidRDefault="0098635A" w:rsidP="00FF70C3">
      <w:pPr>
        <w:ind w:left="0"/>
        <w:jc w:val="both"/>
        <w:rPr>
          <w:rFonts w:ascii="Bookman Old Style" w:hAnsi="Bookman Old Style"/>
          <w:color w:val="000000"/>
        </w:rPr>
      </w:pPr>
    </w:p>
    <w:p w:rsidR="00BE3BDA" w:rsidRPr="00F6673E" w:rsidRDefault="0091150E" w:rsidP="00BE3BDA">
      <w:pPr>
        <w:ind w:left="0"/>
        <w:jc w:val="both"/>
        <w:rPr>
          <w:rFonts w:ascii="Bookman Old Style" w:hAnsi="Bookman Old Style"/>
          <w:color w:val="000000"/>
        </w:rPr>
      </w:pPr>
      <w:r>
        <w:rPr>
          <w:rFonts w:ascii="Bookman Old Style" w:hAnsi="Bookman Old Style"/>
          <w:color w:val="000000"/>
        </w:rPr>
        <w:t xml:space="preserve">En el artículo 1 de la Resolución CREG 017 de 2015 se </w:t>
      </w:r>
      <w:r w:rsidR="003D66A5">
        <w:rPr>
          <w:rFonts w:ascii="Bookman Old Style" w:hAnsi="Bookman Old Style"/>
          <w:color w:val="000000"/>
        </w:rPr>
        <w:t>dispuso</w:t>
      </w:r>
      <w:r>
        <w:rPr>
          <w:rFonts w:ascii="Bookman Old Style" w:hAnsi="Bookman Old Style"/>
          <w:color w:val="000000"/>
        </w:rPr>
        <w:t xml:space="preserve"> que “</w:t>
      </w:r>
      <w:r w:rsidR="00BE3BDA" w:rsidRPr="00F6673E">
        <w:rPr>
          <w:rFonts w:ascii="Bookman Old Style" w:hAnsi="Bookman Old Style"/>
          <w:color w:val="000000"/>
        </w:rPr>
        <w:t xml:space="preserve">Las partes de los contratos de suministro de gas natural bajo las modalidades firme, de firmeza condicionada y de opción de compra, con duración de </w:t>
      </w:r>
      <w:r w:rsidR="00BE3BDA" w:rsidRPr="00C44930">
        <w:rPr>
          <w:rFonts w:ascii="Bookman Old Style" w:hAnsi="Bookman Old Style"/>
          <w:bCs/>
          <w:color w:val="000000"/>
        </w:rPr>
        <w:t>más de un (1) año</w:t>
      </w:r>
      <w:r w:rsidR="00BE3BDA" w:rsidRPr="00FD3C1E">
        <w:rPr>
          <w:rFonts w:ascii="Bookman Old Style" w:hAnsi="Bookman Old Style"/>
          <w:color w:val="000000"/>
        </w:rPr>
        <w:t>,</w:t>
      </w:r>
      <w:r w:rsidR="00BE3BDA" w:rsidRPr="00F6673E">
        <w:rPr>
          <w:rFonts w:ascii="Bookman Old Style" w:hAnsi="Bookman Old Style"/>
          <w:color w:val="000000"/>
        </w:rPr>
        <w:t xml:space="preserve"> celebrados en el año 2013 como resultado de la aplicación </w:t>
      </w:r>
      <w:r w:rsidR="00BE3BDA">
        <w:rPr>
          <w:rFonts w:ascii="Bookman Old Style" w:hAnsi="Bookman Old Style"/>
          <w:color w:val="000000"/>
        </w:rPr>
        <w:t>de los mecanismos de comercialización</w:t>
      </w:r>
      <w:r w:rsidR="00BE3BDA" w:rsidRPr="00F6673E">
        <w:rPr>
          <w:rFonts w:ascii="Bookman Old Style" w:hAnsi="Bookman Old Style"/>
          <w:color w:val="000000"/>
        </w:rPr>
        <w:t xml:space="preserve"> </w:t>
      </w:r>
      <w:r w:rsidR="00BE3BDA">
        <w:rPr>
          <w:rFonts w:ascii="Bookman Old Style" w:hAnsi="Bookman Old Style"/>
          <w:color w:val="000000"/>
        </w:rPr>
        <w:t>establecidos en</w:t>
      </w:r>
      <w:r w:rsidR="00BE3BDA" w:rsidRPr="00F6673E">
        <w:rPr>
          <w:rFonts w:ascii="Bookman Old Style" w:hAnsi="Bookman Old Style"/>
          <w:color w:val="000000"/>
        </w:rPr>
        <w:t xml:space="preserve"> la Resolución CREG 089 de 2013</w:t>
      </w:r>
      <w:r w:rsidR="00BE3BDA">
        <w:rPr>
          <w:rFonts w:ascii="Bookman Old Style" w:hAnsi="Bookman Old Style"/>
          <w:color w:val="000000"/>
        </w:rPr>
        <w:t xml:space="preserve">, </w:t>
      </w:r>
      <w:r w:rsidR="00BE3BDA" w:rsidRPr="0091150E">
        <w:rPr>
          <w:rFonts w:ascii="Bookman Old Style" w:hAnsi="Bookman Old Style"/>
          <w:color w:val="000000"/>
        </w:rPr>
        <w:t>podrán actualizar los precios de dichos contratos con un indicador cuyo valor será el que acuerden entre las partes de cada contrato, y aplicar los precios actualizados a partir del 1 de marzo de 2015 y hasta el 30 de noviembre de 2015</w:t>
      </w:r>
      <w:r>
        <w:rPr>
          <w:rFonts w:ascii="Bookman Old Style" w:hAnsi="Bookman Old Style"/>
          <w:color w:val="000000"/>
        </w:rPr>
        <w:t>”</w:t>
      </w:r>
      <w:r w:rsidR="00BE3BDA" w:rsidRPr="0091150E">
        <w:rPr>
          <w:rFonts w:ascii="Bookman Old Style" w:hAnsi="Bookman Old Style"/>
          <w:color w:val="000000"/>
        </w:rPr>
        <w:t>.</w:t>
      </w:r>
      <w:r w:rsidR="00BE3BDA" w:rsidRPr="00F6673E">
        <w:rPr>
          <w:rFonts w:ascii="Bookman Old Style" w:hAnsi="Bookman Old Style"/>
          <w:color w:val="000000"/>
        </w:rPr>
        <w:t xml:space="preserve"> </w:t>
      </w:r>
    </w:p>
    <w:p w:rsidR="00BE3BDA" w:rsidRDefault="00BE3BDA" w:rsidP="00FF70C3">
      <w:pPr>
        <w:ind w:left="0"/>
        <w:jc w:val="both"/>
        <w:rPr>
          <w:rFonts w:ascii="Bookman Old Style" w:hAnsi="Bookman Old Style"/>
          <w:color w:val="000000"/>
        </w:rPr>
      </w:pPr>
    </w:p>
    <w:p w:rsidR="00BE3BDA" w:rsidRDefault="0091150E" w:rsidP="00FF70C3">
      <w:pPr>
        <w:ind w:left="0"/>
        <w:jc w:val="both"/>
        <w:rPr>
          <w:rFonts w:ascii="Bookman Old Style" w:hAnsi="Bookman Old Style"/>
          <w:color w:val="000000"/>
        </w:rPr>
      </w:pPr>
      <w:r>
        <w:rPr>
          <w:rFonts w:ascii="Bookman Old Style" w:hAnsi="Bookman Old Style"/>
          <w:color w:val="000000"/>
        </w:rPr>
        <w:t>En el artículo 2 de la Resolución CREG 017 de 2015 se estableció que</w:t>
      </w:r>
      <w:r w:rsidRPr="00F6673E">
        <w:rPr>
          <w:rFonts w:ascii="Bookman Old Style" w:hAnsi="Bookman Old Style"/>
          <w:color w:val="000000"/>
        </w:rPr>
        <w:t xml:space="preserve"> </w:t>
      </w:r>
      <w:r>
        <w:rPr>
          <w:rFonts w:ascii="Bookman Old Style" w:hAnsi="Bookman Old Style"/>
          <w:color w:val="000000"/>
        </w:rPr>
        <w:t>“</w:t>
      </w:r>
      <w:r w:rsidR="00BE3BDA" w:rsidRPr="00F6673E">
        <w:rPr>
          <w:rFonts w:ascii="Bookman Old Style" w:hAnsi="Bookman Old Style"/>
          <w:color w:val="000000"/>
        </w:rPr>
        <w:t xml:space="preserve">Las partes de los contratos de suministro de gas natural bajo las modalidades firme, de firmeza condicionada y de opción de compra, con duración de </w:t>
      </w:r>
      <w:r w:rsidR="00BE3BDA" w:rsidRPr="00C44930">
        <w:rPr>
          <w:rFonts w:ascii="Bookman Old Style" w:hAnsi="Bookman Old Style"/>
          <w:bCs/>
          <w:color w:val="000000"/>
        </w:rPr>
        <w:t>más de un (1) año</w:t>
      </w:r>
      <w:r w:rsidR="00BE3BDA" w:rsidRPr="00F6673E">
        <w:rPr>
          <w:rFonts w:ascii="Bookman Old Style" w:hAnsi="Bookman Old Style"/>
          <w:color w:val="000000"/>
        </w:rPr>
        <w:t xml:space="preserve">, celebrados en el año 2014 como resultado de la aplicación </w:t>
      </w:r>
      <w:r w:rsidR="00BE3BDA">
        <w:rPr>
          <w:rFonts w:ascii="Bookman Old Style" w:hAnsi="Bookman Old Style"/>
          <w:color w:val="000000"/>
        </w:rPr>
        <w:t>de los mecanismos de comercialización</w:t>
      </w:r>
      <w:r w:rsidR="00BE3BDA" w:rsidRPr="00F6673E">
        <w:rPr>
          <w:rFonts w:ascii="Bookman Old Style" w:hAnsi="Bookman Old Style"/>
          <w:color w:val="000000"/>
        </w:rPr>
        <w:t xml:space="preserve"> </w:t>
      </w:r>
      <w:r w:rsidR="00BE3BDA">
        <w:rPr>
          <w:rFonts w:ascii="Bookman Old Style" w:hAnsi="Bookman Old Style"/>
          <w:color w:val="000000"/>
        </w:rPr>
        <w:t xml:space="preserve">establecidos en </w:t>
      </w:r>
      <w:r w:rsidR="00BE3BDA" w:rsidRPr="00F6673E">
        <w:rPr>
          <w:rFonts w:ascii="Bookman Old Style" w:hAnsi="Bookman Old Style"/>
          <w:color w:val="000000"/>
        </w:rPr>
        <w:t xml:space="preserve">la Resolución CREG 089 de 2013 </w:t>
      </w:r>
      <w:r w:rsidR="00BE3BDA" w:rsidRPr="0091150E">
        <w:rPr>
          <w:rFonts w:ascii="Bookman Old Style" w:hAnsi="Bookman Old Style"/>
          <w:color w:val="000000"/>
        </w:rPr>
        <w:t>podrán, de común acuerdo, modificar el precio vigente y darle aplicación al nuevo precio desde el 1 de marzo de 2015  hasta el 30 de noviembre de 2015</w:t>
      </w:r>
      <w:r>
        <w:rPr>
          <w:rFonts w:ascii="Bookman Old Style" w:hAnsi="Bookman Old Style"/>
          <w:color w:val="000000"/>
        </w:rPr>
        <w:t>”</w:t>
      </w:r>
      <w:r w:rsidR="00BE3BDA" w:rsidRPr="0091150E">
        <w:rPr>
          <w:rFonts w:ascii="Bookman Old Style" w:hAnsi="Bookman Old Style"/>
          <w:color w:val="000000"/>
        </w:rPr>
        <w:t>.</w:t>
      </w:r>
    </w:p>
    <w:p w:rsidR="00BE3BDA" w:rsidRDefault="00BE3BDA" w:rsidP="00FF70C3">
      <w:pPr>
        <w:ind w:left="0"/>
        <w:jc w:val="both"/>
        <w:rPr>
          <w:rFonts w:ascii="Bookman Old Style" w:hAnsi="Bookman Old Style"/>
          <w:color w:val="000000"/>
        </w:rPr>
      </w:pPr>
    </w:p>
    <w:p w:rsidR="0091150E" w:rsidRPr="0091150E" w:rsidRDefault="0091150E" w:rsidP="0091150E">
      <w:pPr>
        <w:ind w:left="0"/>
        <w:jc w:val="both"/>
        <w:rPr>
          <w:rFonts w:ascii="Bookman Old Style" w:hAnsi="Bookman Old Style"/>
          <w:color w:val="000000"/>
        </w:rPr>
      </w:pPr>
      <w:r w:rsidRPr="0091150E">
        <w:rPr>
          <w:rFonts w:ascii="Bookman Old Style" w:hAnsi="Bookman Old Style"/>
          <w:color w:val="000000"/>
        </w:rPr>
        <w:t xml:space="preserve">Mediante la comunicación con radicación CREG E-2015-002742 del 16 de marzo de 2015 </w:t>
      </w:r>
      <w:proofErr w:type="spellStart"/>
      <w:r w:rsidRPr="0091150E">
        <w:rPr>
          <w:rFonts w:ascii="Bookman Old Style" w:hAnsi="Bookman Old Style"/>
          <w:color w:val="000000"/>
        </w:rPr>
        <w:t>Chevron</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Petroleum</w:t>
      </w:r>
      <w:proofErr w:type="spellEnd"/>
      <w:r w:rsidRPr="0091150E">
        <w:rPr>
          <w:rFonts w:ascii="Bookman Old Style" w:hAnsi="Bookman Old Style"/>
          <w:color w:val="000000"/>
        </w:rPr>
        <w:t xml:space="preserve"> Company reportó a la Comisión copia de los acuerdos realizados en virtud de lo establecido en la Resolución CREG 017 de 2015. Estos acuerdos se realizaron entre </w:t>
      </w:r>
      <w:proofErr w:type="spellStart"/>
      <w:r w:rsidRPr="0091150E">
        <w:rPr>
          <w:rFonts w:ascii="Bookman Old Style" w:hAnsi="Bookman Old Style"/>
          <w:color w:val="000000"/>
        </w:rPr>
        <w:t>Chevron</w:t>
      </w:r>
      <w:proofErr w:type="spellEnd"/>
      <w:r w:rsidRPr="0091150E">
        <w:rPr>
          <w:rFonts w:ascii="Bookman Old Style" w:hAnsi="Bookman Old Style"/>
          <w:color w:val="000000"/>
        </w:rPr>
        <w:t xml:space="preserve"> y Empresas Públicas de Medellín, Gases del Caribe, Gases de Occidente, </w:t>
      </w:r>
      <w:proofErr w:type="spellStart"/>
      <w:r w:rsidRPr="0091150E">
        <w:rPr>
          <w:rFonts w:ascii="Bookman Old Style" w:hAnsi="Bookman Old Style"/>
          <w:color w:val="000000"/>
        </w:rPr>
        <w:t>Gasnacer</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Gecelca</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Surtigás</w:t>
      </w:r>
      <w:proofErr w:type="spellEnd"/>
      <w:r w:rsidRPr="0091150E">
        <w:rPr>
          <w:rFonts w:ascii="Bookman Old Style" w:hAnsi="Bookman Old Style"/>
          <w:color w:val="000000"/>
        </w:rPr>
        <w:t xml:space="preserve"> y Zona Franca </w:t>
      </w:r>
      <w:proofErr w:type="spellStart"/>
      <w:r w:rsidRPr="0091150E">
        <w:rPr>
          <w:rFonts w:ascii="Bookman Old Style" w:hAnsi="Bookman Old Style"/>
          <w:color w:val="000000"/>
        </w:rPr>
        <w:t>Celcia</w:t>
      </w:r>
      <w:proofErr w:type="spellEnd"/>
      <w:r w:rsidRPr="0091150E">
        <w:rPr>
          <w:rFonts w:ascii="Bookman Old Style" w:hAnsi="Bookman Old Style"/>
          <w:color w:val="000000"/>
        </w:rPr>
        <w:t>.</w:t>
      </w:r>
    </w:p>
    <w:p w:rsidR="0091150E" w:rsidRPr="0091150E" w:rsidRDefault="0091150E" w:rsidP="0091150E">
      <w:pPr>
        <w:ind w:left="0"/>
        <w:jc w:val="both"/>
        <w:rPr>
          <w:rFonts w:ascii="Bookman Old Style" w:hAnsi="Bookman Old Style"/>
          <w:color w:val="000000"/>
        </w:rPr>
      </w:pPr>
    </w:p>
    <w:p w:rsidR="0091150E" w:rsidRPr="0091150E" w:rsidRDefault="0091150E" w:rsidP="0091150E">
      <w:pPr>
        <w:ind w:left="0"/>
        <w:jc w:val="both"/>
        <w:rPr>
          <w:rFonts w:ascii="Bookman Old Style" w:hAnsi="Bookman Old Style"/>
          <w:color w:val="000000"/>
        </w:rPr>
      </w:pPr>
      <w:r w:rsidRPr="0091150E">
        <w:rPr>
          <w:rFonts w:ascii="Bookman Old Style" w:hAnsi="Bookman Old Style"/>
          <w:color w:val="000000"/>
        </w:rPr>
        <w:t xml:space="preserve">Mediante la comunicación con radicación CREG E-2015-002757 del 16 de marzo de 2015 Ecopetrol reportó a la Comisión copia de los acuerdos realizados en virtud de lo establecido en la Resolución CREG 017 de 2015. Estos acuerdos se realizaron entre Ecopetrol y Gases del Caribe, Gas Natural del Cesar, </w:t>
      </w:r>
      <w:proofErr w:type="spellStart"/>
      <w:r w:rsidRPr="0091150E">
        <w:rPr>
          <w:rFonts w:ascii="Bookman Old Style" w:hAnsi="Bookman Old Style"/>
          <w:color w:val="000000"/>
        </w:rPr>
        <w:t>Gecelca</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Proviservicios</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Surtigás</w:t>
      </w:r>
      <w:proofErr w:type="spellEnd"/>
      <w:r w:rsidRPr="0091150E">
        <w:rPr>
          <w:rFonts w:ascii="Bookman Old Style" w:hAnsi="Bookman Old Style"/>
          <w:color w:val="000000"/>
        </w:rPr>
        <w:t xml:space="preserve">, y Zona Franca </w:t>
      </w:r>
      <w:proofErr w:type="spellStart"/>
      <w:r w:rsidRPr="0091150E">
        <w:rPr>
          <w:rFonts w:ascii="Bookman Old Style" w:hAnsi="Bookman Old Style"/>
          <w:color w:val="000000"/>
        </w:rPr>
        <w:t>Celcia</w:t>
      </w:r>
      <w:proofErr w:type="spellEnd"/>
      <w:r w:rsidR="00132150">
        <w:rPr>
          <w:rFonts w:ascii="Bookman Old Style" w:hAnsi="Bookman Old Style"/>
          <w:color w:val="000000"/>
        </w:rPr>
        <w:t>.</w:t>
      </w:r>
    </w:p>
    <w:p w:rsidR="0098635A" w:rsidRDefault="0098635A" w:rsidP="00FF70C3">
      <w:pPr>
        <w:ind w:left="0"/>
        <w:jc w:val="both"/>
        <w:rPr>
          <w:rFonts w:ascii="Bookman Old Style" w:hAnsi="Bookman Old Style"/>
          <w:color w:val="000000"/>
        </w:rPr>
      </w:pPr>
    </w:p>
    <w:p w:rsidR="0091150E" w:rsidRDefault="0091150E" w:rsidP="00FF70C3">
      <w:pPr>
        <w:ind w:left="0"/>
        <w:jc w:val="both"/>
        <w:rPr>
          <w:rFonts w:ascii="Bookman Old Style" w:hAnsi="Bookman Old Style"/>
          <w:color w:val="000000"/>
        </w:rPr>
      </w:pPr>
      <w:r w:rsidRPr="0091150E">
        <w:rPr>
          <w:rFonts w:ascii="Bookman Old Style" w:hAnsi="Bookman Old Style"/>
          <w:color w:val="000000"/>
        </w:rPr>
        <w:t>En el artículo 6 de la Resolución CREG 017 de 2015 se establece que “a más tardar el 30 de abril de 2015 la CREG definirá nuevas ecuaciones para la actualización del precio del gas natural para los nuevos contratos. Estas ecuaciones reemplazarán las establecidas en el anexo 4 de la Resolución CREG 089 de 2013 para las actualizaciones a partir del 1 de diciembre de 2015 para los contratos vigentes que prevean ajustes regulatorios en relación con la actualización de precios, para los contratos vigentes cuyas partes se acojan a alguna de las opciones según lo establecido en los artículos 1 y 2 de la presente Resolución y en todo caso para aquellos contratos que se acogieron  a la opción del artículo 2 de la Resolución CREG 183 de 2014”.</w:t>
      </w:r>
    </w:p>
    <w:p w:rsidR="0091150E" w:rsidRDefault="0091150E" w:rsidP="00FF70C3">
      <w:pPr>
        <w:ind w:left="0"/>
        <w:jc w:val="both"/>
        <w:rPr>
          <w:rFonts w:ascii="Bookman Old Style" w:hAnsi="Bookman Old Style"/>
          <w:color w:val="000000"/>
        </w:rPr>
      </w:pPr>
    </w:p>
    <w:p w:rsidR="00A908A4" w:rsidRDefault="00A908A4" w:rsidP="003D66A5">
      <w:pPr>
        <w:pStyle w:val="Textosinformato"/>
        <w:jc w:val="both"/>
        <w:rPr>
          <w:rFonts w:ascii="Bookman Old Style" w:hAnsi="Bookman Old Style" w:cs="Arial"/>
          <w:color w:val="000000" w:themeColor="text1"/>
          <w:sz w:val="24"/>
          <w:szCs w:val="24"/>
          <w:shd w:val="clear" w:color="auto" w:fill="FFFFFF"/>
        </w:rPr>
      </w:pPr>
      <w:r>
        <w:rPr>
          <w:rFonts w:ascii="Bookman Old Style" w:hAnsi="Bookman Old Style" w:cs="Arial"/>
          <w:color w:val="000000" w:themeColor="text1"/>
          <w:sz w:val="24"/>
          <w:szCs w:val="24"/>
          <w:shd w:val="clear" w:color="auto" w:fill="FFFFFF"/>
        </w:rPr>
        <w:t>La Comisión ha analizado distintas alternativas tendientes a definir las nuevas ecuaciones para la actualización del precio del gas natural aplicables a partir del 1 de diciembre de 2015 según lo adoptado en el artículo 6 de la Resolución CREG 017 de 2015</w:t>
      </w:r>
      <w:r w:rsidR="003D66A5">
        <w:rPr>
          <w:rFonts w:ascii="Bookman Old Style" w:hAnsi="Bookman Old Style" w:cs="Arial"/>
          <w:color w:val="000000" w:themeColor="text1"/>
          <w:sz w:val="24"/>
          <w:szCs w:val="24"/>
          <w:shd w:val="clear" w:color="auto" w:fill="FFFFFF"/>
        </w:rPr>
        <w:t xml:space="preserve">, no obstante </w:t>
      </w:r>
      <w:r w:rsidR="008634E4">
        <w:rPr>
          <w:rFonts w:ascii="Bookman Old Style" w:hAnsi="Bookman Old Style" w:cs="Arial"/>
          <w:color w:val="000000" w:themeColor="text1"/>
          <w:sz w:val="24"/>
          <w:szCs w:val="24"/>
          <w:shd w:val="clear" w:color="auto" w:fill="FFFFFF"/>
        </w:rPr>
        <w:t>se requiere</w:t>
      </w:r>
      <w:r w:rsidR="003D66A5">
        <w:rPr>
          <w:rFonts w:ascii="Bookman Old Style" w:hAnsi="Bookman Old Style" w:cs="Arial"/>
          <w:color w:val="000000" w:themeColor="text1"/>
          <w:sz w:val="24"/>
          <w:szCs w:val="24"/>
          <w:shd w:val="clear" w:color="auto" w:fill="FFFFFF"/>
        </w:rPr>
        <w:t xml:space="preserve"> realizar análisis adicionales para definir las nuevas ecuaciones, por lo </w:t>
      </w:r>
      <w:r w:rsidR="008634E4">
        <w:rPr>
          <w:rFonts w:ascii="Bookman Old Style" w:hAnsi="Bookman Old Style" w:cs="Arial"/>
          <w:color w:val="000000" w:themeColor="text1"/>
          <w:sz w:val="24"/>
          <w:szCs w:val="24"/>
          <w:shd w:val="clear" w:color="auto" w:fill="FFFFFF"/>
        </w:rPr>
        <w:t xml:space="preserve">cual es </w:t>
      </w:r>
      <w:r>
        <w:rPr>
          <w:rFonts w:ascii="Bookman Old Style" w:hAnsi="Bookman Old Style" w:cs="Arial"/>
          <w:color w:val="000000" w:themeColor="text1"/>
          <w:sz w:val="24"/>
          <w:szCs w:val="24"/>
          <w:shd w:val="clear" w:color="auto" w:fill="FFFFFF"/>
        </w:rPr>
        <w:t>necesario ampliar el plazo establecido en el artículo 6 de la Resolución CREG 017 de 2015.</w:t>
      </w:r>
      <w:r w:rsidR="006834BA">
        <w:rPr>
          <w:rFonts w:ascii="Bookman Old Style" w:hAnsi="Bookman Old Style" w:cs="Arial"/>
          <w:color w:val="000000" w:themeColor="text1"/>
          <w:sz w:val="24"/>
          <w:szCs w:val="24"/>
          <w:shd w:val="clear" w:color="auto" w:fill="FFFFFF"/>
        </w:rPr>
        <w:t xml:space="preserve"> </w:t>
      </w:r>
      <w:r>
        <w:rPr>
          <w:rFonts w:ascii="Bookman Old Style" w:hAnsi="Bookman Old Style" w:cs="Arial"/>
          <w:color w:val="000000" w:themeColor="text1"/>
          <w:sz w:val="24"/>
          <w:szCs w:val="24"/>
          <w:shd w:val="clear" w:color="auto" w:fill="FFFFFF"/>
        </w:rPr>
        <w:t xml:space="preserve">  </w:t>
      </w:r>
    </w:p>
    <w:p w:rsidR="0091150E" w:rsidRPr="0091150E" w:rsidRDefault="0091150E" w:rsidP="00FF70C3">
      <w:pPr>
        <w:ind w:left="0"/>
        <w:jc w:val="both"/>
        <w:rPr>
          <w:rFonts w:ascii="Bookman Old Style" w:hAnsi="Bookman Old Style"/>
          <w:color w:val="000000"/>
        </w:rPr>
      </w:pPr>
    </w:p>
    <w:p w:rsidR="00407447" w:rsidRPr="00E418EA" w:rsidRDefault="005470D9" w:rsidP="005B1078">
      <w:pPr>
        <w:pStyle w:val="Textosinformato"/>
        <w:jc w:val="both"/>
        <w:rPr>
          <w:rFonts w:ascii="Bookman Old Style" w:hAnsi="Bookman Old Style" w:cs="Tahoma"/>
          <w:color w:val="000000" w:themeColor="text1"/>
          <w:sz w:val="24"/>
          <w:szCs w:val="24"/>
        </w:rPr>
      </w:pPr>
      <w:r w:rsidRPr="00E418EA">
        <w:rPr>
          <w:rFonts w:ascii="Bookman Old Style" w:hAnsi="Bookman Old Style" w:cs="Arial"/>
          <w:color w:val="000000" w:themeColor="text1"/>
          <w:sz w:val="24"/>
          <w:szCs w:val="24"/>
          <w:shd w:val="clear" w:color="auto" w:fill="FFFFFF"/>
        </w:rPr>
        <w:t xml:space="preserve">Teniendo en cuenta </w:t>
      </w:r>
      <w:r w:rsidR="00407447" w:rsidRPr="00E418EA">
        <w:rPr>
          <w:rFonts w:ascii="Bookman Old Style" w:hAnsi="Bookman Old Style" w:cs="Arial"/>
          <w:color w:val="000000" w:themeColor="text1"/>
          <w:sz w:val="24"/>
          <w:szCs w:val="24"/>
          <w:shd w:val="clear" w:color="auto" w:fill="FFFFFF"/>
        </w:rPr>
        <w:t xml:space="preserve">lo establecido en el </w:t>
      </w:r>
      <w:r w:rsidRPr="00E418EA">
        <w:rPr>
          <w:rFonts w:ascii="Bookman Old Style" w:hAnsi="Bookman Old Style" w:cs="Arial"/>
          <w:color w:val="000000" w:themeColor="text1"/>
          <w:sz w:val="24"/>
          <w:szCs w:val="24"/>
          <w:shd w:val="clear" w:color="auto" w:fill="FFFFFF"/>
        </w:rPr>
        <w:t xml:space="preserve">artículo 4 del </w:t>
      </w:r>
      <w:r w:rsidR="00407447" w:rsidRPr="00E418EA">
        <w:rPr>
          <w:rFonts w:ascii="Bookman Old Style" w:hAnsi="Bookman Old Style" w:cs="Arial"/>
          <w:color w:val="000000" w:themeColor="text1"/>
          <w:sz w:val="24"/>
          <w:szCs w:val="24"/>
          <w:shd w:val="clear" w:color="auto" w:fill="FFFFFF"/>
        </w:rPr>
        <w:t>Decreto 2897 de 2010</w:t>
      </w:r>
      <w:r w:rsidR="003B7C9E" w:rsidRPr="00E418EA">
        <w:rPr>
          <w:rFonts w:ascii="Bookman Old Style" w:hAnsi="Bookman Old Style" w:cs="Arial"/>
          <w:color w:val="000000" w:themeColor="text1"/>
          <w:sz w:val="24"/>
          <w:szCs w:val="24"/>
          <w:shd w:val="clear" w:color="auto" w:fill="FFFFFF"/>
        </w:rPr>
        <w:t>,</w:t>
      </w:r>
      <w:r w:rsidR="00407447" w:rsidRPr="00E418EA">
        <w:rPr>
          <w:rFonts w:ascii="Bookman Old Style" w:hAnsi="Bookman Old Style" w:cs="Arial"/>
          <w:color w:val="000000" w:themeColor="text1"/>
          <w:sz w:val="24"/>
          <w:szCs w:val="24"/>
          <w:shd w:val="clear" w:color="auto" w:fill="FFFFFF"/>
        </w:rPr>
        <w:t xml:space="preserve"> </w:t>
      </w:r>
      <w:r w:rsidRPr="00E418EA">
        <w:rPr>
          <w:rFonts w:ascii="Bookman Old Style" w:hAnsi="Bookman Old Style" w:cs="Arial"/>
          <w:color w:val="000000" w:themeColor="text1"/>
          <w:sz w:val="24"/>
          <w:szCs w:val="24"/>
          <w:shd w:val="clear" w:color="auto" w:fill="FFFFFF"/>
        </w:rPr>
        <w:t xml:space="preserve">reglamentario de la Ley 1340 de 2009, no es necesaria la remisión del presente acto administrativo a la </w:t>
      </w:r>
      <w:r w:rsidR="00A87DEC" w:rsidRPr="00E418EA">
        <w:rPr>
          <w:rFonts w:ascii="Bookman Old Style" w:hAnsi="Bookman Old Style" w:cs="Arial"/>
          <w:color w:val="000000" w:themeColor="text1"/>
          <w:sz w:val="24"/>
          <w:szCs w:val="24"/>
          <w:shd w:val="clear" w:color="auto" w:fill="FFFFFF"/>
        </w:rPr>
        <w:t>Superintendencia</w:t>
      </w:r>
      <w:r w:rsidRPr="00E418EA">
        <w:rPr>
          <w:rFonts w:ascii="Bookman Old Style" w:hAnsi="Bookman Old Style" w:cs="Arial"/>
          <w:color w:val="000000" w:themeColor="text1"/>
          <w:sz w:val="24"/>
          <w:szCs w:val="24"/>
          <w:shd w:val="clear" w:color="auto" w:fill="FFFFFF"/>
        </w:rPr>
        <w:t xml:space="preserve"> de Industria y Comercio, ya que en éste se </w:t>
      </w:r>
      <w:r w:rsidR="00FF70C3">
        <w:rPr>
          <w:rFonts w:ascii="Bookman Old Style" w:hAnsi="Bookman Old Style" w:cs="Arial"/>
          <w:color w:val="000000" w:themeColor="text1"/>
          <w:sz w:val="24"/>
          <w:szCs w:val="24"/>
          <w:shd w:val="clear" w:color="auto" w:fill="FFFFFF"/>
        </w:rPr>
        <w:t xml:space="preserve">amplía un plazo para </w:t>
      </w:r>
      <w:r w:rsidR="00A908A4">
        <w:rPr>
          <w:rFonts w:ascii="Bookman Old Style" w:hAnsi="Bookman Old Style" w:cs="Arial"/>
          <w:color w:val="000000" w:themeColor="text1"/>
          <w:sz w:val="24"/>
          <w:szCs w:val="24"/>
          <w:shd w:val="clear" w:color="auto" w:fill="FFFFFF"/>
        </w:rPr>
        <w:t>definir nuevas ecuaciones para la actualización del precio del gas natural</w:t>
      </w:r>
      <w:r w:rsidR="006709BE">
        <w:rPr>
          <w:rFonts w:ascii="Bookman Old Style" w:hAnsi="Bookman Old Style" w:cs="Arial"/>
          <w:color w:val="000000" w:themeColor="text1"/>
          <w:sz w:val="24"/>
          <w:szCs w:val="24"/>
          <w:shd w:val="clear" w:color="auto" w:fill="FFFFFF"/>
        </w:rPr>
        <w:t xml:space="preserve">. </w:t>
      </w:r>
    </w:p>
    <w:p w:rsidR="005470D9" w:rsidRPr="00E418EA" w:rsidRDefault="005470D9" w:rsidP="005B1078">
      <w:pPr>
        <w:pStyle w:val="Textosinformato"/>
        <w:jc w:val="both"/>
        <w:rPr>
          <w:rFonts w:ascii="Bookman Old Style" w:hAnsi="Bookman Old Style" w:cs="Tahoma"/>
          <w:color w:val="000000" w:themeColor="text1"/>
          <w:sz w:val="24"/>
          <w:szCs w:val="24"/>
        </w:rPr>
      </w:pPr>
    </w:p>
    <w:p w:rsidR="009C6A00" w:rsidRDefault="009C6A00" w:rsidP="009C6A00">
      <w:pPr>
        <w:ind w:left="0"/>
        <w:jc w:val="both"/>
        <w:rPr>
          <w:rFonts w:ascii="Bookman Old Style" w:hAnsi="Bookman Old Style" w:cs="Arial"/>
          <w:color w:val="000000" w:themeColor="text1"/>
        </w:rPr>
      </w:pPr>
      <w:r>
        <w:rPr>
          <w:rFonts w:ascii="Bookman Old Style" w:hAnsi="Bookman Old Style" w:cs="Arial"/>
          <w:color w:val="000000" w:themeColor="text1"/>
        </w:rPr>
        <w:t xml:space="preserve">La Comisión de Regulación de Energía y Gas aprobó el presente acto administrativo en la sesión No. </w:t>
      </w:r>
      <w:r w:rsidR="00A328C0">
        <w:rPr>
          <w:rFonts w:ascii="Bookman Old Style" w:hAnsi="Bookman Old Style" w:cs="Arial"/>
          <w:color w:val="000000" w:themeColor="text1"/>
        </w:rPr>
        <w:t>6</w:t>
      </w:r>
      <w:r w:rsidR="00132150">
        <w:rPr>
          <w:rFonts w:ascii="Bookman Old Style" w:hAnsi="Bookman Old Style" w:cs="Arial"/>
          <w:color w:val="000000" w:themeColor="text1"/>
        </w:rPr>
        <w:t>53</w:t>
      </w:r>
      <w:r>
        <w:rPr>
          <w:rFonts w:ascii="Bookman Old Style" w:hAnsi="Bookman Old Style" w:cs="Arial"/>
          <w:color w:val="000000" w:themeColor="text1"/>
        </w:rPr>
        <w:t xml:space="preserve"> del 2</w:t>
      </w:r>
      <w:r w:rsidR="00132150">
        <w:rPr>
          <w:rFonts w:ascii="Bookman Old Style" w:hAnsi="Bookman Old Style" w:cs="Arial"/>
          <w:color w:val="000000" w:themeColor="text1"/>
        </w:rPr>
        <w:t>3</w:t>
      </w:r>
      <w:r>
        <w:rPr>
          <w:rFonts w:ascii="Bookman Old Style" w:hAnsi="Bookman Old Style" w:cs="Arial"/>
          <w:color w:val="000000" w:themeColor="text1"/>
        </w:rPr>
        <w:t xml:space="preserve"> de </w:t>
      </w:r>
      <w:r w:rsidR="00132150">
        <w:rPr>
          <w:rFonts w:ascii="Bookman Old Style" w:hAnsi="Bookman Old Style" w:cs="Arial"/>
          <w:color w:val="000000" w:themeColor="text1"/>
        </w:rPr>
        <w:t>abril</w:t>
      </w:r>
      <w:r w:rsidR="00465057">
        <w:rPr>
          <w:rFonts w:ascii="Bookman Old Style" w:hAnsi="Bookman Old Style" w:cs="Arial"/>
          <w:color w:val="000000" w:themeColor="text1"/>
        </w:rPr>
        <w:t xml:space="preserve"> </w:t>
      </w:r>
      <w:r>
        <w:rPr>
          <w:rFonts w:ascii="Bookman Old Style" w:hAnsi="Bookman Old Style" w:cs="Arial"/>
          <w:color w:val="000000" w:themeColor="text1"/>
        </w:rPr>
        <w:t xml:space="preserve"> de 201</w:t>
      </w:r>
      <w:r w:rsidR="00465057">
        <w:rPr>
          <w:rFonts w:ascii="Bookman Old Style" w:hAnsi="Bookman Old Style" w:cs="Arial"/>
          <w:color w:val="000000" w:themeColor="text1"/>
        </w:rPr>
        <w:t>5</w:t>
      </w:r>
      <w:r>
        <w:rPr>
          <w:rFonts w:ascii="Bookman Old Style" w:hAnsi="Bookman Old Style" w:cs="Arial"/>
          <w:color w:val="000000" w:themeColor="text1"/>
        </w:rPr>
        <w:t>.</w:t>
      </w:r>
    </w:p>
    <w:p w:rsidR="002546CB" w:rsidRDefault="002546CB" w:rsidP="005B1078">
      <w:pPr>
        <w:ind w:left="0"/>
        <w:jc w:val="center"/>
        <w:rPr>
          <w:rFonts w:ascii="Bookman Old Style" w:hAnsi="Bookman Old Style" w:cs="Arial"/>
          <w:b/>
          <w:bCs/>
          <w:color w:val="000000" w:themeColor="text1"/>
          <w:lang w:val="pt-BR"/>
        </w:rPr>
      </w:pPr>
    </w:p>
    <w:p w:rsidR="00132150" w:rsidRDefault="00132150" w:rsidP="005B1078">
      <w:pPr>
        <w:ind w:left="0"/>
        <w:jc w:val="center"/>
        <w:rPr>
          <w:rFonts w:ascii="Bookman Old Style" w:hAnsi="Bookman Old Style" w:cs="Arial"/>
          <w:b/>
          <w:bCs/>
          <w:color w:val="000000" w:themeColor="text1"/>
          <w:lang w:val="pt-BR"/>
        </w:rPr>
      </w:pPr>
    </w:p>
    <w:p w:rsidR="00CD5DB7" w:rsidRPr="00E418EA" w:rsidRDefault="00CD5DB7" w:rsidP="005B1078">
      <w:pPr>
        <w:ind w:left="0"/>
        <w:jc w:val="center"/>
        <w:rPr>
          <w:rFonts w:ascii="Bookman Old Style" w:hAnsi="Bookman Old Style" w:cs="Arial"/>
          <w:b/>
          <w:bCs/>
          <w:color w:val="000000" w:themeColor="text1"/>
          <w:lang w:val="pt-BR"/>
        </w:rPr>
      </w:pPr>
      <w:r w:rsidRPr="00E418EA">
        <w:rPr>
          <w:rFonts w:ascii="Bookman Old Style" w:hAnsi="Bookman Old Style" w:cs="Arial"/>
          <w:b/>
          <w:bCs/>
          <w:color w:val="000000" w:themeColor="text1"/>
          <w:lang w:val="pt-BR"/>
        </w:rPr>
        <w:t>R E S U E L V E:</w:t>
      </w:r>
    </w:p>
    <w:p w:rsidR="007E79B7" w:rsidRDefault="007E79B7" w:rsidP="00585035">
      <w:pPr>
        <w:pStyle w:val="ARTICULOS"/>
        <w:numPr>
          <w:ilvl w:val="0"/>
          <w:numId w:val="0"/>
        </w:numPr>
        <w:rPr>
          <w:color w:val="000000" w:themeColor="text1"/>
          <w:lang w:val="es-CO"/>
        </w:rPr>
      </w:pPr>
      <w:bookmarkStart w:id="1" w:name="_Ref330310840"/>
      <w:bookmarkStart w:id="2" w:name="_Ref330828080"/>
    </w:p>
    <w:p w:rsidR="00132150" w:rsidRPr="00132150" w:rsidRDefault="00132150" w:rsidP="00585035">
      <w:pPr>
        <w:pStyle w:val="ARTICULOS"/>
        <w:numPr>
          <w:ilvl w:val="0"/>
          <w:numId w:val="0"/>
        </w:numPr>
        <w:rPr>
          <w:color w:val="000000" w:themeColor="text1"/>
          <w:lang w:val="es-CO"/>
        </w:rPr>
      </w:pPr>
    </w:p>
    <w:p w:rsidR="00845203" w:rsidRPr="00E418EA" w:rsidRDefault="00E90EFF" w:rsidP="00845203">
      <w:pPr>
        <w:pStyle w:val="ARTICULOS"/>
        <w:numPr>
          <w:ilvl w:val="0"/>
          <w:numId w:val="0"/>
        </w:numPr>
        <w:tabs>
          <w:tab w:val="left" w:pos="1560"/>
        </w:tabs>
        <w:rPr>
          <w:rFonts w:cs="Arial"/>
          <w:b/>
          <w:bCs w:val="0"/>
          <w:color w:val="000000" w:themeColor="text1"/>
        </w:rPr>
      </w:pPr>
      <w:r w:rsidRPr="00E418EA">
        <w:rPr>
          <w:rFonts w:cs="Arial"/>
          <w:b/>
          <w:bCs w:val="0"/>
          <w:color w:val="000000" w:themeColor="text1"/>
          <w:lang w:val="es-ES" w:eastAsia="es-ES"/>
        </w:rPr>
        <w:t>Artículo 1</w:t>
      </w:r>
      <w:r w:rsidR="00845203" w:rsidRPr="00E418EA">
        <w:rPr>
          <w:rFonts w:cs="Arial"/>
          <w:b/>
          <w:bCs w:val="0"/>
          <w:color w:val="000000" w:themeColor="text1"/>
          <w:lang w:val="es-ES" w:eastAsia="es-ES"/>
        </w:rPr>
        <w:t xml:space="preserve">. </w:t>
      </w:r>
      <w:r w:rsidR="00AF1485" w:rsidRPr="00E418EA">
        <w:rPr>
          <w:rFonts w:cs="Arial"/>
          <w:b/>
          <w:color w:val="000000" w:themeColor="text1"/>
          <w:lang w:val="es-ES"/>
        </w:rPr>
        <w:t xml:space="preserve">Modificación del </w:t>
      </w:r>
      <w:r w:rsidR="00717ECE">
        <w:rPr>
          <w:rFonts w:cs="Arial"/>
          <w:b/>
          <w:color w:val="000000" w:themeColor="text1"/>
          <w:lang w:val="es-ES"/>
        </w:rPr>
        <w:t>artículo 6</w:t>
      </w:r>
      <w:r w:rsidR="00FF70C3">
        <w:rPr>
          <w:rFonts w:cs="Arial"/>
          <w:b/>
          <w:color w:val="000000" w:themeColor="text1"/>
          <w:lang w:val="es-ES"/>
        </w:rPr>
        <w:t xml:space="preserve"> de</w:t>
      </w:r>
      <w:r w:rsidR="00717ECE">
        <w:rPr>
          <w:rFonts w:cs="Arial"/>
          <w:b/>
          <w:color w:val="000000" w:themeColor="text1"/>
          <w:lang w:val="es-ES"/>
        </w:rPr>
        <w:t xml:space="preserve"> </w:t>
      </w:r>
      <w:r w:rsidR="00FF70C3">
        <w:rPr>
          <w:rFonts w:cs="Arial"/>
          <w:b/>
          <w:color w:val="000000" w:themeColor="text1"/>
          <w:lang w:val="es-ES"/>
        </w:rPr>
        <w:t>l</w:t>
      </w:r>
      <w:r w:rsidR="00717ECE">
        <w:rPr>
          <w:rFonts w:cs="Arial"/>
          <w:b/>
          <w:color w:val="000000" w:themeColor="text1"/>
          <w:lang w:val="es-ES"/>
        </w:rPr>
        <w:t>a</w:t>
      </w:r>
      <w:r w:rsidR="00FF70C3">
        <w:rPr>
          <w:rFonts w:cs="Arial"/>
          <w:b/>
          <w:color w:val="000000" w:themeColor="text1"/>
          <w:lang w:val="es-ES"/>
        </w:rPr>
        <w:t xml:space="preserve"> </w:t>
      </w:r>
      <w:r w:rsidR="00717ECE">
        <w:rPr>
          <w:rFonts w:cs="Arial"/>
          <w:b/>
          <w:color w:val="000000" w:themeColor="text1"/>
          <w:lang w:val="es-ES"/>
        </w:rPr>
        <w:t>Resolución CREG 017</w:t>
      </w:r>
      <w:r w:rsidR="00845203" w:rsidRPr="00E418EA">
        <w:rPr>
          <w:b/>
        </w:rPr>
        <w:t xml:space="preserve"> de 201</w:t>
      </w:r>
      <w:r w:rsidR="00717ECE">
        <w:rPr>
          <w:b/>
          <w:lang w:val="es-MX"/>
        </w:rPr>
        <w:t>5</w:t>
      </w:r>
      <w:r w:rsidR="00845203" w:rsidRPr="00E418EA">
        <w:rPr>
          <w:b/>
        </w:rPr>
        <w:t xml:space="preserve">. </w:t>
      </w:r>
      <w:r w:rsidR="00FF70C3">
        <w:rPr>
          <w:color w:val="000000" w:themeColor="text1"/>
          <w:lang w:val="es-CO"/>
        </w:rPr>
        <w:t xml:space="preserve">El </w:t>
      </w:r>
      <w:r w:rsidR="00717ECE">
        <w:rPr>
          <w:color w:val="000000" w:themeColor="text1"/>
          <w:lang w:val="es-CO"/>
        </w:rPr>
        <w:t xml:space="preserve">artículo 6 de la </w:t>
      </w:r>
      <w:r w:rsidR="001B3D58" w:rsidRPr="00E418EA">
        <w:rPr>
          <w:color w:val="000000" w:themeColor="text1"/>
        </w:rPr>
        <w:t>Resolución CREG 0</w:t>
      </w:r>
      <w:r w:rsidR="00717ECE">
        <w:rPr>
          <w:color w:val="000000" w:themeColor="text1"/>
          <w:lang w:val="es-MX"/>
        </w:rPr>
        <w:t>17</w:t>
      </w:r>
      <w:r w:rsidR="001B3D58" w:rsidRPr="00E418EA">
        <w:rPr>
          <w:color w:val="000000" w:themeColor="text1"/>
        </w:rPr>
        <w:t xml:space="preserve"> de 201</w:t>
      </w:r>
      <w:r w:rsidR="00717ECE">
        <w:rPr>
          <w:color w:val="000000" w:themeColor="text1"/>
          <w:lang w:val="es-MX"/>
        </w:rPr>
        <w:t>5</w:t>
      </w:r>
      <w:r w:rsidR="00FF70C3">
        <w:rPr>
          <w:color w:val="000000" w:themeColor="text1"/>
          <w:lang w:val="es-CO"/>
        </w:rPr>
        <w:t xml:space="preserve"> quedará así: </w:t>
      </w:r>
    </w:p>
    <w:p w:rsidR="00845203" w:rsidRPr="00E418EA" w:rsidRDefault="00845203" w:rsidP="001B3D58">
      <w:pPr>
        <w:ind w:left="0"/>
        <w:rPr>
          <w:rFonts w:ascii="Bookman Old Style" w:hAnsi="Bookman Old Style"/>
        </w:rPr>
      </w:pPr>
    </w:p>
    <w:p w:rsidR="00717ECE" w:rsidRDefault="00717ECE" w:rsidP="00717ECE">
      <w:pPr>
        <w:pStyle w:val="ARTICULOS"/>
        <w:numPr>
          <w:ilvl w:val="0"/>
          <w:numId w:val="0"/>
        </w:numPr>
        <w:ind w:left="284" w:right="289"/>
        <w:rPr>
          <w:color w:val="000000"/>
          <w:lang w:val="es-CO"/>
        </w:rPr>
      </w:pPr>
      <w:r w:rsidRPr="00F6673E">
        <w:rPr>
          <w:b/>
          <w:bCs w:val="0"/>
          <w:color w:val="000000"/>
        </w:rPr>
        <w:t>Artículo 6.</w:t>
      </w:r>
      <w:r w:rsidRPr="00F6673E">
        <w:rPr>
          <w:color w:val="000000"/>
        </w:rPr>
        <w:t xml:space="preserve"> </w:t>
      </w:r>
      <w:r w:rsidRPr="00F6673E">
        <w:rPr>
          <w:b/>
          <w:bCs w:val="0"/>
          <w:color w:val="000000"/>
        </w:rPr>
        <w:t>Nuevas ecuaciones para la actualización de precios</w:t>
      </w:r>
      <w:r w:rsidRPr="00F6673E">
        <w:rPr>
          <w:color w:val="000000"/>
        </w:rPr>
        <w:t xml:space="preserve">. </w:t>
      </w:r>
      <w:r w:rsidRPr="0068547F">
        <w:rPr>
          <w:color w:val="000000"/>
        </w:rPr>
        <w:t xml:space="preserve">A más tardar el </w:t>
      </w:r>
      <w:r w:rsidR="00946230" w:rsidRPr="00946230">
        <w:rPr>
          <w:color w:val="000000"/>
          <w:lang w:val="es-MX"/>
        </w:rPr>
        <w:t>10</w:t>
      </w:r>
      <w:r w:rsidRPr="00946230">
        <w:rPr>
          <w:color w:val="000000"/>
        </w:rPr>
        <w:t xml:space="preserve"> de </w:t>
      </w:r>
      <w:r w:rsidR="00EE184E" w:rsidRPr="00946230">
        <w:rPr>
          <w:color w:val="000000"/>
          <w:lang w:val="es-MX"/>
        </w:rPr>
        <w:t>junio</w:t>
      </w:r>
      <w:r w:rsidR="00EE184E">
        <w:rPr>
          <w:color w:val="000000"/>
          <w:lang w:val="es-MX"/>
        </w:rPr>
        <w:t xml:space="preserve"> </w:t>
      </w:r>
      <w:r w:rsidRPr="0068547F">
        <w:rPr>
          <w:color w:val="000000"/>
        </w:rPr>
        <w:t xml:space="preserve">de 2015 la CREG definirá nuevas ecuaciones para la actualización del precio del gas natural para los nuevos contratos. Estas ecuaciones reemplazarán las establecidas en el anexo 4 de la Resolución CREG 089 de 2013 </w:t>
      </w:r>
      <w:r w:rsidRPr="00717ECE">
        <w:rPr>
          <w:rFonts w:cs="Arial"/>
          <w:bCs w:val="0"/>
          <w:color w:val="000000" w:themeColor="text1"/>
          <w:lang w:val="es-ES"/>
        </w:rPr>
        <w:t>para</w:t>
      </w:r>
      <w:r w:rsidRPr="0068547F">
        <w:rPr>
          <w:color w:val="000000"/>
        </w:rPr>
        <w:t xml:space="preserve"> las actualizaciones a partir del 1 de diciembre de 2015 para los contratos vigentes que prevean ajustes regulatorios en relación con la actualización de precios</w:t>
      </w:r>
      <w:r>
        <w:rPr>
          <w:color w:val="000000"/>
        </w:rPr>
        <w:t xml:space="preserve">, </w:t>
      </w:r>
      <w:r w:rsidRPr="0068547F">
        <w:rPr>
          <w:color w:val="000000"/>
        </w:rPr>
        <w:t xml:space="preserve">para los contratos vigentes cuyas partes se acojan a alguna de las opciones </w:t>
      </w:r>
      <w:r>
        <w:rPr>
          <w:color w:val="000000"/>
        </w:rPr>
        <w:t xml:space="preserve">según lo </w:t>
      </w:r>
      <w:r w:rsidRPr="0068547F">
        <w:rPr>
          <w:color w:val="000000"/>
        </w:rPr>
        <w:t>establecido en los artículos 1 y 2 de la presente Resolución</w:t>
      </w:r>
      <w:r>
        <w:rPr>
          <w:color w:val="000000"/>
        </w:rPr>
        <w:t xml:space="preserve"> y en todo caso para aquellos contratos que se acogieron  a la opción del artículo 2 de la Resolución CREG 183 de 2014. </w:t>
      </w:r>
    </w:p>
    <w:p w:rsidR="00132150" w:rsidRPr="00132150" w:rsidRDefault="00132150" w:rsidP="00717ECE">
      <w:pPr>
        <w:pStyle w:val="ARTICULOS"/>
        <w:numPr>
          <w:ilvl w:val="0"/>
          <w:numId w:val="0"/>
        </w:numPr>
        <w:ind w:left="284" w:right="289"/>
        <w:rPr>
          <w:color w:val="000000"/>
          <w:lang w:val="es-CO"/>
        </w:rPr>
      </w:pPr>
    </w:p>
    <w:bookmarkEnd w:id="1"/>
    <w:bookmarkEnd w:id="2"/>
    <w:p w:rsidR="000D6E82" w:rsidRDefault="00E90EFF" w:rsidP="002764E2">
      <w:pPr>
        <w:ind w:left="0"/>
        <w:jc w:val="both"/>
        <w:rPr>
          <w:rFonts w:ascii="Bookman Old Style" w:hAnsi="Bookman Old Style"/>
          <w:color w:val="000000" w:themeColor="text1"/>
        </w:rPr>
      </w:pPr>
      <w:r w:rsidRPr="000B7687">
        <w:rPr>
          <w:rFonts w:ascii="Bookman Old Style" w:hAnsi="Bookman Old Style"/>
          <w:b/>
          <w:color w:val="000000" w:themeColor="text1"/>
        </w:rPr>
        <w:t xml:space="preserve">Artículo </w:t>
      </w:r>
      <w:r w:rsidR="00FF70C3">
        <w:rPr>
          <w:rFonts w:ascii="Bookman Old Style" w:hAnsi="Bookman Old Style"/>
          <w:b/>
          <w:color w:val="000000" w:themeColor="text1"/>
        </w:rPr>
        <w:t>2</w:t>
      </w:r>
      <w:r w:rsidR="000D6E82" w:rsidRPr="000B7687">
        <w:rPr>
          <w:rFonts w:ascii="Bookman Old Style" w:hAnsi="Bookman Old Style"/>
          <w:b/>
          <w:color w:val="000000" w:themeColor="text1"/>
        </w:rPr>
        <w:t>.</w:t>
      </w:r>
      <w:r w:rsidR="000D6E82" w:rsidRPr="000B7687">
        <w:rPr>
          <w:rFonts w:ascii="Bookman Old Style" w:hAnsi="Bookman Old Style"/>
          <w:color w:val="000000" w:themeColor="text1"/>
        </w:rPr>
        <w:t xml:space="preserve"> </w:t>
      </w:r>
      <w:r w:rsidR="000D6E82" w:rsidRPr="000B7687">
        <w:rPr>
          <w:rFonts w:ascii="Bookman Old Style" w:hAnsi="Bookman Old Style"/>
          <w:b/>
          <w:color w:val="000000" w:themeColor="text1"/>
        </w:rPr>
        <w:t>Derogatorias y Vigencia</w:t>
      </w:r>
      <w:r w:rsidR="000D6E82" w:rsidRPr="000B7687">
        <w:rPr>
          <w:rFonts w:ascii="Bookman Old Style" w:hAnsi="Bookman Old Style"/>
          <w:color w:val="000000" w:themeColor="text1"/>
        </w:rPr>
        <w:t xml:space="preserve">. La presente Resolución rige a partir de su publicación en el </w:t>
      </w:r>
      <w:r w:rsidR="000D6E82" w:rsidRPr="000B7687">
        <w:rPr>
          <w:rFonts w:ascii="Bookman Old Style" w:hAnsi="Bookman Old Style"/>
          <w:i/>
          <w:color w:val="000000" w:themeColor="text1"/>
        </w:rPr>
        <w:t>Diario Oficial</w:t>
      </w:r>
      <w:r w:rsidR="000D6E82" w:rsidRPr="000B7687">
        <w:rPr>
          <w:rFonts w:ascii="Bookman Old Style" w:hAnsi="Bookman Old Style"/>
          <w:color w:val="000000" w:themeColor="text1"/>
        </w:rPr>
        <w:t xml:space="preserve"> y deroga todas las disposiciones que le sean contrarias.</w:t>
      </w:r>
    </w:p>
    <w:p w:rsidR="00CE7697" w:rsidRPr="000B7687" w:rsidRDefault="00CE7697" w:rsidP="002764E2">
      <w:pPr>
        <w:ind w:left="0"/>
        <w:jc w:val="both"/>
        <w:rPr>
          <w:rFonts w:ascii="Bookman Old Style" w:hAnsi="Bookman Old Style"/>
          <w:color w:val="000000" w:themeColor="text1"/>
        </w:rPr>
      </w:pPr>
    </w:p>
    <w:p w:rsidR="0000654F" w:rsidRPr="000B7687" w:rsidRDefault="0000654F" w:rsidP="0000654F">
      <w:pPr>
        <w:ind w:left="0"/>
        <w:jc w:val="center"/>
        <w:rPr>
          <w:rFonts w:ascii="Bookman Old Style" w:hAnsi="Bookman Old Style"/>
          <w:b/>
        </w:rPr>
      </w:pPr>
      <w:r w:rsidRPr="000B7687">
        <w:rPr>
          <w:rFonts w:ascii="Bookman Old Style" w:hAnsi="Bookman Old Style"/>
          <w:b/>
        </w:rPr>
        <w:t>PUBLÍQUESE Y CÚMPLASE</w:t>
      </w:r>
    </w:p>
    <w:p w:rsidR="0000654F" w:rsidRPr="000B7687" w:rsidRDefault="0000654F" w:rsidP="002764E2">
      <w:pPr>
        <w:ind w:left="0"/>
        <w:jc w:val="both"/>
        <w:rPr>
          <w:rFonts w:ascii="Bookman Old Style" w:hAnsi="Bookman Old Style"/>
          <w:color w:val="000000" w:themeColor="text1"/>
        </w:rPr>
      </w:pPr>
    </w:p>
    <w:p w:rsidR="000D6E82" w:rsidRPr="000B7687" w:rsidRDefault="006C2D00" w:rsidP="006C2D00">
      <w:pPr>
        <w:ind w:left="0"/>
        <w:rPr>
          <w:rFonts w:ascii="Bookman Old Style" w:hAnsi="Bookman Old Style"/>
          <w:color w:val="000000" w:themeColor="text1"/>
        </w:rPr>
      </w:pPr>
      <w:r>
        <w:rPr>
          <w:rFonts w:ascii="Bookman Old Style" w:hAnsi="Bookman Old Style"/>
          <w:color w:val="000000" w:themeColor="text1"/>
        </w:rPr>
        <w:t xml:space="preserve">Dada en Bogotá, D.C. </w:t>
      </w:r>
    </w:p>
    <w:p w:rsidR="00FF70C3" w:rsidRDefault="00FF70C3" w:rsidP="005B1078">
      <w:pPr>
        <w:ind w:left="0"/>
        <w:jc w:val="center"/>
        <w:rPr>
          <w:rFonts w:ascii="Bookman Old Style" w:hAnsi="Bookman Old Style"/>
          <w:color w:val="000000" w:themeColor="text1"/>
        </w:rPr>
      </w:pPr>
    </w:p>
    <w:p w:rsidR="002546CB" w:rsidRDefault="002546CB" w:rsidP="005B1078">
      <w:pPr>
        <w:ind w:left="0"/>
        <w:jc w:val="center"/>
        <w:rPr>
          <w:rFonts w:ascii="Bookman Old Style" w:hAnsi="Bookman Old Style"/>
          <w:color w:val="000000" w:themeColor="text1"/>
          <w:sz w:val="32"/>
        </w:rPr>
      </w:pPr>
    </w:p>
    <w:p w:rsidR="00EE184E" w:rsidRPr="003A4523" w:rsidRDefault="00EE184E" w:rsidP="005B1078">
      <w:pPr>
        <w:ind w:left="0"/>
        <w:jc w:val="center"/>
        <w:rPr>
          <w:rFonts w:ascii="Bookman Old Style" w:hAnsi="Bookman Old Style"/>
          <w:color w:val="000000" w:themeColor="text1"/>
          <w:sz w:val="32"/>
        </w:rPr>
      </w:pPr>
    </w:p>
    <w:p w:rsidR="003A4523" w:rsidRDefault="003A4523" w:rsidP="005B1078">
      <w:pPr>
        <w:ind w:left="0"/>
        <w:jc w:val="center"/>
        <w:rPr>
          <w:rFonts w:ascii="Bookman Old Style" w:hAnsi="Bookman Old Style"/>
          <w:color w:val="000000" w:themeColor="text1"/>
        </w:rPr>
      </w:pPr>
    </w:p>
    <w:tbl>
      <w:tblPr>
        <w:tblW w:w="9782" w:type="dxa"/>
        <w:jc w:val="center"/>
        <w:tblCellSpacing w:w="0" w:type="dxa"/>
        <w:tblInd w:w="-284" w:type="dxa"/>
        <w:tblCellMar>
          <w:left w:w="0" w:type="dxa"/>
          <w:right w:w="0" w:type="dxa"/>
        </w:tblCellMar>
        <w:tblLook w:val="0000" w:firstRow="0" w:lastRow="0" w:firstColumn="0" w:lastColumn="0" w:noHBand="0" w:noVBand="0"/>
      </w:tblPr>
      <w:tblGrid>
        <w:gridCol w:w="5104"/>
        <w:gridCol w:w="4678"/>
      </w:tblGrid>
      <w:tr w:rsidR="003A4523" w:rsidRPr="006033C9" w:rsidTr="008634E4">
        <w:trPr>
          <w:tblCellSpacing w:w="0" w:type="dxa"/>
          <w:jc w:val="center"/>
        </w:trPr>
        <w:tc>
          <w:tcPr>
            <w:tcW w:w="5104" w:type="dxa"/>
          </w:tcPr>
          <w:p w:rsidR="003A4523" w:rsidRPr="006033C9" w:rsidRDefault="003A4523" w:rsidP="00BE3BDA">
            <w:pPr>
              <w:ind w:left="89"/>
              <w:jc w:val="center"/>
              <w:rPr>
                <w:rFonts w:ascii="Bookman Old Style" w:hAnsi="Bookman Old Style" w:cs="Arial"/>
                <w:b/>
                <w:spacing w:val="-3"/>
              </w:rPr>
            </w:pPr>
            <w:r w:rsidRPr="006033C9">
              <w:rPr>
                <w:rFonts w:ascii="Bookman Old Style" w:hAnsi="Bookman Old Style" w:cs="Arial"/>
                <w:b/>
                <w:spacing w:val="-3"/>
              </w:rPr>
              <w:t>CARLOS FERNANDO ERASO CALERO</w:t>
            </w:r>
          </w:p>
          <w:p w:rsidR="003A4523" w:rsidRPr="006033C9" w:rsidRDefault="003A4523" w:rsidP="00BE3BDA">
            <w:pPr>
              <w:ind w:left="66"/>
              <w:jc w:val="center"/>
              <w:rPr>
                <w:rFonts w:ascii="Bookman Old Style" w:hAnsi="Bookman Old Style" w:cs="Arial"/>
                <w:spacing w:val="-3"/>
              </w:rPr>
            </w:pPr>
            <w:r w:rsidRPr="006033C9">
              <w:rPr>
                <w:rFonts w:ascii="Bookman Old Style" w:hAnsi="Bookman Old Style" w:cs="Arial"/>
                <w:spacing w:val="-3"/>
              </w:rPr>
              <w:t>Viceministro de Energía</w:t>
            </w:r>
          </w:p>
          <w:p w:rsidR="003A4523" w:rsidRPr="006033C9" w:rsidRDefault="003A4523" w:rsidP="00BE3BDA">
            <w:pPr>
              <w:ind w:left="66"/>
              <w:jc w:val="center"/>
              <w:rPr>
                <w:rFonts w:ascii="Bookman Old Style" w:hAnsi="Bookman Old Style" w:cs="Arial"/>
                <w:spacing w:val="-3"/>
              </w:rPr>
            </w:pPr>
            <w:r w:rsidRPr="006033C9">
              <w:rPr>
                <w:rFonts w:ascii="Bookman Old Style" w:hAnsi="Bookman Old Style" w:cs="Arial"/>
                <w:spacing w:val="-3"/>
              </w:rPr>
              <w:t>Delegado del Ministro de Minas y Energía</w:t>
            </w:r>
          </w:p>
        </w:tc>
        <w:tc>
          <w:tcPr>
            <w:tcW w:w="4678" w:type="dxa"/>
          </w:tcPr>
          <w:p w:rsidR="003A4523" w:rsidRPr="006033C9" w:rsidRDefault="003A4523" w:rsidP="00BE3BDA">
            <w:pPr>
              <w:ind w:left="89"/>
              <w:jc w:val="center"/>
              <w:rPr>
                <w:rFonts w:ascii="Bookman Old Style" w:hAnsi="Bookman Old Style" w:cs="Arial"/>
                <w:b/>
                <w:spacing w:val="-3"/>
              </w:rPr>
            </w:pPr>
            <w:r>
              <w:rPr>
                <w:rFonts w:ascii="Bookman Old Style" w:hAnsi="Bookman Old Style" w:cs="Arial"/>
                <w:b/>
                <w:spacing w:val="-3"/>
              </w:rPr>
              <w:t>JORGE PINTO NOLLA</w:t>
            </w:r>
          </w:p>
          <w:p w:rsidR="003A4523" w:rsidRPr="006033C9" w:rsidRDefault="003A4523" w:rsidP="00BE3BDA">
            <w:pPr>
              <w:ind w:left="89"/>
              <w:jc w:val="center"/>
              <w:rPr>
                <w:rFonts w:ascii="Bookman Old Style" w:eastAsia="Arial Unicode MS" w:hAnsi="Bookman Old Style" w:cs="Arial"/>
                <w:bCs/>
              </w:rPr>
            </w:pPr>
            <w:r w:rsidRPr="006033C9">
              <w:rPr>
                <w:rFonts w:ascii="Bookman Old Style" w:hAnsi="Bookman Old Style" w:cs="Arial"/>
                <w:spacing w:val="-3"/>
              </w:rPr>
              <w:t>Director Ejecutivo</w:t>
            </w:r>
          </w:p>
        </w:tc>
      </w:tr>
      <w:tr w:rsidR="003A4523" w:rsidRPr="00EE5AC7" w:rsidTr="008634E4">
        <w:trPr>
          <w:tblCellSpacing w:w="0" w:type="dxa"/>
          <w:jc w:val="center"/>
        </w:trPr>
        <w:tc>
          <w:tcPr>
            <w:tcW w:w="5104" w:type="dxa"/>
          </w:tcPr>
          <w:p w:rsidR="003A4523" w:rsidRPr="00EE5AC7" w:rsidRDefault="003A4523" w:rsidP="00BE3BDA">
            <w:pPr>
              <w:ind w:left="66"/>
              <w:jc w:val="center"/>
              <w:rPr>
                <w:rFonts w:ascii="Bookman Old Style" w:eastAsia="Arial Unicode MS" w:hAnsi="Bookman Old Style" w:cs="Arial"/>
                <w:color w:val="000000"/>
              </w:rPr>
            </w:pPr>
            <w:r w:rsidRPr="006033C9">
              <w:rPr>
                <w:rFonts w:ascii="Bookman Old Style" w:hAnsi="Bookman Old Style" w:cs="Arial"/>
                <w:spacing w:val="-3"/>
              </w:rPr>
              <w:t>Presidente</w:t>
            </w:r>
          </w:p>
        </w:tc>
        <w:tc>
          <w:tcPr>
            <w:tcW w:w="4678" w:type="dxa"/>
          </w:tcPr>
          <w:p w:rsidR="003A4523" w:rsidRPr="00EE5AC7" w:rsidRDefault="003A4523" w:rsidP="00BE3BDA">
            <w:pPr>
              <w:jc w:val="center"/>
              <w:rPr>
                <w:rFonts w:ascii="Bookman Old Style" w:eastAsia="Arial Unicode MS" w:hAnsi="Bookman Old Style" w:cs="Arial"/>
                <w:color w:val="000000"/>
              </w:rPr>
            </w:pPr>
          </w:p>
        </w:tc>
      </w:tr>
    </w:tbl>
    <w:p w:rsidR="00EE3106" w:rsidRPr="003A4523" w:rsidRDefault="00EE3106" w:rsidP="004A0407">
      <w:pPr>
        <w:tabs>
          <w:tab w:val="left" w:pos="1478"/>
        </w:tabs>
        <w:ind w:left="0"/>
        <w:rPr>
          <w:rFonts w:ascii="Bookman Old Style" w:hAnsi="Bookman Old Style" w:cs="Arial"/>
          <w:color w:val="000000" w:themeColor="text1"/>
          <w:sz w:val="14"/>
        </w:rPr>
      </w:pPr>
    </w:p>
    <w:sectPr w:rsidR="00EE3106" w:rsidRPr="003A4523" w:rsidSect="006C2D00">
      <w:headerReference w:type="default" r:id="rId12"/>
      <w:headerReference w:type="first" r:id="rId13"/>
      <w:type w:val="continuous"/>
      <w:pgSz w:w="12247" w:h="18705" w:code="121"/>
      <w:pgMar w:top="2342" w:right="1185" w:bottom="1560"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49C8" w:rsidRDefault="006849C8">
      <w:r>
        <w:separator/>
      </w:r>
    </w:p>
  </w:endnote>
  <w:endnote w:type="continuationSeparator" w:id="0">
    <w:p w:rsidR="006849C8" w:rsidRDefault="006849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49C8" w:rsidRDefault="006849C8">
      <w:r>
        <w:separator/>
      </w:r>
    </w:p>
  </w:footnote>
  <w:footnote w:type="continuationSeparator" w:id="0">
    <w:p w:rsidR="006849C8" w:rsidRDefault="006849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8A4" w:rsidRDefault="00A908A4" w:rsidP="00951F79">
    <w:pPr>
      <w:pStyle w:val="Ttulo1"/>
      <w:ind w:right="6"/>
      <w:jc w:val="left"/>
      <w:rPr>
        <w:rFonts w:ascii="Bookman Old Style" w:hAnsi="Bookman Old Style" w:cs="Arial"/>
        <w:b w:val="0"/>
        <w:sz w:val="22"/>
        <w:szCs w:val="22"/>
      </w:rPr>
    </w:pPr>
  </w:p>
  <w:p w:rsidR="00A908A4" w:rsidRPr="00951F79" w:rsidRDefault="00A908A4"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D33D4F">
      <w:rPr>
        <w:rFonts w:ascii="Bookman Old Style" w:hAnsi="Bookman Old Style" w:cs="Arial"/>
        <w:b w:val="0"/>
        <w:noProof/>
        <w:sz w:val="22"/>
        <w:szCs w:val="22"/>
      </w:rPr>
      <w:t>4</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D33D4F" w:rsidRPr="00D33D4F">
        <w:rPr>
          <w:rFonts w:ascii="Bookman Old Style" w:hAnsi="Bookman Old Style" w:cs="Arial"/>
          <w:b w:val="0"/>
          <w:noProof/>
          <w:sz w:val="22"/>
          <w:szCs w:val="22"/>
        </w:rPr>
        <w:t>4</w:t>
      </w:r>
    </w:fldSimple>
  </w:p>
  <w:p w:rsidR="00A908A4" w:rsidRDefault="00A908A4"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6EE98F41" wp14:editId="11299C97">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132150" w:rsidRDefault="00132150" w:rsidP="00132150">
    <w:pPr>
      <w:ind w:left="0"/>
      <w:rPr>
        <w:rFonts w:ascii="Bookman Old Style" w:hAnsi="Bookman Old Style" w:cs="Arial"/>
        <w:color w:val="000000" w:themeColor="text1"/>
        <w:sz w:val="22"/>
        <w:szCs w:val="22"/>
        <w:lang w:eastAsia="es-CO"/>
      </w:rPr>
    </w:pPr>
    <w:r w:rsidRPr="00132150">
      <w:rPr>
        <w:rFonts w:ascii="Bookman Old Style" w:hAnsi="Bookman Old Style" w:cs="Arial"/>
        <w:color w:val="000000" w:themeColor="text1"/>
        <w:sz w:val="22"/>
        <w:szCs w:val="22"/>
        <w:lang w:eastAsia="es-CO"/>
      </w:rPr>
      <w:t>Por la cual se modifica el plazo establecido en el artículo 6 de la Resolución 017 de 2015</w:t>
    </w:r>
  </w:p>
  <w:p w:rsidR="00132150" w:rsidRPr="00132150" w:rsidRDefault="00132150" w:rsidP="00132150">
    <w:pPr>
      <w:ind w:left="0"/>
      <w:rPr>
        <w:rFonts w:ascii="Bookman Old Style" w:hAnsi="Bookman Old Style" w:cs="Arial"/>
        <w:b/>
        <w:bCs/>
        <w:color w:val="000000" w:themeColor="text1"/>
        <w:sz w:val="22"/>
        <w:szCs w:val="22"/>
        <w:lang w:eastAsia="es-CO"/>
      </w:rPr>
    </w:pPr>
    <w:r>
      <w:rPr>
        <w:rFonts w:ascii="Bookman Old Style" w:hAnsi="Bookman Old Style" w:cs="Arial"/>
        <w:color w:val="000000" w:themeColor="text1"/>
        <w:sz w:val="22"/>
        <w:szCs w:val="22"/>
        <w:lang w:eastAsia="es-CO"/>
      </w:rPr>
      <w:t>________________________________________________________________________________</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8A4" w:rsidRDefault="00A908A4"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A908A4" w:rsidRDefault="00A908A4">
    <w:pPr>
      <w:pStyle w:val="Encabezado"/>
      <w:jc w:val="center"/>
      <w:rPr>
        <w:rFonts w:ascii="Arial" w:hAnsi="Arial" w:cs="Arial"/>
        <w:spacing w:val="20"/>
        <w:sz w:val="20"/>
      </w:rPr>
    </w:pPr>
  </w:p>
  <w:p w:rsidR="00A908A4" w:rsidRDefault="00A908A4" w:rsidP="00CA77FB">
    <w:pPr>
      <w:pStyle w:val="Encabezado"/>
      <w:jc w:val="center"/>
    </w:pPr>
    <w:r>
      <w:rPr>
        <w:noProof/>
        <w:lang w:eastAsia="es-CO"/>
      </w:rPr>
      <mc:AlternateContent>
        <mc:Choice Requires="wps">
          <w:drawing>
            <wp:anchor distT="0" distB="0" distL="114300" distR="114300" simplePos="0" relativeHeight="251658240" behindDoc="0" locked="0" layoutInCell="1" allowOverlap="1" wp14:anchorId="18DB5AAC" wp14:editId="323245A9">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6265B"/>
    <w:multiLevelType w:val="hybridMultilevel"/>
    <w:tmpl w:val="62A2459A"/>
    <w:lvl w:ilvl="0" w:tplc="240A0017">
      <w:start w:val="1"/>
      <w:numFmt w:val="lowerLetter"/>
      <w:lvlText w:val="%1)"/>
      <w:lvlJc w:val="left"/>
      <w:pPr>
        <w:ind w:left="1844" w:hanging="360"/>
      </w:pPr>
    </w:lvl>
    <w:lvl w:ilvl="1" w:tplc="240A0019" w:tentative="1">
      <w:start w:val="1"/>
      <w:numFmt w:val="lowerLetter"/>
      <w:lvlText w:val="%2."/>
      <w:lvlJc w:val="left"/>
      <w:pPr>
        <w:ind w:left="2564" w:hanging="360"/>
      </w:pPr>
    </w:lvl>
    <w:lvl w:ilvl="2" w:tplc="240A001B" w:tentative="1">
      <w:start w:val="1"/>
      <w:numFmt w:val="lowerRoman"/>
      <w:lvlText w:val="%3."/>
      <w:lvlJc w:val="right"/>
      <w:pPr>
        <w:ind w:left="3284" w:hanging="180"/>
      </w:pPr>
    </w:lvl>
    <w:lvl w:ilvl="3" w:tplc="240A000F" w:tentative="1">
      <w:start w:val="1"/>
      <w:numFmt w:val="decimal"/>
      <w:lvlText w:val="%4."/>
      <w:lvlJc w:val="left"/>
      <w:pPr>
        <w:ind w:left="4004" w:hanging="360"/>
      </w:pPr>
    </w:lvl>
    <w:lvl w:ilvl="4" w:tplc="240A0019" w:tentative="1">
      <w:start w:val="1"/>
      <w:numFmt w:val="lowerLetter"/>
      <w:lvlText w:val="%5."/>
      <w:lvlJc w:val="left"/>
      <w:pPr>
        <w:ind w:left="4724" w:hanging="360"/>
      </w:pPr>
    </w:lvl>
    <w:lvl w:ilvl="5" w:tplc="240A001B" w:tentative="1">
      <w:start w:val="1"/>
      <w:numFmt w:val="lowerRoman"/>
      <w:lvlText w:val="%6."/>
      <w:lvlJc w:val="right"/>
      <w:pPr>
        <w:ind w:left="5444" w:hanging="180"/>
      </w:pPr>
    </w:lvl>
    <w:lvl w:ilvl="6" w:tplc="240A000F" w:tentative="1">
      <w:start w:val="1"/>
      <w:numFmt w:val="decimal"/>
      <w:lvlText w:val="%7."/>
      <w:lvlJc w:val="left"/>
      <w:pPr>
        <w:ind w:left="6164" w:hanging="360"/>
      </w:pPr>
    </w:lvl>
    <w:lvl w:ilvl="7" w:tplc="240A0019" w:tentative="1">
      <w:start w:val="1"/>
      <w:numFmt w:val="lowerLetter"/>
      <w:lvlText w:val="%8."/>
      <w:lvlJc w:val="left"/>
      <w:pPr>
        <w:ind w:left="6884" w:hanging="360"/>
      </w:pPr>
    </w:lvl>
    <w:lvl w:ilvl="8" w:tplc="240A001B" w:tentative="1">
      <w:start w:val="1"/>
      <w:numFmt w:val="lowerRoman"/>
      <w:lvlText w:val="%9."/>
      <w:lvlJc w:val="right"/>
      <w:pPr>
        <w:ind w:left="7604" w:hanging="180"/>
      </w:pPr>
    </w:lvl>
  </w:abstractNum>
  <w:abstractNum w:abstractNumId="1">
    <w:nsid w:val="03061BFF"/>
    <w:multiLevelType w:val="multilevel"/>
    <w:tmpl w:val="D16E102A"/>
    <w:lvl w:ilvl="0">
      <w:start w:val="1"/>
      <w:numFmt w:val="decimal"/>
      <w:pStyle w:val="Estilo2"/>
      <w:lvlText w:val="Artículo %1."/>
      <w:lvlJc w:val="left"/>
      <w:pPr>
        <w:tabs>
          <w:tab w:val="num" w:pos="5126"/>
        </w:tabs>
        <w:ind w:left="3686" w:firstLine="0"/>
      </w:pPr>
      <w:rPr>
        <w:rFonts w:hint="default"/>
        <w:b/>
        <w:i w:val="0"/>
      </w:rPr>
    </w:lvl>
    <w:lvl w:ilvl="1">
      <w:start w:val="1"/>
      <w:numFmt w:val="lowerLetter"/>
      <w:lvlText w:val="%2)"/>
      <w:lvlJc w:val="left"/>
      <w:pPr>
        <w:ind w:left="1455" w:hanging="375"/>
      </w:pPr>
      <w:rPr>
        <w:rFonts w:hint="default"/>
      </w:r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nsid w:val="06A34C72"/>
    <w:multiLevelType w:val="hybridMultilevel"/>
    <w:tmpl w:val="3F249996"/>
    <w:lvl w:ilvl="0" w:tplc="A726E686">
      <w:start w:val="6"/>
      <w:numFmt w:val="decimal"/>
      <w:lvlText w:val="%1."/>
      <w:lvlJc w:val="left"/>
      <w:pPr>
        <w:ind w:left="9149" w:hanging="360"/>
      </w:pPr>
      <w:rPr>
        <w:rFonts w:hint="default"/>
        <w:b/>
      </w:rPr>
    </w:lvl>
    <w:lvl w:ilvl="1" w:tplc="0C0A0019">
      <w:start w:val="1"/>
      <w:numFmt w:val="lowerLetter"/>
      <w:lvlText w:val="%2."/>
      <w:lvlJc w:val="left"/>
      <w:pPr>
        <w:ind w:left="9869" w:hanging="360"/>
      </w:pPr>
    </w:lvl>
    <w:lvl w:ilvl="2" w:tplc="0C0A001B">
      <w:start w:val="1"/>
      <w:numFmt w:val="lowerRoman"/>
      <w:lvlText w:val="%3."/>
      <w:lvlJc w:val="right"/>
      <w:pPr>
        <w:ind w:left="10589" w:hanging="180"/>
      </w:pPr>
    </w:lvl>
    <w:lvl w:ilvl="3" w:tplc="0C0A000F" w:tentative="1">
      <w:start w:val="1"/>
      <w:numFmt w:val="decimal"/>
      <w:lvlText w:val="%4."/>
      <w:lvlJc w:val="left"/>
      <w:pPr>
        <w:ind w:left="11309" w:hanging="360"/>
      </w:pPr>
    </w:lvl>
    <w:lvl w:ilvl="4" w:tplc="0C0A0019" w:tentative="1">
      <w:start w:val="1"/>
      <w:numFmt w:val="lowerLetter"/>
      <w:lvlText w:val="%5."/>
      <w:lvlJc w:val="left"/>
      <w:pPr>
        <w:ind w:left="12029" w:hanging="360"/>
      </w:pPr>
    </w:lvl>
    <w:lvl w:ilvl="5" w:tplc="0C0A001B" w:tentative="1">
      <w:start w:val="1"/>
      <w:numFmt w:val="lowerRoman"/>
      <w:lvlText w:val="%6."/>
      <w:lvlJc w:val="right"/>
      <w:pPr>
        <w:ind w:left="12749" w:hanging="180"/>
      </w:pPr>
    </w:lvl>
    <w:lvl w:ilvl="6" w:tplc="0C0A000F" w:tentative="1">
      <w:start w:val="1"/>
      <w:numFmt w:val="decimal"/>
      <w:lvlText w:val="%7."/>
      <w:lvlJc w:val="left"/>
      <w:pPr>
        <w:ind w:left="13469" w:hanging="360"/>
      </w:pPr>
    </w:lvl>
    <w:lvl w:ilvl="7" w:tplc="0C0A0019" w:tentative="1">
      <w:start w:val="1"/>
      <w:numFmt w:val="lowerLetter"/>
      <w:lvlText w:val="%8."/>
      <w:lvlJc w:val="left"/>
      <w:pPr>
        <w:ind w:left="14189" w:hanging="360"/>
      </w:pPr>
    </w:lvl>
    <w:lvl w:ilvl="8" w:tplc="0C0A001B" w:tentative="1">
      <w:start w:val="1"/>
      <w:numFmt w:val="lowerRoman"/>
      <w:lvlText w:val="%9."/>
      <w:lvlJc w:val="right"/>
      <w:pPr>
        <w:ind w:left="14909" w:hanging="180"/>
      </w:pPr>
    </w:lvl>
  </w:abstractNum>
  <w:abstractNum w:abstractNumId="3">
    <w:nsid w:val="121867E5"/>
    <w:multiLevelType w:val="hybridMultilevel"/>
    <w:tmpl w:val="3DD2F004"/>
    <w:lvl w:ilvl="0" w:tplc="53A68754">
      <w:start w:val="1"/>
      <w:numFmt w:val="lowerRoman"/>
      <w:lvlText w:val="%1."/>
      <w:lvlJc w:val="left"/>
      <w:pPr>
        <w:ind w:left="1854" w:hanging="360"/>
      </w:pPr>
      <w:rPr>
        <w:rFonts w:hint="default"/>
      </w:rPr>
    </w:lvl>
    <w:lvl w:ilvl="1" w:tplc="240A0019" w:tentative="1">
      <w:start w:val="1"/>
      <w:numFmt w:val="lowerLetter"/>
      <w:lvlText w:val="%2."/>
      <w:lvlJc w:val="left"/>
      <w:pPr>
        <w:ind w:left="2574" w:hanging="360"/>
      </w:pPr>
    </w:lvl>
    <w:lvl w:ilvl="2" w:tplc="240A001B" w:tentative="1">
      <w:start w:val="1"/>
      <w:numFmt w:val="lowerRoman"/>
      <w:lvlText w:val="%3."/>
      <w:lvlJc w:val="right"/>
      <w:pPr>
        <w:ind w:left="3294" w:hanging="180"/>
      </w:pPr>
    </w:lvl>
    <w:lvl w:ilvl="3" w:tplc="240A000F" w:tentative="1">
      <w:start w:val="1"/>
      <w:numFmt w:val="decimal"/>
      <w:lvlText w:val="%4."/>
      <w:lvlJc w:val="left"/>
      <w:pPr>
        <w:ind w:left="4014" w:hanging="360"/>
      </w:pPr>
    </w:lvl>
    <w:lvl w:ilvl="4" w:tplc="240A0019" w:tentative="1">
      <w:start w:val="1"/>
      <w:numFmt w:val="lowerLetter"/>
      <w:lvlText w:val="%5."/>
      <w:lvlJc w:val="left"/>
      <w:pPr>
        <w:ind w:left="4734" w:hanging="360"/>
      </w:pPr>
    </w:lvl>
    <w:lvl w:ilvl="5" w:tplc="240A001B" w:tentative="1">
      <w:start w:val="1"/>
      <w:numFmt w:val="lowerRoman"/>
      <w:lvlText w:val="%6."/>
      <w:lvlJc w:val="right"/>
      <w:pPr>
        <w:ind w:left="5454" w:hanging="180"/>
      </w:pPr>
    </w:lvl>
    <w:lvl w:ilvl="6" w:tplc="240A000F" w:tentative="1">
      <w:start w:val="1"/>
      <w:numFmt w:val="decimal"/>
      <w:lvlText w:val="%7."/>
      <w:lvlJc w:val="left"/>
      <w:pPr>
        <w:ind w:left="6174" w:hanging="360"/>
      </w:pPr>
    </w:lvl>
    <w:lvl w:ilvl="7" w:tplc="240A0019" w:tentative="1">
      <w:start w:val="1"/>
      <w:numFmt w:val="lowerLetter"/>
      <w:lvlText w:val="%8."/>
      <w:lvlJc w:val="left"/>
      <w:pPr>
        <w:ind w:left="6894" w:hanging="360"/>
      </w:pPr>
    </w:lvl>
    <w:lvl w:ilvl="8" w:tplc="240A001B" w:tentative="1">
      <w:start w:val="1"/>
      <w:numFmt w:val="lowerRoman"/>
      <w:lvlText w:val="%9."/>
      <w:lvlJc w:val="right"/>
      <w:pPr>
        <w:ind w:left="7614" w:hanging="180"/>
      </w:pPr>
    </w:lvl>
  </w:abstractNum>
  <w:abstractNum w:abstractNumId="4">
    <w:nsid w:val="14966A66"/>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5">
    <w:nsid w:val="1F414540"/>
    <w:multiLevelType w:val="hybridMultilevel"/>
    <w:tmpl w:val="2A66EA86"/>
    <w:lvl w:ilvl="0" w:tplc="9D2E79FC">
      <w:start w:val="1"/>
      <w:numFmt w:val="decimal"/>
      <w:lvlText w:val="%1."/>
      <w:lvlJc w:val="left"/>
      <w:pPr>
        <w:ind w:left="1069" w:hanging="360"/>
      </w:pPr>
      <w:rPr>
        <w:rFonts w:hint="default"/>
      </w:rPr>
    </w:lvl>
    <w:lvl w:ilvl="1" w:tplc="240A0019" w:tentative="1">
      <w:start w:val="1"/>
      <w:numFmt w:val="lowerLetter"/>
      <w:lvlText w:val="%2."/>
      <w:lvlJc w:val="left"/>
      <w:pPr>
        <w:ind w:left="1789" w:hanging="360"/>
      </w:pPr>
    </w:lvl>
    <w:lvl w:ilvl="2" w:tplc="240A001B" w:tentative="1">
      <w:start w:val="1"/>
      <w:numFmt w:val="lowerRoman"/>
      <w:lvlText w:val="%3."/>
      <w:lvlJc w:val="right"/>
      <w:pPr>
        <w:ind w:left="2509" w:hanging="180"/>
      </w:pPr>
    </w:lvl>
    <w:lvl w:ilvl="3" w:tplc="240A000F" w:tentative="1">
      <w:start w:val="1"/>
      <w:numFmt w:val="decimal"/>
      <w:lvlText w:val="%4."/>
      <w:lvlJc w:val="left"/>
      <w:pPr>
        <w:ind w:left="3229" w:hanging="360"/>
      </w:pPr>
    </w:lvl>
    <w:lvl w:ilvl="4" w:tplc="240A0019" w:tentative="1">
      <w:start w:val="1"/>
      <w:numFmt w:val="lowerLetter"/>
      <w:lvlText w:val="%5."/>
      <w:lvlJc w:val="left"/>
      <w:pPr>
        <w:ind w:left="3949" w:hanging="360"/>
      </w:pPr>
    </w:lvl>
    <w:lvl w:ilvl="5" w:tplc="240A001B" w:tentative="1">
      <w:start w:val="1"/>
      <w:numFmt w:val="lowerRoman"/>
      <w:lvlText w:val="%6."/>
      <w:lvlJc w:val="right"/>
      <w:pPr>
        <w:ind w:left="4669" w:hanging="180"/>
      </w:pPr>
    </w:lvl>
    <w:lvl w:ilvl="6" w:tplc="240A000F" w:tentative="1">
      <w:start w:val="1"/>
      <w:numFmt w:val="decimal"/>
      <w:lvlText w:val="%7."/>
      <w:lvlJc w:val="left"/>
      <w:pPr>
        <w:ind w:left="5389" w:hanging="360"/>
      </w:pPr>
    </w:lvl>
    <w:lvl w:ilvl="7" w:tplc="240A0019" w:tentative="1">
      <w:start w:val="1"/>
      <w:numFmt w:val="lowerLetter"/>
      <w:lvlText w:val="%8."/>
      <w:lvlJc w:val="left"/>
      <w:pPr>
        <w:ind w:left="6109" w:hanging="360"/>
      </w:pPr>
    </w:lvl>
    <w:lvl w:ilvl="8" w:tplc="240A001B" w:tentative="1">
      <w:start w:val="1"/>
      <w:numFmt w:val="lowerRoman"/>
      <w:lvlText w:val="%9."/>
      <w:lvlJc w:val="right"/>
      <w:pPr>
        <w:ind w:left="6829" w:hanging="180"/>
      </w:pPr>
    </w:lvl>
  </w:abstractNum>
  <w:abstractNum w:abstractNumId="6">
    <w:nsid w:val="24C41E32"/>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7">
    <w:nsid w:val="2A17657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8">
    <w:nsid w:val="2A873983"/>
    <w:multiLevelType w:val="hybridMultilevel"/>
    <w:tmpl w:val="87DA18E2"/>
    <w:lvl w:ilvl="0" w:tplc="FAB0DFDA">
      <w:start w:val="1"/>
      <w:numFmt w:val="lowerRoman"/>
      <w:lvlText w:val="%1."/>
      <w:lvlJc w:val="left"/>
      <w:pPr>
        <w:ind w:left="2360" w:hanging="360"/>
      </w:pPr>
      <w:rPr>
        <w:rFonts w:hint="default"/>
        <w:sz w:val="22"/>
        <w:szCs w:val="22"/>
      </w:rPr>
    </w:lvl>
    <w:lvl w:ilvl="1" w:tplc="240A0019" w:tentative="1">
      <w:start w:val="1"/>
      <w:numFmt w:val="lowerLetter"/>
      <w:lvlText w:val="%2."/>
      <w:lvlJc w:val="left"/>
      <w:pPr>
        <w:ind w:left="3080" w:hanging="360"/>
      </w:pPr>
    </w:lvl>
    <w:lvl w:ilvl="2" w:tplc="240A001B" w:tentative="1">
      <w:start w:val="1"/>
      <w:numFmt w:val="lowerRoman"/>
      <w:lvlText w:val="%3."/>
      <w:lvlJc w:val="right"/>
      <w:pPr>
        <w:ind w:left="3800" w:hanging="180"/>
      </w:pPr>
    </w:lvl>
    <w:lvl w:ilvl="3" w:tplc="240A000F" w:tentative="1">
      <w:start w:val="1"/>
      <w:numFmt w:val="decimal"/>
      <w:lvlText w:val="%4."/>
      <w:lvlJc w:val="left"/>
      <w:pPr>
        <w:ind w:left="4520" w:hanging="360"/>
      </w:pPr>
    </w:lvl>
    <w:lvl w:ilvl="4" w:tplc="240A0019" w:tentative="1">
      <w:start w:val="1"/>
      <w:numFmt w:val="lowerLetter"/>
      <w:lvlText w:val="%5."/>
      <w:lvlJc w:val="left"/>
      <w:pPr>
        <w:ind w:left="5240" w:hanging="360"/>
      </w:pPr>
    </w:lvl>
    <w:lvl w:ilvl="5" w:tplc="240A001B" w:tentative="1">
      <w:start w:val="1"/>
      <w:numFmt w:val="lowerRoman"/>
      <w:lvlText w:val="%6."/>
      <w:lvlJc w:val="right"/>
      <w:pPr>
        <w:ind w:left="5960" w:hanging="180"/>
      </w:pPr>
    </w:lvl>
    <w:lvl w:ilvl="6" w:tplc="240A000F" w:tentative="1">
      <w:start w:val="1"/>
      <w:numFmt w:val="decimal"/>
      <w:lvlText w:val="%7."/>
      <w:lvlJc w:val="left"/>
      <w:pPr>
        <w:ind w:left="6680" w:hanging="360"/>
      </w:pPr>
    </w:lvl>
    <w:lvl w:ilvl="7" w:tplc="240A0019" w:tentative="1">
      <w:start w:val="1"/>
      <w:numFmt w:val="lowerLetter"/>
      <w:lvlText w:val="%8."/>
      <w:lvlJc w:val="left"/>
      <w:pPr>
        <w:ind w:left="7400" w:hanging="360"/>
      </w:pPr>
    </w:lvl>
    <w:lvl w:ilvl="8" w:tplc="240A001B" w:tentative="1">
      <w:start w:val="1"/>
      <w:numFmt w:val="lowerRoman"/>
      <w:lvlText w:val="%9."/>
      <w:lvlJc w:val="right"/>
      <w:pPr>
        <w:ind w:left="8120" w:hanging="180"/>
      </w:pPr>
    </w:lvl>
  </w:abstractNum>
  <w:abstractNum w:abstractNumId="9">
    <w:nsid w:val="2B244DB6"/>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0">
    <w:nsid w:val="2F7E27BF"/>
    <w:multiLevelType w:val="multilevel"/>
    <w:tmpl w:val="FEF2255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nsid w:val="31402B18"/>
    <w:multiLevelType w:val="hybridMultilevel"/>
    <w:tmpl w:val="9A705F38"/>
    <w:lvl w:ilvl="0" w:tplc="84A05218">
      <w:start w:val="1"/>
      <w:numFmt w:val="lowerLetter"/>
      <w:lvlText w:val="%1)"/>
      <w:lvlJc w:val="left"/>
      <w:pPr>
        <w:ind w:left="1430" w:hanging="720"/>
      </w:pPr>
      <w:rPr>
        <w:rFonts w:ascii="Bookman Old Style" w:hAnsi="Bookman Old Style" w:hint="default"/>
        <w:b w:val="0"/>
        <w:i w:val="0"/>
        <w:sz w:val="22"/>
        <w:szCs w:val="22"/>
        <w:lang w:val="es-C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2">
    <w:nsid w:val="32EE0C42"/>
    <w:multiLevelType w:val="hybridMultilevel"/>
    <w:tmpl w:val="2A66EA86"/>
    <w:lvl w:ilvl="0" w:tplc="9D2E79FC">
      <w:start w:val="1"/>
      <w:numFmt w:val="decimal"/>
      <w:lvlText w:val="%1."/>
      <w:lvlJc w:val="left"/>
      <w:pPr>
        <w:ind w:left="1921" w:hanging="360"/>
      </w:pPr>
      <w:rPr>
        <w:rFonts w:hint="default"/>
      </w:rPr>
    </w:lvl>
    <w:lvl w:ilvl="1" w:tplc="240A0019" w:tentative="1">
      <w:start w:val="1"/>
      <w:numFmt w:val="lowerLetter"/>
      <w:lvlText w:val="%2."/>
      <w:lvlJc w:val="left"/>
      <w:pPr>
        <w:ind w:left="2641" w:hanging="360"/>
      </w:pPr>
    </w:lvl>
    <w:lvl w:ilvl="2" w:tplc="240A001B" w:tentative="1">
      <w:start w:val="1"/>
      <w:numFmt w:val="lowerRoman"/>
      <w:lvlText w:val="%3."/>
      <w:lvlJc w:val="right"/>
      <w:pPr>
        <w:ind w:left="3361" w:hanging="180"/>
      </w:pPr>
    </w:lvl>
    <w:lvl w:ilvl="3" w:tplc="240A000F" w:tentative="1">
      <w:start w:val="1"/>
      <w:numFmt w:val="decimal"/>
      <w:lvlText w:val="%4."/>
      <w:lvlJc w:val="left"/>
      <w:pPr>
        <w:ind w:left="4081" w:hanging="360"/>
      </w:pPr>
    </w:lvl>
    <w:lvl w:ilvl="4" w:tplc="240A0019" w:tentative="1">
      <w:start w:val="1"/>
      <w:numFmt w:val="lowerLetter"/>
      <w:lvlText w:val="%5."/>
      <w:lvlJc w:val="left"/>
      <w:pPr>
        <w:ind w:left="4801" w:hanging="360"/>
      </w:pPr>
    </w:lvl>
    <w:lvl w:ilvl="5" w:tplc="240A001B" w:tentative="1">
      <w:start w:val="1"/>
      <w:numFmt w:val="lowerRoman"/>
      <w:lvlText w:val="%6."/>
      <w:lvlJc w:val="right"/>
      <w:pPr>
        <w:ind w:left="5521" w:hanging="180"/>
      </w:pPr>
    </w:lvl>
    <w:lvl w:ilvl="6" w:tplc="240A000F" w:tentative="1">
      <w:start w:val="1"/>
      <w:numFmt w:val="decimal"/>
      <w:lvlText w:val="%7."/>
      <w:lvlJc w:val="left"/>
      <w:pPr>
        <w:ind w:left="6241" w:hanging="360"/>
      </w:pPr>
    </w:lvl>
    <w:lvl w:ilvl="7" w:tplc="240A0019" w:tentative="1">
      <w:start w:val="1"/>
      <w:numFmt w:val="lowerLetter"/>
      <w:lvlText w:val="%8."/>
      <w:lvlJc w:val="left"/>
      <w:pPr>
        <w:ind w:left="6961" w:hanging="360"/>
      </w:pPr>
    </w:lvl>
    <w:lvl w:ilvl="8" w:tplc="240A001B" w:tentative="1">
      <w:start w:val="1"/>
      <w:numFmt w:val="lowerRoman"/>
      <w:lvlText w:val="%9."/>
      <w:lvlJc w:val="right"/>
      <w:pPr>
        <w:ind w:left="7681" w:hanging="180"/>
      </w:pPr>
    </w:lvl>
  </w:abstractNum>
  <w:abstractNum w:abstractNumId="13">
    <w:nsid w:val="366E4833"/>
    <w:multiLevelType w:val="hybridMultilevel"/>
    <w:tmpl w:val="8F925738"/>
    <w:lvl w:ilvl="0" w:tplc="6E8A165A">
      <w:start w:val="1"/>
      <w:numFmt w:val="lowerLetter"/>
      <w:lvlText w:val="%1)"/>
      <w:lvlJc w:val="left"/>
      <w:pPr>
        <w:ind w:left="1440" w:hanging="720"/>
      </w:pPr>
      <w:rPr>
        <w:rFonts w:ascii="Bookman Old Style" w:hAnsi="Bookman Old Style" w:hint="default"/>
        <w:b w:val="0"/>
        <w:i w:val="0"/>
        <w:sz w:val="22"/>
        <w:szCs w:val="22"/>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4">
    <w:nsid w:val="37237EF9"/>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5">
    <w:nsid w:val="492F4F1C"/>
    <w:multiLevelType w:val="hybridMultilevel"/>
    <w:tmpl w:val="111231D6"/>
    <w:lvl w:ilvl="0" w:tplc="BD7264C4">
      <w:start w:val="1"/>
      <w:numFmt w:val="decimal"/>
      <w:lvlText w:val="(%1)"/>
      <w:lvlJc w:val="left"/>
      <w:pPr>
        <w:ind w:left="972" w:hanging="405"/>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6">
    <w:nsid w:val="4FE83BBF"/>
    <w:multiLevelType w:val="hybridMultilevel"/>
    <w:tmpl w:val="D3B2D262"/>
    <w:lvl w:ilvl="0" w:tplc="240A0001">
      <w:start w:val="1"/>
      <w:numFmt w:val="bullet"/>
      <w:lvlText w:val=""/>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nsid w:val="59D33DE9"/>
    <w:multiLevelType w:val="multilevel"/>
    <w:tmpl w:val="CD34E8C6"/>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9">
    <w:nsid w:val="60A15BA2"/>
    <w:multiLevelType w:val="hybridMultilevel"/>
    <w:tmpl w:val="F47AA132"/>
    <w:lvl w:ilvl="0" w:tplc="AD5AD63E">
      <w:start w:val="1"/>
      <w:numFmt w:val="lowerLetter"/>
      <w:lvlText w:val="%1)"/>
      <w:lvlJc w:val="left"/>
      <w:pPr>
        <w:ind w:left="1440" w:hanging="720"/>
      </w:pPr>
      <w:rPr>
        <w:rFonts w:ascii="Bookman Old Style" w:hAnsi="Bookman Old Style" w:hint="default"/>
        <w:b w:val="0"/>
        <w:i w:val="0"/>
        <w:sz w:val="22"/>
        <w:szCs w:val="22"/>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0">
    <w:nsid w:val="654F5DD6"/>
    <w:multiLevelType w:val="hybridMultilevel"/>
    <w:tmpl w:val="D72EBFDC"/>
    <w:lvl w:ilvl="0" w:tplc="13D89EBA">
      <w:start w:val="1"/>
      <w:numFmt w:val="lowerLetter"/>
      <w:lvlText w:val="%1)"/>
      <w:lvlJc w:val="left"/>
      <w:pPr>
        <w:ind w:left="1068" w:hanging="360"/>
      </w:pPr>
      <w:rPr>
        <w:rFonts w:hint="default"/>
        <w:b w:val="0"/>
        <w:lang w:val="es-CO"/>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21">
    <w:nsid w:val="65CD4118"/>
    <w:multiLevelType w:val="hybridMultilevel"/>
    <w:tmpl w:val="33140414"/>
    <w:lvl w:ilvl="0" w:tplc="C9E03D4A">
      <w:start w:val="1"/>
      <w:numFmt w:val="lowerLetter"/>
      <w:lvlText w:val="%1)"/>
      <w:lvlJc w:val="left"/>
      <w:pPr>
        <w:ind w:left="1440" w:hanging="720"/>
      </w:pPr>
      <w:rPr>
        <w:rFonts w:ascii="Bookman Old Style" w:hAnsi="Bookman Old Style" w:hint="default"/>
        <w:b w:val="0"/>
        <w:i w:val="0"/>
        <w:sz w:val="22"/>
        <w:szCs w:val="22"/>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23">
    <w:nsid w:val="6D1F1C45"/>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4">
    <w:nsid w:val="6F1702BD"/>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5">
    <w:nsid w:val="73432BD8"/>
    <w:multiLevelType w:val="hybridMultilevel"/>
    <w:tmpl w:val="DB607420"/>
    <w:lvl w:ilvl="0" w:tplc="8EE8F796">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specVanish w:val="0"/>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26">
    <w:nsid w:val="78214D6A"/>
    <w:multiLevelType w:val="multilevel"/>
    <w:tmpl w:val="BA6C5F0E"/>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sz w:val="22"/>
        <w:szCs w:val="22"/>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7">
    <w:nsid w:val="79836711"/>
    <w:multiLevelType w:val="multilevel"/>
    <w:tmpl w:val="D0A040D2"/>
    <w:lvl w:ilvl="0">
      <w:start w:val="4"/>
      <w:numFmt w:val="decimal"/>
      <w:lvlText w:val="%1."/>
      <w:lvlJc w:val="left"/>
      <w:pPr>
        <w:ind w:left="480" w:hanging="480"/>
      </w:pPr>
      <w:rPr>
        <w:rFonts w:hint="default"/>
        <w:b/>
      </w:rPr>
    </w:lvl>
    <w:lvl w:ilvl="1">
      <w:start w:val="1"/>
      <w:numFmt w:val="decimal"/>
      <w:lvlText w:val="%2."/>
      <w:lvlJc w:val="left"/>
      <w:pPr>
        <w:ind w:left="720" w:hanging="720"/>
      </w:pPr>
      <w:rPr>
        <w:rFonts w:ascii="Bookman Old Style" w:hAnsi="Bookman Old Style" w:hint="default"/>
        <w:b w:val="0"/>
        <w:sz w:val="22"/>
        <w:szCs w:val="22"/>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8">
    <w:nsid w:val="7F2A33E3"/>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num w:numId="1">
    <w:abstractNumId w:val="25"/>
  </w:num>
  <w:num w:numId="2">
    <w:abstractNumId w:val="18"/>
  </w:num>
  <w:num w:numId="3">
    <w:abstractNumId w:val="1"/>
  </w:num>
  <w:num w:numId="4">
    <w:abstractNumId w:val="7"/>
  </w:num>
  <w:num w:numId="5">
    <w:abstractNumId w:val="22"/>
  </w:num>
  <w:num w:numId="6">
    <w:abstractNumId w:val="12"/>
  </w:num>
  <w:num w:numId="7">
    <w:abstractNumId w:val="5"/>
  </w:num>
  <w:num w:numId="8">
    <w:abstractNumId w:val="0"/>
  </w:num>
  <w:num w:numId="9">
    <w:abstractNumId w:val="3"/>
  </w:num>
  <w:num w:numId="10">
    <w:abstractNumId w:val="26"/>
  </w:num>
  <w:num w:numId="11">
    <w:abstractNumId w:val="19"/>
  </w:num>
  <w:num w:numId="12">
    <w:abstractNumId w:val="27"/>
  </w:num>
  <w:num w:numId="13">
    <w:abstractNumId w:val="21"/>
  </w:num>
  <w:num w:numId="14">
    <w:abstractNumId w:val="13"/>
  </w:num>
  <w:num w:numId="15">
    <w:abstractNumId w:val="16"/>
  </w:num>
  <w:num w:numId="16">
    <w:abstractNumId w:val="24"/>
  </w:num>
  <w:num w:numId="17">
    <w:abstractNumId w:val="23"/>
  </w:num>
  <w:num w:numId="18">
    <w:abstractNumId w:val="6"/>
  </w:num>
  <w:num w:numId="19">
    <w:abstractNumId w:val="11"/>
  </w:num>
  <w:num w:numId="20">
    <w:abstractNumId w:val="2"/>
  </w:num>
  <w:num w:numId="21">
    <w:abstractNumId w:val="17"/>
  </w:num>
  <w:num w:numId="22">
    <w:abstractNumId w:val="20"/>
  </w:num>
  <w:num w:numId="23">
    <w:abstractNumId w:val="9"/>
  </w:num>
  <w:num w:numId="24">
    <w:abstractNumId w:val="14"/>
  </w:num>
  <w:num w:numId="25">
    <w:abstractNumId w:val="28"/>
  </w:num>
  <w:num w:numId="26">
    <w:abstractNumId w:val="4"/>
  </w:num>
  <w:num w:numId="27">
    <w:abstractNumId w:val="15"/>
  </w:num>
  <w:num w:numId="28">
    <w:abstractNumId w:val="10"/>
  </w:num>
  <w:num w:numId="2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5"/>
  </w:num>
  <w:num w:numId="37">
    <w:abstractNumId w:val="25"/>
  </w:num>
  <w:num w:numId="38">
    <w:abstractNumId w:val="25"/>
  </w:num>
  <w:num w:numId="39">
    <w:abstractNumId w:val="25"/>
  </w:num>
  <w:num w:numId="40">
    <w:abstractNumId w:val="8"/>
  </w:num>
  <w:num w:numId="41">
    <w:abstractNumId w:val="25"/>
  </w:num>
  <w:num w:numId="42">
    <w:abstractNumId w:val="25"/>
  </w:num>
  <w:num w:numId="43">
    <w:abstractNumId w:val="2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9"/>
  <w:hyphenationZone w:val="425"/>
  <w:drawingGridHorizontalSpacing w:val="120"/>
  <w:displayHorizontalDrawingGridEvery w:val="2"/>
  <w:noPunctuationKerning/>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1D4"/>
    <w:rsid w:val="00000850"/>
    <w:rsid w:val="00000C38"/>
    <w:rsid w:val="00000CF9"/>
    <w:rsid w:val="00000FCB"/>
    <w:rsid w:val="00001A61"/>
    <w:rsid w:val="000020A8"/>
    <w:rsid w:val="000034E8"/>
    <w:rsid w:val="000037CF"/>
    <w:rsid w:val="00003E8D"/>
    <w:rsid w:val="00004D83"/>
    <w:rsid w:val="00005ABF"/>
    <w:rsid w:val="00005EDD"/>
    <w:rsid w:val="0000654F"/>
    <w:rsid w:val="00006A04"/>
    <w:rsid w:val="00006AE2"/>
    <w:rsid w:val="00006F95"/>
    <w:rsid w:val="0000700C"/>
    <w:rsid w:val="000076A1"/>
    <w:rsid w:val="00007A06"/>
    <w:rsid w:val="00007F69"/>
    <w:rsid w:val="00010B1D"/>
    <w:rsid w:val="00010D61"/>
    <w:rsid w:val="00011D02"/>
    <w:rsid w:val="00012259"/>
    <w:rsid w:val="00012472"/>
    <w:rsid w:val="00012E4F"/>
    <w:rsid w:val="00013B69"/>
    <w:rsid w:val="00013DEA"/>
    <w:rsid w:val="00014D93"/>
    <w:rsid w:val="000152E6"/>
    <w:rsid w:val="0001533D"/>
    <w:rsid w:val="0001582A"/>
    <w:rsid w:val="00015852"/>
    <w:rsid w:val="00015C89"/>
    <w:rsid w:val="000162D9"/>
    <w:rsid w:val="0001631E"/>
    <w:rsid w:val="00016698"/>
    <w:rsid w:val="00017454"/>
    <w:rsid w:val="000178DC"/>
    <w:rsid w:val="00017983"/>
    <w:rsid w:val="00020B3C"/>
    <w:rsid w:val="0002108F"/>
    <w:rsid w:val="00021B30"/>
    <w:rsid w:val="000228E3"/>
    <w:rsid w:val="00022A19"/>
    <w:rsid w:val="00023A14"/>
    <w:rsid w:val="00024094"/>
    <w:rsid w:val="00024284"/>
    <w:rsid w:val="00024C04"/>
    <w:rsid w:val="000252D3"/>
    <w:rsid w:val="00025383"/>
    <w:rsid w:val="0002564D"/>
    <w:rsid w:val="00025E09"/>
    <w:rsid w:val="00025F55"/>
    <w:rsid w:val="00026477"/>
    <w:rsid w:val="00027CAD"/>
    <w:rsid w:val="00030C6C"/>
    <w:rsid w:val="00030C8A"/>
    <w:rsid w:val="000310AB"/>
    <w:rsid w:val="000320B7"/>
    <w:rsid w:val="0003364E"/>
    <w:rsid w:val="00033795"/>
    <w:rsid w:val="00033F7E"/>
    <w:rsid w:val="00034E9A"/>
    <w:rsid w:val="00035268"/>
    <w:rsid w:val="000356A7"/>
    <w:rsid w:val="00035CE1"/>
    <w:rsid w:val="00035D87"/>
    <w:rsid w:val="0003635C"/>
    <w:rsid w:val="00036B45"/>
    <w:rsid w:val="0003785E"/>
    <w:rsid w:val="00037BB4"/>
    <w:rsid w:val="00037F75"/>
    <w:rsid w:val="00037FF5"/>
    <w:rsid w:val="00040199"/>
    <w:rsid w:val="000401A2"/>
    <w:rsid w:val="00040F4D"/>
    <w:rsid w:val="0004162E"/>
    <w:rsid w:val="0004200A"/>
    <w:rsid w:val="0004317F"/>
    <w:rsid w:val="00044247"/>
    <w:rsid w:val="00044C64"/>
    <w:rsid w:val="0004566B"/>
    <w:rsid w:val="00046241"/>
    <w:rsid w:val="00046E7F"/>
    <w:rsid w:val="0004777C"/>
    <w:rsid w:val="00047D40"/>
    <w:rsid w:val="00050277"/>
    <w:rsid w:val="0005199A"/>
    <w:rsid w:val="00052EB6"/>
    <w:rsid w:val="00053175"/>
    <w:rsid w:val="0005340D"/>
    <w:rsid w:val="00053EBD"/>
    <w:rsid w:val="0005424A"/>
    <w:rsid w:val="00054CBF"/>
    <w:rsid w:val="00055386"/>
    <w:rsid w:val="000568B3"/>
    <w:rsid w:val="000572D1"/>
    <w:rsid w:val="00057ABD"/>
    <w:rsid w:val="00057D91"/>
    <w:rsid w:val="00057DD5"/>
    <w:rsid w:val="0006018C"/>
    <w:rsid w:val="000608FD"/>
    <w:rsid w:val="000616A2"/>
    <w:rsid w:val="000629CC"/>
    <w:rsid w:val="000635A1"/>
    <w:rsid w:val="00063657"/>
    <w:rsid w:val="00063E0C"/>
    <w:rsid w:val="00064237"/>
    <w:rsid w:val="00064B58"/>
    <w:rsid w:val="00064F1B"/>
    <w:rsid w:val="0006553E"/>
    <w:rsid w:val="00065647"/>
    <w:rsid w:val="00065CA6"/>
    <w:rsid w:val="00066393"/>
    <w:rsid w:val="0006651E"/>
    <w:rsid w:val="00067207"/>
    <w:rsid w:val="0006731B"/>
    <w:rsid w:val="00067583"/>
    <w:rsid w:val="00067958"/>
    <w:rsid w:val="00067CDB"/>
    <w:rsid w:val="0007013D"/>
    <w:rsid w:val="00070AF8"/>
    <w:rsid w:val="00070B84"/>
    <w:rsid w:val="00071219"/>
    <w:rsid w:val="00071928"/>
    <w:rsid w:val="00071B61"/>
    <w:rsid w:val="00071F39"/>
    <w:rsid w:val="000729B1"/>
    <w:rsid w:val="00074A9D"/>
    <w:rsid w:val="00074F03"/>
    <w:rsid w:val="00075550"/>
    <w:rsid w:val="0007624F"/>
    <w:rsid w:val="00076680"/>
    <w:rsid w:val="00076A1D"/>
    <w:rsid w:val="00077437"/>
    <w:rsid w:val="0008073E"/>
    <w:rsid w:val="00080BA2"/>
    <w:rsid w:val="0008149E"/>
    <w:rsid w:val="00081815"/>
    <w:rsid w:val="00081ECC"/>
    <w:rsid w:val="00082535"/>
    <w:rsid w:val="0008267A"/>
    <w:rsid w:val="00083E19"/>
    <w:rsid w:val="0008407A"/>
    <w:rsid w:val="00084274"/>
    <w:rsid w:val="00086783"/>
    <w:rsid w:val="00087591"/>
    <w:rsid w:val="00087A81"/>
    <w:rsid w:val="00090F11"/>
    <w:rsid w:val="0009116E"/>
    <w:rsid w:val="00091CDB"/>
    <w:rsid w:val="00091FFE"/>
    <w:rsid w:val="00092143"/>
    <w:rsid w:val="000924E9"/>
    <w:rsid w:val="0009270C"/>
    <w:rsid w:val="000928B4"/>
    <w:rsid w:val="00092C9E"/>
    <w:rsid w:val="0009327E"/>
    <w:rsid w:val="0009338B"/>
    <w:rsid w:val="000937B4"/>
    <w:rsid w:val="0009460D"/>
    <w:rsid w:val="0009514A"/>
    <w:rsid w:val="000954AB"/>
    <w:rsid w:val="00095A9D"/>
    <w:rsid w:val="0009683B"/>
    <w:rsid w:val="00096E65"/>
    <w:rsid w:val="000970B5"/>
    <w:rsid w:val="00097961"/>
    <w:rsid w:val="000A07EF"/>
    <w:rsid w:val="000A19AC"/>
    <w:rsid w:val="000A1C49"/>
    <w:rsid w:val="000A1F87"/>
    <w:rsid w:val="000A21C6"/>
    <w:rsid w:val="000A341F"/>
    <w:rsid w:val="000A3583"/>
    <w:rsid w:val="000A3BBE"/>
    <w:rsid w:val="000A4B47"/>
    <w:rsid w:val="000A4DC1"/>
    <w:rsid w:val="000A5F2E"/>
    <w:rsid w:val="000A6122"/>
    <w:rsid w:val="000A69D4"/>
    <w:rsid w:val="000A77BF"/>
    <w:rsid w:val="000A7BEE"/>
    <w:rsid w:val="000A7D3C"/>
    <w:rsid w:val="000B11D0"/>
    <w:rsid w:val="000B1E7A"/>
    <w:rsid w:val="000B2053"/>
    <w:rsid w:val="000B27F1"/>
    <w:rsid w:val="000B285B"/>
    <w:rsid w:val="000B2C8D"/>
    <w:rsid w:val="000B2EE5"/>
    <w:rsid w:val="000B2F81"/>
    <w:rsid w:val="000B36BC"/>
    <w:rsid w:val="000B4670"/>
    <w:rsid w:val="000B510D"/>
    <w:rsid w:val="000B55A2"/>
    <w:rsid w:val="000B6034"/>
    <w:rsid w:val="000B67A4"/>
    <w:rsid w:val="000B6E6F"/>
    <w:rsid w:val="000B7687"/>
    <w:rsid w:val="000B7F01"/>
    <w:rsid w:val="000C06F6"/>
    <w:rsid w:val="000C07E5"/>
    <w:rsid w:val="000C082A"/>
    <w:rsid w:val="000C0C78"/>
    <w:rsid w:val="000C0EA0"/>
    <w:rsid w:val="000C0F6A"/>
    <w:rsid w:val="000C125C"/>
    <w:rsid w:val="000C2530"/>
    <w:rsid w:val="000C2F8E"/>
    <w:rsid w:val="000C34C1"/>
    <w:rsid w:val="000C3A94"/>
    <w:rsid w:val="000C4489"/>
    <w:rsid w:val="000C488E"/>
    <w:rsid w:val="000C50CC"/>
    <w:rsid w:val="000C537A"/>
    <w:rsid w:val="000C5C83"/>
    <w:rsid w:val="000C6851"/>
    <w:rsid w:val="000C77B1"/>
    <w:rsid w:val="000C79E0"/>
    <w:rsid w:val="000C7DC7"/>
    <w:rsid w:val="000D0411"/>
    <w:rsid w:val="000D11E2"/>
    <w:rsid w:val="000D1456"/>
    <w:rsid w:val="000D166D"/>
    <w:rsid w:val="000D1959"/>
    <w:rsid w:val="000D26F8"/>
    <w:rsid w:val="000D2EF2"/>
    <w:rsid w:val="000D3209"/>
    <w:rsid w:val="000D3633"/>
    <w:rsid w:val="000D45B1"/>
    <w:rsid w:val="000D5724"/>
    <w:rsid w:val="000D5869"/>
    <w:rsid w:val="000D5B92"/>
    <w:rsid w:val="000D5E46"/>
    <w:rsid w:val="000D63C3"/>
    <w:rsid w:val="000D6E82"/>
    <w:rsid w:val="000D70C6"/>
    <w:rsid w:val="000D77FA"/>
    <w:rsid w:val="000E008F"/>
    <w:rsid w:val="000E0A0E"/>
    <w:rsid w:val="000E0A9D"/>
    <w:rsid w:val="000E0DA4"/>
    <w:rsid w:val="000E0E70"/>
    <w:rsid w:val="000E1A2F"/>
    <w:rsid w:val="000E1DD8"/>
    <w:rsid w:val="000E280B"/>
    <w:rsid w:val="000E28C9"/>
    <w:rsid w:val="000E2E3F"/>
    <w:rsid w:val="000E3616"/>
    <w:rsid w:val="000E36E0"/>
    <w:rsid w:val="000E47D5"/>
    <w:rsid w:val="000E47E6"/>
    <w:rsid w:val="000E4990"/>
    <w:rsid w:val="000E4C30"/>
    <w:rsid w:val="000E5806"/>
    <w:rsid w:val="000E78C7"/>
    <w:rsid w:val="000F06E3"/>
    <w:rsid w:val="000F0E66"/>
    <w:rsid w:val="000F0E70"/>
    <w:rsid w:val="000F1927"/>
    <w:rsid w:val="000F1C07"/>
    <w:rsid w:val="000F1E21"/>
    <w:rsid w:val="000F2EB3"/>
    <w:rsid w:val="000F300E"/>
    <w:rsid w:val="000F40D6"/>
    <w:rsid w:val="000F49DF"/>
    <w:rsid w:val="000F4B5F"/>
    <w:rsid w:val="000F4C1D"/>
    <w:rsid w:val="000F52BF"/>
    <w:rsid w:val="000F578A"/>
    <w:rsid w:val="000F5B99"/>
    <w:rsid w:val="000F65A2"/>
    <w:rsid w:val="000F7039"/>
    <w:rsid w:val="000F7159"/>
    <w:rsid w:val="00100390"/>
    <w:rsid w:val="00101200"/>
    <w:rsid w:val="00101B7E"/>
    <w:rsid w:val="0010220A"/>
    <w:rsid w:val="0010256D"/>
    <w:rsid w:val="0010278A"/>
    <w:rsid w:val="00102BA2"/>
    <w:rsid w:val="00103232"/>
    <w:rsid w:val="001038FA"/>
    <w:rsid w:val="00103F47"/>
    <w:rsid w:val="00104BD8"/>
    <w:rsid w:val="00104E62"/>
    <w:rsid w:val="00105093"/>
    <w:rsid w:val="0010546E"/>
    <w:rsid w:val="00105C47"/>
    <w:rsid w:val="00106B1A"/>
    <w:rsid w:val="001077DC"/>
    <w:rsid w:val="00107A62"/>
    <w:rsid w:val="0011064E"/>
    <w:rsid w:val="0011089E"/>
    <w:rsid w:val="00111F21"/>
    <w:rsid w:val="001121CE"/>
    <w:rsid w:val="00112B37"/>
    <w:rsid w:val="00113151"/>
    <w:rsid w:val="00114444"/>
    <w:rsid w:val="001151F3"/>
    <w:rsid w:val="001152CF"/>
    <w:rsid w:val="001159F1"/>
    <w:rsid w:val="00116126"/>
    <w:rsid w:val="001169CF"/>
    <w:rsid w:val="00116BF8"/>
    <w:rsid w:val="00116D65"/>
    <w:rsid w:val="00117076"/>
    <w:rsid w:val="001170D2"/>
    <w:rsid w:val="00117398"/>
    <w:rsid w:val="00117581"/>
    <w:rsid w:val="001208FC"/>
    <w:rsid w:val="00121027"/>
    <w:rsid w:val="00121211"/>
    <w:rsid w:val="001213EB"/>
    <w:rsid w:val="00121E87"/>
    <w:rsid w:val="00121E97"/>
    <w:rsid w:val="0012269D"/>
    <w:rsid w:val="0012273A"/>
    <w:rsid w:val="00122E15"/>
    <w:rsid w:val="001241B0"/>
    <w:rsid w:val="00124422"/>
    <w:rsid w:val="001244CD"/>
    <w:rsid w:val="00124EB8"/>
    <w:rsid w:val="00125218"/>
    <w:rsid w:val="00125731"/>
    <w:rsid w:val="00126C83"/>
    <w:rsid w:val="00127077"/>
    <w:rsid w:val="00127201"/>
    <w:rsid w:val="001273C2"/>
    <w:rsid w:val="001273F3"/>
    <w:rsid w:val="0013053F"/>
    <w:rsid w:val="0013110E"/>
    <w:rsid w:val="00131D5E"/>
    <w:rsid w:val="00132150"/>
    <w:rsid w:val="001324AB"/>
    <w:rsid w:val="001331AF"/>
    <w:rsid w:val="001339CD"/>
    <w:rsid w:val="001354D9"/>
    <w:rsid w:val="00135CA0"/>
    <w:rsid w:val="00136108"/>
    <w:rsid w:val="00136742"/>
    <w:rsid w:val="00136D5A"/>
    <w:rsid w:val="001405C6"/>
    <w:rsid w:val="001407B7"/>
    <w:rsid w:val="00141013"/>
    <w:rsid w:val="00141972"/>
    <w:rsid w:val="00141A71"/>
    <w:rsid w:val="00142650"/>
    <w:rsid w:val="00142C62"/>
    <w:rsid w:val="001432D8"/>
    <w:rsid w:val="001453EA"/>
    <w:rsid w:val="00145B0F"/>
    <w:rsid w:val="00145BA0"/>
    <w:rsid w:val="001468DD"/>
    <w:rsid w:val="00146A2E"/>
    <w:rsid w:val="00146CC4"/>
    <w:rsid w:val="001473CE"/>
    <w:rsid w:val="001479D0"/>
    <w:rsid w:val="00147C22"/>
    <w:rsid w:val="0015071C"/>
    <w:rsid w:val="001514DA"/>
    <w:rsid w:val="0015196B"/>
    <w:rsid w:val="00151C71"/>
    <w:rsid w:val="00153FBA"/>
    <w:rsid w:val="001549CA"/>
    <w:rsid w:val="0015588A"/>
    <w:rsid w:val="001559BB"/>
    <w:rsid w:val="00156521"/>
    <w:rsid w:val="001565D6"/>
    <w:rsid w:val="00157602"/>
    <w:rsid w:val="00157BD2"/>
    <w:rsid w:val="00157F68"/>
    <w:rsid w:val="00160992"/>
    <w:rsid w:val="00160FB1"/>
    <w:rsid w:val="001614C6"/>
    <w:rsid w:val="001615C8"/>
    <w:rsid w:val="0016184E"/>
    <w:rsid w:val="0016196C"/>
    <w:rsid w:val="00161F54"/>
    <w:rsid w:val="0016204C"/>
    <w:rsid w:val="00162C23"/>
    <w:rsid w:val="00162D48"/>
    <w:rsid w:val="00163363"/>
    <w:rsid w:val="00163CB1"/>
    <w:rsid w:val="0016484E"/>
    <w:rsid w:val="0016562D"/>
    <w:rsid w:val="0016584B"/>
    <w:rsid w:val="00165AEB"/>
    <w:rsid w:val="00165B40"/>
    <w:rsid w:val="0016637C"/>
    <w:rsid w:val="00166FE5"/>
    <w:rsid w:val="001674E1"/>
    <w:rsid w:val="00167871"/>
    <w:rsid w:val="001678BB"/>
    <w:rsid w:val="00170128"/>
    <w:rsid w:val="0017065F"/>
    <w:rsid w:val="00170DDD"/>
    <w:rsid w:val="00170E10"/>
    <w:rsid w:val="0017104E"/>
    <w:rsid w:val="001710C9"/>
    <w:rsid w:val="00171E72"/>
    <w:rsid w:val="00172BC5"/>
    <w:rsid w:val="0017302C"/>
    <w:rsid w:val="001731FA"/>
    <w:rsid w:val="001732B9"/>
    <w:rsid w:val="001732D9"/>
    <w:rsid w:val="001733E9"/>
    <w:rsid w:val="0017373A"/>
    <w:rsid w:val="0017392D"/>
    <w:rsid w:val="00173ADC"/>
    <w:rsid w:val="001745C3"/>
    <w:rsid w:val="00174993"/>
    <w:rsid w:val="00174BB6"/>
    <w:rsid w:val="00174DC5"/>
    <w:rsid w:val="00175430"/>
    <w:rsid w:val="00175E65"/>
    <w:rsid w:val="001776E2"/>
    <w:rsid w:val="00177A37"/>
    <w:rsid w:val="001802A1"/>
    <w:rsid w:val="00180599"/>
    <w:rsid w:val="00180DD5"/>
    <w:rsid w:val="001812AE"/>
    <w:rsid w:val="00181488"/>
    <w:rsid w:val="0018155A"/>
    <w:rsid w:val="001818A4"/>
    <w:rsid w:val="00181F86"/>
    <w:rsid w:val="00182761"/>
    <w:rsid w:val="00182964"/>
    <w:rsid w:val="00182B14"/>
    <w:rsid w:val="00182E94"/>
    <w:rsid w:val="00182EA4"/>
    <w:rsid w:val="001832C7"/>
    <w:rsid w:val="00183C2B"/>
    <w:rsid w:val="00183DA2"/>
    <w:rsid w:val="00184A1A"/>
    <w:rsid w:val="00184E7C"/>
    <w:rsid w:val="0018577F"/>
    <w:rsid w:val="00185B11"/>
    <w:rsid w:val="00185C24"/>
    <w:rsid w:val="00186406"/>
    <w:rsid w:val="0018733B"/>
    <w:rsid w:val="001876AE"/>
    <w:rsid w:val="00187AB5"/>
    <w:rsid w:val="00187B8E"/>
    <w:rsid w:val="00187C0F"/>
    <w:rsid w:val="0019085C"/>
    <w:rsid w:val="00190E5D"/>
    <w:rsid w:val="00190FAD"/>
    <w:rsid w:val="0019169B"/>
    <w:rsid w:val="00191CF5"/>
    <w:rsid w:val="00191E73"/>
    <w:rsid w:val="0019256B"/>
    <w:rsid w:val="001927F6"/>
    <w:rsid w:val="0019288A"/>
    <w:rsid w:val="00192CBF"/>
    <w:rsid w:val="00192FF1"/>
    <w:rsid w:val="00193277"/>
    <w:rsid w:val="00193769"/>
    <w:rsid w:val="00193A71"/>
    <w:rsid w:val="00194493"/>
    <w:rsid w:val="00194FD4"/>
    <w:rsid w:val="00195A39"/>
    <w:rsid w:val="0019740A"/>
    <w:rsid w:val="001976E0"/>
    <w:rsid w:val="00197B27"/>
    <w:rsid w:val="00197C94"/>
    <w:rsid w:val="00197D44"/>
    <w:rsid w:val="00197ED4"/>
    <w:rsid w:val="00197F4C"/>
    <w:rsid w:val="001A0038"/>
    <w:rsid w:val="001A02E9"/>
    <w:rsid w:val="001A0351"/>
    <w:rsid w:val="001A1B21"/>
    <w:rsid w:val="001A1CB9"/>
    <w:rsid w:val="001A2D40"/>
    <w:rsid w:val="001A3997"/>
    <w:rsid w:val="001A4617"/>
    <w:rsid w:val="001A587F"/>
    <w:rsid w:val="001A5A6B"/>
    <w:rsid w:val="001A5B11"/>
    <w:rsid w:val="001A5F1B"/>
    <w:rsid w:val="001A60D1"/>
    <w:rsid w:val="001A64C8"/>
    <w:rsid w:val="001A64F2"/>
    <w:rsid w:val="001A71EE"/>
    <w:rsid w:val="001A75BC"/>
    <w:rsid w:val="001A7EE0"/>
    <w:rsid w:val="001B124E"/>
    <w:rsid w:val="001B15B2"/>
    <w:rsid w:val="001B1C22"/>
    <w:rsid w:val="001B2560"/>
    <w:rsid w:val="001B31DC"/>
    <w:rsid w:val="001B34C6"/>
    <w:rsid w:val="001B3D58"/>
    <w:rsid w:val="001B45E5"/>
    <w:rsid w:val="001B56C1"/>
    <w:rsid w:val="001B5DDC"/>
    <w:rsid w:val="001B6001"/>
    <w:rsid w:val="001B7221"/>
    <w:rsid w:val="001B7843"/>
    <w:rsid w:val="001B7C29"/>
    <w:rsid w:val="001B7C41"/>
    <w:rsid w:val="001C0466"/>
    <w:rsid w:val="001C179B"/>
    <w:rsid w:val="001C1F51"/>
    <w:rsid w:val="001C221D"/>
    <w:rsid w:val="001C22CE"/>
    <w:rsid w:val="001C2E15"/>
    <w:rsid w:val="001C32C7"/>
    <w:rsid w:val="001C333A"/>
    <w:rsid w:val="001C3BE8"/>
    <w:rsid w:val="001C3F6C"/>
    <w:rsid w:val="001C416E"/>
    <w:rsid w:val="001C4452"/>
    <w:rsid w:val="001C4463"/>
    <w:rsid w:val="001C4DB7"/>
    <w:rsid w:val="001C4F12"/>
    <w:rsid w:val="001C4F89"/>
    <w:rsid w:val="001C534F"/>
    <w:rsid w:val="001C54B9"/>
    <w:rsid w:val="001C5793"/>
    <w:rsid w:val="001C6764"/>
    <w:rsid w:val="001C6B76"/>
    <w:rsid w:val="001C6C45"/>
    <w:rsid w:val="001D00C0"/>
    <w:rsid w:val="001D026A"/>
    <w:rsid w:val="001D03D5"/>
    <w:rsid w:val="001D09CD"/>
    <w:rsid w:val="001D142C"/>
    <w:rsid w:val="001D172F"/>
    <w:rsid w:val="001D1DBE"/>
    <w:rsid w:val="001D21FC"/>
    <w:rsid w:val="001D3819"/>
    <w:rsid w:val="001D40AF"/>
    <w:rsid w:val="001D40E9"/>
    <w:rsid w:val="001D4CE0"/>
    <w:rsid w:val="001D50D4"/>
    <w:rsid w:val="001D5629"/>
    <w:rsid w:val="001D5678"/>
    <w:rsid w:val="001D6000"/>
    <w:rsid w:val="001D6568"/>
    <w:rsid w:val="001D7832"/>
    <w:rsid w:val="001D7AA6"/>
    <w:rsid w:val="001D7ECF"/>
    <w:rsid w:val="001E0967"/>
    <w:rsid w:val="001E186E"/>
    <w:rsid w:val="001E229D"/>
    <w:rsid w:val="001E2EE7"/>
    <w:rsid w:val="001E4863"/>
    <w:rsid w:val="001E4876"/>
    <w:rsid w:val="001E492C"/>
    <w:rsid w:val="001E4CD1"/>
    <w:rsid w:val="001E4CE7"/>
    <w:rsid w:val="001E52BD"/>
    <w:rsid w:val="001E6826"/>
    <w:rsid w:val="001E6B6A"/>
    <w:rsid w:val="001E6F0C"/>
    <w:rsid w:val="001E7A51"/>
    <w:rsid w:val="001E7FB0"/>
    <w:rsid w:val="001F0299"/>
    <w:rsid w:val="001F0A15"/>
    <w:rsid w:val="001F0B4D"/>
    <w:rsid w:val="001F0EB9"/>
    <w:rsid w:val="001F1041"/>
    <w:rsid w:val="001F133A"/>
    <w:rsid w:val="001F2180"/>
    <w:rsid w:val="001F23A0"/>
    <w:rsid w:val="001F262B"/>
    <w:rsid w:val="001F2639"/>
    <w:rsid w:val="001F2A25"/>
    <w:rsid w:val="001F2F77"/>
    <w:rsid w:val="001F3ED9"/>
    <w:rsid w:val="001F4B8D"/>
    <w:rsid w:val="001F532D"/>
    <w:rsid w:val="001F5593"/>
    <w:rsid w:val="001F55A9"/>
    <w:rsid w:val="001F5941"/>
    <w:rsid w:val="001F5B2F"/>
    <w:rsid w:val="001F65A5"/>
    <w:rsid w:val="001F7082"/>
    <w:rsid w:val="001F740C"/>
    <w:rsid w:val="001F74FD"/>
    <w:rsid w:val="001F768E"/>
    <w:rsid w:val="002008F8"/>
    <w:rsid w:val="0020120E"/>
    <w:rsid w:val="00204634"/>
    <w:rsid w:val="00204ABF"/>
    <w:rsid w:val="0020534E"/>
    <w:rsid w:val="00205A38"/>
    <w:rsid w:val="002079A4"/>
    <w:rsid w:val="0021000F"/>
    <w:rsid w:val="0021077F"/>
    <w:rsid w:val="002109F1"/>
    <w:rsid w:val="00210FA0"/>
    <w:rsid w:val="00211185"/>
    <w:rsid w:val="00211D34"/>
    <w:rsid w:val="0021209C"/>
    <w:rsid w:val="002124A3"/>
    <w:rsid w:val="00212CEF"/>
    <w:rsid w:val="00212F62"/>
    <w:rsid w:val="002136EC"/>
    <w:rsid w:val="002136F4"/>
    <w:rsid w:val="00213D05"/>
    <w:rsid w:val="00214116"/>
    <w:rsid w:val="0021438D"/>
    <w:rsid w:val="002145F3"/>
    <w:rsid w:val="002149EB"/>
    <w:rsid w:val="002149FD"/>
    <w:rsid w:val="00214A8D"/>
    <w:rsid w:val="00214DAF"/>
    <w:rsid w:val="00214F04"/>
    <w:rsid w:val="00215919"/>
    <w:rsid w:val="00216F2F"/>
    <w:rsid w:val="00220957"/>
    <w:rsid w:val="002210A7"/>
    <w:rsid w:val="00221515"/>
    <w:rsid w:val="00221D86"/>
    <w:rsid w:val="00222A9E"/>
    <w:rsid w:val="00222B0A"/>
    <w:rsid w:val="00222D03"/>
    <w:rsid w:val="00223247"/>
    <w:rsid w:val="00223B10"/>
    <w:rsid w:val="00224071"/>
    <w:rsid w:val="00224814"/>
    <w:rsid w:val="002263DB"/>
    <w:rsid w:val="00226B06"/>
    <w:rsid w:val="00226BC8"/>
    <w:rsid w:val="00227C6A"/>
    <w:rsid w:val="0023019F"/>
    <w:rsid w:val="00230617"/>
    <w:rsid w:val="00232883"/>
    <w:rsid w:val="00234363"/>
    <w:rsid w:val="002358B9"/>
    <w:rsid w:val="00235B05"/>
    <w:rsid w:val="00236378"/>
    <w:rsid w:val="00236775"/>
    <w:rsid w:val="00236C85"/>
    <w:rsid w:val="00236EB8"/>
    <w:rsid w:val="002375C3"/>
    <w:rsid w:val="00237650"/>
    <w:rsid w:val="002376AA"/>
    <w:rsid w:val="00240937"/>
    <w:rsid w:val="00240BE2"/>
    <w:rsid w:val="002410D5"/>
    <w:rsid w:val="00241CA1"/>
    <w:rsid w:val="00241D77"/>
    <w:rsid w:val="00243C1C"/>
    <w:rsid w:val="00243C73"/>
    <w:rsid w:val="0024456C"/>
    <w:rsid w:val="00244761"/>
    <w:rsid w:val="00244C1D"/>
    <w:rsid w:val="00245E18"/>
    <w:rsid w:val="0024623F"/>
    <w:rsid w:val="00247A99"/>
    <w:rsid w:val="00250FBF"/>
    <w:rsid w:val="00251CD9"/>
    <w:rsid w:val="00252575"/>
    <w:rsid w:val="00252A2F"/>
    <w:rsid w:val="002532DD"/>
    <w:rsid w:val="002536BB"/>
    <w:rsid w:val="00253985"/>
    <w:rsid w:val="00253F38"/>
    <w:rsid w:val="00253F9A"/>
    <w:rsid w:val="00254057"/>
    <w:rsid w:val="002542EF"/>
    <w:rsid w:val="002546CB"/>
    <w:rsid w:val="00254868"/>
    <w:rsid w:val="002557A1"/>
    <w:rsid w:val="00255CEE"/>
    <w:rsid w:val="00256200"/>
    <w:rsid w:val="00257678"/>
    <w:rsid w:val="00257B98"/>
    <w:rsid w:val="002605BE"/>
    <w:rsid w:val="0026091A"/>
    <w:rsid w:val="00260C6C"/>
    <w:rsid w:val="00260FA2"/>
    <w:rsid w:val="002615BC"/>
    <w:rsid w:val="00261A49"/>
    <w:rsid w:val="00261FDE"/>
    <w:rsid w:val="0026238B"/>
    <w:rsid w:val="00262BC3"/>
    <w:rsid w:val="0026301C"/>
    <w:rsid w:val="00263A62"/>
    <w:rsid w:val="00263F26"/>
    <w:rsid w:val="0026405F"/>
    <w:rsid w:val="002640F8"/>
    <w:rsid w:val="00264A0A"/>
    <w:rsid w:val="0026583A"/>
    <w:rsid w:val="00265D0F"/>
    <w:rsid w:val="00266CD6"/>
    <w:rsid w:val="002674F0"/>
    <w:rsid w:val="00267F1F"/>
    <w:rsid w:val="00270125"/>
    <w:rsid w:val="002705BE"/>
    <w:rsid w:val="0027094B"/>
    <w:rsid w:val="00271CD3"/>
    <w:rsid w:val="00273183"/>
    <w:rsid w:val="00273400"/>
    <w:rsid w:val="00273C3C"/>
    <w:rsid w:val="00273DC7"/>
    <w:rsid w:val="00274195"/>
    <w:rsid w:val="00274ABB"/>
    <w:rsid w:val="00274E92"/>
    <w:rsid w:val="00275844"/>
    <w:rsid w:val="00275B9A"/>
    <w:rsid w:val="00275DAB"/>
    <w:rsid w:val="0027600A"/>
    <w:rsid w:val="002764E2"/>
    <w:rsid w:val="00277B65"/>
    <w:rsid w:val="00277E55"/>
    <w:rsid w:val="00277E6A"/>
    <w:rsid w:val="00280809"/>
    <w:rsid w:val="002813ED"/>
    <w:rsid w:val="00281D74"/>
    <w:rsid w:val="00282BAC"/>
    <w:rsid w:val="0028322A"/>
    <w:rsid w:val="00285AB7"/>
    <w:rsid w:val="002870CA"/>
    <w:rsid w:val="0028750E"/>
    <w:rsid w:val="002879B8"/>
    <w:rsid w:val="00287F5C"/>
    <w:rsid w:val="002901B2"/>
    <w:rsid w:val="00290209"/>
    <w:rsid w:val="002902A5"/>
    <w:rsid w:val="0029072D"/>
    <w:rsid w:val="002907A3"/>
    <w:rsid w:val="002908AC"/>
    <w:rsid w:val="00291AF9"/>
    <w:rsid w:val="002927A1"/>
    <w:rsid w:val="002935C9"/>
    <w:rsid w:val="00293991"/>
    <w:rsid w:val="00293B48"/>
    <w:rsid w:val="00293D9D"/>
    <w:rsid w:val="0029542F"/>
    <w:rsid w:val="00295C97"/>
    <w:rsid w:val="00295EB9"/>
    <w:rsid w:val="00296DE6"/>
    <w:rsid w:val="002975BC"/>
    <w:rsid w:val="002977C1"/>
    <w:rsid w:val="0029780F"/>
    <w:rsid w:val="002A0037"/>
    <w:rsid w:val="002A0123"/>
    <w:rsid w:val="002A1672"/>
    <w:rsid w:val="002A1BE8"/>
    <w:rsid w:val="002A1ED4"/>
    <w:rsid w:val="002A25DE"/>
    <w:rsid w:val="002A2CA3"/>
    <w:rsid w:val="002A3AD9"/>
    <w:rsid w:val="002A40D1"/>
    <w:rsid w:val="002A4B27"/>
    <w:rsid w:val="002A5C17"/>
    <w:rsid w:val="002A64E4"/>
    <w:rsid w:val="002A6586"/>
    <w:rsid w:val="002A681A"/>
    <w:rsid w:val="002A7482"/>
    <w:rsid w:val="002A782A"/>
    <w:rsid w:val="002A7A47"/>
    <w:rsid w:val="002B00C2"/>
    <w:rsid w:val="002B0C46"/>
    <w:rsid w:val="002B1063"/>
    <w:rsid w:val="002B10AF"/>
    <w:rsid w:val="002B11E2"/>
    <w:rsid w:val="002B13C8"/>
    <w:rsid w:val="002B2118"/>
    <w:rsid w:val="002B231D"/>
    <w:rsid w:val="002B24B8"/>
    <w:rsid w:val="002B272E"/>
    <w:rsid w:val="002B2844"/>
    <w:rsid w:val="002B2C38"/>
    <w:rsid w:val="002B31C3"/>
    <w:rsid w:val="002B33E2"/>
    <w:rsid w:val="002B3E35"/>
    <w:rsid w:val="002B4647"/>
    <w:rsid w:val="002B6178"/>
    <w:rsid w:val="002B676C"/>
    <w:rsid w:val="002B70B9"/>
    <w:rsid w:val="002C0566"/>
    <w:rsid w:val="002C0A20"/>
    <w:rsid w:val="002C0B99"/>
    <w:rsid w:val="002C12E1"/>
    <w:rsid w:val="002C1F64"/>
    <w:rsid w:val="002C2043"/>
    <w:rsid w:val="002C2986"/>
    <w:rsid w:val="002C3ADF"/>
    <w:rsid w:val="002C41EA"/>
    <w:rsid w:val="002C4A09"/>
    <w:rsid w:val="002C4C14"/>
    <w:rsid w:val="002C54AC"/>
    <w:rsid w:val="002C61FB"/>
    <w:rsid w:val="002C6D5B"/>
    <w:rsid w:val="002D09DD"/>
    <w:rsid w:val="002D1360"/>
    <w:rsid w:val="002D14D6"/>
    <w:rsid w:val="002D28C5"/>
    <w:rsid w:val="002D2C28"/>
    <w:rsid w:val="002D2FEE"/>
    <w:rsid w:val="002D32DB"/>
    <w:rsid w:val="002D3936"/>
    <w:rsid w:val="002D3AE9"/>
    <w:rsid w:val="002D4239"/>
    <w:rsid w:val="002D4510"/>
    <w:rsid w:val="002D45E4"/>
    <w:rsid w:val="002D4DCB"/>
    <w:rsid w:val="002D5170"/>
    <w:rsid w:val="002D52EF"/>
    <w:rsid w:val="002D582F"/>
    <w:rsid w:val="002D5983"/>
    <w:rsid w:val="002D5CD9"/>
    <w:rsid w:val="002D5F5F"/>
    <w:rsid w:val="002D694E"/>
    <w:rsid w:val="002D6D93"/>
    <w:rsid w:val="002D6DEA"/>
    <w:rsid w:val="002D734E"/>
    <w:rsid w:val="002D7417"/>
    <w:rsid w:val="002D75D8"/>
    <w:rsid w:val="002D7897"/>
    <w:rsid w:val="002E0068"/>
    <w:rsid w:val="002E094A"/>
    <w:rsid w:val="002E0B6A"/>
    <w:rsid w:val="002E13D6"/>
    <w:rsid w:val="002E2200"/>
    <w:rsid w:val="002E2870"/>
    <w:rsid w:val="002E3BE2"/>
    <w:rsid w:val="002E3F34"/>
    <w:rsid w:val="002E45FB"/>
    <w:rsid w:val="002E467F"/>
    <w:rsid w:val="002E4A7B"/>
    <w:rsid w:val="002E52A2"/>
    <w:rsid w:val="002E5598"/>
    <w:rsid w:val="002E633F"/>
    <w:rsid w:val="002E6BFD"/>
    <w:rsid w:val="002E7392"/>
    <w:rsid w:val="002E7395"/>
    <w:rsid w:val="002E7B1F"/>
    <w:rsid w:val="002E7C97"/>
    <w:rsid w:val="002F0734"/>
    <w:rsid w:val="002F110D"/>
    <w:rsid w:val="002F1C15"/>
    <w:rsid w:val="002F1F22"/>
    <w:rsid w:val="002F2230"/>
    <w:rsid w:val="002F2CAE"/>
    <w:rsid w:val="002F2E5B"/>
    <w:rsid w:val="002F44EE"/>
    <w:rsid w:val="002F46E7"/>
    <w:rsid w:val="002F68DC"/>
    <w:rsid w:val="002F69E2"/>
    <w:rsid w:val="002F6B2D"/>
    <w:rsid w:val="002F6FA4"/>
    <w:rsid w:val="003001AB"/>
    <w:rsid w:val="003002CF"/>
    <w:rsid w:val="00300658"/>
    <w:rsid w:val="00301831"/>
    <w:rsid w:val="00301B69"/>
    <w:rsid w:val="003025A6"/>
    <w:rsid w:val="00303B0C"/>
    <w:rsid w:val="003050F2"/>
    <w:rsid w:val="0030543B"/>
    <w:rsid w:val="00305F90"/>
    <w:rsid w:val="003064CA"/>
    <w:rsid w:val="003067CB"/>
    <w:rsid w:val="00306806"/>
    <w:rsid w:val="00306FAE"/>
    <w:rsid w:val="0030742A"/>
    <w:rsid w:val="00307E78"/>
    <w:rsid w:val="00307EE0"/>
    <w:rsid w:val="003101DA"/>
    <w:rsid w:val="003104E6"/>
    <w:rsid w:val="00310D6D"/>
    <w:rsid w:val="003112F3"/>
    <w:rsid w:val="003116A1"/>
    <w:rsid w:val="003131EF"/>
    <w:rsid w:val="0031371F"/>
    <w:rsid w:val="00313EA3"/>
    <w:rsid w:val="003140F6"/>
    <w:rsid w:val="00314757"/>
    <w:rsid w:val="003158BB"/>
    <w:rsid w:val="0031597A"/>
    <w:rsid w:val="00315BDC"/>
    <w:rsid w:val="00315D1E"/>
    <w:rsid w:val="00315D7A"/>
    <w:rsid w:val="00316494"/>
    <w:rsid w:val="003164AE"/>
    <w:rsid w:val="003167A7"/>
    <w:rsid w:val="003172F2"/>
    <w:rsid w:val="00317867"/>
    <w:rsid w:val="00317AAB"/>
    <w:rsid w:val="00320E04"/>
    <w:rsid w:val="003211CE"/>
    <w:rsid w:val="00321514"/>
    <w:rsid w:val="00321A5C"/>
    <w:rsid w:val="00321A9D"/>
    <w:rsid w:val="00321D28"/>
    <w:rsid w:val="003225CF"/>
    <w:rsid w:val="00322725"/>
    <w:rsid w:val="00323436"/>
    <w:rsid w:val="003237C0"/>
    <w:rsid w:val="00324813"/>
    <w:rsid w:val="003252B3"/>
    <w:rsid w:val="00325DC9"/>
    <w:rsid w:val="00326EC9"/>
    <w:rsid w:val="003277CA"/>
    <w:rsid w:val="003279C3"/>
    <w:rsid w:val="00327F30"/>
    <w:rsid w:val="003304E3"/>
    <w:rsid w:val="00330664"/>
    <w:rsid w:val="00330C73"/>
    <w:rsid w:val="00330F48"/>
    <w:rsid w:val="00331498"/>
    <w:rsid w:val="00331519"/>
    <w:rsid w:val="003316CA"/>
    <w:rsid w:val="00331776"/>
    <w:rsid w:val="00332889"/>
    <w:rsid w:val="00333684"/>
    <w:rsid w:val="003338B2"/>
    <w:rsid w:val="00333991"/>
    <w:rsid w:val="00333BCF"/>
    <w:rsid w:val="00333D3C"/>
    <w:rsid w:val="00333D9E"/>
    <w:rsid w:val="00333FAD"/>
    <w:rsid w:val="0033449E"/>
    <w:rsid w:val="0033476D"/>
    <w:rsid w:val="0033586A"/>
    <w:rsid w:val="00336511"/>
    <w:rsid w:val="00336C8A"/>
    <w:rsid w:val="00340036"/>
    <w:rsid w:val="00340567"/>
    <w:rsid w:val="003405EE"/>
    <w:rsid w:val="00341553"/>
    <w:rsid w:val="0034339A"/>
    <w:rsid w:val="00343AAF"/>
    <w:rsid w:val="00343D27"/>
    <w:rsid w:val="00343E92"/>
    <w:rsid w:val="00344A2D"/>
    <w:rsid w:val="00344AD8"/>
    <w:rsid w:val="00344B86"/>
    <w:rsid w:val="003457B0"/>
    <w:rsid w:val="003458C2"/>
    <w:rsid w:val="003458D5"/>
    <w:rsid w:val="00345AFD"/>
    <w:rsid w:val="00345CF5"/>
    <w:rsid w:val="00345DCF"/>
    <w:rsid w:val="00345F9C"/>
    <w:rsid w:val="0034634C"/>
    <w:rsid w:val="003464DD"/>
    <w:rsid w:val="00346736"/>
    <w:rsid w:val="00347046"/>
    <w:rsid w:val="00350ADD"/>
    <w:rsid w:val="00350DCD"/>
    <w:rsid w:val="00350E02"/>
    <w:rsid w:val="00350F79"/>
    <w:rsid w:val="003510EA"/>
    <w:rsid w:val="0035131F"/>
    <w:rsid w:val="003517D7"/>
    <w:rsid w:val="00351B30"/>
    <w:rsid w:val="003520BA"/>
    <w:rsid w:val="003522D8"/>
    <w:rsid w:val="003532CD"/>
    <w:rsid w:val="00353B83"/>
    <w:rsid w:val="00353DB8"/>
    <w:rsid w:val="0035403A"/>
    <w:rsid w:val="00354CB2"/>
    <w:rsid w:val="00355740"/>
    <w:rsid w:val="00355BB8"/>
    <w:rsid w:val="00355CFA"/>
    <w:rsid w:val="0035666C"/>
    <w:rsid w:val="00356921"/>
    <w:rsid w:val="00356A4F"/>
    <w:rsid w:val="00356EDA"/>
    <w:rsid w:val="003578C1"/>
    <w:rsid w:val="00360266"/>
    <w:rsid w:val="00360772"/>
    <w:rsid w:val="00360C76"/>
    <w:rsid w:val="00360FC3"/>
    <w:rsid w:val="003615C0"/>
    <w:rsid w:val="00362020"/>
    <w:rsid w:val="0036296C"/>
    <w:rsid w:val="003634A0"/>
    <w:rsid w:val="0036394B"/>
    <w:rsid w:val="00363E38"/>
    <w:rsid w:val="00363FEF"/>
    <w:rsid w:val="00364E98"/>
    <w:rsid w:val="00365054"/>
    <w:rsid w:val="003666DE"/>
    <w:rsid w:val="00366E69"/>
    <w:rsid w:val="00366F6C"/>
    <w:rsid w:val="00367EDD"/>
    <w:rsid w:val="0037046B"/>
    <w:rsid w:val="003709B5"/>
    <w:rsid w:val="00371444"/>
    <w:rsid w:val="00371FF1"/>
    <w:rsid w:val="003725F2"/>
    <w:rsid w:val="00373493"/>
    <w:rsid w:val="00373972"/>
    <w:rsid w:val="00374459"/>
    <w:rsid w:val="003748D4"/>
    <w:rsid w:val="00374F24"/>
    <w:rsid w:val="003759C2"/>
    <w:rsid w:val="00375DFD"/>
    <w:rsid w:val="00376E91"/>
    <w:rsid w:val="00377081"/>
    <w:rsid w:val="003776F5"/>
    <w:rsid w:val="00377700"/>
    <w:rsid w:val="003779E2"/>
    <w:rsid w:val="00377DFB"/>
    <w:rsid w:val="00380469"/>
    <w:rsid w:val="00380F79"/>
    <w:rsid w:val="0038101B"/>
    <w:rsid w:val="0038159C"/>
    <w:rsid w:val="00381F8D"/>
    <w:rsid w:val="00382518"/>
    <w:rsid w:val="00382924"/>
    <w:rsid w:val="00382B58"/>
    <w:rsid w:val="0038321B"/>
    <w:rsid w:val="00383743"/>
    <w:rsid w:val="003846E2"/>
    <w:rsid w:val="00385074"/>
    <w:rsid w:val="00385348"/>
    <w:rsid w:val="00385747"/>
    <w:rsid w:val="00385B46"/>
    <w:rsid w:val="003862C8"/>
    <w:rsid w:val="003865A3"/>
    <w:rsid w:val="00386762"/>
    <w:rsid w:val="00386DCA"/>
    <w:rsid w:val="00387917"/>
    <w:rsid w:val="00390AA6"/>
    <w:rsid w:val="00390AFD"/>
    <w:rsid w:val="0039125C"/>
    <w:rsid w:val="003915B7"/>
    <w:rsid w:val="00391695"/>
    <w:rsid w:val="00391F2E"/>
    <w:rsid w:val="00392134"/>
    <w:rsid w:val="003921C5"/>
    <w:rsid w:val="00392839"/>
    <w:rsid w:val="003932A0"/>
    <w:rsid w:val="00393BB7"/>
    <w:rsid w:val="00393F1A"/>
    <w:rsid w:val="00394758"/>
    <w:rsid w:val="003947AB"/>
    <w:rsid w:val="00394B43"/>
    <w:rsid w:val="00395078"/>
    <w:rsid w:val="0039528C"/>
    <w:rsid w:val="00395F15"/>
    <w:rsid w:val="00395F41"/>
    <w:rsid w:val="0039633E"/>
    <w:rsid w:val="00396755"/>
    <w:rsid w:val="00397365"/>
    <w:rsid w:val="00397EE7"/>
    <w:rsid w:val="003A026A"/>
    <w:rsid w:val="003A0442"/>
    <w:rsid w:val="003A0781"/>
    <w:rsid w:val="003A07AC"/>
    <w:rsid w:val="003A0A73"/>
    <w:rsid w:val="003A19E0"/>
    <w:rsid w:val="003A2012"/>
    <w:rsid w:val="003A2098"/>
    <w:rsid w:val="003A2585"/>
    <w:rsid w:val="003A2D68"/>
    <w:rsid w:val="003A2ECD"/>
    <w:rsid w:val="003A31F6"/>
    <w:rsid w:val="003A3A8E"/>
    <w:rsid w:val="003A433A"/>
    <w:rsid w:val="003A4523"/>
    <w:rsid w:val="003A45C2"/>
    <w:rsid w:val="003A47E9"/>
    <w:rsid w:val="003A4FBC"/>
    <w:rsid w:val="003A5707"/>
    <w:rsid w:val="003A59B3"/>
    <w:rsid w:val="003A6398"/>
    <w:rsid w:val="003A66ED"/>
    <w:rsid w:val="003A672C"/>
    <w:rsid w:val="003A6E0A"/>
    <w:rsid w:val="003B000F"/>
    <w:rsid w:val="003B0249"/>
    <w:rsid w:val="003B0BDA"/>
    <w:rsid w:val="003B0C63"/>
    <w:rsid w:val="003B0F4A"/>
    <w:rsid w:val="003B3374"/>
    <w:rsid w:val="003B3A4B"/>
    <w:rsid w:val="003B3B4D"/>
    <w:rsid w:val="003B4284"/>
    <w:rsid w:val="003B4767"/>
    <w:rsid w:val="003B4C7D"/>
    <w:rsid w:val="003B59D6"/>
    <w:rsid w:val="003B5BC2"/>
    <w:rsid w:val="003B5C50"/>
    <w:rsid w:val="003B610A"/>
    <w:rsid w:val="003B69D9"/>
    <w:rsid w:val="003B762B"/>
    <w:rsid w:val="003B7C9E"/>
    <w:rsid w:val="003B7F1D"/>
    <w:rsid w:val="003C0415"/>
    <w:rsid w:val="003C0780"/>
    <w:rsid w:val="003C0A0E"/>
    <w:rsid w:val="003C2ADE"/>
    <w:rsid w:val="003C30B7"/>
    <w:rsid w:val="003C317A"/>
    <w:rsid w:val="003C328B"/>
    <w:rsid w:val="003C33A7"/>
    <w:rsid w:val="003C3447"/>
    <w:rsid w:val="003C4107"/>
    <w:rsid w:val="003C4444"/>
    <w:rsid w:val="003C484E"/>
    <w:rsid w:val="003C54D3"/>
    <w:rsid w:val="003C63AF"/>
    <w:rsid w:val="003C7156"/>
    <w:rsid w:val="003C7827"/>
    <w:rsid w:val="003C7F70"/>
    <w:rsid w:val="003D076C"/>
    <w:rsid w:val="003D07A6"/>
    <w:rsid w:val="003D0983"/>
    <w:rsid w:val="003D11F9"/>
    <w:rsid w:val="003D128A"/>
    <w:rsid w:val="003D220A"/>
    <w:rsid w:val="003D3478"/>
    <w:rsid w:val="003D39B9"/>
    <w:rsid w:val="003D3B96"/>
    <w:rsid w:val="003D40FF"/>
    <w:rsid w:val="003D5179"/>
    <w:rsid w:val="003D66A5"/>
    <w:rsid w:val="003D7B0A"/>
    <w:rsid w:val="003D7C1A"/>
    <w:rsid w:val="003E033E"/>
    <w:rsid w:val="003E03A5"/>
    <w:rsid w:val="003E098E"/>
    <w:rsid w:val="003E21E1"/>
    <w:rsid w:val="003E368A"/>
    <w:rsid w:val="003E3723"/>
    <w:rsid w:val="003E3DFA"/>
    <w:rsid w:val="003E492F"/>
    <w:rsid w:val="003E4930"/>
    <w:rsid w:val="003E4CB2"/>
    <w:rsid w:val="003E5919"/>
    <w:rsid w:val="003E5E1C"/>
    <w:rsid w:val="003E609F"/>
    <w:rsid w:val="003E6C86"/>
    <w:rsid w:val="003E78B5"/>
    <w:rsid w:val="003E7CD4"/>
    <w:rsid w:val="003E7FC6"/>
    <w:rsid w:val="003F00DD"/>
    <w:rsid w:val="003F0B21"/>
    <w:rsid w:val="003F0F32"/>
    <w:rsid w:val="003F2061"/>
    <w:rsid w:val="003F2C15"/>
    <w:rsid w:val="003F2C68"/>
    <w:rsid w:val="003F42F5"/>
    <w:rsid w:val="003F47D3"/>
    <w:rsid w:val="003F4BA3"/>
    <w:rsid w:val="003F5030"/>
    <w:rsid w:val="003F5B85"/>
    <w:rsid w:val="003F5F69"/>
    <w:rsid w:val="003F67F8"/>
    <w:rsid w:val="003F693F"/>
    <w:rsid w:val="003F6CB9"/>
    <w:rsid w:val="003F6D82"/>
    <w:rsid w:val="003F7251"/>
    <w:rsid w:val="003F759E"/>
    <w:rsid w:val="0040061A"/>
    <w:rsid w:val="004006C4"/>
    <w:rsid w:val="00401146"/>
    <w:rsid w:val="00401931"/>
    <w:rsid w:val="004021C1"/>
    <w:rsid w:val="00402DB6"/>
    <w:rsid w:val="004030B3"/>
    <w:rsid w:val="0040394F"/>
    <w:rsid w:val="00403F85"/>
    <w:rsid w:val="00404162"/>
    <w:rsid w:val="0040463C"/>
    <w:rsid w:val="00404AD5"/>
    <w:rsid w:val="00405154"/>
    <w:rsid w:val="00405A9B"/>
    <w:rsid w:val="00406786"/>
    <w:rsid w:val="0040689E"/>
    <w:rsid w:val="00406A5A"/>
    <w:rsid w:val="00407447"/>
    <w:rsid w:val="00407EC6"/>
    <w:rsid w:val="004104BA"/>
    <w:rsid w:val="00410898"/>
    <w:rsid w:val="0041140D"/>
    <w:rsid w:val="00411EB4"/>
    <w:rsid w:val="0041293E"/>
    <w:rsid w:val="00412A46"/>
    <w:rsid w:val="00412C33"/>
    <w:rsid w:val="00413231"/>
    <w:rsid w:val="004132EB"/>
    <w:rsid w:val="004137A7"/>
    <w:rsid w:val="00413CA2"/>
    <w:rsid w:val="00414196"/>
    <w:rsid w:val="004141AC"/>
    <w:rsid w:val="0041506D"/>
    <w:rsid w:val="004156AC"/>
    <w:rsid w:val="004157C0"/>
    <w:rsid w:val="00415BAB"/>
    <w:rsid w:val="00415E08"/>
    <w:rsid w:val="00415ED2"/>
    <w:rsid w:val="004161D2"/>
    <w:rsid w:val="0041751A"/>
    <w:rsid w:val="00417D2C"/>
    <w:rsid w:val="0042068C"/>
    <w:rsid w:val="0042108D"/>
    <w:rsid w:val="00421717"/>
    <w:rsid w:val="004219C2"/>
    <w:rsid w:val="004220E1"/>
    <w:rsid w:val="00422A56"/>
    <w:rsid w:val="00422C83"/>
    <w:rsid w:val="00423020"/>
    <w:rsid w:val="00423178"/>
    <w:rsid w:val="004232B6"/>
    <w:rsid w:val="00424B00"/>
    <w:rsid w:val="00425439"/>
    <w:rsid w:val="00425D61"/>
    <w:rsid w:val="004264A2"/>
    <w:rsid w:val="004265AD"/>
    <w:rsid w:val="00426BB5"/>
    <w:rsid w:val="00426EB0"/>
    <w:rsid w:val="00426ECD"/>
    <w:rsid w:val="004300F8"/>
    <w:rsid w:val="00430421"/>
    <w:rsid w:val="00430F5F"/>
    <w:rsid w:val="004326BC"/>
    <w:rsid w:val="004328B4"/>
    <w:rsid w:val="00432CC0"/>
    <w:rsid w:val="00432E73"/>
    <w:rsid w:val="0043355C"/>
    <w:rsid w:val="004340D7"/>
    <w:rsid w:val="004346F8"/>
    <w:rsid w:val="00434814"/>
    <w:rsid w:val="0043597F"/>
    <w:rsid w:val="0043700A"/>
    <w:rsid w:val="004370EE"/>
    <w:rsid w:val="004372C9"/>
    <w:rsid w:val="00437E09"/>
    <w:rsid w:val="00440675"/>
    <w:rsid w:val="004406DC"/>
    <w:rsid w:val="00442B7B"/>
    <w:rsid w:val="00442F78"/>
    <w:rsid w:val="0044323E"/>
    <w:rsid w:val="00443286"/>
    <w:rsid w:val="00443358"/>
    <w:rsid w:val="00443362"/>
    <w:rsid w:val="00443CCC"/>
    <w:rsid w:val="0044462D"/>
    <w:rsid w:val="0044478B"/>
    <w:rsid w:val="00444C0B"/>
    <w:rsid w:val="0044547A"/>
    <w:rsid w:val="00445BC0"/>
    <w:rsid w:val="004462AF"/>
    <w:rsid w:val="0044652A"/>
    <w:rsid w:val="00446750"/>
    <w:rsid w:val="00447038"/>
    <w:rsid w:val="0044775D"/>
    <w:rsid w:val="004477A0"/>
    <w:rsid w:val="00447904"/>
    <w:rsid w:val="00451653"/>
    <w:rsid w:val="004534E7"/>
    <w:rsid w:val="00453B17"/>
    <w:rsid w:val="004542CA"/>
    <w:rsid w:val="00454713"/>
    <w:rsid w:val="00454CA6"/>
    <w:rsid w:val="00454F05"/>
    <w:rsid w:val="00454F77"/>
    <w:rsid w:val="00454FE2"/>
    <w:rsid w:val="0045545F"/>
    <w:rsid w:val="004554E2"/>
    <w:rsid w:val="004558D0"/>
    <w:rsid w:val="00455BB8"/>
    <w:rsid w:val="00455CB2"/>
    <w:rsid w:val="0045640A"/>
    <w:rsid w:val="00456A44"/>
    <w:rsid w:val="00456B7C"/>
    <w:rsid w:val="00456F7B"/>
    <w:rsid w:val="004574D4"/>
    <w:rsid w:val="00457EFA"/>
    <w:rsid w:val="004604C5"/>
    <w:rsid w:val="00460A04"/>
    <w:rsid w:val="00460B88"/>
    <w:rsid w:val="00461924"/>
    <w:rsid w:val="00461B2F"/>
    <w:rsid w:val="004623ED"/>
    <w:rsid w:val="00463A7A"/>
    <w:rsid w:val="00463A90"/>
    <w:rsid w:val="00463F64"/>
    <w:rsid w:val="00464B25"/>
    <w:rsid w:val="00464F48"/>
    <w:rsid w:val="00465057"/>
    <w:rsid w:val="00465D4A"/>
    <w:rsid w:val="00466859"/>
    <w:rsid w:val="004669D7"/>
    <w:rsid w:val="00466B8D"/>
    <w:rsid w:val="00467598"/>
    <w:rsid w:val="004700C0"/>
    <w:rsid w:val="0047122B"/>
    <w:rsid w:val="004716F2"/>
    <w:rsid w:val="00472764"/>
    <w:rsid w:val="00473B7A"/>
    <w:rsid w:val="004740A6"/>
    <w:rsid w:val="004741FF"/>
    <w:rsid w:val="004747F8"/>
    <w:rsid w:val="00476A76"/>
    <w:rsid w:val="00477657"/>
    <w:rsid w:val="00477940"/>
    <w:rsid w:val="00477B56"/>
    <w:rsid w:val="00477FA8"/>
    <w:rsid w:val="00480185"/>
    <w:rsid w:val="004804DB"/>
    <w:rsid w:val="004814AE"/>
    <w:rsid w:val="00481650"/>
    <w:rsid w:val="004817C1"/>
    <w:rsid w:val="0048230E"/>
    <w:rsid w:val="00482A32"/>
    <w:rsid w:val="00483379"/>
    <w:rsid w:val="00483BFD"/>
    <w:rsid w:val="0048630F"/>
    <w:rsid w:val="004875EF"/>
    <w:rsid w:val="00487E42"/>
    <w:rsid w:val="004902C7"/>
    <w:rsid w:val="004912F0"/>
    <w:rsid w:val="004925EB"/>
    <w:rsid w:val="00492943"/>
    <w:rsid w:val="00492C73"/>
    <w:rsid w:val="00492F22"/>
    <w:rsid w:val="00493415"/>
    <w:rsid w:val="00493EAE"/>
    <w:rsid w:val="00495155"/>
    <w:rsid w:val="004960E9"/>
    <w:rsid w:val="00496414"/>
    <w:rsid w:val="004964D6"/>
    <w:rsid w:val="00496D65"/>
    <w:rsid w:val="004971D3"/>
    <w:rsid w:val="0049798C"/>
    <w:rsid w:val="004A01C2"/>
    <w:rsid w:val="004A0407"/>
    <w:rsid w:val="004A0449"/>
    <w:rsid w:val="004A0A85"/>
    <w:rsid w:val="004A0DC6"/>
    <w:rsid w:val="004A0E37"/>
    <w:rsid w:val="004A0FD2"/>
    <w:rsid w:val="004A0FE9"/>
    <w:rsid w:val="004A1599"/>
    <w:rsid w:val="004A17C1"/>
    <w:rsid w:val="004A20FE"/>
    <w:rsid w:val="004A2D00"/>
    <w:rsid w:val="004A2DE3"/>
    <w:rsid w:val="004A2E88"/>
    <w:rsid w:val="004A326A"/>
    <w:rsid w:val="004A32DB"/>
    <w:rsid w:val="004A33B8"/>
    <w:rsid w:val="004A3AF3"/>
    <w:rsid w:val="004A46C5"/>
    <w:rsid w:val="004A4BF0"/>
    <w:rsid w:val="004A51E0"/>
    <w:rsid w:val="004A5305"/>
    <w:rsid w:val="004A57FA"/>
    <w:rsid w:val="004A5D79"/>
    <w:rsid w:val="004B0074"/>
    <w:rsid w:val="004B0FC4"/>
    <w:rsid w:val="004B11B2"/>
    <w:rsid w:val="004B12C2"/>
    <w:rsid w:val="004B1676"/>
    <w:rsid w:val="004B25B0"/>
    <w:rsid w:val="004B27FE"/>
    <w:rsid w:val="004B2AA0"/>
    <w:rsid w:val="004B370F"/>
    <w:rsid w:val="004B38BD"/>
    <w:rsid w:val="004B3F5C"/>
    <w:rsid w:val="004B4139"/>
    <w:rsid w:val="004B428D"/>
    <w:rsid w:val="004B47B2"/>
    <w:rsid w:val="004B4A60"/>
    <w:rsid w:val="004B508E"/>
    <w:rsid w:val="004B5442"/>
    <w:rsid w:val="004B5904"/>
    <w:rsid w:val="004B5F87"/>
    <w:rsid w:val="004B64DC"/>
    <w:rsid w:val="004B6821"/>
    <w:rsid w:val="004B6B94"/>
    <w:rsid w:val="004B73D6"/>
    <w:rsid w:val="004B7CE2"/>
    <w:rsid w:val="004B7F82"/>
    <w:rsid w:val="004C0B8C"/>
    <w:rsid w:val="004C1D1A"/>
    <w:rsid w:val="004C203F"/>
    <w:rsid w:val="004C24BD"/>
    <w:rsid w:val="004C27D5"/>
    <w:rsid w:val="004C2B06"/>
    <w:rsid w:val="004C3D09"/>
    <w:rsid w:val="004C3DBD"/>
    <w:rsid w:val="004C3E2A"/>
    <w:rsid w:val="004C4868"/>
    <w:rsid w:val="004C497A"/>
    <w:rsid w:val="004C5987"/>
    <w:rsid w:val="004C6D96"/>
    <w:rsid w:val="004C6FE1"/>
    <w:rsid w:val="004C7024"/>
    <w:rsid w:val="004D03CB"/>
    <w:rsid w:val="004D0934"/>
    <w:rsid w:val="004D142A"/>
    <w:rsid w:val="004D31A2"/>
    <w:rsid w:val="004D3EB6"/>
    <w:rsid w:val="004D49E3"/>
    <w:rsid w:val="004D4FB5"/>
    <w:rsid w:val="004D5600"/>
    <w:rsid w:val="004D7634"/>
    <w:rsid w:val="004E1FE4"/>
    <w:rsid w:val="004E214E"/>
    <w:rsid w:val="004E21B3"/>
    <w:rsid w:val="004E3275"/>
    <w:rsid w:val="004E37DE"/>
    <w:rsid w:val="004E39E2"/>
    <w:rsid w:val="004E47D0"/>
    <w:rsid w:val="004E499F"/>
    <w:rsid w:val="004E5893"/>
    <w:rsid w:val="004E5EDD"/>
    <w:rsid w:val="004E65F3"/>
    <w:rsid w:val="004E6DA1"/>
    <w:rsid w:val="004E6EB0"/>
    <w:rsid w:val="004E700F"/>
    <w:rsid w:val="004E74C8"/>
    <w:rsid w:val="004E74DF"/>
    <w:rsid w:val="004F0408"/>
    <w:rsid w:val="004F19FB"/>
    <w:rsid w:val="004F2404"/>
    <w:rsid w:val="004F24B5"/>
    <w:rsid w:val="004F2597"/>
    <w:rsid w:val="004F2A40"/>
    <w:rsid w:val="004F4032"/>
    <w:rsid w:val="004F43CD"/>
    <w:rsid w:val="004F4552"/>
    <w:rsid w:val="004F5032"/>
    <w:rsid w:val="004F505F"/>
    <w:rsid w:val="004F569D"/>
    <w:rsid w:val="004F6361"/>
    <w:rsid w:val="004F68C4"/>
    <w:rsid w:val="00500A28"/>
    <w:rsid w:val="005014A3"/>
    <w:rsid w:val="005019D0"/>
    <w:rsid w:val="00501A6B"/>
    <w:rsid w:val="00501DC9"/>
    <w:rsid w:val="0050269F"/>
    <w:rsid w:val="0050282B"/>
    <w:rsid w:val="0050318E"/>
    <w:rsid w:val="00503BA2"/>
    <w:rsid w:val="00503EB5"/>
    <w:rsid w:val="00504458"/>
    <w:rsid w:val="005048FB"/>
    <w:rsid w:val="00504D75"/>
    <w:rsid w:val="00504DE2"/>
    <w:rsid w:val="00505153"/>
    <w:rsid w:val="00505281"/>
    <w:rsid w:val="0050528C"/>
    <w:rsid w:val="00505673"/>
    <w:rsid w:val="00506B35"/>
    <w:rsid w:val="00507C8B"/>
    <w:rsid w:val="00510831"/>
    <w:rsid w:val="005114DD"/>
    <w:rsid w:val="005118A4"/>
    <w:rsid w:val="00512CC9"/>
    <w:rsid w:val="00513428"/>
    <w:rsid w:val="00513885"/>
    <w:rsid w:val="00513A6C"/>
    <w:rsid w:val="00514674"/>
    <w:rsid w:val="0051485D"/>
    <w:rsid w:val="00515246"/>
    <w:rsid w:val="00515C6C"/>
    <w:rsid w:val="00515F11"/>
    <w:rsid w:val="005169A3"/>
    <w:rsid w:val="0051737B"/>
    <w:rsid w:val="00517DBC"/>
    <w:rsid w:val="00517E73"/>
    <w:rsid w:val="005206E2"/>
    <w:rsid w:val="00521378"/>
    <w:rsid w:val="005213F1"/>
    <w:rsid w:val="00521EFE"/>
    <w:rsid w:val="00522142"/>
    <w:rsid w:val="00522D49"/>
    <w:rsid w:val="005233AA"/>
    <w:rsid w:val="005236DB"/>
    <w:rsid w:val="00524B22"/>
    <w:rsid w:val="00524EFD"/>
    <w:rsid w:val="00526C8A"/>
    <w:rsid w:val="00526CB1"/>
    <w:rsid w:val="00527113"/>
    <w:rsid w:val="00527E4B"/>
    <w:rsid w:val="005300D3"/>
    <w:rsid w:val="00530569"/>
    <w:rsid w:val="005307C3"/>
    <w:rsid w:val="00530A8E"/>
    <w:rsid w:val="0053131E"/>
    <w:rsid w:val="00532748"/>
    <w:rsid w:val="00533B44"/>
    <w:rsid w:val="00533B5B"/>
    <w:rsid w:val="00533FEB"/>
    <w:rsid w:val="00535147"/>
    <w:rsid w:val="005359FB"/>
    <w:rsid w:val="00535BE9"/>
    <w:rsid w:val="0053648C"/>
    <w:rsid w:val="005367E5"/>
    <w:rsid w:val="00536884"/>
    <w:rsid w:val="00536B23"/>
    <w:rsid w:val="00537525"/>
    <w:rsid w:val="00537735"/>
    <w:rsid w:val="005379D4"/>
    <w:rsid w:val="0054060C"/>
    <w:rsid w:val="0054066A"/>
    <w:rsid w:val="0054090B"/>
    <w:rsid w:val="00541222"/>
    <w:rsid w:val="00541724"/>
    <w:rsid w:val="005427A9"/>
    <w:rsid w:val="005429C6"/>
    <w:rsid w:val="0054305C"/>
    <w:rsid w:val="00543502"/>
    <w:rsid w:val="00543F74"/>
    <w:rsid w:val="00544019"/>
    <w:rsid w:val="005445C3"/>
    <w:rsid w:val="00544F82"/>
    <w:rsid w:val="00545484"/>
    <w:rsid w:val="00546550"/>
    <w:rsid w:val="005470D9"/>
    <w:rsid w:val="00547653"/>
    <w:rsid w:val="0055024D"/>
    <w:rsid w:val="005505D0"/>
    <w:rsid w:val="00551A54"/>
    <w:rsid w:val="00551CF1"/>
    <w:rsid w:val="005526D4"/>
    <w:rsid w:val="0055300C"/>
    <w:rsid w:val="005539CD"/>
    <w:rsid w:val="00554AF3"/>
    <w:rsid w:val="00554BC1"/>
    <w:rsid w:val="00556498"/>
    <w:rsid w:val="005575A4"/>
    <w:rsid w:val="0056082B"/>
    <w:rsid w:val="005609BC"/>
    <w:rsid w:val="00560C53"/>
    <w:rsid w:val="00561796"/>
    <w:rsid w:val="00562294"/>
    <w:rsid w:val="005626E0"/>
    <w:rsid w:val="0056286A"/>
    <w:rsid w:val="00564ABA"/>
    <w:rsid w:val="00564C4E"/>
    <w:rsid w:val="00565193"/>
    <w:rsid w:val="00565841"/>
    <w:rsid w:val="005672F4"/>
    <w:rsid w:val="0057046A"/>
    <w:rsid w:val="00570511"/>
    <w:rsid w:val="0057063C"/>
    <w:rsid w:val="00570D80"/>
    <w:rsid w:val="005721D6"/>
    <w:rsid w:val="00572213"/>
    <w:rsid w:val="00574084"/>
    <w:rsid w:val="005745EF"/>
    <w:rsid w:val="0057472E"/>
    <w:rsid w:val="00574FB3"/>
    <w:rsid w:val="005758E2"/>
    <w:rsid w:val="00575D04"/>
    <w:rsid w:val="00575E42"/>
    <w:rsid w:val="005766AC"/>
    <w:rsid w:val="00577129"/>
    <w:rsid w:val="005776E1"/>
    <w:rsid w:val="0057777C"/>
    <w:rsid w:val="00577CB1"/>
    <w:rsid w:val="00577EC1"/>
    <w:rsid w:val="0058064D"/>
    <w:rsid w:val="0058075D"/>
    <w:rsid w:val="00580F3A"/>
    <w:rsid w:val="00581C4D"/>
    <w:rsid w:val="00581F52"/>
    <w:rsid w:val="005823A4"/>
    <w:rsid w:val="00582420"/>
    <w:rsid w:val="0058248D"/>
    <w:rsid w:val="00582B8C"/>
    <w:rsid w:val="005841EE"/>
    <w:rsid w:val="00584F15"/>
    <w:rsid w:val="00584F27"/>
    <w:rsid w:val="00585035"/>
    <w:rsid w:val="00585CEE"/>
    <w:rsid w:val="0058644D"/>
    <w:rsid w:val="00586538"/>
    <w:rsid w:val="00587758"/>
    <w:rsid w:val="005879B0"/>
    <w:rsid w:val="00587A4B"/>
    <w:rsid w:val="00590A4F"/>
    <w:rsid w:val="00591425"/>
    <w:rsid w:val="00591A13"/>
    <w:rsid w:val="00591EE7"/>
    <w:rsid w:val="00591F6F"/>
    <w:rsid w:val="005925C3"/>
    <w:rsid w:val="0059268F"/>
    <w:rsid w:val="0059314A"/>
    <w:rsid w:val="005935AC"/>
    <w:rsid w:val="00593853"/>
    <w:rsid w:val="00593BFB"/>
    <w:rsid w:val="00593C2F"/>
    <w:rsid w:val="00593C4F"/>
    <w:rsid w:val="005946A8"/>
    <w:rsid w:val="00595744"/>
    <w:rsid w:val="005959BB"/>
    <w:rsid w:val="00596C97"/>
    <w:rsid w:val="00596D0A"/>
    <w:rsid w:val="00596E8D"/>
    <w:rsid w:val="00597494"/>
    <w:rsid w:val="00597F20"/>
    <w:rsid w:val="005A00FD"/>
    <w:rsid w:val="005A0536"/>
    <w:rsid w:val="005A05EE"/>
    <w:rsid w:val="005A158B"/>
    <w:rsid w:val="005A1AD2"/>
    <w:rsid w:val="005A24F3"/>
    <w:rsid w:val="005A2829"/>
    <w:rsid w:val="005A2923"/>
    <w:rsid w:val="005A36C1"/>
    <w:rsid w:val="005A38D6"/>
    <w:rsid w:val="005A38F3"/>
    <w:rsid w:val="005A3B54"/>
    <w:rsid w:val="005A3E10"/>
    <w:rsid w:val="005A4114"/>
    <w:rsid w:val="005A4191"/>
    <w:rsid w:val="005A4407"/>
    <w:rsid w:val="005A49FD"/>
    <w:rsid w:val="005A4C09"/>
    <w:rsid w:val="005A559B"/>
    <w:rsid w:val="005A5871"/>
    <w:rsid w:val="005A59EF"/>
    <w:rsid w:val="005A5C18"/>
    <w:rsid w:val="005A5DD8"/>
    <w:rsid w:val="005A624E"/>
    <w:rsid w:val="005A7139"/>
    <w:rsid w:val="005A7891"/>
    <w:rsid w:val="005B0AEB"/>
    <w:rsid w:val="005B0BBE"/>
    <w:rsid w:val="005B0E4C"/>
    <w:rsid w:val="005B1078"/>
    <w:rsid w:val="005B1CB8"/>
    <w:rsid w:val="005B21FE"/>
    <w:rsid w:val="005B289C"/>
    <w:rsid w:val="005B2A18"/>
    <w:rsid w:val="005B2B95"/>
    <w:rsid w:val="005B3825"/>
    <w:rsid w:val="005B3B6C"/>
    <w:rsid w:val="005B3F3E"/>
    <w:rsid w:val="005B424B"/>
    <w:rsid w:val="005B4D19"/>
    <w:rsid w:val="005B5FF8"/>
    <w:rsid w:val="005B6583"/>
    <w:rsid w:val="005C0BD6"/>
    <w:rsid w:val="005C0C94"/>
    <w:rsid w:val="005C0CD4"/>
    <w:rsid w:val="005C0F04"/>
    <w:rsid w:val="005C13F0"/>
    <w:rsid w:val="005C14B4"/>
    <w:rsid w:val="005C2383"/>
    <w:rsid w:val="005C2EE5"/>
    <w:rsid w:val="005C361E"/>
    <w:rsid w:val="005C39FD"/>
    <w:rsid w:val="005C3F2A"/>
    <w:rsid w:val="005C4862"/>
    <w:rsid w:val="005C4AE7"/>
    <w:rsid w:val="005C50CB"/>
    <w:rsid w:val="005C5396"/>
    <w:rsid w:val="005C599C"/>
    <w:rsid w:val="005C63A8"/>
    <w:rsid w:val="005C7B2B"/>
    <w:rsid w:val="005D0F1F"/>
    <w:rsid w:val="005D1429"/>
    <w:rsid w:val="005D215E"/>
    <w:rsid w:val="005D3655"/>
    <w:rsid w:val="005D3998"/>
    <w:rsid w:val="005D492F"/>
    <w:rsid w:val="005D4E62"/>
    <w:rsid w:val="005D52B3"/>
    <w:rsid w:val="005D539E"/>
    <w:rsid w:val="005D55B0"/>
    <w:rsid w:val="005D6385"/>
    <w:rsid w:val="005D6F30"/>
    <w:rsid w:val="005D7748"/>
    <w:rsid w:val="005D790C"/>
    <w:rsid w:val="005E008F"/>
    <w:rsid w:val="005E099D"/>
    <w:rsid w:val="005E0EDE"/>
    <w:rsid w:val="005E10CF"/>
    <w:rsid w:val="005E189C"/>
    <w:rsid w:val="005E1DD4"/>
    <w:rsid w:val="005E2458"/>
    <w:rsid w:val="005E2563"/>
    <w:rsid w:val="005E343D"/>
    <w:rsid w:val="005E3CAA"/>
    <w:rsid w:val="005E438D"/>
    <w:rsid w:val="005E4D01"/>
    <w:rsid w:val="005E54E9"/>
    <w:rsid w:val="005E5875"/>
    <w:rsid w:val="005E5ED5"/>
    <w:rsid w:val="005E654A"/>
    <w:rsid w:val="005E6915"/>
    <w:rsid w:val="005E6D07"/>
    <w:rsid w:val="005E7111"/>
    <w:rsid w:val="005E7908"/>
    <w:rsid w:val="005E7991"/>
    <w:rsid w:val="005E7C1F"/>
    <w:rsid w:val="005F041B"/>
    <w:rsid w:val="005F1971"/>
    <w:rsid w:val="005F2625"/>
    <w:rsid w:val="005F26F3"/>
    <w:rsid w:val="005F3318"/>
    <w:rsid w:val="005F3359"/>
    <w:rsid w:val="005F3710"/>
    <w:rsid w:val="005F493B"/>
    <w:rsid w:val="005F4B51"/>
    <w:rsid w:val="005F4BA3"/>
    <w:rsid w:val="005F562F"/>
    <w:rsid w:val="005F65B1"/>
    <w:rsid w:val="005F6F41"/>
    <w:rsid w:val="005F770D"/>
    <w:rsid w:val="005F7A7E"/>
    <w:rsid w:val="00600176"/>
    <w:rsid w:val="00600D39"/>
    <w:rsid w:val="00601082"/>
    <w:rsid w:val="0060185B"/>
    <w:rsid w:val="00602A51"/>
    <w:rsid w:val="00602AC4"/>
    <w:rsid w:val="00602AEA"/>
    <w:rsid w:val="006038CC"/>
    <w:rsid w:val="00603AF2"/>
    <w:rsid w:val="006043B8"/>
    <w:rsid w:val="00604D50"/>
    <w:rsid w:val="00605168"/>
    <w:rsid w:val="006055B1"/>
    <w:rsid w:val="00605810"/>
    <w:rsid w:val="0060586A"/>
    <w:rsid w:val="00605B89"/>
    <w:rsid w:val="0060604C"/>
    <w:rsid w:val="006061CD"/>
    <w:rsid w:val="0060659D"/>
    <w:rsid w:val="00606F6A"/>
    <w:rsid w:val="006100C2"/>
    <w:rsid w:val="006105D5"/>
    <w:rsid w:val="0061061E"/>
    <w:rsid w:val="00610853"/>
    <w:rsid w:val="00610D7A"/>
    <w:rsid w:val="00611BAF"/>
    <w:rsid w:val="00611E61"/>
    <w:rsid w:val="00612058"/>
    <w:rsid w:val="006132E4"/>
    <w:rsid w:val="00613A17"/>
    <w:rsid w:val="00613AE5"/>
    <w:rsid w:val="00614BCD"/>
    <w:rsid w:val="00615A42"/>
    <w:rsid w:val="00616689"/>
    <w:rsid w:val="006173C7"/>
    <w:rsid w:val="0061769C"/>
    <w:rsid w:val="006205BB"/>
    <w:rsid w:val="00621520"/>
    <w:rsid w:val="006218F4"/>
    <w:rsid w:val="00621A12"/>
    <w:rsid w:val="00621ABE"/>
    <w:rsid w:val="00622414"/>
    <w:rsid w:val="006229FA"/>
    <w:rsid w:val="006235E2"/>
    <w:rsid w:val="006236DA"/>
    <w:rsid w:val="00623D9D"/>
    <w:rsid w:val="00624697"/>
    <w:rsid w:val="00624952"/>
    <w:rsid w:val="006250EC"/>
    <w:rsid w:val="00625642"/>
    <w:rsid w:val="00625DC6"/>
    <w:rsid w:val="00626C69"/>
    <w:rsid w:val="00627B30"/>
    <w:rsid w:val="006301EC"/>
    <w:rsid w:val="00630697"/>
    <w:rsid w:val="0063084B"/>
    <w:rsid w:val="006310E9"/>
    <w:rsid w:val="00631535"/>
    <w:rsid w:val="0063153F"/>
    <w:rsid w:val="00632BB1"/>
    <w:rsid w:val="00632C3D"/>
    <w:rsid w:val="00633102"/>
    <w:rsid w:val="00633485"/>
    <w:rsid w:val="0063353C"/>
    <w:rsid w:val="00634194"/>
    <w:rsid w:val="00635170"/>
    <w:rsid w:val="00635A91"/>
    <w:rsid w:val="00635D20"/>
    <w:rsid w:val="006363D0"/>
    <w:rsid w:val="006366A7"/>
    <w:rsid w:val="0064008D"/>
    <w:rsid w:val="00640274"/>
    <w:rsid w:val="00640FA4"/>
    <w:rsid w:val="0064111E"/>
    <w:rsid w:val="0064117E"/>
    <w:rsid w:val="00641483"/>
    <w:rsid w:val="00642010"/>
    <w:rsid w:val="0064391D"/>
    <w:rsid w:val="006439CF"/>
    <w:rsid w:val="00643EAD"/>
    <w:rsid w:val="00644013"/>
    <w:rsid w:val="00644451"/>
    <w:rsid w:val="006444D4"/>
    <w:rsid w:val="00644712"/>
    <w:rsid w:val="00644BBC"/>
    <w:rsid w:val="00644D44"/>
    <w:rsid w:val="006455EA"/>
    <w:rsid w:val="006459A5"/>
    <w:rsid w:val="006462F7"/>
    <w:rsid w:val="00646582"/>
    <w:rsid w:val="00646655"/>
    <w:rsid w:val="00646950"/>
    <w:rsid w:val="00646F7B"/>
    <w:rsid w:val="00647634"/>
    <w:rsid w:val="00647C1D"/>
    <w:rsid w:val="006500A8"/>
    <w:rsid w:val="006509FD"/>
    <w:rsid w:val="00650E29"/>
    <w:rsid w:val="00651218"/>
    <w:rsid w:val="00651249"/>
    <w:rsid w:val="00651821"/>
    <w:rsid w:val="00652548"/>
    <w:rsid w:val="0065280B"/>
    <w:rsid w:val="00652DB2"/>
    <w:rsid w:val="00652DE4"/>
    <w:rsid w:val="0065393F"/>
    <w:rsid w:val="00653C26"/>
    <w:rsid w:val="00653FF5"/>
    <w:rsid w:val="00654117"/>
    <w:rsid w:val="00654384"/>
    <w:rsid w:val="00654A7C"/>
    <w:rsid w:val="00654B37"/>
    <w:rsid w:val="00654F3E"/>
    <w:rsid w:val="00655782"/>
    <w:rsid w:val="00655805"/>
    <w:rsid w:val="0065599E"/>
    <w:rsid w:val="00656128"/>
    <w:rsid w:val="00656440"/>
    <w:rsid w:val="00657490"/>
    <w:rsid w:val="00657695"/>
    <w:rsid w:val="00660E08"/>
    <w:rsid w:val="006632DB"/>
    <w:rsid w:val="006645AA"/>
    <w:rsid w:val="00664A68"/>
    <w:rsid w:val="006666EB"/>
    <w:rsid w:val="00666FC9"/>
    <w:rsid w:val="006673B1"/>
    <w:rsid w:val="006675CD"/>
    <w:rsid w:val="00667F2A"/>
    <w:rsid w:val="006706EF"/>
    <w:rsid w:val="006709BE"/>
    <w:rsid w:val="00670F1A"/>
    <w:rsid w:val="00670F7F"/>
    <w:rsid w:val="00671FC5"/>
    <w:rsid w:val="006725A2"/>
    <w:rsid w:val="00672A65"/>
    <w:rsid w:val="00672AA9"/>
    <w:rsid w:val="006731BA"/>
    <w:rsid w:val="00673468"/>
    <w:rsid w:val="00673885"/>
    <w:rsid w:val="006739F4"/>
    <w:rsid w:val="0067411C"/>
    <w:rsid w:val="00674125"/>
    <w:rsid w:val="00674921"/>
    <w:rsid w:val="00674C62"/>
    <w:rsid w:val="00674D4E"/>
    <w:rsid w:val="00675CCE"/>
    <w:rsid w:val="0067698E"/>
    <w:rsid w:val="00676A0D"/>
    <w:rsid w:val="00677099"/>
    <w:rsid w:val="006776CF"/>
    <w:rsid w:val="00677F5E"/>
    <w:rsid w:val="00680CCA"/>
    <w:rsid w:val="006829AD"/>
    <w:rsid w:val="00682A8D"/>
    <w:rsid w:val="00683161"/>
    <w:rsid w:val="006834BA"/>
    <w:rsid w:val="00683F0F"/>
    <w:rsid w:val="00684919"/>
    <w:rsid w:val="006849C8"/>
    <w:rsid w:val="00684AB3"/>
    <w:rsid w:val="00684D9B"/>
    <w:rsid w:val="006854E5"/>
    <w:rsid w:val="00685915"/>
    <w:rsid w:val="00685EE8"/>
    <w:rsid w:val="006861EF"/>
    <w:rsid w:val="00686C91"/>
    <w:rsid w:val="00686CBD"/>
    <w:rsid w:val="0068781A"/>
    <w:rsid w:val="00690155"/>
    <w:rsid w:val="0069091A"/>
    <w:rsid w:val="00690AC9"/>
    <w:rsid w:val="00690FA7"/>
    <w:rsid w:val="00691D21"/>
    <w:rsid w:val="00691EFE"/>
    <w:rsid w:val="0069208C"/>
    <w:rsid w:val="0069255B"/>
    <w:rsid w:val="00692B0E"/>
    <w:rsid w:val="00692D63"/>
    <w:rsid w:val="0069352A"/>
    <w:rsid w:val="00694885"/>
    <w:rsid w:val="00694BC8"/>
    <w:rsid w:val="00694E03"/>
    <w:rsid w:val="00696554"/>
    <w:rsid w:val="00696592"/>
    <w:rsid w:val="00696618"/>
    <w:rsid w:val="006966DC"/>
    <w:rsid w:val="00696CF4"/>
    <w:rsid w:val="006970CF"/>
    <w:rsid w:val="00697556"/>
    <w:rsid w:val="006A0F3F"/>
    <w:rsid w:val="006A14B5"/>
    <w:rsid w:val="006A2161"/>
    <w:rsid w:val="006A2CD4"/>
    <w:rsid w:val="006A2E43"/>
    <w:rsid w:val="006A32BB"/>
    <w:rsid w:val="006A33FF"/>
    <w:rsid w:val="006A42F9"/>
    <w:rsid w:val="006A4548"/>
    <w:rsid w:val="006A4DA4"/>
    <w:rsid w:val="006A5BD7"/>
    <w:rsid w:val="006A5E18"/>
    <w:rsid w:val="006A61E7"/>
    <w:rsid w:val="006A71B1"/>
    <w:rsid w:val="006A71F5"/>
    <w:rsid w:val="006A7392"/>
    <w:rsid w:val="006A7868"/>
    <w:rsid w:val="006B0EAB"/>
    <w:rsid w:val="006B12CB"/>
    <w:rsid w:val="006B23A9"/>
    <w:rsid w:val="006B2AC4"/>
    <w:rsid w:val="006B2C70"/>
    <w:rsid w:val="006B2CA2"/>
    <w:rsid w:val="006B3540"/>
    <w:rsid w:val="006B3A25"/>
    <w:rsid w:val="006B3E48"/>
    <w:rsid w:val="006B438E"/>
    <w:rsid w:val="006B4647"/>
    <w:rsid w:val="006B481B"/>
    <w:rsid w:val="006B491B"/>
    <w:rsid w:val="006B4C2B"/>
    <w:rsid w:val="006B5131"/>
    <w:rsid w:val="006B6D47"/>
    <w:rsid w:val="006B6DA5"/>
    <w:rsid w:val="006B6EB7"/>
    <w:rsid w:val="006B7101"/>
    <w:rsid w:val="006B7DCE"/>
    <w:rsid w:val="006C035B"/>
    <w:rsid w:val="006C0ED5"/>
    <w:rsid w:val="006C2A8E"/>
    <w:rsid w:val="006C2D00"/>
    <w:rsid w:val="006C3136"/>
    <w:rsid w:val="006C4101"/>
    <w:rsid w:val="006C4F01"/>
    <w:rsid w:val="006C51CA"/>
    <w:rsid w:val="006C5AFE"/>
    <w:rsid w:val="006C5DF0"/>
    <w:rsid w:val="006C5F79"/>
    <w:rsid w:val="006C5F80"/>
    <w:rsid w:val="006C608E"/>
    <w:rsid w:val="006D032F"/>
    <w:rsid w:val="006D0453"/>
    <w:rsid w:val="006D0550"/>
    <w:rsid w:val="006D0E7F"/>
    <w:rsid w:val="006D16A6"/>
    <w:rsid w:val="006D2557"/>
    <w:rsid w:val="006D2817"/>
    <w:rsid w:val="006D394A"/>
    <w:rsid w:val="006D3BEB"/>
    <w:rsid w:val="006D3C42"/>
    <w:rsid w:val="006D3CAD"/>
    <w:rsid w:val="006D3E0D"/>
    <w:rsid w:val="006D3F38"/>
    <w:rsid w:val="006D489D"/>
    <w:rsid w:val="006D50F4"/>
    <w:rsid w:val="006D594A"/>
    <w:rsid w:val="006D5A35"/>
    <w:rsid w:val="006D643D"/>
    <w:rsid w:val="006D6563"/>
    <w:rsid w:val="006D73D6"/>
    <w:rsid w:val="006D757F"/>
    <w:rsid w:val="006D77C2"/>
    <w:rsid w:val="006D7C8F"/>
    <w:rsid w:val="006D7EEB"/>
    <w:rsid w:val="006D7EF7"/>
    <w:rsid w:val="006E0D31"/>
    <w:rsid w:val="006E2120"/>
    <w:rsid w:val="006E22B6"/>
    <w:rsid w:val="006E24AF"/>
    <w:rsid w:val="006E2A92"/>
    <w:rsid w:val="006E36D6"/>
    <w:rsid w:val="006E42CE"/>
    <w:rsid w:val="006E443E"/>
    <w:rsid w:val="006E5435"/>
    <w:rsid w:val="006E654E"/>
    <w:rsid w:val="006E712D"/>
    <w:rsid w:val="006F0147"/>
    <w:rsid w:val="006F1914"/>
    <w:rsid w:val="006F2052"/>
    <w:rsid w:val="006F2F91"/>
    <w:rsid w:val="006F3FA8"/>
    <w:rsid w:val="006F45F5"/>
    <w:rsid w:val="006F4C1B"/>
    <w:rsid w:val="006F55A6"/>
    <w:rsid w:val="006F57C3"/>
    <w:rsid w:val="006F5AA7"/>
    <w:rsid w:val="006F5AD7"/>
    <w:rsid w:val="006F611E"/>
    <w:rsid w:val="006F65EE"/>
    <w:rsid w:val="006F6A9F"/>
    <w:rsid w:val="006F6D95"/>
    <w:rsid w:val="006F74A5"/>
    <w:rsid w:val="006F75C6"/>
    <w:rsid w:val="006F7B4F"/>
    <w:rsid w:val="00700BC0"/>
    <w:rsid w:val="0070130A"/>
    <w:rsid w:val="0070157F"/>
    <w:rsid w:val="00701F4A"/>
    <w:rsid w:val="00701FB5"/>
    <w:rsid w:val="007026B9"/>
    <w:rsid w:val="00702CC9"/>
    <w:rsid w:val="00702DFD"/>
    <w:rsid w:val="00703123"/>
    <w:rsid w:val="007031F7"/>
    <w:rsid w:val="00704B23"/>
    <w:rsid w:val="0070524E"/>
    <w:rsid w:val="0070698A"/>
    <w:rsid w:val="00706A6F"/>
    <w:rsid w:val="00706F13"/>
    <w:rsid w:val="00706F5F"/>
    <w:rsid w:val="00706FFA"/>
    <w:rsid w:val="0070702E"/>
    <w:rsid w:val="00707180"/>
    <w:rsid w:val="007072E8"/>
    <w:rsid w:val="00707ABF"/>
    <w:rsid w:val="0071081E"/>
    <w:rsid w:val="0071245C"/>
    <w:rsid w:val="00712D37"/>
    <w:rsid w:val="007130D0"/>
    <w:rsid w:val="007132F9"/>
    <w:rsid w:val="00713D0E"/>
    <w:rsid w:val="00713EC6"/>
    <w:rsid w:val="00714EB2"/>
    <w:rsid w:val="007158C6"/>
    <w:rsid w:val="007160FE"/>
    <w:rsid w:val="0071618D"/>
    <w:rsid w:val="00716EA8"/>
    <w:rsid w:val="00717ECE"/>
    <w:rsid w:val="007202DD"/>
    <w:rsid w:val="0072061B"/>
    <w:rsid w:val="00720985"/>
    <w:rsid w:val="0072154E"/>
    <w:rsid w:val="0072197D"/>
    <w:rsid w:val="00721A16"/>
    <w:rsid w:val="00721CB1"/>
    <w:rsid w:val="00721F7B"/>
    <w:rsid w:val="007224EF"/>
    <w:rsid w:val="00722504"/>
    <w:rsid w:val="007234AF"/>
    <w:rsid w:val="00723806"/>
    <w:rsid w:val="007241B7"/>
    <w:rsid w:val="007242D4"/>
    <w:rsid w:val="007245E2"/>
    <w:rsid w:val="00725FA4"/>
    <w:rsid w:val="007264FE"/>
    <w:rsid w:val="007267A9"/>
    <w:rsid w:val="00726EEB"/>
    <w:rsid w:val="0072749E"/>
    <w:rsid w:val="00727F83"/>
    <w:rsid w:val="007304D6"/>
    <w:rsid w:val="00731156"/>
    <w:rsid w:val="007313E8"/>
    <w:rsid w:val="0073143C"/>
    <w:rsid w:val="007319CF"/>
    <w:rsid w:val="00731B22"/>
    <w:rsid w:val="007325B0"/>
    <w:rsid w:val="00733C9A"/>
    <w:rsid w:val="00734321"/>
    <w:rsid w:val="0073597E"/>
    <w:rsid w:val="00736377"/>
    <w:rsid w:val="00736F10"/>
    <w:rsid w:val="00737268"/>
    <w:rsid w:val="007402FF"/>
    <w:rsid w:val="00740446"/>
    <w:rsid w:val="00741712"/>
    <w:rsid w:val="0074212D"/>
    <w:rsid w:val="007427CC"/>
    <w:rsid w:val="007434E2"/>
    <w:rsid w:val="00743809"/>
    <w:rsid w:val="007438A9"/>
    <w:rsid w:val="00743CCE"/>
    <w:rsid w:val="0074491E"/>
    <w:rsid w:val="00745325"/>
    <w:rsid w:val="00745D50"/>
    <w:rsid w:val="00746489"/>
    <w:rsid w:val="00746AEF"/>
    <w:rsid w:val="00746FD1"/>
    <w:rsid w:val="00747270"/>
    <w:rsid w:val="00747B9D"/>
    <w:rsid w:val="00747C13"/>
    <w:rsid w:val="0075075C"/>
    <w:rsid w:val="00751970"/>
    <w:rsid w:val="00751E8F"/>
    <w:rsid w:val="00752031"/>
    <w:rsid w:val="00753C4B"/>
    <w:rsid w:val="007546D0"/>
    <w:rsid w:val="00754AE0"/>
    <w:rsid w:val="00754E32"/>
    <w:rsid w:val="00755F79"/>
    <w:rsid w:val="00756468"/>
    <w:rsid w:val="007567E2"/>
    <w:rsid w:val="00756DFA"/>
    <w:rsid w:val="00756EC3"/>
    <w:rsid w:val="00757462"/>
    <w:rsid w:val="00757A3E"/>
    <w:rsid w:val="00757B24"/>
    <w:rsid w:val="00760160"/>
    <w:rsid w:val="00761339"/>
    <w:rsid w:val="007616CD"/>
    <w:rsid w:val="00761A28"/>
    <w:rsid w:val="00761F02"/>
    <w:rsid w:val="0076247A"/>
    <w:rsid w:val="007624BB"/>
    <w:rsid w:val="00762E7E"/>
    <w:rsid w:val="007631AF"/>
    <w:rsid w:val="007636CA"/>
    <w:rsid w:val="00763E5B"/>
    <w:rsid w:val="007644E1"/>
    <w:rsid w:val="00764956"/>
    <w:rsid w:val="00764FC5"/>
    <w:rsid w:val="00765BF3"/>
    <w:rsid w:val="007662B3"/>
    <w:rsid w:val="0076635A"/>
    <w:rsid w:val="007667A8"/>
    <w:rsid w:val="00766F53"/>
    <w:rsid w:val="0076777C"/>
    <w:rsid w:val="00770203"/>
    <w:rsid w:val="00770391"/>
    <w:rsid w:val="00770C05"/>
    <w:rsid w:val="0077189E"/>
    <w:rsid w:val="00772CB0"/>
    <w:rsid w:val="007732A6"/>
    <w:rsid w:val="00773386"/>
    <w:rsid w:val="00774B8D"/>
    <w:rsid w:val="00774FF8"/>
    <w:rsid w:val="00775271"/>
    <w:rsid w:val="00775964"/>
    <w:rsid w:val="00775C47"/>
    <w:rsid w:val="00776159"/>
    <w:rsid w:val="007765FE"/>
    <w:rsid w:val="0077671A"/>
    <w:rsid w:val="00776775"/>
    <w:rsid w:val="00776A7A"/>
    <w:rsid w:val="00776BD0"/>
    <w:rsid w:val="00777DBF"/>
    <w:rsid w:val="00780489"/>
    <w:rsid w:val="0078052E"/>
    <w:rsid w:val="00780F76"/>
    <w:rsid w:val="007810BE"/>
    <w:rsid w:val="007818F2"/>
    <w:rsid w:val="00781E11"/>
    <w:rsid w:val="00782BA7"/>
    <w:rsid w:val="007833A7"/>
    <w:rsid w:val="007833C9"/>
    <w:rsid w:val="007838D1"/>
    <w:rsid w:val="00785730"/>
    <w:rsid w:val="0078573A"/>
    <w:rsid w:val="00786458"/>
    <w:rsid w:val="00787219"/>
    <w:rsid w:val="00787FFA"/>
    <w:rsid w:val="00790034"/>
    <w:rsid w:val="007902A0"/>
    <w:rsid w:val="00790441"/>
    <w:rsid w:val="007905F7"/>
    <w:rsid w:val="00790ABF"/>
    <w:rsid w:val="00790E66"/>
    <w:rsid w:val="00792487"/>
    <w:rsid w:val="00794353"/>
    <w:rsid w:val="00794BAC"/>
    <w:rsid w:val="00794E60"/>
    <w:rsid w:val="007951A8"/>
    <w:rsid w:val="00795B57"/>
    <w:rsid w:val="00795BFB"/>
    <w:rsid w:val="0079655C"/>
    <w:rsid w:val="0079750B"/>
    <w:rsid w:val="007A0CF3"/>
    <w:rsid w:val="007A0F38"/>
    <w:rsid w:val="007A10D6"/>
    <w:rsid w:val="007A1BA2"/>
    <w:rsid w:val="007A223A"/>
    <w:rsid w:val="007A299D"/>
    <w:rsid w:val="007A4519"/>
    <w:rsid w:val="007A4753"/>
    <w:rsid w:val="007A570A"/>
    <w:rsid w:val="007A59A0"/>
    <w:rsid w:val="007A5A0A"/>
    <w:rsid w:val="007A5A47"/>
    <w:rsid w:val="007A6139"/>
    <w:rsid w:val="007A6F7F"/>
    <w:rsid w:val="007A766F"/>
    <w:rsid w:val="007A7B23"/>
    <w:rsid w:val="007A7CDD"/>
    <w:rsid w:val="007A7D76"/>
    <w:rsid w:val="007A7E06"/>
    <w:rsid w:val="007B095A"/>
    <w:rsid w:val="007B0989"/>
    <w:rsid w:val="007B0CD0"/>
    <w:rsid w:val="007B0F22"/>
    <w:rsid w:val="007B2424"/>
    <w:rsid w:val="007B2617"/>
    <w:rsid w:val="007B2760"/>
    <w:rsid w:val="007B35F6"/>
    <w:rsid w:val="007B361C"/>
    <w:rsid w:val="007B4F3D"/>
    <w:rsid w:val="007B5720"/>
    <w:rsid w:val="007B5D12"/>
    <w:rsid w:val="007B5E9A"/>
    <w:rsid w:val="007B5F8B"/>
    <w:rsid w:val="007B6A62"/>
    <w:rsid w:val="007B71A2"/>
    <w:rsid w:val="007B7211"/>
    <w:rsid w:val="007B7859"/>
    <w:rsid w:val="007B796D"/>
    <w:rsid w:val="007C14BA"/>
    <w:rsid w:val="007C1C5C"/>
    <w:rsid w:val="007C266F"/>
    <w:rsid w:val="007C2CB7"/>
    <w:rsid w:val="007C3D92"/>
    <w:rsid w:val="007C4779"/>
    <w:rsid w:val="007C51B6"/>
    <w:rsid w:val="007C52AB"/>
    <w:rsid w:val="007C543C"/>
    <w:rsid w:val="007C5765"/>
    <w:rsid w:val="007C5866"/>
    <w:rsid w:val="007C6311"/>
    <w:rsid w:val="007C6478"/>
    <w:rsid w:val="007C667B"/>
    <w:rsid w:val="007C6720"/>
    <w:rsid w:val="007C689F"/>
    <w:rsid w:val="007C6DF4"/>
    <w:rsid w:val="007D030C"/>
    <w:rsid w:val="007D0F59"/>
    <w:rsid w:val="007D10C6"/>
    <w:rsid w:val="007D139A"/>
    <w:rsid w:val="007D15B2"/>
    <w:rsid w:val="007D1E3E"/>
    <w:rsid w:val="007D2144"/>
    <w:rsid w:val="007D2BF0"/>
    <w:rsid w:val="007D2EB4"/>
    <w:rsid w:val="007D39F7"/>
    <w:rsid w:val="007D3F74"/>
    <w:rsid w:val="007D400B"/>
    <w:rsid w:val="007D40FE"/>
    <w:rsid w:val="007D47E9"/>
    <w:rsid w:val="007D4AC8"/>
    <w:rsid w:val="007D4BDB"/>
    <w:rsid w:val="007D4D34"/>
    <w:rsid w:val="007D5097"/>
    <w:rsid w:val="007D5237"/>
    <w:rsid w:val="007D5B60"/>
    <w:rsid w:val="007D793F"/>
    <w:rsid w:val="007E015A"/>
    <w:rsid w:val="007E01D6"/>
    <w:rsid w:val="007E0298"/>
    <w:rsid w:val="007E0CC2"/>
    <w:rsid w:val="007E0EE1"/>
    <w:rsid w:val="007E13C5"/>
    <w:rsid w:val="007E14A3"/>
    <w:rsid w:val="007E3184"/>
    <w:rsid w:val="007E34CC"/>
    <w:rsid w:val="007E4121"/>
    <w:rsid w:val="007E43C4"/>
    <w:rsid w:val="007E4A18"/>
    <w:rsid w:val="007E4A19"/>
    <w:rsid w:val="007E4AF0"/>
    <w:rsid w:val="007E6094"/>
    <w:rsid w:val="007E72CA"/>
    <w:rsid w:val="007E7590"/>
    <w:rsid w:val="007E79B7"/>
    <w:rsid w:val="007F0337"/>
    <w:rsid w:val="007F0361"/>
    <w:rsid w:val="007F0C9C"/>
    <w:rsid w:val="007F0D30"/>
    <w:rsid w:val="007F0E1F"/>
    <w:rsid w:val="007F18A8"/>
    <w:rsid w:val="007F20DF"/>
    <w:rsid w:val="007F2304"/>
    <w:rsid w:val="007F2631"/>
    <w:rsid w:val="007F3306"/>
    <w:rsid w:val="007F3EB7"/>
    <w:rsid w:val="007F4514"/>
    <w:rsid w:val="007F4754"/>
    <w:rsid w:val="007F4EDE"/>
    <w:rsid w:val="007F523F"/>
    <w:rsid w:val="007F5801"/>
    <w:rsid w:val="007F5C72"/>
    <w:rsid w:val="007F5D28"/>
    <w:rsid w:val="007F60ED"/>
    <w:rsid w:val="007F657D"/>
    <w:rsid w:val="007F693B"/>
    <w:rsid w:val="007F7077"/>
    <w:rsid w:val="007F76DA"/>
    <w:rsid w:val="007F7E38"/>
    <w:rsid w:val="0080025F"/>
    <w:rsid w:val="00800BD9"/>
    <w:rsid w:val="00800E56"/>
    <w:rsid w:val="00800E64"/>
    <w:rsid w:val="00801FFA"/>
    <w:rsid w:val="008024FC"/>
    <w:rsid w:val="00802762"/>
    <w:rsid w:val="00802C8D"/>
    <w:rsid w:val="0080345F"/>
    <w:rsid w:val="0080425C"/>
    <w:rsid w:val="00804950"/>
    <w:rsid w:val="00804EEE"/>
    <w:rsid w:val="008050B8"/>
    <w:rsid w:val="00805567"/>
    <w:rsid w:val="00805874"/>
    <w:rsid w:val="00805A37"/>
    <w:rsid w:val="00805F15"/>
    <w:rsid w:val="00806C01"/>
    <w:rsid w:val="00807273"/>
    <w:rsid w:val="00807A08"/>
    <w:rsid w:val="00807E09"/>
    <w:rsid w:val="00807F05"/>
    <w:rsid w:val="00810BE0"/>
    <w:rsid w:val="00812AD9"/>
    <w:rsid w:val="008137D1"/>
    <w:rsid w:val="00813839"/>
    <w:rsid w:val="00813908"/>
    <w:rsid w:val="00813C04"/>
    <w:rsid w:val="0081481D"/>
    <w:rsid w:val="008148CC"/>
    <w:rsid w:val="00814B85"/>
    <w:rsid w:val="00814D59"/>
    <w:rsid w:val="00814EE0"/>
    <w:rsid w:val="00815408"/>
    <w:rsid w:val="0081630D"/>
    <w:rsid w:val="008167B6"/>
    <w:rsid w:val="0081708A"/>
    <w:rsid w:val="00817625"/>
    <w:rsid w:val="00817846"/>
    <w:rsid w:val="00820794"/>
    <w:rsid w:val="008210A2"/>
    <w:rsid w:val="008211A4"/>
    <w:rsid w:val="00821797"/>
    <w:rsid w:val="00821A08"/>
    <w:rsid w:val="00821AA9"/>
    <w:rsid w:val="00822BE6"/>
    <w:rsid w:val="00822D51"/>
    <w:rsid w:val="0082340B"/>
    <w:rsid w:val="0082345D"/>
    <w:rsid w:val="0082417E"/>
    <w:rsid w:val="00824778"/>
    <w:rsid w:val="008248DF"/>
    <w:rsid w:val="008254FC"/>
    <w:rsid w:val="008263EB"/>
    <w:rsid w:val="00826AE0"/>
    <w:rsid w:val="00826CC6"/>
    <w:rsid w:val="0082750D"/>
    <w:rsid w:val="0082774E"/>
    <w:rsid w:val="00827893"/>
    <w:rsid w:val="008303E9"/>
    <w:rsid w:val="00830DFB"/>
    <w:rsid w:val="00831A19"/>
    <w:rsid w:val="00831DC1"/>
    <w:rsid w:val="0083274D"/>
    <w:rsid w:val="008334AE"/>
    <w:rsid w:val="008339A3"/>
    <w:rsid w:val="00833DC8"/>
    <w:rsid w:val="00834411"/>
    <w:rsid w:val="008346AF"/>
    <w:rsid w:val="00834A37"/>
    <w:rsid w:val="0083509A"/>
    <w:rsid w:val="00835290"/>
    <w:rsid w:val="008360FC"/>
    <w:rsid w:val="008365C2"/>
    <w:rsid w:val="00836609"/>
    <w:rsid w:val="008368F1"/>
    <w:rsid w:val="00836977"/>
    <w:rsid w:val="0083705E"/>
    <w:rsid w:val="0083734E"/>
    <w:rsid w:val="00837F44"/>
    <w:rsid w:val="008404DF"/>
    <w:rsid w:val="00841F41"/>
    <w:rsid w:val="00842138"/>
    <w:rsid w:val="00843CE8"/>
    <w:rsid w:val="00844603"/>
    <w:rsid w:val="00844B1A"/>
    <w:rsid w:val="00845203"/>
    <w:rsid w:val="00846EBD"/>
    <w:rsid w:val="0084730E"/>
    <w:rsid w:val="0084779A"/>
    <w:rsid w:val="008479FF"/>
    <w:rsid w:val="00847B74"/>
    <w:rsid w:val="00850800"/>
    <w:rsid w:val="00851155"/>
    <w:rsid w:val="00851C34"/>
    <w:rsid w:val="0085240E"/>
    <w:rsid w:val="008527B5"/>
    <w:rsid w:val="00852BA6"/>
    <w:rsid w:val="00852BBA"/>
    <w:rsid w:val="0085317C"/>
    <w:rsid w:val="0085379E"/>
    <w:rsid w:val="00853915"/>
    <w:rsid w:val="00853F5D"/>
    <w:rsid w:val="00854910"/>
    <w:rsid w:val="00854A95"/>
    <w:rsid w:val="00855277"/>
    <w:rsid w:val="0085560F"/>
    <w:rsid w:val="008557F9"/>
    <w:rsid w:val="0085582A"/>
    <w:rsid w:val="008561DA"/>
    <w:rsid w:val="00856DB0"/>
    <w:rsid w:val="00856FB5"/>
    <w:rsid w:val="008570D6"/>
    <w:rsid w:val="008577D0"/>
    <w:rsid w:val="00860101"/>
    <w:rsid w:val="00860266"/>
    <w:rsid w:val="00860C48"/>
    <w:rsid w:val="00862010"/>
    <w:rsid w:val="00862C82"/>
    <w:rsid w:val="00862FD1"/>
    <w:rsid w:val="008634E4"/>
    <w:rsid w:val="00863B7D"/>
    <w:rsid w:val="008641A3"/>
    <w:rsid w:val="00864DF2"/>
    <w:rsid w:val="00865302"/>
    <w:rsid w:val="008657E9"/>
    <w:rsid w:val="00865DD0"/>
    <w:rsid w:val="00865F1E"/>
    <w:rsid w:val="00865FC7"/>
    <w:rsid w:val="00866B2F"/>
    <w:rsid w:val="0087001A"/>
    <w:rsid w:val="0087038A"/>
    <w:rsid w:val="00870498"/>
    <w:rsid w:val="0087054E"/>
    <w:rsid w:val="008707D8"/>
    <w:rsid w:val="0087105D"/>
    <w:rsid w:val="00871127"/>
    <w:rsid w:val="00871381"/>
    <w:rsid w:val="00871AE7"/>
    <w:rsid w:val="008720ED"/>
    <w:rsid w:val="00872A86"/>
    <w:rsid w:val="00872ACB"/>
    <w:rsid w:val="00872FA6"/>
    <w:rsid w:val="00873150"/>
    <w:rsid w:val="008749B9"/>
    <w:rsid w:val="00874ADA"/>
    <w:rsid w:val="0087657D"/>
    <w:rsid w:val="00876CC1"/>
    <w:rsid w:val="00876F69"/>
    <w:rsid w:val="008803F3"/>
    <w:rsid w:val="008807D5"/>
    <w:rsid w:val="00880832"/>
    <w:rsid w:val="008817B3"/>
    <w:rsid w:val="008817DA"/>
    <w:rsid w:val="00881968"/>
    <w:rsid w:val="00881A2C"/>
    <w:rsid w:val="00881DFD"/>
    <w:rsid w:val="00882046"/>
    <w:rsid w:val="00884344"/>
    <w:rsid w:val="0088438E"/>
    <w:rsid w:val="0088455F"/>
    <w:rsid w:val="00884584"/>
    <w:rsid w:val="00884D15"/>
    <w:rsid w:val="008858F8"/>
    <w:rsid w:val="00885BE0"/>
    <w:rsid w:val="00886992"/>
    <w:rsid w:val="00886EE1"/>
    <w:rsid w:val="0088727D"/>
    <w:rsid w:val="008874AE"/>
    <w:rsid w:val="00887778"/>
    <w:rsid w:val="00890C1C"/>
    <w:rsid w:val="008910BE"/>
    <w:rsid w:val="008916E7"/>
    <w:rsid w:val="00891C4A"/>
    <w:rsid w:val="00892933"/>
    <w:rsid w:val="00892C9F"/>
    <w:rsid w:val="00892FE7"/>
    <w:rsid w:val="0089361E"/>
    <w:rsid w:val="0089421C"/>
    <w:rsid w:val="00895B2C"/>
    <w:rsid w:val="00895C66"/>
    <w:rsid w:val="0089652A"/>
    <w:rsid w:val="00896DC1"/>
    <w:rsid w:val="008970D2"/>
    <w:rsid w:val="00897A5D"/>
    <w:rsid w:val="00897C75"/>
    <w:rsid w:val="008A0243"/>
    <w:rsid w:val="008A066F"/>
    <w:rsid w:val="008A0B31"/>
    <w:rsid w:val="008A1B3D"/>
    <w:rsid w:val="008A205F"/>
    <w:rsid w:val="008A2549"/>
    <w:rsid w:val="008A2F58"/>
    <w:rsid w:val="008A38F4"/>
    <w:rsid w:val="008A41DE"/>
    <w:rsid w:val="008A4DD5"/>
    <w:rsid w:val="008A4F0C"/>
    <w:rsid w:val="008A5141"/>
    <w:rsid w:val="008A573A"/>
    <w:rsid w:val="008A58C5"/>
    <w:rsid w:val="008A5A4D"/>
    <w:rsid w:val="008A6103"/>
    <w:rsid w:val="008A6FA1"/>
    <w:rsid w:val="008A72BE"/>
    <w:rsid w:val="008A756A"/>
    <w:rsid w:val="008A7885"/>
    <w:rsid w:val="008A7E41"/>
    <w:rsid w:val="008A7E58"/>
    <w:rsid w:val="008B0752"/>
    <w:rsid w:val="008B0BCA"/>
    <w:rsid w:val="008B0C20"/>
    <w:rsid w:val="008B1501"/>
    <w:rsid w:val="008B1543"/>
    <w:rsid w:val="008B173B"/>
    <w:rsid w:val="008B220D"/>
    <w:rsid w:val="008B2589"/>
    <w:rsid w:val="008B370B"/>
    <w:rsid w:val="008B385E"/>
    <w:rsid w:val="008B3B03"/>
    <w:rsid w:val="008B3C18"/>
    <w:rsid w:val="008B3D84"/>
    <w:rsid w:val="008B3E68"/>
    <w:rsid w:val="008B49A0"/>
    <w:rsid w:val="008B4BAD"/>
    <w:rsid w:val="008B549E"/>
    <w:rsid w:val="008B79DB"/>
    <w:rsid w:val="008B7F2D"/>
    <w:rsid w:val="008C0852"/>
    <w:rsid w:val="008C1130"/>
    <w:rsid w:val="008C1B6A"/>
    <w:rsid w:val="008C2048"/>
    <w:rsid w:val="008C2D5D"/>
    <w:rsid w:val="008C303A"/>
    <w:rsid w:val="008C3E52"/>
    <w:rsid w:val="008C401E"/>
    <w:rsid w:val="008C42F5"/>
    <w:rsid w:val="008C43DC"/>
    <w:rsid w:val="008C464D"/>
    <w:rsid w:val="008C4AE9"/>
    <w:rsid w:val="008C4BAE"/>
    <w:rsid w:val="008C4DB9"/>
    <w:rsid w:val="008C4DCC"/>
    <w:rsid w:val="008C4DD6"/>
    <w:rsid w:val="008C571F"/>
    <w:rsid w:val="008C62B9"/>
    <w:rsid w:val="008C66E6"/>
    <w:rsid w:val="008C66ED"/>
    <w:rsid w:val="008C7804"/>
    <w:rsid w:val="008C79A9"/>
    <w:rsid w:val="008C7DE5"/>
    <w:rsid w:val="008C7FDB"/>
    <w:rsid w:val="008D04A9"/>
    <w:rsid w:val="008D1130"/>
    <w:rsid w:val="008D18E6"/>
    <w:rsid w:val="008D1CA0"/>
    <w:rsid w:val="008D227C"/>
    <w:rsid w:val="008D2C28"/>
    <w:rsid w:val="008D2F15"/>
    <w:rsid w:val="008D31DE"/>
    <w:rsid w:val="008D32F0"/>
    <w:rsid w:val="008D3424"/>
    <w:rsid w:val="008D36C8"/>
    <w:rsid w:val="008D4513"/>
    <w:rsid w:val="008D462E"/>
    <w:rsid w:val="008D4BCA"/>
    <w:rsid w:val="008D538A"/>
    <w:rsid w:val="008D55A9"/>
    <w:rsid w:val="008D6A65"/>
    <w:rsid w:val="008D78F4"/>
    <w:rsid w:val="008D7A9B"/>
    <w:rsid w:val="008D7CA2"/>
    <w:rsid w:val="008E1C05"/>
    <w:rsid w:val="008E2118"/>
    <w:rsid w:val="008E2DAC"/>
    <w:rsid w:val="008E2F4A"/>
    <w:rsid w:val="008E4B42"/>
    <w:rsid w:val="008E5B20"/>
    <w:rsid w:val="008E5D8F"/>
    <w:rsid w:val="008E64DD"/>
    <w:rsid w:val="008E6F6E"/>
    <w:rsid w:val="008E70DD"/>
    <w:rsid w:val="008E7584"/>
    <w:rsid w:val="008E76AC"/>
    <w:rsid w:val="008F035E"/>
    <w:rsid w:val="008F057E"/>
    <w:rsid w:val="008F11DD"/>
    <w:rsid w:val="008F1403"/>
    <w:rsid w:val="008F18D2"/>
    <w:rsid w:val="008F1B6C"/>
    <w:rsid w:val="008F1E10"/>
    <w:rsid w:val="008F1E5F"/>
    <w:rsid w:val="008F2086"/>
    <w:rsid w:val="008F209A"/>
    <w:rsid w:val="008F20FD"/>
    <w:rsid w:val="008F21F6"/>
    <w:rsid w:val="008F2649"/>
    <w:rsid w:val="008F3209"/>
    <w:rsid w:val="008F3FAA"/>
    <w:rsid w:val="008F460B"/>
    <w:rsid w:val="008F4D05"/>
    <w:rsid w:val="008F4F4C"/>
    <w:rsid w:val="008F4F52"/>
    <w:rsid w:val="008F52C3"/>
    <w:rsid w:val="008F5A34"/>
    <w:rsid w:val="008F67D9"/>
    <w:rsid w:val="008F7434"/>
    <w:rsid w:val="008F7F7E"/>
    <w:rsid w:val="009000A9"/>
    <w:rsid w:val="00900FAF"/>
    <w:rsid w:val="0090144C"/>
    <w:rsid w:val="00901E63"/>
    <w:rsid w:val="009025CA"/>
    <w:rsid w:val="0090264D"/>
    <w:rsid w:val="009033FA"/>
    <w:rsid w:val="009039F3"/>
    <w:rsid w:val="00903E1A"/>
    <w:rsid w:val="0090471A"/>
    <w:rsid w:val="00905366"/>
    <w:rsid w:val="0090539D"/>
    <w:rsid w:val="00906B3E"/>
    <w:rsid w:val="00906E99"/>
    <w:rsid w:val="009076EF"/>
    <w:rsid w:val="009077B5"/>
    <w:rsid w:val="00910695"/>
    <w:rsid w:val="00910EC5"/>
    <w:rsid w:val="0091150E"/>
    <w:rsid w:val="009115EE"/>
    <w:rsid w:val="00911877"/>
    <w:rsid w:val="00911DE7"/>
    <w:rsid w:val="009124F3"/>
    <w:rsid w:val="00912537"/>
    <w:rsid w:val="00912E33"/>
    <w:rsid w:val="009138D1"/>
    <w:rsid w:val="00914212"/>
    <w:rsid w:val="009142BF"/>
    <w:rsid w:val="009148E0"/>
    <w:rsid w:val="00915A28"/>
    <w:rsid w:val="00915BD9"/>
    <w:rsid w:val="009164EC"/>
    <w:rsid w:val="00916751"/>
    <w:rsid w:val="00916E0C"/>
    <w:rsid w:val="00916E79"/>
    <w:rsid w:val="0091743C"/>
    <w:rsid w:val="009202E4"/>
    <w:rsid w:val="009204CE"/>
    <w:rsid w:val="00920E83"/>
    <w:rsid w:val="0092158C"/>
    <w:rsid w:val="00921ED2"/>
    <w:rsid w:val="00922112"/>
    <w:rsid w:val="00922328"/>
    <w:rsid w:val="0092237A"/>
    <w:rsid w:val="00922A42"/>
    <w:rsid w:val="00922A54"/>
    <w:rsid w:val="0092364C"/>
    <w:rsid w:val="00923892"/>
    <w:rsid w:val="00923FD5"/>
    <w:rsid w:val="009251E0"/>
    <w:rsid w:val="009253DC"/>
    <w:rsid w:val="00925D29"/>
    <w:rsid w:val="0092636A"/>
    <w:rsid w:val="00926A15"/>
    <w:rsid w:val="00926FC7"/>
    <w:rsid w:val="00927002"/>
    <w:rsid w:val="009303B3"/>
    <w:rsid w:val="009304C4"/>
    <w:rsid w:val="009307A4"/>
    <w:rsid w:val="009311FB"/>
    <w:rsid w:val="009315F9"/>
    <w:rsid w:val="00931691"/>
    <w:rsid w:val="009317D5"/>
    <w:rsid w:val="0093195E"/>
    <w:rsid w:val="00931FC2"/>
    <w:rsid w:val="009322BE"/>
    <w:rsid w:val="00934163"/>
    <w:rsid w:val="009353DF"/>
    <w:rsid w:val="00935BDA"/>
    <w:rsid w:val="00936D61"/>
    <w:rsid w:val="00937E6A"/>
    <w:rsid w:val="00940779"/>
    <w:rsid w:val="009413F9"/>
    <w:rsid w:val="0094170E"/>
    <w:rsid w:val="0094240E"/>
    <w:rsid w:val="009424E6"/>
    <w:rsid w:val="009426E4"/>
    <w:rsid w:val="00942862"/>
    <w:rsid w:val="00942B17"/>
    <w:rsid w:val="009431FC"/>
    <w:rsid w:val="009434D0"/>
    <w:rsid w:val="0094390A"/>
    <w:rsid w:val="00943A49"/>
    <w:rsid w:val="00943C28"/>
    <w:rsid w:val="00943D9B"/>
    <w:rsid w:val="009443B2"/>
    <w:rsid w:val="009449EB"/>
    <w:rsid w:val="00944D54"/>
    <w:rsid w:val="00945262"/>
    <w:rsid w:val="009454C6"/>
    <w:rsid w:val="00946230"/>
    <w:rsid w:val="00946CD2"/>
    <w:rsid w:val="00946DA2"/>
    <w:rsid w:val="00947256"/>
    <w:rsid w:val="00947A45"/>
    <w:rsid w:val="00947E01"/>
    <w:rsid w:val="009500B9"/>
    <w:rsid w:val="0095052C"/>
    <w:rsid w:val="00950D25"/>
    <w:rsid w:val="00951652"/>
    <w:rsid w:val="00951EEF"/>
    <w:rsid w:val="00951F79"/>
    <w:rsid w:val="00952E6F"/>
    <w:rsid w:val="00953D94"/>
    <w:rsid w:val="009548BF"/>
    <w:rsid w:val="00955001"/>
    <w:rsid w:val="009556A3"/>
    <w:rsid w:val="00955C28"/>
    <w:rsid w:val="00956B6C"/>
    <w:rsid w:val="0095702B"/>
    <w:rsid w:val="0095737C"/>
    <w:rsid w:val="00957AFA"/>
    <w:rsid w:val="00957D90"/>
    <w:rsid w:val="009608BF"/>
    <w:rsid w:val="00961272"/>
    <w:rsid w:val="009617BA"/>
    <w:rsid w:val="00961B66"/>
    <w:rsid w:val="00961D9C"/>
    <w:rsid w:val="00961E52"/>
    <w:rsid w:val="009624B2"/>
    <w:rsid w:val="00962F94"/>
    <w:rsid w:val="00963079"/>
    <w:rsid w:val="009630CB"/>
    <w:rsid w:val="009641E0"/>
    <w:rsid w:val="009645F0"/>
    <w:rsid w:val="00964837"/>
    <w:rsid w:val="00964E37"/>
    <w:rsid w:val="009668C2"/>
    <w:rsid w:val="0096779C"/>
    <w:rsid w:val="00967818"/>
    <w:rsid w:val="00967846"/>
    <w:rsid w:val="00967F14"/>
    <w:rsid w:val="009702EF"/>
    <w:rsid w:val="0097042F"/>
    <w:rsid w:val="00970AB5"/>
    <w:rsid w:val="00970F05"/>
    <w:rsid w:val="0097137B"/>
    <w:rsid w:val="0097184C"/>
    <w:rsid w:val="00971C1D"/>
    <w:rsid w:val="00971CAE"/>
    <w:rsid w:val="00972067"/>
    <w:rsid w:val="00972810"/>
    <w:rsid w:val="0097332C"/>
    <w:rsid w:val="00973B27"/>
    <w:rsid w:val="009740AD"/>
    <w:rsid w:val="0097484B"/>
    <w:rsid w:val="009749BF"/>
    <w:rsid w:val="00974A51"/>
    <w:rsid w:val="00974AB5"/>
    <w:rsid w:val="00975FE2"/>
    <w:rsid w:val="009768B3"/>
    <w:rsid w:val="00976FA3"/>
    <w:rsid w:val="009773D9"/>
    <w:rsid w:val="0097762F"/>
    <w:rsid w:val="00977B56"/>
    <w:rsid w:val="0098014A"/>
    <w:rsid w:val="00980CC0"/>
    <w:rsid w:val="00980CE6"/>
    <w:rsid w:val="00981454"/>
    <w:rsid w:val="00981EC9"/>
    <w:rsid w:val="00982133"/>
    <w:rsid w:val="00982C98"/>
    <w:rsid w:val="0098306D"/>
    <w:rsid w:val="009835A3"/>
    <w:rsid w:val="009838BB"/>
    <w:rsid w:val="009839DB"/>
    <w:rsid w:val="00983AC3"/>
    <w:rsid w:val="00984450"/>
    <w:rsid w:val="009849EF"/>
    <w:rsid w:val="00984A11"/>
    <w:rsid w:val="00984F50"/>
    <w:rsid w:val="009856DC"/>
    <w:rsid w:val="009858BC"/>
    <w:rsid w:val="00985E0A"/>
    <w:rsid w:val="009861D3"/>
    <w:rsid w:val="0098635A"/>
    <w:rsid w:val="0098685C"/>
    <w:rsid w:val="009868C9"/>
    <w:rsid w:val="00986D00"/>
    <w:rsid w:val="0098704F"/>
    <w:rsid w:val="0098706D"/>
    <w:rsid w:val="00987A3B"/>
    <w:rsid w:val="00987A78"/>
    <w:rsid w:val="009906B3"/>
    <w:rsid w:val="00991053"/>
    <w:rsid w:val="00991279"/>
    <w:rsid w:val="0099183C"/>
    <w:rsid w:val="00991C8F"/>
    <w:rsid w:val="009935FB"/>
    <w:rsid w:val="00993C4E"/>
    <w:rsid w:val="009947A4"/>
    <w:rsid w:val="00995A85"/>
    <w:rsid w:val="00995CD6"/>
    <w:rsid w:val="00996FBB"/>
    <w:rsid w:val="00997427"/>
    <w:rsid w:val="0099791B"/>
    <w:rsid w:val="00997DB6"/>
    <w:rsid w:val="009A0BE3"/>
    <w:rsid w:val="009A1546"/>
    <w:rsid w:val="009A2471"/>
    <w:rsid w:val="009A2A6E"/>
    <w:rsid w:val="009A358A"/>
    <w:rsid w:val="009A3677"/>
    <w:rsid w:val="009A3699"/>
    <w:rsid w:val="009A3CB4"/>
    <w:rsid w:val="009A40CB"/>
    <w:rsid w:val="009A45AE"/>
    <w:rsid w:val="009A48BD"/>
    <w:rsid w:val="009A4937"/>
    <w:rsid w:val="009A5085"/>
    <w:rsid w:val="009A5363"/>
    <w:rsid w:val="009A577F"/>
    <w:rsid w:val="009A5801"/>
    <w:rsid w:val="009A5A79"/>
    <w:rsid w:val="009A718C"/>
    <w:rsid w:val="009A7FBB"/>
    <w:rsid w:val="009B0512"/>
    <w:rsid w:val="009B08CE"/>
    <w:rsid w:val="009B0DB1"/>
    <w:rsid w:val="009B0EAA"/>
    <w:rsid w:val="009B0F5D"/>
    <w:rsid w:val="009B16DD"/>
    <w:rsid w:val="009B1E44"/>
    <w:rsid w:val="009B23A4"/>
    <w:rsid w:val="009B24A0"/>
    <w:rsid w:val="009B251A"/>
    <w:rsid w:val="009B2AE1"/>
    <w:rsid w:val="009B2CD0"/>
    <w:rsid w:val="009B2E29"/>
    <w:rsid w:val="009B3FBE"/>
    <w:rsid w:val="009B47B8"/>
    <w:rsid w:val="009B4EC1"/>
    <w:rsid w:val="009B5B47"/>
    <w:rsid w:val="009B5BF0"/>
    <w:rsid w:val="009B650E"/>
    <w:rsid w:val="009B684E"/>
    <w:rsid w:val="009B6A4D"/>
    <w:rsid w:val="009B719C"/>
    <w:rsid w:val="009C1259"/>
    <w:rsid w:val="009C1F98"/>
    <w:rsid w:val="009C2CDC"/>
    <w:rsid w:val="009C2FE7"/>
    <w:rsid w:val="009C39E9"/>
    <w:rsid w:val="009C43A9"/>
    <w:rsid w:val="009C4611"/>
    <w:rsid w:val="009C4E15"/>
    <w:rsid w:val="009C5517"/>
    <w:rsid w:val="009C5638"/>
    <w:rsid w:val="009C5B8B"/>
    <w:rsid w:val="009C5DF9"/>
    <w:rsid w:val="009C5EF8"/>
    <w:rsid w:val="009C6A00"/>
    <w:rsid w:val="009C7377"/>
    <w:rsid w:val="009C7834"/>
    <w:rsid w:val="009C7C72"/>
    <w:rsid w:val="009C7F0C"/>
    <w:rsid w:val="009C7F5D"/>
    <w:rsid w:val="009D181B"/>
    <w:rsid w:val="009D1FFE"/>
    <w:rsid w:val="009D228A"/>
    <w:rsid w:val="009D26E4"/>
    <w:rsid w:val="009D29B9"/>
    <w:rsid w:val="009D3F90"/>
    <w:rsid w:val="009D42DC"/>
    <w:rsid w:val="009D53AA"/>
    <w:rsid w:val="009D5B19"/>
    <w:rsid w:val="009D75A2"/>
    <w:rsid w:val="009D7E92"/>
    <w:rsid w:val="009E01CC"/>
    <w:rsid w:val="009E040C"/>
    <w:rsid w:val="009E045A"/>
    <w:rsid w:val="009E0BEC"/>
    <w:rsid w:val="009E0E69"/>
    <w:rsid w:val="009E1442"/>
    <w:rsid w:val="009E1760"/>
    <w:rsid w:val="009E1D42"/>
    <w:rsid w:val="009E2C2B"/>
    <w:rsid w:val="009E3519"/>
    <w:rsid w:val="009E3B2E"/>
    <w:rsid w:val="009E3FBC"/>
    <w:rsid w:val="009E5101"/>
    <w:rsid w:val="009E5D0C"/>
    <w:rsid w:val="009E5FE5"/>
    <w:rsid w:val="009E6687"/>
    <w:rsid w:val="009E66DF"/>
    <w:rsid w:val="009E7833"/>
    <w:rsid w:val="009E7D6E"/>
    <w:rsid w:val="009F00F4"/>
    <w:rsid w:val="009F014E"/>
    <w:rsid w:val="009F05C2"/>
    <w:rsid w:val="009F0EA9"/>
    <w:rsid w:val="009F1067"/>
    <w:rsid w:val="009F1422"/>
    <w:rsid w:val="009F1C65"/>
    <w:rsid w:val="009F2008"/>
    <w:rsid w:val="009F27EF"/>
    <w:rsid w:val="009F308B"/>
    <w:rsid w:val="009F3EAA"/>
    <w:rsid w:val="009F4523"/>
    <w:rsid w:val="009F46E8"/>
    <w:rsid w:val="009F4A54"/>
    <w:rsid w:val="009F4BEC"/>
    <w:rsid w:val="009F55E7"/>
    <w:rsid w:val="009F66BE"/>
    <w:rsid w:val="009F77AD"/>
    <w:rsid w:val="009F7D26"/>
    <w:rsid w:val="00A00412"/>
    <w:rsid w:val="00A0087D"/>
    <w:rsid w:val="00A01227"/>
    <w:rsid w:val="00A02005"/>
    <w:rsid w:val="00A02A35"/>
    <w:rsid w:val="00A035D1"/>
    <w:rsid w:val="00A0383E"/>
    <w:rsid w:val="00A04891"/>
    <w:rsid w:val="00A04BAA"/>
    <w:rsid w:val="00A04D07"/>
    <w:rsid w:val="00A058BC"/>
    <w:rsid w:val="00A05918"/>
    <w:rsid w:val="00A06C9A"/>
    <w:rsid w:val="00A06EBF"/>
    <w:rsid w:val="00A0773B"/>
    <w:rsid w:val="00A10266"/>
    <w:rsid w:val="00A11034"/>
    <w:rsid w:val="00A1129E"/>
    <w:rsid w:val="00A11759"/>
    <w:rsid w:val="00A11A8C"/>
    <w:rsid w:val="00A12305"/>
    <w:rsid w:val="00A12B6F"/>
    <w:rsid w:val="00A12BEB"/>
    <w:rsid w:val="00A12F7B"/>
    <w:rsid w:val="00A12FCC"/>
    <w:rsid w:val="00A13243"/>
    <w:rsid w:val="00A13E30"/>
    <w:rsid w:val="00A14EA8"/>
    <w:rsid w:val="00A1540B"/>
    <w:rsid w:val="00A15A77"/>
    <w:rsid w:val="00A15B44"/>
    <w:rsid w:val="00A16106"/>
    <w:rsid w:val="00A16111"/>
    <w:rsid w:val="00A1618F"/>
    <w:rsid w:val="00A169CF"/>
    <w:rsid w:val="00A1714D"/>
    <w:rsid w:val="00A20326"/>
    <w:rsid w:val="00A20444"/>
    <w:rsid w:val="00A20616"/>
    <w:rsid w:val="00A20E4C"/>
    <w:rsid w:val="00A21C1A"/>
    <w:rsid w:val="00A24CC3"/>
    <w:rsid w:val="00A24EF2"/>
    <w:rsid w:val="00A253A8"/>
    <w:rsid w:val="00A25983"/>
    <w:rsid w:val="00A25FD7"/>
    <w:rsid w:val="00A2614F"/>
    <w:rsid w:val="00A27C03"/>
    <w:rsid w:val="00A27DFA"/>
    <w:rsid w:val="00A27F03"/>
    <w:rsid w:val="00A304F5"/>
    <w:rsid w:val="00A30C52"/>
    <w:rsid w:val="00A31187"/>
    <w:rsid w:val="00A31737"/>
    <w:rsid w:val="00A31C48"/>
    <w:rsid w:val="00A328C0"/>
    <w:rsid w:val="00A32F10"/>
    <w:rsid w:val="00A337E2"/>
    <w:rsid w:val="00A33A56"/>
    <w:rsid w:val="00A33B76"/>
    <w:rsid w:val="00A33E67"/>
    <w:rsid w:val="00A33E9B"/>
    <w:rsid w:val="00A351C4"/>
    <w:rsid w:val="00A3581D"/>
    <w:rsid w:val="00A3618F"/>
    <w:rsid w:val="00A361EC"/>
    <w:rsid w:val="00A36D39"/>
    <w:rsid w:val="00A377D8"/>
    <w:rsid w:val="00A37CE1"/>
    <w:rsid w:val="00A4007F"/>
    <w:rsid w:val="00A40671"/>
    <w:rsid w:val="00A40A32"/>
    <w:rsid w:val="00A410FB"/>
    <w:rsid w:val="00A4385A"/>
    <w:rsid w:val="00A43AFF"/>
    <w:rsid w:val="00A4407F"/>
    <w:rsid w:val="00A44AEF"/>
    <w:rsid w:val="00A452A4"/>
    <w:rsid w:val="00A452D1"/>
    <w:rsid w:val="00A45A18"/>
    <w:rsid w:val="00A45C43"/>
    <w:rsid w:val="00A46251"/>
    <w:rsid w:val="00A46C3E"/>
    <w:rsid w:val="00A47AE3"/>
    <w:rsid w:val="00A50763"/>
    <w:rsid w:val="00A508EB"/>
    <w:rsid w:val="00A511B7"/>
    <w:rsid w:val="00A52666"/>
    <w:rsid w:val="00A53DD8"/>
    <w:rsid w:val="00A54264"/>
    <w:rsid w:val="00A5443C"/>
    <w:rsid w:val="00A54A10"/>
    <w:rsid w:val="00A55EE3"/>
    <w:rsid w:val="00A57EF0"/>
    <w:rsid w:val="00A60AF5"/>
    <w:rsid w:val="00A60E96"/>
    <w:rsid w:val="00A61663"/>
    <w:rsid w:val="00A61AAE"/>
    <w:rsid w:val="00A61AE1"/>
    <w:rsid w:val="00A62242"/>
    <w:rsid w:val="00A62A1D"/>
    <w:rsid w:val="00A62B6E"/>
    <w:rsid w:val="00A630EE"/>
    <w:rsid w:val="00A631F2"/>
    <w:rsid w:val="00A63753"/>
    <w:rsid w:val="00A656DE"/>
    <w:rsid w:val="00A65874"/>
    <w:rsid w:val="00A66068"/>
    <w:rsid w:val="00A662D1"/>
    <w:rsid w:val="00A66776"/>
    <w:rsid w:val="00A66989"/>
    <w:rsid w:val="00A66F82"/>
    <w:rsid w:val="00A6732D"/>
    <w:rsid w:val="00A67878"/>
    <w:rsid w:val="00A67918"/>
    <w:rsid w:val="00A7005F"/>
    <w:rsid w:val="00A7042D"/>
    <w:rsid w:val="00A70544"/>
    <w:rsid w:val="00A70A1B"/>
    <w:rsid w:val="00A70ED0"/>
    <w:rsid w:val="00A712C5"/>
    <w:rsid w:val="00A71ACE"/>
    <w:rsid w:val="00A72250"/>
    <w:rsid w:val="00A743FA"/>
    <w:rsid w:val="00A74472"/>
    <w:rsid w:val="00A74774"/>
    <w:rsid w:val="00A74DC3"/>
    <w:rsid w:val="00A75391"/>
    <w:rsid w:val="00A75594"/>
    <w:rsid w:val="00A758AE"/>
    <w:rsid w:val="00A75927"/>
    <w:rsid w:val="00A75C0D"/>
    <w:rsid w:val="00A76023"/>
    <w:rsid w:val="00A76034"/>
    <w:rsid w:val="00A76208"/>
    <w:rsid w:val="00A76EA1"/>
    <w:rsid w:val="00A77273"/>
    <w:rsid w:val="00A77302"/>
    <w:rsid w:val="00A7793A"/>
    <w:rsid w:val="00A77AB5"/>
    <w:rsid w:val="00A77FB0"/>
    <w:rsid w:val="00A77FDE"/>
    <w:rsid w:val="00A81112"/>
    <w:rsid w:val="00A838A1"/>
    <w:rsid w:val="00A83AAF"/>
    <w:rsid w:val="00A8406C"/>
    <w:rsid w:val="00A8433E"/>
    <w:rsid w:val="00A8491D"/>
    <w:rsid w:val="00A84A77"/>
    <w:rsid w:val="00A8593A"/>
    <w:rsid w:val="00A86003"/>
    <w:rsid w:val="00A861EE"/>
    <w:rsid w:val="00A8699C"/>
    <w:rsid w:val="00A86EF0"/>
    <w:rsid w:val="00A871F0"/>
    <w:rsid w:val="00A87373"/>
    <w:rsid w:val="00A87B9B"/>
    <w:rsid w:val="00A87DEC"/>
    <w:rsid w:val="00A9003C"/>
    <w:rsid w:val="00A908A4"/>
    <w:rsid w:val="00A909B9"/>
    <w:rsid w:val="00A90EEB"/>
    <w:rsid w:val="00A913E7"/>
    <w:rsid w:val="00A913F2"/>
    <w:rsid w:val="00A91462"/>
    <w:rsid w:val="00A9179E"/>
    <w:rsid w:val="00A917C2"/>
    <w:rsid w:val="00A9395A"/>
    <w:rsid w:val="00A93D5C"/>
    <w:rsid w:val="00A94166"/>
    <w:rsid w:val="00A94392"/>
    <w:rsid w:val="00A94D54"/>
    <w:rsid w:val="00A963D2"/>
    <w:rsid w:val="00A970DD"/>
    <w:rsid w:val="00A97364"/>
    <w:rsid w:val="00A974B6"/>
    <w:rsid w:val="00A97A28"/>
    <w:rsid w:val="00AA0A5C"/>
    <w:rsid w:val="00AA1586"/>
    <w:rsid w:val="00AA1657"/>
    <w:rsid w:val="00AA1C4D"/>
    <w:rsid w:val="00AA1F72"/>
    <w:rsid w:val="00AA258A"/>
    <w:rsid w:val="00AA2AF6"/>
    <w:rsid w:val="00AA386A"/>
    <w:rsid w:val="00AA3BE6"/>
    <w:rsid w:val="00AA4CA5"/>
    <w:rsid w:val="00AA4CC7"/>
    <w:rsid w:val="00AA4FBB"/>
    <w:rsid w:val="00AA555B"/>
    <w:rsid w:val="00AA5B59"/>
    <w:rsid w:val="00AA5BDF"/>
    <w:rsid w:val="00AA5E8E"/>
    <w:rsid w:val="00AA5EC8"/>
    <w:rsid w:val="00AA608C"/>
    <w:rsid w:val="00AA6264"/>
    <w:rsid w:val="00AA6F1B"/>
    <w:rsid w:val="00AA74BE"/>
    <w:rsid w:val="00AA75CA"/>
    <w:rsid w:val="00AB07C8"/>
    <w:rsid w:val="00AB07EB"/>
    <w:rsid w:val="00AB0E1B"/>
    <w:rsid w:val="00AB103D"/>
    <w:rsid w:val="00AB1601"/>
    <w:rsid w:val="00AB1DEF"/>
    <w:rsid w:val="00AB1EFA"/>
    <w:rsid w:val="00AB2597"/>
    <w:rsid w:val="00AB2B39"/>
    <w:rsid w:val="00AB2FA7"/>
    <w:rsid w:val="00AB43D6"/>
    <w:rsid w:val="00AB4443"/>
    <w:rsid w:val="00AB4D00"/>
    <w:rsid w:val="00AB5744"/>
    <w:rsid w:val="00AB580D"/>
    <w:rsid w:val="00AB5929"/>
    <w:rsid w:val="00AB6147"/>
    <w:rsid w:val="00AB6C64"/>
    <w:rsid w:val="00AB6CA7"/>
    <w:rsid w:val="00AB74A9"/>
    <w:rsid w:val="00AB77DB"/>
    <w:rsid w:val="00AB7B39"/>
    <w:rsid w:val="00AC08F0"/>
    <w:rsid w:val="00AC0A76"/>
    <w:rsid w:val="00AC2065"/>
    <w:rsid w:val="00AC2827"/>
    <w:rsid w:val="00AC2CDE"/>
    <w:rsid w:val="00AC3500"/>
    <w:rsid w:val="00AC3523"/>
    <w:rsid w:val="00AC4338"/>
    <w:rsid w:val="00AC5633"/>
    <w:rsid w:val="00AC582F"/>
    <w:rsid w:val="00AC7C41"/>
    <w:rsid w:val="00AD01E4"/>
    <w:rsid w:val="00AD0858"/>
    <w:rsid w:val="00AD1077"/>
    <w:rsid w:val="00AD14A1"/>
    <w:rsid w:val="00AD17DB"/>
    <w:rsid w:val="00AD1A5B"/>
    <w:rsid w:val="00AD1B36"/>
    <w:rsid w:val="00AD318F"/>
    <w:rsid w:val="00AD3F7E"/>
    <w:rsid w:val="00AD4E76"/>
    <w:rsid w:val="00AD4F16"/>
    <w:rsid w:val="00AD50FF"/>
    <w:rsid w:val="00AD587E"/>
    <w:rsid w:val="00AD6AEC"/>
    <w:rsid w:val="00AD6D52"/>
    <w:rsid w:val="00AD701D"/>
    <w:rsid w:val="00AD71C2"/>
    <w:rsid w:val="00AD7F9E"/>
    <w:rsid w:val="00AE0FB8"/>
    <w:rsid w:val="00AE1220"/>
    <w:rsid w:val="00AE1487"/>
    <w:rsid w:val="00AE1FDC"/>
    <w:rsid w:val="00AE2B23"/>
    <w:rsid w:val="00AE32AC"/>
    <w:rsid w:val="00AE389E"/>
    <w:rsid w:val="00AE4CB4"/>
    <w:rsid w:val="00AE6237"/>
    <w:rsid w:val="00AE68DF"/>
    <w:rsid w:val="00AE6A0A"/>
    <w:rsid w:val="00AE6D42"/>
    <w:rsid w:val="00AE6E4A"/>
    <w:rsid w:val="00AE71B0"/>
    <w:rsid w:val="00AE7340"/>
    <w:rsid w:val="00AE739C"/>
    <w:rsid w:val="00AE7D23"/>
    <w:rsid w:val="00AF0627"/>
    <w:rsid w:val="00AF1485"/>
    <w:rsid w:val="00AF1BBD"/>
    <w:rsid w:val="00AF1F28"/>
    <w:rsid w:val="00AF274E"/>
    <w:rsid w:val="00AF2DAB"/>
    <w:rsid w:val="00AF3067"/>
    <w:rsid w:val="00AF4340"/>
    <w:rsid w:val="00AF5197"/>
    <w:rsid w:val="00AF5F46"/>
    <w:rsid w:val="00AF6726"/>
    <w:rsid w:val="00AF6CA1"/>
    <w:rsid w:val="00AF6D23"/>
    <w:rsid w:val="00AF6FF3"/>
    <w:rsid w:val="00AF7658"/>
    <w:rsid w:val="00AF7767"/>
    <w:rsid w:val="00B00376"/>
    <w:rsid w:val="00B006A8"/>
    <w:rsid w:val="00B00922"/>
    <w:rsid w:val="00B00B58"/>
    <w:rsid w:val="00B00BF0"/>
    <w:rsid w:val="00B00EAC"/>
    <w:rsid w:val="00B0176E"/>
    <w:rsid w:val="00B01E05"/>
    <w:rsid w:val="00B0295C"/>
    <w:rsid w:val="00B0307F"/>
    <w:rsid w:val="00B0373C"/>
    <w:rsid w:val="00B03A3A"/>
    <w:rsid w:val="00B04B7C"/>
    <w:rsid w:val="00B04E55"/>
    <w:rsid w:val="00B05A1D"/>
    <w:rsid w:val="00B05BEA"/>
    <w:rsid w:val="00B05E5B"/>
    <w:rsid w:val="00B06297"/>
    <w:rsid w:val="00B0677C"/>
    <w:rsid w:val="00B06798"/>
    <w:rsid w:val="00B07649"/>
    <w:rsid w:val="00B07E5C"/>
    <w:rsid w:val="00B07E93"/>
    <w:rsid w:val="00B07E9B"/>
    <w:rsid w:val="00B10207"/>
    <w:rsid w:val="00B107E0"/>
    <w:rsid w:val="00B10CE6"/>
    <w:rsid w:val="00B10DCE"/>
    <w:rsid w:val="00B10E9A"/>
    <w:rsid w:val="00B11B92"/>
    <w:rsid w:val="00B11CE0"/>
    <w:rsid w:val="00B11E0C"/>
    <w:rsid w:val="00B120D4"/>
    <w:rsid w:val="00B12C8C"/>
    <w:rsid w:val="00B12D02"/>
    <w:rsid w:val="00B12EB8"/>
    <w:rsid w:val="00B12F4E"/>
    <w:rsid w:val="00B13C5C"/>
    <w:rsid w:val="00B141E7"/>
    <w:rsid w:val="00B14556"/>
    <w:rsid w:val="00B14F80"/>
    <w:rsid w:val="00B16BAF"/>
    <w:rsid w:val="00B20589"/>
    <w:rsid w:val="00B21ABC"/>
    <w:rsid w:val="00B21DAA"/>
    <w:rsid w:val="00B2255A"/>
    <w:rsid w:val="00B23645"/>
    <w:rsid w:val="00B23F04"/>
    <w:rsid w:val="00B2568B"/>
    <w:rsid w:val="00B25747"/>
    <w:rsid w:val="00B25B45"/>
    <w:rsid w:val="00B26435"/>
    <w:rsid w:val="00B264B5"/>
    <w:rsid w:val="00B26FBE"/>
    <w:rsid w:val="00B27123"/>
    <w:rsid w:val="00B30FEA"/>
    <w:rsid w:val="00B32148"/>
    <w:rsid w:val="00B327F2"/>
    <w:rsid w:val="00B32EB3"/>
    <w:rsid w:val="00B330AC"/>
    <w:rsid w:val="00B33AEF"/>
    <w:rsid w:val="00B34AE0"/>
    <w:rsid w:val="00B351B4"/>
    <w:rsid w:val="00B3577F"/>
    <w:rsid w:val="00B362BF"/>
    <w:rsid w:val="00B365ED"/>
    <w:rsid w:val="00B37429"/>
    <w:rsid w:val="00B37CF6"/>
    <w:rsid w:val="00B37F7E"/>
    <w:rsid w:val="00B403A3"/>
    <w:rsid w:val="00B40AB6"/>
    <w:rsid w:val="00B414C3"/>
    <w:rsid w:val="00B416D3"/>
    <w:rsid w:val="00B4190E"/>
    <w:rsid w:val="00B41DD4"/>
    <w:rsid w:val="00B42776"/>
    <w:rsid w:val="00B42959"/>
    <w:rsid w:val="00B42BD5"/>
    <w:rsid w:val="00B44EED"/>
    <w:rsid w:val="00B44F73"/>
    <w:rsid w:val="00B454C6"/>
    <w:rsid w:val="00B456AC"/>
    <w:rsid w:val="00B4596C"/>
    <w:rsid w:val="00B467FA"/>
    <w:rsid w:val="00B46BCA"/>
    <w:rsid w:val="00B46BD6"/>
    <w:rsid w:val="00B46F84"/>
    <w:rsid w:val="00B46F87"/>
    <w:rsid w:val="00B472BF"/>
    <w:rsid w:val="00B478A0"/>
    <w:rsid w:val="00B50148"/>
    <w:rsid w:val="00B5058C"/>
    <w:rsid w:val="00B50591"/>
    <w:rsid w:val="00B50F14"/>
    <w:rsid w:val="00B510DE"/>
    <w:rsid w:val="00B51F50"/>
    <w:rsid w:val="00B52612"/>
    <w:rsid w:val="00B52B6B"/>
    <w:rsid w:val="00B53767"/>
    <w:rsid w:val="00B53D86"/>
    <w:rsid w:val="00B541AF"/>
    <w:rsid w:val="00B54206"/>
    <w:rsid w:val="00B54919"/>
    <w:rsid w:val="00B54A13"/>
    <w:rsid w:val="00B54F96"/>
    <w:rsid w:val="00B55F6D"/>
    <w:rsid w:val="00B5768C"/>
    <w:rsid w:val="00B579BE"/>
    <w:rsid w:val="00B57BC4"/>
    <w:rsid w:val="00B608E3"/>
    <w:rsid w:val="00B60EE3"/>
    <w:rsid w:val="00B61525"/>
    <w:rsid w:val="00B616F2"/>
    <w:rsid w:val="00B61C8B"/>
    <w:rsid w:val="00B61ED0"/>
    <w:rsid w:val="00B62EDD"/>
    <w:rsid w:val="00B65858"/>
    <w:rsid w:val="00B65917"/>
    <w:rsid w:val="00B661C6"/>
    <w:rsid w:val="00B66E98"/>
    <w:rsid w:val="00B7004F"/>
    <w:rsid w:val="00B70231"/>
    <w:rsid w:val="00B70355"/>
    <w:rsid w:val="00B70AC4"/>
    <w:rsid w:val="00B71387"/>
    <w:rsid w:val="00B714F5"/>
    <w:rsid w:val="00B72053"/>
    <w:rsid w:val="00B72B2D"/>
    <w:rsid w:val="00B73087"/>
    <w:rsid w:val="00B7387A"/>
    <w:rsid w:val="00B739EB"/>
    <w:rsid w:val="00B74422"/>
    <w:rsid w:val="00B744B4"/>
    <w:rsid w:val="00B746A5"/>
    <w:rsid w:val="00B74C67"/>
    <w:rsid w:val="00B753E5"/>
    <w:rsid w:val="00B7562D"/>
    <w:rsid w:val="00B76279"/>
    <w:rsid w:val="00B80276"/>
    <w:rsid w:val="00B8074B"/>
    <w:rsid w:val="00B8115C"/>
    <w:rsid w:val="00B8164C"/>
    <w:rsid w:val="00B81769"/>
    <w:rsid w:val="00B81D9F"/>
    <w:rsid w:val="00B82452"/>
    <w:rsid w:val="00B83029"/>
    <w:rsid w:val="00B84135"/>
    <w:rsid w:val="00B84636"/>
    <w:rsid w:val="00B84EF1"/>
    <w:rsid w:val="00B852BE"/>
    <w:rsid w:val="00B85376"/>
    <w:rsid w:val="00B856FB"/>
    <w:rsid w:val="00B859DD"/>
    <w:rsid w:val="00B85A55"/>
    <w:rsid w:val="00B863FA"/>
    <w:rsid w:val="00B87806"/>
    <w:rsid w:val="00B879C6"/>
    <w:rsid w:val="00B87BC1"/>
    <w:rsid w:val="00B87EC9"/>
    <w:rsid w:val="00B90499"/>
    <w:rsid w:val="00B90564"/>
    <w:rsid w:val="00B90904"/>
    <w:rsid w:val="00B90936"/>
    <w:rsid w:val="00B9156A"/>
    <w:rsid w:val="00B9176F"/>
    <w:rsid w:val="00B91BD8"/>
    <w:rsid w:val="00B91FCC"/>
    <w:rsid w:val="00B92352"/>
    <w:rsid w:val="00B9253E"/>
    <w:rsid w:val="00B930DE"/>
    <w:rsid w:val="00B9313E"/>
    <w:rsid w:val="00B93474"/>
    <w:rsid w:val="00B938FD"/>
    <w:rsid w:val="00B9393F"/>
    <w:rsid w:val="00B93CCC"/>
    <w:rsid w:val="00B94475"/>
    <w:rsid w:val="00B94561"/>
    <w:rsid w:val="00B94A56"/>
    <w:rsid w:val="00B94A92"/>
    <w:rsid w:val="00B94D02"/>
    <w:rsid w:val="00B94F9D"/>
    <w:rsid w:val="00B953F3"/>
    <w:rsid w:val="00B96A5E"/>
    <w:rsid w:val="00B96BE0"/>
    <w:rsid w:val="00B970F9"/>
    <w:rsid w:val="00B9739D"/>
    <w:rsid w:val="00B97FD3"/>
    <w:rsid w:val="00BA0415"/>
    <w:rsid w:val="00BA11AC"/>
    <w:rsid w:val="00BA1A50"/>
    <w:rsid w:val="00BA1CF6"/>
    <w:rsid w:val="00BA37EF"/>
    <w:rsid w:val="00BA652B"/>
    <w:rsid w:val="00BA6AC6"/>
    <w:rsid w:val="00BA6B17"/>
    <w:rsid w:val="00BA7371"/>
    <w:rsid w:val="00BA794F"/>
    <w:rsid w:val="00BB0D0D"/>
    <w:rsid w:val="00BB1AE2"/>
    <w:rsid w:val="00BB240E"/>
    <w:rsid w:val="00BB2AF2"/>
    <w:rsid w:val="00BB4DA1"/>
    <w:rsid w:val="00BC01CB"/>
    <w:rsid w:val="00BC04AE"/>
    <w:rsid w:val="00BC0C38"/>
    <w:rsid w:val="00BC1012"/>
    <w:rsid w:val="00BC1A23"/>
    <w:rsid w:val="00BC1BDF"/>
    <w:rsid w:val="00BC37CC"/>
    <w:rsid w:val="00BC389C"/>
    <w:rsid w:val="00BC38FD"/>
    <w:rsid w:val="00BC4C2F"/>
    <w:rsid w:val="00BC4F60"/>
    <w:rsid w:val="00BC5C8E"/>
    <w:rsid w:val="00BC6374"/>
    <w:rsid w:val="00BC789D"/>
    <w:rsid w:val="00BD08B5"/>
    <w:rsid w:val="00BD10CF"/>
    <w:rsid w:val="00BD17B8"/>
    <w:rsid w:val="00BD2615"/>
    <w:rsid w:val="00BD338B"/>
    <w:rsid w:val="00BD58E3"/>
    <w:rsid w:val="00BD5E99"/>
    <w:rsid w:val="00BD60BA"/>
    <w:rsid w:val="00BD692E"/>
    <w:rsid w:val="00BD736A"/>
    <w:rsid w:val="00BE10E0"/>
    <w:rsid w:val="00BE1884"/>
    <w:rsid w:val="00BE2258"/>
    <w:rsid w:val="00BE22ED"/>
    <w:rsid w:val="00BE2E74"/>
    <w:rsid w:val="00BE3117"/>
    <w:rsid w:val="00BE312F"/>
    <w:rsid w:val="00BE3AA2"/>
    <w:rsid w:val="00BE3BDA"/>
    <w:rsid w:val="00BE3F19"/>
    <w:rsid w:val="00BE4AC7"/>
    <w:rsid w:val="00BE511C"/>
    <w:rsid w:val="00BE5F03"/>
    <w:rsid w:val="00BE6CB2"/>
    <w:rsid w:val="00BF271D"/>
    <w:rsid w:val="00BF2A3A"/>
    <w:rsid w:val="00BF3B8F"/>
    <w:rsid w:val="00BF413D"/>
    <w:rsid w:val="00BF4A84"/>
    <w:rsid w:val="00BF4AF3"/>
    <w:rsid w:val="00BF4F5B"/>
    <w:rsid w:val="00BF5537"/>
    <w:rsid w:val="00BF55C7"/>
    <w:rsid w:val="00BF5785"/>
    <w:rsid w:val="00BF5C18"/>
    <w:rsid w:val="00BF6325"/>
    <w:rsid w:val="00BF691B"/>
    <w:rsid w:val="00C001BC"/>
    <w:rsid w:val="00C0052D"/>
    <w:rsid w:val="00C01296"/>
    <w:rsid w:val="00C01681"/>
    <w:rsid w:val="00C016B3"/>
    <w:rsid w:val="00C0242F"/>
    <w:rsid w:val="00C02F15"/>
    <w:rsid w:val="00C034CB"/>
    <w:rsid w:val="00C03704"/>
    <w:rsid w:val="00C0380F"/>
    <w:rsid w:val="00C05140"/>
    <w:rsid w:val="00C051A8"/>
    <w:rsid w:val="00C05360"/>
    <w:rsid w:val="00C054BC"/>
    <w:rsid w:val="00C0562E"/>
    <w:rsid w:val="00C05B13"/>
    <w:rsid w:val="00C063DA"/>
    <w:rsid w:val="00C067D9"/>
    <w:rsid w:val="00C068B4"/>
    <w:rsid w:val="00C06AD9"/>
    <w:rsid w:val="00C072D4"/>
    <w:rsid w:val="00C0737F"/>
    <w:rsid w:val="00C07AB6"/>
    <w:rsid w:val="00C07B5B"/>
    <w:rsid w:val="00C104A6"/>
    <w:rsid w:val="00C10580"/>
    <w:rsid w:val="00C10AEA"/>
    <w:rsid w:val="00C12451"/>
    <w:rsid w:val="00C13329"/>
    <w:rsid w:val="00C14CE2"/>
    <w:rsid w:val="00C152DE"/>
    <w:rsid w:val="00C15AD7"/>
    <w:rsid w:val="00C15D4A"/>
    <w:rsid w:val="00C164EF"/>
    <w:rsid w:val="00C16E34"/>
    <w:rsid w:val="00C16EC7"/>
    <w:rsid w:val="00C16F07"/>
    <w:rsid w:val="00C17105"/>
    <w:rsid w:val="00C17185"/>
    <w:rsid w:val="00C17897"/>
    <w:rsid w:val="00C1799A"/>
    <w:rsid w:val="00C20575"/>
    <w:rsid w:val="00C20F02"/>
    <w:rsid w:val="00C21984"/>
    <w:rsid w:val="00C21D42"/>
    <w:rsid w:val="00C22623"/>
    <w:rsid w:val="00C22939"/>
    <w:rsid w:val="00C24409"/>
    <w:rsid w:val="00C248DA"/>
    <w:rsid w:val="00C25325"/>
    <w:rsid w:val="00C254DA"/>
    <w:rsid w:val="00C255BD"/>
    <w:rsid w:val="00C259B6"/>
    <w:rsid w:val="00C25EEE"/>
    <w:rsid w:val="00C260F1"/>
    <w:rsid w:val="00C30416"/>
    <w:rsid w:val="00C30A4D"/>
    <w:rsid w:val="00C320BC"/>
    <w:rsid w:val="00C3276E"/>
    <w:rsid w:val="00C328B9"/>
    <w:rsid w:val="00C32B9C"/>
    <w:rsid w:val="00C335F6"/>
    <w:rsid w:val="00C33CEE"/>
    <w:rsid w:val="00C340A7"/>
    <w:rsid w:val="00C344B1"/>
    <w:rsid w:val="00C34945"/>
    <w:rsid w:val="00C3532F"/>
    <w:rsid w:val="00C35531"/>
    <w:rsid w:val="00C35EAD"/>
    <w:rsid w:val="00C35FD7"/>
    <w:rsid w:val="00C36AC7"/>
    <w:rsid w:val="00C37827"/>
    <w:rsid w:val="00C37DCE"/>
    <w:rsid w:val="00C40098"/>
    <w:rsid w:val="00C409D5"/>
    <w:rsid w:val="00C4158C"/>
    <w:rsid w:val="00C419C4"/>
    <w:rsid w:val="00C422B7"/>
    <w:rsid w:val="00C43538"/>
    <w:rsid w:val="00C435C3"/>
    <w:rsid w:val="00C43DEE"/>
    <w:rsid w:val="00C43E46"/>
    <w:rsid w:val="00C43FB3"/>
    <w:rsid w:val="00C454D2"/>
    <w:rsid w:val="00C4564A"/>
    <w:rsid w:val="00C4593E"/>
    <w:rsid w:val="00C45C07"/>
    <w:rsid w:val="00C45C1D"/>
    <w:rsid w:val="00C461F9"/>
    <w:rsid w:val="00C46D54"/>
    <w:rsid w:val="00C46D70"/>
    <w:rsid w:val="00C47123"/>
    <w:rsid w:val="00C4799E"/>
    <w:rsid w:val="00C47AAC"/>
    <w:rsid w:val="00C47E68"/>
    <w:rsid w:val="00C47EB1"/>
    <w:rsid w:val="00C503C9"/>
    <w:rsid w:val="00C504F0"/>
    <w:rsid w:val="00C505AE"/>
    <w:rsid w:val="00C50C61"/>
    <w:rsid w:val="00C50CB6"/>
    <w:rsid w:val="00C51339"/>
    <w:rsid w:val="00C515A7"/>
    <w:rsid w:val="00C51C0F"/>
    <w:rsid w:val="00C51F22"/>
    <w:rsid w:val="00C521D6"/>
    <w:rsid w:val="00C52731"/>
    <w:rsid w:val="00C53ACA"/>
    <w:rsid w:val="00C53CD9"/>
    <w:rsid w:val="00C5513B"/>
    <w:rsid w:val="00C55A70"/>
    <w:rsid w:val="00C56429"/>
    <w:rsid w:val="00C5651E"/>
    <w:rsid w:val="00C56625"/>
    <w:rsid w:val="00C5685E"/>
    <w:rsid w:val="00C57545"/>
    <w:rsid w:val="00C578BA"/>
    <w:rsid w:val="00C57F24"/>
    <w:rsid w:val="00C60332"/>
    <w:rsid w:val="00C610E4"/>
    <w:rsid w:val="00C61528"/>
    <w:rsid w:val="00C61EFC"/>
    <w:rsid w:val="00C6234B"/>
    <w:rsid w:val="00C62896"/>
    <w:rsid w:val="00C62FA9"/>
    <w:rsid w:val="00C63295"/>
    <w:rsid w:val="00C63554"/>
    <w:rsid w:val="00C63D2B"/>
    <w:rsid w:val="00C63EAE"/>
    <w:rsid w:val="00C64632"/>
    <w:rsid w:val="00C64B34"/>
    <w:rsid w:val="00C64EBD"/>
    <w:rsid w:val="00C6530D"/>
    <w:rsid w:val="00C65F90"/>
    <w:rsid w:val="00C66102"/>
    <w:rsid w:val="00C66288"/>
    <w:rsid w:val="00C669A5"/>
    <w:rsid w:val="00C66EF2"/>
    <w:rsid w:val="00C67449"/>
    <w:rsid w:val="00C67E4C"/>
    <w:rsid w:val="00C70CED"/>
    <w:rsid w:val="00C71119"/>
    <w:rsid w:val="00C7177D"/>
    <w:rsid w:val="00C71CD7"/>
    <w:rsid w:val="00C722B7"/>
    <w:rsid w:val="00C738B6"/>
    <w:rsid w:val="00C73F70"/>
    <w:rsid w:val="00C73FE9"/>
    <w:rsid w:val="00C74A6C"/>
    <w:rsid w:val="00C74CD6"/>
    <w:rsid w:val="00C752B7"/>
    <w:rsid w:val="00C756B3"/>
    <w:rsid w:val="00C75884"/>
    <w:rsid w:val="00C7593E"/>
    <w:rsid w:val="00C75964"/>
    <w:rsid w:val="00C75DB5"/>
    <w:rsid w:val="00C7629F"/>
    <w:rsid w:val="00C76C96"/>
    <w:rsid w:val="00C7740C"/>
    <w:rsid w:val="00C77E93"/>
    <w:rsid w:val="00C80845"/>
    <w:rsid w:val="00C80EC1"/>
    <w:rsid w:val="00C812E4"/>
    <w:rsid w:val="00C81674"/>
    <w:rsid w:val="00C81A85"/>
    <w:rsid w:val="00C81E60"/>
    <w:rsid w:val="00C834FD"/>
    <w:rsid w:val="00C83648"/>
    <w:rsid w:val="00C83E38"/>
    <w:rsid w:val="00C84B6F"/>
    <w:rsid w:val="00C865D4"/>
    <w:rsid w:val="00C8661B"/>
    <w:rsid w:val="00C86A6F"/>
    <w:rsid w:val="00C8734F"/>
    <w:rsid w:val="00C87698"/>
    <w:rsid w:val="00C87C0D"/>
    <w:rsid w:val="00C87C2A"/>
    <w:rsid w:val="00C9102B"/>
    <w:rsid w:val="00C911C3"/>
    <w:rsid w:val="00C91AD0"/>
    <w:rsid w:val="00C9275E"/>
    <w:rsid w:val="00C92948"/>
    <w:rsid w:val="00C92BC5"/>
    <w:rsid w:val="00C9410E"/>
    <w:rsid w:val="00C9430C"/>
    <w:rsid w:val="00C953A8"/>
    <w:rsid w:val="00C957F6"/>
    <w:rsid w:val="00C95B62"/>
    <w:rsid w:val="00CA01A4"/>
    <w:rsid w:val="00CA0A6E"/>
    <w:rsid w:val="00CA0C9B"/>
    <w:rsid w:val="00CA1286"/>
    <w:rsid w:val="00CA1334"/>
    <w:rsid w:val="00CA139A"/>
    <w:rsid w:val="00CA17F1"/>
    <w:rsid w:val="00CA1D72"/>
    <w:rsid w:val="00CA256C"/>
    <w:rsid w:val="00CA2899"/>
    <w:rsid w:val="00CA3046"/>
    <w:rsid w:val="00CA30FF"/>
    <w:rsid w:val="00CA3782"/>
    <w:rsid w:val="00CA3A3D"/>
    <w:rsid w:val="00CA3CBA"/>
    <w:rsid w:val="00CA49F0"/>
    <w:rsid w:val="00CA4AD9"/>
    <w:rsid w:val="00CA549C"/>
    <w:rsid w:val="00CA572E"/>
    <w:rsid w:val="00CA5807"/>
    <w:rsid w:val="00CA58B9"/>
    <w:rsid w:val="00CA5EF6"/>
    <w:rsid w:val="00CA65DA"/>
    <w:rsid w:val="00CA6FEA"/>
    <w:rsid w:val="00CA70C6"/>
    <w:rsid w:val="00CA7274"/>
    <w:rsid w:val="00CA77FB"/>
    <w:rsid w:val="00CB0726"/>
    <w:rsid w:val="00CB090E"/>
    <w:rsid w:val="00CB1150"/>
    <w:rsid w:val="00CB1869"/>
    <w:rsid w:val="00CB1903"/>
    <w:rsid w:val="00CB1FCC"/>
    <w:rsid w:val="00CB2566"/>
    <w:rsid w:val="00CB2692"/>
    <w:rsid w:val="00CB2BC5"/>
    <w:rsid w:val="00CB2BDB"/>
    <w:rsid w:val="00CB2C9C"/>
    <w:rsid w:val="00CB379B"/>
    <w:rsid w:val="00CB3EE2"/>
    <w:rsid w:val="00CB3F1C"/>
    <w:rsid w:val="00CB4632"/>
    <w:rsid w:val="00CB4CC7"/>
    <w:rsid w:val="00CB4DEA"/>
    <w:rsid w:val="00CB5DD0"/>
    <w:rsid w:val="00CB66D6"/>
    <w:rsid w:val="00CB680C"/>
    <w:rsid w:val="00CB6E0E"/>
    <w:rsid w:val="00CB7F73"/>
    <w:rsid w:val="00CC0027"/>
    <w:rsid w:val="00CC0FAA"/>
    <w:rsid w:val="00CC1256"/>
    <w:rsid w:val="00CC1CF9"/>
    <w:rsid w:val="00CC31F9"/>
    <w:rsid w:val="00CC3214"/>
    <w:rsid w:val="00CC373A"/>
    <w:rsid w:val="00CC3DD3"/>
    <w:rsid w:val="00CC457E"/>
    <w:rsid w:val="00CC497B"/>
    <w:rsid w:val="00CC51D4"/>
    <w:rsid w:val="00CC5275"/>
    <w:rsid w:val="00CC5834"/>
    <w:rsid w:val="00CC598E"/>
    <w:rsid w:val="00CC5FAC"/>
    <w:rsid w:val="00CC6296"/>
    <w:rsid w:val="00CC65DA"/>
    <w:rsid w:val="00CC688E"/>
    <w:rsid w:val="00CC6DF7"/>
    <w:rsid w:val="00CC735A"/>
    <w:rsid w:val="00CC7B91"/>
    <w:rsid w:val="00CC7F9E"/>
    <w:rsid w:val="00CC7FA1"/>
    <w:rsid w:val="00CD0F38"/>
    <w:rsid w:val="00CD11A0"/>
    <w:rsid w:val="00CD16F9"/>
    <w:rsid w:val="00CD17D5"/>
    <w:rsid w:val="00CD1B1B"/>
    <w:rsid w:val="00CD1C22"/>
    <w:rsid w:val="00CD1F4E"/>
    <w:rsid w:val="00CD237A"/>
    <w:rsid w:val="00CD32B1"/>
    <w:rsid w:val="00CD36CE"/>
    <w:rsid w:val="00CD3F6A"/>
    <w:rsid w:val="00CD403F"/>
    <w:rsid w:val="00CD4A1E"/>
    <w:rsid w:val="00CD51E4"/>
    <w:rsid w:val="00CD5508"/>
    <w:rsid w:val="00CD56FC"/>
    <w:rsid w:val="00CD5DB7"/>
    <w:rsid w:val="00CD5F81"/>
    <w:rsid w:val="00CD65E4"/>
    <w:rsid w:val="00CD6E3D"/>
    <w:rsid w:val="00CD7251"/>
    <w:rsid w:val="00CE000F"/>
    <w:rsid w:val="00CE06ED"/>
    <w:rsid w:val="00CE11D2"/>
    <w:rsid w:val="00CE1445"/>
    <w:rsid w:val="00CE1D36"/>
    <w:rsid w:val="00CE2499"/>
    <w:rsid w:val="00CE25D2"/>
    <w:rsid w:val="00CE3133"/>
    <w:rsid w:val="00CE40A5"/>
    <w:rsid w:val="00CE4778"/>
    <w:rsid w:val="00CE496B"/>
    <w:rsid w:val="00CE4F14"/>
    <w:rsid w:val="00CE542C"/>
    <w:rsid w:val="00CE5BA5"/>
    <w:rsid w:val="00CE608F"/>
    <w:rsid w:val="00CE60AC"/>
    <w:rsid w:val="00CE6804"/>
    <w:rsid w:val="00CE6AA8"/>
    <w:rsid w:val="00CE6E2C"/>
    <w:rsid w:val="00CE6EA8"/>
    <w:rsid w:val="00CE6FB0"/>
    <w:rsid w:val="00CE7538"/>
    <w:rsid w:val="00CE7697"/>
    <w:rsid w:val="00CE7AFA"/>
    <w:rsid w:val="00CE7CF8"/>
    <w:rsid w:val="00CE7E19"/>
    <w:rsid w:val="00CF03F3"/>
    <w:rsid w:val="00CF0C8D"/>
    <w:rsid w:val="00CF0FA6"/>
    <w:rsid w:val="00CF1707"/>
    <w:rsid w:val="00CF1D62"/>
    <w:rsid w:val="00CF1E56"/>
    <w:rsid w:val="00CF210F"/>
    <w:rsid w:val="00CF21B9"/>
    <w:rsid w:val="00CF23BD"/>
    <w:rsid w:val="00CF29D9"/>
    <w:rsid w:val="00CF2F4F"/>
    <w:rsid w:val="00CF2FA3"/>
    <w:rsid w:val="00CF4C8F"/>
    <w:rsid w:val="00CF502D"/>
    <w:rsid w:val="00CF524F"/>
    <w:rsid w:val="00CF6069"/>
    <w:rsid w:val="00CF64F0"/>
    <w:rsid w:val="00CF6BF9"/>
    <w:rsid w:val="00D00B94"/>
    <w:rsid w:val="00D0106E"/>
    <w:rsid w:val="00D018F0"/>
    <w:rsid w:val="00D019B7"/>
    <w:rsid w:val="00D033DD"/>
    <w:rsid w:val="00D03800"/>
    <w:rsid w:val="00D0404E"/>
    <w:rsid w:val="00D041E4"/>
    <w:rsid w:val="00D04822"/>
    <w:rsid w:val="00D050C7"/>
    <w:rsid w:val="00D06253"/>
    <w:rsid w:val="00D06264"/>
    <w:rsid w:val="00D065D3"/>
    <w:rsid w:val="00D06724"/>
    <w:rsid w:val="00D06DD6"/>
    <w:rsid w:val="00D076D6"/>
    <w:rsid w:val="00D10A6F"/>
    <w:rsid w:val="00D10E88"/>
    <w:rsid w:val="00D11BA0"/>
    <w:rsid w:val="00D11BCD"/>
    <w:rsid w:val="00D135FB"/>
    <w:rsid w:val="00D13F0F"/>
    <w:rsid w:val="00D14C94"/>
    <w:rsid w:val="00D150D8"/>
    <w:rsid w:val="00D15A13"/>
    <w:rsid w:val="00D15B8D"/>
    <w:rsid w:val="00D16F41"/>
    <w:rsid w:val="00D21151"/>
    <w:rsid w:val="00D21295"/>
    <w:rsid w:val="00D21AA4"/>
    <w:rsid w:val="00D224D3"/>
    <w:rsid w:val="00D2288E"/>
    <w:rsid w:val="00D2315D"/>
    <w:rsid w:val="00D23267"/>
    <w:rsid w:val="00D23CEA"/>
    <w:rsid w:val="00D23D87"/>
    <w:rsid w:val="00D25453"/>
    <w:rsid w:val="00D25962"/>
    <w:rsid w:val="00D25D64"/>
    <w:rsid w:val="00D26388"/>
    <w:rsid w:val="00D2674B"/>
    <w:rsid w:val="00D26CBF"/>
    <w:rsid w:val="00D30136"/>
    <w:rsid w:val="00D30326"/>
    <w:rsid w:val="00D312DE"/>
    <w:rsid w:val="00D3132E"/>
    <w:rsid w:val="00D31ACF"/>
    <w:rsid w:val="00D31CDE"/>
    <w:rsid w:val="00D323AA"/>
    <w:rsid w:val="00D327CF"/>
    <w:rsid w:val="00D330CC"/>
    <w:rsid w:val="00D330DB"/>
    <w:rsid w:val="00D33D4F"/>
    <w:rsid w:val="00D342A6"/>
    <w:rsid w:val="00D34465"/>
    <w:rsid w:val="00D34B67"/>
    <w:rsid w:val="00D34EC1"/>
    <w:rsid w:val="00D352C5"/>
    <w:rsid w:val="00D35B5D"/>
    <w:rsid w:val="00D36A5F"/>
    <w:rsid w:val="00D36F17"/>
    <w:rsid w:val="00D372A4"/>
    <w:rsid w:val="00D3759C"/>
    <w:rsid w:val="00D37CBB"/>
    <w:rsid w:val="00D40739"/>
    <w:rsid w:val="00D418EA"/>
    <w:rsid w:val="00D419E0"/>
    <w:rsid w:val="00D424D5"/>
    <w:rsid w:val="00D435DF"/>
    <w:rsid w:val="00D4363E"/>
    <w:rsid w:val="00D444EF"/>
    <w:rsid w:val="00D45361"/>
    <w:rsid w:val="00D4560F"/>
    <w:rsid w:val="00D45783"/>
    <w:rsid w:val="00D45C90"/>
    <w:rsid w:val="00D464BF"/>
    <w:rsid w:val="00D47B51"/>
    <w:rsid w:val="00D47F76"/>
    <w:rsid w:val="00D50184"/>
    <w:rsid w:val="00D50480"/>
    <w:rsid w:val="00D50999"/>
    <w:rsid w:val="00D51238"/>
    <w:rsid w:val="00D5176D"/>
    <w:rsid w:val="00D520CB"/>
    <w:rsid w:val="00D524A1"/>
    <w:rsid w:val="00D52C8C"/>
    <w:rsid w:val="00D531BE"/>
    <w:rsid w:val="00D538BA"/>
    <w:rsid w:val="00D53E26"/>
    <w:rsid w:val="00D54DAE"/>
    <w:rsid w:val="00D54F80"/>
    <w:rsid w:val="00D551B8"/>
    <w:rsid w:val="00D5524B"/>
    <w:rsid w:val="00D56179"/>
    <w:rsid w:val="00D563AD"/>
    <w:rsid w:val="00D56A72"/>
    <w:rsid w:val="00D56E81"/>
    <w:rsid w:val="00D571B7"/>
    <w:rsid w:val="00D57299"/>
    <w:rsid w:val="00D57BB1"/>
    <w:rsid w:val="00D57C3F"/>
    <w:rsid w:val="00D60177"/>
    <w:rsid w:val="00D60731"/>
    <w:rsid w:val="00D60852"/>
    <w:rsid w:val="00D60ABF"/>
    <w:rsid w:val="00D6108F"/>
    <w:rsid w:val="00D6109E"/>
    <w:rsid w:val="00D61166"/>
    <w:rsid w:val="00D6167D"/>
    <w:rsid w:val="00D6179A"/>
    <w:rsid w:val="00D61E17"/>
    <w:rsid w:val="00D62287"/>
    <w:rsid w:val="00D628EA"/>
    <w:rsid w:val="00D62C2F"/>
    <w:rsid w:val="00D631A6"/>
    <w:rsid w:val="00D6322D"/>
    <w:rsid w:val="00D63932"/>
    <w:rsid w:val="00D63B9A"/>
    <w:rsid w:val="00D6451F"/>
    <w:rsid w:val="00D6476B"/>
    <w:rsid w:val="00D6548B"/>
    <w:rsid w:val="00D657F8"/>
    <w:rsid w:val="00D6623E"/>
    <w:rsid w:val="00D6632D"/>
    <w:rsid w:val="00D665AD"/>
    <w:rsid w:val="00D66AF7"/>
    <w:rsid w:val="00D66E2F"/>
    <w:rsid w:val="00D67482"/>
    <w:rsid w:val="00D674C4"/>
    <w:rsid w:val="00D67E4F"/>
    <w:rsid w:val="00D7178C"/>
    <w:rsid w:val="00D71A0F"/>
    <w:rsid w:val="00D722CB"/>
    <w:rsid w:val="00D72F94"/>
    <w:rsid w:val="00D733CA"/>
    <w:rsid w:val="00D73EE0"/>
    <w:rsid w:val="00D74A89"/>
    <w:rsid w:val="00D74CDB"/>
    <w:rsid w:val="00D76739"/>
    <w:rsid w:val="00D76FED"/>
    <w:rsid w:val="00D771CC"/>
    <w:rsid w:val="00D7739C"/>
    <w:rsid w:val="00D777B8"/>
    <w:rsid w:val="00D77923"/>
    <w:rsid w:val="00D77FA6"/>
    <w:rsid w:val="00D8105C"/>
    <w:rsid w:val="00D82C30"/>
    <w:rsid w:val="00D82FE0"/>
    <w:rsid w:val="00D835FD"/>
    <w:rsid w:val="00D83EA2"/>
    <w:rsid w:val="00D8410B"/>
    <w:rsid w:val="00D867BC"/>
    <w:rsid w:val="00D86DC8"/>
    <w:rsid w:val="00D86DCD"/>
    <w:rsid w:val="00D9027B"/>
    <w:rsid w:val="00D90648"/>
    <w:rsid w:val="00D9070A"/>
    <w:rsid w:val="00D909D7"/>
    <w:rsid w:val="00D9141E"/>
    <w:rsid w:val="00D91480"/>
    <w:rsid w:val="00D914DE"/>
    <w:rsid w:val="00D92967"/>
    <w:rsid w:val="00D92C87"/>
    <w:rsid w:val="00D92C98"/>
    <w:rsid w:val="00D93788"/>
    <w:rsid w:val="00D93CDB"/>
    <w:rsid w:val="00D94249"/>
    <w:rsid w:val="00D94ADF"/>
    <w:rsid w:val="00D950FB"/>
    <w:rsid w:val="00D951B7"/>
    <w:rsid w:val="00D95533"/>
    <w:rsid w:val="00D969CA"/>
    <w:rsid w:val="00D9723C"/>
    <w:rsid w:val="00DA051D"/>
    <w:rsid w:val="00DA0C3F"/>
    <w:rsid w:val="00DA2C4C"/>
    <w:rsid w:val="00DA2FF4"/>
    <w:rsid w:val="00DA3295"/>
    <w:rsid w:val="00DA34BD"/>
    <w:rsid w:val="00DA380E"/>
    <w:rsid w:val="00DA3A60"/>
    <w:rsid w:val="00DA466C"/>
    <w:rsid w:val="00DA4DD7"/>
    <w:rsid w:val="00DA52BD"/>
    <w:rsid w:val="00DA565E"/>
    <w:rsid w:val="00DA5909"/>
    <w:rsid w:val="00DA6280"/>
    <w:rsid w:val="00DA7F53"/>
    <w:rsid w:val="00DB065C"/>
    <w:rsid w:val="00DB0F27"/>
    <w:rsid w:val="00DB1943"/>
    <w:rsid w:val="00DB2884"/>
    <w:rsid w:val="00DB2B9E"/>
    <w:rsid w:val="00DB319E"/>
    <w:rsid w:val="00DB41A2"/>
    <w:rsid w:val="00DB4B10"/>
    <w:rsid w:val="00DB4EF0"/>
    <w:rsid w:val="00DB5410"/>
    <w:rsid w:val="00DB612E"/>
    <w:rsid w:val="00DB64BC"/>
    <w:rsid w:val="00DB73EC"/>
    <w:rsid w:val="00DB74AC"/>
    <w:rsid w:val="00DB7C61"/>
    <w:rsid w:val="00DC1438"/>
    <w:rsid w:val="00DC1671"/>
    <w:rsid w:val="00DC180F"/>
    <w:rsid w:val="00DC20B0"/>
    <w:rsid w:val="00DC2181"/>
    <w:rsid w:val="00DC350B"/>
    <w:rsid w:val="00DC364A"/>
    <w:rsid w:val="00DC383C"/>
    <w:rsid w:val="00DC542E"/>
    <w:rsid w:val="00DC5AA6"/>
    <w:rsid w:val="00DC5C29"/>
    <w:rsid w:val="00DC6B5C"/>
    <w:rsid w:val="00DC6F2A"/>
    <w:rsid w:val="00DC720D"/>
    <w:rsid w:val="00DD01E5"/>
    <w:rsid w:val="00DD0EE5"/>
    <w:rsid w:val="00DD10E4"/>
    <w:rsid w:val="00DD1471"/>
    <w:rsid w:val="00DD273A"/>
    <w:rsid w:val="00DD2C10"/>
    <w:rsid w:val="00DD2F13"/>
    <w:rsid w:val="00DD485D"/>
    <w:rsid w:val="00DD486D"/>
    <w:rsid w:val="00DD4BFF"/>
    <w:rsid w:val="00DD4C3C"/>
    <w:rsid w:val="00DD4CE3"/>
    <w:rsid w:val="00DD4F0E"/>
    <w:rsid w:val="00DD5E06"/>
    <w:rsid w:val="00DD7A13"/>
    <w:rsid w:val="00DE0B40"/>
    <w:rsid w:val="00DE17E4"/>
    <w:rsid w:val="00DE3053"/>
    <w:rsid w:val="00DE3142"/>
    <w:rsid w:val="00DE47B1"/>
    <w:rsid w:val="00DE4CD8"/>
    <w:rsid w:val="00DE4E24"/>
    <w:rsid w:val="00DE56B8"/>
    <w:rsid w:val="00DE596A"/>
    <w:rsid w:val="00DE5D06"/>
    <w:rsid w:val="00DE65D5"/>
    <w:rsid w:val="00DE69F8"/>
    <w:rsid w:val="00DE7955"/>
    <w:rsid w:val="00DE7983"/>
    <w:rsid w:val="00DE7E5B"/>
    <w:rsid w:val="00DE7EF3"/>
    <w:rsid w:val="00DF04E3"/>
    <w:rsid w:val="00DF05F1"/>
    <w:rsid w:val="00DF0B66"/>
    <w:rsid w:val="00DF0BF0"/>
    <w:rsid w:val="00DF0CEA"/>
    <w:rsid w:val="00DF11EC"/>
    <w:rsid w:val="00DF1BA3"/>
    <w:rsid w:val="00DF1FED"/>
    <w:rsid w:val="00DF2617"/>
    <w:rsid w:val="00DF27EA"/>
    <w:rsid w:val="00DF2809"/>
    <w:rsid w:val="00DF2F9C"/>
    <w:rsid w:val="00DF3444"/>
    <w:rsid w:val="00DF378F"/>
    <w:rsid w:val="00DF39E6"/>
    <w:rsid w:val="00DF4535"/>
    <w:rsid w:val="00DF5684"/>
    <w:rsid w:val="00DF5859"/>
    <w:rsid w:val="00DF5FAD"/>
    <w:rsid w:val="00DF69F5"/>
    <w:rsid w:val="00DF7511"/>
    <w:rsid w:val="00DF7AA8"/>
    <w:rsid w:val="00DF7E7A"/>
    <w:rsid w:val="00E002CC"/>
    <w:rsid w:val="00E0079F"/>
    <w:rsid w:val="00E00A9E"/>
    <w:rsid w:val="00E00BAE"/>
    <w:rsid w:val="00E01249"/>
    <w:rsid w:val="00E01408"/>
    <w:rsid w:val="00E014EA"/>
    <w:rsid w:val="00E01F0B"/>
    <w:rsid w:val="00E02964"/>
    <w:rsid w:val="00E034A7"/>
    <w:rsid w:val="00E03DB3"/>
    <w:rsid w:val="00E03F73"/>
    <w:rsid w:val="00E054DF"/>
    <w:rsid w:val="00E0579F"/>
    <w:rsid w:val="00E05B53"/>
    <w:rsid w:val="00E05E0A"/>
    <w:rsid w:val="00E05FB4"/>
    <w:rsid w:val="00E0638D"/>
    <w:rsid w:val="00E0680F"/>
    <w:rsid w:val="00E101AA"/>
    <w:rsid w:val="00E10F4B"/>
    <w:rsid w:val="00E118CD"/>
    <w:rsid w:val="00E11A4F"/>
    <w:rsid w:val="00E11CE7"/>
    <w:rsid w:val="00E12083"/>
    <w:rsid w:val="00E13B60"/>
    <w:rsid w:val="00E143C4"/>
    <w:rsid w:val="00E15284"/>
    <w:rsid w:val="00E15628"/>
    <w:rsid w:val="00E156FE"/>
    <w:rsid w:val="00E1595F"/>
    <w:rsid w:val="00E15DAC"/>
    <w:rsid w:val="00E160B1"/>
    <w:rsid w:val="00E162A4"/>
    <w:rsid w:val="00E164E4"/>
    <w:rsid w:val="00E17502"/>
    <w:rsid w:val="00E17B31"/>
    <w:rsid w:val="00E17D4D"/>
    <w:rsid w:val="00E2018B"/>
    <w:rsid w:val="00E21D6A"/>
    <w:rsid w:val="00E21EBB"/>
    <w:rsid w:val="00E221A2"/>
    <w:rsid w:val="00E22328"/>
    <w:rsid w:val="00E22707"/>
    <w:rsid w:val="00E23419"/>
    <w:rsid w:val="00E23A82"/>
    <w:rsid w:val="00E23D5F"/>
    <w:rsid w:val="00E24607"/>
    <w:rsid w:val="00E26F47"/>
    <w:rsid w:val="00E27AEE"/>
    <w:rsid w:val="00E27B1D"/>
    <w:rsid w:val="00E3085D"/>
    <w:rsid w:val="00E31239"/>
    <w:rsid w:val="00E32CBC"/>
    <w:rsid w:val="00E3357D"/>
    <w:rsid w:val="00E3437A"/>
    <w:rsid w:val="00E35D5A"/>
    <w:rsid w:val="00E36F20"/>
    <w:rsid w:val="00E37499"/>
    <w:rsid w:val="00E37F7A"/>
    <w:rsid w:val="00E403BF"/>
    <w:rsid w:val="00E40696"/>
    <w:rsid w:val="00E40C86"/>
    <w:rsid w:val="00E40F00"/>
    <w:rsid w:val="00E418EA"/>
    <w:rsid w:val="00E41ADE"/>
    <w:rsid w:val="00E41B36"/>
    <w:rsid w:val="00E41C43"/>
    <w:rsid w:val="00E42680"/>
    <w:rsid w:val="00E42B55"/>
    <w:rsid w:val="00E42CB6"/>
    <w:rsid w:val="00E43DFB"/>
    <w:rsid w:val="00E43EAB"/>
    <w:rsid w:val="00E43EEF"/>
    <w:rsid w:val="00E447F8"/>
    <w:rsid w:val="00E44A2D"/>
    <w:rsid w:val="00E44BBB"/>
    <w:rsid w:val="00E44F2B"/>
    <w:rsid w:val="00E45C2B"/>
    <w:rsid w:val="00E45F88"/>
    <w:rsid w:val="00E4651F"/>
    <w:rsid w:val="00E47074"/>
    <w:rsid w:val="00E47304"/>
    <w:rsid w:val="00E47873"/>
    <w:rsid w:val="00E479F5"/>
    <w:rsid w:val="00E504EC"/>
    <w:rsid w:val="00E50647"/>
    <w:rsid w:val="00E51025"/>
    <w:rsid w:val="00E511C1"/>
    <w:rsid w:val="00E516BB"/>
    <w:rsid w:val="00E52574"/>
    <w:rsid w:val="00E531EE"/>
    <w:rsid w:val="00E5335D"/>
    <w:rsid w:val="00E534CF"/>
    <w:rsid w:val="00E53B82"/>
    <w:rsid w:val="00E53C15"/>
    <w:rsid w:val="00E5407D"/>
    <w:rsid w:val="00E55041"/>
    <w:rsid w:val="00E55564"/>
    <w:rsid w:val="00E55FE8"/>
    <w:rsid w:val="00E562AA"/>
    <w:rsid w:val="00E56830"/>
    <w:rsid w:val="00E57393"/>
    <w:rsid w:val="00E604EE"/>
    <w:rsid w:val="00E60EBB"/>
    <w:rsid w:val="00E6127F"/>
    <w:rsid w:val="00E618AC"/>
    <w:rsid w:val="00E61CF9"/>
    <w:rsid w:val="00E6234C"/>
    <w:rsid w:val="00E62842"/>
    <w:rsid w:val="00E62858"/>
    <w:rsid w:val="00E62EE4"/>
    <w:rsid w:val="00E63061"/>
    <w:rsid w:val="00E632E0"/>
    <w:rsid w:val="00E635AC"/>
    <w:rsid w:val="00E637F6"/>
    <w:rsid w:val="00E6389E"/>
    <w:rsid w:val="00E63A17"/>
    <w:rsid w:val="00E6570C"/>
    <w:rsid w:val="00E66DD9"/>
    <w:rsid w:val="00E67019"/>
    <w:rsid w:val="00E678E3"/>
    <w:rsid w:val="00E70217"/>
    <w:rsid w:val="00E70312"/>
    <w:rsid w:val="00E70865"/>
    <w:rsid w:val="00E70FAD"/>
    <w:rsid w:val="00E7111E"/>
    <w:rsid w:val="00E711DB"/>
    <w:rsid w:val="00E71EB4"/>
    <w:rsid w:val="00E71EFF"/>
    <w:rsid w:val="00E72537"/>
    <w:rsid w:val="00E7258C"/>
    <w:rsid w:val="00E72F46"/>
    <w:rsid w:val="00E73114"/>
    <w:rsid w:val="00E73633"/>
    <w:rsid w:val="00E7424A"/>
    <w:rsid w:val="00E74844"/>
    <w:rsid w:val="00E74D67"/>
    <w:rsid w:val="00E7509E"/>
    <w:rsid w:val="00E75220"/>
    <w:rsid w:val="00E75463"/>
    <w:rsid w:val="00E75484"/>
    <w:rsid w:val="00E75B01"/>
    <w:rsid w:val="00E761CD"/>
    <w:rsid w:val="00E76CDC"/>
    <w:rsid w:val="00E76ECB"/>
    <w:rsid w:val="00E772E3"/>
    <w:rsid w:val="00E77B66"/>
    <w:rsid w:val="00E8067A"/>
    <w:rsid w:val="00E80927"/>
    <w:rsid w:val="00E80DA7"/>
    <w:rsid w:val="00E812BF"/>
    <w:rsid w:val="00E817C3"/>
    <w:rsid w:val="00E81CB4"/>
    <w:rsid w:val="00E82A8B"/>
    <w:rsid w:val="00E83147"/>
    <w:rsid w:val="00E840E1"/>
    <w:rsid w:val="00E849BA"/>
    <w:rsid w:val="00E84FD2"/>
    <w:rsid w:val="00E851AD"/>
    <w:rsid w:val="00E85679"/>
    <w:rsid w:val="00E8585B"/>
    <w:rsid w:val="00E85CE0"/>
    <w:rsid w:val="00E85E59"/>
    <w:rsid w:val="00E8713A"/>
    <w:rsid w:val="00E87BC1"/>
    <w:rsid w:val="00E87F6A"/>
    <w:rsid w:val="00E9061E"/>
    <w:rsid w:val="00E90955"/>
    <w:rsid w:val="00E90EFF"/>
    <w:rsid w:val="00E9264A"/>
    <w:rsid w:val="00E92E0A"/>
    <w:rsid w:val="00E93C5E"/>
    <w:rsid w:val="00E93EB3"/>
    <w:rsid w:val="00E93FB3"/>
    <w:rsid w:val="00E9503E"/>
    <w:rsid w:val="00E9574D"/>
    <w:rsid w:val="00E9684B"/>
    <w:rsid w:val="00E96874"/>
    <w:rsid w:val="00E97099"/>
    <w:rsid w:val="00E97CB0"/>
    <w:rsid w:val="00EA0849"/>
    <w:rsid w:val="00EA14C7"/>
    <w:rsid w:val="00EA1FB8"/>
    <w:rsid w:val="00EA28FF"/>
    <w:rsid w:val="00EA30EB"/>
    <w:rsid w:val="00EA372B"/>
    <w:rsid w:val="00EA3C94"/>
    <w:rsid w:val="00EA3F15"/>
    <w:rsid w:val="00EA3F81"/>
    <w:rsid w:val="00EA52EF"/>
    <w:rsid w:val="00EA59DF"/>
    <w:rsid w:val="00EA5FBC"/>
    <w:rsid w:val="00EA6384"/>
    <w:rsid w:val="00EA6385"/>
    <w:rsid w:val="00EA64F9"/>
    <w:rsid w:val="00EA7847"/>
    <w:rsid w:val="00EA7FB7"/>
    <w:rsid w:val="00EB005E"/>
    <w:rsid w:val="00EB0F2E"/>
    <w:rsid w:val="00EB0F69"/>
    <w:rsid w:val="00EB0F94"/>
    <w:rsid w:val="00EB180D"/>
    <w:rsid w:val="00EB1C8E"/>
    <w:rsid w:val="00EB2359"/>
    <w:rsid w:val="00EB267D"/>
    <w:rsid w:val="00EB2884"/>
    <w:rsid w:val="00EB290B"/>
    <w:rsid w:val="00EB298E"/>
    <w:rsid w:val="00EB2BFD"/>
    <w:rsid w:val="00EB2F1D"/>
    <w:rsid w:val="00EB382D"/>
    <w:rsid w:val="00EB449D"/>
    <w:rsid w:val="00EB463A"/>
    <w:rsid w:val="00EB512D"/>
    <w:rsid w:val="00EB5E91"/>
    <w:rsid w:val="00EB623F"/>
    <w:rsid w:val="00EB6B3E"/>
    <w:rsid w:val="00EB6D3E"/>
    <w:rsid w:val="00EB6DC4"/>
    <w:rsid w:val="00EB6EC3"/>
    <w:rsid w:val="00EB7721"/>
    <w:rsid w:val="00EC0664"/>
    <w:rsid w:val="00EC081A"/>
    <w:rsid w:val="00EC0893"/>
    <w:rsid w:val="00EC090A"/>
    <w:rsid w:val="00EC0D38"/>
    <w:rsid w:val="00EC19F3"/>
    <w:rsid w:val="00EC1B50"/>
    <w:rsid w:val="00EC1D4D"/>
    <w:rsid w:val="00EC2796"/>
    <w:rsid w:val="00EC3714"/>
    <w:rsid w:val="00EC4B96"/>
    <w:rsid w:val="00EC564B"/>
    <w:rsid w:val="00EC62C4"/>
    <w:rsid w:val="00EC71E4"/>
    <w:rsid w:val="00EC72FC"/>
    <w:rsid w:val="00EC7775"/>
    <w:rsid w:val="00ED0102"/>
    <w:rsid w:val="00ED0822"/>
    <w:rsid w:val="00ED0A14"/>
    <w:rsid w:val="00ED0EE2"/>
    <w:rsid w:val="00ED1DFF"/>
    <w:rsid w:val="00ED28C9"/>
    <w:rsid w:val="00ED2A1C"/>
    <w:rsid w:val="00ED33F5"/>
    <w:rsid w:val="00ED3EA2"/>
    <w:rsid w:val="00ED4147"/>
    <w:rsid w:val="00ED45AC"/>
    <w:rsid w:val="00ED4D14"/>
    <w:rsid w:val="00ED4EB3"/>
    <w:rsid w:val="00ED51A0"/>
    <w:rsid w:val="00ED54C8"/>
    <w:rsid w:val="00ED63A2"/>
    <w:rsid w:val="00ED7166"/>
    <w:rsid w:val="00ED7610"/>
    <w:rsid w:val="00EE014D"/>
    <w:rsid w:val="00EE058F"/>
    <w:rsid w:val="00EE0793"/>
    <w:rsid w:val="00EE0E6E"/>
    <w:rsid w:val="00EE1002"/>
    <w:rsid w:val="00EE184E"/>
    <w:rsid w:val="00EE2E6D"/>
    <w:rsid w:val="00EE2E6E"/>
    <w:rsid w:val="00EE2F3A"/>
    <w:rsid w:val="00EE3106"/>
    <w:rsid w:val="00EE3A47"/>
    <w:rsid w:val="00EE3B42"/>
    <w:rsid w:val="00EE422D"/>
    <w:rsid w:val="00EE45B9"/>
    <w:rsid w:val="00EE49E1"/>
    <w:rsid w:val="00EE4BDB"/>
    <w:rsid w:val="00EE5298"/>
    <w:rsid w:val="00EE594F"/>
    <w:rsid w:val="00EE59D3"/>
    <w:rsid w:val="00EE5CB9"/>
    <w:rsid w:val="00EE5F7D"/>
    <w:rsid w:val="00EE6C8A"/>
    <w:rsid w:val="00EE6E20"/>
    <w:rsid w:val="00EE71CE"/>
    <w:rsid w:val="00EE7573"/>
    <w:rsid w:val="00EE7BF4"/>
    <w:rsid w:val="00EE7D8A"/>
    <w:rsid w:val="00EF0942"/>
    <w:rsid w:val="00EF0A19"/>
    <w:rsid w:val="00EF0C4F"/>
    <w:rsid w:val="00EF0E52"/>
    <w:rsid w:val="00EF10AD"/>
    <w:rsid w:val="00EF1B32"/>
    <w:rsid w:val="00EF2031"/>
    <w:rsid w:val="00EF297F"/>
    <w:rsid w:val="00EF2A9E"/>
    <w:rsid w:val="00EF2BFF"/>
    <w:rsid w:val="00EF32C0"/>
    <w:rsid w:val="00EF330F"/>
    <w:rsid w:val="00EF339E"/>
    <w:rsid w:val="00EF3921"/>
    <w:rsid w:val="00EF3BBC"/>
    <w:rsid w:val="00EF4B93"/>
    <w:rsid w:val="00EF63CE"/>
    <w:rsid w:val="00EF6591"/>
    <w:rsid w:val="00EF6789"/>
    <w:rsid w:val="00EF7019"/>
    <w:rsid w:val="00EF773E"/>
    <w:rsid w:val="00EF7B4F"/>
    <w:rsid w:val="00EF7F92"/>
    <w:rsid w:val="00F001F2"/>
    <w:rsid w:val="00F01068"/>
    <w:rsid w:val="00F011F8"/>
    <w:rsid w:val="00F01431"/>
    <w:rsid w:val="00F017CD"/>
    <w:rsid w:val="00F01806"/>
    <w:rsid w:val="00F01B61"/>
    <w:rsid w:val="00F01F7C"/>
    <w:rsid w:val="00F04455"/>
    <w:rsid w:val="00F044EB"/>
    <w:rsid w:val="00F04E59"/>
    <w:rsid w:val="00F0501D"/>
    <w:rsid w:val="00F05FD5"/>
    <w:rsid w:val="00F0631F"/>
    <w:rsid w:val="00F066E9"/>
    <w:rsid w:val="00F0759E"/>
    <w:rsid w:val="00F075A1"/>
    <w:rsid w:val="00F07E4D"/>
    <w:rsid w:val="00F10203"/>
    <w:rsid w:val="00F10644"/>
    <w:rsid w:val="00F10E43"/>
    <w:rsid w:val="00F10F88"/>
    <w:rsid w:val="00F13554"/>
    <w:rsid w:val="00F13810"/>
    <w:rsid w:val="00F13C85"/>
    <w:rsid w:val="00F13FC5"/>
    <w:rsid w:val="00F143DE"/>
    <w:rsid w:val="00F14C6D"/>
    <w:rsid w:val="00F15075"/>
    <w:rsid w:val="00F15208"/>
    <w:rsid w:val="00F158B1"/>
    <w:rsid w:val="00F158EE"/>
    <w:rsid w:val="00F158F4"/>
    <w:rsid w:val="00F16034"/>
    <w:rsid w:val="00F1649D"/>
    <w:rsid w:val="00F16C18"/>
    <w:rsid w:val="00F16E1A"/>
    <w:rsid w:val="00F170CC"/>
    <w:rsid w:val="00F171E1"/>
    <w:rsid w:val="00F1720B"/>
    <w:rsid w:val="00F17C1E"/>
    <w:rsid w:val="00F2158F"/>
    <w:rsid w:val="00F2233E"/>
    <w:rsid w:val="00F22540"/>
    <w:rsid w:val="00F2274A"/>
    <w:rsid w:val="00F22B5C"/>
    <w:rsid w:val="00F22B84"/>
    <w:rsid w:val="00F2329B"/>
    <w:rsid w:val="00F23351"/>
    <w:rsid w:val="00F23E17"/>
    <w:rsid w:val="00F24931"/>
    <w:rsid w:val="00F24FFB"/>
    <w:rsid w:val="00F261E1"/>
    <w:rsid w:val="00F263F8"/>
    <w:rsid w:val="00F27665"/>
    <w:rsid w:val="00F27729"/>
    <w:rsid w:val="00F27F24"/>
    <w:rsid w:val="00F306A1"/>
    <w:rsid w:val="00F30B18"/>
    <w:rsid w:val="00F31266"/>
    <w:rsid w:val="00F31642"/>
    <w:rsid w:val="00F31679"/>
    <w:rsid w:val="00F318A5"/>
    <w:rsid w:val="00F321F4"/>
    <w:rsid w:val="00F32898"/>
    <w:rsid w:val="00F33430"/>
    <w:rsid w:val="00F337D9"/>
    <w:rsid w:val="00F33B43"/>
    <w:rsid w:val="00F33C70"/>
    <w:rsid w:val="00F34239"/>
    <w:rsid w:val="00F34585"/>
    <w:rsid w:val="00F34782"/>
    <w:rsid w:val="00F34E34"/>
    <w:rsid w:val="00F350AF"/>
    <w:rsid w:val="00F358D1"/>
    <w:rsid w:val="00F35935"/>
    <w:rsid w:val="00F35B02"/>
    <w:rsid w:val="00F369B5"/>
    <w:rsid w:val="00F37175"/>
    <w:rsid w:val="00F375F6"/>
    <w:rsid w:val="00F37B32"/>
    <w:rsid w:val="00F41373"/>
    <w:rsid w:val="00F41DCA"/>
    <w:rsid w:val="00F42536"/>
    <w:rsid w:val="00F42CBD"/>
    <w:rsid w:val="00F432E6"/>
    <w:rsid w:val="00F43858"/>
    <w:rsid w:val="00F43CA8"/>
    <w:rsid w:val="00F4514D"/>
    <w:rsid w:val="00F4540C"/>
    <w:rsid w:val="00F459E6"/>
    <w:rsid w:val="00F4627D"/>
    <w:rsid w:val="00F465C5"/>
    <w:rsid w:val="00F4752D"/>
    <w:rsid w:val="00F479D3"/>
    <w:rsid w:val="00F505B2"/>
    <w:rsid w:val="00F50683"/>
    <w:rsid w:val="00F50FAE"/>
    <w:rsid w:val="00F51347"/>
    <w:rsid w:val="00F513F0"/>
    <w:rsid w:val="00F51E2E"/>
    <w:rsid w:val="00F52C1D"/>
    <w:rsid w:val="00F52F1F"/>
    <w:rsid w:val="00F53D77"/>
    <w:rsid w:val="00F55D66"/>
    <w:rsid w:val="00F55DA9"/>
    <w:rsid w:val="00F5619A"/>
    <w:rsid w:val="00F569FD"/>
    <w:rsid w:val="00F57245"/>
    <w:rsid w:val="00F572C5"/>
    <w:rsid w:val="00F6104C"/>
    <w:rsid w:val="00F61F7D"/>
    <w:rsid w:val="00F621DA"/>
    <w:rsid w:val="00F62312"/>
    <w:rsid w:val="00F62459"/>
    <w:rsid w:val="00F62791"/>
    <w:rsid w:val="00F62ECE"/>
    <w:rsid w:val="00F633BD"/>
    <w:rsid w:val="00F634AC"/>
    <w:rsid w:val="00F63C57"/>
    <w:rsid w:val="00F64113"/>
    <w:rsid w:val="00F645E4"/>
    <w:rsid w:val="00F64E17"/>
    <w:rsid w:val="00F651E9"/>
    <w:rsid w:val="00F652B9"/>
    <w:rsid w:val="00F66696"/>
    <w:rsid w:val="00F669AB"/>
    <w:rsid w:val="00F66A2C"/>
    <w:rsid w:val="00F66B49"/>
    <w:rsid w:val="00F66D76"/>
    <w:rsid w:val="00F66E9F"/>
    <w:rsid w:val="00F671ED"/>
    <w:rsid w:val="00F700DD"/>
    <w:rsid w:val="00F707B3"/>
    <w:rsid w:val="00F70D52"/>
    <w:rsid w:val="00F712A7"/>
    <w:rsid w:val="00F7159B"/>
    <w:rsid w:val="00F718F3"/>
    <w:rsid w:val="00F719A8"/>
    <w:rsid w:val="00F71C6E"/>
    <w:rsid w:val="00F71CBA"/>
    <w:rsid w:val="00F71DB1"/>
    <w:rsid w:val="00F71E33"/>
    <w:rsid w:val="00F72311"/>
    <w:rsid w:val="00F72719"/>
    <w:rsid w:val="00F72BA7"/>
    <w:rsid w:val="00F72C2E"/>
    <w:rsid w:val="00F736B6"/>
    <w:rsid w:val="00F742A8"/>
    <w:rsid w:val="00F7590A"/>
    <w:rsid w:val="00F75BC2"/>
    <w:rsid w:val="00F76456"/>
    <w:rsid w:val="00F7664E"/>
    <w:rsid w:val="00F76F67"/>
    <w:rsid w:val="00F778C7"/>
    <w:rsid w:val="00F779E7"/>
    <w:rsid w:val="00F77BED"/>
    <w:rsid w:val="00F81167"/>
    <w:rsid w:val="00F813A4"/>
    <w:rsid w:val="00F8145D"/>
    <w:rsid w:val="00F81D80"/>
    <w:rsid w:val="00F82194"/>
    <w:rsid w:val="00F821A3"/>
    <w:rsid w:val="00F82FD1"/>
    <w:rsid w:val="00F830E9"/>
    <w:rsid w:val="00F84069"/>
    <w:rsid w:val="00F841B2"/>
    <w:rsid w:val="00F84267"/>
    <w:rsid w:val="00F84898"/>
    <w:rsid w:val="00F85061"/>
    <w:rsid w:val="00F854E0"/>
    <w:rsid w:val="00F85C08"/>
    <w:rsid w:val="00F85DD5"/>
    <w:rsid w:val="00F862DC"/>
    <w:rsid w:val="00F865FC"/>
    <w:rsid w:val="00F86627"/>
    <w:rsid w:val="00F867C6"/>
    <w:rsid w:val="00F86A8F"/>
    <w:rsid w:val="00F870C0"/>
    <w:rsid w:val="00F875A4"/>
    <w:rsid w:val="00F8779B"/>
    <w:rsid w:val="00F9033A"/>
    <w:rsid w:val="00F9088F"/>
    <w:rsid w:val="00F913DF"/>
    <w:rsid w:val="00F9164E"/>
    <w:rsid w:val="00F9314A"/>
    <w:rsid w:val="00F935FB"/>
    <w:rsid w:val="00F9373E"/>
    <w:rsid w:val="00F94BAD"/>
    <w:rsid w:val="00F955C3"/>
    <w:rsid w:val="00F957D8"/>
    <w:rsid w:val="00F95F39"/>
    <w:rsid w:val="00F97F25"/>
    <w:rsid w:val="00FA136C"/>
    <w:rsid w:val="00FA15A0"/>
    <w:rsid w:val="00FA2188"/>
    <w:rsid w:val="00FA2AD8"/>
    <w:rsid w:val="00FA2D26"/>
    <w:rsid w:val="00FA2E4E"/>
    <w:rsid w:val="00FA310D"/>
    <w:rsid w:val="00FA31C4"/>
    <w:rsid w:val="00FA34B4"/>
    <w:rsid w:val="00FA42C7"/>
    <w:rsid w:val="00FA5679"/>
    <w:rsid w:val="00FA7D90"/>
    <w:rsid w:val="00FB0C1A"/>
    <w:rsid w:val="00FB0EE9"/>
    <w:rsid w:val="00FB1146"/>
    <w:rsid w:val="00FB1299"/>
    <w:rsid w:val="00FB1437"/>
    <w:rsid w:val="00FB153A"/>
    <w:rsid w:val="00FB1546"/>
    <w:rsid w:val="00FB2114"/>
    <w:rsid w:val="00FB2E67"/>
    <w:rsid w:val="00FB37B7"/>
    <w:rsid w:val="00FB47BD"/>
    <w:rsid w:val="00FB4B5A"/>
    <w:rsid w:val="00FB4BD0"/>
    <w:rsid w:val="00FB5666"/>
    <w:rsid w:val="00FB57F3"/>
    <w:rsid w:val="00FB5D77"/>
    <w:rsid w:val="00FB5F17"/>
    <w:rsid w:val="00FB63CC"/>
    <w:rsid w:val="00FB643F"/>
    <w:rsid w:val="00FB6677"/>
    <w:rsid w:val="00FB7323"/>
    <w:rsid w:val="00FC0120"/>
    <w:rsid w:val="00FC0171"/>
    <w:rsid w:val="00FC02FB"/>
    <w:rsid w:val="00FC0C9B"/>
    <w:rsid w:val="00FC14E0"/>
    <w:rsid w:val="00FC1531"/>
    <w:rsid w:val="00FC1AB3"/>
    <w:rsid w:val="00FC1D20"/>
    <w:rsid w:val="00FC1ED8"/>
    <w:rsid w:val="00FC2A06"/>
    <w:rsid w:val="00FC33A7"/>
    <w:rsid w:val="00FC3897"/>
    <w:rsid w:val="00FC4840"/>
    <w:rsid w:val="00FC50E8"/>
    <w:rsid w:val="00FC58EF"/>
    <w:rsid w:val="00FC5D2B"/>
    <w:rsid w:val="00FC60B4"/>
    <w:rsid w:val="00FC614C"/>
    <w:rsid w:val="00FC625C"/>
    <w:rsid w:val="00FC6B86"/>
    <w:rsid w:val="00FC6CB9"/>
    <w:rsid w:val="00FC6FBD"/>
    <w:rsid w:val="00FC7069"/>
    <w:rsid w:val="00FC7356"/>
    <w:rsid w:val="00FC7F4F"/>
    <w:rsid w:val="00FD0468"/>
    <w:rsid w:val="00FD0766"/>
    <w:rsid w:val="00FD0C39"/>
    <w:rsid w:val="00FD1C22"/>
    <w:rsid w:val="00FD33DF"/>
    <w:rsid w:val="00FD4319"/>
    <w:rsid w:val="00FD43AF"/>
    <w:rsid w:val="00FD4523"/>
    <w:rsid w:val="00FD4BC8"/>
    <w:rsid w:val="00FD4BD4"/>
    <w:rsid w:val="00FD5191"/>
    <w:rsid w:val="00FD5B78"/>
    <w:rsid w:val="00FD68B0"/>
    <w:rsid w:val="00FD6FD5"/>
    <w:rsid w:val="00FD769D"/>
    <w:rsid w:val="00FD7A96"/>
    <w:rsid w:val="00FE00C6"/>
    <w:rsid w:val="00FE038E"/>
    <w:rsid w:val="00FE0DC5"/>
    <w:rsid w:val="00FE1FE5"/>
    <w:rsid w:val="00FE277E"/>
    <w:rsid w:val="00FE39D7"/>
    <w:rsid w:val="00FE3EA7"/>
    <w:rsid w:val="00FE43B3"/>
    <w:rsid w:val="00FE48A9"/>
    <w:rsid w:val="00FE4B04"/>
    <w:rsid w:val="00FE5037"/>
    <w:rsid w:val="00FE59E2"/>
    <w:rsid w:val="00FE5D5D"/>
    <w:rsid w:val="00FE6E46"/>
    <w:rsid w:val="00FE70CC"/>
    <w:rsid w:val="00FF03A0"/>
    <w:rsid w:val="00FF0AD3"/>
    <w:rsid w:val="00FF0B25"/>
    <w:rsid w:val="00FF158F"/>
    <w:rsid w:val="00FF19A3"/>
    <w:rsid w:val="00FF19B6"/>
    <w:rsid w:val="00FF26F4"/>
    <w:rsid w:val="00FF3285"/>
    <w:rsid w:val="00FF3651"/>
    <w:rsid w:val="00FF3EAD"/>
    <w:rsid w:val="00FF4670"/>
    <w:rsid w:val="00FF46DF"/>
    <w:rsid w:val="00FF4F3F"/>
    <w:rsid w:val="00FF50A9"/>
    <w:rsid w:val="00FF52FB"/>
    <w:rsid w:val="00FF6855"/>
    <w:rsid w:val="00FF6BE9"/>
    <w:rsid w:val="00FF70C3"/>
    <w:rsid w:val="00FF7673"/>
    <w:rsid w:val="00FF795D"/>
    <w:rsid w:val="00FF7F3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5"/>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 w:type="character" w:customStyle="1" w:styleId="CharStyle11">
    <w:name w:val="Char Style 11"/>
    <w:basedOn w:val="Fuentedeprrafopredeter"/>
    <w:link w:val="Style10"/>
    <w:uiPriority w:val="99"/>
    <w:rsid w:val="005C39FD"/>
    <w:rPr>
      <w:rFonts w:ascii="Arial" w:hAnsi="Arial" w:cs="Arial"/>
      <w:b/>
      <w:bCs/>
      <w:sz w:val="16"/>
      <w:szCs w:val="16"/>
      <w:shd w:val="clear" w:color="auto" w:fill="FFFFFF"/>
    </w:rPr>
  </w:style>
  <w:style w:type="character" w:customStyle="1" w:styleId="CharStyle20">
    <w:name w:val="Char Style 20"/>
    <w:basedOn w:val="Fuentedeprrafopredeter"/>
    <w:link w:val="Style19"/>
    <w:uiPriority w:val="99"/>
    <w:rsid w:val="005C39FD"/>
    <w:rPr>
      <w:rFonts w:ascii="Arial" w:hAnsi="Arial" w:cs="Arial"/>
      <w:sz w:val="19"/>
      <w:szCs w:val="19"/>
      <w:shd w:val="clear" w:color="auto" w:fill="FFFFFF"/>
    </w:rPr>
  </w:style>
  <w:style w:type="paragraph" w:customStyle="1" w:styleId="Style10">
    <w:name w:val="Style 10"/>
    <w:basedOn w:val="Normal"/>
    <w:link w:val="CharStyle11"/>
    <w:uiPriority w:val="99"/>
    <w:rsid w:val="005C39FD"/>
    <w:pPr>
      <w:widowControl w:val="0"/>
      <w:shd w:val="clear" w:color="auto" w:fill="FFFFFF"/>
      <w:spacing w:before="300" w:line="763" w:lineRule="exact"/>
      <w:ind w:left="0" w:hanging="340"/>
    </w:pPr>
    <w:rPr>
      <w:rFonts w:ascii="Arial" w:hAnsi="Arial" w:cs="Arial"/>
      <w:b/>
      <w:bCs/>
      <w:sz w:val="16"/>
      <w:szCs w:val="16"/>
      <w:lang w:val="es-CO" w:eastAsia="es-CO"/>
    </w:rPr>
  </w:style>
  <w:style w:type="paragraph" w:customStyle="1" w:styleId="Style19">
    <w:name w:val="Style 19"/>
    <w:basedOn w:val="Normal"/>
    <w:link w:val="CharStyle20"/>
    <w:uiPriority w:val="99"/>
    <w:rsid w:val="005C39FD"/>
    <w:pPr>
      <w:widowControl w:val="0"/>
      <w:shd w:val="clear" w:color="auto" w:fill="FFFFFF"/>
      <w:spacing w:before="300" w:line="259" w:lineRule="exact"/>
      <w:ind w:left="0"/>
      <w:jc w:val="both"/>
    </w:pPr>
    <w:rPr>
      <w:rFonts w:ascii="Arial" w:hAnsi="Arial" w:cs="Arial"/>
      <w:sz w:val="19"/>
      <w:szCs w:val="19"/>
      <w:lang w:val="es-CO"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5"/>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 w:type="character" w:customStyle="1" w:styleId="CharStyle11">
    <w:name w:val="Char Style 11"/>
    <w:basedOn w:val="Fuentedeprrafopredeter"/>
    <w:link w:val="Style10"/>
    <w:uiPriority w:val="99"/>
    <w:rsid w:val="005C39FD"/>
    <w:rPr>
      <w:rFonts w:ascii="Arial" w:hAnsi="Arial" w:cs="Arial"/>
      <w:b/>
      <w:bCs/>
      <w:sz w:val="16"/>
      <w:szCs w:val="16"/>
      <w:shd w:val="clear" w:color="auto" w:fill="FFFFFF"/>
    </w:rPr>
  </w:style>
  <w:style w:type="character" w:customStyle="1" w:styleId="CharStyle20">
    <w:name w:val="Char Style 20"/>
    <w:basedOn w:val="Fuentedeprrafopredeter"/>
    <w:link w:val="Style19"/>
    <w:uiPriority w:val="99"/>
    <w:rsid w:val="005C39FD"/>
    <w:rPr>
      <w:rFonts w:ascii="Arial" w:hAnsi="Arial" w:cs="Arial"/>
      <w:sz w:val="19"/>
      <w:szCs w:val="19"/>
      <w:shd w:val="clear" w:color="auto" w:fill="FFFFFF"/>
    </w:rPr>
  </w:style>
  <w:style w:type="paragraph" w:customStyle="1" w:styleId="Style10">
    <w:name w:val="Style 10"/>
    <w:basedOn w:val="Normal"/>
    <w:link w:val="CharStyle11"/>
    <w:uiPriority w:val="99"/>
    <w:rsid w:val="005C39FD"/>
    <w:pPr>
      <w:widowControl w:val="0"/>
      <w:shd w:val="clear" w:color="auto" w:fill="FFFFFF"/>
      <w:spacing w:before="300" w:line="763" w:lineRule="exact"/>
      <w:ind w:left="0" w:hanging="340"/>
    </w:pPr>
    <w:rPr>
      <w:rFonts w:ascii="Arial" w:hAnsi="Arial" w:cs="Arial"/>
      <w:b/>
      <w:bCs/>
      <w:sz w:val="16"/>
      <w:szCs w:val="16"/>
      <w:lang w:val="es-CO" w:eastAsia="es-CO"/>
    </w:rPr>
  </w:style>
  <w:style w:type="paragraph" w:customStyle="1" w:styleId="Style19">
    <w:name w:val="Style 19"/>
    <w:basedOn w:val="Normal"/>
    <w:link w:val="CharStyle20"/>
    <w:uiPriority w:val="99"/>
    <w:rsid w:val="005C39FD"/>
    <w:pPr>
      <w:widowControl w:val="0"/>
      <w:shd w:val="clear" w:color="auto" w:fill="FFFFFF"/>
      <w:spacing w:before="300" w:line="259" w:lineRule="exact"/>
      <w:ind w:left="0"/>
      <w:jc w:val="both"/>
    </w:pPr>
    <w:rPr>
      <w:rFonts w:ascii="Arial" w:hAnsi="Arial" w:cs="Arial"/>
      <w:sz w:val="19"/>
      <w:szCs w:val="19"/>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415916">
      <w:bodyDiv w:val="1"/>
      <w:marLeft w:val="0"/>
      <w:marRight w:val="0"/>
      <w:marTop w:val="0"/>
      <w:marBottom w:val="0"/>
      <w:divBdr>
        <w:top w:val="none" w:sz="0" w:space="0" w:color="auto"/>
        <w:left w:val="none" w:sz="0" w:space="0" w:color="auto"/>
        <w:bottom w:val="none" w:sz="0" w:space="0" w:color="auto"/>
        <w:right w:val="none" w:sz="0" w:space="0" w:color="auto"/>
      </w:divBdr>
      <w:divsChild>
        <w:div w:id="1474564471">
          <w:marLeft w:val="0"/>
          <w:marRight w:val="0"/>
          <w:marTop w:val="0"/>
          <w:marBottom w:val="0"/>
          <w:divBdr>
            <w:top w:val="none" w:sz="0" w:space="0" w:color="auto"/>
            <w:left w:val="none" w:sz="0" w:space="0" w:color="auto"/>
            <w:bottom w:val="none" w:sz="0" w:space="0" w:color="auto"/>
            <w:right w:val="none" w:sz="0" w:space="0" w:color="auto"/>
          </w:divBdr>
        </w:div>
      </w:divsChild>
    </w:div>
    <w:div w:id="163590172">
      <w:bodyDiv w:val="1"/>
      <w:marLeft w:val="150"/>
      <w:marRight w:val="150"/>
      <w:marTop w:val="150"/>
      <w:marBottom w:val="150"/>
      <w:divBdr>
        <w:top w:val="none" w:sz="0" w:space="0" w:color="auto"/>
        <w:left w:val="none" w:sz="0" w:space="0" w:color="auto"/>
        <w:bottom w:val="none" w:sz="0" w:space="0" w:color="auto"/>
        <w:right w:val="none" w:sz="0" w:space="0" w:color="auto"/>
      </w:divBdr>
      <w:divsChild>
        <w:div w:id="430662574">
          <w:marLeft w:val="0"/>
          <w:marRight w:val="0"/>
          <w:marTop w:val="0"/>
          <w:marBottom w:val="0"/>
          <w:divBdr>
            <w:top w:val="none" w:sz="0" w:space="0" w:color="auto"/>
            <w:left w:val="none" w:sz="0" w:space="0" w:color="auto"/>
            <w:bottom w:val="none" w:sz="0" w:space="0" w:color="auto"/>
            <w:right w:val="none" w:sz="0" w:space="0" w:color="auto"/>
          </w:divBdr>
        </w:div>
        <w:div w:id="646544565">
          <w:marLeft w:val="0"/>
          <w:marRight w:val="0"/>
          <w:marTop w:val="0"/>
          <w:marBottom w:val="0"/>
          <w:divBdr>
            <w:top w:val="none" w:sz="0" w:space="0" w:color="auto"/>
            <w:left w:val="none" w:sz="0" w:space="0" w:color="auto"/>
            <w:bottom w:val="none" w:sz="0" w:space="0" w:color="auto"/>
            <w:right w:val="none" w:sz="0" w:space="0" w:color="auto"/>
          </w:divBdr>
        </w:div>
        <w:div w:id="1769346128">
          <w:marLeft w:val="0"/>
          <w:marRight w:val="0"/>
          <w:marTop w:val="0"/>
          <w:marBottom w:val="0"/>
          <w:divBdr>
            <w:top w:val="none" w:sz="0" w:space="0" w:color="auto"/>
            <w:left w:val="none" w:sz="0" w:space="0" w:color="auto"/>
            <w:bottom w:val="none" w:sz="0" w:space="0" w:color="auto"/>
            <w:right w:val="none" w:sz="0" w:space="0" w:color="auto"/>
          </w:divBdr>
        </w:div>
      </w:divsChild>
    </w:div>
    <w:div w:id="1045447228">
      <w:bodyDiv w:val="1"/>
      <w:marLeft w:val="0"/>
      <w:marRight w:val="0"/>
      <w:marTop w:val="0"/>
      <w:marBottom w:val="0"/>
      <w:divBdr>
        <w:top w:val="none" w:sz="0" w:space="0" w:color="auto"/>
        <w:left w:val="none" w:sz="0" w:space="0" w:color="auto"/>
        <w:bottom w:val="none" w:sz="0" w:space="0" w:color="auto"/>
        <w:right w:val="none" w:sz="0" w:space="0" w:color="auto"/>
      </w:divBdr>
      <w:divsChild>
        <w:div w:id="1832789833">
          <w:marLeft w:val="0"/>
          <w:marRight w:val="0"/>
          <w:marTop w:val="0"/>
          <w:marBottom w:val="0"/>
          <w:divBdr>
            <w:top w:val="none" w:sz="0" w:space="0" w:color="auto"/>
            <w:left w:val="none" w:sz="0" w:space="0" w:color="auto"/>
            <w:bottom w:val="none" w:sz="0" w:space="0" w:color="auto"/>
            <w:right w:val="none" w:sz="0" w:space="0" w:color="auto"/>
          </w:divBdr>
        </w:div>
      </w:divsChild>
    </w:div>
    <w:div w:id="1406873895">
      <w:bodyDiv w:val="1"/>
      <w:marLeft w:val="0"/>
      <w:marRight w:val="0"/>
      <w:marTop w:val="0"/>
      <w:marBottom w:val="0"/>
      <w:divBdr>
        <w:top w:val="none" w:sz="0" w:space="0" w:color="auto"/>
        <w:left w:val="none" w:sz="0" w:space="0" w:color="auto"/>
        <w:bottom w:val="none" w:sz="0" w:space="0" w:color="auto"/>
        <w:right w:val="none" w:sz="0" w:space="0" w:color="auto"/>
      </w:divBdr>
    </w:div>
    <w:div w:id="1410729380">
      <w:bodyDiv w:val="1"/>
      <w:marLeft w:val="0"/>
      <w:marRight w:val="0"/>
      <w:marTop w:val="0"/>
      <w:marBottom w:val="0"/>
      <w:divBdr>
        <w:top w:val="none" w:sz="0" w:space="0" w:color="auto"/>
        <w:left w:val="none" w:sz="0" w:space="0" w:color="auto"/>
        <w:bottom w:val="none" w:sz="0" w:space="0" w:color="auto"/>
        <w:right w:val="none" w:sz="0" w:space="0" w:color="auto"/>
      </w:divBdr>
    </w:div>
    <w:div w:id="1504129833">
      <w:bodyDiv w:val="1"/>
      <w:marLeft w:val="0"/>
      <w:marRight w:val="0"/>
      <w:marTop w:val="0"/>
      <w:marBottom w:val="0"/>
      <w:divBdr>
        <w:top w:val="none" w:sz="0" w:space="0" w:color="auto"/>
        <w:left w:val="none" w:sz="0" w:space="0" w:color="auto"/>
        <w:bottom w:val="none" w:sz="0" w:space="0" w:color="auto"/>
        <w:right w:val="none" w:sz="0" w:space="0" w:color="auto"/>
      </w:divBdr>
    </w:div>
    <w:div w:id="1581022099">
      <w:bodyDiv w:val="1"/>
      <w:marLeft w:val="0"/>
      <w:marRight w:val="0"/>
      <w:marTop w:val="0"/>
      <w:marBottom w:val="0"/>
      <w:divBdr>
        <w:top w:val="none" w:sz="0" w:space="0" w:color="auto"/>
        <w:left w:val="none" w:sz="0" w:space="0" w:color="auto"/>
        <w:bottom w:val="none" w:sz="0" w:space="0" w:color="auto"/>
        <w:right w:val="none" w:sz="0" w:space="0" w:color="auto"/>
      </w:divBdr>
    </w:div>
    <w:div w:id="1808082276">
      <w:bodyDiv w:val="1"/>
      <w:marLeft w:val="0"/>
      <w:marRight w:val="0"/>
      <w:marTop w:val="0"/>
      <w:marBottom w:val="0"/>
      <w:divBdr>
        <w:top w:val="none" w:sz="0" w:space="0" w:color="auto"/>
        <w:left w:val="none" w:sz="0" w:space="0" w:color="auto"/>
        <w:bottom w:val="none" w:sz="0" w:space="0" w:color="auto"/>
        <w:right w:val="none" w:sz="0" w:space="0" w:color="auto"/>
      </w:divBdr>
    </w:div>
    <w:div w:id="1899975495">
      <w:bodyDiv w:val="1"/>
      <w:marLeft w:val="0"/>
      <w:marRight w:val="0"/>
      <w:marTop w:val="0"/>
      <w:marBottom w:val="0"/>
      <w:divBdr>
        <w:top w:val="none" w:sz="0" w:space="0" w:color="auto"/>
        <w:left w:val="none" w:sz="0" w:space="0" w:color="auto"/>
        <w:bottom w:val="none" w:sz="0" w:space="0" w:color="auto"/>
        <w:right w:val="none" w:sz="0" w:space="0" w:color="auto"/>
      </w:divBdr>
      <w:divsChild>
        <w:div w:id="2112966397">
          <w:marLeft w:val="0"/>
          <w:marRight w:val="0"/>
          <w:marTop w:val="0"/>
          <w:marBottom w:val="0"/>
          <w:divBdr>
            <w:top w:val="none" w:sz="0" w:space="0" w:color="auto"/>
            <w:left w:val="none" w:sz="0" w:space="0" w:color="auto"/>
            <w:bottom w:val="none" w:sz="0" w:space="0" w:color="auto"/>
            <w:right w:val="none" w:sz="0" w:space="0" w:color="auto"/>
          </w:divBdr>
          <w:divsChild>
            <w:div w:id="1323461663">
              <w:marLeft w:val="0"/>
              <w:marRight w:val="0"/>
              <w:marTop w:val="0"/>
              <w:marBottom w:val="0"/>
              <w:divBdr>
                <w:top w:val="none" w:sz="0" w:space="0" w:color="auto"/>
                <w:left w:val="none" w:sz="0" w:space="0" w:color="auto"/>
                <w:bottom w:val="none" w:sz="0" w:space="0" w:color="auto"/>
                <w:right w:val="none" w:sz="0" w:space="0" w:color="auto"/>
              </w:divBdr>
              <w:divsChild>
                <w:div w:id="1891767563">
                  <w:marLeft w:val="0"/>
                  <w:marRight w:val="0"/>
                  <w:marTop w:val="0"/>
                  <w:marBottom w:val="0"/>
                  <w:divBdr>
                    <w:top w:val="none" w:sz="0" w:space="0" w:color="auto"/>
                    <w:left w:val="none" w:sz="0" w:space="0" w:color="auto"/>
                    <w:bottom w:val="none" w:sz="0" w:space="0" w:color="auto"/>
                    <w:right w:val="none" w:sz="0" w:space="0" w:color="auto"/>
                  </w:divBdr>
                  <w:divsChild>
                    <w:div w:id="2071612828">
                      <w:marLeft w:val="0"/>
                      <w:marRight w:val="0"/>
                      <w:marTop w:val="0"/>
                      <w:marBottom w:val="0"/>
                      <w:divBdr>
                        <w:top w:val="none" w:sz="0" w:space="0" w:color="auto"/>
                        <w:left w:val="none" w:sz="0" w:space="0" w:color="auto"/>
                        <w:bottom w:val="none" w:sz="0" w:space="0" w:color="auto"/>
                        <w:right w:val="none" w:sz="0" w:space="0" w:color="auto"/>
                      </w:divBdr>
                      <w:divsChild>
                        <w:div w:id="456532420">
                          <w:marLeft w:val="0"/>
                          <w:marRight w:val="0"/>
                          <w:marTop w:val="0"/>
                          <w:marBottom w:val="0"/>
                          <w:divBdr>
                            <w:top w:val="none" w:sz="0" w:space="0" w:color="auto"/>
                            <w:left w:val="none" w:sz="0" w:space="0" w:color="auto"/>
                            <w:bottom w:val="none" w:sz="0" w:space="0" w:color="auto"/>
                            <w:right w:val="none" w:sz="0" w:space="0" w:color="auto"/>
                          </w:divBdr>
                          <w:divsChild>
                            <w:div w:id="2107118457">
                              <w:marLeft w:val="0"/>
                              <w:marRight w:val="0"/>
                              <w:marTop w:val="0"/>
                              <w:marBottom w:val="0"/>
                              <w:divBdr>
                                <w:top w:val="none" w:sz="0" w:space="0" w:color="auto"/>
                                <w:left w:val="none" w:sz="0" w:space="0" w:color="auto"/>
                                <w:bottom w:val="none" w:sz="0" w:space="0" w:color="auto"/>
                                <w:right w:val="none" w:sz="0" w:space="0" w:color="auto"/>
                              </w:divBdr>
                              <w:divsChild>
                                <w:div w:id="1650598387">
                                  <w:marLeft w:val="0"/>
                                  <w:marRight w:val="0"/>
                                  <w:marTop w:val="0"/>
                                  <w:marBottom w:val="0"/>
                                  <w:divBdr>
                                    <w:top w:val="none" w:sz="0" w:space="0" w:color="auto"/>
                                    <w:left w:val="none" w:sz="0" w:space="0" w:color="auto"/>
                                    <w:bottom w:val="none" w:sz="0" w:space="0" w:color="auto"/>
                                    <w:right w:val="none" w:sz="0" w:space="0" w:color="auto"/>
                                  </w:divBdr>
                                  <w:divsChild>
                                    <w:div w:id="614795040">
                                      <w:marLeft w:val="0"/>
                                      <w:marRight w:val="0"/>
                                      <w:marTop w:val="0"/>
                                      <w:marBottom w:val="0"/>
                                      <w:divBdr>
                                        <w:top w:val="none" w:sz="0" w:space="0" w:color="auto"/>
                                        <w:left w:val="none" w:sz="0" w:space="0" w:color="auto"/>
                                        <w:bottom w:val="none" w:sz="0" w:space="0" w:color="auto"/>
                                        <w:right w:val="none" w:sz="0" w:space="0" w:color="auto"/>
                                      </w:divBdr>
                                      <w:divsChild>
                                        <w:div w:id="1484152432">
                                          <w:marLeft w:val="0"/>
                                          <w:marRight w:val="0"/>
                                          <w:marTop w:val="0"/>
                                          <w:marBottom w:val="0"/>
                                          <w:divBdr>
                                            <w:top w:val="none" w:sz="0" w:space="0" w:color="auto"/>
                                            <w:left w:val="none" w:sz="0" w:space="0" w:color="auto"/>
                                            <w:bottom w:val="none" w:sz="0" w:space="0" w:color="auto"/>
                                            <w:right w:val="none" w:sz="0" w:space="0" w:color="auto"/>
                                          </w:divBdr>
                                          <w:divsChild>
                                            <w:div w:id="268778282">
                                              <w:marLeft w:val="0"/>
                                              <w:marRight w:val="0"/>
                                              <w:marTop w:val="0"/>
                                              <w:marBottom w:val="0"/>
                                              <w:divBdr>
                                                <w:top w:val="none" w:sz="0" w:space="0" w:color="auto"/>
                                                <w:left w:val="none" w:sz="0" w:space="0" w:color="auto"/>
                                                <w:bottom w:val="none" w:sz="0" w:space="0" w:color="auto"/>
                                                <w:right w:val="none" w:sz="0" w:space="0" w:color="auto"/>
                                              </w:divBdr>
                                              <w:divsChild>
                                                <w:div w:id="2087847430">
                                                  <w:marLeft w:val="0"/>
                                                  <w:marRight w:val="0"/>
                                                  <w:marTop w:val="0"/>
                                                  <w:marBottom w:val="0"/>
                                                  <w:divBdr>
                                                    <w:top w:val="none" w:sz="0" w:space="0" w:color="auto"/>
                                                    <w:left w:val="none" w:sz="0" w:space="0" w:color="auto"/>
                                                    <w:bottom w:val="none" w:sz="0" w:space="0" w:color="auto"/>
                                                    <w:right w:val="none" w:sz="0" w:space="0" w:color="auto"/>
                                                  </w:divBdr>
                                                  <w:divsChild>
                                                    <w:div w:id="1419055348">
                                                      <w:marLeft w:val="0"/>
                                                      <w:marRight w:val="0"/>
                                                      <w:marTop w:val="0"/>
                                                      <w:marBottom w:val="0"/>
                                                      <w:divBdr>
                                                        <w:top w:val="none" w:sz="0" w:space="0" w:color="auto"/>
                                                        <w:left w:val="none" w:sz="0" w:space="0" w:color="auto"/>
                                                        <w:bottom w:val="none" w:sz="0" w:space="0" w:color="auto"/>
                                                        <w:right w:val="none" w:sz="0" w:space="0" w:color="auto"/>
                                                      </w:divBdr>
                                                      <w:divsChild>
                                                        <w:div w:id="1106848316">
                                                          <w:marLeft w:val="0"/>
                                                          <w:marRight w:val="0"/>
                                                          <w:marTop w:val="0"/>
                                                          <w:marBottom w:val="0"/>
                                                          <w:divBdr>
                                                            <w:top w:val="none" w:sz="0" w:space="0" w:color="auto"/>
                                                            <w:left w:val="none" w:sz="0" w:space="0" w:color="auto"/>
                                                            <w:bottom w:val="none" w:sz="0" w:space="0" w:color="auto"/>
                                                            <w:right w:val="none" w:sz="0" w:space="0" w:color="auto"/>
                                                          </w:divBdr>
                                                          <w:divsChild>
                                                            <w:div w:id="1223177725">
                                                              <w:marLeft w:val="0"/>
                                                              <w:marRight w:val="0"/>
                                                              <w:marTop w:val="0"/>
                                                              <w:marBottom w:val="0"/>
                                                              <w:divBdr>
                                                                <w:top w:val="none" w:sz="0" w:space="0" w:color="auto"/>
                                                                <w:left w:val="none" w:sz="0" w:space="0" w:color="auto"/>
                                                                <w:bottom w:val="none" w:sz="0" w:space="0" w:color="auto"/>
                                                                <w:right w:val="none" w:sz="0" w:space="0" w:color="auto"/>
                                                              </w:divBdr>
                                                              <w:divsChild>
                                                                <w:div w:id="1668287797">
                                                                  <w:marLeft w:val="0"/>
                                                                  <w:marRight w:val="0"/>
                                                                  <w:marTop w:val="0"/>
                                                                  <w:marBottom w:val="0"/>
                                                                  <w:divBdr>
                                                                    <w:top w:val="none" w:sz="0" w:space="0" w:color="auto"/>
                                                                    <w:left w:val="none" w:sz="0" w:space="0" w:color="auto"/>
                                                                    <w:bottom w:val="none" w:sz="0" w:space="0" w:color="auto"/>
                                                                    <w:right w:val="none" w:sz="0" w:space="0" w:color="auto"/>
                                                                  </w:divBdr>
                                                                  <w:divsChild>
                                                                    <w:div w:id="1532957590">
                                                                      <w:marLeft w:val="0"/>
                                                                      <w:marRight w:val="0"/>
                                                                      <w:marTop w:val="0"/>
                                                                      <w:marBottom w:val="0"/>
                                                                      <w:divBdr>
                                                                        <w:top w:val="none" w:sz="0" w:space="0" w:color="auto"/>
                                                                        <w:left w:val="none" w:sz="0" w:space="0" w:color="auto"/>
                                                                        <w:bottom w:val="none" w:sz="0" w:space="0" w:color="auto"/>
                                                                        <w:right w:val="none" w:sz="0" w:space="0" w:color="auto"/>
                                                                      </w:divBdr>
                                                                      <w:divsChild>
                                                                        <w:div w:id="1693610515">
                                                                          <w:marLeft w:val="0"/>
                                                                          <w:marRight w:val="0"/>
                                                                          <w:marTop w:val="0"/>
                                                                          <w:marBottom w:val="0"/>
                                                                          <w:divBdr>
                                                                            <w:top w:val="none" w:sz="0" w:space="0" w:color="auto"/>
                                                                            <w:left w:val="none" w:sz="0" w:space="0" w:color="auto"/>
                                                                            <w:bottom w:val="none" w:sz="0" w:space="0" w:color="auto"/>
                                                                            <w:right w:val="none" w:sz="0" w:space="0" w:color="auto"/>
                                                                          </w:divBdr>
                                                                          <w:divsChild>
                                                                            <w:div w:id="2049259660">
                                                                              <w:marLeft w:val="0"/>
                                                                              <w:marRight w:val="0"/>
                                                                              <w:marTop w:val="0"/>
                                                                              <w:marBottom w:val="0"/>
                                                                              <w:divBdr>
                                                                                <w:top w:val="none" w:sz="0" w:space="0" w:color="auto"/>
                                                                                <w:left w:val="none" w:sz="0" w:space="0" w:color="auto"/>
                                                                                <w:bottom w:val="none" w:sz="0" w:space="0" w:color="auto"/>
                                                                                <w:right w:val="none" w:sz="0" w:space="0" w:color="auto"/>
                                                                              </w:divBdr>
                                                                              <w:divsChild>
                                                                                <w:div w:id="467864290">
                                                                                  <w:marLeft w:val="0"/>
                                                                                  <w:marRight w:val="0"/>
                                                                                  <w:marTop w:val="0"/>
                                                                                  <w:marBottom w:val="0"/>
                                                                                  <w:divBdr>
                                                                                    <w:top w:val="none" w:sz="0" w:space="0" w:color="auto"/>
                                                                                    <w:left w:val="none" w:sz="0" w:space="0" w:color="auto"/>
                                                                                    <w:bottom w:val="none" w:sz="0" w:space="0" w:color="auto"/>
                                                                                    <w:right w:val="none" w:sz="0" w:space="0" w:color="auto"/>
                                                                                  </w:divBdr>
                                                                                  <w:divsChild>
                                                                                    <w:div w:id="1052853777">
                                                                                      <w:marLeft w:val="0"/>
                                                                                      <w:marRight w:val="0"/>
                                                                                      <w:marTop w:val="0"/>
                                                                                      <w:marBottom w:val="0"/>
                                                                                      <w:divBdr>
                                                                                        <w:top w:val="none" w:sz="0" w:space="0" w:color="auto"/>
                                                                                        <w:left w:val="none" w:sz="0" w:space="0" w:color="auto"/>
                                                                                        <w:bottom w:val="none" w:sz="0" w:space="0" w:color="auto"/>
                                                                                        <w:right w:val="none" w:sz="0" w:space="0" w:color="auto"/>
                                                                                      </w:divBdr>
                                                                                      <w:divsChild>
                                                                                        <w:div w:id="905408738">
                                                                                          <w:marLeft w:val="0"/>
                                                                                          <w:marRight w:val="0"/>
                                                                                          <w:marTop w:val="0"/>
                                                                                          <w:marBottom w:val="0"/>
                                                                                          <w:divBdr>
                                                                                            <w:top w:val="none" w:sz="0" w:space="0" w:color="auto"/>
                                                                                            <w:left w:val="none" w:sz="0" w:space="0" w:color="auto"/>
                                                                                            <w:bottom w:val="none" w:sz="0" w:space="0" w:color="auto"/>
                                                                                            <w:right w:val="none" w:sz="0" w:space="0" w:color="auto"/>
                                                                                          </w:divBdr>
                                                                                          <w:divsChild>
                                                                                            <w:div w:id="347291510">
                                                                                              <w:marLeft w:val="0"/>
                                                                                              <w:marRight w:val="0"/>
                                                                                              <w:marTop w:val="0"/>
                                                                                              <w:marBottom w:val="0"/>
                                                                                              <w:divBdr>
                                                                                                <w:top w:val="none" w:sz="0" w:space="0" w:color="auto"/>
                                                                                                <w:left w:val="none" w:sz="0" w:space="0" w:color="auto"/>
                                                                                                <w:bottom w:val="none" w:sz="0" w:space="0" w:color="auto"/>
                                                                                                <w:right w:val="none" w:sz="0" w:space="0" w:color="auto"/>
                                                                                              </w:divBdr>
                                                                                              <w:divsChild>
                                                                                                <w:div w:id="687414691">
                                                                                                  <w:marLeft w:val="0"/>
                                                                                                  <w:marRight w:val="0"/>
                                                                                                  <w:marTop w:val="0"/>
                                                                                                  <w:marBottom w:val="0"/>
                                                                                                  <w:divBdr>
                                                                                                    <w:top w:val="none" w:sz="0" w:space="0" w:color="auto"/>
                                                                                                    <w:left w:val="none" w:sz="0" w:space="0" w:color="auto"/>
                                                                                                    <w:bottom w:val="none" w:sz="0" w:space="0" w:color="auto"/>
                                                                                                    <w:right w:val="none" w:sz="0" w:space="0" w:color="auto"/>
                                                                                                  </w:divBdr>
                                                                                                  <w:divsChild>
                                                                                                    <w:div w:id="1018193631">
                                                                                                      <w:marLeft w:val="0"/>
                                                                                                      <w:marRight w:val="0"/>
                                                                                                      <w:marTop w:val="0"/>
                                                                                                      <w:marBottom w:val="0"/>
                                                                                                      <w:divBdr>
                                                                                                        <w:top w:val="none" w:sz="0" w:space="0" w:color="auto"/>
                                                                                                        <w:left w:val="none" w:sz="0" w:space="0" w:color="auto"/>
                                                                                                        <w:bottom w:val="none" w:sz="0" w:space="0" w:color="auto"/>
                                                                                                        <w:right w:val="none" w:sz="0" w:space="0" w:color="auto"/>
                                                                                                      </w:divBdr>
                                                                                                      <w:divsChild>
                                                                                                        <w:div w:id="1432162153">
                                                                                                          <w:marLeft w:val="0"/>
                                                                                                          <w:marRight w:val="0"/>
                                                                                                          <w:marTop w:val="0"/>
                                                                                                          <w:marBottom w:val="0"/>
                                                                                                          <w:divBdr>
                                                                                                            <w:top w:val="none" w:sz="0" w:space="0" w:color="auto"/>
                                                                                                            <w:left w:val="none" w:sz="0" w:space="0" w:color="auto"/>
                                                                                                            <w:bottom w:val="none" w:sz="0" w:space="0" w:color="auto"/>
                                                                                                            <w:right w:val="none" w:sz="0" w:space="0" w:color="auto"/>
                                                                                                          </w:divBdr>
                                                                                                          <w:divsChild>
                                                                                                            <w:div w:id="1123571206">
                                                                                                              <w:marLeft w:val="0"/>
                                                                                                              <w:marRight w:val="0"/>
                                                                                                              <w:marTop w:val="0"/>
                                                                                                              <w:marBottom w:val="0"/>
                                                                                                              <w:divBdr>
                                                                                                                <w:top w:val="none" w:sz="0" w:space="0" w:color="auto"/>
                                                                                                                <w:left w:val="none" w:sz="0" w:space="0" w:color="auto"/>
                                                                                                                <w:bottom w:val="none" w:sz="0" w:space="0" w:color="auto"/>
                                                                                                                <w:right w:val="none" w:sz="0" w:space="0" w:color="auto"/>
                                                                                                              </w:divBdr>
                                                                                                              <w:divsChild>
                                                                                                                <w:div w:id="545063467">
                                                                                                                  <w:marLeft w:val="0"/>
                                                                                                                  <w:marRight w:val="0"/>
                                                                                                                  <w:marTop w:val="0"/>
                                                                                                                  <w:marBottom w:val="0"/>
                                                                                                                  <w:divBdr>
                                                                                                                    <w:top w:val="none" w:sz="0" w:space="0" w:color="auto"/>
                                                                                                                    <w:left w:val="none" w:sz="0" w:space="0" w:color="auto"/>
                                                                                                                    <w:bottom w:val="none" w:sz="0" w:space="0" w:color="auto"/>
                                                                                                                    <w:right w:val="none" w:sz="0" w:space="0" w:color="auto"/>
                                                                                                                  </w:divBdr>
                                                                                                                  <w:divsChild>
                                                                                                                    <w:div w:id="1611935221">
                                                                                                                      <w:marLeft w:val="0"/>
                                                                                                                      <w:marRight w:val="0"/>
                                                                                                                      <w:marTop w:val="0"/>
                                                                                                                      <w:marBottom w:val="0"/>
                                                                                                                      <w:divBdr>
                                                                                                                        <w:top w:val="none" w:sz="0" w:space="0" w:color="auto"/>
                                                                                                                        <w:left w:val="none" w:sz="0" w:space="0" w:color="auto"/>
                                                                                                                        <w:bottom w:val="none" w:sz="0" w:space="0" w:color="auto"/>
                                                                                                                        <w:right w:val="none" w:sz="0" w:space="0" w:color="auto"/>
                                                                                                                      </w:divBdr>
                                                                                                                      <w:divsChild>
                                                                                                                        <w:div w:id="1371952123">
                                                                                                                          <w:marLeft w:val="0"/>
                                                                                                                          <w:marRight w:val="0"/>
                                                                                                                          <w:marTop w:val="0"/>
                                                                                                                          <w:marBottom w:val="0"/>
                                                                                                                          <w:divBdr>
                                                                                                                            <w:top w:val="none" w:sz="0" w:space="0" w:color="auto"/>
                                                                                                                            <w:left w:val="none" w:sz="0" w:space="0" w:color="auto"/>
                                                                                                                            <w:bottom w:val="none" w:sz="0" w:space="0" w:color="auto"/>
                                                                                                                            <w:right w:val="none" w:sz="0" w:space="0" w:color="auto"/>
                                                                                                                          </w:divBdr>
                                                                                                                          <w:divsChild>
                                                                                                                            <w:div w:id="955991093">
                                                                                                                              <w:marLeft w:val="0"/>
                                                                                                                              <w:marRight w:val="0"/>
                                                                                                                              <w:marTop w:val="0"/>
                                                                                                                              <w:marBottom w:val="0"/>
                                                                                                                              <w:divBdr>
                                                                                                                                <w:top w:val="none" w:sz="0" w:space="0" w:color="auto"/>
                                                                                                                                <w:left w:val="none" w:sz="0" w:space="0" w:color="auto"/>
                                                                                                                                <w:bottom w:val="none" w:sz="0" w:space="0" w:color="auto"/>
                                                                                                                                <w:right w:val="none" w:sz="0" w:space="0" w:color="auto"/>
                                                                                                                              </w:divBdr>
                                                                                                                              <w:divsChild>
                                                                                                                                <w:div w:id="1547258863">
                                                                                                                                  <w:marLeft w:val="0"/>
                                                                                                                                  <w:marRight w:val="0"/>
                                                                                                                                  <w:marTop w:val="0"/>
                                                                                                                                  <w:marBottom w:val="0"/>
                                                                                                                                  <w:divBdr>
                                                                                                                                    <w:top w:val="none" w:sz="0" w:space="0" w:color="auto"/>
                                                                                                                                    <w:left w:val="none" w:sz="0" w:space="0" w:color="auto"/>
                                                                                                                                    <w:bottom w:val="none" w:sz="0" w:space="0" w:color="auto"/>
                                                                                                                                    <w:right w:val="none" w:sz="0" w:space="0" w:color="auto"/>
                                                                                                                                  </w:divBdr>
                                                                                                                                  <w:divsChild>
                                                                                                                                    <w:div w:id="2002655506">
                                                                                                                                      <w:marLeft w:val="0"/>
                                                                                                                                      <w:marRight w:val="0"/>
                                                                                                                                      <w:marTop w:val="0"/>
                                                                                                                                      <w:marBottom w:val="0"/>
                                                                                                                                      <w:divBdr>
                                                                                                                                        <w:top w:val="none" w:sz="0" w:space="0" w:color="auto"/>
                                                                                                                                        <w:left w:val="none" w:sz="0" w:space="0" w:color="auto"/>
                                                                                                                                        <w:bottom w:val="none" w:sz="0" w:space="0" w:color="auto"/>
                                                                                                                                        <w:right w:val="none" w:sz="0" w:space="0" w:color="auto"/>
                                                                                                                                      </w:divBdr>
                                                                                                                                      <w:divsChild>
                                                                                                                                        <w:div w:id="725108601">
                                                                                                                                          <w:marLeft w:val="0"/>
                                                                                                                                          <w:marRight w:val="0"/>
                                                                                                                                          <w:marTop w:val="0"/>
                                                                                                                                          <w:marBottom w:val="0"/>
                                                                                                                                          <w:divBdr>
                                                                                                                                            <w:top w:val="none" w:sz="0" w:space="0" w:color="auto"/>
                                                                                                                                            <w:left w:val="none" w:sz="0" w:space="0" w:color="auto"/>
                                                                                                                                            <w:bottom w:val="none" w:sz="0" w:space="0" w:color="auto"/>
                                                                                                                                            <w:right w:val="none" w:sz="0" w:space="0" w:color="auto"/>
                                                                                                                                          </w:divBdr>
                                                                                                                                          <w:divsChild>
                                                                                                                                            <w:div w:id="1920745324">
                                                                                                                                              <w:marLeft w:val="0"/>
                                                                                                                                              <w:marRight w:val="0"/>
                                                                                                                                              <w:marTop w:val="0"/>
                                                                                                                                              <w:marBottom w:val="0"/>
                                                                                                                                              <w:divBdr>
                                                                                                                                                <w:top w:val="none" w:sz="0" w:space="0" w:color="auto"/>
                                                                                                                                                <w:left w:val="none" w:sz="0" w:space="0" w:color="auto"/>
                                                                                                                                                <w:bottom w:val="none" w:sz="0" w:space="0" w:color="auto"/>
                                                                                                                                                <w:right w:val="none" w:sz="0" w:space="0" w:color="auto"/>
                                                                                                                                              </w:divBdr>
                                                                                                                                              <w:divsChild>
                                                                                                                                                <w:div w:id="807749346">
                                                                                                                                                  <w:marLeft w:val="0"/>
                                                                                                                                                  <w:marRight w:val="0"/>
                                                                                                                                                  <w:marTop w:val="0"/>
                                                                                                                                                  <w:marBottom w:val="0"/>
                                                                                                                                                  <w:divBdr>
                                                                                                                                                    <w:top w:val="none" w:sz="0" w:space="0" w:color="auto"/>
                                                                                                                                                    <w:left w:val="none" w:sz="0" w:space="0" w:color="auto"/>
                                                                                                                                                    <w:bottom w:val="none" w:sz="0" w:space="0" w:color="auto"/>
                                                                                                                                                    <w:right w:val="none" w:sz="0" w:space="0" w:color="auto"/>
                                                                                                                                                  </w:divBdr>
                                                                                                                                                  <w:divsChild>
                                                                                                                                                    <w:div w:id="685862450">
                                                                                                                                                      <w:marLeft w:val="0"/>
                                                                                                                                                      <w:marRight w:val="0"/>
                                                                                                                                                      <w:marTop w:val="0"/>
                                                                                                                                                      <w:marBottom w:val="0"/>
                                                                                                                                                      <w:divBdr>
                                                                                                                                                        <w:top w:val="none" w:sz="0" w:space="0" w:color="auto"/>
                                                                                                                                                        <w:left w:val="none" w:sz="0" w:space="0" w:color="auto"/>
                                                                                                                                                        <w:bottom w:val="none" w:sz="0" w:space="0" w:color="auto"/>
                                                                                                                                                        <w:right w:val="none" w:sz="0" w:space="0" w:color="auto"/>
                                                                                                                                                      </w:divBdr>
                                                                                                                                                      <w:divsChild>
                                                                                                                                                        <w:div w:id="103691902">
                                                                                                                                                          <w:marLeft w:val="0"/>
                                                                                                                                                          <w:marRight w:val="0"/>
                                                                                                                                                          <w:marTop w:val="0"/>
                                                                                                                                                          <w:marBottom w:val="0"/>
                                                                                                                                                          <w:divBdr>
                                                                                                                                                            <w:top w:val="none" w:sz="0" w:space="0" w:color="auto"/>
                                                                                                                                                            <w:left w:val="none" w:sz="0" w:space="0" w:color="auto"/>
                                                                                                                                                            <w:bottom w:val="none" w:sz="0" w:space="0" w:color="auto"/>
                                                                                                                                                            <w:right w:val="none" w:sz="0" w:space="0" w:color="auto"/>
                                                                                                                                                          </w:divBdr>
                                                                                                                                                          <w:divsChild>
                                                                                                                                                            <w:div w:id="2050296459">
                                                                                                                                                              <w:marLeft w:val="0"/>
                                                                                                                                                              <w:marRight w:val="0"/>
                                                                                                                                                              <w:marTop w:val="0"/>
                                                                                                                                                              <w:marBottom w:val="0"/>
                                                                                                                                                              <w:divBdr>
                                                                                                                                                                <w:top w:val="none" w:sz="0" w:space="0" w:color="auto"/>
                                                                                                                                                                <w:left w:val="none" w:sz="0" w:space="0" w:color="auto"/>
                                                                                                                                                                <w:bottom w:val="none" w:sz="0" w:space="0" w:color="auto"/>
                                                                                                                                                                <w:right w:val="none" w:sz="0" w:space="0" w:color="auto"/>
                                                                                                                                                              </w:divBdr>
                                                                                                                                                              <w:divsChild>
                                                                                                                                                                <w:div w:id="39091752">
                                                                                                                                                                  <w:marLeft w:val="0"/>
                                                                                                                                                                  <w:marRight w:val="0"/>
                                                                                                                                                                  <w:marTop w:val="0"/>
                                                                                                                                                                  <w:marBottom w:val="0"/>
                                                                                                                                                                  <w:divBdr>
                                                                                                                                                                    <w:top w:val="none" w:sz="0" w:space="0" w:color="auto"/>
                                                                                                                                                                    <w:left w:val="none" w:sz="0" w:space="0" w:color="auto"/>
                                                                                                                                                                    <w:bottom w:val="none" w:sz="0" w:space="0" w:color="auto"/>
                                                                                                                                                                    <w:right w:val="none" w:sz="0" w:space="0" w:color="auto"/>
                                                                                                                                                                  </w:divBdr>
                                                                                                                                                                  <w:divsChild>
                                                                                                                                                                    <w:div w:id="432360370">
                                                                                                                                                                      <w:marLeft w:val="0"/>
                                                                                                                                                                      <w:marRight w:val="0"/>
                                                                                                                                                                      <w:marTop w:val="0"/>
                                                                                                                                                                      <w:marBottom w:val="0"/>
                                                                                                                                                                      <w:divBdr>
                                                                                                                                                                        <w:top w:val="none" w:sz="0" w:space="0" w:color="auto"/>
                                                                                                                                                                        <w:left w:val="none" w:sz="0" w:space="0" w:color="auto"/>
                                                                                                                                                                        <w:bottom w:val="none" w:sz="0" w:space="0" w:color="auto"/>
                                                                                                                                                                        <w:right w:val="none" w:sz="0" w:space="0" w:color="auto"/>
                                                                                                                                                                      </w:divBdr>
                                                                                                                                                                      <w:divsChild>
                                                                                                                                                                        <w:div w:id="130485953">
                                                                                                                                                                          <w:marLeft w:val="567"/>
                                                                                                                                                                          <w:marRight w:val="0"/>
                                                                                                                                                                          <w:marTop w:val="0"/>
                                                                                                                                                                          <w:marBottom w:val="0"/>
                                                                                                                                                                          <w:divBdr>
                                                                                                                                                                            <w:top w:val="none" w:sz="0" w:space="0" w:color="auto"/>
                                                                                                                                                                            <w:left w:val="none" w:sz="0" w:space="0" w:color="auto"/>
                                                                                                                                                                            <w:bottom w:val="none" w:sz="0" w:space="0" w:color="auto"/>
                                                                                                                                                                            <w:right w:val="none" w:sz="0" w:space="0" w:color="auto"/>
                                                                                                                                                                          </w:divBdr>
                                                                                                                                                                        </w:div>
                                                                                                                                                                        <w:div w:id="245724213">
                                                                                                                                                                          <w:marLeft w:val="0"/>
                                                                                                                                                                          <w:marRight w:val="0"/>
                                                                                                                                                                          <w:marTop w:val="0"/>
                                                                                                                                                                          <w:marBottom w:val="0"/>
                                                                                                                                                                          <w:divBdr>
                                                                                                                                                                            <w:top w:val="none" w:sz="0" w:space="0" w:color="auto"/>
                                                                                                                                                                            <w:left w:val="none" w:sz="0" w:space="0" w:color="auto"/>
                                                                                                                                                                            <w:bottom w:val="none" w:sz="0" w:space="0" w:color="auto"/>
                                                                                                                                                                            <w:right w:val="none" w:sz="0" w:space="0" w:color="auto"/>
                                                                                                                                                                          </w:divBdr>
                                                                                                                                                                        </w:div>
                                                                                                                                                                        <w:div w:id="308750697">
                                                                                                                                                                          <w:marLeft w:val="567"/>
                                                                                                                                                                          <w:marRight w:val="0"/>
                                                                                                                                                                          <w:marTop w:val="0"/>
                                                                                                                                                                          <w:marBottom w:val="0"/>
                                                                                                                                                                          <w:divBdr>
                                                                                                                                                                            <w:top w:val="none" w:sz="0" w:space="0" w:color="auto"/>
                                                                                                                                                                            <w:left w:val="none" w:sz="0" w:space="0" w:color="auto"/>
                                                                                                                                                                            <w:bottom w:val="none" w:sz="0" w:space="0" w:color="auto"/>
                                                                                                                                                                            <w:right w:val="none" w:sz="0" w:space="0" w:color="auto"/>
                                                                                                                                                                          </w:divBdr>
                                                                                                                                                                        </w:div>
                                                                                                                                                                        <w:div w:id="439033549">
                                                                                                                                                                          <w:marLeft w:val="567"/>
                                                                                                                                                                          <w:marRight w:val="0"/>
                                                                                                                                                                          <w:marTop w:val="0"/>
                                                                                                                                                                          <w:marBottom w:val="0"/>
                                                                                                                                                                          <w:divBdr>
                                                                                                                                                                            <w:top w:val="none" w:sz="0" w:space="0" w:color="auto"/>
                                                                                                                                                                            <w:left w:val="none" w:sz="0" w:space="0" w:color="auto"/>
                                                                                                                                                                            <w:bottom w:val="none" w:sz="0" w:space="0" w:color="auto"/>
                                                                                                                                                                            <w:right w:val="none" w:sz="0" w:space="0" w:color="auto"/>
                                                                                                                                                                          </w:divBdr>
                                                                                                                                                                        </w:div>
                                                                                                                                                                        <w:div w:id="486166411">
                                                                                                                                                                          <w:marLeft w:val="720"/>
                                                                                                                                                                          <w:marRight w:val="0"/>
                                                                                                                                                                          <w:marTop w:val="0"/>
                                                                                                                                                                          <w:marBottom w:val="0"/>
                                                                                                                                                                          <w:divBdr>
                                                                                                                                                                            <w:top w:val="none" w:sz="0" w:space="0" w:color="auto"/>
                                                                                                                                                                            <w:left w:val="none" w:sz="0" w:space="0" w:color="auto"/>
                                                                                                                                                                            <w:bottom w:val="none" w:sz="0" w:space="0" w:color="auto"/>
                                                                                                                                                                            <w:right w:val="none" w:sz="0" w:space="0" w:color="auto"/>
                                                                                                                                                                          </w:divBdr>
                                                                                                                                                                        </w:div>
                                                                                                                                                                        <w:div w:id="576475855">
                                                                                                                                                                          <w:marLeft w:val="567"/>
                                                                                                                                                                          <w:marRight w:val="0"/>
                                                                                                                                                                          <w:marTop w:val="0"/>
                                                                                                                                                                          <w:marBottom w:val="0"/>
                                                                                                                                                                          <w:divBdr>
                                                                                                                                                                            <w:top w:val="none" w:sz="0" w:space="0" w:color="auto"/>
                                                                                                                                                                            <w:left w:val="none" w:sz="0" w:space="0" w:color="auto"/>
                                                                                                                                                                            <w:bottom w:val="none" w:sz="0" w:space="0" w:color="auto"/>
                                                                                                                                                                            <w:right w:val="none" w:sz="0" w:space="0" w:color="auto"/>
                                                                                                                                                                          </w:divBdr>
                                                                                                                                                                        </w:div>
                                                                                                                                                                        <w:div w:id="613750131">
                                                                                                                                                                          <w:marLeft w:val="567"/>
                                                                                                                                                                          <w:marRight w:val="0"/>
                                                                                                                                                                          <w:marTop w:val="0"/>
                                                                                                                                                                          <w:marBottom w:val="0"/>
                                                                                                                                                                          <w:divBdr>
                                                                                                                                                                            <w:top w:val="none" w:sz="0" w:space="0" w:color="auto"/>
                                                                                                                                                                            <w:left w:val="none" w:sz="0" w:space="0" w:color="auto"/>
                                                                                                                                                                            <w:bottom w:val="none" w:sz="0" w:space="0" w:color="auto"/>
                                                                                                                                                                            <w:right w:val="none" w:sz="0" w:space="0" w:color="auto"/>
                                                                                                                                                                          </w:divBdr>
                                                                                                                                                                        </w:div>
                                                                                                                                                                        <w:div w:id="831531223">
                                                                                                                                                                          <w:marLeft w:val="720"/>
                                                                                                                                                                          <w:marRight w:val="0"/>
                                                                                                                                                                          <w:marTop w:val="0"/>
                                                                                                                                                                          <w:marBottom w:val="0"/>
                                                                                                                                                                          <w:divBdr>
                                                                                                                                                                            <w:top w:val="none" w:sz="0" w:space="0" w:color="auto"/>
                                                                                                                                                                            <w:left w:val="none" w:sz="0" w:space="0" w:color="auto"/>
                                                                                                                                                                            <w:bottom w:val="none" w:sz="0" w:space="0" w:color="auto"/>
                                                                                                                                                                            <w:right w:val="none" w:sz="0" w:space="0" w:color="auto"/>
                                                                                                                                                                          </w:divBdr>
                                                                                                                                                                        </w:div>
                                                                                                                                                                        <w:div w:id="1091469180">
                                                                                                                                                                          <w:marLeft w:val="0"/>
                                                                                                                                                                          <w:marRight w:val="0"/>
                                                                                                                                                                          <w:marTop w:val="0"/>
                                                                                                                                                                          <w:marBottom w:val="0"/>
                                                                                                                                                                          <w:divBdr>
                                                                                                                                                                            <w:top w:val="none" w:sz="0" w:space="0" w:color="auto"/>
                                                                                                                                                                            <w:left w:val="none" w:sz="0" w:space="0" w:color="auto"/>
                                                                                                                                                                            <w:bottom w:val="none" w:sz="0" w:space="0" w:color="auto"/>
                                                                                                                                                                            <w:right w:val="none" w:sz="0" w:space="0" w:color="auto"/>
                                                                                                                                                                          </w:divBdr>
                                                                                                                                                                        </w:div>
                                                                                                                                                                        <w:div w:id="1110932392">
                                                                                                                                                                          <w:marLeft w:val="567"/>
                                                                                                                                                                          <w:marRight w:val="0"/>
                                                                                                                                                                          <w:marTop w:val="0"/>
                                                                                                                                                                          <w:marBottom w:val="0"/>
                                                                                                                                                                          <w:divBdr>
                                                                                                                                                                            <w:top w:val="none" w:sz="0" w:space="0" w:color="auto"/>
                                                                                                                                                                            <w:left w:val="none" w:sz="0" w:space="0" w:color="auto"/>
                                                                                                                                                                            <w:bottom w:val="none" w:sz="0" w:space="0" w:color="auto"/>
                                                                                                                                                                            <w:right w:val="none" w:sz="0" w:space="0" w:color="auto"/>
                                                                                                                                                                          </w:divBdr>
                                                                                                                                                                        </w:div>
                                                                                                                                                                        <w:div w:id="1294947871">
                                                                                                                                                                          <w:marLeft w:val="567"/>
                                                                                                                                                                          <w:marRight w:val="0"/>
                                                                                                                                                                          <w:marTop w:val="0"/>
                                                                                                                                                                          <w:marBottom w:val="0"/>
                                                                                                                                                                          <w:divBdr>
                                                                                                                                                                            <w:top w:val="none" w:sz="0" w:space="0" w:color="auto"/>
                                                                                                                                                                            <w:left w:val="none" w:sz="0" w:space="0" w:color="auto"/>
                                                                                                                                                                            <w:bottom w:val="none" w:sz="0" w:space="0" w:color="auto"/>
                                                                                                                                                                            <w:right w:val="none" w:sz="0" w:space="0" w:color="auto"/>
                                                                                                                                                                          </w:divBdr>
                                                                                                                                                                        </w:div>
                                                                                                                                                                        <w:div w:id="1621839111">
                                                                                                                                                                          <w:marLeft w:val="0"/>
                                                                                                                                                                          <w:marRight w:val="0"/>
                                                                                                                                                                          <w:marTop w:val="0"/>
                                                                                                                                                                          <w:marBottom w:val="0"/>
                                                                                                                                                                          <w:divBdr>
                                                                                                                                                                            <w:top w:val="none" w:sz="0" w:space="0" w:color="auto"/>
                                                                                                                                                                            <w:left w:val="none" w:sz="0" w:space="0" w:color="auto"/>
                                                                                                                                                                            <w:bottom w:val="none" w:sz="0" w:space="0" w:color="auto"/>
                                                                                                                                                                            <w:right w:val="none" w:sz="0" w:space="0" w:color="auto"/>
                                                                                                                                                                          </w:divBdr>
                                                                                                                                                                        </w:div>
                                                                                                                                                                        <w:div w:id="1644701322">
                                                                                                                                                                          <w:marLeft w:val="0"/>
                                                                                                                                                                          <w:marRight w:val="0"/>
                                                                                                                                                                          <w:marTop w:val="0"/>
                                                                                                                                                                          <w:marBottom w:val="0"/>
                                                                                                                                                                          <w:divBdr>
                                                                                                                                                                            <w:top w:val="none" w:sz="0" w:space="0" w:color="auto"/>
                                                                                                                                                                            <w:left w:val="none" w:sz="0" w:space="0" w:color="auto"/>
                                                                                                                                                                            <w:bottom w:val="none" w:sz="0" w:space="0" w:color="auto"/>
                                                                                                                                                                            <w:right w:val="none" w:sz="0" w:space="0" w:color="auto"/>
                                                                                                                                                                          </w:divBdr>
                                                                                                                                                                        </w:div>
                                                                                                                                                                        <w:div w:id="1844513028">
                                                                                                                                                                          <w:marLeft w:val="567"/>
                                                                                                                                                                          <w:marRight w:val="0"/>
                                                                                                                                                                          <w:marTop w:val="0"/>
                                                                                                                                                                          <w:marBottom w:val="0"/>
                                                                                                                                                                          <w:divBdr>
                                                                                                                                                                            <w:top w:val="none" w:sz="0" w:space="0" w:color="auto"/>
                                                                                                                                                                            <w:left w:val="none" w:sz="0" w:space="0" w:color="auto"/>
                                                                                                                                                                            <w:bottom w:val="none" w:sz="0" w:space="0" w:color="auto"/>
                                                                                                                                                                            <w:right w:val="none" w:sz="0" w:space="0" w:color="auto"/>
                                                                                                                                                                          </w:divBdr>
                                                                                                                                                                        </w:div>
                                                                                                                                                                        <w:div w:id="1897737359">
                                                                                                                                                                          <w:marLeft w:val="567"/>
                                                                                                                                                                          <w:marRight w:val="0"/>
                                                                                                                                                                          <w:marTop w:val="0"/>
                                                                                                                                                                          <w:marBottom w:val="0"/>
                                                                                                                                                                          <w:divBdr>
                                                                                                                                                                            <w:top w:val="none" w:sz="0" w:space="0" w:color="auto"/>
                                                                                                                                                                            <w:left w:val="none" w:sz="0" w:space="0" w:color="auto"/>
                                                                                                                                                                            <w:bottom w:val="none" w:sz="0" w:space="0" w:color="auto"/>
                                                                                                                                                                            <w:right w:val="none" w:sz="0" w:space="0" w:color="auto"/>
                                                                                                                                                                          </w:divBdr>
                                                                                                                                                                        </w:div>
                                                                                                                                                                        <w:div w:id="2060129783">
                                                                                                                                                                          <w:marLeft w:val="567"/>
                                                                                                                                                                          <w:marRight w:val="0"/>
                                                                                                                                                                          <w:marTop w:val="0"/>
                                                                                                                                                                          <w:marBottom w:val="0"/>
                                                                                                                                                                          <w:divBdr>
                                                                                                                                                                            <w:top w:val="none" w:sz="0" w:space="0" w:color="auto"/>
                                                                                                                                                                            <w:left w:val="none" w:sz="0" w:space="0" w:color="auto"/>
                                                                                                                                                                            <w:bottom w:val="none" w:sz="0" w:space="0" w:color="auto"/>
                                                                                                                                                                            <w:right w:val="none" w:sz="0" w:space="0" w:color="auto"/>
                                                                                                                                                                          </w:divBdr>
                                                                                                                                                                        </w:div>
                                                                                                                                                                        <w:div w:id="2135175755">
                                                                                                                                                                          <w:marLeft w:val="56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1180856">
      <w:bodyDiv w:val="1"/>
      <w:marLeft w:val="0"/>
      <w:marRight w:val="0"/>
      <w:marTop w:val="0"/>
      <w:marBottom w:val="0"/>
      <w:divBdr>
        <w:top w:val="none" w:sz="0" w:space="0" w:color="auto"/>
        <w:left w:val="none" w:sz="0" w:space="0" w:color="auto"/>
        <w:bottom w:val="none" w:sz="0" w:space="0" w:color="auto"/>
        <w:right w:val="none" w:sz="0" w:space="0" w:color="auto"/>
      </w:divBdr>
    </w:div>
    <w:div w:id="2003578676">
      <w:bodyDiv w:val="1"/>
      <w:marLeft w:val="0"/>
      <w:marRight w:val="0"/>
      <w:marTop w:val="0"/>
      <w:marBottom w:val="0"/>
      <w:divBdr>
        <w:top w:val="none" w:sz="0" w:space="0" w:color="auto"/>
        <w:left w:val="none" w:sz="0" w:space="0" w:color="auto"/>
        <w:bottom w:val="none" w:sz="0" w:space="0" w:color="auto"/>
        <w:right w:val="none" w:sz="0" w:space="0" w:color="auto"/>
      </w:divBdr>
    </w:div>
    <w:div w:id="2042127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x-apple-data-detectors://4"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x-apple-data-detectors://1"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962DEB-9B9C-4FF6-8A37-F6C0681E5F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4</Pages>
  <Words>1477</Words>
  <Characters>7302</Characters>
  <Application>Microsoft Office Word</Application>
  <DocSecurity>0</DocSecurity>
  <Lines>60</Lines>
  <Paragraphs>17</Paragraphs>
  <ScaleCrop>false</ScaleCrop>
  <HeadingPairs>
    <vt:vector size="4" baseType="variant">
      <vt:variant>
        <vt:lpstr>Título</vt:lpstr>
      </vt:variant>
      <vt:variant>
        <vt:i4>1</vt:i4>
      </vt:variant>
      <vt:variant>
        <vt:lpstr>Títulos</vt:lpstr>
      </vt:variant>
      <vt:variant>
        <vt:i4>2</vt:i4>
      </vt:variant>
    </vt:vector>
  </HeadingPairs>
  <TitlesOfParts>
    <vt:vector size="3" baseType="lpstr">
      <vt:lpstr/>
      <vt:lpstr>        COMISIÓN DE REGULACIÓN DE ENERGÍA Y GAS</vt:lpstr>
      <vt:lpstr>        (                                  )</vt:lpstr>
    </vt:vector>
  </TitlesOfParts>
  <Company>CREG</Company>
  <LinksUpToDate>false</LinksUpToDate>
  <CharactersWithSpaces>8762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2015-04-23T15:45:00Z</cp:lastPrinted>
  <dcterms:created xsi:type="dcterms:W3CDTF">2015-04-23T21:23:00Z</dcterms:created>
  <dcterms:modified xsi:type="dcterms:W3CDTF">2015-04-23T21:23:00Z</dcterms:modified>
</cp:coreProperties>
</file>