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9BA444" w14:textId="77777777" w:rsidR="00625DC6" w:rsidRPr="001B7E25" w:rsidRDefault="00C74865" w:rsidP="00F075C1">
      <w:pPr>
        <w:pStyle w:val="Encabezado"/>
        <w:tabs>
          <w:tab w:val="clear" w:pos="8504"/>
          <w:tab w:val="left" w:pos="0"/>
          <w:tab w:val="right" w:pos="9356"/>
        </w:tabs>
        <w:rPr>
          <w:rFonts w:ascii="Bookman Old Style" w:hAnsi="Bookman Old Style"/>
          <w:szCs w:val="24"/>
        </w:rPr>
      </w:pPr>
      <w:r>
        <w:rPr>
          <w:rFonts w:ascii="Bookman Old Style" w:hAnsi="Bookman Old Style"/>
          <w:noProof/>
          <w:szCs w:val="24"/>
        </w:rPr>
        <w:object w:dxaOrig="1440" w:dyaOrig="1440" w14:anchorId="081C41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8.05pt;margin-top:-53.35pt;width:52.5pt;height:48.75pt;z-index:251657728" fillcolor="#0c9">
            <v:imagedata r:id="rId8" o:title=""/>
          </v:shape>
          <o:OLEObject Type="Embed" ProgID="PBrush" ShapeID="_x0000_s1026" DrawAspect="Content" ObjectID="_1612595566" r:id="rId9"/>
        </w:object>
      </w:r>
    </w:p>
    <w:p w14:paraId="00F98239" w14:textId="77777777" w:rsidR="00CA77FB" w:rsidRPr="001B7E25" w:rsidRDefault="00CA77FB" w:rsidP="00976A6A">
      <w:pPr>
        <w:pStyle w:val="Ttulo4"/>
        <w:tabs>
          <w:tab w:val="left" w:pos="0"/>
          <w:tab w:val="right" w:pos="9356"/>
        </w:tabs>
        <w:rPr>
          <w:rFonts w:ascii="Bookman Old Style" w:hAnsi="Bookman Old Style"/>
          <w:b w:val="0"/>
          <w:bCs/>
          <w:noProof/>
          <w:sz w:val="24"/>
          <w:szCs w:val="24"/>
          <w:lang w:val="es-ES"/>
        </w:rPr>
      </w:pPr>
      <w:r w:rsidRPr="001B7E25">
        <w:rPr>
          <w:rFonts w:ascii="Bookman Old Style" w:hAnsi="Bookman Old Style"/>
          <w:b w:val="0"/>
          <w:bCs/>
          <w:sz w:val="24"/>
          <w:szCs w:val="24"/>
        </w:rPr>
        <w:t>Ministerio de Minas y Energía</w:t>
      </w:r>
    </w:p>
    <w:p w14:paraId="7F057D0D" w14:textId="77777777" w:rsidR="00CA77FB" w:rsidRPr="001B7E25" w:rsidRDefault="00CA77FB" w:rsidP="00976A6A">
      <w:pPr>
        <w:jc w:val="center"/>
      </w:pPr>
    </w:p>
    <w:p w14:paraId="109B4C58" w14:textId="77777777" w:rsidR="005E20D0" w:rsidRPr="001B7E25" w:rsidRDefault="005E20D0" w:rsidP="00976A6A">
      <w:pPr>
        <w:jc w:val="center"/>
      </w:pPr>
    </w:p>
    <w:p w14:paraId="30CC8B49" w14:textId="77777777" w:rsidR="00B542E5" w:rsidRPr="001B7E25" w:rsidRDefault="00B542E5" w:rsidP="00B542E5">
      <w:pPr>
        <w:pStyle w:val="Ttulo3"/>
        <w:tabs>
          <w:tab w:val="left" w:pos="0"/>
          <w:tab w:val="right" w:pos="9356"/>
        </w:tabs>
        <w:rPr>
          <w:rFonts w:ascii="Bookman Old Style" w:hAnsi="Bookman Old Style" w:cs="Arial"/>
          <w:spacing w:val="20"/>
          <w:szCs w:val="24"/>
        </w:rPr>
      </w:pPr>
      <w:r w:rsidRPr="001B7E25">
        <w:rPr>
          <w:rFonts w:ascii="Bookman Old Style" w:hAnsi="Bookman Old Style" w:cs="Arial"/>
          <w:spacing w:val="20"/>
          <w:szCs w:val="24"/>
        </w:rPr>
        <w:t>COMISIÓN DE REGULACIÓN DE ENERGÍA Y GAS</w:t>
      </w:r>
    </w:p>
    <w:p w14:paraId="320835A7" w14:textId="77777777" w:rsidR="00B542E5" w:rsidRPr="001B7E25" w:rsidRDefault="00B542E5" w:rsidP="00B542E5">
      <w:pPr>
        <w:pStyle w:val="Ttulo5"/>
        <w:tabs>
          <w:tab w:val="left" w:pos="0"/>
          <w:tab w:val="right" w:pos="9356"/>
        </w:tabs>
        <w:rPr>
          <w:rFonts w:ascii="Bookman Old Style" w:hAnsi="Bookman Old Style"/>
          <w:sz w:val="24"/>
          <w:szCs w:val="24"/>
        </w:rPr>
      </w:pPr>
    </w:p>
    <w:p w14:paraId="7FFF221A" w14:textId="77777777" w:rsidR="00B542E5" w:rsidRPr="001B7E25" w:rsidRDefault="00B542E5" w:rsidP="00B542E5">
      <w:pPr>
        <w:pStyle w:val="Ttulo5"/>
        <w:tabs>
          <w:tab w:val="left" w:pos="0"/>
          <w:tab w:val="right" w:pos="9356"/>
        </w:tabs>
        <w:rPr>
          <w:rFonts w:ascii="Bookman Old Style" w:hAnsi="Bookman Old Style"/>
          <w:sz w:val="24"/>
          <w:szCs w:val="24"/>
        </w:rPr>
      </w:pPr>
    </w:p>
    <w:p w14:paraId="79CC48DC" w14:textId="77777777" w:rsidR="00B542E5" w:rsidRPr="001B7E25" w:rsidRDefault="00B542E5" w:rsidP="00B542E5">
      <w:pPr>
        <w:pStyle w:val="Ttulo5"/>
        <w:tabs>
          <w:tab w:val="left" w:pos="0"/>
          <w:tab w:val="right" w:pos="9356"/>
        </w:tabs>
        <w:rPr>
          <w:rFonts w:ascii="Bookman Old Style" w:hAnsi="Bookman Old Style"/>
          <w:sz w:val="24"/>
          <w:szCs w:val="24"/>
        </w:rPr>
      </w:pPr>
      <w:r w:rsidRPr="001B7E25">
        <w:rPr>
          <w:rFonts w:ascii="Bookman Old Style" w:hAnsi="Bookman Old Style"/>
          <w:sz w:val="24"/>
          <w:szCs w:val="24"/>
        </w:rPr>
        <w:t xml:space="preserve">RESOLUCIÓN No.                   DE </w:t>
      </w:r>
      <w:r w:rsidR="008F6A2E" w:rsidRPr="001B7E25">
        <w:rPr>
          <w:rFonts w:ascii="Bookman Old Style" w:hAnsi="Bookman Old Style"/>
          <w:sz w:val="24"/>
          <w:szCs w:val="24"/>
        </w:rPr>
        <w:t>201</w:t>
      </w:r>
      <w:r w:rsidR="008F6A2E">
        <w:rPr>
          <w:rFonts w:ascii="Bookman Old Style" w:hAnsi="Bookman Old Style"/>
          <w:sz w:val="24"/>
          <w:szCs w:val="24"/>
        </w:rPr>
        <w:t>9</w:t>
      </w:r>
    </w:p>
    <w:p w14:paraId="2D142539" w14:textId="77777777" w:rsidR="00B542E5" w:rsidRPr="001B7E25" w:rsidRDefault="00B542E5" w:rsidP="00B542E5">
      <w:pPr>
        <w:tabs>
          <w:tab w:val="left" w:pos="0"/>
          <w:tab w:val="right" w:pos="9356"/>
        </w:tabs>
        <w:jc w:val="center"/>
        <w:rPr>
          <w:rFonts w:cs="Arial"/>
          <w:b/>
          <w:snapToGrid w:val="0"/>
          <w:color w:val="000000"/>
          <w:lang w:val="es-ES_tradnl"/>
        </w:rPr>
      </w:pPr>
    </w:p>
    <w:p w14:paraId="78E4B493" w14:textId="77777777" w:rsidR="00B542E5" w:rsidRPr="001B7E25" w:rsidRDefault="00B542E5" w:rsidP="00B542E5">
      <w:pPr>
        <w:jc w:val="center"/>
      </w:pPr>
      <w:r w:rsidRPr="001B7E25">
        <w:t>(                                  )</w:t>
      </w:r>
    </w:p>
    <w:p w14:paraId="78F0666E" w14:textId="77777777" w:rsidR="00B542E5" w:rsidRPr="001B7E25" w:rsidRDefault="00B542E5" w:rsidP="00B542E5">
      <w:pPr>
        <w:tabs>
          <w:tab w:val="left" w:pos="0"/>
          <w:tab w:val="right" w:pos="9356"/>
        </w:tabs>
        <w:jc w:val="center"/>
        <w:rPr>
          <w:lang w:val="es-ES_tradnl"/>
        </w:rPr>
      </w:pPr>
    </w:p>
    <w:p w14:paraId="3996940E" w14:textId="77777777" w:rsidR="00B542E5" w:rsidRPr="001B7E25" w:rsidRDefault="00B542E5" w:rsidP="00B542E5">
      <w:pPr>
        <w:tabs>
          <w:tab w:val="left" w:pos="0"/>
          <w:tab w:val="right" w:pos="9356"/>
        </w:tabs>
        <w:jc w:val="center"/>
        <w:rPr>
          <w:lang w:val="es-ES_tradnl"/>
        </w:rPr>
      </w:pPr>
    </w:p>
    <w:p w14:paraId="60BAADEF" w14:textId="77777777" w:rsidR="00EF09E4" w:rsidRPr="00C435C3" w:rsidRDefault="00EF09E4" w:rsidP="00EF09E4">
      <w:pPr>
        <w:jc w:val="center"/>
      </w:pPr>
      <w:r>
        <w:t xml:space="preserve">Por la cual se ordena hacer público un proyecto de resolución </w:t>
      </w:r>
      <w:r w:rsidRPr="0069756D">
        <w:rPr>
          <w:i/>
        </w:rPr>
        <w:t xml:space="preserve">“Por la cual </w:t>
      </w:r>
      <w:r>
        <w:rPr>
          <w:i/>
        </w:rPr>
        <w:t>se hace un ajuste al numeral 1.5 del Anexo 1 de la Resolución CREG 071 de 2006</w:t>
      </w:r>
      <w:r w:rsidRPr="0069756D">
        <w:rPr>
          <w:i/>
        </w:rPr>
        <w:t>”</w:t>
      </w:r>
    </w:p>
    <w:p w14:paraId="74AF8349" w14:textId="77777777" w:rsidR="00EF09E4" w:rsidRDefault="00EF09E4" w:rsidP="00EF09E4">
      <w:pPr>
        <w:ind w:right="51"/>
      </w:pPr>
    </w:p>
    <w:p w14:paraId="0C4C8314" w14:textId="77777777" w:rsidR="00EF09E4" w:rsidRDefault="00EF09E4" w:rsidP="00EF09E4">
      <w:pPr>
        <w:ind w:right="51"/>
      </w:pPr>
    </w:p>
    <w:p w14:paraId="6E4D5DF8" w14:textId="77777777" w:rsidR="00EF09E4" w:rsidRDefault="00EF09E4" w:rsidP="00EF09E4">
      <w:pPr>
        <w:ind w:right="51"/>
      </w:pPr>
    </w:p>
    <w:p w14:paraId="291AECC7" w14:textId="77777777" w:rsidR="00EF09E4" w:rsidRDefault="00EF09E4" w:rsidP="00EF09E4">
      <w:pPr>
        <w:ind w:right="51"/>
        <w:jc w:val="center"/>
        <w:rPr>
          <w:b/>
        </w:rPr>
      </w:pPr>
      <w:r>
        <w:rPr>
          <w:b/>
        </w:rPr>
        <w:t>LA COMISIÓN DE REGULACIÓN DE ENERGÍA Y GAS</w:t>
      </w:r>
    </w:p>
    <w:p w14:paraId="08FA6789" w14:textId="77777777" w:rsidR="00EF09E4" w:rsidRDefault="00EF09E4" w:rsidP="00EF09E4">
      <w:pPr>
        <w:ind w:right="51"/>
      </w:pPr>
    </w:p>
    <w:p w14:paraId="0962B310" w14:textId="77777777" w:rsidR="00EF09E4" w:rsidRDefault="00EF09E4" w:rsidP="00EF09E4">
      <w:pPr>
        <w:ind w:right="51"/>
      </w:pPr>
    </w:p>
    <w:p w14:paraId="2A7C1A72" w14:textId="77777777" w:rsidR="00EF09E4" w:rsidRDefault="00EF09E4" w:rsidP="00EF09E4">
      <w:pPr>
        <w:pStyle w:val="Textoindependiente3"/>
        <w:rPr>
          <w:rFonts w:ascii="Bookman Old Style" w:hAnsi="Bookman Old Style"/>
          <w:b w:val="0"/>
        </w:rPr>
      </w:pPr>
      <w:r>
        <w:rPr>
          <w:rFonts w:ascii="Bookman Old Style" w:hAnsi="Bookman Old Style"/>
          <w:b w:val="0"/>
        </w:rPr>
        <w:t>En ejercicio de sus atribuciones constitucionales y legales, en especial las conferidas por las Leyes 142 y 143 de 1994, y en desarrollo de los Decretos 1524 y 2253 de 1994.</w:t>
      </w:r>
    </w:p>
    <w:p w14:paraId="760F52A4" w14:textId="77777777" w:rsidR="00EF09E4" w:rsidRDefault="00EF09E4" w:rsidP="00EF09E4">
      <w:pPr>
        <w:ind w:right="51"/>
      </w:pPr>
    </w:p>
    <w:p w14:paraId="44E24581" w14:textId="77777777" w:rsidR="00EF09E4" w:rsidRDefault="00EF09E4" w:rsidP="00EF09E4">
      <w:pPr>
        <w:ind w:right="51"/>
      </w:pPr>
    </w:p>
    <w:p w14:paraId="37913D4E" w14:textId="77777777" w:rsidR="00EF09E4" w:rsidRDefault="00EF09E4" w:rsidP="00EF09E4">
      <w:pPr>
        <w:ind w:right="51"/>
      </w:pPr>
    </w:p>
    <w:p w14:paraId="59E9B233" w14:textId="77777777" w:rsidR="00EF09E4" w:rsidRDefault="00EF09E4" w:rsidP="00EF09E4">
      <w:pPr>
        <w:ind w:right="51"/>
        <w:jc w:val="center"/>
        <w:rPr>
          <w:b/>
        </w:rPr>
      </w:pPr>
      <w:r>
        <w:rPr>
          <w:b/>
        </w:rPr>
        <w:t>C O N S I D E R A N D O  Q U E:</w:t>
      </w:r>
    </w:p>
    <w:p w14:paraId="756638B3" w14:textId="77777777" w:rsidR="00EF09E4" w:rsidRDefault="00EF09E4" w:rsidP="00EF09E4">
      <w:pPr>
        <w:ind w:right="51"/>
        <w:jc w:val="center"/>
        <w:rPr>
          <w:b/>
        </w:rPr>
      </w:pPr>
    </w:p>
    <w:p w14:paraId="6D9A13A0" w14:textId="77777777" w:rsidR="00EF09E4" w:rsidRDefault="00EF09E4" w:rsidP="00EF09E4">
      <w:pPr>
        <w:ind w:right="51"/>
        <w:jc w:val="center"/>
        <w:rPr>
          <w:b/>
        </w:rPr>
      </w:pPr>
    </w:p>
    <w:p w14:paraId="4AEFD0D8" w14:textId="77777777" w:rsidR="00EF09E4" w:rsidRPr="000B73A9" w:rsidRDefault="00EF09E4" w:rsidP="00EF09E4">
      <w:pPr>
        <w:tabs>
          <w:tab w:val="left" w:pos="993"/>
        </w:tabs>
      </w:pPr>
      <w:r w:rsidRPr="000B73A9">
        <w:t xml:space="preserve">Conforme a lo dispuesto </w:t>
      </w:r>
      <w:r>
        <w:t xml:space="preserve">en </w:t>
      </w:r>
      <w:r w:rsidRPr="000B73A9">
        <w:t>el artículo</w:t>
      </w:r>
      <w:r w:rsidR="004A4F00" w:rsidRPr="000B73A9">
        <w:t xml:space="preserve"> </w:t>
      </w:r>
      <w:r w:rsidRPr="000B73A9">
        <w:t>8 del Código de Procedimiento Administrativo y de lo Contencioso Administrativo y el artículo 33 de la Resolución CREG 039 de 2017, la Comisión debe hacer público en su página web todos los proyectos de resolución de carácter general que pretenda adoptar.</w:t>
      </w:r>
    </w:p>
    <w:p w14:paraId="6D2BC1B6" w14:textId="77777777" w:rsidR="00EF09E4" w:rsidRDefault="00EF09E4" w:rsidP="00EF09E4">
      <w:pPr>
        <w:tabs>
          <w:tab w:val="left" w:pos="0"/>
        </w:tabs>
        <w:rPr>
          <w:rFonts w:cs="Arial"/>
        </w:rPr>
      </w:pPr>
    </w:p>
    <w:p w14:paraId="42B35BC0" w14:textId="77777777" w:rsidR="00EF09E4" w:rsidRPr="00C435C3" w:rsidRDefault="00EF09E4" w:rsidP="00EF09E4">
      <w:r>
        <w:t xml:space="preserve">La </w:t>
      </w:r>
      <w:r>
        <w:rPr>
          <w:rFonts w:cs="Arial"/>
        </w:rPr>
        <w:t>Comisión</w:t>
      </w:r>
      <w:r>
        <w:t xml:space="preserve"> de Regulación</w:t>
      </w:r>
      <w:r w:rsidR="00767F8D">
        <w:t xml:space="preserve"> de Energía y Gas, en su sesión 906</w:t>
      </w:r>
      <w:r>
        <w:t xml:space="preserve"> del </w:t>
      </w:r>
      <w:r w:rsidR="00944CBA">
        <w:t xml:space="preserve">21 </w:t>
      </w:r>
      <w:r>
        <w:t xml:space="preserve">de febrero de 2019, aprobó hacer público el proyecto de resolución </w:t>
      </w:r>
      <w:r w:rsidRPr="0069756D">
        <w:rPr>
          <w:i/>
        </w:rPr>
        <w:t xml:space="preserve">“Por la cual </w:t>
      </w:r>
      <w:r>
        <w:rPr>
          <w:i/>
        </w:rPr>
        <w:t>se hace un ajuste al numeral 1.5 del Anexo 1 de la Resolución CREG 071 de 2006</w:t>
      </w:r>
      <w:r w:rsidRPr="0069756D">
        <w:rPr>
          <w:i/>
        </w:rPr>
        <w:t>”</w:t>
      </w:r>
    </w:p>
    <w:p w14:paraId="75D3BFAB" w14:textId="77777777" w:rsidR="00EF09E4" w:rsidRDefault="00EF09E4" w:rsidP="00EF09E4"/>
    <w:p w14:paraId="576D0B0A" w14:textId="45EB5665" w:rsidR="00EF09E4" w:rsidRPr="00C435C3" w:rsidRDefault="00EF09E4" w:rsidP="00EF09E4">
      <w:r>
        <w:t>La publicación se hace por un término menor a diez días, con fundamento en la causal del numeral 6 del artículo 33 del Reglamento Interno de la Comisión</w:t>
      </w:r>
      <w:r w:rsidR="009123E0">
        <w:t>, Resolución CREG 039 de 2017</w:t>
      </w:r>
      <w:r>
        <w:t>.</w:t>
      </w:r>
    </w:p>
    <w:p w14:paraId="0D4D6BA8" w14:textId="77777777" w:rsidR="00EF09E4" w:rsidRDefault="00EF09E4" w:rsidP="00EF09E4">
      <w:pPr>
        <w:tabs>
          <w:tab w:val="left" w:pos="0"/>
        </w:tabs>
      </w:pPr>
    </w:p>
    <w:p w14:paraId="6E27CA85" w14:textId="77777777" w:rsidR="00EF09E4" w:rsidRDefault="00EF09E4" w:rsidP="00EF09E4">
      <w:pPr>
        <w:pStyle w:val="Prrafodelista"/>
        <w:tabs>
          <w:tab w:val="left" w:pos="0"/>
        </w:tabs>
        <w:ind w:left="720"/>
        <w:rPr>
          <w:sz w:val="22"/>
          <w:szCs w:val="22"/>
        </w:rPr>
      </w:pPr>
    </w:p>
    <w:p w14:paraId="07913CE4" w14:textId="77777777" w:rsidR="00EF09E4" w:rsidRDefault="00EF09E4" w:rsidP="00EF09E4">
      <w:pPr>
        <w:suppressAutoHyphens/>
        <w:jc w:val="center"/>
        <w:rPr>
          <w:spacing w:val="-3"/>
        </w:rPr>
      </w:pPr>
      <w:r>
        <w:rPr>
          <w:b/>
          <w:spacing w:val="-3"/>
        </w:rPr>
        <w:t>R E S U E L V E:</w:t>
      </w:r>
    </w:p>
    <w:p w14:paraId="69D9B1F2" w14:textId="77777777" w:rsidR="00EF09E4" w:rsidRDefault="00EF09E4" w:rsidP="00EF09E4">
      <w:pPr>
        <w:jc w:val="center"/>
      </w:pPr>
    </w:p>
    <w:p w14:paraId="5F8C76D1" w14:textId="77777777" w:rsidR="00EF09E4" w:rsidRDefault="00EF09E4" w:rsidP="00EF09E4">
      <w:pPr>
        <w:jc w:val="center"/>
      </w:pPr>
    </w:p>
    <w:p w14:paraId="2AB70AF7" w14:textId="77777777" w:rsidR="00EF09E4" w:rsidRPr="00C435C3" w:rsidRDefault="00EF09E4" w:rsidP="00EF09E4">
      <w:pPr>
        <w:jc w:val="center"/>
      </w:pPr>
      <w:r>
        <w:rPr>
          <w:rFonts w:cs="Arial"/>
          <w:b/>
          <w:bCs/>
          <w:szCs w:val="27"/>
        </w:rPr>
        <w:t>ARTÍCULO 1</w:t>
      </w:r>
      <w:r>
        <w:rPr>
          <w:rFonts w:cs="Arial"/>
          <w:szCs w:val="27"/>
        </w:rPr>
        <w:t xml:space="preserve">. Hágase público el siguiente proyecto de resolución </w:t>
      </w:r>
      <w:r w:rsidRPr="0069756D">
        <w:rPr>
          <w:i/>
        </w:rPr>
        <w:t xml:space="preserve">“Por la cual </w:t>
      </w:r>
      <w:r>
        <w:rPr>
          <w:i/>
        </w:rPr>
        <w:t>se hace un ajuste al numeral 1.5 del Anexo 1 de la Resolución CREG 071 de 2006</w:t>
      </w:r>
      <w:r w:rsidRPr="0069756D">
        <w:rPr>
          <w:i/>
        </w:rPr>
        <w:t>”</w:t>
      </w:r>
    </w:p>
    <w:p w14:paraId="4B2C73CE" w14:textId="77777777" w:rsidR="00EF09E4" w:rsidRDefault="00EF09E4" w:rsidP="00EF09E4">
      <w:pPr>
        <w:rPr>
          <w:rFonts w:cs="Arial"/>
          <w:i/>
          <w:szCs w:val="27"/>
        </w:rPr>
      </w:pPr>
    </w:p>
    <w:p w14:paraId="03638A05" w14:textId="44B18D9B" w:rsidR="00EF09E4" w:rsidRDefault="00EF09E4" w:rsidP="00EF09E4">
      <w:pPr>
        <w:tabs>
          <w:tab w:val="left" w:pos="0"/>
        </w:tabs>
        <w:ind w:right="45"/>
        <w:rPr>
          <w:rFonts w:cs="Arial"/>
          <w:szCs w:val="27"/>
        </w:rPr>
      </w:pPr>
      <w:r>
        <w:rPr>
          <w:rFonts w:cs="Arial"/>
          <w:b/>
          <w:bCs/>
          <w:szCs w:val="27"/>
        </w:rPr>
        <w:t>ARTÍCULO 2.</w:t>
      </w:r>
      <w:r>
        <w:rPr>
          <w:rFonts w:cs="Arial"/>
          <w:szCs w:val="27"/>
        </w:rPr>
        <w:t xml:space="preserve"> </w:t>
      </w:r>
      <w:r>
        <w:rPr>
          <w:rFonts w:cs="Arial"/>
          <w:lang w:val="es-CO" w:eastAsia="es-CO"/>
        </w:rPr>
        <w:t xml:space="preserve">Se invita a los agentes, a los usuarios, a las autoridades competentes, a la Superintendencia de Servicios Públicos Domiciliarios y a la </w:t>
      </w:r>
      <w:r>
        <w:rPr>
          <w:rFonts w:cs="Arial"/>
          <w:lang w:val="es-CO" w:eastAsia="es-CO"/>
        </w:rPr>
        <w:lastRenderedPageBreak/>
        <w:t xml:space="preserve">Superintendencia de Industria y Comercio, para que remitan sus observaciones o sugerencias sobre la propuesta, dentro de los </w:t>
      </w:r>
      <w:r w:rsidRPr="009759CC">
        <w:rPr>
          <w:rFonts w:cs="Arial"/>
          <w:lang w:val="es-CO" w:eastAsia="es-CO"/>
        </w:rPr>
        <w:t>tres (3)</w:t>
      </w:r>
      <w:r>
        <w:rPr>
          <w:rFonts w:cs="Arial"/>
          <w:lang w:val="es-CO" w:eastAsia="es-CO"/>
        </w:rPr>
        <w:t xml:space="preserve"> días </w:t>
      </w:r>
      <w:r w:rsidR="00B43BA4">
        <w:rPr>
          <w:rFonts w:cs="Arial"/>
          <w:lang w:val="es-CO" w:eastAsia="es-CO"/>
        </w:rPr>
        <w:t xml:space="preserve">calendario </w:t>
      </w:r>
      <w:r>
        <w:rPr>
          <w:rFonts w:cs="Arial"/>
          <w:lang w:val="es-CO" w:eastAsia="es-CO"/>
        </w:rPr>
        <w:t xml:space="preserve">siguientes a </w:t>
      </w:r>
      <w:r w:rsidR="004A4F00">
        <w:rPr>
          <w:rFonts w:cs="Arial"/>
          <w:lang w:val="es-CO" w:eastAsia="es-CO"/>
        </w:rPr>
        <w:t xml:space="preserve">la </w:t>
      </w:r>
      <w:r>
        <w:rPr>
          <w:rFonts w:cs="Arial"/>
          <w:lang w:val="es-CO" w:eastAsia="es-CO"/>
        </w:rPr>
        <w:t xml:space="preserve">publicación del proyecto en la página Web de la Comisión de Regulación de Energía y Gas. </w:t>
      </w:r>
    </w:p>
    <w:p w14:paraId="1CB28FAD" w14:textId="77777777" w:rsidR="00EF09E4" w:rsidRDefault="00EF09E4" w:rsidP="00EF09E4">
      <w:pPr>
        <w:tabs>
          <w:tab w:val="left" w:pos="0"/>
        </w:tabs>
        <w:ind w:right="45"/>
        <w:rPr>
          <w:rFonts w:cs="Arial"/>
          <w:szCs w:val="27"/>
        </w:rPr>
      </w:pPr>
    </w:p>
    <w:p w14:paraId="093E999F" w14:textId="77777777" w:rsidR="00EF09E4" w:rsidRDefault="00EF09E4" w:rsidP="00EF09E4">
      <w:pPr>
        <w:tabs>
          <w:tab w:val="left" w:pos="0"/>
        </w:tabs>
        <w:ind w:right="47"/>
        <w:rPr>
          <w:rFonts w:cs="Arial"/>
          <w:szCs w:val="27"/>
        </w:rPr>
      </w:pPr>
      <w:r>
        <w:rPr>
          <w:rFonts w:cs="Arial"/>
          <w:b/>
          <w:bCs/>
          <w:szCs w:val="27"/>
        </w:rPr>
        <w:t>ARTÍCULO 3</w:t>
      </w:r>
      <w:r>
        <w:rPr>
          <w:rFonts w:cs="Arial"/>
          <w:szCs w:val="27"/>
        </w:rPr>
        <w:t>. Infórmese en la página web la identificación de la dependencia administrativa y de las personas a quienes se podrá solicitar información sobre el proyecto y hacer llegar las observaciones, reparos o sugerencias.</w:t>
      </w:r>
    </w:p>
    <w:p w14:paraId="41981DF6" w14:textId="77777777" w:rsidR="00EF09E4" w:rsidRDefault="00EF09E4" w:rsidP="00EF09E4">
      <w:pPr>
        <w:tabs>
          <w:tab w:val="left" w:pos="0"/>
        </w:tabs>
        <w:ind w:right="47"/>
        <w:rPr>
          <w:rFonts w:cs="Arial"/>
          <w:szCs w:val="27"/>
        </w:rPr>
      </w:pPr>
    </w:p>
    <w:p w14:paraId="03C23EDD" w14:textId="77777777" w:rsidR="00EF09E4" w:rsidRDefault="00EF09E4" w:rsidP="00EF09E4">
      <w:pPr>
        <w:tabs>
          <w:tab w:val="left" w:pos="0"/>
        </w:tabs>
        <w:ind w:right="47"/>
        <w:rPr>
          <w:rFonts w:cs="Arial"/>
        </w:rPr>
      </w:pPr>
      <w:r>
        <w:rPr>
          <w:rFonts w:cs="Arial"/>
          <w:b/>
          <w:bCs/>
          <w:szCs w:val="27"/>
        </w:rPr>
        <w:t>ARTÍCULO 4</w:t>
      </w:r>
      <w:r>
        <w:rPr>
          <w:rFonts w:cs="Arial"/>
          <w:szCs w:val="27"/>
        </w:rPr>
        <w:t>. La presente Resolución no deroga disposiciones vigentes por tratarse de un acto de trámite.</w:t>
      </w:r>
    </w:p>
    <w:p w14:paraId="4DF24541" w14:textId="77777777" w:rsidR="00EF09E4" w:rsidRDefault="00EF09E4" w:rsidP="00EF09E4"/>
    <w:p w14:paraId="6257A574" w14:textId="77777777" w:rsidR="00EF09E4" w:rsidRDefault="00EF09E4" w:rsidP="00EF09E4">
      <w:pPr>
        <w:widowControl w:val="0"/>
        <w:adjustRightInd w:val="0"/>
        <w:textAlignment w:val="baseline"/>
      </w:pPr>
    </w:p>
    <w:p w14:paraId="577340FC" w14:textId="77777777" w:rsidR="00EF09E4" w:rsidRDefault="00EF09E4" w:rsidP="00EF09E4">
      <w:pPr>
        <w:jc w:val="center"/>
        <w:rPr>
          <w:b/>
        </w:rPr>
      </w:pPr>
      <w:r>
        <w:rPr>
          <w:b/>
        </w:rPr>
        <w:t>PUBLÍQUESE Y CÚMPLASE</w:t>
      </w:r>
    </w:p>
    <w:p w14:paraId="7B90E852" w14:textId="77777777" w:rsidR="00EF09E4" w:rsidRDefault="00EF09E4" w:rsidP="00EF09E4"/>
    <w:p w14:paraId="012D9DC2" w14:textId="77777777" w:rsidR="00EF09E4" w:rsidRDefault="00EF09E4" w:rsidP="00EF09E4">
      <w:r>
        <w:t>Dada en Bogotá DC, a los</w:t>
      </w:r>
    </w:p>
    <w:p w14:paraId="4E09DAA4" w14:textId="77777777" w:rsidR="00EF09E4" w:rsidRDefault="00EF09E4" w:rsidP="00EF09E4"/>
    <w:p w14:paraId="6B15A423" w14:textId="77777777" w:rsidR="00EF09E4" w:rsidRDefault="00EF09E4" w:rsidP="00EF09E4"/>
    <w:p w14:paraId="3846C0DC" w14:textId="77777777" w:rsidR="00EF09E4" w:rsidRDefault="00EF09E4" w:rsidP="00EF09E4"/>
    <w:p w14:paraId="0D61925D" w14:textId="77777777" w:rsidR="00EF09E4" w:rsidRDefault="00EF09E4" w:rsidP="00EF09E4"/>
    <w:p w14:paraId="7338B679" w14:textId="77777777" w:rsidR="00EF09E4" w:rsidRDefault="00EF09E4" w:rsidP="00EF09E4"/>
    <w:p w14:paraId="61BD451A" w14:textId="77777777" w:rsidR="00EF09E4" w:rsidRDefault="00EF09E4" w:rsidP="00EF09E4"/>
    <w:tbl>
      <w:tblPr>
        <w:tblW w:w="0" w:type="auto"/>
        <w:jc w:val="center"/>
        <w:tblLayout w:type="fixed"/>
        <w:tblCellMar>
          <w:left w:w="70" w:type="dxa"/>
          <w:right w:w="70" w:type="dxa"/>
        </w:tblCellMar>
        <w:tblLook w:val="0000" w:firstRow="0" w:lastRow="0" w:firstColumn="0" w:lastColumn="0" w:noHBand="0" w:noVBand="0"/>
      </w:tblPr>
      <w:tblGrid>
        <w:gridCol w:w="5067"/>
        <w:gridCol w:w="4429"/>
      </w:tblGrid>
      <w:tr w:rsidR="00EF09E4" w:rsidRPr="00666660" w14:paraId="007C695B" w14:textId="77777777" w:rsidTr="00A54E43">
        <w:trPr>
          <w:jc w:val="center"/>
        </w:trPr>
        <w:tc>
          <w:tcPr>
            <w:tcW w:w="5067" w:type="dxa"/>
          </w:tcPr>
          <w:p w14:paraId="3510EE1B" w14:textId="77777777" w:rsidR="00EF09E4" w:rsidRDefault="00EF09E4" w:rsidP="002031B6">
            <w:pPr>
              <w:tabs>
                <w:tab w:val="left" w:pos="-720"/>
              </w:tabs>
              <w:suppressAutoHyphens/>
              <w:rPr>
                <w:rFonts w:cs="Arial"/>
                <w:b/>
                <w:spacing w:val="-3"/>
              </w:rPr>
            </w:pPr>
            <w:r>
              <w:rPr>
                <w:rFonts w:cs="Arial"/>
                <w:b/>
                <w:spacing w:val="-3"/>
              </w:rPr>
              <w:t>MARÍA FERNANDA SUÁREZ</w:t>
            </w:r>
            <w:r w:rsidR="002031B6">
              <w:rPr>
                <w:rFonts w:cs="Arial"/>
                <w:b/>
                <w:spacing w:val="-3"/>
              </w:rPr>
              <w:t xml:space="preserve"> </w:t>
            </w:r>
            <w:r>
              <w:rPr>
                <w:rFonts w:cs="Arial"/>
                <w:b/>
                <w:spacing w:val="-3"/>
              </w:rPr>
              <w:t>LONDOÑO</w:t>
            </w:r>
          </w:p>
          <w:p w14:paraId="658B5EB8" w14:textId="77777777" w:rsidR="00EF09E4" w:rsidRDefault="00EF09E4" w:rsidP="00A54E43">
            <w:pPr>
              <w:tabs>
                <w:tab w:val="left" w:pos="-720"/>
              </w:tabs>
              <w:suppressAutoHyphens/>
              <w:jc w:val="center"/>
            </w:pPr>
            <w:r>
              <w:t xml:space="preserve">Ministra de </w:t>
            </w:r>
            <w:r w:rsidRPr="00EF4ACC">
              <w:t>Minas y Energía</w:t>
            </w:r>
            <w:r>
              <w:t xml:space="preserve"> </w:t>
            </w:r>
          </w:p>
          <w:p w14:paraId="2EBD9BAD" w14:textId="77777777" w:rsidR="00EF09E4" w:rsidRPr="00BD0865" w:rsidRDefault="00EF09E4" w:rsidP="00A54E43">
            <w:pPr>
              <w:tabs>
                <w:tab w:val="left" w:pos="-720"/>
              </w:tabs>
              <w:suppressAutoHyphens/>
              <w:jc w:val="center"/>
              <w:rPr>
                <w:rFonts w:cs="Arial"/>
                <w:b/>
                <w:strike/>
                <w:spacing w:val="-3"/>
              </w:rPr>
            </w:pPr>
            <w:r w:rsidRPr="00EF4ACC">
              <w:t>Presidente</w:t>
            </w:r>
          </w:p>
        </w:tc>
        <w:tc>
          <w:tcPr>
            <w:tcW w:w="4429" w:type="dxa"/>
          </w:tcPr>
          <w:p w14:paraId="3B0A05BA" w14:textId="77777777" w:rsidR="00EF09E4" w:rsidRPr="00666660" w:rsidRDefault="00EF09E4" w:rsidP="002031B6">
            <w:pPr>
              <w:tabs>
                <w:tab w:val="left" w:pos="-720"/>
              </w:tabs>
              <w:suppressAutoHyphens/>
              <w:ind w:right="-75"/>
              <w:rPr>
                <w:rFonts w:cs="Arial"/>
                <w:b/>
              </w:rPr>
            </w:pPr>
            <w:r>
              <w:rPr>
                <w:rFonts w:cs="Arial"/>
                <w:b/>
              </w:rPr>
              <w:t>CHRISTIAN JARAMILLO</w:t>
            </w:r>
            <w:r w:rsidR="002031B6">
              <w:rPr>
                <w:rFonts w:cs="Arial"/>
                <w:b/>
              </w:rPr>
              <w:t xml:space="preserve"> </w:t>
            </w:r>
            <w:r>
              <w:rPr>
                <w:rFonts w:cs="Arial"/>
                <w:b/>
              </w:rPr>
              <w:t>HERRERA</w:t>
            </w:r>
          </w:p>
          <w:p w14:paraId="0A8A8E29" w14:textId="77777777" w:rsidR="00EF09E4" w:rsidRPr="00666660" w:rsidRDefault="00EF09E4" w:rsidP="00A54E43">
            <w:pPr>
              <w:tabs>
                <w:tab w:val="left" w:pos="-720"/>
              </w:tabs>
              <w:suppressAutoHyphens/>
              <w:jc w:val="center"/>
              <w:rPr>
                <w:rFonts w:cs="Arial"/>
                <w:b/>
                <w:spacing w:val="-3"/>
              </w:rPr>
            </w:pPr>
            <w:r w:rsidRPr="00666660">
              <w:rPr>
                <w:rFonts w:cs="Arial"/>
                <w:spacing w:val="-3"/>
              </w:rPr>
              <w:t>Director Ejecutivo</w:t>
            </w:r>
          </w:p>
        </w:tc>
      </w:tr>
    </w:tbl>
    <w:p w14:paraId="3FE26CD9" w14:textId="77777777" w:rsidR="00EF09E4" w:rsidRDefault="00EF09E4">
      <w:pPr>
        <w:jc w:val="left"/>
        <w:rPr>
          <w:b/>
          <w:lang w:val="es-CO"/>
        </w:rPr>
      </w:pPr>
    </w:p>
    <w:p w14:paraId="6C76A1CA" w14:textId="77777777" w:rsidR="00EF09E4" w:rsidRDefault="00EF09E4">
      <w:pPr>
        <w:jc w:val="left"/>
        <w:rPr>
          <w:b/>
          <w:lang w:val="es-CO"/>
        </w:rPr>
      </w:pPr>
    </w:p>
    <w:p w14:paraId="1E29A956" w14:textId="77777777" w:rsidR="00EF09E4" w:rsidRDefault="00EF09E4">
      <w:pPr>
        <w:jc w:val="left"/>
        <w:rPr>
          <w:b/>
          <w:lang w:val="es-CO"/>
        </w:rPr>
      </w:pPr>
      <w:r>
        <w:rPr>
          <w:b/>
          <w:lang w:val="es-CO"/>
        </w:rPr>
        <w:br/>
      </w:r>
    </w:p>
    <w:p w14:paraId="3F5211E6" w14:textId="77777777" w:rsidR="00EF09E4" w:rsidRDefault="00EF09E4">
      <w:pPr>
        <w:jc w:val="left"/>
        <w:rPr>
          <w:b/>
          <w:lang w:val="es-CO"/>
        </w:rPr>
      </w:pPr>
      <w:r>
        <w:rPr>
          <w:b/>
          <w:lang w:val="es-CO"/>
        </w:rPr>
        <w:br w:type="page"/>
      </w:r>
    </w:p>
    <w:p w14:paraId="4A856D3C" w14:textId="77777777" w:rsidR="00EF09E4" w:rsidRPr="00EF09E4" w:rsidRDefault="00EF09E4">
      <w:pPr>
        <w:jc w:val="left"/>
        <w:rPr>
          <w:b/>
          <w:lang w:val="es-CO"/>
        </w:rPr>
      </w:pPr>
    </w:p>
    <w:p w14:paraId="7BBC77FA" w14:textId="77777777" w:rsidR="00EF09E4" w:rsidRDefault="00EF09E4" w:rsidP="00EF09E4">
      <w:pPr>
        <w:tabs>
          <w:tab w:val="left" w:pos="0"/>
          <w:tab w:val="right" w:pos="9356"/>
        </w:tabs>
        <w:jc w:val="center"/>
        <w:rPr>
          <w:b/>
          <w:lang w:val="es-ES_tradnl"/>
        </w:rPr>
      </w:pPr>
      <w:r>
        <w:rPr>
          <w:b/>
          <w:lang w:val="es-ES_tradnl"/>
        </w:rPr>
        <w:t>PROYECTO DE RESOLUCIÓN</w:t>
      </w:r>
    </w:p>
    <w:p w14:paraId="0853A237" w14:textId="77777777" w:rsidR="00EF09E4" w:rsidRDefault="00EF09E4" w:rsidP="00EF09E4">
      <w:pPr>
        <w:ind w:right="51"/>
        <w:jc w:val="center"/>
        <w:rPr>
          <w:b/>
        </w:rPr>
      </w:pPr>
    </w:p>
    <w:p w14:paraId="0B82DD25" w14:textId="77777777" w:rsidR="00EF09E4" w:rsidRDefault="00EF09E4" w:rsidP="00EF09E4">
      <w:pPr>
        <w:ind w:right="51"/>
        <w:jc w:val="center"/>
        <w:rPr>
          <w:b/>
        </w:rPr>
      </w:pPr>
    </w:p>
    <w:p w14:paraId="366A7AA8" w14:textId="77777777" w:rsidR="00D91A6F" w:rsidRPr="00D91A6F" w:rsidRDefault="00D91A6F" w:rsidP="00D91A6F">
      <w:pPr>
        <w:jc w:val="center"/>
      </w:pPr>
      <w:r w:rsidRPr="00D91A6F">
        <w:t>Por la cual se hace un ajuste al numeral 1.5 del Anexo 1 de la Resolución CREG 071 de 2006</w:t>
      </w:r>
    </w:p>
    <w:p w14:paraId="2DF04AEF" w14:textId="77777777" w:rsidR="00EF09E4" w:rsidRPr="00C435C3" w:rsidRDefault="00EF09E4" w:rsidP="00EF09E4">
      <w:pPr>
        <w:jc w:val="center"/>
      </w:pPr>
    </w:p>
    <w:p w14:paraId="76778CBC" w14:textId="77777777" w:rsidR="00EF09E4" w:rsidRDefault="00EF09E4" w:rsidP="00EF09E4">
      <w:pPr>
        <w:ind w:right="51"/>
        <w:jc w:val="center"/>
        <w:rPr>
          <w:b/>
        </w:rPr>
      </w:pPr>
    </w:p>
    <w:p w14:paraId="635F074C" w14:textId="77777777" w:rsidR="00EF09E4" w:rsidRDefault="00EF09E4" w:rsidP="00EF09E4">
      <w:pPr>
        <w:ind w:right="51"/>
        <w:jc w:val="center"/>
        <w:rPr>
          <w:b/>
        </w:rPr>
      </w:pPr>
    </w:p>
    <w:p w14:paraId="4FA7EA51" w14:textId="77777777" w:rsidR="00EF09E4" w:rsidRPr="00C435C3" w:rsidRDefault="00EF09E4" w:rsidP="00EF09E4">
      <w:pPr>
        <w:ind w:right="51"/>
        <w:jc w:val="center"/>
        <w:rPr>
          <w:b/>
        </w:rPr>
      </w:pPr>
      <w:r w:rsidRPr="00C435C3">
        <w:rPr>
          <w:b/>
        </w:rPr>
        <w:t>LA COMISIÓN DE REGULACIÓN DE ENERGÍA Y GAS</w:t>
      </w:r>
    </w:p>
    <w:p w14:paraId="77D4FAFE" w14:textId="77777777" w:rsidR="00EF09E4" w:rsidRPr="00C435C3" w:rsidRDefault="00EF09E4" w:rsidP="00EF09E4">
      <w:pPr>
        <w:ind w:right="51"/>
      </w:pPr>
    </w:p>
    <w:p w14:paraId="40ADCCBF" w14:textId="77777777" w:rsidR="00EF09E4" w:rsidRPr="00C435C3" w:rsidRDefault="00EF09E4" w:rsidP="00EF09E4">
      <w:pPr>
        <w:ind w:right="51"/>
      </w:pPr>
    </w:p>
    <w:p w14:paraId="66949992" w14:textId="77777777" w:rsidR="00EF09E4" w:rsidRPr="00C435C3" w:rsidRDefault="00EF09E4" w:rsidP="00EF09E4">
      <w:pPr>
        <w:pStyle w:val="Textoindependiente3"/>
        <w:rPr>
          <w:rFonts w:ascii="Bookman Old Style" w:hAnsi="Bookman Old Style"/>
          <w:b w:val="0"/>
        </w:rPr>
      </w:pPr>
      <w:r w:rsidRPr="00C435C3">
        <w:rPr>
          <w:rFonts w:ascii="Bookman Old Style" w:hAnsi="Bookman Old Style"/>
          <w:b w:val="0"/>
        </w:rPr>
        <w:t xml:space="preserve">En ejercicio de sus atribuciones constitucionales y legales, en especial las conferidas por las </w:t>
      </w:r>
      <w:r w:rsidRPr="00617282">
        <w:rPr>
          <w:rFonts w:ascii="Bookman Old Style" w:hAnsi="Bookman Old Style"/>
          <w:b w:val="0"/>
        </w:rPr>
        <w:t>Leyes 142 y 143 de 1994, y en desarrollo de los Decretos 1524 y 2253 de 1994, y 1260 de 2013, y</w:t>
      </w:r>
    </w:p>
    <w:p w14:paraId="6DD45C3D" w14:textId="77777777" w:rsidR="00E01463" w:rsidRPr="001B7E25" w:rsidRDefault="00E01463" w:rsidP="00976A6A">
      <w:pPr>
        <w:jc w:val="center"/>
        <w:rPr>
          <w:rFonts w:cs="Arial"/>
          <w:szCs w:val="20"/>
        </w:rPr>
      </w:pPr>
    </w:p>
    <w:p w14:paraId="06E38713" w14:textId="77777777" w:rsidR="00E01463" w:rsidRPr="001B7E25" w:rsidRDefault="00E01463" w:rsidP="00976A6A">
      <w:pPr>
        <w:tabs>
          <w:tab w:val="left" w:pos="624"/>
        </w:tabs>
        <w:jc w:val="center"/>
        <w:rPr>
          <w:rFonts w:cs="Arial"/>
          <w:szCs w:val="20"/>
        </w:rPr>
      </w:pPr>
    </w:p>
    <w:p w14:paraId="61C1A191" w14:textId="77777777" w:rsidR="00E01463" w:rsidRPr="001B7E25" w:rsidRDefault="00E01463" w:rsidP="00976A6A">
      <w:pPr>
        <w:jc w:val="center"/>
        <w:rPr>
          <w:rFonts w:cs="Arial"/>
          <w:szCs w:val="20"/>
        </w:rPr>
      </w:pPr>
    </w:p>
    <w:p w14:paraId="5C602452" w14:textId="77777777" w:rsidR="00E01463" w:rsidRPr="001B7E25" w:rsidRDefault="00E01463" w:rsidP="00976A6A">
      <w:pPr>
        <w:pStyle w:val="TableHeading"/>
        <w:suppressLineNumbers w:val="0"/>
        <w:rPr>
          <w:rFonts w:ascii="Bookman Old Style" w:hAnsi="Bookman Old Style" w:cs="Arial"/>
          <w:bCs w:val="0"/>
          <w:sz w:val="24"/>
          <w:szCs w:val="20"/>
        </w:rPr>
      </w:pPr>
      <w:r w:rsidRPr="001B7E25">
        <w:rPr>
          <w:rFonts w:ascii="Bookman Old Style" w:hAnsi="Bookman Old Style" w:cs="Arial"/>
          <w:bCs w:val="0"/>
          <w:sz w:val="24"/>
          <w:szCs w:val="20"/>
        </w:rPr>
        <w:t>C O N S I D E R A N D O  Q U E:</w:t>
      </w:r>
    </w:p>
    <w:p w14:paraId="6F5E4629" w14:textId="77777777" w:rsidR="00E01463" w:rsidRPr="001B7E25" w:rsidRDefault="00E01463" w:rsidP="00F075C1">
      <w:pPr>
        <w:rPr>
          <w:rFonts w:cs="Arial"/>
          <w:szCs w:val="20"/>
        </w:rPr>
      </w:pPr>
    </w:p>
    <w:p w14:paraId="0EB69413" w14:textId="77777777" w:rsidR="00E01463" w:rsidRDefault="00424C7D" w:rsidP="00F075C1">
      <w:pPr>
        <w:rPr>
          <w:rFonts w:cs="Arial"/>
          <w:szCs w:val="20"/>
        </w:rPr>
      </w:pPr>
      <w:r w:rsidRPr="001B7E25">
        <w:rPr>
          <w:rFonts w:cs="Arial"/>
          <w:szCs w:val="20"/>
          <w:lang w:val="es-CO"/>
        </w:rPr>
        <w:t>En el artículo 4 de l</w:t>
      </w:r>
      <w:r w:rsidR="00E01463" w:rsidRPr="001B7E25">
        <w:rPr>
          <w:rFonts w:cs="Arial"/>
          <w:szCs w:val="20"/>
        </w:rPr>
        <w:t xml:space="preserve">a Ley 143 de </w:t>
      </w:r>
      <w:r w:rsidRPr="001B7E25">
        <w:rPr>
          <w:rFonts w:cs="Arial"/>
          <w:szCs w:val="20"/>
        </w:rPr>
        <w:t>1994 se establece que el Estado</w:t>
      </w:r>
      <w:r w:rsidR="00976A6A" w:rsidRPr="001B7E25">
        <w:rPr>
          <w:rFonts w:cs="Arial"/>
          <w:szCs w:val="20"/>
        </w:rPr>
        <w:t>,</w:t>
      </w:r>
      <w:r w:rsidRPr="001B7E25">
        <w:rPr>
          <w:rFonts w:cs="Arial"/>
          <w:szCs w:val="20"/>
        </w:rPr>
        <w:t xml:space="preserve"> </w:t>
      </w:r>
      <w:r w:rsidR="00E01463" w:rsidRPr="001B7E25">
        <w:rPr>
          <w:rFonts w:cs="Arial"/>
          <w:szCs w:val="20"/>
        </w:rPr>
        <w:t>en relación con el servicio de electricidad, tendrá como objetivos</w:t>
      </w:r>
      <w:r w:rsidRPr="001B7E25">
        <w:rPr>
          <w:rFonts w:cs="Arial"/>
          <w:szCs w:val="20"/>
        </w:rPr>
        <w:t>:</w:t>
      </w:r>
      <w:r w:rsidR="00E01463" w:rsidRPr="001B7E25">
        <w:rPr>
          <w:rFonts w:cs="Arial"/>
          <w:szCs w:val="20"/>
        </w:rPr>
        <w:t xml:space="preserve"> abastecer la demanda de electricidad de la comunidad bajo criterios económicos y de viabi</w:t>
      </w:r>
      <w:r w:rsidR="00976A6A" w:rsidRPr="001B7E25">
        <w:rPr>
          <w:rFonts w:cs="Arial"/>
          <w:szCs w:val="20"/>
        </w:rPr>
        <w:t xml:space="preserve">lidad financiera, </w:t>
      </w:r>
      <w:r w:rsidR="00E01463" w:rsidRPr="001B7E25">
        <w:rPr>
          <w:rFonts w:cs="Arial"/>
          <w:szCs w:val="20"/>
        </w:rPr>
        <w:t>asegurar una operación eficiente, segura y confiable en las actividades del sector y mantener los niveles de calidad y seguridad establecidos.</w:t>
      </w:r>
    </w:p>
    <w:p w14:paraId="0D5B5613" w14:textId="77777777" w:rsidR="00623695" w:rsidRPr="001B7E25" w:rsidRDefault="00623695" w:rsidP="00F075C1">
      <w:pPr>
        <w:rPr>
          <w:rFonts w:cs="Arial"/>
          <w:szCs w:val="20"/>
        </w:rPr>
      </w:pPr>
    </w:p>
    <w:p w14:paraId="0401E116" w14:textId="77777777" w:rsidR="00623695" w:rsidRDefault="00623695" w:rsidP="00623695">
      <w:pPr>
        <w:rPr>
          <w:lang w:eastAsia="es-CO"/>
        </w:rPr>
      </w:pPr>
      <w:r>
        <w:rPr>
          <w:rFonts w:cs="Arial"/>
          <w:bCs/>
          <w:szCs w:val="20"/>
        </w:rPr>
        <w:t xml:space="preserve">La Ley 143 de 1994 define el </w:t>
      </w:r>
      <w:r w:rsidR="004A4F00">
        <w:rPr>
          <w:rFonts w:cs="Arial"/>
          <w:bCs/>
          <w:szCs w:val="20"/>
        </w:rPr>
        <w:t xml:space="preserve">Reglamento </w:t>
      </w:r>
      <w:r>
        <w:rPr>
          <w:rFonts w:cs="Arial"/>
          <w:bCs/>
          <w:szCs w:val="20"/>
        </w:rPr>
        <w:t xml:space="preserve">de </w:t>
      </w:r>
      <w:r w:rsidR="004A4F00">
        <w:rPr>
          <w:rFonts w:cs="Arial"/>
          <w:bCs/>
          <w:szCs w:val="20"/>
        </w:rPr>
        <w:t xml:space="preserve">Operación </w:t>
      </w:r>
      <w:r>
        <w:rPr>
          <w:rFonts w:cs="Arial"/>
          <w:bCs/>
          <w:szCs w:val="20"/>
        </w:rPr>
        <w:t>como el</w:t>
      </w:r>
      <w:r w:rsidRPr="00BB60BC">
        <w:rPr>
          <w:i/>
          <w:lang w:eastAsia="es-CO"/>
        </w:rPr>
        <w:t xml:space="preserve"> </w:t>
      </w:r>
      <w:r>
        <w:rPr>
          <w:i/>
          <w:lang w:eastAsia="es-CO"/>
        </w:rPr>
        <w:t>“</w:t>
      </w:r>
      <w:r w:rsidRPr="00BB60BC">
        <w:rPr>
          <w:i/>
          <w:lang w:eastAsia="es-CO"/>
        </w:rPr>
        <w:t>conjunto de principios, criterios y procedimientos establecidos para realizar el planeamiento, la coordinación y la ejecución de la operación del sistema interconectado nacional y para regular el funcionamiento del mercado mayorista de energía eléctrica. El reglamento de operación comprende varios documentos que se organizarán conforme a los temas propios del funcionamiento del s</w:t>
      </w:r>
      <w:r>
        <w:rPr>
          <w:i/>
          <w:lang w:eastAsia="es-CO"/>
        </w:rPr>
        <w:t xml:space="preserve">istema interconectado nacional.”. </w:t>
      </w:r>
    </w:p>
    <w:p w14:paraId="5724B5B9" w14:textId="77777777" w:rsidR="00E01463" w:rsidRPr="001B7E25" w:rsidRDefault="00E01463" w:rsidP="00F075C1">
      <w:pPr>
        <w:rPr>
          <w:rFonts w:cs="Arial"/>
          <w:szCs w:val="20"/>
        </w:rPr>
      </w:pPr>
      <w:r w:rsidRPr="001B7E25">
        <w:rPr>
          <w:rFonts w:cs="Arial"/>
          <w:szCs w:val="20"/>
        </w:rPr>
        <w:br/>
      </w:r>
      <w:r w:rsidR="00424C7D" w:rsidRPr="001B7E25">
        <w:rPr>
          <w:rFonts w:cs="Arial"/>
          <w:szCs w:val="20"/>
        </w:rPr>
        <w:t>En el artículo 20 de l</w:t>
      </w:r>
      <w:r w:rsidRPr="001B7E25">
        <w:rPr>
          <w:rFonts w:cs="Arial"/>
          <w:szCs w:val="20"/>
        </w:rPr>
        <w:t xml:space="preserve">a Ley 143 de 1994 </w:t>
      </w:r>
      <w:r w:rsidR="00424C7D" w:rsidRPr="001B7E25">
        <w:rPr>
          <w:rFonts w:cs="Arial"/>
          <w:szCs w:val="20"/>
        </w:rPr>
        <w:t xml:space="preserve">se </w:t>
      </w:r>
      <w:r w:rsidR="00D808D9">
        <w:rPr>
          <w:rFonts w:cs="Arial"/>
          <w:szCs w:val="20"/>
        </w:rPr>
        <w:t>define</w:t>
      </w:r>
      <w:r w:rsidRPr="001B7E25">
        <w:rPr>
          <w:rFonts w:cs="Arial"/>
          <w:szCs w:val="20"/>
        </w:rPr>
        <w:t xml:space="preserve"> como objetivo fundamental de la </w:t>
      </w:r>
      <w:r w:rsidR="00424C7D" w:rsidRPr="001B7E25">
        <w:rPr>
          <w:rFonts w:cs="Arial"/>
          <w:szCs w:val="20"/>
        </w:rPr>
        <w:t>r</w:t>
      </w:r>
      <w:r w:rsidRPr="001B7E25">
        <w:rPr>
          <w:rFonts w:cs="Arial"/>
          <w:szCs w:val="20"/>
        </w:rPr>
        <w:t xml:space="preserve">egulación en el sector eléctrico, asegurar una adecuada prestación del servicio mediante el aprovechamiento eficiente de los diferentes recursos energéticos, en beneficio del usuario en términos de calidad, oportunidad y costo del servicio. </w:t>
      </w:r>
    </w:p>
    <w:p w14:paraId="365C64E8" w14:textId="77777777" w:rsidR="007E176F" w:rsidRPr="001B7E25" w:rsidRDefault="007E176F" w:rsidP="00F075C1">
      <w:pPr>
        <w:rPr>
          <w:rFonts w:cs="Arial"/>
          <w:szCs w:val="20"/>
        </w:rPr>
      </w:pPr>
    </w:p>
    <w:p w14:paraId="1197E4F0" w14:textId="77777777" w:rsidR="00E01463" w:rsidRPr="001B7E25" w:rsidRDefault="00E01463" w:rsidP="00F075C1">
      <w:pPr>
        <w:rPr>
          <w:rFonts w:cs="Arial"/>
          <w:szCs w:val="20"/>
        </w:rPr>
      </w:pPr>
      <w:r w:rsidRPr="001B7E25">
        <w:rPr>
          <w:rFonts w:cs="Arial"/>
          <w:szCs w:val="20"/>
        </w:rPr>
        <w:t>Para el cumplimiento</w:t>
      </w:r>
      <w:r w:rsidR="00976A6A" w:rsidRPr="001B7E25">
        <w:rPr>
          <w:rFonts w:cs="Arial"/>
          <w:szCs w:val="20"/>
        </w:rPr>
        <w:t xml:space="preserve"> de los objetivos establecidos</w:t>
      </w:r>
      <w:r w:rsidRPr="001B7E25">
        <w:rPr>
          <w:rFonts w:cs="Arial"/>
          <w:szCs w:val="20"/>
        </w:rPr>
        <w:t>, la Ley 143 de 1994</w:t>
      </w:r>
      <w:r w:rsidR="004A4F00">
        <w:rPr>
          <w:rFonts w:cs="Arial"/>
          <w:szCs w:val="20"/>
        </w:rPr>
        <w:t>,</w:t>
      </w:r>
      <w:r w:rsidR="00424C7D" w:rsidRPr="001B7E25">
        <w:rPr>
          <w:rFonts w:cs="Arial"/>
          <w:szCs w:val="20"/>
        </w:rPr>
        <w:t xml:space="preserve"> en</w:t>
      </w:r>
      <w:r w:rsidRPr="001B7E25">
        <w:rPr>
          <w:rFonts w:cs="Arial"/>
          <w:szCs w:val="20"/>
        </w:rPr>
        <w:t xml:space="preserve"> </w:t>
      </w:r>
      <w:r w:rsidR="00424C7D" w:rsidRPr="001B7E25">
        <w:rPr>
          <w:rFonts w:cs="Arial"/>
          <w:szCs w:val="20"/>
        </w:rPr>
        <w:t xml:space="preserve">el </w:t>
      </w:r>
      <w:r w:rsidR="00D808D9">
        <w:rPr>
          <w:rFonts w:cs="Arial"/>
          <w:szCs w:val="20"/>
        </w:rPr>
        <w:t>artículo 23, le atribuye</w:t>
      </w:r>
      <w:r w:rsidRPr="001B7E25">
        <w:rPr>
          <w:rFonts w:cs="Arial"/>
          <w:szCs w:val="20"/>
        </w:rPr>
        <w:t xml:space="preserve"> a la Comisión de Regulación de Energía y Gas</w:t>
      </w:r>
      <w:r w:rsidR="00682803" w:rsidRPr="001B7E25">
        <w:rPr>
          <w:rFonts w:cs="Arial"/>
          <w:szCs w:val="20"/>
        </w:rPr>
        <w:t xml:space="preserve"> CREG</w:t>
      </w:r>
      <w:r w:rsidRPr="001B7E25">
        <w:rPr>
          <w:rFonts w:cs="Arial"/>
          <w:szCs w:val="20"/>
        </w:rPr>
        <w:t>, entre otras, las siguientes funciones:</w:t>
      </w:r>
    </w:p>
    <w:p w14:paraId="0B3677B3" w14:textId="77777777" w:rsidR="00976A6A" w:rsidRPr="001B7E25" w:rsidRDefault="00976A6A" w:rsidP="00976A6A">
      <w:pPr>
        <w:pStyle w:val="Sangradetextonormal"/>
        <w:spacing w:after="0"/>
        <w:ind w:left="0"/>
      </w:pPr>
    </w:p>
    <w:p w14:paraId="439ABD75" w14:textId="77777777" w:rsidR="00976A6A" w:rsidRPr="001B7E25" w:rsidRDefault="00E01463" w:rsidP="00CC2CEA">
      <w:pPr>
        <w:pStyle w:val="Sangradetextonormal"/>
        <w:numPr>
          <w:ilvl w:val="0"/>
          <w:numId w:val="9"/>
        </w:numPr>
        <w:spacing w:after="0"/>
        <w:ind w:left="708"/>
        <w:rPr>
          <w:rFonts w:cs="Arial"/>
          <w:szCs w:val="20"/>
        </w:rPr>
      </w:pPr>
      <w:r w:rsidRPr="001B7E25">
        <w:t>Crear las condiciones para asegurar la disponibilidad de una oferta energética eficiente capaz de abastecer la demanda bajo criterios sociales, económicos, ambientales y de viabilidad financiera, promover y preservar la competencia</w:t>
      </w:r>
      <w:r w:rsidR="008F6A2E">
        <w:t>.</w:t>
      </w:r>
    </w:p>
    <w:p w14:paraId="22630A85" w14:textId="77777777" w:rsidR="00976A6A" w:rsidRPr="001B7E25" w:rsidRDefault="00976A6A" w:rsidP="00CC2CEA">
      <w:pPr>
        <w:pStyle w:val="Sangradetextonormal"/>
        <w:numPr>
          <w:ilvl w:val="0"/>
          <w:numId w:val="9"/>
        </w:numPr>
        <w:spacing w:after="0"/>
        <w:ind w:left="708"/>
        <w:rPr>
          <w:rFonts w:cs="Arial"/>
          <w:szCs w:val="20"/>
        </w:rPr>
      </w:pPr>
      <w:r w:rsidRPr="001B7E25">
        <w:t>V</w:t>
      </w:r>
      <w:r w:rsidR="00E01463" w:rsidRPr="001B7E25">
        <w:rPr>
          <w:rFonts w:cs="Arial"/>
          <w:szCs w:val="20"/>
        </w:rPr>
        <w:t>alorar la capacidad de generación de respaldo de la oferta eficiente.</w:t>
      </w:r>
    </w:p>
    <w:p w14:paraId="4C976210" w14:textId="77777777" w:rsidR="00976A6A" w:rsidRPr="001B7E25" w:rsidRDefault="00E01463" w:rsidP="00CC2CEA">
      <w:pPr>
        <w:pStyle w:val="Sangradetextonormal"/>
        <w:numPr>
          <w:ilvl w:val="0"/>
          <w:numId w:val="9"/>
        </w:numPr>
        <w:spacing w:after="0"/>
        <w:ind w:left="708"/>
        <w:rPr>
          <w:rFonts w:cs="Arial"/>
          <w:szCs w:val="20"/>
        </w:rPr>
      </w:pPr>
      <w:r w:rsidRPr="001B7E25">
        <w:rPr>
          <w:rFonts w:cs="Arial"/>
          <w:szCs w:val="20"/>
        </w:rPr>
        <w:t>Definir y hacer operativos los criterios técnicos de calidad, confiabilidad y seguridad del servicio de energía.</w:t>
      </w:r>
    </w:p>
    <w:p w14:paraId="6699E02B" w14:textId="77777777" w:rsidR="00E01463" w:rsidRDefault="00E01463" w:rsidP="00CC2CEA">
      <w:pPr>
        <w:pStyle w:val="Sangradetextonormal"/>
        <w:numPr>
          <w:ilvl w:val="0"/>
          <w:numId w:val="9"/>
        </w:numPr>
        <w:spacing w:after="0"/>
        <w:ind w:left="708"/>
        <w:rPr>
          <w:rFonts w:cs="Arial"/>
          <w:szCs w:val="20"/>
        </w:rPr>
      </w:pPr>
      <w:r w:rsidRPr="001B7E25">
        <w:rPr>
          <w:rFonts w:cs="Arial"/>
          <w:szCs w:val="20"/>
        </w:rPr>
        <w:lastRenderedPageBreak/>
        <w:t xml:space="preserve">Determinar las condiciones para la liberación gradual del mercado hacia la libre competencia. </w:t>
      </w:r>
    </w:p>
    <w:p w14:paraId="3839C217" w14:textId="77777777" w:rsidR="00D808D9" w:rsidRPr="001B7E25" w:rsidRDefault="00D808D9" w:rsidP="00CC2CEA">
      <w:pPr>
        <w:pStyle w:val="Sangradetextonormal"/>
        <w:numPr>
          <w:ilvl w:val="0"/>
          <w:numId w:val="9"/>
        </w:numPr>
        <w:spacing w:after="0"/>
        <w:ind w:left="708"/>
        <w:rPr>
          <w:rFonts w:cs="Arial"/>
          <w:szCs w:val="20"/>
        </w:rPr>
      </w:pPr>
      <w:r>
        <w:rPr>
          <w:rFonts w:cs="Arial"/>
          <w:szCs w:val="20"/>
        </w:rPr>
        <w:t>Establecer el reglamento de operación.</w:t>
      </w:r>
    </w:p>
    <w:p w14:paraId="1AD7B87C" w14:textId="77777777" w:rsidR="00716455" w:rsidRDefault="00716455" w:rsidP="00716455">
      <w:pPr>
        <w:pStyle w:val="Sangradetextonormal"/>
        <w:spacing w:after="0"/>
        <w:ind w:left="0"/>
        <w:rPr>
          <w:rFonts w:cs="Arial"/>
          <w:szCs w:val="20"/>
        </w:rPr>
      </w:pPr>
    </w:p>
    <w:p w14:paraId="60CD3580" w14:textId="5FA5BD6E" w:rsidR="00716455" w:rsidRPr="00716455" w:rsidRDefault="00716455" w:rsidP="00716455">
      <w:pPr>
        <w:rPr>
          <w:rFonts w:cs="Arial"/>
          <w:szCs w:val="20"/>
        </w:rPr>
      </w:pPr>
      <w:r>
        <w:rPr>
          <w:lang w:eastAsia="es-CO"/>
        </w:rPr>
        <w:t xml:space="preserve">El </w:t>
      </w:r>
      <w:r w:rsidR="0086381B">
        <w:rPr>
          <w:lang w:eastAsia="es-CO"/>
        </w:rPr>
        <w:t>a</w:t>
      </w:r>
      <w:r w:rsidR="004A4F00">
        <w:rPr>
          <w:lang w:eastAsia="es-CO"/>
        </w:rPr>
        <w:t xml:space="preserve">rtículo </w:t>
      </w:r>
      <w:r>
        <w:rPr>
          <w:lang w:eastAsia="es-CO"/>
        </w:rPr>
        <w:t xml:space="preserve">25 de la misma </w:t>
      </w:r>
      <w:r w:rsidR="008A4BF5">
        <w:rPr>
          <w:lang w:eastAsia="es-CO"/>
        </w:rPr>
        <w:t>L</w:t>
      </w:r>
      <w:r w:rsidR="004A4F00">
        <w:rPr>
          <w:lang w:eastAsia="es-CO"/>
        </w:rPr>
        <w:t xml:space="preserve">ey </w:t>
      </w:r>
      <w:r>
        <w:rPr>
          <w:lang w:eastAsia="es-CO"/>
        </w:rPr>
        <w:t xml:space="preserve">señala que todos los agentes económicos que hagan parte del </w:t>
      </w:r>
      <w:r w:rsidR="004A4F00">
        <w:rPr>
          <w:lang w:eastAsia="es-CO"/>
        </w:rPr>
        <w:t>Sistema I</w:t>
      </w:r>
      <w:r w:rsidR="004A4F00" w:rsidRPr="00716455">
        <w:rPr>
          <w:lang w:eastAsia="es-CO"/>
        </w:rPr>
        <w:t xml:space="preserve">nterconectado </w:t>
      </w:r>
      <w:r w:rsidR="004A4F00">
        <w:rPr>
          <w:lang w:eastAsia="es-CO"/>
        </w:rPr>
        <w:t>N</w:t>
      </w:r>
      <w:r w:rsidR="004A4F00" w:rsidRPr="00716455">
        <w:rPr>
          <w:lang w:eastAsia="es-CO"/>
        </w:rPr>
        <w:t>acional</w:t>
      </w:r>
      <w:r w:rsidR="004A4F00">
        <w:rPr>
          <w:lang w:eastAsia="es-CO"/>
        </w:rPr>
        <w:t xml:space="preserve"> </w:t>
      </w:r>
      <w:r>
        <w:rPr>
          <w:lang w:eastAsia="es-CO"/>
        </w:rPr>
        <w:t xml:space="preserve">deben cumplir el </w:t>
      </w:r>
      <w:r w:rsidR="004A4F00">
        <w:rPr>
          <w:lang w:eastAsia="es-CO"/>
        </w:rPr>
        <w:t xml:space="preserve">Reglamento </w:t>
      </w:r>
      <w:r>
        <w:rPr>
          <w:lang w:eastAsia="es-CO"/>
        </w:rPr>
        <w:t xml:space="preserve">de </w:t>
      </w:r>
      <w:r w:rsidR="004A4F00">
        <w:rPr>
          <w:lang w:eastAsia="es-CO"/>
        </w:rPr>
        <w:t xml:space="preserve">Operación. </w:t>
      </w:r>
    </w:p>
    <w:p w14:paraId="3B8A6224" w14:textId="77777777" w:rsidR="00716455" w:rsidRDefault="00716455" w:rsidP="0072683F">
      <w:pPr>
        <w:pStyle w:val="Sangradetextonormal"/>
        <w:spacing w:after="0"/>
        <w:ind w:left="0"/>
        <w:rPr>
          <w:rFonts w:cs="Arial"/>
          <w:bCs/>
          <w:szCs w:val="20"/>
        </w:rPr>
      </w:pPr>
    </w:p>
    <w:p w14:paraId="46E3D578" w14:textId="77777777" w:rsidR="008B2471" w:rsidRDefault="00617282" w:rsidP="0072683F">
      <w:pPr>
        <w:pStyle w:val="Sangradetextonormal"/>
        <w:spacing w:after="0"/>
        <w:ind w:left="0"/>
        <w:rPr>
          <w:rFonts w:cs="Arial"/>
          <w:bCs/>
          <w:szCs w:val="20"/>
        </w:rPr>
      </w:pPr>
      <w:r w:rsidRPr="00617282">
        <w:rPr>
          <w:rFonts w:cs="Arial"/>
          <w:bCs/>
          <w:szCs w:val="20"/>
        </w:rPr>
        <w:t xml:space="preserve">El </w:t>
      </w:r>
      <w:r w:rsidR="0086381B">
        <w:rPr>
          <w:rFonts w:cs="Arial"/>
          <w:bCs/>
          <w:szCs w:val="20"/>
        </w:rPr>
        <w:t>a</w:t>
      </w:r>
      <w:r w:rsidR="004A4F00" w:rsidRPr="00617282">
        <w:rPr>
          <w:rFonts w:cs="Arial"/>
          <w:bCs/>
          <w:szCs w:val="20"/>
        </w:rPr>
        <w:t xml:space="preserve">rtículo </w:t>
      </w:r>
      <w:r w:rsidRPr="00617282">
        <w:rPr>
          <w:rFonts w:cs="Arial"/>
          <w:bCs/>
          <w:szCs w:val="20"/>
        </w:rPr>
        <w:t>85</w:t>
      </w:r>
      <w:r>
        <w:rPr>
          <w:rFonts w:cs="Arial"/>
          <w:bCs/>
          <w:szCs w:val="20"/>
        </w:rPr>
        <w:t xml:space="preserve"> </w:t>
      </w:r>
      <w:r w:rsidR="00716455">
        <w:rPr>
          <w:rFonts w:cs="Arial"/>
          <w:bCs/>
          <w:szCs w:val="20"/>
        </w:rPr>
        <w:t xml:space="preserve">siguiente, </w:t>
      </w:r>
      <w:r>
        <w:rPr>
          <w:rFonts w:cs="Arial"/>
          <w:bCs/>
          <w:szCs w:val="20"/>
        </w:rPr>
        <w:t>establece que “</w:t>
      </w:r>
      <w:r w:rsidRPr="00617282">
        <w:rPr>
          <w:rFonts w:cs="Arial"/>
          <w:bCs/>
          <w:i/>
          <w:szCs w:val="20"/>
        </w:rPr>
        <w:t>Las decisiones de inversión en generación, interconexión, transmisión y distribución de energía eléctrica, constituyen responsabilidad de aquéllos que las acometan, quienes asumen en su integridad los riesgos inherentes a la ejecución y explotación de los proyectos.</w:t>
      </w:r>
      <w:r>
        <w:rPr>
          <w:rFonts w:cs="Arial"/>
          <w:bCs/>
          <w:i/>
          <w:szCs w:val="20"/>
        </w:rPr>
        <w:t>”</w:t>
      </w:r>
      <w:r w:rsidRPr="00617282">
        <w:rPr>
          <w:rFonts w:cs="Arial"/>
          <w:bCs/>
          <w:szCs w:val="20"/>
        </w:rPr>
        <w:t xml:space="preserve">  </w:t>
      </w:r>
    </w:p>
    <w:p w14:paraId="2D8146FE" w14:textId="77777777" w:rsidR="00C8268F" w:rsidRDefault="00C8268F" w:rsidP="0072683F">
      <w:pPr>
        <w:pStyle w:val="Sangradetextonormal"/>
        <w:spacing w:after="0"/>
        <w:ind w:left="0"/>
        <w:rPr>
          <w:rFonts w:cs="Arial"/>
          <w:bCs/>
          <w:szCs w:val="20"/>
        </w:rPr>
      </w:pPr>
    </w:p>
    <w:p w14:paraId="538D556A" w14:textId="77777777" w:rsidR="00E01463" w:rsidRPr="001B7E25" w:rsidRDefault="00E01463" w:rsidP="00F075C1">
      <w:pPr>
        <w:rPr>
          <w:rFonts w:cs="Arial"/>
          <w:szCs w:val="20"/>
        </w:rPr>
      </w:pPr>
      <w:r w:rsidRPr="001B7E25">
        <w:rPr>
          <w:rFonts w:cs="Arial"/>
          <w:szCs w:val="20"/>
        </w:rPr>
        <w:t>De acuerdo con lo establecido en el lite</w:t>
      </w:r>
      <w:r w:rsidR="00682803" w:rsidRPr="001B7E25">
        <w:rPr>
          <w:rFonts w:cs="Arial"/>
          <w:szCs w:val="20"/>
        </w:rPr>
        <w:t xml:space="preserve">ral c) del </w:t>
      </w:r>
      <w:r w:rsidR="0086381B">
        <w:rPr>
          <w:rFonts w:cs="Arial"/>
          <w:szCs w:val="20"/>
        </w:rPr>
        <w:t>a</w:t>
      </w:r>
      <w:r w:rsidR="004A4F00" w:rsidRPr="001B7E25">
        <w:rPr>
          <w:rFonts w:cs="Arial"/>
          <w:szCs w:val="20"/>
        </w:rPr>
        <w:t xml:space="preserve">rtículo </w:t>
      </w:r>
      <w:r w:rsidR="00682803" w:rsidRPr="001B7E25">
        <w:rPr>
          <w:rFonts w:cs="Arial"/>
          <w:szCs w:val="20"/>
        </w:rPr>
        <w:t>74.1 de la L</w:t>
      </w:r>
      <w:r w:rsidRPr="001B7E25">
        <w:rPr>
          <w:rFonts w:cs="Arial"/>
          <w:szCs w:val="20"/>
        </w:rPr>
        <w:t xml:space="preserve">ey 142 de 1994, le corresponde a la CREG establecer el Reglamento de Operación, para regular el funcionamiento del Mercado </w:t>
      </w:r>
      <w:r w:rsidR="00682803" w:rsidRPr="001B7E25">
        <w:rPr>
          <w:rFonts w:cs="Arial"/>
          <w:szCs w:val="20"/>
        </w:rPr>
        <w:t xml:space="preserve">de Energía </w:t>
      </w:r>
      <w:r w:rsidRPr="001B7E25">
        <w:rPr>
          <w:rFonts w:cs="Arial"/>
          <w:szCs w:val="20"/>
        </w:rPr>
        <w:t>Mayorista.</w:t>
      </w:r>
    </w:p>
    <w:p w14:paraId="7012A6DC" w14:textId="77777777" w:rsidR="00E01463" w:rsidRPr="001B7E25" w:rsidRDefault="00E01463" w:rsidP="00F075C1">
      <w:pPr>
        <w:rPr>
          <w:rFonts w:cs="Arial"/>
          <w:szCs w:val="20"/>
        </w:rPr>
      </w:pPr>
    </w:p>
    <w:p w14:paraId="16984095" w14:textId="65A56A2E" w:rsidR="00E01463" w:rsidRDefault="00E5049F" w:rsidP="00F075C1">
      <w:pPr>
        <w:pStyle w:val="Vietaletra"/>
        <w:numPr>
          <w:ilvl w:val="0"/>
          <w:numId w:val="0"/>
        </w:numPr>
        <w:suppressAutoHyphens w:val="0"/>
        <w:overflowPunct/>
        <w:autoSpaceDE/>
        <w:textAlignment w:val="auto"/>
        <w:rPr>
          <w:rFonts w:ascii="Bookman Old Style" w:hAnsi="Bookman Old Style" w:cs="Arial"/>
          <w:bCs/>
          <w:lang w:val="es-CO" w:eastAsia="es-ES"/>
        </w:rPr>
      </w:pPr>
      <w:r>
        <w:rPr>
          <w:rFonts w:ascii="Bookman Old Style" w:hAnsi="Bookman Old Style" w:cs="Arial"/>
          <w:bCs/>
          <w:lang w:val="es-CO" w:eastAsia="es-ES"/>
        </w:rPr>
        <w:t>En este contexto legal, l</w:t>
      </w:r>
      <w:r w:rsidR="00E01463" w:rsidRPr="001B7E25">
        <w:rPr>
          <w:rFonts w:ascii="Bookman Old Style" w:hAnsi="Bookman Old Style" w:cs="Arial"/>
          <w:bCs/>
          <w:lang w:val="es-CO" w:eastAsia="es-ES"/>
        </w:rPr>
        <w:t>a CREG</w:t>
      </w:r>
      <w:r w:rsidR="004A4F00">
        <w:rPr>
          <w:rFonts w:ascii="Bookman Old Style" w:hAnsi="Bookman Old Style" w:cs="Arial"/>
          <w:bCs/>
          <w:lang w:val="es-CO" w:eastAsia="es-ES"/>
        </w:rPr>
        <w:t>,</w:t>
      </w:r>
      <w:r w:rsidR="00E01463" w:rsidRPr="001B7E25">
        <w:rPr>
          <w:rFonts w:ascii="Bookman Old Style" w:hAnsi="Bookman Old Style" w:cs="Arial"/>
          <w:bCs/>
          <w:lang w:val="es-CO" w:eastAsia="es-ES"/>
        </w:rPr>
        <w:t xml:space="preserve"> mediante Resolución CREG 071 de 2006, adoptó la metodología para la remuneración del Cargo por Confiabilidad, con el fin de garantizar la confiabilidad del servicio de energía eléctrica en el Sistema Interconectado Nacional.</w:t>
      </w:r>
      <w:r w:rsidR="008A4BF5">
        <w:rPr>
          <w:rFonts w:ascii="Bookman Old Style" w:hAnsi="Bookman Old Style" w:cs="Arial"/>
          <w:bCs/>
          <w:lang w:val="es-CO" w:eastAsia="es-ES"/>
        </w:rPr>
        <w:t xml:space="preserve"> </w:t>
      </w:r>
      <w:r w:rsidR="000559F0">
        <w:rPr>
          <w:rFonts w:ascii="Bookman Old Style" w:hAnsi="Bookman Old Style" w:cs="Arial"/>
          <w:bCs/>
          <w:lang w:val="es-CO" w:eastAsia="es-ES"/>
        </w:rPr>
        <w:t xml:space="preserve">Este esquema se fundamenta en lo señalado en el </w:t>
      </w:r>
      <w:r w:rsidR="0086381B">
        <w:rPr>
          <w:rFonts w:ascii="Bookman Old Style" w:hAnsi="Bookman Old Style" w:cs="Arial"/>
          <w:bCs/>
          <w:lang w:val="es-CO" w:eastAsia="es-ES"/>
        </w:rPr>
        <w:t>a</w:t>
      </w:r>
      <w:r w:rsidR="004A4F00">
        <w:rPr>
          <w:rFonts w:ascii="Bookman Old Style" w:hAnsi="Bookman Old Style" w:cs="Arial"/>
          <w:bCs/>
          <w:lang w:val="es-CO" w:eastAsia="es-ES"/>
        </w:rPr>
        <w:t xml:space="preserve">rtículo </w:t>
      </w:r>
      <w:r w:rsidR="000559F0">
        <w:rPr>
          <w:rFonts w:ascii="Bookman Old Style" w:hAnsi="Bookman Old Style" w:cs="Arial"/>
          <w:bCs/>
          <w:lang w:val="es-CO" w:eastAsia="es-ES"/>
        </w:rPr>
        <w:t xml:space="preserve">85 de la Ley 143 de 1994, antes mencionado, y busca asegurar la prestación del servicio mediante la definición de incentivos que </w:t>
      </w:r>
      <w:r w:rsidR="00D93848">
        <w:rPr>
          <w:rFonts w:ascii="Bookman Old Style" w:hAnsi="Bookman Old Style" w:cs="Arial"/>
          <w:bCs/>
          <w:lang w:val="es-CO" w:eastAsia="es-ES"/>
        </w:rPr>
        <w:t>estimulen la entrada de nueva generación</w:t>
      </w:r>
      <w:r w:rsidR="004A4F00">
        <w:rPr>
          <w:rFonts w:ascii="Bookman Old Style" w:hAnsi="Bookman Old Style" w:cs="Arial"/>
          <w:bCs/>
          <w:lang w:val="es-CO" w:eastAsia="es-ES"/>
        </w:rPr>
        <w:t>,</w:t>
      </w:r>
      <w:r w:rsidR="00D93848">
        <w:rPr>
          <w:rFonts w:ascii="Bookman Old Style" w:hAnsi="Bookman Old Style" w:cs="Arial"/>
          <w:bCs/>
          <w:lang w:val="es-CO" w:eastAsia="es-ES"/>
        </w:rPr>
        <w:t xml:space="preserve"> cuando se evidencie que ello es necesario para cubrir la demanda proyectada para un determinado período.</w:t>
      </w:r>
    </w:p>
    <w:p w14:paraId="69F254F1" w14:textId="77777777" w:rsidR="00345616" w:rsidRDefault="00345616" w:rsidP="00345616">
      <w:pPr>
        <w:rPr>
          <w:lang w:val="es-CO"/>
        </w:rPr>
      </w:pPr>
    </w:p>
    <w:p w14:paraId="10B17FF7" w14:textId="2FE30EB9" w:rsidR="00345616" w:rsidRDefault="00703BAA" w:rsidP="00345616">
      <w:pPr>
        <w:rPr>
          <w:lang w:val="es-CO"/>
        </w:rPr>
      </w:pPr>
      <w:r>
        <w:rPr>
          <w:lang w:val="es-CO"/>
        </w:rPr>
        <w:t>Justamente</w:t>
      </w:r>
      <w:r w:rsidR="004A4F00">
        <w:rPr>
          <w:lang w:val="es-CO"/>
        </w:rPr>
        <w:t>,</w:t>
      </w:r>
      <w:r>
        <w:rPr>
          <w:lang w:val="es-CO"/>
        </w:rPr>
        <w:t xml:space="preserve"> con el objetivo de asegurar la entrada de la nueva generación</w:t>
      </w:r>
      <w:r w:rsidR="003D4E6C">
        <w:rPr>
          <w:lang w:val="es-CO"/>
        </w:rPr>
        <w:t xml:space="preserve"> que </w:t>
      </w:r>
      <w:r w:rsidR="0086381B">
        <w:rPr>
          <w:lang w:val="es-CO"/>
        </w:rPr>
        <w:t>disponga</w:t>
      </w:r>
      <w:r w:rsidR="003D4E6C">
        <w:rPr>
          <w:lang w:val="es-CO"/>
        </w:rPr>
        <w:t xml:space="preserve"> </w:t>
      </w:r>
      <w:r w:rsidR="0086381B">
        <w:rPr>
          <w:lang w:val="es-CO"/>
        </w:rPr>
        <w:t xml:space="preserve">de </w:t>
      </w:r>
      <w:r w:rsidR="003D4E6C">
        <w:rPr>
          <w:lang w:val="es-CO"/>
        </w:rPr>
        <w:t>energía firme</w:t>
      </w:r>
      <w:r>
        <w:rPr>
          <w:lang w:val="es-CO"/>
        </w:rPr>
        <w:t xml:space="preserve"> para atender la demanda cuando se haya identificado</w:t>
      </w:r>
      <w:r w:rsidR="004A4F00">
        <w:rPr>
          <w:lang w:val="es-CO"/>
        </w:rPr>
        <w:t xml:space="preserve"> </w:t>
      </w:r>
      <w:r w:rsidR="0086381B">
        <w:rPr>
          <w:lang w:val="es-CO"/>
        </w:rPr>
        <w:t>la</w:t>
      </w:r>
      <w:r w:rsidR="004A4F00">
        <w:rPr>
          <w:lang w:val="es-CO"/>
        </w:rPr>
        <w:t xml:space="preserve"> necesidad</w:t>
      </w:r>
      <w:r w:rsidR="0086381B">
        <w:rPr>
          <w:lang w:val="es-CO"/>
        </w:rPr>
        <w:t xml:space="preserve"> de dicha energía</w:t>
      </w:r>
      <w:r w:rsidR="004A4F00">
        <w:rPr>
          <w:lang w:val="es-CO"/>
        </w:rPr>
        <w:t>,</w:t>
      </w:r>
      <w:r>
        <w:rPr>
          <w:lang w:val="es-CO"/>
        </w:rPr>
        <w:t xml:space="preserve"> </w:t>
      </w:r>
      <w:r w:rsidR="00345616">
        <w:rPr>
          <w:lang w:val="es-CO"/>
        </w:rPr>
        <w:t xml:space="preserve">la Resolución CREG 071 de 2006 </w:t>
      </w:r>
      <w:r>
        <w:rPr>
          <w:lang w:val="es-CO"/>
        </w:rPr>
        <w:t xml:space="preserve">establece </w:t>
      </w:r>
      <w:r w:rsidR="00345616">
        <w:rPr>
          <w:lang w:val="es-CO"/>
        </w:rPr>
        <w:t xml:space="preserve">la obligación </w:t>
      </w:r>
      <w:r w:rsidR="00895FBA">
        <w:rPr>
          <w:lang w:val="es-CO"/>
        </w:rPr>
        <w:t xml:space="preserve">de </w:t>
      </w:r>
      <w:r w:rsidR="00345616">
        <w:rPr>
          <w:lang w:val="es-CO"/>
        </w:rPr>
        <w:t xml:space="preserve">realizar </w:t>
      </w:r>
      <w:r w:rsidR="000559F0">
        <w:rPr>
          <w:lang w:val="es-CO"/>
        </w:rPr>
        <w:t>auditorías</w:t>
      </w:r>
      <w:r w:rsidR="0086381B">
        <w:rPr>
          <w:lang w:val="es-CO"/>
        </w:rPr>
        <w:t xml:space="preserve"> a las plantas nuevas, </w:t>
      </w:r>
      <w:r w:rsidR="00345616">
        <w:rPr>
          <w:lang w:val="es-CO"/>
        </w:rPr>
        <w:t>especiales</w:t>
      </w:r>
      <w:r w:rsidR="0086381B">
        <w:rPr>
          <w:lang w:val="es-CO"/>
        </w:rPr>
        <w:t xml:space="preserve"> o existentes con obras</w:t>
      </w:r>
      <w:r w:rsidR="00345616">
        <w:rPr>
          <w:lang w:val="es-CO"/>
        </w:rPr>
        <w:t xml:space="preserve"> que participen en </w:t>
      </w:r>
      <w:r w:rsidR="0086381B">
        <w:rPr>
          <w:lang w:val="es-CO"/>
        </w:rPr>
        <w:t>los mecanismos de asignación</w:t>
      </w:r>
      <w:r w:rsidR="00345616">
        <w:rPr>
          <w:lang w:val="es-CO"/>
        </w:rPr>
        <w:t xml:space="preserve"> y obtengan O</w:t>
      </w:r>
      <w:r w:rsidR="004A4F00">
        <w:rPr>
          <w:lang w:val="es-CO"/>
        </w:rPr>
        <w:t xml:space="preserve">bligaciones de </w:t>
      </w:r>
      <w:r w:rsidR="00345616">
        <w:rPr>
          <w:lang w:val="es-CO"/>
        </w:rPr>
        <w:t>E</w:t>
      </w:r>
      <w:r w:rsidR="004A4F00">
        <w:rPr>
          <w:lang w:val="es-CO"/>
        </w:rPr>
        <w:t xml:space="preserve">nergía </w:t>
      </w:r>
      <w:r w:rsidR="00345616">
        <w:rPr>
          <w:lang w:val="es-CO"/>
        </w:rPr>
        <w:t>F</w:t>
      </w:r>
      <w:r w:rsidR="004A4F00">
        <w:rPr>
          <w:lang w:val="es-CO"/>
        </w:rPr>
        <w:t>irme –</w:t>
      </w:r>
      <w:r w:rsidR="008A4BF5">
        <w:rPr>
          <w:lang w:val="es-CO"/>
        </w:rPr>
        <w:t xml:space="preserve"> </w:t>
      </w:r>
      <w:r w:rsidR="004A4F00">
        <w:rPr>
          <w:lang w:val="es-CO"/>
        </w:rPr>
        <w:t>OEF</w:t>
      </w:r>
      <w:r w:rsidR="00345616">
        <w:rPr>
          <w:lang w:val="es-CO"/>
        </w:rPr>
        <w:t xml:space="preserve">. </w:t>
      </w:r>
      <w:r w:rsidR="00CB091A">
        <w:rPr>
          <w:lang w:val="es-CO"/>
        </w:rPr>
        <w:t xml:space="preserve"> Al respecto</w:t>
      </w:r>
      <w:r w:rsidR="004A4F00">
        <w:rPr>
          <w:lang w:val="es-CO"/>
        </w:rPr>
        <w:t>,</w:t>
      </w:r>
      <w:r w:rsidR="00CB091A">
        <w:rPr>
          <w:lang w:val="es-CO"/>
        </w:rPr>
        <w:t xml:space="preserve"> señala el artículo</w:t>
      </w:r>
      <w:r w:rsidR="004A4F00">
        <w:rPr>
          <w:lang w:val="es-CO"/>
        </w:rPr>
        <w:t xml:space="preserve"> </w:t>
      </w:r>
      <w:r w:rsidR="00CB091A">
        <w:rPr>
          <w:lang w:val="es-CO"/>
        </w:rPr>
        <w:t xml:space="preserve">8 de la </w:t>
      </w:r>
      <w:r w:rsidR="0086381B">
        <w:rPr>
          <w:lang w:val="es-CO"/>
        </w:rPr>
        <w:t xml:space="preserve">mencionada </w:t>
      </w:r>
      <w:r w:rsidR="00CB091A">
        <w:rPr>
          <w:lang w:val="es-CO"/>
        </w:rPr>
        <w:t xml:space="preserve">resolución: </w:t>
      </w:r>
    </w:p>
    <w:p w14:paraId="0486D51D" w14:textId="77777777" w:rsidR="00CB091A" w:rsidRDefault="00CB091A" w:rsidP="00CB091A">
      <w:pPr>
        <w:ind w:left="708"/>
        <w:rPr>
          <w:i/>
          <w:lang w:val="es-CO"/>
        </w:rPr>
      </w:pPr>
    </w:p>
    <w:p w14:paraId="43AA7DB8" w14:textId="77777777" w:rsidR="00CB091A" w:rsidRPr="0086381B" w:rsidRDefault="004A4F00" w:rsidP="00BE7722">
      <w:pPr>
        <w:ind w:left="708"/>
        <w:rPr>
          <w:lang w:val="es-CO"/>
        </w:rPr>
      </w:pPr>
      <w:r>
        <w:rPr>
          <w:i/>
          <w:lang w:val="es-CO"/>
        </w:rPr>
        <w:t>“</w:t>
      </w:r>
      <w:r w:rsidR="00CB091A" w:rsidRPr="00CB091A">
        <w:rPr>
          <w:i/>
          <w:lang w:val="es-CO"/>
        </w:rPr>
        <w:t xml:space="preserve">La obligación de cumplir con la Curva S, con el cronograma de construcción o repotenciación de la planta o unidad de generación y </w:t>
      </w:r>
      <w:r w:rsidR="00CB091A" w:rsidRPr="0086381B">
        <w:rPr>
          <w:i/>
          <w:u w:val="single"/>
          <w:lang w:val="es-CO"/>
        </w:rPr>
        <w:t>con la puesta en operación de la misma,</w:t>
      </w:r>
      <w:r w:rsidR="00CB091A" w:rsidRPr="00CB091A">
        <w:rPr>
          <w:i/>
          <w:lang w:val="es-CO"/>
        </w:rPr>
        <w:t xml:space="preserve"> será objeto de verificación mediante una auditoría</w:t>
      </w:r>
      <w:r w:rsidR="00BE7722">
        <w:rPr>
          <w:i/>
          <w:lang w:val="es-CO"/>
        </w:rPr>
        <w:t xml:space="preserve"> </w:t>
      </w:r>
      <w:r w:rsidR="00BE7722" w:rsidRPr="00BE7722">
        <w:rPr>
          <w:i/>
          <w:lang w:val="es-CO"/>
        </w:rPr>
        <w:t>que deberá ser contratada por el Administrador de la Subasta de acuerdo con las disposiciones contenidas en el numeral 1.5 del Anexo 1 de esta resolución</w:t>
      </w:r>
      <w:r>
        <w:rPr>
          <w:i/>
          <w:lang w:val="es-CO"/>
        </w:rPr>
        <w:t>”.</w:t>
      </w:r>
      <w:r w:rsidR="0086381B">
        <w:rPr>
          <w:i/>
          <w:lang w:val="es-CO"/>
        </w:rPr>
        <w:t xml:space="preserve"> (</w:t>
      </w:r>
      <w:r w:rsidR="0086381B">
        <w:rPr>
          <w:lang w:val="es-CO"/>
        </w:rPr>
        <w:t>Subrayado fuera de texto)</w:t>
      </w:r>
    </w:p>
    <w:p w14:paraId="7EA5E0EB" w14:textId="77777777" w:rsidR="007C609D" w:rsidRDefault="007C609D" w:rsidP="00F075C1">
      <w:pPr>
        <w:rPr>
          <w:rFonts w:cs="Arial"/>
          <w:bCs/>
          <w:lang w:val="es-CO"/>
        </w:rPr>
      </w:pPr>
    </w:p>
    <w:p w14:paraId="164F5CEC" w14:textId="77777777" w:rsidR="007C609D" w:rsidRPr="0086381B" w:rsidRDefault="007C609D" w:rsidP="007C609D">
      <w:pPr>
        <w:rPr>
          <w:rFonts w:cs="Arial"/>
          <w:bCs/>
        </w:rPr>
      </w:pPr>
      <w:r w:rsidRPr="0086381B">
        <w:rPr>
          <w:rFonts w:cs="Arial"/>
          <w:bCs/>
        </w:rPr>
        <w:t>Entendiendo que el objetivo de la auditoría de construcción es verificar el estado de avance del proyecto y su puesta en operación con respecto a la fecha de inicio del periodo de vigencia de la obligación, la auditoría contempla toda la informaci</w:t>
      </w:r>
      <w:r w:rsidR="0086381B" w:rsidRPr="0086381B">
        <w:rPr>
          <w:rFonts w:cs="Arial"/>
          <w:bCs/>
        </w:rPr>
        <w:t>ón relevante, incluyendo</w:t>
      </w:r>
      <w:r w:rsidRPr="0086381B">
        <w:rPr>
          <w:rFonts w:cs="Arial"/>
          <w:bCs/>
        </w:rPr>
        <w:t xml:space="preserve"> aquella referente a los cambios que el agente o promotor del proyecto realice en la construcción del mismo. Por tanto, en caso de presentarse modificaciones a la alternativa de conexión propuesta inicialmente,</w:t>
      </w:r>
      <w:r w:rsidR="003E7877" w:rsidRPr="0086381B">
        <w:rPr>
          <w:rFonts w:cs="Arial"/>
          <w:bCs/>
        </w:rPr>
        <w:t xml:space="preserve"> o </w:t>
      </w:r>
      <w:r w:rsidR="0086381B" w:rsidRPr="0086381B">
        <w:rPr>
          <w:rFonts w:cs="Arial"/>
          <w:bCs/>
        </w:rPr>
        <w:t>de que adopten planes de recuperación</w:t>
      </w:r>
      <w:r w:rsidR="003E7877" w:rsidRPr="0086381B">
        <w:rPr>
          <w:rFonts w:cs="Arial"/>
          <w:bCs/>
        </w:rPr>
        <w:t xml:space="preserve"> por parte del agente</w:t>
      </w:r>
      <w:r w:rsidR="0086381B" w:rsidRPr="0086381B">
        <w:rPr>
          <w:rFonts w:cs="Arial"/>
          <w:bCs/>
        </w:rPr>
        <w:t>,</w:t>
      </w:r>
      <w:r w:rsidRPr="0086381B">
        <w:rPr>
          <w:rFonts w:cs="Arial"/>
          <w:bCs/>
        </w:rPr>
        <w:t xml:space="preserve"> </w:t>
      </w:r>
      <w:r w:rsidR="003E7877" w:rsidRPr="0086381B">
        <w:rPr>
          <w:rFonts w:cs="Arial"/>
          <w:bCs/>
        </w:rPr>
        <w:t xml:space="preserve">el informe de </w:t>
      </w:r>
      <w:r w:rsidRPr="0086381B">
        <w:rPr>
          <w:rFonts w:cs="Arial"/>
          <w:bCs/>
        </w:rPr>
        <w:t xml:space="preserve">auditoría </w:t>
      </w:r>
      <w:r w:rsidR="003E7877" w:rsidRPr="0086381B">
        <w:rPr>
          <w:rFonts w:cs="Arial"/>
          <w:bCs/>
        </w:rPr>
        <w:t>considera y analiza</w:t>
      </w:r>
      <w:r w:rsidRPr="0086381B">
        <w:rPr>
          <w:rFonts w:cs="Arial"/>
          <w:bCs/>
        </w:rPr>
        <w:t xml:space="preserve"> el efecto que tal</w:t>
      </w:r>
      <w:r w:rsidR="0086381B" w:rsidRPr="0086381B">
        <w:rPr>
          <w:rFonts w:cs="Arial"/>
          <w:bCs/>
        </w:rPr>
        <w:t>es</w:t>
      </w:r>
      <w:r w:rsidRPr="0086381B">
        <w:rPr>
          <w:rFonts w:cs="Arial"/>
          <w:bCs/>
        </w:rPr>
        <w:t xml:space="preserve"> cambio</w:t>
      </w:r>
      <w:r w:rsidR="0086381B" w:rsidRPr="0086381B">
        <w:rPr>
          <w:rFonts w:cs="Arial"/>
          <w:bCs/>
        </w:rPr>
        <w:t>s</w:t>
      </w:r>
      <w:r w:rsidRPr="0086381B">
        <w:rPr>
          <w:rFonts w:cs="Arial"/>
          <w:bCs/>
        </w:rPr>
        <w:t xml:space="preserve"> </w:t>
      </w:r>
      <w:r w:rsidR="0086381B" w:rsidRPr="0086381B">
        <w:rPr>
          <w:rFonts w:cs="Arial"/>
          <w:bCs/>
        </w:rPr>
        <w:t>tengan sobre el cumplimiento de la C</w:t>
      </w:r>
      <w:r w:rsidRPr="0086381B">
        <w:rPr>
          <w:rFonts w:cs="Arial"/>
          <w:bCs/>
        </w:rPr>
        <w:t>urva S y en particular, la fecha de puesta en operación del proyecto.</w:t>
      </w:r>
    </w:p>
    <w:p w14:paraId="7DAC7FFB" w14:textId="77777777" w:rsidR="007C609D" w:rsidRDefault="007C609D" w:rsidP="007C609D">
      <w:pPr>
        <w:rPr>
          <w:rFonts w:cs="Arial"/>
          <w:bCs/>
          <w:highlight w:val="yellow"/>
        </w:rPr>
      </w:pPr>
    </w:p>
    <w:p w14:paraId="5DB6AD81" w14:textId="4FD8F7D8" w:rsidR="00503811" w:rsidRPr="001B7E25" w:rsidRDefault="00B93546" w:rsidP="003F634B">
      <w:r>
        <w:t>S</w:t>
      </w:r>
      <w:r w:rsidR="00503811" w:rsidRPr="001B7E25">
        <w:t>e expidió la Resolución CREG 104 de 2018</w:t>
      </w:r>
      <w:r w:rsidR="004A4F00">
        <w:t>,</w:t>
      </w:r>
      <w:r w:rsidR="00B935C3">
        <w:t xml:space="preserve"> modificada por la Resolución CREG 142 de 2018</w:t>
      </w:r>
      <w:r w:rsidR="00895FBA">
        <w:t>,</w:t>
      </w:r>
      <w:r w:rsidR="00895FBA" w:rsidRPr="001B7E25">
        <w:t xml:space="preserve"> </w:t>
      </w:r>
      <w:r w:rsidR="00503811" w:rsidRPr="001B7E25">
        <w:t>con la que se convoc</w:t>
      </w:r>
      <w:r w:rsidR="0015742F">
        <w:t>ó</w:t>
      </w:r>
      <w:r w:rsidR="00503811" w:rsidRPr="001B7E25">
        <w:t xml:space="preserve"> una subasta del Cargo por Confiabilidad para la asignación de Obligaciones de Energía Firme </w:t>
      </w:r>
      <w:r>
        <w:t>para el</w:t>
      </w:r>
      <w:r w:rsidR="00503811" w:rsidRPr="001B7E25">
        <w:t xml:space="preserve"> periodo 2022-2023</w:t>
      </w:r>
      <w:r>
        <w:t>. En est</w:t>
      </w:r>
      <w:r w:rsidR="00F85619">
        <w:t>a</w:t>
      </w:r>
      <w:r>
        <w:t xml:space="preserve"> misma resolución</w:t>
      </w:r>
      <w:r w:rsidR="003D4E6C">
        <w:t xml:space="preserve"> se diseñó un esquema de incentivos para los proyectos de generación que pued</w:t>
      </w:r>
      <w:r>
        <w:t>an</w:t>
      </w:r>
      <w:r w:rsidR="003D4E6C">
        <w:t xml:space="preserve"> entra</w:t>
      </w:r>
      <w:r>
        <w:t>r</w:t>
      </w:r>
      <w:r w:rsidR="003D4E6C">
        <w:t xml:space="preserve"> </w:t>
      </w:r>
      <w:r>
        <w:t>operativa y</w:t>
      </w:r>
      <w:r w:rsidR="003D4E6C">
        <w:t xml:space="preserve"> comercial</w:t>
      </w:r>
      <w:r>
        <w:t>mente</w:t>
      </w:r>
      <w:r w:rsidR="003D4E6C">
        <w:t xml:space="preserve"> antes del </w:t>
      </w:r>
      <w:r>
        <w:t xml:space="preserve">1 de diciembre de 2022, fecha de </w:t>
      </w:r>
      <w:r w:rsidR="003D4E6C">
        <w:t>inicio del periodo de vigencia de la</w:t>
      </w:r>
      <w:r>
        <w:t>s</w:t>
      </w:r>
      <w:r w:rsidR="003D4E6C">
        <w:t xml:space="preserve"> </w:t>
      </w:r>
      <w:r>
        <w:t>OEF que se asignarían a través de la subasta convocada con la mencionada resolución</w:t>
      </w:r>
      <w:r w:rsidR="003D4E6C">
        <w:t>.</w:t>
      </w:r>
    </w:p>
    <w:p w14:paraId="442B084D" w14:textId="77777777" w:rsidR="00623695" w:rsidRDefault="00623695" w:rsidP="003F634B"/>
    <w:p w14:paraId="2CC783BD" w14:textId="77777777" w:rsidR="00D2557C" w:rsidRDefault="000D785A" w:rsidP="00FB5ECE">
      <w:pPr>
        <w:rPr>
          <w:rFonts w:cs="Arial"/>
          <w:bCs/>
          <w:szCs w:val="20"/>
        </w:rPr>
      </w:pPr>
      <w:r>
        <w:rPr>
          <w:rFonts w:cs="Arial"/>
          <w:bCs/>
          <w:szCs w:val="20"/>
        </w:rPr>
        <w:t xml:space="preserve">Las disposiciones legales y regulatorias </w:t>
      </w:r>
      <w:r w:rsidR="00563C1F">
        <w:rPr>
          <w:rFonts w:cs="Arial"/>
          <w:bCs/>
          <w:szCs w:val="20"/>
        </w:rPr>
        <w:t>conciben</w:t>
      </w:r>
      <w:r>
        <w:rPr>
          <w:rFonts w:cs="Arial"/>
          <w:bCs/>
          <w:szCs w:val="20"/>
        </w:rPr>
        <w:t xml:space="preserve"> </w:t>
      </w:r>
      <w:r w:rsidR="00D2557C">
        <w:rPr>
          <w:rFonts w:cs="Arial"/>
          <w:bCs/>
          <w:szCs w:val="20"/>
        </w:rPr>
        <w:t xml:space="preserve">la </w:t>
      </w:r>
      <w:r>
        <w:rPr>
          <w:rFonts w:cs="Arial"/>
          <w:bCs/>
          <w:szCs w:val="20"/>
        </w:rPr>
        <w:t xml:space="preserve">generación de energía eléctrica </w:t>
      </w:r>
      <w:r w:rsidR="00D2557C">
        <w:rPr>
          <w:rFonts w:cs="Arial"/>
          <w:bCs/>
          <w:szCs w:val="20"/>
        </w:rPr>
        <w:t xml:space="preserve">como una actividad sujeta a la competencia, por lo que la entrada y participación en el mercado de energía mayorista </w:t>
      </w:r>
      <w:r w:rsidR="00B935C3">
        <w:rPr>
          <w:rFonts w:cs="Arial"/>
          <w:bCs/>
          <w:szCs w:val="20"/>
        </w:rPr>
        <w:t>es</w:t>
      </w:r>
      <w:r w:rsidR="00D2557C">
        <w:rPr>
          <w:rFonts w:cs="Arial"/>
          <w:bCs/>
          <w:szCs w:val="20"/>
        </w:rPr>
        <w:t xml:space="preserve"> iniciativa</w:t>
      </w:r>
      <w:r>
        <w:rPr>
          <w:rFonts w:cs="Arial"/>
          <w:bCs/>
          <w:szCs w:val="20"/>
        </w:rPr>
        <w:t xml:space="preserve"> del agente. </w:t>
      </w:r>
      <w:r w:rsidR="00D2557C">
        <w:rPr>
          <w:rFonts w:cs="Arial"/>
          <w:bCs/>
          <w:szCs w:val="20"/>
        </w:rPr>
        <w:t xml:space="preserve">Siendo el Cargo por Confiabilidad un mecanismo </w:t>
      </w:r>
      <w:r w:rsidR="00B935C3">
        <w:rPr>
          <w:rFonts w:cs="Arial"/>
          <w:bCs/>
          <w:szCs w:val="20"/>
        </w:rPr>
        <w:t>que hace parte del</w:t>
      </w:r>
      <w:r w:rsidR="00D2557C">
        <w:rPr>
          <w:rFonts w:cs="Arial"/>
          <w:bCs/>
          <w:szCs w:val="20"/>
        </w:rPr>
        <w:t xml:space="preserve"> mercado de energía mayorista, </w:t>
      </w:r>
      <w:r w:rsidR="00B935C3">
        <w:rPr>
          <w:rFonts w:cs="Arial"/>
          <w:bCs/>
          <w:szCs w:val="20"/>
        </w:rPr>
        <w:t>es responsabilidad del agente que representa la planta de generación a cuenta y riesgo propio</w:t>
      </w:r>
      <w:r w:rsidR="00D2557C">
        <w:rPr>
          <w:rFonts w:cs="Arial"/>
          <w:bCs/>
          <w:szCs w:val="20"/>
        </w:rPr>
        <w:t xml:space="preserve">, </w:t>
      </w:r>
      <w:r w:rsidR="00B935C3">
        <w:rPr>
          <w:rFonts w:cs="Arial"/>
          <w:bCs/>
          <w:szCs w:val="20"/>
        </w:rPr>
        <w:t xml:space="preserve">llevar a cabo </w:t>
      </w:r>
      <w:r>
        <w:rPr>
          <w:rFonts w:cs="Arial"/>
          <w:bCs/>
          <w:szCs w:val="20"/>
        </w:rPr>
        <w:t>la construcción del proyecto</w:t>
      </w:r>
      <w:r w:rsidR="00B935C3">
        <w:rPr>
          <w:rFonts w:cs="Arial"/>
          <w:bCs/>
          <w:szCs w:val="20"/>
        </w:rPr>
        <w:t xml:space="preserve"> y asegurar </w:t>
      </w:r>
      <w:r>
        <w:rPr>
          <w:rFonts w:cs="Arial"/>
          <w:bCs/>
          <w:szCs w:val="20"/>
        </w:rPr>
        <w:t xml:space="preserve">la entrada </w:t>
      </w:r>
      <w:r w:rsidR="00B935C3">
        <w:rPr>
          <w:rFonts w:cs="Arial"/>
          <w:bCs/>
          <w:szCs w:val="20"/>
        </w:rPr>
        <w:t xml:space="preserve">en operación </w:t>
      </w:r>
      <w:r>
        <w:rPr>
          <w:rFonts w:cs="Arial"/>
          <w:bCs/>
          <w:szCs w:val="20"/>
        </w:rPr>
        <w:t xml:space="preserve">comercial, </w:t>
      </w:r>
      <w:r w:rsidR="00B935C3">
        <w:rPr>
          <w:rFonts w:cs="Arial"/>
          <w:bCs/>
          <w:szCs w:val="20"/>
        </w:rPr>
        <w:t>para la que es indispensable la</w:t>
      </w:r>
      <w:r>
        <w:rPr>
          <w:rFonts w:cs="Arial"/>
          <w:bCs/>
          <w:szCs w:val="20"/>
        </w:rPr>
        <w:t xml:space="preserve"> conexión al Sistema Interconectado Nacional</w:t>
      </w:r>
      <w:r w:rsidR="00AB2522">
        <w:rPr>
          <w:rFonts w:cs="Arial"/>
          <w:bCs/>
          <w:szCs w:val="20"/>
        </w:rPr>
        <w:t xml:space="preserve"> (SIN)</w:t>
      </w:r>
      <w:r w:rsidR="00B935C3">
        <w:rPr>
          <w:rFonts w:cs="Arial"/>
          <w:bCs/>
          <w:szCs w:val="20"/>
        </w:rPr>
        <w:t>, entre otros requisitos.</w:t>
      </w:r>
      <w:r>
        <w:rPr>
          <w:rFonts w:cs="Arial"/>
          <w:bCs/>
          <w:szCs w:val="20"/>
        </w:rPr>
        <w:t xml:space="preserve"> </w:t>
      </w:r>
    </w:p>
    <w:p w14:paraId="7D15BF99" w14:textId="77777777" w:rsidR="00D2557C" w:rsidRDefault="00D2557C" w:rsidP="00FB5ECE">
      <w:pPr>
        <w:rPr>
          <w:rFonts w:cs="Arial"/>
          <w:bCs/>
          <w:szCs w:val="20"/>
        </w:rPr>
      </w:pPr>
    </w:p>
    <w:p w14:paraId="46645DE6" w14:textId="1CAA8A2E" w:rsidR="00BF50C9" w:rsidRDefault="00D2557C" w:rsidP="00FB5ECE">
      <w:pPr>
        <w:rPr>
          <w:rFonts w:cs="Arial"/>
          <w:bCs/>
          <w:szCs w:val="20"/>
        </w:rPr>
      </w:pPr>
      <w:r>
        <w:rPr>
          <w:rFonts w:cs="Arial"/>
          <w:bCs/>
          <w:szCs w:val="20"/>
        </w:rPr>
        <w:t xml:space="preserve">Los promotores o agentes que representan las </w:t>
      </w:r>
      <w:r w:rsidR="00B935C3">
        <w:rPr>
          <w:rFonts w:cs="Arial"/>
          <w:bCs/>
          <w:szCs w:val="20"/>
        </w:rPr>
        <w:t>plantas nuevas,</w:t>
      </w:r>
      <w:r w:rsidR="000D785A">
        <w:rPr>
          <w:rFonts w:cs="Arial"/>
          <w:bCs/>
          <w:szCs w:val="20"/>
        </w:rPr>
        <w:t xml:space="preserve"> especiales</w:t>
      </w:r>
      <w:r w:rsidR="00B935C3">
        <w:rPr>
          <w:rFonts w:cs="Arial"/>
          <w:bCs/>
          <w:szCs w:val="20"/>
        </w:rPr>
        <w:t xml:space="preserve"> o existentes con obras</w:t>
      </w:r>
      <w:r w:rsidR="00895FBA">
        <w:rPr>
          <w:rFonts w:cs="Arial"/>
          <w:bCs/>
          <w:szCs w:val="20"/>
        </w:rPr>
        <w:t>,</w:t>
      </w:r>
      <w:r>
        <w:rPr>
          <w:rFonts w:cs="Arial"/>
          <w:bCs/>
          <w:szCs w:val="20"/>
        </w:rPr>
        <w:t xml:space="preserve"> a las que se les asigne </w:t>
      </w:r>
      <w:r w:rsidR="00B935C3">
        <w:rPr>
          <w:rFonts w:cs="Arial"/>
          <w:bCs/>
          <w:szCs w:val="20"/>
        </w:rPr>
        <w:t>OEF</w:t>
      </w:r>
      <w:r w:rsidR="00895FBA">
        <w:rPr>
          <w:rFonts w:cs="Arial"/>
          <w:bCs/>
          <w:szCs w:val="20"/>
        </w:rPr>
        <w:t>,</w:t>
      </w:r>
      <w:r>
        <w:rPr>
          <w:rFonts w:cs="Arial"/>
          <w:bCs/>
          <w:szCs w:val="20"/>
        </w:rPr>
        <w:t xml:space="preserve"> deberán cumplir con los requerimientos asociados al mecanismo del Cargo por Confiabilidad, dentro de los que se encuentra estar </w:t>
      </w:r>
      <w:r w:rsidR="000D785A">
        <w:rPr>
          <w:rFonts w:cs="Arial"/>
          <w:bCs/>
          <w:szCs w:val="20"/>
        </w:rPr>
        <w:t>en capacidad de entregar efectivamente la energía firme comprometida</w:t>
      </w:r>
      <w:r w:rsidR="00BB4405">
        <w:rPr>
          <w:rFonts w:cs="Arial"/>
          <w:bCs/>
          <w:szCs w:val="20"/>
        </w:rPr>
        <w:t xml:space="preserve"> al SIN</w:t>
      </w:r>
      <w:r>
        <w:rPr>
          <w:rFonts w:cs="Arial"/>
          <w:bCs/>
          <w:szCs w:val="20"/>
        </w:rPr>
        <w:t>,</w:t>
      </w:r>
      <w:r w:rsidR="000D785A">
        <w:rPr>
          <w:rFonts w:cs="Arial"/>
          <w:bCs/>
          <w:szCs w:val="20"/>
        </w:rPr>
        <w:t xml:space="preserve"> </w:t>
      </w:r>
      <w:r w:rsidR="00B935C3">
        <w:rPr>
          <w:rFonts w:cs="Arial"/>
          <w:bCs/>
          <w:szCs w:val="20"/>
        </w:rPr>
        <w:t>a más tardar</w:t>
      </w:r>
      <w:r w:rsidR="000D785A">
        <w:rPr>
          <w:rFonts w:cs="Arial"/>
          <w:bCs/>
          <w:szCs w:val="20"/>
        </w:rPr>
        <w:t xml:space="preserve"> en la fecha de inicio del periodo de vigencia de la obligación. </w:t>
      </w:r>
    </w:p>
    <w:p w14:paraId="13730A36" w14:textId="77777777" w:rsidR="00563C1F" w:rsidRDefault="00563C1F" w:rsidP="00FB5ECE">
      <w:pPr>
        <w:rPr>
          <w:rFonts w:cs="Arial"/>
          <w:bCs/>
          <w:szCs w:val="20"/>
        </w:rPr>
      </w:pPr>
    </w:p>
    <w:p w14:paraId="58E6FBC6" w14:textId="77777777" w:rsidR="00563C1F" w:rsidRDefault="00563C1F" w:rsidP="00FB5ECE">
      <w:pPr>
        <w:rPr>
          <w:rFonts w:cs="Arial"/>
          <w:bCs/>
          <w:szCs w:val="20"/>
        </w:rPr>
      </w:pPr>
      <w:r>
        <w:rPr>
          <w:rFonts w:cs="Arial"/>
          <w:bCs/>
          <w:szCs w:val="20"/>
        </w:rPr>
        <w:t xml:space="preserve">Teniendo en cuenta lo anterior, el promotor o agente que representa el proyecto de generación al que se le asignaron </w:t>
      </w:r>
      <w:r w:rsidR="00BB4405">
        <w:rPr>
          <w:rFonts w:cs="Arial"/>
          <w:bCs/>
          <w:szCs w:val="20"/>
        </w:rPr>
        <w:t>OEF</w:t>
      </w:r>
      <w:r>
        <w:rPr>
          <w:rFonts w:cs="Arial"/>
          <w:bCs/>
          <w:szCs w:val="20"/>
        </w:rPr>
        <w:t xml:space="preserve"> deberá adoptar todas las medidas necesarias, para asegurar la entrada en operación del proyecto antes del inicio del periodo de vigencia de obligación, incluyendo </w:t>
      </w:r>
      <w:r w:rsidR="00BB4405">
        <w:rPr>
          <w:rFonts w:cs="Arial"/>
          <w:bCs/>
          <w:szCs w:val="20"/>
        </w:rPr>
        <w:t>aquellas asociadas a la gestión de</w:t>
      </w:r>
      <w:r>
        <w:rPr>
          <w:rFonts w:cs="Arial"/>
          <w:bCs/>
          <w:szCs w:val="20"/>
        </w:rPr>
        <w:t xml:space="preserve"> las alternativas de conexión al SIN</w:t>
      </w:r>
      <w:r w:rsidR="00BB4405">
        <w:rPr>
          <w:rFonts w:cs="Arial"/>
          <w:bCs/>
          <w:szCs w:val="20"/>
        </w:rPr>
        <w:t>,</w:t>
      </w:r>
      <w:r>
        <w:rPr>
          <w:rFonts w:cs="Arial"/>
          <w:bCs/>
          <w:szCs w:val="20"/>
        </w:rPr>
        <w:t xml:space="preserve"> que le permitan cumplir con esta fecha.</w:t>
      </w:r>
    </w:p>
    <w:p w14:paraId="70798ABE" w14:textId="77777777" w:rsidR="00767E68" w:rsidRDefault="00767E68" w:rsidP="00FB5ECE">
      <w:pPr>
        <w:rPr>
          <w:rFonts w:cs="Arial"/>
          <w:bCs/>
          <w:szCs w:val="20"/>
        </w:rPr>
      </w:pPr>
    </w:p>
    <w:p w14:paraId="01CC9B4E" w14:textId="77BD200B" w:rsidR="00AA1462" w:rsidRDefault="00AB2522" w:rsidP="00AA1462">
      <w:pPr>
        <w:rPr>
          <w:rFonts w:cs="Arial"/>
          <w:bCs/>
          <w:szCs w:val="20"/>
        </w:rPr>
      </w:pPr>
      <w:r>
        <w:rPr>
          <w:rFonts w:cs="Arial"/>
          <w:bCs/>
          <w:szCs w:val="20"/>
        </w:rPr>
        <w:t xml:space="preserve">En cuanto </w:t>
      </w:r>
      <w:r w:rsidR="00895FBA">
        <w:rPr>
          <w:rFonts w:cs="Arial"/>
          <w:bCs/>
          <w:szCs w:val="20"/>
        </w:rPr>
        <w:t xml:space="preserve">a </w:t>
      </w:r>
      <w:r>
        <w:rPr>
          <w:rFonts w:cs="Arial"/>
          <w:bCs/>
          <w:szCs w:val="20"/>
        </w:rPr>
        <w:t xml:space="preserve">la conexión al SIN, </w:t>
      </w:r>
      <w:r w:rsidR="000D785A">
        <w:rPr>
          <w:rFonts w:cs="Arial"/>
          <w:bCs/>
          <w:szCs w:val="20"/>
        </w:rPr>
        <w:t>la Resolución CREG 106 de 2006,</w:t>
      </w:r>
      <w:r w:rsidR="00AA1462">
        <w:rPr>
          <w:rFonts w:cs="Arial"/>
          <w:bCs/>
          <w:szCs w:val="20"/>
        </w:rPr>
        <w:t xml:space="preserve"> </w:t>
      </w:r>
      <w:r w:rsidR="00895FBA">
        <w:rPr>
          <w:rFonts w:cs="Arial"/>
          <w:bCs/>
          <w:szCs w:val="20"/>
        </w:rPr>
        <w:t xml:space="preserve">en </w:t>
      </w:r>
      <w:r w:rsidR="00AA1462">
        <w:rPr>
          <w:rFonts w:cs="Arial"/>
          <w:bCs/>
          <w:szCs w:val="20"/>
        </w:rPr>
        <w:t>el numeral 2.1 del anexo establece la obligación para los generadores de presentar un estudio de conexión, dentro del cual se debe incluir una alternativa que corresponda exclusivamente a activos a cargo del generador. Así mismo, en los numerales 1.3 y 2.2 del anexo se señala que</w:t>
      </w:r>
      <w:r w:rsidR="00895FBA">
        <w:rPr>
          <w:rFonts w:cs="Arial"/>
          <w:bCs/>
          <w:szCs w:val="20"/>
        </w:rPr>
        <w:t>,</w:t>
      </w:r>
      <w:r w:rsidR="00AA1462">
        <w:rPr>
          <w:rFonts w:cs="Arial"/>
          <w:bCs/>
          <w:szCs w:val="20"/>
        </w:rPr>
        <w:t xml:space="preserve"> dentro del procedimiento de asignación de puntos de conexión de generadores, los interesados, entendidos como los promotores o los agentes responsables del proyecto, deben ratificar a la UPME su solicitud de conexión, en un plazo máximo de quince (15) días hábiles después de publicados los resultados de la subasta para la asignación de OEF.</w:t>
      </w:r>
    </w:p>
    <w:p w14:paraId="216EB19D" w14:textId="77777777" w:rsidR="00AA1462" w:rsidRDefault="00AA1462" w:rsidP="00AA1462">
      <w:pPr>
        <w:rPr>
          <w:rFonts w:cs="Arial"/>
          <w:bCs/>
          <w:szCs w:val="20"/>
        </w:rPr>
      </w:pPr>
    </w:p>
    <w:p w14:paraId="0C09810B" w14:textId="1368CD9D" w:rsidR="00AA1462" w:rsidRDefault="00AA1462" w:rsidP="00AA1462">
      <w:pPr>
        <w:rPr>
          <w:rFonts w:cs="Arial"/>
          <w:bCs/>
          <w:szCs w:val="20"/>
        </w:rPr>
      </w:pPr>
      <w:r>
        <w:rPr>
          <w:rFonts w:cs="Arial"/>
          <w:bCs/>
        </w:rPr>
        <w:t xml:space="preserve">Para determinar si para la conexión de un generador es viable </w:t>
      </w:r>
      <w:r w:rsidR="009E72D2">
        <w:rPr>
          <w:rFonts w:cs="Arial"/>
          <w:bCs/>
        </w:rPr>
        <w:t xml:space="preserve">económica y técnicamente </w:t>
      </w:r>
      <w:r>
        <w:rPr>
          <w:rFonts w:cs="Arial"/>
          <w:bCs/>
        </w:rPr>
        <w:t>una expansión del sistema,</w:t>
      </w:r>
      <w:r w:rsidRPr="00AB2522">
        <w:rPr>
          <w:rFonts w:cs="Arial"/>
          <w:bCs/>
        </w:rPr>
        <w:t xml:space="preserve"> en el numeral 2.2. </w:t>
      </w:r>
      <w:r>
        <w:rPr>
          <w:rFonts w:cs="Arial"/>
          <w:bCs/>
        </w:rPr>
        <w:t>mencionado</w:t>
      </w:r>
      <w:r w:rsidRPr="00AB2522">
        <w:rPr>
          <w:rFonts w:cs="Arial"/>
          <w:bCs/>
        </w:rPr>
        <w:t>, la UPME</w:t>
      </w:r>
      <w:r w:rsidR="009E72D2">
        <w:rPr>
          <w:rFonts w:cs="Arial"/>
          <w:bCs/>
        </w:rPr>
        <w:t>,</w:t>
      </w:r>
      <w:r w:rsidRPr="00AB2522">
        <w:rPr>
          <w:rFonts w:cs="Arial"/>
          <w:bCs/>
        </w:rPr>
        <w:t xml:space="preserve"> </w:t>
      </w:r>
      <w:r w:rsidR="009E72D2">
        <w:rPr>
          <w:rFonts w:cs="Arial"/>
          <w:bCs/>
        </w:rPr>
        <w:t>conforme con los</w:t>
      </w:r>
      <w:r w:rsidRPr="00AB2522">
        <w:rPr>
          <w:rFonts w:cs="Arial"/>
          <w:bCs/>
        </w:rPr>
        <w:t xml:space="preserve"> criterios establecidos en la normatividad vigente</w:t>
      </w:r>
      <w:r w:rsidR="009E72D2">
        <w:rPr>
          <w:rFonts w:cs="Arial"/>
          <w:bCs/>
        </w:rPr>
        <w:t>,</w:t>
      </w:r>
      <w:r w:rsidRPr="00AB2522">
        <w:rPr>
          <w:rFonts w:cs="Arial"/>
          <w:bCs/>
        </w:rPr>
        <w:t xml:space="preserve"> debe realizar un estudio en el que </w:t>
      </w:r>
      <w:r>
        <w:rPr>
          <w:rFonts w:cs="Arial"/>
          <w:bCs/>
        </w:rPr>
        <w:t>compara</w:t>
      </w:r>
      <w:r w:rsidRPr="00AB2522">
        <w:rPr>
          <w:rFonts w:cs="Arial"/>
          <w:bCs/>
        </w:rPr>
        <w:t xml:space="preserve"> los costos contra los beneficios del proyecto de expansión. La expansión del sistema se recomendará sólo en el caso en el que los beneficios superan los costos.</w:t>
      </w:r>
      <w:r>
        <w:rPr>
          <w:rFonts w:cs="Arial"/>
          <w:bCs/>
        </w:rPr>
        <w:t xml:space="preserve"> </w:t>
      </w:r>
    </w:p>
    <w:p w14:paraId="0810913C" w14:textId="5D5353A1" w:rsidR="0046466D" w:rsidRDefault="0046466D" w:rsidP="00AA1462">
      <w:pPr>
        <w:rPr>
          <w:rFonts w:cs="Arial"/>
          <w:bCs/>
          <w:szCs w:val="20"/>
        </w:rPr>
      </w:pPr>
    </w:p>
    <w:p w14:paraId="1ADA75FB" w14:textId="588F66F8" w:rsidR="00767E68" w:rsidRPr="00AB2522" w:rsidRDefault="00767E68" w:rsidP="00767E68">
      <w:pPr>
        <w:rPr>
          <w:rFonts w:cs="Arial"/>
          <w:bCs/>
          <w:i/>
        </w:rPr>
      </w:pPr>
      <w:r w:rsidRPr="00AB2522">
        <w:rPr>
          <w:rFonts w:cs="Arial"/>
          <w:bCs/>
        </w:rPr>
        <w:t>En la Resolución CREG 093 de 2007</w:t>
      </w:r>
      <w:r w:rsidR="00895FBA">
        <w:rPr>
          <w:rFonts w:cs="Arial"/>
          <w:bCs/>
        </w:rPr>
        <w:t>,</w:t>
      </w:r>
      <w:r w:rsidRPr="00AB2522">
        <w:rPr>
          <w:rFonts w:cs="Arial"/>
          <w:bCs/>
        </w:rPr>
        <w:t xml:space="preserve"> que modificó la Resolución CREG 022 de 2001</w:t>
      </w:r>
      <w:r w:rsidR="00895FBA">
        <w:rPr>
          <w:rFonts w:cs="Arial"/>
          <w:bCs/>
        </w:rPr>
        <w:t>,</w:t>
      </w:r>
      <w:r w:rsidRPr="00AB2522">
        <w:rPr>
          <w:rFonts w:cs="Arial"/>
          <w:bCs/>
        </w:rPr>
        <w:t xml:space="preserve"> en su numeral 4.2 </w:t>
      </w:r>
      <w:r w:rsidR="009E72D2">
        <w:rPr>
          <w:rFonts w:cs="Arial"/>
          <w:bCs/>
        </w:rPr>
        <w:t xml:space="preserve">señala que la </w:t>
      </w:r>
      <w:r w:rsidRPr="00AB2522">
        <w:rPr>
          <w:rFonts w:cs="Arial"/>
          <w:bCs/>
        </w:rPr>
        <w:t xml:space="preserve">fecha </w:t>
      </w:r>
      <w:r w:rsidR="009E72D2">
        <w:rPr>
          <w:rFonts w:cs="Arial"/>
          <w:bCs/>
        </w:rPr>
        <w:t>a considerar para la</w:t>
      </w:r>
      <w:r w:rsidRPr="00AB2522">
        <w:rPr>
          <w:rFonts w:cs="Arial"/>
          <w:bCs/>
        </w:rPr>
        <w:t xml:space="preserve"> entrada en </w:t>
      </w:r>
      <w:r w:rsidRPr="00AB2522">
        <w:rPr>
          <w:rFonts w:cs="Arial"/>
          <w:bCs/>
        </w:rPr>
        <w:lastRenderedPageBreak/>
        <w:t xml:space="preserve">operación de un proyecto de </w:t>
      </w:r>
      <w:r w:rsidR="009E72D2">
        <w:rPr>
          <w:rFonts w:cs="Arial"/>
          <w:bCs/>
        </w:rPr>
        <w:t>expansión del sistema</w:t>
      </w:r>
      <w:r w:rsidRPr="00AB2522">
        <w:rPr>
          <w:rFonts w:cs="Arial"/>
          <w:bCs/>
        </w:rPr>
        <w:t xml:space="preserve"> corresponderá a la establecida en los documentos de selección</w:t>
      </w:r>
      <w:r w:rsidR="00AB2522" w:rsidRPr="00AB2522">
        <w:rPr>
          <w:rFonts w:cs="Arial"/>
          <w:bCs/>
        </w:rPr>
        <w:t>,</w:t>
      </w:r>
      <w:r w:rsidRPr="00AB2522">
        <w:rPr>
          <w:rFonts w:cs="Arial"/>
          <w:bCs/>
        </w:rPr>
        <w:t xml:space="preserve"> donde para el caso de conexión de plantas o unidades de generación</w:t>
      </w:r>
      <w:r w:rsidR="00895FBA">
        <w:rPr>
          <w:rFonts w:cs="Arial"/>
          <w:bCs/>
        </w:rPr>
        <w:t>,</w:t>
      </w:r>
      <w:r w:rsidRPr="00AB2522">
        <w:rPr>
          <w:rFonts w:cs="Arial"/>
          <w:bCs/>
        </w:rPr>
        <w:t xml:space="preserve"> esta será de tres (3) meses antes de la fecha informada por el generador para la entrada en operación comercial de la primera unidad del proyecto de generación. </w:t>
      </w:r>
    </w:p>
    <w:p w14:paraId="2382781C" w14:textId="67480550" w:rsidR="009D3A83" w:rsidRPr="006867A8" w:rsidRDefault="009D3A83" w:rsidP="002F78BF">
      <w:pPr>
        <w:rPr>
          <w:lang w:val="es-CO"/>
        </w:rPr>
      </w:pPr>
    </w:p>
    <w:p w14:paraId="31BB3B8B" w14:textId="53F4D678" w:rsidR="009D3A83" w:rsidRPr="00717416" w:rsidRDefault="009D3A83" w:rsidP="009D3A83">
      <w:pPr>
        <w:pStyle w:val="s7"/>
        <w:spacing w:before="0" w:beforeAutospacing="0" w:after="0" w:afterAutospacing="0" w:line="324" w:lineRule="atLeast"/>
        <w:jc w:val="both"/>
        <w:rPr>
          <w:rFonts w:ascii="Bookman Old Style" w:hAnsi="Bookman Old Style" w:cs="Arial"/>
          <w:bCs/>
          <w:lang w:val="es-ES" w:eastAsia="es-ES"/>
        </w:rPr>
      </w:pPr>
      <w:r w:rsidRPr="00717416">
        <w:rPr>
          <w:rFonts w:ascii="Bookman Old Style" w:hAnsi="Bookman Old Style" w:cs="Arial"/>
          <w:bCs/>
          <w:lang w:val="es-ES" w:eastAsia="es-ES"/>
        </w:rPr>
        <w:t>La fecha establecida por la Resolución CREG 093 de 2007 para el análisis del estudio de conexión por parte de la UPME es un</w:t>
      </w:r>
      <w:r w:rsidR="00764265" w:rsidRPr="00717416">
        <w:rPr>
          <w:rFonts w:ascii="Bookman Old Style" w:hAnsi="Bookman Old Style" w:cs="Arial"/>
          <w:bCs/>
          <w:lang w:val="es-ES" w:eastAsia="es-ES"/>
        </w:rPr>
        <w:t xml:space="preserve">o de los </w:t>
      </w:r>
      <w:r w:rsidRPr="00717416">
        <w:rPr>
          <w:rFonts w:ascii="Bookman Old Style" w:hAnsi="Bookman Old Style" w:cs="Arial"/>
          <w:bCs/>
          <w:lang w:val="es-ES" w:eastAsia="es-ES"/>
        </w:rPr>
        <w:t>factor</w:t>
      </w:r>
      <w:r w:rsidR="00764265" w:rsidRPr="00717416">
        <w:rPr>
          <w:rFonts w:ascii="Bookman Old Style" w:hAnsi="Bookman Old Style" w:cs="Arial"/>
          <w:bCs/>
          <w:lang w:val="es-ES" w:eastAsia="es-ES"/>
        </w:rPr>
        <w:t>es</w:t>
      </w:r>
      <w:r w:rsidRPr="00717416">
        <w:rPr>
          <w:rFonts w:ascii="Bookman Old Style" w:hAnsi="Bookman Old Style" w:cs="Arial"/>
          <w:bCs/>
          <w:lang w:val="es-ES" w:eastAsia="es-ES"/>
        </w:rPr>
        <w:t xml:space="preserve"> importante</w:t>
      </w:r>
      <w:r w:rsidR="00764265" w:rsidRPr="00717416">
        <w:rPr>
          <w:rFonts w:ascii="Bookman Old Style" w:hAnsi="Bookman Old Style" w:cs="Arial"/>
          <w:bCs/>
          <w:lang w:val="es-ES" w:eastAsia="es-ES"/>
        </w:rPr>
        <w:t>s</w:t>
      </w:r>
      <w:r w:rsidRPr="00717416">
        <w:rPr>
          <w:rFonts w:ascii="Bookman Old Style" w:hAnsi="Bookman Old Style" w:cs="Arial"/>
          <w:bCs/>
          <w:lang w:val="es-ES" w:eastAsia="es-ES"/>
        </w:rPr>
        <w:t xml:space="preserve"> en el análisis beneficio-costo de una potencial </w:t>
      </w:r>
      <w:r w:rsidR="006867A8" w:rsidRPr="00717416">
        <w:rPr>
          <w:rFonts w:ascii="Bookman Old Style" w:hAnsi="Bookman Old Style" w:cs="Arial"/>
          <w:bCs/>
          <w:lang w:val="es-ES" w:eastAsia="es-ES"/>
        </w:rPr>
        <w:t>expansión</w:t>
      </w:r>
      <w:r w:rsidRPr="00717416">
        <w:rPr>
          <w:rFonts w:ascii="Bookman Old Style" w:hAnsi="Bookman Old Style" w:cs="Arial"/>
          <w:bCs/>
          <w:lang w:val="es-ES" w:eastAsia="es-ES"/>
        </w:rPr>
        <w:t>. L</w:t>
      </w:r>
      <w:r w:rsidRPr="00717416">
        <w:rPr>
          <w:rFonts w:ascii="Bookman Old Style" w:hAnsi="Bookman Old Style" w:cs="Arial"/>
          <w:lang w:val="es-ES" w:eastAsia="es-ES"/>
        </w:rPr>
        <w:t>a recomendación de la UPME sobre la viabilidad de la expansión depende de dicho análisis beneficio-costo</w:t>
      </w:r>
      <w:r w:rsidR="000438D8" w:rsidRPr="00717416">
        <w:rPr>
          <w:rFonts w:ascii="Bookman Old Style" w:hAnsi="Bookman Old Style" w:cs="Arial"/>
          <w:lang w:val="es-ES" w:eastAsia="es-ES"/>
        </w:rPr>
        <w:t>, así como del cumplimiento de los procedimientos establecidos por la normatividad ambiental, consulta de comunidades y demás aspectos previstos en las normas vigentes</w:t>
      </w:r>
      <w:r w:rsidRPr="00717416">
        <w:rPr>
          <w:rFonts w:ascii="Bookman Old Style" w:hAnsi="Bookman Old Style" w:cs="Arial"/>
          <w:lang w:val="es-ES" w:eastAsia="es-ES"/>
        </w:rPr>
        <w:t>. </w:t>
      </w:r>
    </w:p>
    <w:p w14:paraId="76E812C4" w14:textId="77777777" w:rsidR="009D3A83" w:rsidRPr="00717416" w:rsidRDefault="009D3A83" w:rsidP="009D3A83">
      <w:pPr>
        <w:pStyle w:val="s7"/>
        <w:spacing w:before="0" w:beforeAutospacing="0" w:after="0" w:afterAutospacing="0" w:line="324" w:lineRule="atLeast"/>
        <w:rPr>
          <w:rFonts w:ascii="Bookman Old Style" w:hAnsi="Bookman Old Style" w:cs="Arial"/>
          <w:bCs/>
          <w:lang w:val="es-ES" w:eastAsia="es-ES"/>
        </w:rPr>
      </w:pPr>
    </w:p>
    <w:p w14:paraId="4024F026" w14:textId="06C6A4C4" w:rsidR="009D3A83" w:rsidRPr="00717416" w:rsidRDefault="00E67BC7" w:rsidP="00E67BC7">
      <w:pPr>
        <w:pStyle w:val="s7"/>
        <w:spacing w:before="0" w:beforeAutospacing="0" w:after="0" w:afterAutospacing="0" w:line="324" w:lineRule="atLeast"/>
        <w:jc w:val="both"/>
        <w:rPr>
          <w:rFonts w:ascii="Bookman Old Style" w:hAnsi="Bookman Old Style" w:cs="Arial"/>
          <w:bCs/>
          <w:lang w:val="es-ES" w:eastAsia="es-ES"/>
        </w:rPr>
      </w:pPr>
      <w:r w:rsidRPr="00717416">
        <w:rPr>
          <w:rFonts w:ascii="Bookman Old Style" w:hAnsi="Bookman Old Style" w:cs="Arial"/>
          <w:lang w:val="es-ES" w:eastAsia="es-ES"/>
        </w:rPr>
        <w:t>A</w:t>
      </w:r>
      <w:r w:rsidR="009D3A83" w:rsidRPr="00717416">
        <w:rPr>
          <w:rFonts w:ascii="Bookman Old Style" w:hAnsi="Bookman Old Style" w:cs="Arial"/>
          <w:lang w:val="es-ES" w:eastAsia="es-ES"/>
        </w:rPr>
        <w:t>s</w:t>
      </w:r>
      <w:r w:rsidR="000438D8" w:rsidRPr="00717416">
        <w:rPr>
          <w:rFonts w:ascii="Bookman Old Style" w:hAnsi="Bookman Old Style" w:cs="Arial"/>
          <w:lang w:val="es-ES" w:eastAsia="es-ES"/>
        </w:rPr>
        <w:t xml:space="preserve">í </w:t>
      </w:r>
      <w:r w:rsidR="009D3A83" w:rsidRPr="00717416">
        <w:rPr>
          <w:rFonts w:ascii="Bookman Old Style" w:hAnsi="Bookman Old Style" w:cs="Arial"/>
          <w:lang w:val="es-ES" w:eastAsia="es-ES"/>
        </w:rPr>
        <w:t xml:space="preserve">mismo, de haber un cambio en la alternativa de conexión solicitada por el agente generador, </w:t>
      </w:r>
      <w:r w:rsidR="00764265" w:rsidRPr="00717416">
        <w:rPr>
          <w:rFonts w:ascii="Bookman Old Style" w:hAnsi="Bookman Old Style" w:cs="Arial"/>
          <w:lang w:val="es-ES" w:eastAsia="es-ES"/>
        </w:rPr>
        <w:t xml:space="preserve">que </w:t>
      </w:r>
      <w:r w:rsidR="009D3A83" w:rsidRPr="00717416">
        <w:rPr>
          <w:rFonts w:ascii="Bookman Old Style" w:hAnsi="Bookman Old Style" w:cs="Arial"/>
          <w:lang w:val="es-ES" w:eastAsia="es-ES"/>
        </w:rPr>
        <w:t>igualmente está sujeto al correspondiente análisis beneficio-costo</w:t>
      </w:r>
      <w:r w:rsidR="00764265" w:rsidRPr="00717416">
        <w:rPr>
          <w:rFonts w:ascii="Bookman Old Style" w:hAnsi="Bookman Old Style" w:cs="Arial"/>
          <w:lang w:val="es-ES" w:eastAsia="es-ES"/>
        </w:rPr>
        <w:t>,</w:t>
      </w:r>
      <w:r w:rsidR="000438D8" w:rsidRPr="00717416">
        <w:rPr>
          <w:rFonts w:ascii="Bookman Old Style" w:hAnsi="Bookman Old Style" w:cs="Arial"/>
          <w:lang w:val="es-ES" w:eastAsia="es-ES"/>
        </w:rPr>
        <w:t xml:space="preserve"> </w:t>
      </w:r>
      <w:r w:rsidR="00764265" w:rsidRPr="00717416">
        <w:rPr>
          <w:rFonts w:ascii="Bookman Old Style" w:hAnsi="Bookman Old Style" w:cs="Arial"/>
          <w:lang w:val="es-ES" w:eastAsia="es-ES"/>
        </w:rPr>
        <w:t>el</w:t>
      </w:r>
      <w:r w:rsidR="009D3A83" w:rsidRPr="00717416">
        <w:rPr>
          <w:rFonts w:ascii="Bookman Old Style" w:hAnsi="Bookman Old Style" w:cs="Arial"/>
          <w:lang w:val="es-ES" w:eastAsia="es-ES"/>
        </w:rPr>
        <w:t xml:space="preserve"> cambio debe ser objeto d</w:t>
      </w:r>
      <w:r w:rsidR="00764265" w:rsidRPr="00717416">
        <w:rPr>
          <w:rFonts w:ascii="Bookman Old Style" w:hAnsi="Bookman Old Style" w:cs="Arial"/>
          <w:lang w:val="es-ES" w:eastAsia="es-ES"/>
        </w:rPr>
        <w:t>e la auditoría de seguimiento</w:t>
      </w:r>
      <w:r w:rsidR="009D3A83" w:rsidRPr="00717416">
        <w:rPr>
          <w:rFonts w:ascii="Bookman Old Style" w:hAnsi="Bookman Old Style" w:cs="Arial"/>
          <w:lang w:val="es-ES" w:eastAsia="es-ES"/>
        </w:rPr>
        <w:t xml:space="preserve"> </w:t>
      </w:r>
      <w:r w:rsidRPr="00717416">
        <w:rPr>
          <w:rFonts w:ascii="Bookman Old Style" w:hAnsi="Bookman Old Style" w:cs="Arial"/>
          <w:lang w:val="es-ES" w:eastAsia="es-ES"/>
        </w:rPr>
        <w:t>prevista en la Resolución CREG 071 de 2006</w:t>
      </w:r>
      <w:r w:rsidR="000438D8" w:rsidRPr="00717416">
        <w:rPr>
          <w:rFonts w:ascii="Bookman Old Style" w:hAnsi="Bookman Old Style" w:cs="Arial"/>
          <w:lang w:val="es-ES" w:eastAsia="es-ES"/>
        </w:rPr>
        <w:t>,</w:t>
      </w:r>
      <w:r w:rsidRPr="00717416">
        <w:rPr>
          <w:rFonts w:ascii="Bookman Old Style" w:hAnsi="Bookman Old Style" w:cs="Arial"/>
          <w:lang w:val="es-ES" w:eastAsia="es-ES"/>
        </w:rPr>
        <w:t xml:space="preserve"> </w:t>
      </w:r>
      <w:r w:rsidR="009D3A83" w:rsidRPr="00717416">
        <w:rPr>
          <w:rFonts w:ascii="Bookman Old Style" w:hAnsi="Bookman Old Style" w:cs="Arial"/>
          <w:lang w:val="es-ES" w:eastAsia="es-ES"/>
        </w:rPr>
        <w:t xml:space="preserve">de acuerdo con los objetivos que persigue el esquema de </w:t>
      </w:r>
      <w:r w:rsidRPr="00717416">
        <w:rPr>
          <w:rFonts w:ascii="Bookman Old Style" w:hAnsi="Bookman Old Style" w:cs="Arial"/>
          <w:lang w:val="es-ES" w:eastAsia="es-ES"/>
        </w:rPr>
        <w:t>Cargo por Confiabilidad</w:t>
      </w:r>
      <w:r w:rsidR="009D3A83" w:rsidRPr="00717416">
        <w:rPr>
          <w:rFonts w:ascii="Bookman Old Style" w:hAnsi="Bookman Old Style" w:cs="Arial"/>
          <w:lang w:val="es-ES" w:eastAsia="es-ES"/>
        </w:rPr>
        <w:t>. </w:t>
      </w:r>
    </w:p>
    <w:p w14:paraId="7BB97038" w14:textId="40AEF715" w:rsidR="009D3A83" w:rsidRDefault="009D3A83" w:rsidP="002F78BF">
      <w:pPr>
        <w:rPr>
          <w:lang w:val="es-CO"/>
        </w:rPr>
      </w:pPr>
    </w:p>
    <w:p w14:paraId="1C56BC07" w14:textId="3BE98DE0" w:rsidR="00CA1633" w:rsidRDefault="0046466D" w:rsidP="00F075C1">
      <w:pPr>
        <w:rPr>
          <w:rFonts w:cs="Arial"/>
          <w:bCs/>
          <w:szCs w:val="20"/>
          <w:lang w:val="es-CO"/>
        </w:rPr>
      </w:pPr>
      <w:r>
        <w:rPr>
          <w:rFonts w:cs="Arial"/>
          <w:bCs/>
          <w:szCs w:val="20"/>
          <w:lang w:val="es-CO"/>
        </w:rPr>
        <w:t>L</w:t>
      </w:r>
      <w:r w:rsidR="00CA1633">
        <w:rPr>
          <w:rFonts w:cs="Arial"/>
          <w:bCs/>
          <w:szCs w:val="20"/>
          <w:lang w:val="es-CO"/>
        </w:rPr>
        <w:t xml:space="preserve">a Comisión considera </w:t>
      </w:r>
      <w:r w:rsidR="0052708C">
        <w:rPr>
          <w:rFonts w:cs="Arial"/>
          <w:bCs/>
          <w:szCs w:val="20"/>
          <w:lang w:val="es-CO"/>
        </w:rPr>
        <w:t>necesario</w:t>
      </w:r>
      <w:r w:rsidR="00CA1633">
        <w:rPr>
          <w:rFonts w:cs="Arial"/>
          <w:bCs/>
          <w:szCs w:val="20"/>
          <w:lang w:val="es-CO"/>
        </w:rPr>
        <w:t xml:space="preserve"> </w:t>
      </w:r>
      <w:r w:rsidR="009E72D2">
        <w:rPr>
          <w:rFonts w:cs="Arial"/>
          <w:bCs/>
          <w:szCs w:val="20"/>
          <w:lang w:val="es-CO"/>
        </w:rPr>
        <w:t xml:space="preserve">precisar </w:t>
      </w:r>
      <w:r w:rsidR="00CA1633">
        <w:rPr>
          <w:rFonts w:cs="Arial"/>
          <w:bCs/>
          <w:szCs w:val="20"/>
          <w:lang w:val="es-CO"/>
        </w:rPr>
        <w:t xml:space="preserve">las normas de la Resolución CREG 071 de 2006 relativas a la auditoría de las plantas nuevas y especiales </w:t>
      </w:r>
      <w:r w:rsidR="00D22736">
        <w:rPr>
          <w:rFonts w:cs="Arial"/>
          <w:bCs/>
          <w:szCs w:val="20"/>
          <w:lang w:val="es-CO"/>
        </w:rPr>
        <w:t>con el fin de que las verificaciones por parte del auditor se inicien en un</w:t>
      </w:r>
      <w:r w:rsidR="00EC6585">
        <w:rPr>
          <w:rFonts w:cs="Arial"/>
          <w:bCs/>
          <w:szCs w:val="20"/>
          <w:lang w:val="es-CO"/>
        </w:rPr>
        <w:t xml:space="preserve"> momento oportuno</w:t>
      </w:r>
      <w:r w:rsidR="00D22736">
        <w:rPr>
          <w:rFonts w:cs="Arial"/>
          <w:bCs/>
          <w:szCs w:val="20"/>
          <w:lang w:val="es-CO"/>
        </w:rPr>
        <w:t xml:space="preserve"> del </w:t>
      </w:r>
      <w:r w:rsidR="0052708C">
        <w:rPr>
          <w:rFonts w:cs="Arial"/>
          <w:bCs/>
          <w:szCs w:val="20"/>
          <w:lang w:val="es-CO"/>
        </w:rPr>
        <w:t>Período de Planeación.</w:t>
      </w:r>
      <w:r w:rsidR="00B429BD">
        <w:rPr>
          <w:rFonts w:cs="Arial"/>
          <w:bCs/>
          <w:szCs w:val="20"/>
          <w:lang w:val="es-CO"/>
        </w:rPr>
        <w:t xml:space="preserve">  </w:t>
      </w:r>
      <w:r w:rsidR="0052708C">
        <w:rPr>
          <w:rFonts w:cs="Arial"/>
          <w:bCs/>
          <w:szCs w:val="20"/>
          <w:lang w:val="es-CO"/>
        </w:rPr>
        <w:t>Así mismo</w:t>
      </w:r>
      <w:r w:rsidR="001C41F0">
        <w:rPr>
          <w:rFonts w:cs="Arial"/>
          <w:bCs/>
          <w:szCs w:val="20"/>
          <w:lang w:val="es-CO"/>
        </w:rPr>
        <w:t>,</w:t>
      </w:r>
      <w:r w:rsidR="0052708C">
        <w:rPr>
          <w:rFonts w:cs="Arial"/>
          <w:bCs/>
          <w:szCs w:val="20"/>
          <w:lang w:val="es-CO"/>
        </w:rPr>
        <w:t xml:space="preserve"> se considera pertinente precisar </w:t>
      </w:r>
      <w:r w:rsidR="00364119">
        <w:rPr>
          <w:rFonts w:cs="Arial"/>
          <w:bCs/>
          <w:szCs w:val="20"/>
          <w:lang w:val="es-CO"/>
        </w:rPr>
        <w:t xml:space="preserve">el alcance de la gestión de los auditores respecto </w:t>
      </w:r>
      <w:r w:rsidR="001C41F0">
        <w:rPr>
          <w:rFonts w:cs="Arial"/>
          <w:bCs/>
          <w:szCs w:val="20"/>
          <w:lang w:val="es-CO"/>
        </w:rPr>
        <w:t xml:space="preserve">de </w:t>
      </w:r>
      <w:r w:rsidR="0052708C">
        <w:rPr>
          <w:rFonts w:cs="Arial"/>
          <w:bCs/>
          <w:szCs w:val="20"/>
          <w:lang w:val="es-CO"/>
        </w:rPr>
        <w:t>la conexión de los proyectos al SIN</w:t>
      </w:r>
      <w:r w:rsidR="00EC6585">
        <w:rPr>
          <w:rFonts w:cs="Arial"/>
          <w:bCs/>
          <w:szCs w:val="20"/>
          <w:lang w:val="es-CO"/>
        </w:rPr>
        <w:t xml:space="preserve"> y de los planes de recuperación que propongan los agentes</w:t>
      </w:r>
      <w:r w:rsidR="0052708C">
        <w:rPr>
          <w:rFonts w:cs="Arial"/>
          <w:bCs/>
          <w:szCs w:val="20"/>
          <w:lang w:val="es-CO"/>
        </w:rPr>
        <w:t xml:space="preserve">. </w:t>
      </w:r>
    </w:p>
    <w:p w14:paraId="467815FC" w14:textId="77777777" w:rsidR="00A678C2" w:rsidRDefault="00A678C2" w:rsidP="00F075C1">
      <w:pPr>
        <w:rPr>
          <w:rFonts w:cs="Arial"/>
          <w:bCs/>
          <w:szCs w:val="20"/>
        </w:rPr>
      </w:pPr>
    </w:p>
    <w:p w14:paraId="07F03C4B" w14:textId="77777777" w:rsidR="00A678C2" w:rsidRPr="001B7E25" w:rsidRDefault="00A678C2" w:rsidP="00F075C1">
      <w:pPr>
        <w:rPr>
          <w:rFonts w:cs="Arial"/>
          <w:bCs/>
          <w:szCs w:val="20"/>
        </w:rPr>
      </w:pPr>
    </w:p>
    <w:p w14:paraId="2645B142" w14:textId="77777777" w:rsidR="00E01463" w:rsidRPr="001B7E25" w:rsidRDefault="00E01463" w:rsidP="00976A6A">
      <w:pPr>
        <w:jc w:val="center"/>
        <w:rPr>
          <w:b/>
          <w:szCs w:val="22"/>
        </w:rPr>
      </w:pPr>
      <w:r w:rsidRPr="001B7E25">
        <w:rPr>
          <w:b/>
          <w:szCs w:val="22"/>
        </w:rPr>
        <w:t>R E S U E L V E:</w:t>
      </w:r>
    </w:p>
    <w:p w14:paraId="5AAE0AAA" w14:textId="77777777" w:rsidR="00D40E1A" w:rsidRPr="00FF3CB4" w:rsidRDefault="00D40E1A" w:rsidP="00F075C1">
      <w:pPr>
        <w:rPr>
          <w:b/>
          <w:sz w:val="32"/>
          <w:szCs w:val="22"/>
        </w:rPr>
      </w:pPr>
    </w:p>
    <w:p w14:paraId="61DC05DB" w14:textId="77777777" w:rsidR="00E55000" w:rsidRDefault="00E55000" w:rsidP="00CC2CEA">
      <w:pPr>
        <w:pStyle w:val="Ttulo1"/>
        <w:numPr>
          <w:ilvl w:val="0"/>
          <w:numId w:val="7"/>
        </w:numPr>
        <w:tabs>
          <w:tab w:val="left" w:pos="1418"/>
        </w:tabs>
        <w:suppressAutoHyphens/>
        <w:ind w:left="0" w:firstLine="0"/>
        <w:jc w:val="both"/>
        <w:rPr>
          <w:rFonts w:ascii="Bookman Old Style" w:hAnsi="Bookman Old Style"/>
          <w:b w:val="0"/>
        </w:rPr>
      </w:pPr>
      <w:r w:rsidRPr="001B7E25">
        <w:rPr>
          <w:rFonts w:ascii="Bookman Old Style" w:hAnsi="Bookman Old Style"/>
        </w:rPr>
        <w:t xml:space="preserve">Modificar el numeral 1.5 del Anexo 1 de la Resolución CREG 071 de 2006. </w:t>
      </w:r>
      <w:r w:rsidRPr="001B7E25">
        <w:rPr>
          <w:rFonts w:ascii="Bookman Old Style" w:hAnsi="Bookman Old Style"/>
          <w:b w:val="0"/>
        </w:rPr>
        <w:t>El numeral 1.5 d</w:t>
      </w:r>
      <w:r w:rsidR="003A4626" w:rsidRPr="001B7E25">
        <w:rPr>
          <w:rFonts w:ascii="Bookman Old Style" w:hAnsi="Bookman Old Style"/>
          <w:b w:val="0"/>
        </w:rPr>
        <w:t>el Anexo 1 de la Resolución CREG</w:t>
      </w:r>
      <w:r w:rsidRPr="001B7E25">
        <w:rPr>
          <w:rFonts w:ascii="Bookman Old Style" w:hAnsi="Bookman Old Style"/>
          <w:b w:val="0"/>
        </w:rPr>
        <w:t xml:space="preserve"> 071 de 2006 quedará así:</w:t>
      </w:r>
    </w:p>
    <w:p w14:paraId="50D98431" w14:textId="77777777" w:rsidR="00620D1E" w:rsidRDefault="00620D1E" w:rsidP="00620D1E">
      <w:pPr>
        <w:rPr>
          <w:lang w:val="es-CO"/>
        </w:rPr>
      </w:pPr>
    </w:p>
    <w:p w14:paraId="43B11947" w14:textId="77777777" w:rsidR="00620D1E" w:rsidRPr="001B7E25" w:rsidRDefault="00620D1E" w:rsidP="00620D1E">
      <w:pPr>
        <w:pStyle w:val="Ttulo1"/>
        <w:jc w:val="both"/>
        <w:rPr>
          <w:rFonts w:ascii="Bookman Old Style" w:hAnsi="Bookman Old Style"/>
          <w:b w:val="0"/>
          <w:i/>
        </w:rPr>
      </w:pPr>
      <w:r w:rsidRPr="001B7E25">
        <w:rPr>
          <w:rFonts w:ascii="Bookman Old Style" w:hAnsi="Bookman Old Style"/>
          <w:b w:val="0"/>
          <w:bCs/>
          <w:i/>
        </w:rPr>
        <w:t>“</w:t>
      </w:r>
      <w:r w:rsidRPr="001B7E25">
        <w:rPr>
          <w:rFonts w:ascii="Bookman Old Style" w:hAnsi="Bookman Old Style"/>
          <w:bCs/>
          <w:i/>
        </w:rPr>
        <w:t xml:space="preserve">1.5 </w:t>
      </w:r>
      <w:r w:rsidRPr="001B7E25">
        <w:rPr>
          <w:rFonts w:ascii="Bookman Old Style" w:hAnsi="Bookman Old Style"/>
          <w:i/>
        </w:rPr>
        <w:t>CONTRATACIÓN DE LA AUDITORÍA PARA PLANTAS O UNIDADES DE GENERACIÓN NUEVAS O ESPECIALES</w:t>
      </w:r>
      <w:r w:rsidRPr="001B7E25">
        <w:rPr>
          <w:rFonts w:ascii="Bookman Old Style" w:hAnsi="Bookman Old Style"/>
          <w:b w:val="0"/>
          <w:i/>
        </w:rPr>
        <w:t>. Para la contratación de la auditoría del cumplimiento de las obligaciones contenidas en el Artículo 8 de esta resolución, el Administrador de la Subasta definirá los Términos de Referencia de acuerdo con lo establecido en esta resolución y observando, como mínimo, las siguientes condiciones:</w:t>
      </w:r>
    </w:p>
    <w:p w14:paraId="7C238B96" w14:textId="77777777" w:rsidR="00620D1E" w:rsidRPr="001B7E25" w:rsidRDefault="00620D1E" w:rsidP="00620D1E">
      <w:pPr>
        <w:rPr>
          <w:lang w:val="es-CO"/>
        </w:rPr>
      </w:pPr>
    </w:p>
    <w:p w14:paraId="7AAEEEAD" w14:textId="1C98C9D7" w:rsidR="00620D1E" w:rsidRDefault="00620D1E" w:rsidP="00620D1E">
      <w:pPr>
        <w:numPr>
          <w:ilvl w:val="0"/>
          <w:numId w:val="29"/>
        </w:numPr>
        <w:ind w:left="1272"/>
        <w:rPr>
          <w:i/>
        </w:rPr>
      </w:pPr>
      <w:r w:rsidRPr="001B7E25">
        <w:rPr>
          <w:i/>
        </w:rPr>
        <w:t>El auditor será elegido mediante selección objetiva.</w:t>
      </w:r>
    </w:p>
    <w:p w14:paraId="2C83F5C1" w14:textId="77777777" w:rsidR="00D71ECE" w:rsidRPr="00943AEF" w:rsidRDefault="00D71ECE" w:rsidP="00943AEF">
      <w:pPr>
        <w:ind w:left="1272"/>
        <w:rPr>
          <w:i/>
        </w:rPr>
      </w:pPr>
    </w:p>
    <w:p w14:paraId="69EA2A1F" w14:textId="02593EBE" w:rsidR="00D71ECE" w:rsidRPr="00943AEF" w:rsidRDefault="00D71ECE" w:rsidP="00D71ECE">
      <w:pPr>
        <w:numPr>
          <w:ilvl w:val="0"/>
          <w:numId w:val="29"/>
        </w:numPr>
        <w:ind w:left="1272"/>
        <w:rPr>
          <w:i/>
        </w:rPr>
      </w:pPr>
      <w:r w:rsidRPr="00943AEF">
        <w:rPr>
          <w:i/>
        </w:rPr>
        <w:t>La contratación de la auditoría para todas las plantas nuevas</w:t>
      </w:r>
      <w:r w:rsidR="006B0C64" w:rsidRPr="00943AEF">
        <w:rPr>
          <w:i/>
        </w:rPr>
        <w:t>,</w:t>
      </w:r>
      <w:r w:rsidRPr="00943AEF">
        <w:rPr>
          <w:i/>
        </w:rPr>
        <w:t xml:space="preserve"> especiales </w:t>
      </w:r>
      <w:r w:rsidR="006B0C64" w:rsidRPr="00943AEF">
        <w:rPr>
          <w:i/>
        </w:rPr>
        <w:t xml:space="preserve">o existentes con obras, </w:t>
      </w:r>
      <w:r w:rsidRPr="00943AEF">
        <w:rPr>
          <w:i/>
        </w:rPr>
        <w:t xml:space="preserve">que resulten con asignaciones de Obligaciones de Energía Firme en la Subasta, deberá iniciarse una vez publicado el resultado de la subasta y surtirse a la brevedad posible, de tal forma que el primer informe del auditor se entregue </w:t>
      </w:r>
      <w:r w:rsidR="00EC6585" w:rsidRPr="00943AEF">
        <w:rPr>
          <w:i/>
        </w:rPr>
        <w:t xml:space="preserve">a más tardar </w:t>
      </w:r>
      <w:r w:rsidRPr="00943AEF">
        <w:rPr>
          <w:i/>
        </w:rPr>
        <w:t xml:space="preserve">seis (6) meses después de haber sido asignadas las obligaciones. </w:t>
      </w:r>
    </w:p>
    <w:p w14:paraId="2F91FE24" w14:textId="77777777" w:rsidR="00620D1E" w:rsidRPr="001B7E25" w:rsidRDefault="00620D1E" w:rsidP="00620D1E">
      <w:pPr>
        <w:ind w:left="1272"/>
        <w:rPr>
          <w:i/>
        </w:rPr>
      </w:pPr>
    </w:p>
    <w:p w14:paraId="0ECF85AB" w14:textId="77777777" w:rsidR="00620D1E" w:rsidRPr="001B7E25" w:rsidRDefault="00620D1E" w:rsidP="00620D1E">
      <w:pPr>
        <w:numPr>
          <w:ilvl w:val="0"/>
          <w:numId w:val="29"/>
        </w:numPr>
        <w:ind w:left="1272"/>
        <w:rPr>
          <w:i/>
        </w:rPr>
      </w:pPr>
      <w:r w:rsidRPr="001B7E25">
        <w:rPr>
          <w:i/>
        </w:rPr>
        <w:t>El costo de la auditoría será pagado por quien tenga asignada la Obligación de Energía Firme, de acuerdo con las condiciones establecidas en el Reglamento de Garantías y en los Términos de Referencia.</w:t>
      </w:r>
    </w:p>
    <w:p w14:paraId="4A47BBC0" w14:textId="77777777" w:rsidR="00620D1E" w:rsidRPr="001B7E25" w:rsidRDefault="00620D1E" w:rsidP="00620D1E">
      <w:pPr>
        <w:pStyle w:val="Prrafodelista"/>
        <w:rPr>
          <w:i/>
        </w:rPr>
      </w:pPr>
    </w:p>
    <w:p w14:paraId="3CFA8B4B" w14:textId="77777777" w:rsidR="00620D1E" w:rsidRPr="001B7E25" w:rsidRDefault="00620D1E" w:rsidP="00620D1E">
      <w:pPr>
        <w:numPr>
          <w:ilvl w:val="0"/>
          <w:numId w:val="29"/>
        </w:numPr>
        <w:ind w:left="1272"/>
        <w:rPr>
          <w:i/>
        </w:rPr>
      </w:pPr>
      <w:r w:rsidRPr="001B7E25">
        <w:rPr>
          <w:i/>
        </w:rPr>
        <w:t>El auditor estará obligado a rendir cada seis (6) meses al Ministerio de Minas y Energía, a la CREG, al CND y a la UPME un informe de avance del proyecto y un informe final a su culminación. El auditor estará obligado a rendir informe cada tres (3) meses durante el año anterior a la fecha original de inicio del período de vigencia de la obligación asignada y en adelante</w:t>
      </w:r>
      <w:r w:rsidR="001C41F0">
        <w:rPr>
          <w:i/>
        </w:rPr>
        <w:t>,</w:t>
      </w:r>
      <w:r w:rsidRPr="001B7E25">
        <w:rPr>
          <w:i/>
        </w:rPr>
        <w:t xml:space="preserve"> hasta tanto inicie su operación comercial o pierda las obligaciones de energía firme, de conformidad con lo previsto en la regulación.</w:t>
      </w:r>
    </w:p>
    <w:p w14:paraId="72BE8E37" w14:textId="77777777" w:rsidR="00620D1E" w:rsidRPr="001B7E25" w:rsidRDefault="00620D1E" w:rsidP="00620D1E">
      <w:pPr>
        <w:pStyle w:val="Prrafodelista"/>
        <w:rPr>
          <w:i/>
        </w:rPr>
      </w:pPr>
    </w:p>
    <w:p w14:paraId="1362C93F" w14:textId="77777777" w:rsidR="00620D1E" w:rsidRPr="001B7E25" w:rsidRDefault="00620D1E" w:rsidP="00620D1E">
      <w:pPr>
        <w:ind w:left="1272"/>
        <w:rPr>
          <w:i/>
        </w:rPr>
      </w:pPr>
      <w:r w:rsidRPr="001B7E25">
        <w:rPr>
          <w:i/>
        </w:rPr>
        <w:t>La entrega de los informes de auditoría deberá realizarse como máximo tres (3) meses después de la fecha de corte del período a auditar. Será obligación de los agentes suministrar en forma oportuna la información completa que requiera el auditor para elaborar el informe.</w:t>
      </w:r>
    </w:p>
    <w:p w14:paraId="4FCF33B4" w14:textId="77777777" w:rsidR="00620D1E" w:rsidRPr="001B7E25" w:rsidRDefault="00620D1E" w:rsidP="00620D1E">
      <w:pPr>
        <w:ind w:left="1272"/>
        <w:rPr>
          <w:i/>
        </w:rPr>
      </w:pPr>
    </w:p>
    <w:p w14:paraId="5AFF549C" w14:textId="62C5E16F" w:rsidR="00620D1E" w:rsidRPr="00943AEF" w:rsidRDefault="00ED789E" w:rsidP="002E7B04">
      <w:pPr>
        <w:numPr>
          <w:ilvl w:val="0"/>
          <w:numId w:val="29"/>
        </w:numPr>
        <w:ind w:left="1276"/>
        <w:rPr>
          <w:i/>
        </w:rPr>
      </w:pPr>
      <w:r w:rsidRPr="00943AEF">
        <w:rPr>
          <w:i/>
        </w:rPr>
        <w:t>En su actuación el auditor deberá ser diligente en la incorporación de toda la información relevante para sus análisis y conclusiones, además de la señala</w:t>
      </w:r>
      <w:r w:rsidR="00AC70BF" w:rsidRPr="00943AEF">
        <w:rPr>
          <w:i/>
        </w:rPr>
        <w:t>da</w:t>
      </w:r>
      <w:r w:rsidRPr="00943AEF">
        <w:rPr>
          <w:i/>
        </w:rPr>
        <w:t xml:space="preserve"> en el </w:t>
      </w:r>
      <w:r w:rsidR="001D2A6A" w:rsidRPr="00943AEF">
        <w:rPr>
          <w:i/>
        </w:rPr>
        <w:t>numeral 6.</w:t>
      </w:r>
      <w:r w:rsidRPr="00943AEF">
        <w:rPr>
          <w:i/>
        </w:rPr>
        <w:t xml:space="preserve"> </w:t>
      </w:r>
      <w:r w:rsidR="00620D1E" w:rsidRPr="00943AEF">
        <w:rPr>
          <w:i/>
        </w:rPr>
        <w:t>Los informes de auditoría deben ser claros, precisos y detallados</w:t>
      </w:r>
      <w:r w:rsidRPr="00943AEF">
        <w:rPr>
          <w:i/>
        </w:rPr>
        <w:t xml:space="preserve"> dentro de una actuación </w:t>
      </w:r>
      <w:r w:rsidR="00620D1E" w:rsidRPr="00943AEF">
        <w:rPr>
          <w:i/>
        </w:rPr>
        <w:t>en el establecimiento de:</w:t>
      </w:r>
    </w:p>
    <w:p w14:paraId="105DC4CF" w14:textId="77777777" w:rsidR="00620D1E" w:rsidRPr="001B7E25" w:rsidRDefault="00620D1E" w:rsidP="00620D1E">
      <w:pPr>
        <w:ind w:left="1272"/>
        <w:rPr>
          <w:i/>
        </w:rPr>
      </w:pPr>
    </w:p>
    <w:p w14:paraId="7853EE65" w14:textId="77777777" w:rsidR="00620D1E" w:rsidRPr="001B7E25" w:rsidRDefault="00620D1E" w:rsidP="00620D1E">
      <w:pPr>
        <w:ind w:left="1983" w:hanging="708"/>
        <w:rPr>
          <w:i/>
        </w:rPr>
      </w:pPr>
      <w:r w:rsidRPr="001B7E25">
        <w:rPr>
          <w:i/>
        </w:rPr>
        <w:t>a)</w:t>
      </w:r>
      <w:r w:rsidRPr="001B7E25">
        <w:rPr>
          <w:i/>
        </w:rPr>
        <w:tab/>
        <w:t>El incumplimiento grave e insalvable de la puesta en operación de la planta o unidad de generación.</w:t>
      </w:r>
    </w:p>
    <w:p w14:paraId="46ED978B" w14:textId="77777777" w:rsidR="00620D1E" w:rsidRPr="001B7E25" w:rsidRDefault="00620D1E" w:rsidP="00620D1E">
      <w:pPr>
        <w:spacing w:before="120"/>
        <w:ind w:left="1983" w:hanging="708"/>
        <w:rPr>
          <w:i/>
        </w:rPr>
      </w:pPr>
      <w:r w:rsidRPr="001B7E25">
        <w:rPr>
          <w:i/>
        </w:rPr>
        <w:t>b)</w:t>
      </w:r>
      <w:r w:rsidRPr="001B7E25">
        <w:rPr>
          <w:i/>
        </w:rPr>
        <w:tab/>
        <w:t>El retraso en el cronograma de construcción o de repotenciación, o de la puesta en operación de la planta o unidad de generación, y de la Curva S.</w:t>
      </w:r>
    </w:p>
    <w:p w14:paraId="066ACC0E" w14:textId="578BD2E3" w:rsidR="00132963" w:rsidRDefault="00620D1E" w:rsidP="00C90DDD">
      <w:pPr>
        <w:numPr>
          <w:ilvl w:val="0"/>
          <w:numId w:val="29"/>
        </w:numPr>
        <w:ind w:left="1276"/>
        <w:rPr>
          <w:i/>
          <w:color w:val="FF0000"/>
        </w:rPr>
      </w:pPr>
      <w:r w:rsidRPr="00943AEF">
        <w:rPr>
          <w:i/>
        </w:rPr>
        <w:t xml:space="preserve">El auditor verificará que la Curva S de ejecución real sea elaborada utilizando los mismos parámetros (tales como los factores de ponderación de las diferentes actividades del proyecto), usados en la elaboración de la Curva S declarada por el interesado, en cumplimiento </w:t>
      </w:r>
      <w:r w:rsidRPr="00132963">
        <w:rPr>
          <w:i/>
        </w:rPr>
        <w:t>de la Resolución CREG 071 de 2006 y las normas que la modifiquen, adicionen o sustituyan.</w:t>
      </w:r>
      <w:r w:rsidR="00132963" w:rsidRPr="00132963">
        <w:rPr>
          <w:i/>
        </w:rPr>
        <w:t xml:space="preserve"> </w:t>
      </w:r>
    </w:p>
    <w:p w14:paraId="4BEBE650" w14:textId="7C1D2D96" w:rsidR="00620D1E" w:rsidRDefault="00132963" w:rsidP="00132963">
      <w:pPr>
        <w:ind w:left="705"/>
        <w:rPr>
          <w:i/>
          <w:color w:val="FF0000"/>
        </w:rPr>
      </w:pPr>
      <w:r w:rsidRPr="00132963">
        <w:rPr>
          <w:i/>
          <w:color w:val="FF0000"/>
        </w:rPr>
        <w:t xml:space="preserve"> </w:t>
      </w:r>
    </w:p>
    <w:p w14:paraId="0690B069" w14:textId="77777777" w:rsidR="00EB51F4" w:rsidRPr="00943AEF" w:rsidRDefault="00EB51F4" w:rsidP="00EB51F4">
      <w:pPr>
        <w:pStyle w:val="Prrafodelista"/>
        <w:numPr>
          <w:ilvl w:val="0"/>
          <w:numId w:val="29"/>
        </w:numPr>
        <w:ind w:left="1276"/>
        <w:rPr>
          <w:sz w:val="24"/>
        </w:rPr>
      </w:pPr>
      <w:r w:rsidRPr="00943AEF">
        <w:rPr>
          <w:i/>
          <w:sz w:val="24"/>
        </w:rPr>
        <w:t xml:space="preserve">El auditor, para el primer informe de que trata el numeral 2, deberá considerar en sus evaluaciones la fecha de conexión que establezca la UPME en el concepto de conexión del generador para la alternativa seleccionada por el desarrollador. En caso de que el informe del auditor evidencie que el desarrollador, debido al concepto de conexión de la UPME, ha propuesto acciones de recuperación tendientes a cumplir con el IPVO y la fecha de entrada en operación, estas acciones deberán haber sido incorporadas para seguimiento en el cronograma y la Curva S al momento de presentación del primer informe, sin modificar la fecha de entrada de operación. </w:t>
      </w:r>
    </w:p>
    <w:p w14:paraId="16D53DB4" w14:textId="4FE5E56C" w:rsidR="00D71ECE" w:rsidRPr="00EC6585" w:rsidRDefault="00D71ECE" w:rsidP="00EB51F4">
      <w:pPr>
        <w:ind w:left="1276"/>
        <w:rPr>
          <w:i/>
          <w:color w:val="FF0000"/>
        </w:rPr>
      </w:pPr>
    </w:p>
    <w:p w14:paraId="312AC6BC" w14:textId="77777777" w:rsidR="00620D1E" w:rsidRPr="001B7E25" w:rsidRDefault="00620D1E" w:rsidP="00620D1E">
      <w:pPr>
        <w:numPr>
          <w:ilvl w:val="0"/>
          <w:numId w:val="29"/>
        </w:numPr>
        <w:ind w:left="1272"/>
        <w:rPr>
          <w:i/>
        </w:rPr>
      </w:pPr>
      <w:r w:rsidRPr="001B7E25">
        <w:rPr>
          <w:i/>
        </w:rPr>
        <w:t>No se admitirán informes de auditoría ambiguos.</w:t>
      </w:r>
    </w:p>
    <w:p w14:paraId="5116FABB" w14:textId="77777777" w:rsidR="00620D1E" w:rsidRPr="001B7E25" w:rsidRDefault="00620D1E" w:rsidP="00620D1E">
      <w:pPr>
        <w:pStyle w:val="Prrafodelista"/>
        <w:rPr>
          <w:i/>
        </w:rPr>
      </w:pPr>
    </w:p>
    <w:p w14:paraId="799DA901" w14:textId="77777777" w:rsidR="00620D1E" w:rsidRPr="001B7E25" w:rsidRDefault="00620D1E" w:rsidP="00620D1E">
      <w:pPr>
        <w:numPr>
          <w:ilvl w:val="0"/>
          <w:numId w:val="29"/>
        </w:numPr>
        <w:ind w:left="1272"/>
        <w:rPr>
          <w:i/>
        </w:rPr>
      </w:pPr>
      <w:r w:rsidRPr="001B7E25">
        <w:rPr>
          <w:i/>
        </w:rPr>
        <w:t>En los informes de auditoría se explicarán y relacionarán todos los antecedentes, estudios, métodos, memorias de cálculo, exámenes, experimentos e investigaciones que sirvieron de base para dictaminar respecto de determinadas plantas o unidades, alguno de los eventos señalados en el numeral 4 de este título. Explícitamente se deberá indicar el número de días de desviación comparando la Curva S de ejecución real con la declarada por el interesado. Con este mismo número de días el auditor estimará la nueva fecha de puesta en operación.</w:t>
      </w:r>
    </w:p>
    <w:p w14:paraId="306979BC" w14:textId="77777777" w:rsidR="00620D1E" w:rsidRPr="001B7E25" w:rsidRDefault="00620D1E" w:rsidP="00620D1E">
      <w:pPr>
        <w:pStyle w:val="Prrafodelista"/>
        <w:rPr>
          <w:i/>
        </w:rPr>
      </w:pPr>
    </w:p>
    <w:p w14:paraId="596FEA33" w14:textId="77777777" w:rsidR="00620D1E" w:rsidRPr="001B7E25" w:rsidRDefault="00620D1E" w:rsidP="00620D1E">
      <w:pPr>
        <w:numPr>
          <w:ilvl w:val="0"/>
          <w:numId w:val="29"/>
        </w:numPr>
        <w:ind w:left="1272"/>
        <w:rPr>
          <w:i/>
        </w:rPr>
      </w:pPr>
      <w:r w:rsidRPr="001B7E25">
        <w:rPr>
          <w:i/>
        </w:rPr>
        <w:t>El auditor calculará la ENFICC de la planta o unidad de generación utilizando los parámetros reales de la planta, estimados con base en los protocolos y los procedimientos definidos en el Anexo 6 de la Resolución CREG 071 de 2006 y las nomas que la modifiquen, adicionen o sustituyan.</w:t>
      </w:r>
    </w:p>
    <w:p w14:paraId="35789C9E" w14:textId="77777777" w:rsidR="00620D1E" w:rsidRPr="001B7E25" w:rsidRDefault="00620D1E" w:rsidP="00620D1E">
      <w:pPr>
        <w:pStyle w:val="Prrafodelista"/>
        <w:rPr>
          <w:i/>
        </w:rPr>
      </w:pPr>
    </w:p>
    <w:p w14:paraId="6F1D1710" w14:textId="77777777" w:rsidR="00620D1E" w:rsidRPr="001B7E25" w:rsidRDefault="00620D1E" w:rsidP="00620D1E">
      <w:pPr>
        <w:numPr>
          <w:ilvl w:val="0"/>
          <w:numId w:val="29"/>
        </w:numPr>
        <w:ind w:left="1272"/>
        <w:rPr>
          <w:i/>
        </w:rPr>
      </w:pPr>
      <w:r w:rsidRPr="001B7E25">
        <w:rPr>
          <w:i/>
        </w:rPr>
        <w:t>Previamente a la entrega de los informes, el auditor validará sus conclusiones con el agente interesado, dando acceso a la documentación técnica reunida y permitiéndole contradecir el proyecto de informe y formular solicitudes de complementación o aclaración que se resolverán en el informe periódico y en el informe final, según corresponda.</w:t>
      </w:r>
    </w:p>
    <w:p w14:paraId="4A0AAD75" w14:textId="77777777" w:rsidR="00620D1E" w:rsidRPr="001B7E25" w:rsidRDefault="00620D1E" w:rsidP="00620D1E">
      <w:pPr>
        <w:pStyle w:val="Prrafodelista"/>
        <w:rPr>
          <w:i/>
        </w:rPr>
      </w:pPr>
    </w:p>
    <w:p w14:paraId="16AD4A08" w14:textId="77777777" w:rsidR="00620D1E" w:rsidRPr="001B7E25" w:rsidRDefault="00620D1E" w:rsidP="00620D1E">
      <w:pPr>
        <w:numPr>
          <w:ilvl w:val="0"/>
          <w:numId w:val="29"/>
        </w:numPr>
        <w:ind w:left="1272"/>
        <w:rPr>
          <w:i/>
        </w:rPr>
      </w:pPr>
      <w:r w:rsidRPr="001B7E25">
        <w:rPr>
          <w:i/>
        </w:rPr>
        <w:t>Una vez rendido el informe del Auditor y ante un incumplimiento del cronograma, el agente podrá solicitar, a su costo y dentro de los seis (6) meses siguientes, la realización de una nueva auditoría, la cual debe ser efectuada por el mismo auditor”.</w:t>
      </w:r>
    </w:p>
    <w:p w14:paraId="10FDD74C" w14:textId="77777777" w:rsidR="00620D1E" w:rsidRPr="001B7E25" w:rsidRDefault="00620D1E" w:rsidP="00620D1E">
      <w:pPr>
        <w:spacing w:before="120"/>
        <w:ind w:left="1272"/>
        <w:rPr>
          <w:i/>
        </w:rPr>
      </w:pPr>
    </w:p>
    <w:p w14:paraId="75392F89" w14:textId="79D85DFA" w:rsidR="00620D1E" w:rsidRPr="00695D0F" w:rsidRDefault="004062DA" w:rsidP="00695D0F">
      <w:pPr>
        <w:pStyle w:val="Ttulo1"/>
        <w:numPr>
          <w:ilvl w:val="0"/>
          <w:numId w:val="7"/>
        </w:numPr>
        <w:tabs>
          <w:tab w:val="left" w:pos="1418"/>
        </w:tabs>
        <w:suppressAutoHyphens/>
        <w:ind w:left="0" w:firstLine="0"/>
        <w:jc w:val="both"/>
        <w:rPr>
          <w:rFonts w:ascii="Bookman Old Style" w:hAnsi="Bookman Old Style"/>
          <w:b w:val="0"/>
        </w:rPr>
      </w:pPr>
      <w:r>
        <w:rPr>
          <w:rFonts w:ascii="Bookman Old Style" w:hAnsi="Bookman Old Style"/>
          <w:b w:val="0"/>
        </w:rPr>
        <w:t>Las condiciones definidas en el artículo anterior referentes a</w:t>
      </w:r>
      <w:r w:rsidR="000A7352">
        <w:rPr>
          <w:rFonts w:ascii="Bookman Old Style" w:hAnsi="Bookman Old Style"/>
          <w:b w:val="0"/>
        </w:rPr>
        <w:t xml:space="preserve"> la ejecución de las auditorías</w:t>
      </w:r>
      <w:r w:rsidR="001C41F0">
        <w:rPr>
          <w:rFonts w:ascii="Bookman Old Style" w:hAnsi="Bookman Old Style"/>
          <w:b w:val="0"/>
        </w:rPr>
        <w:t>,</w:t>
      </w:r>
      <w:r w:rsidR="000A7352">
        <w:rPr>
          <w:rFonts w:ascii="Bookman Old Style" w:hAnsi="Bookman Old Style"/>
          <w:b w:val="0"/>
        </w:rPr>
        <w:t xml:space="preserve"> serán aplicables a las auditorías que se hayan contratado con anterioridad a la entrada en vigencia de esta resolución.  En consecuencia, e</w:t>
      </w:r>
      <w:r w:rsidR="00620D1E" w:rsidRPr="00695D0F">
        <w:rPr>
          <w:rFonts w:ascii="Bookman Old Style" w:hAnsi="Bookman Old Style"/>
          <w:b w:val="0"/>
        </w:rPr>
        <w:t xml:space="preserve">l </w:t>
      </w:r>
      <w:r w:rsidR="001C41F0">
        <w:rPr>
          <w:rFonts w:ascii="Bookman Old Style" w:hAnsi="Bookman Old Style"/>
          <w:b w:val="0"/>
        </w:rPr>
        <w:t>A</w:t>
      </w:r>
      <w:r w:rsidR="001C41F0" w:rsidRPr="00695D0F">
        <w:rPr>
          <w:rFonts w:ascii="Bookman Old Style" w:hAnsi="Bookman Old Style"/>
          <w:b w:val="0"/>
        </w:rPr>
        <w:t xml:space="preserve">dministrador </w:t>
      </w:r>
      <w:r w:rsidR="00620D1E" w:rsidRPr="00695D0F">
        <w:rPr>
          <w:rFonts w:ascii="Bookman Old Style" w:hAnsi="Bookman Old Style"/>
          <w:b w:val="0"/>
        </w:rPr>
        <w:t xml:space="preserve">de la </w:t>
      </w:r>
      <w:r w:rsidR="001C41F0">
        <w:rPr>
          <w:rFonts w:ascii="Bookman Old Style" w:hAnsi="Bookman Old Style"/>
          <w:b w:val="0"/>
        </w:rPr>
        <w:t>S</w:t>
      </w:r>
      <w:r w:rsidR="001C41F0" w:rsidRPr="00695D0F">
        <w:rPr>
          <w:rFonts w:ascii="Bookman Old Style" w:hAnsi="Bookman Old Style"/>
          <w:b w:val="0"/>
        </w:rPr>
        <w:t xml:space="preserve">ubasta </w:t>
      </w:r>
      <w:r w:rsidR="00620D1E" w:rsidRPr="00695D0F">
        <w:rPr>
          <w:rFonts w:ascii="Bookman Old Style" w:hAnsi="Bookman Old Style"/>
          <w:b w:val="0"/>
        </w:rPr>
        <w:t xml:space="preserve">deberá ajustar los contratos de auditoría para plantas y/o unidades de generación nuevas o especiales, que se encuentren en ejecución a la fecha de entrada en vigencia de esta resolución, para incorporar </w:t>
      </w:r>
      <w:r w:rsidR="00617282">
        <w:rPr>
          <w:rFonts w:ascii="Bookman Old Style" w:hAnsi="Bookman Old Style"/>
          <w:b w:val="0"/>
        </w:rPr>
        <w:t>en ellos lo previsto en el artículo anterio</w:t>
      </w:r>
      <w:r w:rsidR="00E5049F">
        <w:rPr>
          <w:rFonts w:ascii="Bookman Old Style" w:hAnsi="Bookman Old Style"/>
          <w:b w:val="0"/>
        </w:rPr>
        <w:t>r</w:t>
      </w:r>
      <w:r w:rsidR="00620D1E" w:rsidRPr="00695D0F">
        <w:rPr>
          <w:rFonts w:ascii="Bookman Old Style" w:hAnsi="Bookman Old Style"/>
          <w:b w:val="0"/>
        </w:rPr>
        <w:t>.</w:t>
      </w:r>
    </w:p>
    <w:p w14:paraId="2DE18C10" w14:textId="77777777" w:rsidR="00432BD8" w:rsidRPr="001B7E25" w:rsidRDefault="00432BD8" w:rsidP="00E55000">
      <w:pPr>
        <w:pStyle w:val="Ttulo1"/>
        <w:jc w:val="both"/>
        <w:rPr>
          <w:rFonts w:ascii="Bookman Old Style" w:hAnsi="Bookman Old Style"/>
          <w:b w:val="0"/>
          <w:bCs/>
          <w:i/>
          <w:sz w:val="12"/>
        </w:rPr>
      </w:pPr>
    </w:p>
    <w:p w14:paraId="40C70DDD" w14:textId="77777777" w:rsidR="0073598D" w:rsidRPr="009F4851" w:rsidRDefault="0073598D">
      <w:pPr>
        <w:rPr>
          <w:i/>
          <w:sz w:val="20"/>
          <w:lang w:val="es-CO"/>
        </w:rPr>
      </w:pPr>
    </w:p>
    <w:p w14:paraId="2F6BBF23" w14:textId="77777777" w:rsidR="00E01463" w:rsidRPr="001B7E25" w:rsidRDefault="00E01463" w:rsidP="00CC2CEA">
      <w:pPr>
        <w:pStyle w:val="Ttulo1"/>
        <w:numPr>
          <w:ilvl w:val="0"/>
          <w:numId w:val="7"/>
        </w:numPr>
        <w:tabs>
          <w:tab w:val="left" w:pos="1418"/>
        </w:tabs>
        <w:suppressAutoHyphens/>
        <w:ind w:left="0" w:firstLine="0"/>
        <w:jc w:val="both"/>
        <w:rPr>
          <w:rFonts w:ascii="Bookman Old Style" w:hAnsi="Bookman Old Style"/>
          <w:b w:val="0"/>
        </w:rPr>
      </w:pPr>
      <w:r w:rsidRPr="001B7E25">
        <w:rPr>
          <w:rFonts w:ascii="Bookman Old Style" w:hAnsi="Bookman Old Style"/>
        </w:rPr>
        <w:t>Vigencia.</w:t>
      </w:r>
      <w:r w:rsidRPr="001B7E25">
        <w:rPr>
          <w:rFonts w:ascii="Bookman Old Style" w:hAnsi="Bookman Old Style"/>
          <w:b w:val="0"/>
        </w:rPr>
        <w:t xml:space="preserve"> </w:t>
      </w:r>
      <w:r w:rsidR="009F5D1B" w:rsidRPr="001B7E25">
        <w:rPr>
          <w:rFonts w:ascii="Bookman Old Style" w:hAnsi="Bookman Old Style"/>
          <w:b w:val="0"/>
        </w:rPr>
        <w:t xml:space="preserve">Esta </w:t>
      </w:r>
      <w:r w:rsidR="00165D75" w:rsidRPr="001B7E25">
        <w:rPr>
          <w:rFonts w:ascii="Bookman Old Style" w:hAnsi="Bookman Old Style"/>
          <w:b w:val="0"/>
        </w:rPr>
        <w:t>resolución</w:t>
      </w:r>
      <w:r w:rsidR="00165D75">
        <w:rPr>
          <w:rFonts w:ascii="Bookman Old Style" w:hAnsi="Bookman Old Style"/>
          <w:b w:val="0"/>
        </w:rPr>
        <w:t xml:space="preserve"> </w:t>
      </w:r>
      <w:r w:rsidR="00165D75" w:rsidRPr="001B7E25">
        <w:rPr>
          <w:rFonts w:ascii="Bookman Old Style" w:hAnsi="Bookman Old Style"/>
          <w:b w:val="0"/>
        </w:rPr>
        <w:t>rige</w:t>
      </w:r>
      <w:r w:rsidR="009F5D1B" w:rsidRPr="001B7E25">
        <w:rPr>
          <w:rFonts w:ascii="Bookman Old Style" w:hAnsi="Bookman Old Style"/>
          <w:b w:val="0"/>
        </w:rPr>
        <w:t xml:space="preserve"> </w:t>
      </w:r>
      <w:r w:rsidRPr="001B7E25">
        <w:rPr>
          <w:rFonts w:ascii="Bookman Old Style" w:hAnsi="Bookman Old Style"/>
          <w:b w:val="0"/>
        </w:rPr>
        <w:t xml:space="preserve">a partir de la fecha de su publicación en el </w:t>
      </w:r>
      <w:r w:rsidRPr="001B7E25">
        <w:rPr>
          <w:rFonts w:ascii="Bookman Old Style" w:hAnsi="Bookman Old Style"/>
          <w:b w:val="0"/>
          <w:i/>
        </w:rPr>
        <w:t>Diario Oficial</w:t>
      </w:r>
      <w:r w:rsidRPr="001B7E25">
        <w:rPr>
          <w:rFonts w:ascii="Bookman Old Style" w:hAnsi="Bookman Old Style"/>
          <w:b w:val="0"/>
        </w:rPr>
        <w:t>.</w:t>
      </w:r>
    </w:p>
    <w:p w14:paraId="6776988D" w14:textId="77777777" w:rsidR="00E01463" w:rsidRPr="001B7E25" w:rsidRDefault="00E01463" w:rsidP="00F075C1">
      <w:pPr>
        <w:rPr>
          <w:lang w:eastAsia="ar-SA"/>
        </w:rPr>
      </w:pPr>
    </w:p>
    <w:p w14:paraId="4BC74724" w14:textId="77777777" w:rsidR="00E01463" w:rsidRPr="001B7E25" w:rsidRDefault="00E01463" w:rsidP="00976A6A">
      <w:pPr>
        <w:jc w:val="center"/>
        <w:rPr>
          <w:lang w:eastAsia="ar-SA"/>
        </w:rPr>
      </w:pPr>
      <w:r w:rsidRPr="001B7E25">
        <w:rPr>
          <w:rFonts w:cs="Arial"/>
          <w:b/>
        </w:rPr>
        <w:t>PUBLÍQUESE Y CÚMPLASE</w:t>
      </w:r>
    </w:p>
    <w:p w14:paraId="37011BD3" w14:textId="77777777" w:rsidR="00E01463" w:rsidRPr="001B7E25" w:rsidRDefault="00E01463" w:rsidP="00976A6A">
      <w:pPr>
        <w:jc w:val="center"/>
        <w:rPr>
          <w:rFonts w:cs="Arial"/>
          <w:szCs w:val="20"/>
        </w:rPr>
      </w:pPr>
    </w:p>
    <w:p w14:paraId="76241BDF" w14:textId="007360A5" w:rsidR="00626EBC" w:rsidRPr="003D4601" w:rsidRDefault="00626EBC" w:rsidP="00626EBC">
      <w:pPr>
        <w:rPr>
          <w:rFonts w:cs="Arial"/>
          <w:szCs w:val="20"/>
        </w:rPr>
      </w:pPr>
      <w:r w:rsidRPr="003D4601">
        <w:rPr>
          <w:rFonts w:cs="Arial"/>
          <w:szCs w:val="20"/>
        </w:rPr>
        <w:t>Firmas del proyecto,</w:t>
      </w:r>
    </w:p>
    <w:p w14:paraId="52E30B1D" w14:textId="77777777" w:rsidR="00626EBC" w:rsidRPr="001B7E25" w:rsidRDefault="00626EBC" w:rsidP="00976A6A">
      <w:pPr>
        <w:jc w:val="center"/>
        <w:rPr>
          <w:rFonts w:cs="Arial"/>
          <w:szCs w:val="20"/>
        </w:rPr>
      </w:pPr>
    </w:p>
    <w:p w14:paraId="7DE1E5A6" w14:textId="77777777" w:rsidR="007C37A4" w:rsidRPr="001B7E25" w:rsidRDefault="007C37A4" w:rsidP="00976A6A">
      <w:pPr>
        <w:jc w:val="center"/>
        <w:rPr>
          <w:rFonts w:cs="Arial"/>
          <w:szCs w:val="20"/>
        </w:rPr>
      </w:pPr>
    </w:p>
    <w:tbl>
      <w:tblPr>
        <w:tblW w:w="9498" w:type="dxa"/>
        <w:jc w:val="center"/>
        <w:tblCellSpacing w:w="0" w:type="dxa"/>
        <w:tblCellMar>
          <w:left w:w="0" w:type="dxa"/>
          <w:right w:w="0" w:type="dxa"/>
        </w:tblCellMar>
        <w:tblLook w:val="04A0" w:firstRow="1" w:lastRow="0" w:firstColumn="1" w:lastColumn="0" w:noHBand="0" w:noVBand="1"/>
      </w:tblPr>
      <w:tblGrid>
        <w:gridCol w:w="5033"/>
        <w:gridCol w:w="4465"/>
      </w:tblGrid>
      <w:tr w:rsidR="005A5F17" w14:paraId="14E7E2D9" w14:textId="77777777" w:rsidTr="005A5F17">
        <w:trPr>
          <w:tblCellSpacing w:w="0" w:type="dxa"/>
          <w:jc w:val="center"/>
        </w:trPr>
        <w:tc>
          <w:tcPr>
            <w:tcW w:w="5033" w:type="dxa"/>
          </w:tcPr>
          <w:p w14:paraId="0CCD2E5B" w14:textId="77777777" w:rsidR="005A5F17" w:rsidRDefault="005A5F17">
            <w:pPr>
              <w:rPr>
                <w:rFonts w:cs="Arial"/>
                <w:b/>
                <w:spacing w:val="-3"/>
              </w:rPr>
            </w:pPr>
          </w:p>
          <w:p w14:paraId="367814DA" w14:textId="77777777" w:rsidR="005A5F17" w:rsidRDefault="005A5F17">
            <w:pPr>
              <w:ind w:left="66"/>
              <w:jc w:val="center"/>
              <w:rPr>
                <w:rFonts w:cs="Arial"/>
                <w:b/>
                <w:spacing w:val="-3"/>
              </w:rPr>
            </w:pPr>
          </w:p>
          <w:p w14:paraId="37C4C716" w14:textId="77777777" w:rsidR="005A5F17" w:rsidRDefault="002031B6" w:rsidP="002031B6">
            <w:pPr>
              <w:ind w:left="66"/>
              <w:jc w:val="center"/>
              <w:rPr>
                <w:rFonts w:cs="Arial"/>
                <w:b/>
                <w:spacing w:val="-3"/>
              </w:rPr>
            </w:pPr>
            <w:r>
              <w:rPr>
                <w:rFonts w:cs="Arial"/>
                <w:b/>
              </w:rPr>
              <w:lastRenderedPageBreak/>
              <w:t xml:space="preserve">MARIA FERNANDA SUÁREZ LONDOÑO </w:t>
            </w:r>
          </w:p>
        </w:tc>
        <w:tc>
          <w:tcPr>
            <w:tcW w:w="4465" w:type="dxa"/>
          </w:tcPr>
          <w:p w14:paraId="5F5248C8" w14:textId="77777777" w:rsidR="005A5F17" w:rsidRDefault="005A5F17">
            <w:pPr>
              <w:ind w:left="89"/>
              <w:jc w:val="center"/>
              <w:rPr>
                <w:rFonts w:cs="Arial"/>
                <w:b/>
                <w:spacing w:val="-3"/>
              </w:rPr>
            </w:pPr>
          </w:p>
          <w:p w14:paraId="72BF0B80" w14:textId="77777777" w:rsidR="005A5F17" w:rsidRDefault="005A5F17">
            <w:pPr>
              <w:ind w:left="89"/>
              <w:jc w:val="center"/>
              <w:rPr>
                <w:rFonts w:cs="Arial"/>
                <w:b/>
                <w:spacing w:val="-3"/>
              </w:rPr>
            </w:pPr>
          </w:p>
          <w:p w14:paraId="26292E74" w14:textId="77777777" w:rsidR="005A5F17" w:rsidRDefault="005A5F17">
            <w:pPr>
              <w:ind w:left="89"/>
              <w:jc w:val="center"/>
              <w:rPr>
                <w:rFonts w:cs="Arial"/>
                <w:b/>
                <w:spacing w:val="-3"/>
              </w:rPr>
            </w:pPr>
            <w:r>
              <w:rPr>
                <w:rFonts w:cs="Arial"/>
                <w:b/>
                <w:spacing w:val="-3"/>
              </w:rPr>
              <w:lastRenderedPageBreak/>
              <w:t>CHRISTIAN JARAMILLO HERRERA</w:t>
            </w:r>
          </w:p>
        </w:tc>
      </w:tr>
      <w:tr w:rsidR="005A5F17" w14:paraId="0F6AC48C" w14:textId="77777777" w:rsidTr="005A5F17">
        <w:trPr>
          <w:tblCellSpacing w:w="0" w:type="dxa"/>
          <w:jc w:val="center"/>
        </w:trPr>
        <w:tc>
          <w:tcPr>
            <w:tcW w:w="5033" w:type="dxa"/>
            <w:hideMark/>
          </w:tcPr>
          <w:p w14:paraId="1EF655FB" w14:textId="77777777" w:rsidR="005A5F17" w:rsidRDefault="005A5F17">
            <w:pPr>
              <w:ind w:left="66"/>
              <w:jc w:val="center"/>
              <w:rPr>
                <w:rFonts w:eastAsia="Arial Unicode MS" w:cs="Arial"/>
                <w:color w:val="000000"/>
              </w:rPr>
            </w:pPr>
            <w:r>
              <w:rPr>
                <w:rFonts w:cs="Arial"/>
                <w:spacing w:val="-3"/>
              </w:rPr>
              <w:lastRenderedPageBreak/>
              <w:t>Ministra de Minas y Energía</w:t>
            </w:r>
          </w:p>
        </w:tc>
        <w:tc>
          <w:tcPr>
            <w:tcW w:w="4465" w:type="dxa"/>
            <w:hideMark/>
          </w:tcPr>
          <w:p w14:paraId="6B4D4C08" w14:textId="77777777" w:rsidR="005A5F17" w:rsidRDefault="005A5F17">
            <w:pPr>
              <w:jc w:val="center"/>
              <w:rPr>
                <w:rFonts w:eastAsia="Arial Unicode MS" w:cs="Arial"/>
                <w:color w:val="000000"/>
              </w:rPr>
            </w:pPr>
            <w:r>
              <w:rPr>
                <w:rFonts w:cs="Arial"/>
                <w:spacing w:val="-3"/>
              </w:rPr>
              <w:t>Director Ejecutivo</w:t>
            </w:r>
          </w:p>
        </w:tc>
      </w:tr>
      <w:tr w:rsidR="005A5F17" w14:paraId="24A9CE57" w14:textId="77777777" w:rsidTr="005A5F17">
        <w:trPr>
          <w:tblCellSpacing w:w="0" w:type="dxa"/>
          <w:jc w:val="center"/>
        </w:trPr>
        <w:tc>
          <w:tcPr>
            <w:tcW w:w="5033" w:type="dxa"/>
            <w:hideMark/>
          </w:tcPr>
          <w:p w14:paraId="0E02E93B" w14:textId="77777777" w:rsidR="005A5F17" w:rsidRDefault="005A5F17">
            <w:pPr>
              <w:ind w:left="66"/>
              <w:jc w:val="center"/>
              <w:rPr>
                <w:rFonts w:eastAsia="Arial Unicode MS" w:cs="Arial"/>
                <w:color w:val="000000"/>
              </w:rPr>
            </w:pPr>
            <w:r>
              <w:rPr>
                <w:rFonts w:cs="Arial"/>
                <w:spacing w:val="-3"/>
              </w:rPr>
              <w:t>Presidente</w:t>
            </w:r>
          </w:p>
        </w:tc>
        <w:tc>
          <w:tcPr>
            <w:tcW w:w="4465" w:type="dxa"/>
          </w:tcPr>
          <w:p w14:paraId="20BA4305" w14:textId="77777777" w:rsidR="005A5F17" w:rsidRDefault="005A5F17">
            <w:pPr>
              <w:jc w:val="center"/>
              <w:rPr>
                <w:rFonts w:eastAsia="Arial Unicode MS" w:cs="Arial"/>
                <w:color w:val="000000"/>
                <w:sz w:val="22"/>
              </w:rPr>
            </w:pPr>
          </w:p>
        </w:tc>
      </w:tr>
    </w:tbl>
    <w:p w14:paraId="215DA9F0" w14:textId="77777777" w:rsidR="00432BD8" w:rsidRPr="001B7E25" w:rsidRDefault="00432BD8" w:rsidP="00976A6A">
      <w:pPr>
        <w:jc w:val="center"/>
        <w:rPr>
          <w:rFonts w:cs="Arial"/>
          <w:szCs w:val="20"/>
        </w:rPr>
      </w:pPr>
    </w:p>
    <w:p w14:paraId="4EA76D63" w14:textId="1425B932" w:rsidR="005F24DA" w:rsidRPr="00882080" w:rsidRDefault="005F24DA" w:rsidP="00C74865">
      <w:pPr>
        <w:rPr>
          <w:rFonts w:cs="Arial"/>
          <w:szCs w:val="20"/>
        </w:rPr>
      </w:pPr>
      <w:bookmarkStart w:id="0" w:name="_GoBack"/>
      <w:bookmarkEnd w:id="0"/>
    </w:p>
    <w:sectPr w:rsidR="005F24DA" w:rsidRPr="00882080" w:rsidSect="005A59EF">
      <w:headerReference w:type="default" r:id="rId10"/>
      <w:headerReference w:type="first" r:id="rId11"/>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90665A" w14:textId="77777777" w:rsidR="008D395B" w:rsidRDefault="008D395B">
      <w:r>
        <w:separator/>
      </w:r>
    </w:p>
  </w:endnote>
  <w:endnote w:type="continuationSeparator" w:id="0">
    <w:p w14:paraId="516BDC2B" w14:textId="77777777" w:rsidR="008D395B" w:rsidRDefault="008D3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1008B9" w14:textId="77777777" w:rsidR="008D395B" w:rsidRDefault="008D395B">
      <w:r>
        <w:separator/>
      </w:r>
    </w:p>
  </w:footnote>
  <w:footnote w:type="continuationSeparator" w:id="0">
    <w:p w14:paraId="061A7239" w14:textId="77777777" w:rsidR="008D395B" w:rsidRDefault="008D395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C50D3" w14:textId="77777777" w:rsidR="00A54E43" w:rsidRDefault="00A54E43" w:rsidP="00951F79">
    <w:pPr>
      <w:pStyle w:val="Ttulo1"/>
      <w:ind w:right="6"/>
      <w:jc w:val="left"/>
      <w:rPr>
        <w:rFonts w:ascii="Bookman Old Style" w:hAnsi="Bookman Old Style" w:cs="Arial"/>
        <w:b w:val="0"/>
        <w:sz w:val="22"/>
        <w:szCs w:val="22"/>
      </w:rPr>
    </w:pPr>
  </w:p>
  <w:p w14:paraId="1F35851F" w14:textId="525D025F" w:rsidR="00A54E43" w:rsidRPr="00951F79" w:rsidRDefault="00A54E43" w:rsidP="009F4BEC">
    <w:pPr>
      <w:pStyle w:val="Ttulo1"/>
      <w:ind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C74865">
      <w:rPr>
        <w:rFonts w:ascii="Bookman Old Style" w:hAnsi="Bookman Old Style" w:cs="Arial"/>
        <w:b w:val="0"/>
        <w:noProof/>
        <w:sz w:val="22"/>
        <w:szCs w:val="22"/>
      </w:rPr>
      <w:t>8</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C74865">
      <w:fldChar w:fldCharType="begin"/>
    </w:r>
    <w:r w:rsidR="00C74865">
      <w:instrText xml:space="preserve"> NUMPAGES  \* MERGEFORMAT </w:instrText>
    </w:r>
    <w:r w:rsidR="00C74865">
      <w:fldChar w:fldCharType="separate"/>
    </w:r>
    <w:r w:rsidR="00C74865" w:rsidRPr="00C74865">
      <w:rPr>
        <w:rFonts w:ascii="Bookman Old Style" w:hAnsi="Bookman Old Style" w:cs="Arial"/>
        <w:b w:val="0"/>
        <w:noProof/>
        <w:sz w:val="22"/>
        <w:szCs w:val="22"/>
      </w:rPr>
      <w:t>8</w:t>
    </w:r>
    <w:r w:rsidR="00C74865">
      <w:rPr>
        <w:rFonts w:ascii="Bookman Old Style" w:hAnsi="Bookman Old Style" w:cs="Arial"/>
        <w:b w:val="0"/>
        <w:noProof/>
        <w:sz w:val="22"/>
        <w:szCs w:val="22"/>
      </w:rPr>
      <w:fldChar w:fldCharType="end"/>
    </w:r>
  </w:p>
  <w:p w14:paraId="6340C143" w14:textId="77777777" w:rsidR="00A54E43" w:rsidRDefault="00A54E43" w:rsidP="00AD01E4">
    <w:pPr>
      <w:ind w:left="142" w:right="148"/>
      <w:rPr>
        <w:rFonts w:cs="Arial"/>
      </w:rPr>
    </w:pPr>
    <w:r w:rsidRPr="0042068C">
      <w:rPr>
        <w:noProof/>
        <w:lang w:val="es-CO" w:eastAsia="es-CO"/>
      </w:rPr>
      <mc:AlternateContent>
        <mc:Choice Requires="wps">
          <w:drawing>
            <wp:anchor distT="0" distB="0" distL="114300" distR="114300" simplePos="0" relativeHeight="251657216" behindDoc="0" locked="0" layoutInCell="1" allowOverlap="1" wp14:anchorId="32F13B3E" wp14:editId="6B7A7C48">
              <wp:simplePos x="0" y="0"/>
              <wp:positionH relativeFrom="column">
                <wp:posOffset>-175260</wp:posOffset>
              </wp:positionH>
              <wp:positionV relativeFrom="paragraph">
                <wp:posOffset>139065</wp:posOffset>
              </wp:positionV>
              <wp:extent cx="6267450" cy="9900920"/>
              <wp:effectExtent l="9525" t="12065" r="952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6A4E32"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14:paraId="464320B9" w14:textId="77777777" w:rsidR="00A54E43" w:rsidRPr="00C435C3" w:rsidRDefault="00A54E43" w:rsidP="00EF09E4">
    <w:pPr>
      <w:jc w:val="center"/>
    </w:pPr>
    <w:r>
      <w:t xml:space="preserve">Por la cual se ordena hacer público un proyecto de resolución </w:t>
    </w:r>
    <w:r w:rsidRPr="0069756D">
      <w:rPr>
        <w:i/>
      </w:rPr>
      <w:t xml:space="preserve">“Por la cual </w:t>
    </w:r>
    <w:r>
      <w:rPr>
        <w:i/>
      </w:rPr>
      <w:t>se hace un ajuste al numeral 1.5 del Anexo 1 de la Resolución CREG 071 de 2006</w:t>
    </w:r>
    <w:r w:rsidRPr="0069756D">
      <w:rPr>
        <w:i/>
      </w:rPr>
      <w:t>”</w:t>
    </w:r>
  </w:p>
  <w:p w14:paraId="184B3CF0" w14:textId="77777777" w:rsidR="00A54E43" w:rsidRPr="006B4647" w:rsidRDefault="00A54E43" w:rsidP="00B542E5">
    <w:pPr>
      <w:rPr>
        <w:b/>
        <w:lang w:val="es-CO"/>
      </w:rPr>
    </w:pPr>
    <w:r>
      <w:rPr>
        <w:rFonts w:cs="Arial"/>
        <w:sz w:val="22"/>
        <w:szCs w:val="22"/>
      </w:rPr>
      <w:t>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216DE" w14:textId="77777777" w:rsidR="00A54E43" w:rsidRDefault="00A54E43" w:rsidP="005E20D0">
    <w:pPr>
      <w:pStyle w:val="Encabezado"/>
      <w:ind w:left="-142"/>
      <w:jc w:val="center"/>
      <w:rPr>
        <w:rFonts w:ascii="Arial" w:hAnsi="Arial" w:cs="Arial"/>
        <w:spacing w:val="20"/>
        <w:sz w:val="20"/>
      </w:rPr>
    </w:pPr>
    <w:r>
      <w:rPr>
        <w:rFonts w:ascii="Arial" w:hAnsi="Arial" w:cs="Arial"/>
        <w:spacing w:val="20"/>
        <w:sz w:val="20"/>
      </w:rPr>
      <w:t>República de Colombia</w:t>
    </w:r>
  </w:p>
  <w:p w14:paraId="65C3F599" w14:textId="77777777" w:rsidR="00A54E43" w:rsidRDefault="00A54E43">
    <w:pPr>
      <w:pStyle w:val="Encabezado"/>
      <w:jc w:val="center"/>
      <w:rPr>
        <w:rFonts w:ascii="Arial" w:hAnsi="Arial" w:cs="Arial"/>
        <w:spacing w:val="20"/>
        <w:sz w:val="20"/>
      </w:rPr>
    </w:pPr>
  </w:p>
  <w:p w14:paraId="29B1DC34" w14:textId="77777777" w:rsidR="00A54E43" w:rsidRDefault="00A54E43"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54FED04A" wp14:editId="4E8983B8">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6A6FB3"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1" w15:restartNumberingAfterBreak="0">
    <w:nsid w:val="00FC03C8"/>
    <w:multiLevelType w:val="hybridMultilevel"/>
    <w:tmpl w:val="CA1885B6"/>
    <w:lvl w:ilvl="0" w:tplc="240A0019">
      <w:start w:val="1"/>
      <w:numFmt w:val="lowerLetter"/>
      <w:lvlText w:val="%1."/>
      <w:lvlJc w:val="left"/>
      <w:pPr>
        <w:ind w:left="927" w:hanging="360"/>
      </w:pPr>
    </w:lvl>
    <w:lvl w:ilvl="1" w:tplc="240A0019">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 w15:restartNumberingAfterBreak="0">
    <w:nsid w:val="07347F67"/>
    <w:multiLevelType w:val="hybridMultilevel"/>
    <w:tmpl w:val="88D83992"/>
    <w:lvl w:ilvl="0" w:tplc="2528EBB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A6D2F39"/>
    <w:multiLevelType w:val="hybridMultilevel"/>
    <w:tmpl w:val="B172E6AE"/>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DD012D7"/>
    <w:multiLevelType w:val="hybridMultilevel"/>
    <w:tmpl w:val="38905E2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14B1BBF"/>
    <w:multiLevelType w:val="hybridMultilevel"/>
    <w:tmpl w:val="48DED104"/>
    <w:lvl w:ilvl="0" w:tplc="240A0019">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6" w15:restartNumberingAfterBreak="0">
    <w:nsid w:val="11CF54ED"/>
    <w:multiLevelType w:val="hybridMultilevel"/>
    <w:tmpl w:val="849CBB1E"/>
    <w:lvl w:ilvl="0" w:tplc="6D3E5750">
      <w:start w:val="1"/>
      <w:numFmt w:val="lowerRoman"/>
      <w:lvlText w:val="%1)"/>
      <w:lvlJc w:val="left"/>
      <w:pPr>
        <w:ind w:left="2340" w:hanging="360"/>
      </w:pPr>
      <w:rPr>
        <w:rFonts w:hint="default"/>
      </w:rPr>
    </w:lvl>
    <w:lvl w:ilvl="1" w:tplc="240A0019" w:tentative="1">
      <w:start w:val="1"/>
      <w:numFmt w:val="lowerLetter"/>
      <w:lvlText w:val="%2."/>
      <w:lvlJc w:val="left"/>
      <w:pPr>
        <w:ind w:left="3060" w:hanging="360"/>
      </w:pPr>
    </w:lvl>
    <w:lvl w:ilvl="2" w:tplc="240A001B" w:tentative="1">
      <w:start w:val="1"/>
      <w:numFmt w:val="lowerRoman"/>
      <w:lvlText w:val="%3."/>
      <w:lvlJc w:val="right"/>
      <w:pPr>
        <w:ind w:left="3780" w:hanging="180"/>
      </w:pPr>
    </w:lvl>
    <w:lvl w:ilvl="3" w:tplc="240A000F" w:tentative="1">
      <w:start w:val="1"/>
      <w:numFmt w:val="decimal"/>
      <w:lvlText w:val="%4."/>
      <w:lvlJc w:val="left"/>
      <w:pPr>
        <w:ind w:left="4500" w:hanging="360"/>
      </w:pPr>
    </w:lvl>
    <w:lvl w:ilvl="4" w:tplc="240A0019" w:tentative="1">
      <w:start w:val="1"/>
      <w:numFmt w:val="lowerLetter"/>
      <w:lvlText w:val="%5."/>
      <w:lvlJc w:val="left"/>
      <w:pPr>
        <w:ind w:left="5220" w:hanging="360"/>
      </w:pPr>
    </w:lvl>
    <w:lvl w:ilvl="5" w:tplc="240A001B" w:tentative="1">
      <w:start w:val="1"/>
      <w:numFmt w:val="lowerRoman"/>
      <w:lvlText w:val="%6."/>
      <w:lvlJc w:val="right"/>
      <w:pPr>
        <w:ind w:left="5940" w:hanging="180"/>
      </w:pPr>
    </w:lvl>
    <w:lvl w:ilvl="6" w:tplc="240A000F" w:tentative="1">
      <w:start w:val="1"/>
      <w:numFmt w:val="decimal"/>
      <w:lvlText w:val="%7."/>
      <w:lvlJc w:val="left"/>
      <w:pPr>
        <w:ind w:left="6660" w:hanging="360"/>
      </w:pPr>
    </w:lvl>
    <w:lvl w:ilvl="7" w:tplc="240A0019" w:tentative="1">
      <w:start w:val="1"/>
      <w:numFmt w:val="lowerLetter"/>
      <w:lvlText w:val="%8."/>
      <w:lvlJc w:val="left"/>
      <w:pPr>
        <w:ind w:left="7380" w:hanging="360"/>
      </w:pPr>
    </w:lvl>
    <w:lvl w:ilvl="8" w:tplc="240A001B" w:tentative="1">
      <w:start w:val="1"/>
      <w:numFmt w:val="lowerRoman"/>
      <w:lvlText w:val="%9."/>
      <w:lvlJc w:val="right"/>
      <w:pPr>
        <w:ind w:left="8100" w:hanging="180"/>
      </w:pPr>
    </w:lvl>
  </w:abstractNum>
  <w:abstractNum w:abstractNumId="7" w15:restartNumberingAfterBreak="0">
    <w:nsid w:val="130738AE"/>
    <w:multiLevelType w:val="hybridMultilevel"/>
    <w:tmpl w:val="6CE2B78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75551FF"/>
    <w:multiLevelType w:val="hybridMultilevel"/>
    <w:tmpl w:val="B24CB6E4"/>
    <w:lvl w:ilvl="0" w:tplc="240A001B">
      <w:start w:val="1"/>
      <w:numFmt w:val="lowerRoman"/>
      <w:lvlText w:val="%1."/>
      <w:lvlJc w:val="right"/>
      <w:pPr>
        <w:ind w:left="1068" w:hanging="360"/>
      </w:pPr>
    </w:lvl>
    <w:lvl w:ilvl="1" w:tplc="240A001B">
      <w:start w:val="1"/>
      <w:numFmt w:val="lowerRoman"/>
      <w:lvlText w:val="%2."/>
      <w:lvlJc w:val="righ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9" w15:restartNumberingAfterBreak="0">
    <w:nsid w:val="1B717D62"/>
    <w:multiLevelType w:val="hybridMultilevel"/>
    <w:tmpl w:val="7A44E6CC"/>
    <w:lvl w:ilvl="0" w:tplc="BA642824">
      <w:start w:val="1"/>
      <w:numFmt w:val="lowerLetter"/>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1CA92512"/>
    <w:multiLevelType w:val="hybridMultilevel"/>
    <w:tmpl w:val="C900A0BE"/>
    <w:lvl w:ilvl="0" w:tplc="240A0019">
      <w:start w:val="1"/>
      <w:numFmt w:val="lowerLetter"/>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10870D2"/>
    <w:multiLevelType w:val="hybridMultilevel"/>
    <w:tmpl w:val="6BECD7D4"/>
    <w:lvl w:ilvl="0" w:tplc="8368B656">
      <w:start w:val="1"/>
      <w:numFmt w:val="lowerLetter"/>
      <w:lvlText w:val="%1."/>
      <w:lvlJc w:val="left"/>
      <w:pPr>
        <w:tabs>
          <w:tab w:val="num" w:pos="720"/>
        </w:tabs>
        <w:ind w:left="720" w:hanging="360"/>
      </w:pPr>
      <w:rPr>
        <w:rFonts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4E51E24"/>
    <w:multiLevelType w:val="hybridMultilevel"/>
    <w:tmpl w:val="48D2F26C"/>
    <w:lvl w:ilvl="0" w:tplc="AF62F624">
      <w:start w:val="1"/>
      <w:numFmt w:val="lowerRoman"/>
      <w:lvlText w:val="%1)"/>
      <w:lvlJc w:val="left"/>
      <w:pPr>
        <w:ind w:left="1429" w:hanging="72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13" w15:restartNumberingAfterBreak="0">
    <w:nsid w:val="26EA1714"/>
    <w:multiLevelType w:val="hybridMultilevel"/>
    <w:tmpl w:val="EC366D4C"/>
    <w:lvl w:ilvl="0" w:tplc="87BEED0E">
      <w:start w:val="1"/>
      <w:numFmt w:val="lowerLetter"/>
      <w:lvlText w:val="%1."/>
      <w:lvlJc w:val="left"/>
      <w:pPr>
        <w:ind w:left="720" w:hanging="360"/>
      </w:pPr>
      <w:rPr>
        <w:rFonts w:ascii="Bookman Old Style" w:eastAsia="Times New Roman" w:hAnsi="Bookman Old Style" w:cs="Times New Roman"/>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1060102"/>
    <w:multiLevelType w:val="hybridMultilevel"/>
    <w:tmpl w:val="38905E2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3557FB1"/>
    <w:multiLevelType w:val="hybridMultilevel"/>
    <w:tmpl w:val="FE444172"/>
    <w:lvl w:ilvl="0" w:tplc="0D2CAD90">
      <w:start w:val="1"/>
      <w:numFmt w:val="lowerRoman"/>
      <w:lvlText w:val="%1)"/>
      <w:lvlJc w:val="left"/>
      <w:pPr>
        <w:ind w:left="1996" w:hanging="720"/>
      </w:pPr>
      <w:rPr>
        <w:rFonts w:hint="default"/>
        <w:sz w:val="24"/>
        <w:szCs w:val="24"/>
      </w:rPr>
    </w:lvl>
    <w:lvl w:ilvl="1" w:tplc="240A0019" w:tentative="1">
      <w:start w:val="1"/>
      <w:numFmt w:val="lowerLetter"/>
      <w:lvlText w:val="%2."/>
      <w:lvlJc w:val="left"/>
      <w:pPr>
        <w:ind w:left="2356" w:hanging="360"/>
      </w:pPr>
    </w:lvl>
    <w:lvl w:ilvl="2" w:tplc="240A001B" w:tentative="1">
      <w:start w:val="1"/>
      <w:numFmt w:val="lowerRoman"/>
      <w:lvlText w:val="%3."/>
      <w:lvlJc w:val="right"/>
      <w:pPr>
        <w:ind w:left="3076" w:hanging="180"/>
      </w:pPr>
    </w:lvl>
    <w:lvl w:ilvl="3" w:tplc="240A000F" w:tentative="1">
      <w:start w:val="1"/>
      <w:numFmt w:val="decimal"/>
      <w:lvlText w:val="%4."/>
      <w:lvlJc w:val="left"/>
      <w:pPr>
        <w:ind w:left="3796" w:hanging="360"/>
      </w:pPr>
    </w:lvl>
    <w:lvl w:ilvl="4" w:tplc="240A0019" w:tentative="1">
      <w:start w:val="1"/>
      <w:numFmt w:val="lowerLetter"/>
      <w:lvlText w:val="%5."/>
      <w:lvlJc w:val="left"/>
      <w:pPr>
        <w:ind w:left="4516" w:hanging="360"/>
      </w:pPr>
    </w:lvl>
    <w:lvl w:ilvl="5" w:tplc="240A001B" w:tentative="1">
      <w:start w:val="1"/>
      <w:numFmt w:val="lowerRoman"/>
      <w:lvlText w:val="%6."/>
      <w:lvlJc w:val="right"/>
      <w:pPr>
        <w:ind w:left="5236" w:hanging="180"/>
      </w:pPr>
    </w:lvl>
    <w:lvl w:ilvl="6" w:tplc="240A000F" w:tentative="1">
      <w:start w:val="1"/>
      <w:numFmt w:val="decimal"/>
      <w:lvlText w:val="%7."/>
      <w:lvlJc w:val="left"/>
      <w:pPr>
        <w:ind w:left="5956" w:hanging="360"/>
      </w:pPr>
    </w:lvl>
    <w:lvl w:ilvl="7" w:tplc="240A0019" w:tentative="1">
      <w:start w:val="1"/>
      <w:numFmt w:val="lowerLetter"/>
      <w:lvlText w:val="%8."/>
      <w:lvlJc w:val="left"/>
      <w:pPr>
        <w:ind w:left="6676" w:hanging="360"/>
      </w:pPr>
    </w:lvl>
    <w:lvl w:ilvl="8" w:tplc="240A001B" w:tentative="1">
      <w:start w:val="1"/>
      <w:numFmt w:val="lowerRoman"/>
      <w:lvlText w:val="%9."/>
      <w:lvlJc w:val="right"/>
      <w:pPr>
        <w:ind w:left="7396" w:hanging="180"/>
      </w:pPr>
    </w:lvl>
  </w:abstractNum>
  <w:abstractNum w:abstractNumId="16" w15:restartNumberingAfterBreak="0">
    <w:nsid w:val="34026F7D"/>
    <w:multiLevelType w:val="hybridMultilevel"/>
    <w:tmpl w:val="CE46F5FC"/>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B976050"/>
    <w:multiLevelType w:val="hybridMultilevel"/>
    <w:tmpl w:val="B24CB6E4"/>
    <w:lvl w:ilvl="0" w:tplc="240A001B">
      <w:start w:val="1"/>
      <w:numFmt w:val="lowerRoman"/>
      <w:lvlText w:val="%1."/>
      <w:lvlJc w:val="right"/>
      <w:pPr>
        <w:ind w:left="1068" w:hanging="360"/>
      </w:pPr>
    </w:lvl>
    <w:lvl w:ilvl="1" w:tplc="240A001B">
      <w:start w:val="1"/>
      <w:numFmt w:val="lowerRoman"/>
      <w:lvlText w:val="%2."/>
      <w:lvlJc w:val="righ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8" w15:restartNumberingAfterBreak="0">
    <w:nsid w:val="3D620BB8"/>
    <w:multiLevelType w:val="hybridMultilevel"/>
    <w:tmpl w:val="637C250C"/>
    <w:lvl w:ilvl="0" w:tplc="8446D650">
      <w:start w:val="1"/>
      <w:numFmt w:val="decimal"/>
      <w:lvlText w:val="%1."/>
      <w:lvlJc w:val="left"/>
      <w:pPr>
        <w:ind w:left="705" w:hanging="705"/>
      </w:pPr>
      <w:rPr>
        <w:rFonts w:hint="default"/>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3E5B7430"/>
    <w:multiLevelType w:val="hybridMultilevel"/>
    <w:tmpl w:val="50B24786"/>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FA5600C"/>
    <w:multiLevelType w:val="hybridMultilevel"/>
    <w:tmpl w:val="E02C80EE"/>
    <w:lvl w:ilvl="0" w:tplc="0A6AE3B2">
      <w:start w:val="1"/>
      <w:numFmt w:val="decimal"/>
      <w:lvlText w:val="%1."/>
      <w:lvlJc w:val="left"/>
      <w:pPr>
        <w:ind w:left="2058" w:hanging="360"/>
      </w:pPr>
      <w:rPr>
        <w:rFonts w:hint="default"/>
      </w:rPr>
    </w:lvl>
    <w:lvl w:ilvl="1" w:tplc="240A0019" w:tentative="1">
      <w:start w:val="1"/>
      <w:numFmt w:val="lowerLetter"/>
      <w:lvlText w:val="%2."/>
      <w:lvlJc w:val="left"/>
      <w:pPr>
        <w:ind w:left="2778" w:hanging="360"/>
      </w:pPr>
    </w:lvl>
    <w:lvl w:ilvl="2" w:tplc="240A001B" w:tentative="1">
      <w:start w:val="1"/>
      <w:numFmt w:val="lowerRoman"/>
      <w:lvlText w:val="%3."/>
      <w:lvlJc w:val="right"/>
      <w:pPr>
        <w:ind w:left="3498" w:hanging="180"/>
      </w:pPr>
    </w:lvl>
    <w:lvl w:ilvl="3" w:tplc="240A000F" w:tentative="1">
      <w:start w:val="1"/>
      <w:numFmt w:val="decimal"/>
      <w:lvlText w:val="%4."/>
      <w:lvlJc w:val="left"/>
      <w:pPr>
        <w:ind w:left="4218" w:hanging="360"/>
      </w:pPr>
    </w:lvl>
    <w:lvl w:ilvl="4" w:tplc="240A0019" w:tentative="1">
      <w:start w:val="1"/>
      <w:numFmt w:val="lowerLetter"/>
      <w:lvlText w:val="%5."/>
      <w:lvlJc w:val="left"/>
      <w:pPr>
        <w:ind w:left="4938" w:hanging="360"/>
      </w:pPr>
    </w:lvl>
    <w:lvl w:ilvl="5" w:tplc="240A001B" w:tentative="1">
      <w:start w:val="1"/>
      <w:numFmt w:val="lowerRoman"/>
      <w:lvlText w:val="%6."/>
      <w:lvlJc w:val="right"/>
      <w:pPr>
        <w:ind w:left="5658" w:hanging="180"/>
      </w:pPr>
    </w:lvl>
    <w:lvl w:ilvl="6" w:tplc="240A000F" w:tentative="1">
      <w:start w:val="1"/>
      <w:numFmt w:val="decimal"/>
      <w:lvlText w:val="%7."/>
      <w:lvlJc w:val="left"/>
      <w:pPr>
        <w:ind w:left="6378" w:hanging="360"/>
      </w:pPr>
    </w:lvl>
    <w:lvl w:ilvl="7" w:tplc="240A0019" w:tentative="1">
      <w:start w:val="1"/>
      <w:numFmt w:val="lowerLetter"/>
      <w:lvlText w:val="%8."/>
      <w:lvlJc w:val="left"/>
      <w:pPr>
        <w:ind w:left="7098" w:hanging="360"/>
      </w:pPr>
    </w:lvl>
    <w:lvl w:ilvl="8" w:tplc="240A001B" w:tentative="1">
      <w:start w:val="1"/>
      <w:numFmt w:val="lowerRoman"/>
      <w:lvlText w:val="%9."/>
      <w:lvlJc w:val="right"/>
      <w:pPr>
        <w:ind w:left="7818" w:hanging="180"/>
      </w:pPr>
    </w:lvl>
  </w:abstractNum>
  <w:abstractNum w:abstractNumId="21" w15:restartNumberingAfterBreak="0">
    <w:nsid w:val="45B45E59"/>
    <w:multiLevelType w:val="hybridMultilevel"/>
    <w:tmpl w:val="35542E22"/>
    <w:lvl w:ilvl="0" w:tplc="2462240E">
      <w:start w:val="1"/>
      <w:numFmt w:val="lowerLetter"/>
      <w:lvlText w:val="%1."/>
      <w:lvlJc w:val="left"/>
      <w:pPr>
        <w:ind w:left="720" w:hanging="360"/>
      </w:pPr>
      <w:rPr>
        <w:rFonts w:ascii="Bookman Old Style" w:eastAsia="Times New Roman" w:hAnsi="Bookman Old Style" w:cs="Times New Roman"/>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7960E0A"/>
    <w:multiLevelType w:val="hybridMultilevel"/>
    <w:tmpl w:val="ABE271A4"/>
    <w:lvl w:ilvl="0" w:tplc="240A001B">
      <w:start w:val="1"/>
      <w:numFmt w:val="lowerRoman"/>
      <w:lvlText w:val="%1."/>
      <w:lvlJc w:val="right"/>
      <w:pPr>
        <w:ind w:left="1080" w:hanging="360"/>
      </w:p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3" w15:restartNumberingAfterBreak="0">
    <w:nsid w:val="4A0979E4"/>
    <w:multiLevelType w:val="hybridMultilevel"/>
    <w:tmpl w:val="BFF0D0F6"/>
    <w:lvl w:ilvl="0" w:tplc="6D3E5750">
      <w:start w:val="1"/>
      <w:numFmt w:val="lowerRoman"/>
      <w:lvlText w:val="%1)"/>
      <w:lvlJc w:val="left"/>
      <w:pPr>
        <w:ind w:left="1080" w:hanging="720"/>
      </w:pPr>
      <w:rPr>
        <w:rFonts w:hint="default"/>
      </w:rPr>
    </w:lvl>
    <w:lvl w:ilvl="1" w:tplc="066E2112">
      <w:numFmt w:val="bullet"/>
      <w:lvlText w:val=""/>
      <w:lvlJc w:val="left"/>
      <w:pPr>
        <w:ind w:left="1440" w:hanging="360"/>
      </w:pPr>
      <w:rPr>
        <w:rFonts w:ascii="Symbol" w:eastAsia="Times New Roman" w:hAnsi="Symbol" w:cs="Times New Roman"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B0260D6"/>
    <w:multiLevelType w:val="hybridMultilevel"/>
    <w:tmpl w:val="65F86B6C"/>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F1227B4"/>
    <w:multiLevelType w:val="hybridMultilevel"/>
    <w:tmpl w:val="938AA688"/>
    <w:lvl w:ilvl="0" w:tplc="240A001B">
      <w:start w:val="1"/>
      <w:numFmt w:val="lowerRoman"/>
      <w:lvlText w:val="%1."/>
      <w:lvlJc w:val="right"/>
      <w:pPr>
        <w:ind w:left="1637" w:hanging="360"/>
      </w:pPr>
      <w:rPr>
        <w:rFonts w:ascii="Times New Roman" w:hAnsi="Times New Roman" w:cs="Times New Roman"/>
      </w:rPr>
    </w:lvl>
    <w:lvl w:ilvl="1" w:tplc="55005A1C">
      <w:start w:val="1"/>
      <w:numFmt w:val="lowerLetter"/>
      <w:lvlText w:val="%2."/>
      <w:lvlJc w:val="left"/>
      <w:pPr>
        <w:ind w:left="1440" w:hanging="360"/>
      </w:pPr>
      <w:rPr>
        <w:rFonts w:ascii="Bookman Old Style" w:hAnsi="Bookman Old Style" w:cs="Times New Roman" w:hint="default"/>
      </w:rPr>
    </w:lvl>
    <w:lvl w:ilvl="2" w:tplc="240A001B">
      <w:start w:val="1"/>
      <w:numFmt w:val="lowerRoman"/>
      <w:lvlText w:val="%3."/>
      <w:lvlJc w:val="right"/>
      <w:pPr>
        <w:ind w:left="2160" w:hanging="180"/>
      </w:pPr>
      <w:rPr>
        <w:rFonts w:ascii="Times New Roman" w:hAnsi="Times New Roman" w:cs="Times New Roman"/>
      </w:rPr>
    </w:lvl>
    <w:lvl w:ilvl="3" w:tplc="240A000F">
      <w:start w:val="1"/>
      <w:numFmt w:val="decimal"/>
      <w:lvlText w:val="%4."/>
      <w:lvlJc w:val="left"/>
      <w:pPr>
        <w:ind w:left="2880" w:hanging="360"/>
      </w:pPr>
      <w:rPr>
        <w:rFonts w:ascii="Times New Roman" w:hAnsi="Times New Roman" w:cs="Times New Roman"/>
      </w:rPr>
    </w:lvl>
    <w:lvl w:ilvl="4" w:tplc="7FA8C79C">
      <w:start w:val="1"/>
      <w:numFmt w:val="lowerLetter"/>
      <w:lvlText w:val="%5."/>
      <w:lvlJc w:val="left"/>
      <w:pPr>
        <w:ind w:left="3600" w:hanging="360"/>
      </w:pPr>
      <w:rPr>
        <w:rFonts w:ascii="Bookman Old Style" w:hAnsi="Bookman Old Style" w:cs="Times New Roman" w:hint="default"/>
      </w:rPr>
    </w:lvl>
    <w:lvl w:ilvl="5" w:tplc="240A001B">
      <w:start w:val="1"/>
      <w:numFmt w:val="lowerRoman"/>
      <w:lvlText w:val="%6."/>
      <w:lvlJc w:val="right"/>
      <w:pPr>
        <w:ind w:left="4320" w:hanging="180"/>
      </w:pPr>
      <w:rPr>
        <w:rFonts w:ascii="Times New Roman" w:hAnsi="Times New Roman" w:cs="Times New Roman"/>
      </w:rPr>
    </w:lvl>
    <w:lvl w:ilvl="6" w:tplc="240A000F">
      <w:start w:val="1"/>
      <w:numFmt w:val="decimal"/>
      <w:lvlText w:val="%7."/>
      <w:lvlJc w:val="left"/>
      <w:pPr>
        <w:ind w:left="5040" w:hanging="360"/>
      </w:pPr>
      <w:rPr>
        <w:rFonts w:ascii="Times New Roman" w:hAnsi="Times New Roman" w:cs="Times New Roman"/>
      </w:rPr>
    </w:lvl>
    <w:lvl w:ilvl="7" w:tplc="240A0019">
      <w:start w:val="1"/>
      <w:numFmt w:val="lowerLetter"/>
      <w:lvlText w:val="%8."/>
      <w:lvlJc w:val="left"/>
      <w:pPr>
        <w:ind w:left="5760" w:hanging="360"/>
      </w:pPr>
      <w:rPr>
        <w:rFonts w:ascii="Times New Roman" w:hAnsi="Times New Roman" w:cs="Times New Roman"/>
      </w:rPr>
    </w:lvl>
    <w:lvl w:ilvl="8" w:tplc="240A001B">
      <w:start w:val="1"/>
      <w:numFmt w:val="lowerRoman"/>
      <w:lvlText w:val="%9."/>
      <w:lvlJc w:val="right"/>
      <w:pPr>
        <w:ind w:left="6480" w:hanging="180"/>
      </w:pPr>
      <w:rPr>
        <w:rFonts w:ascii="Times New Roman" w:hAnsi="Times New Roman" w:cs="Times New Roman"/>
      </w:rPr>
    </w:lvl>
  </w:abstractNum>
  <w:abstractNum w:abstractNumId="26" w15:restartNumberingAfterBreak="0">
    <w:nsid w:val="4FDA306C"/>
    <w:multiLevelType w:val="hybridMultilevel"/>
    <w:tmpl w:val="D41CCE72"/>
    <w:lvl w:ilvl="0" w:tplc="55005A1C">
      <w:start w:val="1"/>
      <w:numFmt w:val="lowerLetter"/>
      <w:lvlText w:val="%1."/>
      <w:lvlJc w:val="left"/>
      <w:pPr>
        <w:ind w:left="1440" w:hanging="360"/>
      </w:pPr>
      <w:rPr>
        <w:rFonts w:ascii="Bookman Old Style" w:hAnsi="Bookman Old Style" w:cs="Times New Roman"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4440B89"/>
    <w:multiLevelType w:val="hybridMultilevel"/>
    <w:tmpl w:val="686E9DC8"/>
    <w:lvl w:ilvl="0" w:tplc="79D2094A">
      <w:start w:val="1"/>
      <w:numFmt w:val="decimal"/>
      <w:lvlText w:val="Artículo %1."/>
      <w:lvlJc w:val="left"/>
      <w:pPr>
        <w:ind w:left="1778" w:hanging="360"/>
      </w:pPr>
      <w:rPr>
        <w:rFonts w:ascii="Bookman Old Style" w:hAnsi="Bookman Old Style" w:hint="default"/>
        <w:b/>
        <w:i w:val="0"/>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88520A2"/>
    <w:multiLevelType w:val="hybridMultilevel"/>
    <w:tmpl w:val="3A72AB8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8F9120E"/>
    <w:multiLevelType w:val="hybridMultilevel"/>
    <w:tmpl w:val="ABF0B258"/>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AD0237D"/>
    <w:multiLevelType w:val="hybridMultilevel"/>
    <w:tmpl w:val="50B24786"/>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CEB5D89"/>
    <w:multiLevelType w:val="multilevel"/>
    <w:tmpl w:val="39E2F73C"/>
    <w:lvl w:ilvl="0">
      <w:start w:val="3"/>
      <w:numFmt w:val="decimal"/>
      <w:lvlText w:val="%1"/>
      <w:lvlJc w:val="left"/>
      <w:pPr>
        <w:ind w:left="810" w:hanging="810"/>
      </w:pPr>
      <w:rPr>
        <w:rFonts w:hint="default"/>
        <w:b/>
      </w:rPr>
    </w:lvl>
    <w:lvl w:ilvl="1">
      <w:start w:val="14"/>
      <w:numFmt w:val="decimal"/>
      <w:lvlText w:val="%1.%2"/>
      <w:lvlJc w:val="left"/>
      <w:pPr>
        <w:ind w:left="810" w:hanging="810"/>
      </w:pPr>
      <w:rPr>
        <w:rFonts w:hint="default"/>
        <w:b/>
      </w:rPr>
    </w:lvl>
    <w:lvl w:ilvl="2">
      <w:start w:val="1"/>
      <w:numFmt w:val="decimal"/>
      <w:lvlText w:val="%1.%2.%3"/>
      <w:lvlJc w:val="left"/>
      <w:pPr>
        <w:ind w:left="810" w:hanging="81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2" w15:restartNumberingAfterBreak="0">
    <w:nsid w:val="610F3B50"/>
    <w:multiLevelType w:val="hybridMultilevel"/>
    <w:tmpl w:val="61D80F52"/>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6D3E5750">
      <w:start w:val="1"/>
      <w:numFmt w:val="lowerRoman"/>
      <w:lvlText w:val="%3)"/>
      <w:lvlJc w:val="left"/>
      <w:pPr>
        <w:ind w:left="2160" w:hanging="180"/>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1292298"/>
    <w:multiLevelType w:val="hybridMultilevel"/>
    <w:tmpl w:val="7D4C3A6A"/>
    <w:lvl w:ilvl="0" w:tplc="4FB8C5C4">
      <w:start w:val="1"/>
      <w:numFmt w:val="bullet"/>
      <w:lvlText w:val="-"/>
      <w:lvlJc w:val="left"/>
      <w:pPr>
        <w:ind w:left="643" w:hanging="360"/>
      </w:pPr>
      <w:rPr>
        <w:rFonts w:ascii="Bookman Old Style" w:eastAsia="Times New Roman" w:hAnsi="Bookman Old Style" w:cs="Times New Roman" w:hint="default"/>
      </w:rPr>
    </w:lvl>
    <w:lvl w:ilvl="1" w:tplc="240A0003" w:tentative="1">
      <w:start w:val="1"/>
      <w:numFmt w:val="bullet"/>
      <w:lvlText w:val="o"/>
      <w:lvlJc w:val="left"/>
      <w:pPr>
        <w:ind w:left="1363" w:hanging="360"/>
      </w:pPr>
      <w:rPr>
        <w:rFonts w:ascii="Courier New" w:hAnsi="Courier New" w:cs="Courier New" w:hint="default"/>
      </w:rPr>
    </w:lvl>
    <w:lvl w:ilvl="2" w:tplc="240A0005" w:tentative="1">
      <w:start w:val="1"/>
      <w:numFmt w:val="bullet"/>
      <w:lvlText w:val=""/>
      <w:lvlJc w:val="left"/>
      <w:pPr>
        <w:ind w:left="2083" w:hanging="360"/>
      </w:pPr>
      <w:rPr>
        <w:rFonts w:ascii="Wingdings" w:hAnsi="Wingdings" w:hint="default"/>
      </w:rPr>
    </w:lvl>
    <w:lvl w:ilvl="3" w:tplc="240A0001" w:tentative="1">
      <w:start w:val="1"/>
      <w:numFmt w:val="bullet"/>
      <w:lvlText w:val=""/>
      <w:lvlJc w:val="left"/>
      <w:pPr>
        <w:ind w:left="2803" w:hanging="360"/>
      </w:pPr>
      <w:rPr>
        <w:rFonts w:ascii="Symbol" w:hAnsi="Symbol" w:hint="default"/>
      </w:rPr>
    </w:lvl>
    <w:lvl w:ilvl="4" w:tplc="240A0003" w:tentative="1">
      <w:start w:val="1"/>
      <w:numFmt w:val="bullet"/>
      <w:lvlText w:val="o"/>
      <w:lvlJc w:val="left"/>
      <w:pPr>
        <w:ind w:left="3523" w:hanging="360"/>
      </w:pPr>
      <w:rPr>
        <w:rFonts w:ascii="Courier New" w:hAnsi="Courier New" w:cs="Courier New" w:hint="default"/>
      </w:rPr>
    </w:lvl>
    <w:lvl w:ilvl="5" w:tplc="240A0005" w:tentative="1">
      <w:start w:val="1"/>
      <w:numFmt w:val="bullet"/>
      <w:lvlText w:val=""/>
      <w:lvlJc w:val="left"/>
      <w:pPr>
        <w:ind w:left="4243" w:hanging="360"/>
      </w:pPr>
      <w:rPr>
        <w:rFonts w:ascii="Wingdings" w:hAnsi="Wingdings" w:hint="default"/>
      </w:rPr>
    </w:lvl>
    <w:lvl w:ilvl="6" w:tplc="240A0001" w:tentative="1">
      <w:start w:val="1"/>
      <w:numFmt w:val="bullet"/>
      <w:lvlText w:val=""/>
      <w:lvlJc w:val="left"/>
      <w:pPr>
        <w:ind w:left="4963" w:hanging="360"/>
      </w:pPr>
      <w:rPr>
        <w:rFonts w:ascii="Symbol" w:hAnsi="Symbol" w:hint="default"/>
      </w:rPr>
    </w:lvl>
    <w:lvl w:ilvl="7" w:tplc="240A0003" w:tentative="1">
      <w:start w:val="1"/>
      <w:numFmt w:val="bullet"/>
      <w:lvlText w:val="o"/>
      <w:lvlJc w:val="left"/>
      <w:pPr>
        <w:ind w:left="5683" w:hanging="360"/>
      </w:pPr>
      <w:rPr>
        <w:rFonts w:ascii="Courier New" w:hAnsi="Courier New" w:cs="Courier New" w:hint="default"/>
      </w:rPr>
    </w:lvl>
    <w:lvl w:ilvl="8" w:tplc="240A0005" w:tentative="1">
      <w:start w:val="1"/>
      <w:numFmt w:val="bullet"/>
      <w:lvlText w:val=""/>
      <w:lvlJc w:val="left"/>
      <w:pPr>
        <w:ind w:left="6403" w:hanging="360"/>
      </w:pPr>
      <w:rPr>
        <w:rFonts w:ascii="Wingdings" w:hAnsi="Wingdings" w:hint="default"/>
      </w:rPr>
    </w:lvl>
  </w:abstractNum>
  <w:abstractNum w:abstractNumId="34" w15:restartNumberingAfterBreak="0">
    <w:nsid w:val="6152652D"/>
    <w:multiLevelType w:val="hybridMultilevel"/>
    <w:tmpl w:val="8A1A8B8A"/>
    <w:lvl w:ilvl="0" w:tplc="0C0A000F">
      <w:start w:val="1"/>
      <w:numFmt w:val="decimal"/>
      <w:lvlText w:val="%1."/>
      <w:lvlJc w:val="left"/>
      <w:pPr>
        <w:tabs>
          <w:tab w:val="num" w:pos="-256"/>
        </w:tabs>
        <w:ind w:left="-256" w:hanging="360"/>
      </w:pPr>
    </w:lvl>
    <w:lvl w:ilvl="1" w:tplc="0C0A0019">
      <w:start w:val="1"/>
      <w:numFmt w:val="lowerLetter"/>
      <w:lvlText w:val="%2."/>
      <w:lvlJc w:val="left"/>
      <w:pPr>
        <w:tabs>
          <w:tab w:val="num" w:pos="464"/>
        </w:tabs>
        <w:ind w:left="464" w:hanging="360"/>
      </w:pPr>
    </w:lvl>
    <w:lvl w:ilvl="2" w:tplc="0C0A001B">
      <w:start w:val="1"/>
      <w:numFmt w:val="lowerRoman"/>
      <w:lvlText w:val="%3."/>
      <w:lvlJc w:val="right"/>
      <w:pPr>
        <w:tabs>
          <w:tab w:val="num" w:pos="1184"/>
        </w:tabs>
        <w:ind w:left="1184" w:hanging="180"/>
      </w:pPr>
    </w:lvl>
    <w:lvl w:ilvl="3" w:tplc="0C0A000F" w:tentative="1">
      <w:start w:val="1"/>
      <w:numFmt w:val="decimal"/>
      <w:lvlText w:val="%4."/>
      <w:lvlJc w:val="left"/>
      <w:pPr>
        <w:tabs>
          <w:tab w:val="num" w:pos="1904"/>
        </w:tabs>
        <w:ind w:left="1904" w:hanging="360"/>
      </w:pPr>
    </w:lvl>
    <w:lvl w:ilvl="4" w:tplc="0C0A0019" w:tentative="1">
      <w:start w:val="1"/>
      <w:numFmt w:val="lowerLetter"/>
      <w:lvlText w:val="%5."/>
      <w:lvlJc w:val="left"/>
      <w:pPr>
        <w:tabs>
          <w:tab w:val="num" w:pos="2624"/>
        </w:tabs>
        <w:ind w:left="2624" w:hanging="360"/>
      </w:pPr>
    </w:lvl>
    <w:lvl w:ilvl="5" w:tplc="0C0A001B" w:tentative="1">
      <w:start w:val="1"/>
      <w:numFmt w:val="lowerRoman"/>
      <w:lvlText w:val="%6."/>
      <w:lvlJc w:val="right"/>
      <w:pPr>
        <w:tabs>
          <w:tab w:val="num" w:pos="3344"/>
        </w:tabs>
        <w:ind w:left="3344" w:hanging="180"/>
      </w:pPr>
    </w:lvl>
    <w:lvl w:ilvl="6" w:tplc="0C0A000F" w:tentative="1">
      <w:start w:val="1"/>
      <w:numFmt w:val="decimal"/>
      <w:lvlText w:val="%7."/>
      <w:lvlJc w:val="left"/>
      <w:pPr>
        <w:tabs>
          <w:tab w:val="num" w:pos="4064"/>
        </w:tabs>
        <w:ind w:left="4064" w:hanging="360"/>
      </w:pPr>
    </w:lvl>
    <w:lvl w:ilvl="7" w:tplc="0C0A0019" w:tentative="1">
      <w:start w:val="1"/>
      <w:numFmt w:val="lowerLetter"/>
      <w:lvlText w:val="%8."/>
      <w:lvlJc w:val="left"/>
      <w:pPr>
        <w:tabs>
          <w:tab w:val="num" w:pos="4784"/>
        </w:tabs>
        <w:ind w:left="4784" w:hanging="360"/>
      </w:pPr>
    </w:lvl>
    <w:lvl w:ilvl="8" w:tplc="0C0A001B" w:tentative="1">
      <w:start w:val="1"/>
      <w:numFmt w:val="lowerRoman"/>
      <w:lvlText w:val="%9."/>
      <w:lvlJc w:val="right"/>
      <w:pPr>
        <w:tabs>
          <w:tab w:val="num" w:pos="5504"/>
        </w:tabs>
        <w:ind w:left="5504" w:hanging="180"/>
      </w:pPr>
    </w:lvl>
  </w:abstractNum>
  <w:abstractNum w:abstractNumId="35" w15:restartNumberingAfterBreak="0">
    <w:nsid w:val="627B4689"/>
    <w:multiLevelType w:val="hybridMultilevel"/>
    <w:tmpl w:val="6BECD7D4"/>
    <w:lvl w:ilvl="0" w:tplc="8368B656">
      <w:start w:val="1"/>
      <w:numFmt w:val="lowerLetter"/>
      <w:lvlText w:val="%1."/>
      <w:lvlJc w:val="left"/>
      <w:pPr>
        <w:tabs>
          <w:tab w:val="num" w:pos="720"/>
        </w:tabs>
        <w:ind w:left="720" w:hanging="360"/>
      </w:pPr>
      <w:rPr>
        <w:rFonts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63E34CD9"/>
    <w:multiLevelType w:val="hybridMultilevel"/>
    <w:tmpl w:val="50B24786"/>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6051833"/>
    <w:multiLevelType w:val="hybridMultilevel"/>
    <w:tmpl w:val="458C87B4"/>
    <w:lvl w:ilvl="0" w:tplc="DF0A0C80">
      <w:start w:val="1"/>
      <w:numFmt w:val="lowerLetter"/>
      <w:lvlText w:val="%1."/>
      <w:lvlJc w:val="left"/>
      <w:pPr>
        <w:ind w:left="360" w:hanging="360"/>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8" w15:restartNumberingAfterBreak="0">
    <w:nsid w:val="67835CD1"/>
    <w:multiLevelType w:val="hybridMultilevel"/>
    <w:tmpl w:val="FEA828B8"/>
    <w:lvl w:ilvl="0" w:tplc="240A0019">
      <w:start w:val="1"/>
      <w:numFmt w:val="lowerLetter"/>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6B061FB1"/>
    <w:multiLevelType w:val="hybridMultilevel"/>
    <w:tmpl w:val="EA6E372E"/>
    <w:lvl w:ilvl="0" w:tplc="240A0019">
      <w:start w:val="1"/>
      <w:numFmt w:val="lowerLetter"/>
      <w:lvlText w:val="%1."/>
      <w:lvlJc w:val="left"/>
      <w:pPr>
        <w:ind w:left="643"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1301603"/>
    <w:multiLevelType w:val="hybridMultilevel"/>
    <w:tmpl w:val="22D48CB2"/>
    <w:lvl w:ilvl="0" w:tplc="240A0019">
      <w:start w:val="1"/>
      <w:numFmt w:val="lowerLetter"/>
      <w:lvlText w:val="%1."/>
      <w:lvlJc w:val="left"/>
      <w:pPr>
        <w:ind w:left="360" w:hanging="360"/>
      </w:pPr>
      <w:rPr>
        <w:rFonts w:hint="default"/>
      </w:rPr>
    </w:lvl>
    <w:lvl w:ilvl="1" w:tplc="EA3A54EA">
      <w:start w:val="1"/>
      <w:numFmt w:val="decimal"/>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0"/>
  </w:num>
  <w:num w:numId="2">
    <w:abstractNumId w:val="11"/>
  </w:num>
  <w:num w:numId="3">
    <w:abstractNumId w:val="1"/>
  </w:num>
  <w:num w:numId="4">
    <w:abstractNumId w:val="37"/>
  </w:num>
  <w:num w:numId="5">
    <w:abstractNumId w:val="25"/>
  </w:num>
  <w:num w:numId="6">
    <w:abstractNumId w:val="34"/>
  </w:num>
  <w:num w:numId="7">
    <w:abstractNumId w:val="27"/>
  </w:num>
  <w:num w:numId="8">
    <w:abstractNumId w:val="32"/>
  </w:num>
  <w:num w:numId="9">
    <w:abstractNumId w:val="33"/>
  </w:num>
  <w:num w:numId="10">
    <w:abstractNumId w:val="35"/>
  </w:num>
  <w:num w:numId="11">
    <w:abstractNumId w:val="24"/>
  </w:num>
  <w:num w:numId="12">
    <w:abstractNumId w:val="28"/>
  </w:num>
  <w:num w:numId="13">
    <w:abstractNumId w:val="16"/>
  </w:num>
  <w:num w:numId="14">
    <w:abstractNumId w:val="3"/>
  </w:num>
  <w:num w:numId="15">
    <w:abstractNumId w:val="10"/>
  </w:num>
  <w:num w:numId="16">
    <w:abstractNumId w:val="39"/>
  </w:num>
  <w:num w:numId="17">
    <w:abstractNumId w:val="38"/>
  </w:num>
  <w:num w:numId="18">
    <w:abstractNumId w:val="23"/>
  </w:num>
  <w:num w:numId="19">
    <w:abstractNumId w:val="21"/>
  </w:num>
  <w:num w:numId="20">
    <w:abstractNumId w:val="5"/>
  </w:num>
  <w:num w:numId="21">
    <w:abstractNumId w:val="6"/>
  </w:num>
  <w:num w:numId="22">
    <w:abstractNumId w:val="13"/>
  </w:num>
  <w:num w:numId="23">
    <w:abstractNumId w:val="31"/>
  </w:num>
  <w:num w:numId="24">
    <w:abstractNumId w:val="15"/>
  </w:num>
  <w:num w:numId="25">
    <w:abstractNumId w:val="12"/>
  </w:num>
  <w:num w:numId="26">
    <w:abstractNumId w:val="26"/>
  </w:num>
  <w:num w:numId="27">
    <w:abstractNumId w:val="20"/>
  </w:num>
  <w:num w:numId="28">
    <w:abstractNumId w:val="29"/>
  </w:num>
  <w:num w:numId="29">
    <w:abstractNumId w:val="18"/>
  </w:num>
  <w:num w:numId="30">
    <w:abstractNumId w:val="30"/>
  </w:num>
  <w:num w:numId="31">
    <w:abstractNumId w:val="9"/>
  </w:num>
  <w:num w:numId="32">
    <w:abstractNumId w:val="19"/>
  </w:num>
  <w:num w:numId="33">
    <w:abstractNumId w:val="36"/>
  </w:num>
  <w:num w:numId="34">
    <w:abstractNumId w:val="40"/>
  </w:num>
  <w:num w:numId="35">
    <w:abstractNumId w:val="22"/>
  </w:num>
  <w:num w:numId="36">
    <w:abstractNumId w:val="8"/>
  </w:num>
  <w:num w:numId="37">
    <w:abstractNumId w:val="2"/>
  </w:num>
  <w:num w:numId="38">
    <w:abstractNumId w:val="17"/>
  </w:num>
  <w:num w:numId="39">
    <w:abstractNumId w:val="4"/>
  </w:num>
  <w:num w:numId="40">
    <w:abstractNumId w:val="7"/>
  </w:num>
  <w:num w:numId="41">
    <w:abstractNumId w:val="1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3C64"/>
    <w:rsid w:val="00006AE2"/>
    <w:rsid w:val="00007349"/>
    <w:rsid w:val="000076A1"/>
    <w:rsid w:val="000076E6"/>
    <w:rsid w:val="00007BCF"/>
    <w:rsid w:val="000108A5"/>
    <w:rsid w:val="00010D1F"/>
    <w:rsid w:val="00012259"/>
    <w:rsid w:val="00013280"/>
    <w:rsid w:val="00017587"/>
    <w:rsid w:val="000213F5"/>
    <w:rsid w:val="00025383"/>
    <w:rsid w:val="0003200A"/>
    <w:rsid w:val="00033D79"/>
    <w:rsid w:val="000438D8"/>
    <w:rsid w:val="000507B7"/>
    <w:rsid w:val="00051CA5"/>
    <w:rsid w:val="00052D67"/>
    <w:rsid w:val="00052E81"/>
    <w:rsid w:val="000533D1"/>
    <w:rsid w:val="000559F0"/>
    <w:rsid w:val="0005773E"/>
    <w:rsid w:val="00061A0A"/>
    <w:rsid w:val="00061A98"/>
    <w:rsid w:val="00061CC0"/>
    <w:rsid w:val="00063657"/>
    <w:rsid w:val="00066358"/>
    <w:rsid w:val="000706DA"/>
    <w:rsid w:val="00073101"/>
    <w:rsid w:val="0007346F"/>
    <w:rsid w:val="0007579A"/>
    <w:rsid w:val="00075AEF"/>
    <w:rsid w:val="00076680"/>
    <w:rsid w:val="00076A1D"/>
    <w:rsid w:val="0008073E"/>
    <w:rsid w:val="0008244E"/>
    <w:rsid w:val="00083FA7"/>
    <w:rsid w:val="00090D65"/>
    <w:rsid w:val="00091CDB"/>
    <w:rsid w:val="000A19AC"/>
    <w:rsid w:val="000A3F79"/>
    <w:rsid w:val="000A5C38"/>
    <w:rsid w:val="000A7352"/>
    <w:rsid w:val="000B1BAB"/>
    <w:rsid w:val="000B40C8"/>
    <w:rsid w:val="000B65F1"/>
    <w:rsid w:val="000C0E7E"/>
    <w:rsid w:val="000C2F18"/>
    <w:rsid w:val="000C3910"/>
    <w:rsid w:val="000D1608"/>
    <w:rsid w:val="000D26F8"/>
    <w:rsid w:val="000D40FF"/>
    <w:rsid w:val="000D7753"/>
    <w:rsid w:val="000D785A"/>
    <w:rsid w:val="000E1FF0"/>
    <w:rsid w:val="000E5438"/>
    <w:rsid w:val="000E65E5"/>
    <w:rsid w:val="000F2BB6"/>
    <w:rsid w:val="000F34AC"/>
    <w:rsid w:val="000F4B6F"/>
    <w:rsid w:val="000F6909"/>
    <w:rsid w:val="000F6F0B"/>
    <w:rsid w:val="000F7EDE"/>
    <w:rsid w:val="00100CD4"/>
    <w:rsid w:val="00102198"/>
    <w:rsid w:val="00104C45"/>
    <w:rsid w:val="00107C62"/>
    <w:rsid w:val="00110796"/>
    <w:rsid w:val="00112BF9"/>
    <w:rsid w:val="00121512"/>
    <w:rsid w:val="00123E6E"/>
    <w:rsid w:val="00126030"/>
    <w:rsid w:val="00132963"/>
    <w:rsid w:val="00135D58"/>
    <w:rsid w:val="001403C4"/>
    <w:rsid w:val="001405C6"/>
    <w:rsid w:val="00141013"/>
    <w:rsid w:val="00142A68"/>
    <w:rsid w:val="001436DC"/>
    <w:rsid w:val="001476BF"/>
    <w:rsid w:val="00151C3F"/>
    <w:rsid w:val="00154A66"/>
    <w:rsid w:val="00156BB4"/>
    <w:rsid w:val="0015742F"/>
    <w:rsid w:val="00162133"/>
    <w:rsid w:val="00163225"/>
    <w:rsid w:val="00165911"/>
    <w:rsid w:val="00165D75"/>
    <w:rsid w:val="001735BD"/>
    <w:rsid w:val="0017365A"/>
    <w:rsid w:val="00187F0E"/>
    <w:rsid w:val="00192CBF"/>
    <w:rsid w:val="00192FF1"/>
    <w:rsid w:val="00193EAA"/>
    <w:rsid w:val="0019432F"/>
    <w:rsid w:val="001A0068"/>
    <w:rsid w:val="001A182D"/>
    <w:rsid w:val="001A2DB8"/>
    <w:rsid w:val="001A3699"/>
    <w:rsid w:val="001A5F1B"/>
    <w:rsid w:val="001A7B49"/>
    <w:rsid w:val="001A7FCE"/>
    <w:rsid w:val="001B045D"/>
    <w:rsid w:val="001B08E0"/>
    <w:rsid w:val="001B1C22"/>
    <w:rsid w:val="001B34C6"/>
    <w:rsid w:val="001B7E25"/>
    <w:rsid w:val="001C11DD"/>
    <w:rsid w:val="001C2835"/>
    <w:rsid w:val="001C286C"/>
    <w:rsid w:val="001C3D35"/>
    <w:rsid w:val="001C41F0"/>
    <w:rsid w:val="001C7495"/>
    <w:rsid w:val="001D274E"/>
    <w:rsid w:val="001D2A6A"/>
    <w:rsid w:val="001D4A13"/>
    <w:rsid w:val="001D4DF0"/>
    <w:rsid w:val="001D540A"/>
    <w:rsid w:val="001D7832"/>
    <w:rsid w:val="001E0707"/>
    <w:rsid w:val="001E1D41"/>
    <w:rsid w:val="001E5E49"/>
    <w:rsid w:val="001F35A6"/>
    <w:rsid w:val="001F4BCE"/>
    <w:rsid w:val="001F612B"/>
    <w:rsid w:val="0020048B"/>
    <w:rsid w:val="002011B1"/>
    <w:rsid w:val="002017E7"/>
    <w:rsid w:val="002031B6"/>
    <w:rsid w:val="0020454A"/>
    <w:rsid w:val="002067A3"/>
    <w:rsid w:val="002067AB"/>
    <w:rsid w:val="002100DB"/>
    <w:rsid w:val="00211D34"/>
    <w:rsid w:val="00214F04"/>
    <w:rsid w:val="00222A99"/>
    <w:rsid w:val="0023057E"/>
    <w:rsid w:val="00230D27"/>
    <w:rsid w:val="00231337"/>
    <w:rsid w:val="002320AB"/>
    <w:rsid w:val="00232438"/>
    <w:rsid w:val="00233CD5"/>
    <w:rsid w:val="00235780"/>
    <w:rsid w:val="002375B7"/>
    <w:rsid w:val="002410FD"/>
    <w:rsid w:val="00244FAC"/>
    <w:rsid w:val="0025030D"/>
    <w:rsid w:val="00251DE7"/>
    <w:rsid w:val="002525CE"/>
    <w:rsid w:val="00252A21"/>
    <w:rsid w:val="00253D65"/>
    <w:rsid w:val="00256533"/>
    <w:rsid w:val="0026015D"/>
    <w:rsid w:val="002646C6"/>
    <w:rsid w:val="00266CD6"/>
    <w:rsid w:val="00270DB8"/>
    <w:rsid w:val="00271E1A"/>
    <w:rsid w:val="00272E81"/>
    <w:rsid w:val="00273452"/>
    <w:rsid w:val="002746B2"/>
    <w:rsid w:val="00275DAB"/>
    <w:rsid w:val="00281261"/>
    <w:rsid w:val="00282F33"/>
    <w:rsid w:val="00284388"/>
    <w:rsid w:val="002902EF"/>
    <w:rsid w:val="00290E4B"/>
    <w:rsid w:val="0029435E"/>
    <w:rsid w:val="002A782A"/>
    <w:rsid w:val="002B11E2"/>
    <w:rsid w:val="002B24B8"/>
    <w:rsid w:val="002C35B0"/>
    <w:rsid w:val="002D3AE9"/>
    <w:rsid w:val="002D4510"/>
    <w:rsid w:val="002D6DC4"/>
    <w:rsid w:val="002D7C5C"/>
    <w:rsid w:val="002E212F"/>
    <w:rsid w:val="002E3B6A"/>
    <w:rsid w:val="002E63E7"/>
    <w:rsid w:val="002E7B04"/>
    <w:rsid w:val="002E7E36"/>
    <w:rsid w:val="002F0734"/>
    <w:rsid w:val="002F15A9"/>
    <w:rsid w:val="002F46E7"/>
    <w:rsid w:val="002F4889"/>
    <w:rsid w:val="002F4F1E"/>
    <w:rsid w:val="002F5938"/>
    <w:rsid w:val="002F6914"/>
    <w:rsid w:val="002F78BF"/>
    <w:rsid w:val="00300CCC"/>
    <w:rsid w:val="003101DA"/>
    <w:rsid w:val="00310B9C"/>
    <w:rsid w:val="00310E60"/>
    <w:rsid w:val="00313BEF"/>
    <w:rsid w:val="00314757"/>
    <w:rsid w:val="003161F3"/>
    <w:rsid w:val="003163AF"/>
    <w:rsid w:val="00316503"/>
    <w:rsid w:val="003211CE"/>
    <w:rsid w:val="003264FA"/>
    <w:rsid w:val="00326F15"/>
    <w:rsid w:val="00327381"/>
    <w:rsid w:val="0033639F"/>
    <w:rsid w:val="0033679D"/>
    <w:rsid w:val="00340A87"/>
    <w:rsid w:val="00343A09"/>
    <w:rsid w:val="00343CD8"/>
    <w:rsid w:val="00345616"/>
    <w:rsid w:val="0034748C"/>
    <w:rsid w:val="00347FA3"/>
    <w:rsid w:val="00351B14"/>
    <w:rsid w:val="0035298F"/>
    <w:rsid w:val="00353095"/>
    <w:rsid w:val="00353EC0"/>
    <w:rsid w:val="0035403A"/>
    <w:rsid w:val="00361262"/>
    <w:rsid w:val="003615BF"/>
    <w:rsid w:val="00361907"/>
    <w:rsid w:val="00362553"/>
    <w:rsid w:val="0036394B"/>
    <w:rsid w:val="00364119"/>
    <w:rsid w:val="003643AB"/>
    <w:rsid w:val="00367BD7"/>
    <w:rsid w:val="003709B5"/>
    <w:rsid w:val="0037280C"/>
    <w:rsid w:val="003740D5"/>
    <w:rsid w:val="003759C2"/>
    <w:rsid w:val="00375A4B"/>
    <w:rsid w:val="00377F2B"/>
    <w:rsid w:val="00380C78"/>
    <w:rsid w:val="00382C51"/>
    <w:rsid w:val="00387E3A"/>
    <w:rsid w:val="0039281B"/>
    <w:rsid w:val="00393294"/>
    <w:rsid w:val="00393C71"/>
    <w:rsid w:val="00396502"/>
    <w:rsid w:val="00397365"/>
    <w:rsid w:val="003A0BA3"/>
    <w:rsid w:val="003A31F6"/>
    <w:rsid w:val="003A4368"/>
    <w:rsid w:val="003A4626"/>
    <w:rsid w:val="003A6112"/>
    <w:rsid w:val="003A78B8"/>
    <w:rsid w:val="003B0DFC"/>
    <w:rsid w:val="003B34F1"/>
    <w:rsid w:val="003B616F"/>
    <w:rsid w:val="003B6323"/>
    <w:rsid w:val="003B67B4"/>
    <w:rsid w:val="003B7793"/>
    <w:rsid w:val="003B7839"/>
    <w:rsid w:val="003C121F"/>
    <w:rsid w:val="003C3447"/>
    <w:rsid w:val="003C37F1"/>
    <w:rsid w:val="003C453B"/>
    <w:rsid w:val="003C6E4A"/>
    <w:rsid w:val="003D076C"/>
    <w:rsid w:val="003D4601"/>
    <w:rsid w:val="003D4E6C"/>
    <w:rsid w:val="003D5288"/>
    <w:rsid w:val="003D6331"/>
    <w:rsid w:val="003D7451"/>
    <w:rsid w:val="003D7E00"/>
    <w:rsid w:val="003E1713"/>
    <w:rsid w:val="003E4274"/>
    <w:rsid w:val="003E6ADF"/>
    <w:rsid w:val="003E7771"/>
    <w:rsid w:val="003E7877"/>
    <w:rsid w:val="003E78B5"/>
    <w:rsid w:val="003F11FD"/>
    <w:rsid w:val="003F2B64"/>
    <w:rsid w:val="003F634B"/>
    <w:rsid w:val="00402678"/>
    <w:rsid w:val="004038A4"/>
    <w:rsid w:val="004039D3"/>
    <w:rsid w:val="004062DA"/>
    <w:rsid w:val="00406D6D"/>
    <w:rsid w:val="00412EC0"/>
    <w:rsid w:val="004133A4"/>
    <w:rsid w:val="00413FE8"/>
    <w:rsid w:val="00415BAB"/>
    <w:rsid w:val="00415ED2"/>
    <w:rsid w:val="0041622C"/>
    <w:rsid w:val="0042068C"/>
    <w:rsid w:val="00422288"/>
    <w:rsid w:val="0042423B"/>
    <w:rsid w:val="00424A2E"/>
    <w:rsid w:val="00424C7D"/>
    <w:rsid w:val="00430E29"/>
    <w:rsid w:val="00432BD8"/>
    <w:rsid w:val="004337D2"/>
    <w:rsid w:val="004364D3"/>
    <w:rsid w:val="004407F9"/>
    <w:rsid w:val="00441C46"/>
    <w:rsid w:val="004439B6"/>
    <w:rsid w:val="00444970"/>
    <w:rsid w:val="00446BF3"/>
    <w:rsid w:val="00452635"/>
    <w:rsid w:val="00457748"/>
    <w:rsid w:val="00460379"/>
    <w:rsid w:val="00460426"/>
    <w:rsid w:val="00462B8C"/>
    <w:rsid w:val="0046466D"/>
    <w:rsid w:val="00464758"/>
    <w:rsid w:val="0046519F"/>
    <w:rsid w:val="00466B1D"/>
    <w:rsid w:val="00466F75"/>
    <w:rsid w:val="0047122B"/>
    <w:rsid w:val="00471623"/>
    <w:rsid w:val="00472971"/>
    <w:rsid w:val="00473B7A"/>
    <w:rsid w:val="00480A5A"/>
    <w:rsid w:val="00482835"/>
    <w:rsid w:val="004902BD"/>
    <w:rsid w:val="004904B8"/>
    <w:rsid w:val="00493792"/>
    <w:rsid w:val="004960E9"/>
    <w:rsid w:val="004A1C35"/>
    <w:rsid w:val="004A24FC"/>
    <w:rsid w:val="004A2E88"/>
    <w:rsid w:val="004A4F00"/>
    <w:rsid w:val="004A4F79"/>
    <w:rsid w:val="004A5305"/>
    <w:rsid w:val="004A590F"/>
    <w:rsid w:val="004B08D8"/>
    <w:rsid w:val="004B16F4"/>
    <w:rsid w:val="004B2E23"/>
    <w:rsid w:val="004B524B"/>
    <w:rsid w:val="004B78C7"/>
    <w:rsid w:val="004B7F7D"/>
    <w:rsid w:val="004C1BF0"/>
    <w:rsid w:val="004C1CFF"/>
    <w:rsid w:val="004C3163"/>
    <w:rsid w:val="004C331C"/>
    <w:rsid w:val="004D2F40"/>
    <w:rsid w:val="004D600C"/>
    <w:rsid w:val="004D69E6"/>
    <w:rsid w:val="004D7634"/>
    <w:rsid w:val="004D7788"/>
    <w:rsid w:val="004E1E9F"/>
    <w:rsid w:val="004E1FE2"/>
    <w:rsid w:val="004E5236"/>
    <w:rsid w:val="004F1128"/>
    <w:rsid w:val="004F3E4C"/>
    <w:rsid w:val="004F4ABD"/>
    <w:rsid w:val="0050257A"/>
    <w:rsid w:val="00503811"/>
    <w:rsid w:val="00520C40"/>
    <w:rsid w:val="00526F02"/>
    <w:rsid w:val="0052708C"/>
    <w:rsid w:val="0052714C"/>
    <w:rsid w:val="00527797"/>
    <w:rsid w:val="005278EB"/>
    <w:rsid w:val="005300D3"/>
    <w:rsid w:val="005358D5"/>
    <w:rsid w:val="00541B86"/>
    <w:rsid w:val="005438B6"/>
    <w:rsid w:val="00544F82"/>
    <w:rsid w:val="00546801"/>
    <w:rsid w:val="00547741"/>
    <w:rsid w:val="005615D6"/>
    <w:rsid w:val="00561E6E"/>
    <w:rsid w:val="00562E36"/>
    <w:rsid w:val="00563C1F"/>
    <w:rsid w:val="00565441"/>
    <w:rsid w:val="00566234"/>
    <w:rsid w:val="0056781E"/>
    <w:rsid w:val="0056786F"/>
    <w:rsid w:val="00571552"/>
    <w:rsid w:val="005717E1"/>
    <w:rsid w:val="00572E58"/>
    <w:rsid w:val="00576D07"/>
    <w:rsid w:val="00581DC2"/>
    <w:rsid w:val="00593A1B"/>
    <w:rsid w:val="00593C4F"/>
    <w:rsid w:val="005946A8"/>
    <w:rsid w:val="00594BF2"/>
    <w:rsid w:val="005A1009"/>
    <w:rsid w:val="005A3394"/>
    <w:rsid w:val="005A3ABA"/>
    <w:rsid w:val="005A402B"/>
    <w:rsid w:val="005A4407"/>
    <w:rsid w:val="005A48BD"/>
    <w:rsid w:val="005A51C2"/>
    <w:rsid w:val="005A59EF"/>
    <w:rsid w:val="005A5F17"/>
    <w:rsid w:val="005A6EF6"/>
    <w:rsid w:val="005B1BF2"/>
    <w:rsid w:val="005B6B1F"/>
    <w:rsid w:val="005C2287"/>
    <w:rsid w:val="005C245F"/>
    <w:rsid w:val="005C5A4E"/>
    <w:rsid w:val="005C6976"/>
    <w:rsid w:val="005D0241"/>
    <w:rsid w:val="005D0B55"/>
    <w:rsid w:val="005D1B63"/>
    <w:rsid w:val="005D200B"/>
    <w:rsid w:val="005D2A8E"/>
    <w:rsid w:val="005E1803"/>
    <w:rsid w:val="005E20D0"/>
    <w:rsid w:val="005E7A6D"/>
    <w:rsid w:val="005F1BC7"/>
    <w:rsid w:val="005F24DA"/>
    <w:rsid w:val="005F3A51"/>
    <w:rsid w:val="005F6C6F"/>
    <w:rsid w:val="005F6F41"/>
    <w:rsid w:val="00601AA2"/>
    <w:rsid w:val="00602A48"/>
    <w:rsid w:val="00604FCF"/>
    <w:rsid w:val="00606100"/>
    <w:rsid w:val="0061017A"/>
    <w:rsid w:val="0061195B"/>
    <w:rsid w:val="00614D59"/>
    <w:rsid w:val="00617282"/>
    <w:rsid w:val="00620D1E"/>
    <w:rsid w:val="00623695"/>
    <w:rsid w:val="00625DC6"/>
    <w:rsid w:val="00625E7C"/>
    <w:rsid w:val="00626192"/>
    <w:rsid w:val="0062689A"/>
    <w:rsid w:val="006268E6"/>
    <w:rsid w:val="00626EBC"/>
    <w:rsid w:val="006310B3"/>
    <w:rsid w:val="00633F74"/>
    <w:rsid w:val="006351C9"/>
    <w:rsid w:val="006368D6"/>
    <w:rsid w:val="006371E8"/>
    <w:rsid w:val="0064008F"/>
    <w:rsid w:val="006414A9"/>
    <w:rsid w:val="0064391D"/>
    <w:rsid w:val="00647855"/>
    <w:rsid w:val="006510E0"/>
    <w:rsid w:val="006516F5"/>
    <w:rsid w:val="00651821"/>
    <w:rsid w:val="00654384"/>
    <w:rsid w:val="00654416"/>
    <w:rsid w:val="006546F2"/>
    <w:rsid w:val="0065718B"/>
    <w:rsid w:val="00661D24"/>
    <w:rsid w:val="00667088"/>
    <w:rsid w:val="006675CD"/>
    <w:rsid w:val="00667D87"/>
    <w:rsid w:val="006736D4"/>
    <w:rsid w:val="006772A6"/>
    <w:rsid w:val="006800B6"/>
    <w:rsid w:val="006806E7"/>
    <w:rsid w:val="00681A98"/>
    <w:rsid w:val="00681F47"/>
    <w:rsid w:val="00682803"/>
    <w:rsid w:val="00684D9B"/>
    <w:rsid w:val="006867A8"/>
    <w:rsid w:val="00686B62"/>
    <w:rsid w:val="006874BE"/>
    <w:rsid w:val="00687DE6"/>
    <w:rsid w:val="00687F1F"/>
    <w:rsid w:val="00692F2D"/>
    <w:rsid w:val="0069340F"/>
    <w:rsid w:val="00694292"/>
    <w:rsid w:val="006949EF"/>
    <w:rsid w:val="00695D0F"/>
    <w:rsid w:val="00697556"/>
    <w:rsid w:val="0069758C"/>
    <w:rsid w:val="006A164F"/>
    <w:rsid w:val="006A289A"/>
    <w:rsid w:val="006A3799"/>
    <w:rsid w:val="006A392E"/>
    <w:rsid w:val="006A6932"/>
    <w:rsid w:val="006B05FC"/>
    <w:rsid w:val="006B0924"/>
    <w:rsid w:val="006B0C64"/>
    <w:rsid w:val="006B0CB7"/>
    <w:rsid w:val="006B242B"/>
    <w:rsid w:val="006B4647"/>
    <w:rsid w:val="006B4C2B"/>
    <w:rsid w:val="006B5EC7"/>
    <w:rsid w:val="006B6D47"/>
    <w:rsid w:val="006C0B10"/>
    <w:rsid w:val="006C2A5B"/>
    <w:rsid w:val="006C42EB"/>
    <w:rsid w:val="006C5AFE"/>
    <w:rsid w:val="006D5CF9"/>
    <w:rsid w:val="006D6CD5"/>
    <w:rsid w:val="006E0042"/>
    <w:rsid w:val="006E7BEA"/>
    <w:rsid w:val="006F076D"/>
    <w:rsid w:val="006F6D95"/>
    <w:rsid w:val="00701B39"/>
    <w:rsid w:val="00703BAA"/>
    <w:rsid w:val="00706F13"/>
    <w:rsid w:val="007072E8"/>
    <w:rsid w:val="00707613"/>
    <w:rsid w:val="00711599"/>
    <w:rsid w:val="00712EAE"/>
    <w:rsid w:val="007138BD"/>
    <w:rsid w:val="0071618D"/>
    <w:rsid w:val="00716455"/>
    <w:rsid w:val="007165B3"/>
    <w:rsid w:val="00717416"/>
    <w:rsid w:val="0072180B"/>
    <w:rsid w:val="00724808"/>
    <w:rsid w:val="00725FA4"/>
    <w:rsid w:val="0072683F"/>
    <w:rsid w:val="00731552"/>
    <w:rsid w:val="0073456D"/>
    <w:rsid w:val="007350AE"/>
    <w:rsid w:val="0073598D"/>
    <w:rsid w:val="00736CFB"/>
    <w:rsid w:val="00740446"/>
    <w:rsid w:val="007416F1"/>
    <w:rsid w:val="00742AAC"/>
    <w:rsid w:val="0074345B"/>
    <w:rsid w:val="007438A9"/>
    <w:rsid w:val="00743CF8"/>
    <w:rsid w:val="0074491E"/>
    <w:rsid w:val="007510C6"/>
    <w:rsid w:val="00755BD7"/>
    <w:rsid w:val="007569DD"/>
    <w:rsid w:val="00760C85"/>
    <w:rsid w:val="007611CC"/>
    <w:rsid w:val="0076247A"/>
    <w:rsid w:val="0076264F"/>
    <w:rsid w:val="00763BC4"/>
    <w:rsid w:val="00764265"/>
    <w:rsid w:val="00767E68"/>
    <w:rsid w:val="00767F8D"/>
    <w:rsid w:val="0077187B"/>
    <w:rsid w:val="00772B58"/>
    <w:rsid w:val="00775964"/>
    <w:rsid w:val="007765FE"/>
    <w:rsid w:val="00776774"/>
    <w:rsid w:val="0077712A"/>
    <w:rsid w:val="0077779C"/>
    <w:rsid w:val="007829D2"/>
    <w:rsid w:val="007839CE"/>
    <w:rsid w:val="0078668F"/>
    <w:rsid w:val="00794C33"/>
    <w:rsid w:val="00794E7E"/>
    <w:rsid w:val="00795BFB"/>
    <w:rsid w:val="007A599B"/>
    <w:rsid w:val="007B2760"/>
    <w:rsid w:val="007C0CFE"/>
    <w:rsid w:val="007C1F81"/>
    <w:rsid w:val="007C20BE"/>
    <w:rsid w:val="007C37A4"/>
    <w:rsid w:val="007C3BF5"/>
    <w:rsid w:val="007C3ECC"/>
    <w:rsid w:val="007C481B"/>
    <w:rsid w:val="007C609D"/>
    <w:rsid w:val="007D0087"/>
    <w:rsid w:val="007D0798"/>
    <w:rsid w:val="007D3A58"/>
    <w:rsid w:val="007D7267"/>
    <w:rsid w:val="007E176F"/>
    <w:rsid w:val="007E4CB8"/>
    <w:rsid w:val="007E6E6D"/>
    <w:rsid w:val="007F1971"/>
    <w:rsid w:val="007F5347"/>
    <w:rsid w:val="00800BE7"/>
    <w:rsid w:val="008019A7"/>
    <w:rsid w:val="008019BC"/>
    <w:rsid w:val="00802491"/>
    <w:rsid w:val="00804619"/>
    <w:rsid w:val="00806C01"/>
    <w:rsid w:val="00806D4A"/>
    <w:rsid w:val="00806F31"/>
    <w:rsid w:val="008100AB"/>
    <w:rsid w:val="008120E9"/>
    <w:rsid w:val="00812E48"/>
    <w:rsid w:val="00812F4D"/>
    <w:rsid w:val="008148CC"/>
    <w:rsid w:val="00817BD2"/>
    <w:rsid w:val="008211A4"/>
    <w:rsid w:val="00823452"/>
    <w:rsid w:val="00826C1D"/>
    <w:rsid w:val="008305C2"/>
    <w:rsid w:val="00836C6D"/>
    <w:rsid w:val="008378AE"/>
    <w:rsid w:val="00843BD0"/>
    <w:rsid w:val="00845176"/>
    <w:rsid w:val="00846094"/>
    <w:rsid w:val="00847249"/>
    <w:rsid w:val="00847293"/>
    <w:rsid w:val="008510D4"/>
    <w:rsid w:val="008538A7"/>
    <w:rsid w:val="0086200C"/>
    <w:rsid w:val="0086381B"/>
    <w:rsid w:val="00863D6B"/>
    <w:rsid w:val="00864E60"/>
    <w:rsid w:val="00865FE4"/>
    <w:rsid w:val="00873150"/>
    <w:rsid w:val="0087657D"/>
    <w:rsid w:val="008807D5"/>
    <w:rsid w:val="00880832"/>
    <w:rsid w:val="00886EE1"/>
    <w:rsid w:val="0088727D"/>
    <w:rsid w:val="0089019E"/>
    <w:rsid w:val="008906F3"/>
    <w:rsid w:val="00890865"/>
    <w:rsid w:val="008936E4"/>
    <w:rsid w:val="00895FBA"/>
    <w:rsid w:val="00896383"/>
    <w:rsid w:val="00897C75"/>
    <w:rsid w:val="008A096F"/>
    <w:rsid w:val="008A2C7A"/>
    <w:rsid w:val="008A4BF5"/>
    <w:rsid w:val="008A5FC4"/>
    <w:rsid w:val="008A6E9B"/>
    <w:rsid w:val="008A6FFA"/>
    <w:rsid w:val="008B2458"/>
    <w:rsid w:val="008B2471"/>
    <w:rsid w:val="008B24EB"/>
    <w:rsid w:val="008B44AE"/>
    <w:rsid w:val="008B6D65"/>
    <w:rsid w:val="008C059B"/>
    <w:rsid w:val="008C1130"/>
    <w:rsid w:val="008C6472"/>
    <w:rsid w:val="008D0327"/>
    <w:rsid w:val="008D18E6"/>
    <w:rsid w:val="008D3925"/>
    <w:rsid w:val="008D395B"/>
    <w:rsid w:val="008D66DA"/>
    <w:rsid w:val="008D7A9B"/>
    <w:rsid w:val="008E0C67"/>
    <w:rsid w:val="008E1DCC"/>
    <w:rsid w:val="008E3A35"/>
    <w:rsid w:val="008E6C95"/>
    <w:rsid w:val="008E76AC"/>
    <w:rsid w:val="008F1DFA"/>
    <w:rsid w:val="008F21F6"/>
    <w:rsid w:val="008F5E87"/>
    <w:rsid w:val="008F67FF"/>
    <w:rsid w:val="008F6A2E"/>
    <w:rsid w:val="00903A05"/>
    <w:rsid w:val="00905773"/>
    <w:rsid w:val="009060EE"/>
    <w:rsid w:val="009065E1"/>
    <w:rsid w:val="009123E0"/>
    <w:rsid w:val="00913B91"/>
    <w:rsid w:val="00917BA3"/>
    <w:rsid w:val="009215EE"/>
    <w:rsid w:val="00923191"/>
    <w:rsid w:val="00925045"/>
    <w:rsid w:val="00926CCB"/>
    <w:rsid w:val="00926F6D"/>
    <w:rsid w:val="009310E3"/>
    <w:rsid w:val="00934F0D"/>
    <w:rsid w:val="00936E11"/>
    <w:rsid w:val="00936F30"/>
    <w:rsid w:val="00943AEF"/>
    <w:rsid w:val="00943D8F"/>
    <w:rsid w:val="00944CBA"/>
    <w:rsid w:val="00946769"/>
    <w:rsid w:val="00947CCE"/>
    <w:rsid w:val="00950103"/>
    <w:rsid w:val="009505E4"/>
    <w:rsid w:val="00950B15"/>
    <w:rsid w:val="00951E0A"/>
    <w:rsid w:val="00951F79"/>
    <w:rsid w:val="00952607"/>
    <w:rsid w:val="009537F3"/>
    <w:rsid w:val="00953A9C"/>
    <w:rsid w:val="00955751"/>
    <w:rsid w:val="00955D64"/>
    <w:rsid w:val="00956FF4"/>
    <w:rsid w:val="00960FB9"/>
    <w:rsid w:val="0096599D"/>
    <w:rsid w:val="00965C1C"/>
    <w:rsid w:val="009663C7"/>
    <w:rsid w:val="0097002D"/>
    <w:rsid w:val="009700DB"/>
    <w:rsid w:val="00971CCA"/>
    <w:rsid w:val="00974AB5"/>
    <w:rsid w:val="00976A6A"/>
    <w:rsid w:val="0098165C"/>
    <w:rsid w:val="0098706D"/>
    <w:rsid w:val="009935FB"/>
    <w:rsid w:val="00993B52"/>
    <w:rsid w:val="00995D74"/>
    <w:rsid w:val="0099651B"/>
    <w:rsid w:val="009A23C1"/>
    <w:rsid w:val="009A2DDA"/>
    <w:rsid w:val="009A463F"/>
    <w:rsid w:val="009A4C27"/>
    <w:rsid w:val="009A61E7"/>
    <w:rsid w:val="009A6DCE"/>
    <w:rsid w:val="009B4532"/>
    <w:rsid w:val="009C406E"/>
    <w:rsid w:val="009C43C0"/>
    <w:rsid w:val="009C6865"/>
    <w:rsid w:val="009D1AC4"/>
    <w:rsid w:val="009D3A83"/>
    <w:rsid w:val="009E0D1A"/>
    <w:rsid w:val="009E396F"/>
    <w:rsid w:val="009E4F72"/>
    <w:rsid w:val="009E72D2"/>
    <w:rsid w:val="009F0F37"/>
    <w:rsid w:val="009F4851"/>
    <w:rsid w:val="009F4A54"/>
    <w:rsid w:val="009F4BEC"/>
    <w:rsid w:val="009F4CA6"/>
    <w:rsid w:val="009F5D1B"/>
    <w:rsid w:val="00A00B39"/>
    <w:rsid w:val="00A023FE"/>
    <w:rsid w:val="00A0449D"/>
    <w:rsid w:val="00A05912"/>
    <w:rsid w:val="00A1312C"/>
    <w:rsid w:val="00A1385D"/>
    <w:rsid w:val="00A14772"/>
    <w:rsid w:val="00A15F0B"/>
    <w:rsid w:val="00A20846"/>
    <w:rsid w:val="00A25FD7"/>
    <w:rsid w:val="00A26C23"/>
    <w:rsid w:val="00A31B6D"/>
    <w:rsid w:val="00A33927"/>
    <w:rsid w:val="00A34116"/>
    <w:rsid w:val="00A42F5C"/>
    <w:rsid w:val="00A43AFF"/>
    <w:rsid w:val="00A44726"/>
    <w:rsid w:val="00A51718"/>
    <w:rsid w:val="00A52164"/>
    <w:rsid w:val="00A52FFA"/>
    <w:rsid w:val="00A53C87"/>
    <w:rsid w:val="00A54AA3"/>
    <w:rsid w:val="00A54B44"/>
    <w:rsid w:val="00A54E43"/>
    <w:rsid w:val="00A64BC1"/>
    <w:rsid w:val="00A6673B"/>
    <w:rsid w:val="00A678C2"/>
    <w:rsid w:val="00A724B1"/>
    <w:rsid w:val="00A73689"/>
    <w:rsid w:val="00A75BD0"/>
    <w:rsid w:val="00A7793A"/>
    <w:rsid w:val="00A851C1"/>
    <w:rsid w:val="00A901F0"/>
    <w:rsid w:val="00A94E5D"/>
    <w:rsid w:val="00A97900"/>
    <w:rsid w:val="00AA12C8"/>
    <w:rsid w:val="00AA131C"/>
    <w:rsid w:val="00AA1462"/>
    <w:rsid w:val="00AA4CC7"/>
    <w:rsid w:val="00AA5C9B"/>
    <w:rsid w:val="00AA5E8E"/>
    <w:rsid w:val="00AA68B7"/>
    <w:rsid w:val="00AA6F94"/>
    <w:rsid w:val="00AB2522"/>
    <w:rsid w:val="00AB2EB5"/>
    <w:rsid w:val="00AB459C"/>
    <w:rsid w:val="00AB6127"/>
    <w:rsid w:val="00AB6CA7"/>
    <w:rsid w:val="00AC5A4A"/>
    <w:rsid w:val="00AC70BF"/>
    <w:rsid w:val="00AD0148"/>
    <w:rsid w:val="00AD01E4"/>
    <w:rsid w:val="00AD0858"/>
    <w:rsid w:val="00AD47E6"/>
    <w:rsid w:val="00AD6315"/>
    <w:rsid w:val="00AD6456"/>
    <w:rsid w:val="00AE7340"/>
    <w:rsid w:val="00AF0EA8"/>
    <w:rsid w:val="00AF1BBD"/>
    <w:rsid w:val="00AF248F"/>
    <w:rsid w:val="00AF47B4"/>
    <w:rsid w:val="00AF4FF1"/>
    <w:rsid w:val="00B10207"/>
    <w:rsid w:val="00B11177"/>
    <w:rsid w:val="00B12784"/>
    <w:rsid w:val="00B141E7"/>
    <w:rsid w:val="00B14861"/>
    <w:rsid w:val="00B22F27"/>
    <w:rsid w:val="00B23548"/>
    <w:rsid w:val="00B30277"/>
    <w:rsid w:val="00B351B4"/>
    <w:rsid w:val="00B41230"/>
    <w:rsid w:val="00B429BD"/>
    <w:rsid w:val="00B43BA4"/>
    <w:rsid w:val="00B43F80"/>
    <w:rsid w:val="00B4574C"/>
    <w:rsid w:val="00B46BCA"/>
    <w:rsid w:val="00B46FD1"/>
    <w:rsid w:val="00B502E2"/>
    <w:rsid w:val="00B5246E"/>
    <w:rsid w:val="00B542E5"/>
    <w:rsid w:val="00B6082E"/>
    <w:rsid w:val="00B65EC5"/>
    <w:rsid w:val="00B671A8"/>
    <w:rsid w:val="00B71F4B"/>
    <w:rsid w:val="00B7422F"/>
    <w:rsid w:val="00B74343"/>
    <w:rsid w:val="00B803A6"/>
    <w:rsid w:val="00B82BC2"/>
    <w:rsid w:val="00B85DF4"/>
    <w:rsid w:val="00B86DCC"/>
    <w:rsid w:val="00B87806"/>
    <w:rsid w:val="00B87EC9"/>
    <w:rsid w:val="00B91A32"/>
    <w:rsid w:val="00B93546"/>
    <w:rsid w:val="00B935C3"/>
    <w:rsid w:val="00BA4FB8"/>
    <w:rsid w:val="00BA53AA"/>
    <w:rsid w:val="00BA6F7C"/>
    <w:rsid w:val="00BB111A"/>
    <w:rsid w:val="00BB25B8"/>
    <w:rsid w:val="00BB290F"/>
    <w:rsid w:val="00BB4405"/>
    <w:rsid w:val="00BB60BC"/>
    <w:rsid w:val="00BC2EA3"/>
    <w:rsid w:val="00BC335E"/>
    <w:rsid w:val="00BC38FD"/>
    <w:rsid w:val="00BC449A"/>
    <w:rsid w:val="00BC6F5A"/>
    <w:rsid w:val="00BC7DAC"/>
    <w:rsid w:val="00BD0F3A"/>
    <w:rsid w:val="00BD15F4"/>
    <w:rsid w:val="00BD1ED3"/>
    <w:rsid w:val="00BD2FBE"/>
    <w:rsid w:val="00BE6479"/>
    <w:rsid w:val="00BE7722"/>
    <w:rsid w:val="00BF1A47"/>
    <w:rsid w:val="00BF48D1"/>
    <w:rsid w:val="00BF50C9"/>
    <w:rsid w:val="00BF55C3"/>
    <w:rsid w:val="00C014F4"/>
    <w:rsid w:val="00C030A8"/>
    <w:rsid w:val="00C034CB"/>
    <w:rsid w:val="00C039F2"/>
    <w:rsid w:val="00C051A8"/>
    <w:rsid w:val="00C054BC"/>
    <w:rsid w:val="00C11A6C"/>
    <w:rsid w:val="00C13FDD"/>
    <w:rsid w:val="00C15447"/>
    <w:rsid w:val="00C17897"/>
    <w:rsid w:val="00C178AD"/>
    <w:rsid w:val="00C17F40"/>
    <w:rsid w:val="00C223E1"/>
    <w:rsid w:val="00C23150"/>
    <w:rsid w:val="00C27188"/>
    <w:rsid w:val="00C27356"/>
    <w:rsid w:val="00C363D5"/>
    <w:rsid w:val="00C409D5"/>
    <w:rsid w:val="00C4319D"/>
    <w:rsid w:val="00C435C3"/>
    <w:rsid w:val="00C43C28"/>
    <w:rsid w:val="00C4432B"/>
    <w:rsid w:val="00C46C22"/>
    <w:rsid w:val="00C50AC0"/>
    <w:rsid w:val="00C526D8"/>
    <w:rsid w:val="00C52A9E"/>
    <w:rsid w:val="00C52E93"/>
    <w:rsid w:val="00C55F76"/>
    <w:rsid w:val="00C61C80"/>
    <w:rsid w:val="00C6234B"/>
    <w:rsid w:val="00C63EAE"/>
    <w:rsid w:val="00C74865"/>
    <w:rsid w:val="00C7629F"/>
    <w:rsid w:val="00C77A2E"/>
    <w:rsid w:val="00C8268F"/>
    <w:rsid w:val="00C84133"/>
    <w:rsid w:val="00C842BE"/>
    <w:rsid w:val="00C8661B"/>
    <w:rsid w:val="00C8744A"/>
    <w:rsid w:val="00C90DDD"/>
    <w:rsid w:val="00C977F0"/>
    <w:rsid w:val="00CA139A"/>
    <w:rsid w:val="00CA1633"/>
    <w:rsid w:val="00CA2899"/>
    <w:rsid w:val="00CA3A3D"/>
    <w:rsid w:val="00CA4A08"/>
    <w:rsid w:val="00CA77FB"/>
    <w:rsid w:val="00CB091A"/>
    <w:rsid w:val="00CB1A20"/>
    <w:rsid w:val="00CB2621"/>
    <w:rsid w:val="00CB379B"/>
    <w:rsid w:val="00CB5DD0"/>
    <w:rsid w:val="00CB6CE6"/>
    <w:rsid w:val="00CC0180"/>
    <w:rsid w:val="00CC0E7C"/>
    <w:rsid w:val="00CC1020"/>
    <w:rsid w:val="00CC297C"/>
    <w:rsid w:val="00CC2CEA"/>
    <w:rsid w:val="00CC4799"/>
    <w:rsid w:val="00CC51D4"/>
    <w:rsid w:val="00CC651F"/>
    <w:rsid w:val="00CC65DA"/>
    <w:rsid w:val="00CD1025"/>
    <w:rsid w:val="00CD2484"/>
    <w:rsid w:val="00CD775F"/>
    <w:rsid w:val="00CE5443"/>
    <w:rsid w:val="00CF171E"/>
    <w:rsid w:val="00CF1F26"/>
    <w:rsid w:val="00CF21B9"/>
    <w:rsid w:val="00CF3CB6"/>
    <w:rsid w:val="00CF6BF9"/>
    <w:rsid w:val="00D03696"/>
    <w:rsid w:val="00D03800"/>
    <w:rsid w:val="00D065D3"/>
    <w:rsid w:val="00D1458E"/>
    <w:rsid w:val="00D14969"/>
    <w:rsid w:val="00D14C94"/>
    <w:rsid w:val="00D208E5"/>
    <w:rsid w:val="00D22736"/>
    <w:rsid w:val="00D252A6"/>
    <w:rsid w:val="00D2557C"/>
    <w:rsid w:val="00D267E2"/>
    <w:rsid w:val="00D275BA"/>
    <w:rsid w:val="00D32AF6"/>
    <w:rsid w:val="00D33548"/>
    <w:rsid w:val="00D342A6"/>
    <w:rsid w:val="00D40E1A"/>
    <w:rsid w:val="00D422FB"/>
    <w:rsid w:val="00D464BF"/>
    <w:rsid w:val="00D47022"/>
    <w:rsid w:val="00D471EA"/>
    <w:rsid w:val="00D50A0D"/>
    <w:rsid w:val="00D53E26"/>
    <w:rsid w:val="00D56C03"/>
    <w:rsid w:val="00D645CD"/>
    <w:rsid w:val="00D64E02"/>
    <w:rsid w:val="00D64EF3"/>
    <w:rsid w:val="00D66B25"/>
    <w:rsid w:val="00D71E70"/>
    <w:rsid w:val="00D71ECE"/>
    <w:rsid w:val="00D74A5A"/>
    <w:rsid w:val="00D77C4B"/>
    <w:rsid w:val="00D808D9"/>
    <w:rsid w:val="00D81974"/>
    <w:rsid w:val="00D861F2"/>
    <w:rsid w:val="00D91417"/>
    <w:rsid w:val="00D91A6F"/>
    <w:rsid w:val="00D925A9"/>
    <w:rsid w:val="00D93848"/>
    <w:rsid w:val="00D97465"/>
    <w:rsid w:val="00D97E4A"/>
    <w:rsid w:val="00DA141E"/>
    <w:rsid w:val="00DA17C1"/>
    <w:rsid w:val="00DA27E1"/>
    <w:rsid w:val="00DA2D69"/>
    <w:rsid w:val="00DB4F59"/>
    <w:rsid w:val="00DC4F4D"/>
    <w:rsid w:val="00DC6742"/>
    <w:rsid w:val="00DD192C"/>
    <w:rsid w:val="00DD3C4C"/>
    <w:rsid w:val="00DD4F0E"/>
    <w:rsid w:val="00DD60C9"/>
    <w:rsid w:val="00DD6D31"/>
    <w:rsid w:val="00DE0557"/>
    <w:rsid w:val="00DE2514"/>
    <w:rsid w:val="00DE2A57"/>
    <w:rsid w:val="00DE6403"/>
    <w:rsid w:val="00DE74D2"/>
    <w:rsid w:val="00DE78F2"/>
    <w:rsid w:val="00DE7A60"/>
    <w:rsid w:val="00DF080E"/>
    <w:rsid w:val="00DF0BF0"/>
    <w:rsid w:val="00DF1500"/>
    <w:rsid w:val="00DF299C"/>
    <w:rsid w:val="00DF3588"/>
    <w:rsid w:val="00DF6F72"/>
    <w:rsid w:val="00E01463"/>
    <w:rsid w:val="00E03237"/>
    <w:rsid w:val="00E04862"/>
    <w:rsid w:val="00E05E0A"/>
    <w:rsid w:val="00E10744"/>
    <w:rsid w:val="00E10D37"/>
    <w:rsid w:val="00E20AC3"/>
    <w:rsid w:val="00E22907"/>
    <w:rsid w:val="00E22B9F"/>
    <w:rsid w:val="00E22C44"/>
    <w:rsid w:val="00E26313"/>
    <w:rsid w:val="00E313BD"/>
    <w:rsid w:val="00E318C1"/>
    <w:rsid w:val="00E3550B"/>
    <w:rsid w:val="00E43691"/>
    <w:rsid w:val="00E43C3B"/>
    <w:rsid w:val="00E449FB"/>
    <w:rsid w:val="00E47C46"/>
    <w:rsid w:val="00E5049F"/>
    <w:rsid w:val="00E534CF"/>
    <w:rsid w:val="00E54C33"/>
    <w:rsid w:val="00E55000"/>
    <w:rsid w:val="00E60B59"/>
    <w:rsid w:val="00E6352F"/>
    <w:rsid w:val="00E64D9A"/>
    <w:rsid w:val="00E65FC3"/>
    <w:rsid w:val="00E67BC7"/>
    <w:rsid w:val="00E71D55"/>
    <w:rsid w:val="00E73A01"/>
    <w:rsid w:val="00E751DF"/>
    <w:rsid w:val="00E81CB4"/>
    <w:rsid w:val="00E82B75"/>
    <w:rsid w:val="00E85833"/>
    <w:rsid w:val="00E8585B"/>
    <w:rsid w:val="00E8590D"/>
    <w:rsid w:val="00E85F14"/>
    <w:rsid w:val="00E9008A"/>
    <w:rsid w:val="00E90D1E"/>
    <w:rsid w:val="00E91849"/>
    <w:rsid w:val="00E91CF7"/>
    <w:rsid w:val="00E93947"/>
    <w:rsid w:val="00EA3F15"/>
    <w:rsid w:val="00EA6F0D"/>
    <w:rsid w:val="00EA7847"/>
    <w:rsid w:val="00EB056D"/>
    <w:rsid w:val="00EB36AD"/>
    <w:rsid w:val="00EB4B62"/>
    <w:rsid w:val="00EB51F4"/>
    <w:rsid w:val="00EC029F"/>
    <w:rsid w:val="00EC02A6"/>
    <w:rsid w:val="00EC033C"/>
    <w:rsid w:val="00EC0954"/>
    <w:rsid w:val="00EC0DD0"/>
    <w:rsid w:val="00EC1DE2"/>
    <w:rsid w:val="00EC6585"/>
    <w:rsid w:val="00ED612D"/>
    <w:rsid w:val="00ED789E"/>
    <w:rsid w:val="00EE2E6E"/>
    <w:rsid w:val="00EE3DC0"/>
    <w:rsid w:val="00EE75A8"/>
    <w:rsid w:val="00EF09E4"/>
    <w:rsid w:val="00EF49BD"/>
    <w:rsid w:val="00F00D69"/>
    <w:rsid w:val="00F01F45"/>
    <w:rsid w:val="00F039AF"/>
    <w:rsid w:val="00F03EC6"/>
    <w:rsid w:val="00F0759E"/>
    <w:rsid w:val="00F075C1"/>
    <w:rsid w:val="00F10365"/>
    <w:rsid w:val="00F13B5F"/>
    <w:rsid w:val="00F1449E"/>
    <w:rsid w:val="00F16A22"/>
    <w:rsid w:val="00F215E8"/>
    <w:rsid w:val="00F21BF7"/>
    <w:rsid w:val="00F228A6"/>
    <w:rsid w:val="00F31854"/>
    <w:rsid w:val="00F31A85"/>
    <w:rsid w:val="00F43700"/>
    <w:rsid w:val="00F634F0"/>
    <w:rsid w:val="00F66060"/>
    <w:rsid w:val="00F67EFE"/>
    <w:rsid w:val="00F70745"/>
    <w:rsid w:val="00F70E0B"/>
    <w:rsid w:val="00F733BD"/>
    <w:rsid w:val="00F74DEE"/>
    <w:rsid w:val="00F75F03"/>
    <w:rsid w:val="00F821A3"/>
    <w:rsid w:val="00F85619"/>
    <w:rsid w:val="00F91F03"/>
    <w:rsid w:val="00F9314A"/>
    <w:rsid w:val="00FA07D3"/>
    <w:rsid w:val="00FA0908"/>
    <w:rsid w:val="00FA6298"/>
    <w:rsid w:val="00FA7B8C"/>
    <w:rsid w:val="00FA7D6A"/>
    <w:rsid w:val="00FB2CB4"/>
    <w:rsid w:val="00FB450A"/>
    <w:rsid w:val="00FB5ECE"/>
    <w:rsid w:val="00FC4B95"/>
    <w:rsid w:val="00FC53C8"/>
    <w:rsid w:val="00FC544D"/>
    <w:rsid w:val="00FC58EF"/>
    <w:rsid w:val="00FC5CE1"/>
    <w:rsid w:val="00FD1DDC"/>
    <w:rsid w:val="00FD33DF"/>
    <w:rsid w:val="00FD58BD"/>
    <w:rsid w:val="00FD61ED"/>
    <w:rsid w:val="00FE005E"/>
    <w:rsid w:val="00FE0BEE"/>
    <w:rsid w:val="00FE39D7"/>
    <w:rsid w:val="00FE48FD"/>
    <w:rsid w:val="00FE52E6"/>
    <w:rsid w:val="00FE68F3"/>
    <w:rsid w:val="00FE6B2F"/>
    <w:rsid w:val="00FE75D7"/>
    <w:rsid w:val="00FF3CB4"/>
    <w:rsid w:val="00FF6920"/>
    <w:rsid w:val="00FF6B7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CF5B8AF"/>
  <w15:chartTrackingRefBased/>
  <w15:docId w15:val="{C07B9F5F-5DC6-43CA-8418-A0642DD70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6D6D"/>
    <w:pPr>
      <w:jc w:val="both"/>
    </w:pPr>
    <w:rPr>
      <w:rFonts w:ascii="Bookman Old Style" w:hAnsi="Bookman Old Style"/>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DF6F72"/>
    <w:pPr>
      <w:keepNext/>
      <w:spacing w:before="240" w:after="60"/>
      <w:outlineLvl w:val="1"/>
    </w:pPr>
    <w:rPr>
      <w:rFonts w:ascii="Calibri Light" w:hAnsi="Calibri Light"/>
      <w:b/>
      <w:bCs/>
      <w:i/>
      <w:iCs/>
      <w:sz w:val="28"/>
      <w:szCs w:val="28"/>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pPr>
    <w:rPr>
      <w:rFonts w:ascii="Arial" w:hAnsi="Arial"/>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unhideWhenUsed/>
    <w:rsid w:val="00E01463"/>
    <w:pPr>
      <w:spacing w:after="120"/>
      <w:ind w:left="283"/>
    </w:pPr>
  </w:style>
  <w:style w:type="character" w:customStyle="1" w:styleId="SangradetextonormalCar">
    <w:name w:val="Sangría de texto normal Car"/>
    <w:link w:val="Sangradetextonormal"/>
    <w:uiPriority w:val="99"/>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jc w:val="center"/>
    </w:pPr>
    <w:rPr>
      <w:rFonts w:ascii="Arial" w:hAnsi="Arial"/>
      <w:b/>
      <w:bCs/>
      <w:sz w:val="22"/>
      <w:lang w:eastAsia="ar-SA"/>
    </w:rPr>
  </w:style>
  <w:style w:type="character" w:customStyle="1" w:styleId="Ttulo2Car">
    <w:name w:val="Título 2 Car"/>
    <w:link w:val="Ttulo2"/>
    <w:uiPriority w:val="9"/>
    <w:semiHidden/>
    <w:rsid w:val="00DF6F72"/>
    <w:rPr>
      <w:rFonts w:ascii="Calibri Light" w:eastAsia="Times New Roman" w:hAnsi="Calibri Light" w:cs="Times New Roman"/>
      <w:b/>
      <w:bCs/>
      <w:i/>
      <w:iCs/>
      <w:sz w:val="28"/>
      <w:szCs w:val="28"/>
      <w:lang w:val="es-ES" w:eastAsia="es-ES"/>
    </w:rPr>
  </w:style>
  <w:style w:type="character" w:styleId="Refdecomentario">
    <w:name w:val="annotation reference"/>
    <w:uiPriority w:val="99"/>
    <w:semiHidden/>
    <w:unhideWhenUsed/>
    <w:rsid w:val="00DF6F72"/>
    <w:rPr>
      <w:sz w:val="16"/>
      <w:szCs w:val="16"/>
    </w:rPr>
  </w:style>
  <w:style w:type="paragraph" w:styleId="Textocomentario">
    <w:name w:val="annotation text"/>
    <w:basedOn w:val="Normal"/>
    <w:link w:val="TextocomentarioCar"/>
    <w:uiPriority w:val="99"/>
    <w:semiHidden/>
    <w:unhideWhenUsed/>
    <w:rsid w:val="00DF6F72"/>
    <w:pPr>
      <w:suppressAutoHyphens/>
    </w:pPr>
    <w:rPr>
      <w:rFonts w:ascii="Arial" w:hAnsi="Arial"/>
      <w:sz w:val="20"/>
      <w:szCs w:val="20"/>
      <w:lang w:eastAsia="ar-SA"/>
    </w:rPr>
  </w:style>
  <w:style w:type="character" w:customStyle="1" w:styleId="TextocomentarioCar">
    <w:name w:val="Texto comentario Car"/>
    <w:link w:val="Textocomentario"/>
    <w:uiPriority w:val="99"/>
    <w:semiHidden/>
    <w:rsid w:val="00DF6F72"/>
    <w:rPr>
      <w:rFonts w:ascii="Arial" w:hAnsi="Arial"/>
      <w:lang w:val="es-ES" w:eastAsia="ar-SA"/>
    </w:rPr>
  </w:style>
  <w:style w:type="paragraph" w:customStyle="1" w:styleId="texto">
    <w:name w:val="texto"/>
    <w:rsid w:val="00763BC4"/>
    <w:pPr>
      <w:widowControl w:val="0"/>
      <w:spacing w:line="230" w:lineRule="atLeast"/>
      <w:ind w:firstLine="227"/>
      <w:jc w:val="both"/>
    </w:pPr>
    <w:rPr>
      <w:rFonts w:ascii="Arial" w:hAnsi="Arial"/>
      <w:snapToGrid w:val="0"/>
      <w:color w:val="000000"/>
      <w:sz w:val="19"/>
      <w:lang w:val="es-ES" w:eastAsia="es-ES"/>
    </w:rPr>
  </w:style>
  <w:style w:type="paragraph" w:styleId="Lista">
    <w:name w:val="List"/>
    <w:basedOn w:val="Textoindependiente"/>
    <w:semiHidden/>
    <w:rsid w:val="009E396F"/>
    <w:pPr>
      <w:suppressAutoHyphens/>
      <w:spacing w:after="120"/>
      <w:jc w:val="both"/>
    </w:pPr>
    <w:rPr>
      <w:rFonts w:cs="Tahoma"/>
      <w:b w:val="0"/>
      <w:bCs w:val="0"/>
      <w:sz w:val="22"/>
      <w:lang w:eastAsia="ar-SA"/>
    </w:rPr>
  </w:style>
  <w:style w:type="paragraph" w:customStyle="1" w:styleId="Prrafodelista1">
    <w:name w:val="Párrafo de lista1"/>
    <w:basedOn w:val="Normal"/>
    <w:rsid w:val="009E396F"/>
    <w:pPr>
      <w:ind w:left="720"/>
    </w:pPr>
  </w:style>
  <w:style w:type="paragraph" w:styleId="NormalWeb">
    <w:name w:val="Normal (Web)"/>
    <w:basedOn w:val="Normal"/>
    <w:uiPriority w:val="99"/>
    <w:unhideWhenUsed/>
    <w:rsid w:val="009A6DCE"/>
    <w:pPr>
      <w:spacing w:before="100" w:beforeAutospacing="1" w:after="100" w:afterAutospacing="1"/>
    </w:pPr>
    <w:rPr>
      <w:lang w:val="es-CO" w:eastAsia="es-CO"/>
    </w:rPr>
  </w:style>
  <w:style w:type="character" w:customStyle="1" w:styleId="baj">
    <w:name w:val="b_aj"/>
    <w:basedOn w:val="Fuentedeprrafopredeter"/>
    <w:rsid w:val="009A6DCE"/>
  </w:style>
  <w:style w:type="character" w:styleId="Hipervnculo">
    <w:name w:val="Hyperlink"/>
    <w:basedOn w:val="Fuentedeprrafopredeter"/>
    <w:uiPriority w:val="99"/>
    <w:semiHidden/>
    <w:unhideWhenUsed/>
    <w:rsid w:val="009A6DCE"/>
    <w:rPr>
      <w:color w:val="0000FF"/>
      <w:u w:val="single"/>
    </w:rPr>
  </w:style>
  <w:style w:type="character" w:customStyle="1" w:styleId="iaj">
    <w:name w:val="i_aj"/>
    <w:basedOn w:val="Fuentedeprrafopredeter"/>
    <w:rsid w:val="009A6DCE"/>
  </w:style>
  <w:style w:type="character" w:styleId="Textodelmarcadordeposicin">
    <w:name w:val="Placeholder Text"/>
    <w:basedOn w:val="Fuentedeprrafopredeter"/>
    <w:uiPriority w:val="99"/>
    <w:semiHidden/>
    <w:rsid w:val="000A3F79"/>
    <w:rPr>
      <w:color w:val="808080"/>
    </w:rPr>
  </w:style>
  <w:style w:type="paragraph" w:styleId="Asuntodelcomentario">
    <w:name w:val="annotation subject"/>
    <w:basedOn w:val="Textocomentario"/>
    <w:next w:val="Textocomentario"/>
    <w:link w:val="AsuntodelcomentarioCar"/>
    <w:uiPriority w:val="99"/>
    <w:semiHidden/>
    <w:unhideWhenUsed/>
    <w:rsid w:val="000C2F18"/>
    <w:pPr>
      <w:suppressAutoHyphens w:val="0"/>
      <w:ind w:left="567"/>
      <w:jc w:val="left"/>
    </w:pPr>
    <w:rPr>
      <w:rFonts w:ascii="Times New Roman" w:hAnsi="Times New Roman"/>
      <w:b/>
      <w:bCs/>
      <w:lang w:eastAsia="es-ES"/>
    </w:rPr>
  </w:style>
  <w:style w:type="character" w:customStyle="1" w:styleId="AsuntodelcomentarioCar">
    <w:name w:val="Asunto del comentario Car"/>
    <w:basedOn w:val="TextocomentarioCar"/>
    <w:link w:val="Asuntodelcomentario"/>
    <w:uiPriority w:val="99"/>
    <w:semiHidden/>
    <w:rsid w:val="000C2F18"/>
    <w:rPr>
      <w:rFonts w:ascii="Arial" w:hAnsi="Arial"/>
      <w:b/>
      <w:bCs/>
      <w:lang w:val="es-ES" w:eastAsia="es-ES"/>
    </w:rPr>
  </w:style>
  <w:style w:type="paragraph" w:styleId="Revisin">
    <w:name w:val="Revision"/>
    <w:hidden/>
    <w:uiPriority w:val="99"/>
    <w:semiHidden/>
    <w:rsid w:val="00142A68"/>
    <w:rPr>
      <w:rFonts w:ascii="Bookman Old Style" w:hAnsi="Bookman Old Style"/>
      <w:sz w:val="24"/>
      <w:szCs w:val="24"/>
      <w:lang w:val="es-ES" w:eastAsia="es-ES"/>
    </w:rPr>
  </w:style>
  <w:style w:type="paragraph" w:customStyle="1" w:styleId="s7">
    <w:name w:val="s7"/>
    <w:basedOn w:val="Normal"/>
    <w:rsid w:val="009D3A83"/>
    <w:pPr>
      <w:spacing w:before="100" w:beforeAutospacing="1" w:after="100" w:afterAutospacing="1"/>
      <w:jc w:val="left"/>
    </w:pPr>
    <w:rPr>
      <w:rFonts w:ascii="Times New Roman" w:hAnsi="Times New Roman"/>
      <w:lang w:val="es-CO" w:eastAsia="es-CO"/>
    </w:rPr>
  </w:style>
  <w:style w:type="character" w:customStyle="1" w:styleId="s10">
    <w:name w:val="s10"/>
    <w:basedOn w:val="Fuentedeprrafopredeter"/>
    <w:rsid w:val="009D3A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04602">
      <w:bodyDiv w:val="1"/>
      <w:marLeft w:val="0"/>
      <w:marRight w:val="0"/>
      <w:marTop w:val="0"/>
      <w:marBottom w:val="0"/>
      <w:divBdr>
        <w:top w:val="none" w:sz="0" w:space="0" w:color="auto"/>
        <w:left w:val="none" w:sz="0" w:space="0" w:color="auto"/>
        <w:bottom w:val="none" w:sz="0" w:space="0" w:color="auto"/>
        <w:right w:val="none" w:sz="0" w:space="0" w:color="auto"/>
      </w:divBdr>
    </w:div>
    <w:div w:id="139230473">
      <w:bodyDiv w:val="1"/>
      <w:marLeft w:val="0"/>
      <w:marRight w:val="0"/>
      <w:marTop w:val="0"/>
      <w:marBottom w:val="0"/>
      <w:divBdr>
        <w:top w:val="none" w:sz="0" w:space="0" w:color="auto"/>
        <w:left w:val="none" w:sz="0" w:space="0" w:color="auto"/>
        <w:bottom w:val="none" w:sz="0" w:space="0" w:color="auto"/>
        <w:right w:val="none" w:sz="0" w:space="0" w:color="auto"/>
      </w:divBdr>
    </w:div>
    <w:div w:id="167260958">
      <w:bodyDiv w:val="1"/>
      <w:marLeft w:val="0"/>
      <w:marRight w:val="0"/>
      <w:marTop w:val="0"/>
      <w:marBottom w:val="0"/>
      <w:divBdr>
        <w:top w:val="none" w:sz="0" w:space="0" w:color="auto"/>
        <w:left w:val="none" w:sz="0" w:space="0" w:color="auto"/>
        <w:bottom w:val="none" w:sz="0" w:space="0" w:color="auto"/>
        <w:right w:val="none" w:sz="0" w:space="0" w:color="auto"/>
      </w:divBdr>
    </w:div>
    <w:div w:id="420878911">
      <w:bodyDiv w:val="1"/>
      <w:marLeft w:val="0"/>
      <w:marRight w:val="0"/>
      <w:marTop w:val="0"/>
      <w:marBottom w:val="0"/>
      <w:divBdr>
        <w:top w:val="none" w:sz="0" w:space="0" w:color="auto"/>
        <w:left w:val="none" w:sz="0" w:space="0" w:color="auto"/>
        <w:bottom w:val="none" w:sz="0" w:space="0" w:color="auto"/>
        <w:right w:val="none" w:sz="0" w:space="0" w:color="auto"/>
      </w:divBdr>
    </w:div>
    <w:div w:id="479272883">
      <w:bodyDiv w:val="1"/>
      <w:marLeft w:val="0"/>
      <w:marRight w:val="0"/>
      <w:marTop w:val="0"/>
      <w:marBottom w:val="0"/>
      <w:divBdr>
        <w:top w:val="none" w:sz="0" w:space="0" w:color="auto"/>
        <w:left w:val="none" w:sz="0" w:space="0" w:color="auto"/>
        <w:bottom w:val="none" w:sz="0" w:space="0" w:color="auto"/>
        <w:right w:val="none" w:sz="0" w:space="0" w:color="auto"/>
      </w:divBdr>
      <w:divsChild>
        <w:div w:id="2037852207">
          <w:marLeft w:val="0"/>
          <w:marRight w:val="0"/>
          <w:marTop w:val="0"/>
          <w:marBottom w:val="0"/>
          <w:divBdr>
            <w:top w:val="none" w:sz="0" w:space="0" w:color="auto"/>
            <w:left w:val="none" w:sz="0" w:space="0" w:color="auto"/>
            <w:bottom w:val="none" w:sz="0" w:space="0" w:color="auto"/>
            <w:right w:val="none" w:sz="0" w:space="0" w:color="auto"/>
          </w:divBdr>
        </w:div>
      </w:divsChild>
    </w:div>
    <w:div w:id="805666293">
      <w:bodyDiv w:val="1"/>
      <w:marLeft w:val="0"/>
      <w:marRight w:val="0"/>
      <w:marTop w:val="0"/>
      <w:marBottom w:val="0"/>
      <w:divBdr>
        <w:top w:val="none" w:sz="0" w:space="0" w:color="auto"/>
        <w:left w:val="none" w:sz="0" w:space="0" w:color="auto"/>
        <w:bottom w:val="none" w:sz="0" w:space="0" w:color="auto"/>
        <w:right w:val="none" w:sz="0" w:space="0" w:color="auto"/>
      </w:divBdr>
    </w:div>
    <w:div w:id="875771923">
      <w:bodyDiv w:val="1"/>
      <w:marLeft w:val="0"/>
      <w:marRight w:val="0"/>
      <w:marTop w:val="0"/>
      <w:marBottom w:val="0"/>
      <w:divBdr>
        <w:top w:val="none" w:sz="0" w:space="0" w:color="auto"/>
        <w:left w:val="none" w:sz="0" w:space="0" w:color="auto"/>
        <w:bottom w:val="none" w:sz="0" w:space="0" w:color="auto"/>
        <w:right w:val="none" w:sz="0" w:space="0" w:color="auto"/>
      </w:divBdr>
    </w:div>
    <w:div w:id="969898630">
      <w:bodyDiv w:val="1"/>
      <w:marLeft w:val="0"/>
      <w:marRight w:val="0"/>
      <w:marTop w:val="0"/>
      <w:marBottom w:val="0"/>
      <w:divBdr>
        <w:top w:val="none" w:sz="0" w:space="0" w:color="auto"/>
        <w:left w:val="none" w:sz="0" w:space="0" w:color="auto"/>
        <w:bottom w:val="none" w:sz="0" w:space="0" w:color="auto"/>
        <w:right w:val="none" w:sz="0" w:space="0" w:color="auto"/>
      </w:divBdr>
    </w:div>
    <w:div w:id="970012089">
      <w:bodyDiv w:val="1"/>
      <w:marLeft w:val="0"/>
      <w:marRight w:val="0"/>
      <w:marTop w:val="0"/>
      <w:marBottom w:val="0"/>
      <w:divBdr>
        <w:top w:val="none" w:sz="0" w:space="0" w:color="auto"/>
        <w:left w:val="none" w:sz="0" w:space="0" w:color="auto"/>
        <w:bottom w:val="none" w:sz="0" w:space="0" w:color="auto"/>
        <w:right w:val="none" w:sz="0" w:space="0" w:color="auto"/>
      </w:divBdr>
    </w:div>
    <w:div w:id="1067610314">
      <w:bodyDiv w:val="1"/>
      <w:marLeft w:val="0"/>
      <w:marRight w:val="0"/>
      <w:marTop w:val="0"/>
      <w:marBottom w:val="0"/>
      <w:divBdr>
        <w:top w:val="none" w:sz="0" w:space="0" w:color="auto"/>
        <w:left w:val="none" w:sz="0" w:space="0" w:color="auto"/>
        <w:bottom w:val="none" w:sz="0" w:space="0" w:color="auto"/>
        <w:right w:val="none" w:sz="0" w:space="0" w:color="auto"/>
      </w:divBdr>
    </w:div>
    <w:div w:id="1511946339">
      <w:bodyDiv w:val="1"/>
      <w:marLeft w:val="0"/>
      <w:marRight w:val="0"/>
      <w:marTop w:val="0"/>
      <w:marBottom w:val="0"/>
      <w:divBdr>
        <w:top w:val="none" w:sz="0" w:space="0" w:color="auto"/>
        <w:left w:val="none" w:sz="0" w:space="0" w:color="auto"/>
        <w:bottom w:val="none" w:sz="0" w:space="0" w:color="auto"/>
        <w:right w:val="none" w:sz="0" w:space="0" w:color="auto"/>
      </w:divBdr>
    </w:div>
    <w:div w:id="1627927882">
      <w:bodyDiv w:val="1"/>
      <w:marLeft w:val="0"/>
      <w:marRight w:val="0"/>
      <w:marTop w:val="0"/>
      <w:marBottom w:val="0"/>
      <w:divBdr>
        <w:top w:val="none" w:sz="0" w:space="0" w:color="auto"/>
        <w:left w:val="none" w:sz="0" w:space="0" w:color="auto"/>
        <w:bottom w:val="none" w:sz="0" w:space="0" w:color="auto"/>
        <w:right w:val="none" w:sz="0" w:space="0" w:color="auto"/>
      </w:divBdr>
    </w:div>
    <w:div w:id="1792817583">
      <w:bodyDiv w:val="1"/>
      <w:marLeft w:val="0"/>
      <w:marRight w:val="0"/>
      <w:marTop w:val="0"/>
      <w:marBottom w:val="0"/>
      <w:divBdr>
        <w:top w:val="none" w:sz="0" w:space="0" w:color="auto"/>
        <w:left w:val="none" w:sz="0" w:space="0" w:color="auto"/>
        <w:bottom w:val="none" w:sz="0" w:space="0" w:color="auto"/>
        <w:right w:val="none" w:sz="0" w:space="0" w:color="auto"/>
      </w:divBdr>
    </w:div>
    <w:div w:id="1795370047">
      <w:bodyDiv w:val="1"/>
      <w:marLeft w:val="0"/>
      <w:marRight w:val="0"/>
      <w:marTop w:val="0"/>
      <w:marBottom w:val="0"/>
      <w:divBdr>
        <w:top w:val="none" w:sz="0" w:space="0" w:color="auto"/>
        <w:left w:val="none" w:sz="0" w:space="0" w:color="auto"/>
        <w:bottom w:val="none" w:sz="0" w:space="0" w:color="auto"/>
        <w:right w:val="none" w:sz="0" w:space="0" w:color="auto"/>
      </w:divBdr>
    </w:div>
    <w:div w:id="1860656949">
      <w:bodyDiv w:val="1"/>
      <w:marLeft w:val="0"/>
      <w:marRight w:val="0"/>
      <w:marTop w:val="0"/>
      <w:marBottom w:val="0"/>
      <w:divBdr>
        <w:top w:val="none" w:sz="0" w:space="0" w:color="auto"/>
        <w:left w:val="none" w:sz="0" w:space="0" w:color="auto"/>
        <w:bottom w:val="none" w:sz="0" w:space="0" w:color="auto"/>
        <w:right w:val="none" w:sz="0" w:space="0" w:color="auto"/>
      </w:divBdr>
    </w:div>
    <w:div w:id="2020933745">
      <w:bodyDiv w:val="1"/>
      <w:marLeft w:val="0"/>
      <w:marRight w:val="0"/>
      <w:marTop w:val="0"/>
      <w:marBottom w:val="0"/>
      <w:divBdr>
        <w:top w:val="none" w:sz="0" w:space="0" w:color="auto"/>
        <w:left w:val="none" w:sz="0" w:space="0" w:color="auto"/>
        <w:bottom w:val="none" w:sz="0" w:space="0" w:color="auto"/>
        <w:right w:val="none" w:sz="0" w:space="0" w:color="auto"/>
      </w:divBdr>
    </w:div>
    <w:div w:id="2051761337">
      <w:bodyDiv w:val="1"/>
      <w:marLeft w:val="0"/>
      <w:marRight w:val="0"/>
      <w:marTop w:val="0"/>
      <w:marBottom w:val="0"/>
      <w:divBdr>
        <w:top w:val="none" w:sz="0" w:space="0" w:color="auto"/>
        <w:left w:val="none" w:sz="0" w:space="0" w:color="auto"/>
        <w:bottom w:val="none" w:sz="0" w:space="0" w:color="auto"/>
        <w:right w:val="none" w:sz="0" w:space="0" w:color="auto"/>
      </w:divBdr>
    </w:div>
    <w:div w:id="214599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D88F8-9DAC-434F-8902-3EA1993ED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152</TotalTime>
  <Pages>8</Pages>
  <Words>2814</Words>
  <Characters>15480</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Luz Stella Rojas Macias</cp:lastModifiedBy>
  <cp:revision>12</cp:revision>
  <cp:lastPrinted>2019-01-16T15:47:00Z</cp:lastPrinted>
  <dcterms:created xsi:type="dcterms:W3CDTF">2019-02-21T20:09:00Z</dcterms:created>
  <dcterms:modified xsi:type="dcterms:W3CDTF">2019-02-25T15:26:00Z</dcterms:modified>
</cp:coreProperties>
</file>