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7C78" w14:textId="36E03510" w:rsidR="005C1BCA" w:rsidRPr="005C1BCA" w:rsidRDefault="0024167E" w:rsidP="03EDBAE9">
      <w:pPr>
        <w:keepNext/>
        <w:tabs>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01FE7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6pt;margin-top:-49.75pt;width:37.65pt;height:39.05pt;z-index:251658240" fillcolor="#0c9">
            <v:imagedata r:id="rId11" o:title=""/>
          </v:shape>
          <o:OLEObject Type="Embed" ProgID="PBrush" ShapeID="_x0000_s2050" DrawAspect="Content" ObjectID="_1737192553" r:id="rId12"/>
        </w:object>
      </w:r>
      <w:r w:rsidR="005C1BCA" w:rsidRPr="03EDBAE9">
        <w:rPr>
          <w:rFonts w:ascii="Bookman Old Style" w:eastAsia="Times New Roman" w:hAnsi="Bookman Old Style" w:cs="Arial"/>
          <w:snapToGrid w:val="0"/>
          <w:color w:val="000000"/>
          <w:spacing w:val="20"/>
          <w:sz w:val="24"/>
          <w:szCs w:val="24"/>
          <w:lang w:val="es-ES" w:eastAsia="es-ES"/>
        </w:rPr>
        <w:t xml:space="preserve">Ministerio de Minas y </w:t>
      </w:r>
      <w:r w:rsidR="005C1BCA" w:rsidRPr="177690A0">
        <w:rPr>
          <w:rFonts w:ascii="Bookman Old Style" w:eastAsia="Times New Roman" w:hAnsi="Bookman Old Style" w:cs="Arial"/>
          <w:snapToGrid w:val="0"/>
          <w:color w:val="000000"/>
          <w:spacing w:val="20"/>
          <w:sz w:val="24"/>
          <w:szCs w:val="24"/>
          <w:lang w:val="es-ES" w:eastAsia="es-ES"/>
        </w:rPr>
        <w:t>Ene</w:t>
      </w:r>
      <w:r w:rsidR="005C1BCA" w:rsidRPr="559E4DD0">
        <w:rPr>
          <w:rFonts w:ascii="Bookman Old Style" w:eastAsia="Times New Roman" w:hAnsi="Bookman Old Style" w:cs="Arial"/>
          <w:color w:val="000000" w:themeColor="text1"/>
          <w:sz w:val="24"/>
          <w:szCs w:val="24"/>
          <w:lang w:val="es-ES" w:eastAsia="es-ES"/>
        </w:rPr>
        <w:t xml:space="preserve">rgía  </w:t>
      </w:r>
    </w:p>
    <w:p w14:paraId="2F31BE3B" w14:textId="6E5124B9" w:rsidR="03EDBAE9" w:rsidRDefault="03EDBAE9" w:rsidP="03EDBAE9">
      <w:pPr>
        <w:keepNext/>
        <w:tabs>
          <w:tab w:val="right" w:pos="9356"/>
        </w:tabs>
        <w:spacing w:after="0" w:line="240" w:lineRule="auto"/>
        <w:ind w:left="9356" w:hanging="9356"/>
        <w:contextualSpacing/>
        <w:jc w:val="center"/>
        <w:outlineLvl w:val="3"/>
        <w:rPr>
          <w:rFonts w:ascii="Bookman Old Style" w:eastAsia="Times New Roman" w:hAnsi="Bookman Old Style" w:cs="Arial"/>
          <w:color w:val="000000" w:themeColor="text1"/>
          <w:sz w:val="24"/>
          <w:szCs w:val="24"/>
          <w:lang w:val="es-ES" w:eastAsia="es-ES"/>
        </w:rPr>
      </w:pPr>
    </w:p>
    <w:p w14:paraId="72F8DCEF" w14:textId="77777777" w:rsidR="005C1BCA" w:rsidRPr="00955BE9" w:rsidRDefault="005C1BCA" w:rsidP="00955BE9">
      <w:pPr>
        <w:keepNext/>
        <w:tabs>
          <w:tab w:val="right" w:pos="9356"/>
        </w:tabs>
        <w:spacing w:after="0" w:line="240" w:lineRule="auto"/>
        <w:ind w:left="9356" w:hanging="9356"/>
        <w:contextualSpacing/>
        <w:jc w:val="center"/>
        <w:outlineLvl w:val="3"/>
        <w:rPr>
          <w:rFonts w:ascii="Bookman Old Style" w:eastAsia="Times New Roman" w:hAnsi="Bookman Old Style" w:cs="Arial"/>
          <w:color w:val="000000" w:themeColor="text1"/>
          <w:sz w:val="24"/>
          <w:szCs w:val="24"/>
          <w:lang w:val="es-ES" w:eastAsia="es-ES"/>
        </w:rPr>
      </w:pPr>
    </w:p>
    <w:p w14:paraId="5DFCAEBC"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1C84E58"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3C725CF6"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645AE18E" w14:textId="5BF4AC3B" w:rsidR="005C1BCA" w:rsidRDefault="005C1BCA" w:rsidP="00F402C1">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186B0F">
        <w:rPr>
          <w:rFonts w:ascii="Bookman Old Style" w:eastAsia="Times New Roman" w:hAnsi="Bookman Old Style" w:cs="Arial"/>
          <w:b/>
          <w:snapToGrid w:val="0"/>
          <w:color w:val="000000"/>
          <w:spacing w:val="20"/>
          <w:sz w:val="24"/>
          <w:szCs w:val="24"/>
          <w:lang w:val="es-ES_tradnl" w:eastAsia="es-ES"/>
        </w:rPr>
        <w:t>RESOLUCIÓN No.</w:t>
      </w:r>
      <w:r w:rsidR="00CE7A8E" w:rsidRPr="00186B0F">
        <w:rPr>
          <w:rFonts w:ascii="Bookman Old Style" w:eastAsia="Times New Roman" w:hAnsi="Bookman Old Style" w:cs="Arial"/>
          <w:b/>
          <w:snapToGrid w:val="0"/>
          <w:color w:val="000000"/>
          <w:spacing w:val="20"/>
          <w:sz w:val="32"/>
          <w:szCs w:val="32"/>
          <w:lang w:val="es-ES_tradnl" w:eastAsia="es-ES"/>
        </w:rPr>
        <w:t xml:space="preserve"> </w:t>
      </w:r>
      <w:r w:rsidR="008177B9" w:rsidRPr="00186B0F">
        <w:rPr>
          <w:rFonts w:ascii="Bookman Old Style" w:eastAsia="Times New Roman" w:hAnsi="Bookman Old Style" w:cs="Arial"/>
          <w:b/>
          <w:snapToGrid w:val="0"/>
          <w:color w:val="000000"/>
          <w:spacing w:val="20"/>
          <w:sz w:val="32"/>
          <w:szCs w:val="32"/>
          <w:lang w:val="es-ES_tradnl" w:eastAsia="es-ES"/>
        </w:rPr>
        <w:t>503 00</w:t>
      </w:r>
      <w:r w:rsidR="00186B0F" w:rsidRPr="00186B0F">
        <w:rPr>
          <w:rFonts w:ascii="Bookman Old Style" w:eastAsia="Times New Roman" w:hAnsi="Bookman Old Style" w:cs="Arial"/>
          <w:b/>
          <w:snapToGrid w:val="0"/>
          <w:color w:val="000000"/>
          <w:spacing w:val="20"/>
          <w:sz w:val="32"/>
          <w:szCs w:val="32"/>
          <w:lang w:val="es-ES_tradnl" w:eastAsia="es-ES"/>
        </w:rPr>
        <w:t>1</w:t>
      </w:r>
      <w:r w:rsidRPr="00186B0F">
        <w:rPr>
          <w:rFonts w:ascii="Bookman Old Style" w:eastAsia="Times New Roman" w:hAnsi="Bookman Old Style" w:cs="Arial"/>
          <w:b/>
          <w:snapToGrid w:val="0"/>
          <w:color w:val="000000"/>
          <w:spacing w:val="20"/>
          <w:sz w:val="24"/>
          <w:szCs w:val="24"/>
          <w:lang w:val="es-ES_tradnl" w:eastAsia="es-ES"/>
        </w:rPr>
        <w:t xml:space="preserve"> DE </w:t>
      </w:r>
      <w:r w:rsidR="00A14EA3" w:rsidRPr="00186B0F">
        <w:rPr>
          <w:rFonts w:ascii="Bookman Old Style" w:eastAsia="Times New Roman" w:hAnsi="Bookman Old Style" w:cs="Arial"/>
          <w:b/>
          <w:snapToGrid w:val="0"/>
          <w:color w:val="000000"/>
          <w:spacing w:val="20"/>
          <w:sz w:val="24"/>
          <w:szCs w:val="24"/>
          <w:lang w:val="es-ES_tradnl" w:eastAsia="es-ES"/>
        </w:rPr>
        <w:t>202</w:t>
      </w:r>
      <w:r w:rsidR="00B17A9E" w:rsidRPr="00186B0F">
        <w:rPr>
          <w:rFonts w:ascii="Bookman Old Style" w:eastAsia="Times New Roman" w:hAnsi="Bookman Old Style" w:cs="Arial"/>
          <w:b/>
          <w:snapToGrid w:val="0"/>
          <w:color w:val="000000"/>
          <w:spacing w:val="20"/>
          <w:sz w:val="24"/>
          <w:szCs w:val="24"/>
          <w:lang w:val="es-ES_tradnl" w:eastAsia="es-ES"/>
        </w:rPr>
        <w:t>3</w:t>
      </w:r>
    </w:p>
    <w:p w14:paraId="3BD08216" w14:textId="77777777" w:rsidR="00367B97" w:rsidRPr="005C1BCA" w:rsidRDefault="00367B97" w:rsidP="00F402C1">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z w:val="24"/>
          <w:szCs w:val="24"/>
          <w:lang w:val="es-ES_tradnl" w:eastAsia="es-ES"/>
        </w:rPr>
      </w:pPr>
    </w:p>
    <w:p w14:paraId="0D8BEAF1" w14:textId="3389F46F"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186B0F">
        <w:rPr>
          <w:rFonts w:ascii="Bookman Old Style" w:eastAsia="Times New Roman" w:hAnsi="Bookman Old Style" w:cs="Times New Roman"/>
          <w:snapToGrid w:val="0"/>
          <w:color w:val="000000"/>
          <w:sz w:val="24"/>
          <w:szCs w:val="24"/>
          <w:lang w:val="es-ES_tradnl" w:eastAsia="es-ES"/>
        </w:rPr>
        <w:t>(</w:t>
      </w:r>
      <w:r w:rsidR="00186B0F" w:rsidRPr="00186B0F">
        <w:rPr>
          <w:rFonts w:ascii="Bookman Old Style" w:eastAsia="Times New Roman" w:hAnsi="Bookman Old Style" w:cs="Times New Roman"/>
          <w:b/>
          <w:bCs/>
          <w:snapToGrid w:val="0"/>
          <w:color w:val="000000"/>
          <w:sz w:val="24"/>
          <w:szCs w:val="24"/>
          <w:lang w:val="es-ES_tradnl" w:eastAsia="es-ES"/>
        </w:rPr>
        <w:t>31 ENE.2023</w:t>
      </w:r>
      <w:r w:rsidRPr="00186B0F">
        <w:rPr>
          <w:rFonts w:ascii="Bookman Old Style" w:eastAsia="Times New Roman" w:hAnsi="Bookman Old Style" w:cs="Times New Roman"/>
          <w:snapToGrid w:val="0"/>
          <w:color w:val="000000"/>
          <w:sz w:val="24"/>
          <w:szCs w:val="24"/>
          <w:lang w:val="es-ES_tradnl" w:eastAsia="es-ES"/>
        </w:rPr>
        <w:t>)</w:t>
      </w:r>
    </w:p>
    <w:p w14:paraId="4BC0D7AC"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401EBD32" w14:textId="77777777" w:rsidR="007F66B9" w:rsidRDefault="007F66B9" w:rsidP="00283212">
      <w:pPr>
        <w:spacing w:after="0" w:line="240" w:lineRule="auto"/>
        <w:contextualSpacing/>
        <w:rPr>
          <w:rFonts w:ascii="Bookman Old Style" w:eastAsia="Times New Roman" w:hAnsi="Bookman Old Style" w:cs="Times New Roman"/>
          <w:sz w:val="24"/>
          <w:szCs w:val="24"/>
          <w:lang w:val="es-ES" w:eastAsia="es-ES"/>
        </w:rPr>
      </w:pPr>
    </w:p>
    <w:p w14:paraId="764D0D97" w14:textId="6A7CB43A" w:rsidR="005C1BCA" w:rsidRDefault="005C1BCA" w:rsidP="005C1BCA">
      <w:pPr>
        <w:spacing w:after="0" w:line="240" w:lineRule="auto"/>
        <w:contextualSpacing/>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Por la cual se </w:t>
      </w:r>
      <w:r w:rsidR="00DE5DBA">
        <w:rPr>
          <w:rFonts w:ascii="Bookman Old Style" w:eastAsia="Times New Roman" w:hAnsi="Bookman Old Style" w:cs="Times New Roman"/>
          <w:sz w:val="24"/>
          <w:szCs w:val="24"/>
          <w:lang w:val="es-ES" w:eastAsia="es-ES"/>
        </w:rPr>
        <w:t>define</w:t>
      </w:r>
      <w:r>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la capacidad de compra</w:t>
      </w:r>
      <w:r w:rsidR="00DE5DBA">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a que hace</w:t>
      </w:r>
      <w:r w:rsidR="00D21ABE">
        <w:rPr>
          <w:rFonts w:ascii="Bookman Old Style" w:eastAsia="Times New Roman" w:hAnsi="Bookman Old Style" w:cs="Times New Roman"/>
          <w:sz w:val="24"/>
          <w:szCs w:val="24"/>
          <w:lang w:val="es-ES" w:eastAsia="es-ES"/>
        </w:rPr>
        <w:t>n</w:t>
      </w:r>
      <w:r w:rsidRPr="005C1BCA">
        <w:rPr>
          <w:rFonts w:ascii="Bookman Old Style" w:eastAsia="Times New Roman" w:hAnsi="Bookman Old Style" w:cs="Times New Roman"/>
          <w:sz w:val="24"/>
          <w:szCs w:val="24"/>
          <w:lang w:val="es-ES" w:eastAsia="es-ES"/>
        </w:rPr>
        <w:t xml:space="preserve"> </w:t>
      </w:r>
      <w:r w:rsidR="00955BE9">
        <w:rPr>
          <w:rFonts w:ascii="Bookman Old Style" w:eastAsia="Times New Roman" w:hAnsi="Bookman Old Style" w:cs="Times New Roman"/>
          <w:sz w:val="24"/>
          <w:szCs w:val="24"/>
          <w:lang w:val="es-ES" w:eastAsia="es-ES"/>
        </w:rPr>
        <w:br/>
      </w:r>
      <w:r w:rsidRPr="005C1BCA">
        <w:rPr>
          <w:rFonts w:ascii="Bookman Old Style" w:eastAsia="Times New Roman" w:hAnsi="Bookman Old Style" w:cs="Times New Roman"/>
          <w:sz w:val="24"/>
          <w:szCs w:val="24"/>
          <w:lang w:val="es-ES" w:eastAsia="es-ES"/>
        </w:rPr>
        <w:t>referen</w:t>
      </w:r>
      <w:r w:rsidR="0089512B">
        <w:rPr>
          <w:rFonts w:ascii="Bookman Old Style" w:eastAsia="Times New Roman" w:hAnsi="Bookman Old Style" w:cs="Times New Roman"/>
          <w:sz w:val="24"/>
          <w:szCs w:val="24"/>
          <w:lang w:val="es-ES" w:eastAsia="es-ES"/>
        </w:rPr>
        <w:t>cia los</w:t>
      </w:r>
      <w:r w:rsidRPr="005C1BCA">
        <w:rPr>
          <w:rFonts w:ascii="Bookman Old Style" w:eastAsia="Times New Roman" w:hAnsi="Bookman Old Style" w:cs="Times New Roman"/>
          <w:sz w:val="24"/>
          <w:szCs w:val="24"/>
          <w:lang w:val="es-ES" w:eastAsia="es-ES"/>
        </w:rPr>
        <w:t xml:space="preserve"> artículo</w:t>
      </w:r>
      <w:r w:rsidR="0089512B">
        <w:rPr>
          <w:rFonts w:ascii="Bookman Old Style" w:eastAsia="Times New Roman" w:hAnsi="Bookman Old Style" w:cs="Times New Roman"/>
          <w:sz w:val="24"/>
          <w:szCs w:val="24"/>
          <w:lang w:val="es-ES" w:eastAsia="es-ES"/>
        </w:rPr>
        <w:t>s 8 y</w:t>
      </w:r>
      <w:r w:rsidRPr="005C1BCA">
        <w:rPr>
          <w:rFonts w:ascii="Bookman Old Style" w:eastAsia="Times New Roman" w:hAnsi="Bookman Old Style" w:cs="Times New Roman"/>
          <w:sz w:val="24"/>
          <w:szCs w:val="24"/>
          <w:lang w:val="es-ES" w:eastAsia="es-ES"/>
        </w:rPr>
        <w:t xml:space="preserve"> 9 de la Resolución CREG </w:t>
      </w:r>
      <w:r w:rsidR="00351A5E">
        <w:rPr>
          <w:rFonts w:ascii="Bookman Old Style" w:eastAsia="Times New Roman" w:hAnsi="Bookman Old Style" w:cs="Times New Roman"/>
          <w:sz w:val="24"/>
          <w:szCs w:val="24"/>
          <w:lang w:val="es-ES" w:eastAsia="es-ES"/>
        </w:rPr>
        <w:t>063</w:t>
      </w:r>
      <w:r w:rsidR="00CD74B5">
        <w:rPr>
          <w:rFonts w:ascii="Bookman Old Style" w:eastAsia="Times New Roman" w:hAnsi="Bookman Old Style" w:cs="Times New Roman"/>
          <w:sz w:val="24"/>
          <w:szCs w:val="24"/>
          <w:lang w:val="es-ES" w:eastAsia="es-ES"/>
        </w:rPr>
        <w:t xml:space="preserve"> de 2016 </w:t>
      </w:r>
    </w:p>
    <w:p w14:paraId="050F3F50" w14:textId="77777777" w:rsidR="00CD74B5" w:rsidRDefault="00CD74B5" w:rsidP="00955BE9">
      <w:pPr>
        <w:spacing w:after="0" w:line="240" w:lineRule="auto"/>
        <w:contextualSpacing/>
        <w:jc w:val="center"/>
        <w:rPr>
          <w:rFonts w:ascii="Bookman Old Style" w:eastAsia="Times New Roman" w:hAnsi="Bookman Old Style" w:cs="Times New Roman"/>
          <w:sz w:val="24"/>
          <w:szCs w:val="24"/>
          <w:lang w:val="es-ES" w:eastAsia="es-ES"/>
        </w:rPr>
      </w:pPr>
    </w:p>
    <w:p w14:paraId="34FC9171" w14:textId="77777777" w:rsidR="00CD74B5" w:rsidRPr="005C1BCA" w:rsidRDefault="00CD74B5" w:rsidP="00955BE9">
      <w:pPr>
        <w:spacing w:after="0" w:line="240" w:lineRule="auto"/>
        <w:contextualSpacing/>
        <w:jc w:val="center"/>
        <w:rPr>
          <w:rFonts w:ascii="Bookman Old Style" w:eastAsia="Times New Roman" w:hAnsi="Bookman Old Style" w:cs="Times New Roman"/>
          <w:sz w:val="24"/>
          <w:szCs w:val="24"/>
          <w:lang w:val="es-ES" w:eastAsia="es-ES"/>
        </w:rPr>
      </w:pPr>
    </w:p>
    <w:p w14:paraId="58646A6D" w14:textId="77777777" w:rsidR="005C1BCA" w:rsidRPr="005C1BCA" w:rsidRDefault="005C1BCA" w:rsidP="00955BE9">
      <w:pPr>
        <w:spacing w:after="0" w:line="240" w:lineRule="auto"/>
        <w:ind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1F53B14A" w14:textId="77777777" w:rsidR="005C1BCA" w:rsidRPr="005C1BCA" w:rsidRDefault="005C1BCA" w:rsidP="00955BE9">
      <w:pPr>
        <w:spacing w:after="0" w:line="240" w:lineRule="auto"/>
        <w:ind w:right="51"/>
        <w:contextualSpacing/>
        <w:rPr>
          <w:rFonts w:ascii="Bookman Old Style" w:eastAsia="Times New Roman" w:hAnsi="Bookman Old Style" w:cs="Times New Roman"/>
          <w:sz w:val="24"/>
          <w:szCs w:val="24"/>
          <w:lang w:val="es-ES" w:eastAsia="es-ES"/>
        </w:rPr>
      </w:pPr>
    </w:p>
    <w:p w14:paraId="6E8DBA07" w14:textId="74510F46"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w:t>
      </w:r>
      <w:r w:rsidR="009C5EF2">
        <w:rPr>
          <w:rFonts w:ascii="Bookman Old Style" w:eastAsia="Times New Roman" w:hAnsi="Bookman Old Style" w:cs="Arial"/>
          <w:color w:val="000000"/>
          <w:sz w:val="24"/>
          <w:szCs w:val="24"/>
          <w:lang w:val="es-ES" w:eastAsia="es-ES"/>
        </w:rPr>
        <w:t>,</w:t>
      </w:r>
      <w:r w:rsidRPr="005C1BCA">
        <w:rPr>
          <w:rFonts w:ascii="Bookman Old Style" w:eastAsia="Times New Roman" w:hAnsi="Bookman Old Style" w:cs="Arial"/>
          <w:color w:val="000000"/>
          <w:sz w:val="24"/>
          <w:szCs w:val="24"/>
          <w:lang w:val="es-ES" w:eastAsia="es-ES"/>
        </w:rPr>
        <w:t xml:space="preserve"> y 1260 de 2013 y,</w:t>
      </w:r>
    </w:p>
    <w:p w14:paraId="4E269262"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38CA8C8C" w14:textId="77777777" w:rsidR="005C1BCA" w:rsidRPr="005C1BCA" w:rsidRDefault="005C1BCA" w:rsidP="00955BE9">
      <w:pPr>
        <w:spacing w:after="0" w:line="240" w:lineRule="auto"/>
        <w:contextualSpacing/>
        <w:jc w:val="center"/>
        <w:rPr>
          <w:rFonts w:ascii="Bookman Old Style" w:eastAsia="Times New Roman" w:hAnsi="Bookman Old Style" w:cs="Arial"/>
          <w:color w:val="000000"/>
          <w:sz w:val="24"/>
          <w:szCs w:val="24"/>
          <w:lang w:val="es-ES" w:eastAsia="es-ES"/>
        </w:rPr>
      </w:pPr>
    </w:p>
    <w:p w14:paraId="4D7EB39F" w14:textId="77777777"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14:paraId="10BDAFA9" w14:textId="77777777" w:rsidR="005C1BCA" w:rsidRP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14:paraId="58089227" w14:textId="08D24768" w:rsidR="00DE5054" w:rsidRPr="005C1BCA"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ejercicio de sus facultades regulatorias previstas</w:t>
      </w:r>
      <w:r w:rsidR="009C5EF2">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entre otras</w:t>
      </w:r>
      <w:r w:rsidR="009C5EF2">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en la Ley 142 de 1994 y en el artículo 62 de la Ley 1151 de 2007</w:t>
      </w:r>
      <w:r w:rsidRPr="005C1BCA">
        <w:rPr>
          <w:rFonts w:ascii="Bookman Old Style" w:eastAsia="Times New Roman" w:hAnsi="Bookman Old Style" w:cs="Arial"/>
          <w:spacing w:val="-5"/>
          <w:sz w:val="24"/>
          <w:szCs w:val="24"/>
          <w:vertAlign w:val="superscript"/>
        </w:rPr>
        <w:footnoteReference w:id="2"/>
      </w:r>
      <w:r w:rsidRPr="005C1BCA">
        <w:rPr>
          <w:rFonts w:ascii="Bookman Old Style" w:eastAsia="Times New Roman" w:hAnsi="Bookman Old Style" w:cs="Arial"/>
          <w:spacing w:val="-5"/>
          <w:sz w:val="24"/>
          <w:szCs w:val="24"/>
        </w:rPr>
        <w:t>, la Comisión de Regulación de Energía y Gas</w:t>
      </w:r>
      <w:r w:rsidR="009C5EF2">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CR</w:t>
      </w:r>
      <w:r>
        <w:rPr>
          <w:rFonts w:ascii="Bookman Old Style" w:eastAsia="Times New Roman" w:hAnsi="Bookman Old Style" w:cs="Arial"/>
          <w:spacing w:val="-5"/>
          <w:sz w:val="24"/>
          <w:szCs w:val="24"/>
        </w:rPr>
        <w:t>EG, en adelante la Comisión, expidió la Resolución CREG 063</w:t>
      </w:r>
      <w:r w:rsidRPr="005C1BCA">
        <w:rPr>
          <w:rFonts w:ascii="Bookman Old Style" w:eastAsia="Times New Roman" w:hAnsi="Bookman Old Style" w:cs="Arial"/>
          <w:spacing w:val="-5"/>
          <w:sz w:val="24"/>
          <w:szCs w:val="24"/>
        </w:rPr>
        <w:t xml:space="preserve"> de 2016 “</w:t>
      </w:r>
      <w:r w:rsidRPr="008734B9">
        <w:rPr>
          <w:rFonts w:ascii="Bookman Old Style" w:eastAsia="Times New Roman" w:hAnsi="Bookman Old Style" w:cs="Arial"/>
          <w:i/>
          <w:iCs/>
          <w:spacing w:val="-5"/>
          <w:sz w:val="24"/>
          <w:szCs w:val="24"/>
        </w:rPr>
        <w:t>Por la cual se establecen parámetros de conducta y la participación de los agentes dentro de las actividades de comercialización mayorista y distribución de GLP</w:t>
      </w:r>
      <w:r w:rsidRPr="005C1BCA">
        <w:rPr>
          <w:rFonts w:ascii="Bookman Old Style" w:eastAsia="Times New Roman" w:hAnsi="Bookman Old Style" w:cs="Arial"/>
          <w:spacing w:val="-5"/>
          <w:sz w:val="24"/>
          <w:szCs w:val="24"/>
        </w:rPr>
        <w:t xml:space="preserve">”. </w:t>
      </w:r>
    </w:p>
    <w:p w14:paraId="5BDBBF01"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183B653A" w14:textId="7E1157AD" w:rsidR="00DE5054"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dicho acto administrativo, así como en su documento soporte</w:t>
      </w:r>
      <w:r>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w:t>
      </w:r>
    </w:p>
    <w:p w14:paraId="39A73012"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5DEBFFC0" w14:textId="5CEC29DD"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 xml:space="preserve">Dentro de </w:t>
      </w:r>
      <w:r w:rsidR="0016112F">
        <w:rPr>
          <w:rFonts w:ascii="Bookman Old Style" w:eastAsia="Times New Roman" w:hAnsi="Bookman Old Style" w:cs="Arial"/>
          <w:spacing w:val="-5"/>
          <w:sz w:val="24"/>
          <w:szCs w:val="24"/>
        </w:rPr>
        <w:t>la Resolución CREG</w:t>
      </w:r>
      <w:r w:rsidR="00CE4E4B">
        <w:rPr>
          <w:rFonts w:ascii="Bookman Old Style" w:eastAsia="Times New Roman" w:hAnsi="Bookman Old Style" w:cs="Arial"/>
          <w:spacing w:val="-5"/>
          <w:sz w:val="24"/>
          <w:szCs w:val="24"/>
        </w:rPr>
        <w:t xml:space="preserve"> 063 de 2016</w:t>
      </w:r>
      <w:r w:rsidRPr="00FB2E5A">
        <w:rPr>
          <w:rFonts w:ascii="Bookman Old Style" w:eastAsia="Times New Roman" w:hAnsi="Bookman Old Style" w:cs="Arial"/>
          <w:spacing w:val="-5"/>
          <w:sz w:val="24"/>
          <w:szCs w:val="24"/>
        </w:rPr>
        <w:t xml:space="preserve">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w:t>
      </w:r>
      <w:r w:rsidR="009C5EF2">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SUI. En relación con lo anterior, el artículo 8 de la</w:t>
      </w:r>
      <w:r w:rsidR="00A173A7">
        <w:rPr>
          <w:rFonts w:ascii="Bookman Old Style" w:eastAsia="Times New Roman" w:hAnsi="Bookman Old Style" w:cs="Arial"/>
          <w:spacing w:val="-5"/>
          <w:sz w:val="24"/>
          <w:szCs w:val="24"/>
        </w:rPr>
        <w:t xml:space="preserve"> precitada resolución</w:t>
      </w:r>
      <w:r w:rsidR="007F3B34" w:rsidRPr="007F3B34">
        <w:t xml:space="preserve"> </w:t>
      </w:r>
      <w:r w:rsidR="007F3B34" w:rsidRPr="007F3B34">
        <w:rPr>
          <w:rFonts w:ascii="Bookman Old Style" w:eastAsia="Times New Roman" w:hAnsi="Bookman Old Style" w:cs="Arial"/>
          <w:spacing w:val="-5"/>
          <w:sz w:val="24"/>
          <w:szCs w:val="24"/>
        </w:rPr>
        <w:lastRenderedPageBreak/>
        <w:t>modificad</w:t>
      </w:r>
      <w:r w:rsidR="00A173A7">
        <w:rPr>
          <w:rFonts w:ascii="Bookman Old Style" w:eastAsia="Times New Roman" w:hAnsi="Bookman Old Style" w:cs="Arial"/>
          <w:spacing w:val="-5"/>
          <w:sz w:val="24"/>
          <w:szCs w:val="24"/>
        </w:rPr>
        <w:t>o</w:t>
      </w:r>
      <w:r w:rsidR="007F3B34" w:rsidRPr="007F3B34">
        <w:rPr>
          <w:rFonts w:ascii="Bookman Old Style" w:eastAsia="Times New Roman" w:hAnsi="Bookman Old Style" w:cs="Arial"/>
          <w:spacing w:val="-5"/>
          <w:sz w:val="24"/>
          <w:szCs w:val="24"/>
        </w:rPr>
        <w:t xml:space="preserve"> por el artículo 1 de la Resolución CREG 180 de 2017, establece lo siguiente:</w:t>
      </w:r>
    </w:p>
    <w:p w14:paraId="41BF4117" w14:textId="77777777" w:rsidR="00C705A5" w:rsidRDefault="00C705A5" w:rsidP="00DE5054">
      <w:pPr>
        <w:spacing w:after="0" w:line="240" w:lineRule="auto"/>
        <w:jc w:val="both"/>
        <w:rPr>
          <w:rFonts w:ascii="Bookman Old Style" w:eastAsia="Times New Roman" w:hAnsi="Bookman Old Style" w:cs="Arial"/>
          <w:spacing w:val="-5"/>
          <w:sz w:val="24"/>
          <w:szCs w:val="24"/>
        </w:rPr>
      </w:pPr>
    </w:p>
    <w:p w14:paraId="2D520A9F" w14:textId="77777777"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Pr>
          <w:rFonts w:ascii="Bookman Old Style" w:eastAsia="Times New Roman" w:hAnsi="Bookman Old Style" w:cs="Arial"/>
          <w:b/>
          <w:lang w:val="es-ES" w:eastAsia="es-ES"/>
        </w:rPr>
        <w:t>“</w:t>
      </w:r>
      <w:r w:rsidRPr="00FB2E5A">
        <w:rPr>
          <w:rFonts w:ascii="Bookman Old Style" w:eastAsia="Times New Roman" w:hAnsi="Bookman Old Style" w:cs="Arial"/>
          <w:b/>
          <w:lang w:val="es-ES" w:eastAsia="es-ES"/>
        </w:rPr>
        <w:t xml:space="preserve">Artículo </w:t>
      </w:r>
      <w:r>
        <w:rPr>
          <w:rFonts w:ascii="Bookman Old Style" w:eastAsia="Times New Roman" w:hAnsi="Bookman Old Style" w:cs="Arial"/>
          <w:b/>
          <w:lang w:val="es-ES" w:eastAsia="es-ES"/>
        </w:rPr>
        <w:t>8</w:t>
      </w:r>
      <w:r w:rsidRPr="00FB2E5A">
        <w:rPr>
          <w:rFonts w:ascii="Bookman Old Style" w:eastAsia="Times New Roman" w:hAnsi="Bookman Old Style" w:cs="Arial"/>
          <w:b/>
          <w:lang w:val="es-ES" w:eastAsia="es-ES"/>
        </w:rPr>
        <w:t xml:space="preserve">. Capacidad de compras. </w:t>
      </w:r>
      <w:r w:rsidRPr="00FB2E5A">
        <w:rPr>
          <w:rFonts w:ascii="Bookman Old Style" w:eastAsia="Times New Roman" w:hAnsi="Bookman Old Style" w:cs="Arial"/>
          <w:lang w:val="es-ES" w:eastAsia="es-ES"/>
        </w:rPr>
        <w:t>La capacidad disponible de compra de los distribuidores que adquieran GLP en el mercado mayorista se determinará así:</w:t>
      </w:r>
    </w:p>
    <w:p w14:paraId="3F6E3C7F" w14:textId="77777777"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14:paraId="03139999" w14:textId="77777777" w:rsidR="00DE5054" w:rsidRPr="00FB2E5A" w:rsidRDefault="00DE5054" w:rsidP="00F913D4">
      <w:pPr>
        <w:spacing w:after="0" w:line="240" w:lineRule="auto"/>
        <w:ind w:left="1134" w:right="284"/>
        <w:rPr>
          <w:rFonts w:ascii="Bookman Old Style" w:eastAsiaTheme="minorEastAsia" w:hAnsi="Bookman Old Style" w:cs="Times New Roman"/>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14:paraId="21F844AC" w14:textId="77777777" w:rsidR="00DE5054" w:rsidRPr="00FB2E5A" w:rsidRDefault="00DE5054" w:rsidP="00F913D4">
      <w:pPr>
        <w:spacing w:after="0" w:line="240" w:lineRule="auto"/>
        <w:ind w:left="567" w:right="284"/>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p w14:paraId="4C6F35E8" w14:textId="77777777" w:rsidR="00DE5054" w:rsidRPr="00FB2E5A" w:rsidRDefault="00DE5054" w:rsidP="00DE5054">
      <w:pPr>
        <w:spacing w:after="0" w:line="240" w:lineRule="auto"/>
        <w:ind w:left="567"/>
        <w:rPr>
          <w:rFonts w:ascii="Bookman Old Style" w:eastAsiaTheme="minorEastAsia" w:hAnsi="Bookman Old Style" w:cs="Times New Roman"/>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FB2E5A" w14:paraId="360D8355" w14:textId="77777777" w:rsidTr="00F913D4">
        <w:tc>
          <w:tcPr>
            <w:tcW w:w="1236" w:type="dxa"/>
          </w:tcPr>
          <w:p w14:paraId="6173D155" w14:textId="77777777"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Pr="00FB2E5A">
              <w:rPr>
                <w:rFonts w:ascii="Bookman Old Style" w:eastAsiaTheme="minorEastAsia" w:hAnsi="Bookman Old Style"/>
                <w:sz w:val="22"/>
                <w:szCs w:val="22"/>
                <w:lang w:val="es-ES" w:eastAsia="es-ES"/>
              </w:rPr>
              <w:t>:</w:t>
            </w:r>
          </w:p>
        </w:tc>
        <w:tc>
          <w:tcPr>
            <w:tcW w:w="6702" w:type="dxa"/>
          </w:tcPr>
          <w:p w14:paraId="333291BB" w14:textId="4A5389AF"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Capacidad disponible de compra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para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calculada para el mes </w:t>
            </w:r>
            <w:r w:rsidRPr="00FB2E5A">
              <w:rPr>
                <w:rFonts w:ascii="Bookman Old Style" w:hAnsi="Bookman Old Style" w:cs="Arial"/>
                <w:i/>
                <w:sz w:val="22"/>
                <w:szCs w:val="22"/>
                <w:lang w:val="es-ES" w:eastAsia="es-ES"/>
              </w:rPr>
              <w:t>m</w:t>
            </w:r>
            <w:r w:rsidRPr="00FB2E5A">
              <w:rPr>
                <w:rFonts w:ascii="Bookman Old Style" w:hAnsi="Bookman Old Style" w:cs="Arial"/>
                <w:sz w:val="22"/>
                <w:szCs w:val="22"/>
                <w:lang w:val="es-ES" w:eastAsia="es-ES"/>
              </w:rPr>
              <w:t>, medida en kilogramos.</w:t>
            </w:r>
          </w:p>
        </w:tc>
      </w:tr>
      <w:tr w:rsidR="00DE5054" w:rsidRPr="00FB2E5A" w14:paraId="2A0E31EC" w14:textId="77777777" w:rsidTr="00F913D4">
        <w:tc>
          <w:tcPr>
            <w:tcW w:w="1236" w:type="dxa"/>
          </w:tcPr>
          <w:p w14:paraId="3F7429E6" w14:textId="77777777" w:rsidR="00DE5054" w:rsidRPr="00FB2E5A" w:rsidRDefault="0024167E"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702" w:type="dxa"/>
          </w:tcPr>
          <w:p w14:paraId="6678241C" w14:textId="01D5E442" w:rsidR="00DE5054" w:rsidRPr="00FB2E5A" w:rsidRDefault="00DE5054" w:rsidP="003F59E4">
            <w:pPr>
              <w:ind w:left="34" w:firstLine="4"/>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Capacidad de compra del distribuidor i, para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t, medida en kilogramos.</w:t>
            </w:r>
          </w:p>
        </w:tc>
      </w:tr>
      <w:tr w:rsidR="00DE5054" w:rsidRPr="00FB2E5A" w14:paraId="4C2E141F" w14:textId="77777777" w:rsidTr="00F913D4">
        <w:tc>
          <w:tcPr>
            <w:tcW w:w="1236" w:type="dxa"/>
          </w:tcPr>
          <w:p w14:paraId="7D9DE5D9" w14:textId="77777777" w:rsidR="00DE5054" w:rsidRPr="00FB2E5A" w:rsidRDefault="0024167E"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FB2E5A">
              <w:rPr>
                <w:rFonts w:ascii="Bookman Old Style" w:eastAsiaTheme="minorEastAsia" w:hAnsi="Bookman Old Style"/>
                <w:sz w:val="22"/>
                <w:szCs w:val="22"/>
                <w:lang w:val="es-ES" w:eastAsia="es-ES"/>
              </w:rPr>
              <w:t>:</w:t>
            </w:r>
          </w:p>
        </w:tc>
        <w:tc>
          <w:tcPr>
            <w:tcW w:w="6702" w:type="dxa"/>
          </w:tcPr>
          <w:p w14:paraId="2D87C219" w14:textId="400D14D4"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Cantidad de producto que recibe el distribuidor i, medida en kilogramos, durante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t, calculada en el mes m, a partir de los contratos de suministro, reportados al SUI, que tengan alguna entrega durante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t.</w:t>
            </w:r>
          </w:p>
        </w:tc>
      </w:tr>
      <w:tr w:rsidR="00DE5054" w:rsidRPr="00FB2E5A" w14:paraId="2F24FD75" w14:textId="77777777" w:rsidTr="00F913D4">
        <w:tc>
          <w:tcPr>
            <w:tcW w:w="1236" w:type="dxa"/>
          </w:tcPr>
          <w:p w14:paraId="1EC6B757" w14:textId="77777777" w:rsidR="00DE5054" w:rsidRPr="00FB2E5A" w:rsidRDefault="0024167E"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FB2E5A">
              <w:rPr>
                <w:rFonts w:ascii="Bookman Old Style" w:eastAsiaTheme="minorEastAsia" w:hAnsi="Bookman Old Style"/>
                <w:sz w:val="22"/>
                <w:szCs w:val="22"/>
                <w:lang w:val="es-ES" w:eastAsia="es-ES"/>
              </w:rPr>
              <w:t>:</w:t>
            </w:r>
          </w:p>
        </w:tc>
        <w:tc>
          <w:tcPr>
            <w:tcW w:w="6702" w:type="dxa"/>
          </w:tcPr>
          <w:p w14:paraId="4874426C" w14:textId="7D138D99"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Cantidad total de producto que recibe el distribuidor i, medida en kilogramos, durante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t-1, calculada a partir de los contratos de suministro, reportados al SUI, que tengan alguna entrega durante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t-1. Para el primer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FB2E5A">
              <w:rPr>
                <w:rFonts w:ascii="Bookman Old Style" w:eastAsiaTheme="minorEastAsia" w:hAnsi="Bookman Old Style"/>
                <w:sz w:val="22"/>
                <w:szCs w:val="22"/>
                <w:lang w:val="es-ES" w:eastAsia="es-ES"/>
              </w:rPr>
              <w:t xml:space="preserve"> será igual a cero (0).</w:t>
            </w:r>
          </w:p>
        </w:tc>
      </w:tr>
      <w:tr w:rsidR="00DE5054" w:rsidRPr="00FB2E5A" w14:paraId="219AA3C4" w14:textId="77777777" w:rsidTr="00F913D4">
        <w:tc>
          <w:tcPr>
            <w:tcW w:w="1236" w:type="dxa"/>
          </w:tcPr>
          <w:p w14:paraId="391C2B46" w14:textId="77777777"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m</m:t>
              </m:r>
            </m:oMath>
            <w:r w:rsidRPr="00FB2E5A">
              <w:rPr>
                <w:rFonts w:ascii="Bookman Old Style" w:hAnsi="Bookman Old Style" w:cs="Arial"/>
                <w:sz w:val="22"/>
                <w:szCs w:val="22"/>
                <w:lang w:val="es-ES" w:eastAsia="es-ES"/>
              </w:rPr>
              <w:t>:</w:t>
            </w:r>
          </w:p>
        </w:tc>
        <w:tc>
          <w:tcPr>
            <w:tcW w:w="6702" w:type="dxa"/>
          </w:tcPr>
          <w:p w14:paraId="08B4F7FF" w14:textId="77777777"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Mes de cálculo de la capacidad disponible de compra.</w:t>
            </w:r>
          </w:p>
        </w:tc>
      </w:tr>
      <w:tr w:rsidR="00DE5054" w:rsidRPr="00FB2E5A" w14:paraId="06BA7985" w14:textId="77777777" w:rsidTr="00F913D4">
        <w:tc>
          <w:tcPr>
            <w:tcW w:w="1236" w:type="dxa"/>
          </w:tcPr>
          <w:p w14:paraId="44895D89" w14:textId="77777777"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t</m:t>
              </m:r>
            </m:oMath>
            <w:r w:rsidRPr="00FB2E5A">
              <w:rPr>
                <w:rFonts w:ascii="Bookman Old Style" w:hAnsi="Bookman Old Style" w:cs="Arial"/>
                <w:sz w:val="22"/>
                <w:szCs w:val="22"/>
                <w:lang w:val="es-ES" w:eastAsia="es-ES"/>
              </w:rPr>
              <w:t>:</w:t>
            </w:r>
          </w:p>
        </w:tc>
        <w:tc>
          <w:tcPr>
            <w:tcW w:w="6702" w:type="dxa"/>
          </w:tcPr>
          <w:p w14:paraId="64D6279C" w14:textId="722C1F97"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Corresponde al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FB2E5A">
              <w:rPr>
                <w:rFonts w:ascii="Bookman Old Style" w:eastAsiaTheme="minorEastAsia" w:hAnsi="Bookman Old Style"/>
                <w:sz w:val="22"/>
                <w:szCs w:val="22"/>
                <w:lang w:val="es-ES" w:eastAsia="es-ES"/>
              </w:rPr>
              <w:t>.</w:t>
            </w:r>
          </w:p>
        </w:tc>
      </w:tr>
    </w:tbl>
    <w:p w14:paraId="3AD4A1BB" w14:textId="77777777" w:rsidR="00DE5054" w:rsidRPr="00FB2E5A" w:rsidRDefault="00DE5054" w:rsidP="00DE5054">
      <w:pPr>
        <w:spacing w:after="0" w:line="240" w:lineRule="auto"/>
        <w:ind w:left="1134"/>
        <w:rPr>
          <w:rFonts w:ascii="Bookman Old Style" w:eastAsiaTheme="minorEastAsia" w:hAnsi="Bookman Old Style" w:cs="Times New Roman"/>
          <w:lang w:val="es-ES" w:eastAsia="es-ES"/>
        </w:rPr>
      </w:pPr>
    </w:p>
    <w:p w14:paraId="0A4D688A" w14:textId="79ACB184" w:rsidR="00DE5054" w:rsidRPr="00FB2E5A" w:rsidRDefault="00DE5054" w:rsidP="00F913D4">
      <w:pPr>
        <w:spacing w:after="0" w:line="240" w:lineRule="auto"/>
        <w:ind w:left="567" w:right="284"/>
        <w:jc w:val="both"/>
        <w:rPr>
          <w:rFonts w:ascii="Bookman Old Style" w:eastAsiaTheme="minorEastAsia" w:hAnsi="Bookman Old Style" w:cs="Times New Roman"/>
          <w:b/>
          <w:lang w:val="es-ES" w:eastAsia="es-ES"/>
        </w:rPr>
      </w:pPr>
      <w:r w:rsidRPr="00FB2E5A">
        <w:rPr>
          <w:rFonts w:ascii="Bookman Old Style" w:eastAsiaTheme="minorEastAsia" w:hAnsi="Bookman Old Style" w:cs="Times New Roman"/>
          <w:b/>
          <w:lang w:val="es-ES" w:eastAsia="es-ES"/>
        </w:rPr>
        <w:t xml:space="preserve">Parágrafo 1. </w:t>
      </w:r>
      <w:r w:rsidRPr="00FB2E5A">
        <w:rPr>
          <w:rFonts w:ascii="Bookman Old Style" w:eastAsiaTheme="minorEastAsia" w:hAnsi="Bookman Old Style" w:cs="Times New Roman"/>
          <w:lang w:val="es-ES" w:eastAsia="es-ES"/>
        </w:rPr>
        <w:t xml:space="preserve">La capacidad de compra de cada distribuidor se calculará de acuerdo con la siguiente fórmula. </w:t>
      </w:r>
    </w:p>
    <w:p w14:paraId="56B0354C" w14:textId="77777777"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14:paraId="40F9832B" w14:textId="77777777" w:rsidR="00DE5054" w:rsidRPr="00FB2E5A" w:rsidRDefault="0024167E" w:rsidP="00DE5054">
      <w:pPr>
        <w:spacing w:after="0" w:line="240" w:lineRule="auto"/>
        <w:ind w:left="1272" w:hanging="705"/>
        <w:jc w:val="both"/>
        <w:rPr>
          <w:rFonts w:ascii="Bookman Old Style" w:eastAsia="Times New Roman" w:hAnsi="Bookman Old Style" w:cs="Arial"/>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14:paraId="3F29EB4D" w14:textId="77777777"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FB2E5A" w14:paraId="7F59CFD4" w14:textId="77777777" w:rsidTr="00F913D4">
        <w:tc>
          <w:tcPr>
            <w:tcW w:w="1269" w:type="dxa"/>
          </w:tcPr>
          <w:p w14:paraId="4634CB47" w14:textId="77777777" w:rsidR="00DE5054" w:rsidRPr="00FB2E5A" w:rsidRDefault="0024167E" w:rsidP="003F59E4">
            <w:pPr>
              <w:jc w:val="both"/>
              <w:rPr>
                <w:rFonts w:ascii="Bookman Old Style" w:hAnsi="Bookman Old Style" w:cs="Arial"/>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531" w:type="dxa"/>
          </w:tcPr>
          <w:p w14:paraId="7267489E" w14:textId="15B39023"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Capacidad de compra del distribuidor i, para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t, medida en kilogramos, calculada por lo menos 1 mes antes del inicio del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 t.</w:t>
            </w:r>
          </w:p>
        </w:tc>
      </w:tr>
      <w:tr w:rsidR="00DE5054" w:rsidRPr="00FB2E5A" w14:paraId="26584BA6" w14:textId="77777777" w:rsidTr="00F913D4">
        <w:tc>
          <w:tcPr>
            <w:tcW w:w="1269" w:type="dxa"/>
          </w:tcPr>
          <w:p w14:paraId="3386F0BA" w14:textId="77777777" w:rsidR="00DE5054" w:rsidRPr="00FB2E5A" w:rsidRDefault="0024167E" w:rsidP="003F59E4">
            <w:pPr>
              <w:jc w:val="both"/>
              <w:rPr>
                <w:rFonts w:ascii="Bookman Old Style" w:hAnsi="Bookman Old Style" w:cs="Arial"/>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FB2E5A">
              <w:rPr>
                <w:rFonts w:ascii="Bookman Old Style" w:eastAsiaTheme="minorEastAsia" w:hAnsi="Bookman Old Style" w:cs="Arial"/>
                <w:sz w:val="22"/>
                <w:szCs w:val="22"/>
                <w:lang w:val="es-ES" w:eastAsia="es-ES"/>
              </w:rPr>
              <w:t>:</w:t>
            </w:r>
          </w:p>
        </w:tc>
        <w:tc>
          <w:tcPr>
            <w:tcW w:w="6531" w:type="dxa"/>
          </w:tcPr>
          <w:p w14:paraId="5ACDDB06" w14:textId="77777777" w:rsidR="00DE5054" w:rsidRPr="00FB2E5A" w:rsidRDefault="00DE5054" w:rsidP="003F59E4">
            <w:pPr>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Factor de equivalencia de envasado en cilindros y tanques estacionarios, </w:t>
            </w:r>
            <w:r w:rsidR="007F3B34">
              <w:rPr>
                <w:rFonts w:ascii="Bookman Old Style" w:eastAsiaTheme="minorEastAsia" w:hAnsi="Bookman Old Style" w:cs="Arial"/>
                <w:sz w:val="22"/>
                <w:szCs w:val="22"/>
                <w:lang w:val="es-ES" w:eastAsia="es-ES"/>
              </w:rPr>
              <w:t>corresponde a: 0,345.</w:t>
            </w:r>
          </w:p>
        </w:tc>
      </w:tr>
      <w:tr w:rsidR="00DE5054" w:rsidRPr="00FB2E5A" w14:paraId="5C579592" w14:textId="77777777" w:rsidTr="00F913D4">
        <w:tc>
          <w:tcPr>
            <w:tcW w:w="1269" w:type="dxa"/>
          </w:tcPr>
          <w:p w14:paraId="245AEA4F" w14:textId="77777777"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Pr="00FB2E5A">
              <w:rPr>
                <w:rFonts w:ascii="Bookman Old Style" w:eastAsiaTheme="minorEastAsia" w:hAnsi="Bookman Old Style"/>
                <w:sz w:val="22"/>
                <w:szCs w:val="22"/>
                <w:lang w:val="es-ES" w:eastAsia="es-ES"/>
              </w:rPr>
              <w:t>:</w:t>
            </w:r>
          </w:p>
        </w:tc>
        <w:tc>
          <w:tcPr>
            <w:tcW w:w="6531" w:type="dxa"/>
          </w:tcPr>
          <w:p w14:paraId="4EDBABB8" w14:textId="24AD3BD3"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hAnsi="Bookman Old Style" w:cs="Arial"/>
                <w:sz w:val="22"/>
                <w:szCs w:val="22"/>
                <w:lang w:val="es-ES" w:eastAsia="es-ES"/>
              </w:rPr>
              <w:t xml:space="preserve">Capacidad total de envase en cilindros de propiedad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en 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medida en kilogramos, </w:t>
            </w:r>
            <w:r w:rsidRPr="00FB2E5A">
              <w:rPr>
                <w:rFonts w:ascii="Bookman Old Style" w:eastAsiaTheme="minorEastAsia" w:hAnsi="Bookman Old Style" w:cs="Arial"/>
                <w:sz w:val="22"/>
                <w:szCs w:val="22"/>
                <w:lang w:val="es-ES" w:eastAsia="es-ES"/>
              </w:rPr>
              <w:t>de acuerdo con la información reportada al SUI.</w:t>
            </w:r>
          </w:p>
        </w:tc>
      </w:tr>
      <w:tr w:rsidR="00DE5054" w:rsidRPr="00FB2E5A" w14:paraId="119A08C9" w14:textId="77777777" w:rsidTr="00F913D4">
        <w:tc>
          <w:tcPr>
            <w:tcW w:w="1269" w:type="dxa"/>
          </w:tcPr>
          <w:p w14:paraId="2711F92D" w14:textId="77777777"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eastAsiaTheme="minorEastAsia" w:hAnsi="Bookman Old Style" w:cs="Arial"/>
                <w:sz w:val="22"/>
                <w:szCs w:val="22"/>
                <w:lang w:val="es-ES" w:eastAsia="es-ES"/>
              </w:rPr>
              <w:t>:</w:t>
            </w:r>
          </w:p>
        </w:tc>
        <w:tc>
          <w:tcPr>
            <w:tcW w:w="6531" w:type="dxa"/>
          </w:tcPr>
          <w:p w14:paraId="779105D7" w14:textId="24DCCE78"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en el p</w:t>
            </w:r>
            <w:r w:rsidR="009C5EF2">
              <w:rPr>
                <w:rFonts w:ascii="Bookman Old Style" w:eastAsiaTheme="minorEastAsia" w:hAnsi="Bookman Old Style" w:cs="Arial"/>
                <w:sz w:val="22"/>
                <w:szCs w:val="22"/>
                <w:lang w:val="es-ES" w:eastAsia="es-ES"/>
              </w:rPr>
              <w:t>eríodo</w:t>
            </w:r>
            <w:r w:rsidRPr="00FB2E5A">
              <w:rPr>
                <w:rFonts w:ascii="Bookman Old Style" w:eastAsiaTheme="minorEastAsia" w:hAnsi="Bookman Old Style" w:cs="Arial"/>
                <w:sz w:val="22"/>
                <w:szCs w:val="22"/>
                <w:lang w:val="es-ES" w:eastAsia="es-ES"/>
              </w:rPr>
              <w:t xml:space="preserve">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bl>
    <w:p w14:paraId="5D4FCE46" w14:textId="77777777"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14:paraId="59A949AA" w14:textId="45E989A4"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2.</w:t>
      </w:r>
      <w:r w:rsidRPr="00FB2E5A">
        <w:rPr>
          <w:rFonts w:ascii="Bookman Old Style" w:eastAsia="Times New Roman" w:hAnsi="Bookman Old Style" w:cs="Arial"/>
          <w:lang w:val="es-ES" w:eastAsia="es-ES"/>
        </w:rPr>
        <w:t xml:space="preserve"> La capacidad total de envase en cilindros, de propiedad del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en el p</w:t>
      </w:r>
      <w:r w:rsidR="009C5EF2">
        <w:rPr>
          <w:rFonts w:ascii="Bookman Old Style" w:eastAsia="Times New Roman" w:hAnsi="Bookman Old Style" w:cs="Arial"/>
          <w:lang w:val="es-ES" w:eastAsia="es-ES"/>
        </w:rPr>
        <w:t>eríodo</w:t>
      </w:r>
      <w:r w:rsidRPr="00FB2E5A">
        <w:rPr>
          <w:rFonts w:ascii="Bookman Old Style" w:eastAsia="Times New Roman" w:hAnsi="Bookman Old Style" w:cs="Arial"/>
          <w:lang w:val="es-ES" w:eastAsia="es-ES"/>
        </w:rPr>
        <w:t xml:space="preserve">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14:paraId="4E7BF0B9" w14:textId="77777777"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14:paraId="03CECD9D" w14:textId="77777777" w:rsidR="00DE5054" w:rsidRPr="00FB2E5A" w:rsidRDefault="00DE5054"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14:paraId="2FB2C2CC" w14:textId="77777777" w:rsidR="009D53E5" w:rsidRDefault="009D53E5" w:rsidP="00DE5054">
      <w:pPr>
        <w:spacing w:after="0" w:line="240" w:lineRule="auto"/>
        <w:ind w:left="709" w:firstLine="566"/>
        <w:jc w:val="both"/>
        <w:rPr>
          <w:rFonts w:ascii="Bookman Old Style" w:eastAsiaTheme="minorEastAsia" w:hAnsi="Bookman Old Style" w:cs="Times New Roman"/>
          <w:lang w:val="es-ES" w:eastAsia="es-ES"/>
        </w:rPr>
      </w:pPr>
    </w:p>
    <w:p w14:paraId="77E7DFE0" w14:textId="77777777" w:rsidR="00DE5054" w:rsidRPr="00FB2E5A" w:rsidRDefault="00DE5054" w:rsidP="00DE5054">
      <w:pPr>
        <w:spacing w:after="0" w:line="240" w:lineRule="auto"/>
        <w:ind w:left="709" w:firstLine="566"/>
        <w:jc w:val="both"/>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FB2E5A" w14:paraId="7C9CF7D5" w14:textId="77777777" w:rsidTr="00060C0E">
        <w:trPr>
          <w:trHeight w:val="168"/>
        </w:trPr>
        <w:tc>
          <w:tcPr>
            <w:tcW w:w="1659" w:type="dxa"/>
            <w:hideMark/>
          </w:tcPr>
          <w:p w14:paraId="1584976D" w14:textId="77777777"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val="es-ES" w:eastAsia="es-ES"/>
                </w:rPr>
                <m:t>Cap</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t</m:t>
                  </m:r>
                </m:sub>
              </m:sSub>
            </m:oMath>
            <w:r w:rsidRPr="00FB2E5A">
              <w:rPr>
                <w:rFonts w:ascii="Bookman Old Style" w:eastAsiaTheme="minorEastAsia" w:hAnsi="Bookman Old Style"/>
                <w:sz w:val="22"/>
                <w:szCs w:val="22"/>
                <w:lang w:val="es-ES" w:eastAsia="es-ES"/>
              </w:rPr>
              <w:t>:</w:t>
            </w:r>
          </w:p>
        </w:tc>
        <w:tc>
          <w:tcPr>
            <w:tcW w:w="6171" w:type="dxa"/>
            <w:hideMark/>
          </w:tcPr>
          <w:p w14:paraId="1AB1FE9A" w14:textId="2B522D53" w:rsidR="00DE5054" w:rsidRDefault="00DE5054" w:rsidP="003F59E4">
            <w:pPr>
              <w:jc w:val="both"/>
              <w:rPr>
                <w:rFonts w:ascii="Bookman Old Style" w:eastAsiaTheme="minorEastAsia" w:hAnsi="Bookman Old Style"/>
                <w:sz w:val="22"/>
                <w:szCs w:val="22"/>
                <w:lang w:val="es-ES" w:eastAsia="es-ES"/>
              </w:rPr>
            </w:pPr>
            <w:r w:rsidRPr="00FB2E5A">
              <w:rPr>
                <w:rFonts w:ascii="Bookman Old Style" w:eastAsiaTheme="minorEastAsia" w:hAnsi="Bookman Old Style"/>
                <w:sz w:val="22"/>
                <w:szCs w:val="22"/>
                <w:lang w:val="es-ES" w:eastAsia="es-ES"/>
              </w:rPr>
              <w:t>Capacidad total de envase en cilindros de propiedad del distribuidor i, en el p</w:t>
            </w:r>
            <w:r w:rsidR="009C5EF2">
              <w:rPr>
                <w:rFonts w:ascii="Bookman Old Style" w:eastAsiaTheme="minorEastAsia" w:hAnsi="Bookman Old Style"/>
                <w:sz w:val="22"/>
                <w:szCs w:val="22"/>
                <w:lang w:val="es-ES" w:eastAsia="es-ES"/>
              </w:rPr>
              <w:t>eríodo</w:t>
            </w:r>
            <w:r w:rsidRPr="00FB2E5A">
              <w:rPr>
                <w:rFonts w:ascii="Bookman Old Style" w:eastAsiaTheme="minorEastAsia" w:hAnsi="Bookman Old Style"/>
                <w:sz w:val="22"/>
                <w:szCs w:val="22"/>
                <w:lang w:val="es-ES" w:eastAsia="es-ES"/>
              </w:rPr>
              <w:t xml:space="preserve"> t, medida en kilogramos, registrado en el SUI.</w:t>
            </w:r>
          </w:p>
          <w:p w14:paraId="45056FC0" w14:textId="77777777" w:rsidR="00C705A5" w:rsidRPr="00FB2E5A" w:rsidRDefault="00C705A5" w:rsidP="003F59E4">
            <w:pPr>
              <w:jc w:val="both"/>
              <w:rPr>
                <w:rFonts w:ascii="Bookman Old Style" w:eastAsiaTheme="minorEastAsia" w:hAnsi="Bookman Old Style"/>
                <w:sz w:val="22"/>
                <w:szCs w:val="22"/>
                <w:lang w:eastAsia="es-ES"/>
              </w:rPr>
            </w:pPr>
          </w:p>
        </w:tc>
      </w:tr>
      <w:tr w:rsidR="00DE5054" w:rsidRPr="00FB2E5A" w14:paraId="5016DEBE" w14:textId="77777777" w:rsidTr="00F913D4">
        <w:trPr>
          <w:trHeight w:val="1359"/>
        </w:trPr>
        <w:tc>
          <w:tcPr>
            <w:tcW w:w="1659" w:type="dxa"/>
            <w:hideMark/>
          </w:tcPr>
          <w:p w14:paraId="2CDC937A" w14:textId="77777777"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eastAsia="es-ES"/>
                </w:rPr>
                <w:lastRenderedPageBreak/>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Pr="00FB2E5A">
              <w:rPr>
                <w:rFonts w:ascii="Bookman Old Style" w:eastAsiaTheme="minorEastAsia" w:hAnsi="Bookman Old Style"/>
                <w:sz w:val="22"/>
                <w:szCs w:val="22"/>
                <w:lang w:eastAsia="es-ES"/>
              </w:rPr>
              <w:t>:</w:t>
            </w:r>
          </w:p>
        </w:tc>
        <w:tc>
          <w:tcPr>
            <w:tcW w:w="6171" w:type="dxa"/>
            <w:hideMark/>
          </w:tcPr>
          <w:p w14:paraId="251274C8" w14:textId="0AA18D57" w:rsidR="00DE5054" w:rsidRPr="00FB2E5A" w:rsidRDefault="00DE5054" w:rsidP="003F59E4">
            <w:pPr>
              <w:jc w:val="both"/>
              <w:rPr>
                <w:rFonts w:ascii="Bookman Old Style" w:eastAsiaTheme="minorEastAsia" w:hAnsi="Bookman Old Style"/>
                <w:sz w:val="22"/>
                <w:szCs w:val="22"/>
                <w:lang w:eastAsia="es-ES"/>
              </w:rPr>
            </w:pPr>
            <w:r w:rsidRPr="00FB2E5A">
              <w:rPr>
                <w:rFonts w:ascii="Bookman Old Style" w:eastAsiaTheme="minorEastAsia" w:hAnsi="Bookman Old Style"/>
                <w:sz w:val="22"/>
                <w:szCs w:val="22"/>
                <w:lang w:eastAsia="es-ES"/>
              </w:rPr>
              <w:t>Capacidad de envase en cilindros, de acuerdo con la información registrada desde el 2008 hasta octubre de 2012, por AIC proyectos, para cada marca de propiedad del distribuidor i, en el p</w:t>
            </w:r>
            <w:r w:rsidR="009C5EF2">
              <w:rPr>
                <w:rFonts w:ascii="Bookman Old Style" w:eastAsiaTheme="minorEastAsia" w:hAnsi="Bookman Old Style"/>
                <w:sz w:val="22"/>
                <w:szCs w:val="22"/>
                <w:lang w:eastAsia="es-ES"/>
              </w:rPr>
              <w:t>eríodo</w:t>
            </w:r>
            <w:r w:rsidRPr="00FB2E5A">
              <w:rPr>
                <w:rFonts w:ascii="Bookman Old Style" w:eastAsiaTheme="minorEastAsia" w:hAnsi="Bookman Old Style"/>
                <w:sz w:val="22"/>
                <w:szCs w:val="22"/>
                <w:lang w:eastAsia="es-ES"/>
              </w:rPr>
              <w:t xml:space="preserve"> t, medida en kilogramos, definido de la siguiente forma:  </w:t>
            </w:r>
          </w:p>
        </w:tc>
      </w:tr>
    </w:tbl>
    <w:p w14:paraId="186C00CF"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14:paraId="0267BA41"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14:paraId="6060F3CD"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w:p>
    <w:p w14:paraId="0275F56B" w14:textId="77777777"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FB2E5A" w14:paraId="646B89A1" w14:textId="77777777" w:rsidTr="00F913D4">
        <w:trPr>
          <w:trHeight w:val="1359"/>
        </w:trPr>
        <w:tc>
          <w:tcPr>
            <w:tcW w:w="1418" w:type="dxa"/>
            <w:shd w:val="clear" w:color="auto" w:fill="auto"/>
            <w:tcMar>
              <w:top w:w="15" w:type="dxa"/>
              <w:left w:w="108" w:type="dxa"/>
              <w:bottom w:w="0" w:type="dxa"/>
              <w:right w:w="108" w:type="dxa"/>
            </w:tcMar>
            <w:hideMark/>
          </w:tcPr>
          <w:p w14:paraId="0254AA3F"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0513D1FD" w14:textId="77777777"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libras, de acuerdo con la información </w:t>
            </w:r>
            <w:r w:rsidRPr="00FB2E5A">
              <w:rPr>
                <w:rFonts w:ascii="Bookman Old Style" w:eastAsiaTheme="minorEastAsia" w:hAnsi="Bookman Old Style"/>
                <w:color w:val="000000" w:themeColor="text1"/>
                <w:kern w:val="24"/>
                <w:lang w:eastAsia="es-CO"/>
              </w:rPr>
              <w:t>registrada desde el 2008 hasta octubre de 2012, por AIC proyectos y</w:t>
            </w:r>
            <w:r w:rsidRPr="00FB2E5A">
              <w:rPr>
                <w:rFonts w:ascii="Bookman Old Style" w:eastAsia="Times New Roman" w:hAnsi="Bookman Old Style" w:cs="Arial"/>
                <w:color w:val="000000" w:themeColor="text1"/>
                <w:kern w:val="24"/>
                <w:lang w:val="es-ES" w:eastAsia="es-CO"/>
              </w:rPr>
              <w:t xml:space="preserve"> publicada en el SUI.</w:t>
            </w:r>
          </w:p>
        </w:tc>
      </w:tr>
      <w:tr w:rsidR="00DE5054" w:rsidRPr="00FB2E5A" w14:paraId="7ACC1E8C" w14:textId="77777777" w:rsidTr="00F913D4">
        <w:trPr>
          <w:trHeight w:val="1021"/>
        </w:trPr>
        <w:tc>
          <w:tcPr>
            <w:tcW w:w="1418" w:type="dxa"/>
            <w:shd w:val="clear" w:color="auto" w:fill="auto"/>
            <w:tcMar>
              <w:top w:w="15" w:type="dxa"/>
              <w:left w:w="108" w:type="dxa"/>
              <w:bottom w:w="0" w:type="dxa"/>
              <w:right w:w="108" w:type="dxa"/>
            </w:tcMar>
            <w:hideMark/>
          </w:tcPr>
          <w:p w14:paraId="0C8BDCF1"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_</m:t>
                  </m:r>
                  <m: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6CA7C20B" w14:textId="77777777"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Lb</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14:paraId="491519E5" w14:textId="77777777" w:rsidTr="00F913D4">
        <w:trPr>
          <w:trHeight w:val="524"/>
        </w:trPr>
        <w:tc>
          <w:tcPr>
            <w:tcW w:w="1418" w:type="dxa"/>
            <w:shd w:val="clear" w:color="auto" w:fill="auto"/>
            <w:tcMar>
              <w:top w:w="15" w:type="dxa"/>
              <w:left w:w="108" w:type="dxa"/>
              <w:bottom w:w="0" w:type="dxa"/>
              <w:right w:w="108" w:type="dxa"/>
            </w:tcMar>
            <w:hideMark/>
          </w:tcPr>
          <w:p w14:paraId="03BCD920" w14:textId="77777777" w:rsidR="00DE5054" w:rsidRPr="00FB2E5A" w:rsidRDefault="00DE5054" w:rsidP="003F59E4">
            <w:pPr>
              <w:spacing w:after="0" w:line="240" w:lineRule="auto"/>
              <w:jc w:val="both"/>
              <w:rPr>
                <w:rFonts w:ascii="Arial" w:eastAsia="Times New Roman" w:hAnsi="Arial" w:cs="Arial"/>
                <w:lang w:eastAsia="es-CO"/>
              </w:rPr>
            </w:pPr>
            <m:oMath>
              <m:r>
                <m:rPr>
                  <m:sty m:val="p"/>
                </m:rPr>
                <w:rPr>
                  <w:rFonts w:ascii="Cambria Math" w:eastAsia="Times New Roman" w:hAnsi="Cambria Math" w:cs="Arial"/>
                  <w:color w:val="000000" w:themeColor="text1"/>
                  <w:kern w:val="24"/>
                  <w:lang w:val="es-ES" w:eastAsia="es-CO"/>
                </w:rPr>
                <m:t>0,454</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7EE24244" w14:textId="77777777"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Cantidad de kilogramos por libras americanas, de acuerdo con la NTC 3853.  </w:t>
            </w:r>
          </w:p>
        </w:tc>
      </w:tr>
      <w:tr w:rsidR="00DE5054" w:rsidRPr="00FB2E5A" w14:paraId="1DA9341B" w14:textId="77777777" w:rsidTr="00F913D4">
        <w:trPr>
          <w:trHeight w:val="416"/>
        </w:trPr>
        <w:tc>
          <w:tcPr>
            <w:tcW w:w="1418" w:type="dxa"/>
            <w:shd w:val="clear" w:color="auto" w:fill="auto"/>
            <w:tcMar>
              <w:top w:w="15" w:type="dxa"/>
              <w:left w:w="108" w:type="dxa"/>
              <w:bottom w:w="0" w:type="dxa"/>
              <w:right w:w="108" w:type="dxa"/>
            </w:tcMar>
            <w:hideMark/>
          </w:tcPr>
          <w:p w14:paraId="498F554F"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1AC89FDA" w14:textId="72B80151"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w:t>
            </w:r>
            <w:r w:rsidR="009C5EF2">
              <w:rPr>
                <w:rFonts w:ascii="Bookman Old Style" w:eastAsia="Times New Roman" w:hAnsi="Bookman Old Style" w:cs="Arial"/>
                <w:color w:val="000000" w:themeColor="text1"/>
                <w:kern w:val="24"/>
                <w:lang w:val="es-ES" w:eastAsia="es-CO"/>
              </w:rPr>
              <w:t>eríodo</w:t>
            </w:r>
            <w:r w:rsidRPr="00FB2E5A">
              <w:rPr>
                <w:rFonts w:ascii="Bookman Old Style" w:eastAsia="Times New Roman" w:hAnsi="Bookman Old Style" w:cs="Arial"/>
                <w:color w:val="000000" w:themeColor="text1"/>
                <w:kern w:val="24"/>
                <w:lang w:val="es-ES" w:eastAsia="es-CO"/>
              </w:rPr>
              <w:t xml:space="preserve"> de compra.</w:t>
            </w:r>
          </w:p>
        </w:tc>
      </w:tr>
    </w:tbl>
    <w:p w14:paraId="7F40B557"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FB2E5A" w14:paraId="6E06D4D6" w14:textId="77777777" w:rsidTr="00F913D4">
        <w:trPr>
          <w:trHeight w:val="1021"/>
        </w:trPr>
        <w:tc>
          <w:tcPr>
            <w:tcW w:w="2040" w:type="dxa"/>
            <w:shd w:val="clear" w:color="auto" w:fill="auto"/>
            <w:tcMar>
              <w:top w:w="15" w:type="dxa"/>
              <w:left w:w="108" w:type="dxa"/>
              <w:bottom w:w="0" w:type="dxa"/>
              <w:right w:w="108" w:type="dxa"/>
            </w:tcMar>
            <w:hideMark/>
          </w:tcPr>
          <w:p w14:paraId="7079BA05"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Pr="00FB2E5A">
              <w:rPr>
                <w:rFonts w:ascii="Calibri" w:eastAsia="Times New Roman" w:hAnsi="Calibri" w:cs="Arial"/>
                <w:color w:val="000000" w:themeColor="text1"/>
                <w:kern w:val="24"/>
                <w:lang w:eastAsia="es-CO"/>
              </w:rPr>
              <w:t>:</w:t>
            </w:r>
          </w:p>
        </w:tc>
        <w:tc>
          <w:tcPr>
            <w:tcW w:w="5790" w:type="dxa"/>
            <w:shd w:val="clear" w:color="auto" w:fill="auto"/>
            <w:tcMar>
              <w:top w:w="15" w:type="dxa"/>
              <w:left w:w="108" w:type="dxa"/>
              <w:bottom w:w="0" w:type="dxa"/>
              <w:right w:w="108" w:type="dxa"/>
            </w:tcMar>
            <w:hideMark/>
          </w:tcPr>
          <w:p w14:paraId="1DFD5032" w14:textId="77777777" w:rsidR="00DE5054" w:rsidRDefault="00DE5054" w:rsidP="003F59E4">
            <w:pPr>
              <w:spacing w:after="0" w:line="240" w:lineRule="auto"/>
              <w:jc w:val="both"/>
              <w:rPr>
                <w:rFonts w:ascii="Bookman Old Style" w:eastAsiaTheme="minorEastAsia" w:hAnsi="Bookman Old Style"/>
                <w:color w:val="000000" w:themeColor="text1"/>
                <w:kern w:val="24"/>
                <w:lang w:eastAsia="es-CO"/>
              </w:rPr>
            </w:pPr>
            <w:r w:rsidRPr="00FB2E5A">
              <w:rPr>
                <w:rFonts w:ascii="Bookman Old Style" w:eastAsiaTheme="minorEastAsia" w:hAnsi="Bookman Old Style"/>
                <w:color w:val="000000" w:themeColor="text1"/>
                <w:kern w:val="24"/>
                <w:lang w:val="es-ES" w:eastAsia="es-CO"/>
              </w:rPr>
              <w:t>Capacidad de envase en cilindros, de acuerdo con la información registrada al SUI desde noviembre de 2012 hasta la fecha, para cada marca de propiedad del distribuidor i en el p</w:t>
            </w:r>
            <w:r w:rsidR="009C5EF2">
              <w:rPr>
                <w:rFonts w:ascii="Bookman Old Style" w:eastAsiaTheme="minorEastAsia" w:hAnsi="Bookman Old Style"/>
                <w:color w:val="000000" w:themeColor="text1"/>
                <w:kern w:val="24"/>
                <w:lang w:val="es-ES" w:eastAsia="es-CO"/>
              </w:rPr>
              <w:t>eríodo</w:t>
            </w:r>
            <w:r w:rsidRPr="00FB2E5A">
              <w:rPr>
                <w:rFonts w:ascii="Bookman Old Style" w:eastAsiaTheme="minorEastAsia" w:hAnsi="Bookman Old Style"/>
                <w:color w:val="000000" w:themeColor="text1"/>
                <w:kern w:val="24"/>
                <w:lang w:val="es-ES" w:eastAsia="es-CO"/>
              </w:rPr>
              <w:t xml:space="preserve"> t, medida en kilogramos</w:t>
            </w:r>
            <w:r w:rsidRPr="00FB2E5A">
              <w:rPr>
                <w:rFonts w:ascii="Bookman Old Style" w:eastAsiaTheme="minorEastAsia" w:hAnsi="Bookman Old Style"/>
                <w:color w:val="000000" w:themeColor="text1"/>
                <w:kern w:val="24"/>
                <w:lang w:eastAsia="es-CO"/>
              </w:rPr>
              <w:t>, definida de la siguiente forma:</w:t>
            </w:r>
          </w:p>
          <w:p w14:paraId="08E255EB" w14:textId="5E026C30" w:rsidR="00060C0E" w:rsidRPr="00FB2E5A" w:rsidRDefault="00060C0E" w:rsidP="003F59E4">
            <w:pPr>
              <w:spacing w:after="0" w:line="240" w:lineRule="auto"/>
              <w:jc w:val="both"/>
              <w:rPr>
                <w:rFonts w:ascii="Bookman Old Style" w:eastAsia="Times New Roman" w:hAnsi="Bookman Old Style" w:cs="Arial"/>
                <w:lang w:eastAsia="es-CO"/>
              </w:rPr>
            </w:pPr>
          </w:p>
        </w:tc>
      </w:tr>
    </w:tbl>
    <w:p w14:paraId="172005FD"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14:paraId="42927248" w14:textId="77777777"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FB2E5A" w14:paraId="54600614" w14:textId="77777777" w:rsidTr="00F913D4">
        <w:trPr>
          <w:trHeight w:val="1359"/>
        </w:trPr>
        <w:tc>
          <w:tcPr>
            <w:tcW w:w="1276" w:type="dxa"/>
            <w:shd w:val="clear" w:color="auto" w:fill="auto"/>
            <w:tcMar>
              <w:top w:w="15" w:type="dxa"/>
              <w:left w:w="108" w:type="dxa"/>
              <w:bottom w:w="0" w:type="dxa"/>
              <w:right w:w="108" w:type="dxa"/>
            </w:tcMar>
            <w:hideMark/>
          </w:tcPr>
          <w:p w14:paraId="073716EA"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6776D1EB" w14:textId="77777777"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kilogramos, de acuerdo con la información </w:t>
            </w:r>
            <w:r w:rsidRPr="00FB2E5A">
              <w:rPr>
                <w:rFonts w:ascii="Bookman Old Style" w:eastAsiaTheme="minorEastAsia" w:hAnsi="Bookman Old Style"/>
                <w:color w:val="000000" w:themeColor="text1"/>
                <w:kern w:val="24"/>
                <w:lang w:eastAsia="es-CO"/>
              </w:rPr>
              <w:t>registrada al SUI desde noviembre de 2012 hasta la fecha</w:t>
            </w:r>
            <w:r w:rsidRPr="00FB2E5A">
              <w:rPr>
                <w:rFonts w:ascii="Bookman Old Style" w:eastAsia="Times New Roman" w:hAnsi="Bookman Old Style" w:cs="Arial"/>
                <w:color w:val="000000" w:themeColor="text1"/>
                <w:kern w:val="24"/>
                <w:lang w:val="es-ES" w:eastAsia="es-CO"/>
              </w:rPr>
              <w:t>.</w:t>
            </w:r>
          </w:p>
        </w:tc>
      </w:tr>
      <w:tr w:rsidR="00DE5054" w:rsidRPr="00FB2E5A" w14:paraId="637647F2" w14:textId="77777777" w:rsidTr="00F913D4">
        <w:trPr>
          <w:trHeight w:val="1021"/>
        </w:trPr>
        <w:tc>
          <w:tcPr>
            <w:tcW w:w="1276" w:type="dxa"/>
            <w:shd w:val="clear" w:color="auto" w:fill="auto"/>
            <w:tcMar>
              <w:top w:w="15" w:type="dxa"/>
              <w:left w:w="108" w:type="dxa"/>
              <w:bottom w:w="0" w:type="dxa"/>
              <w:right w:w="108" w:type="dxa"/>
            </w:tcMar>
            <w:hideMark/>
          </w:tcPr>
          <w:p w14:paraId="02D601B7"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670C71CA" w14:textId="77777777"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Kg</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14:paraId="3BC0882C" w14:textId="77777777" w:rsidTr="00F913D4">
        <w:trPr>
          <w:trHeight w:val="416"/>
        </w:trPr>
        <w:tc>
          <w:tcPr>
            <w:tcW w:w="1276" w:type="dxa"/>
            <w:shd w:val="clear" w:color="auto" w:fill="auto"/>
            <w:tcMar>
              <w:top w:w="15" w:type="dxa"/>
              <w:left w:w="108" w:type="dxa"/>
              <w:bottom w:w="0" w:type="dxa"/>
              <w:right w:w="108" w:type="dxa"/>
            </w:tcMar>
            <w:hideMark/>
          </w:tcPr>
          <w:p w14:paraId="4BB2FF88" w14:textId="77777777"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2D01DE79" w14:textId="58DF4FF6"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w:t>
            </w:r>
            <w:r w:rsidR="009C5EF2">
              <w:rPr>
                <w:rFonts w:ascii="Bookman Old Style" w:eastAsia="Times New Roman" w:hAnsi="Bookman Old Style" w:cs="Arial"/>
                <w:color w:val="000000" w:themeColor="text1"/>
                <w:kern w:val="24"/>
                <w:lang w:val="es-ES" w:eastAsia="es-CO"/>
              </w:rPr>
              <w:t>eríodo</w:t>
            </w:r>
            <w:r w:rsidRPr="00FB2E5A">
              <w:rPr>
                <w:rFonts w:ascii="Bookman Old Style" w:eastAsia="Times New Roman" w:hAnsi="Bookman Old Style" w:cs="Arial"/>
                <w:color w:val="000000" w:themeColor="text1"/>
                <w:kern w:val="24"/>
                <w:lang w:val="es-ES" w:eastAsia="es-CO"/>
              </w:rPr>
              <w:t xml:space="preserve"> de compra.</w:t>
            </w:r>
          </w:p>
        </w:tc>
      </w:tr>
    </w:tbl>
    <w:p w14:paraId="6434CD02" w14:textId="77777777"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14:paraId="58A9BB70" w14:textId="0A0B706E"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3.</w:t>
      </w:r>
      <w:r w:rsidRPr="00FB2E5A">
        <w:rPr>
          <w:rFonts w:ascii="Bookman Old Style" w:eastAsia="Times New Roman" w:hAnsi="Bookman Old Style" w:cs="Arial"/>
          <w:lang w:val="es-ES" w:eastAsia="es-ES"/>
        </w:rPr>
        <w:t xml:space="preserve"> La capacidad total de tanques estacionarios atendidos por 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en el p</w:t>
      </w:r>
      <w:r w:rsidR="009C5EF2">
        <w:rPr>
          <w:rFonts w:ascii="Bookman Old Style" w:eastAsia="Times New Roman" w:hAnsi="Bookman Old Style" w:cs="Arial"/>
          <w:lang w:val="es-ES" w:eastAsia="es-ES"/>
        </w:rPr>
        <w:t>eríodo</w:t>
      </w:r>
      <w:r w:rsidRPr="00FB2E5A">
        <w:rPr>
          <w:rFonts w:ascii="Bookman Old Style" w:eastAsia="Times New Roman" w:hAnsi="Bookman Old Style" w:cs="Arial"/>
          <w:lang w:val="es-ES" w:eastAsia="es-ES"/>
        </w:rPr>
        <w:t xml:space="preserve">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14:paraId="02889F3E" w14:textId="77777777"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14:paraId="4E51C20C" w14:textId="77777777" w:rsidR="00DE5054" w:rsidRPr="0067294D" w:rsidRDefault="00DE5054" w:rsidP="00DE5054">
      <w:pPr>
        <w:spacing w:after="0" w:line="240" w:lineRule="auto"/>
        <w:ind w:left="567"/>
        <w:jc w:val="both"/>
        <w:rPr>
          <w:rFonts w:ascii="Bookman Old Style" w:eastAsia="Times New Roman" w:hAnsi="Bookman Old Style" w:cs="Arial"/>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14:paraId="318E2CDD" w14:textId="77777777" w:rsidR="0067294D" w:rsidRPr="00FB2E5A" w:rsidRDefault="0067294D" w:rsidP="00DE5054">
      <w:pPr>
        <w:spacing w:after="0" w:line="240" w:lineRule="auto"/>
        <w:ind w:left="567"/>
        <w:jc w:val="both"/>
        <w:rPr>
          <w:rFonts w:ascii="Bookman Old Style" w:eastAsia="Times New Roman" w:hAnsi="Bookman Old Style" w:cs="Arial"/>
          <w:lang w:val="es-ES" w:eastAsia="es-ES"/>
        </w:rPr>
      </w:pPr>
    </w:p>
    <w:p w14:paraId="365BF759" w14:textId="77777777"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FB2E5A" w14:paraId="31A3B531" w14:textId="77777777" w:rsidTr="00F913D4">
        <w:trPr>
          <w:jc w:val="center"/>
        </w:trPr>
        <w:tc>
          <w:tcPr>
            <w:tcW w:w="1701" w:type="dxa"/>
          </w:tcPr>
          <w:p w14:paraId="012CDBBD" w14:textId="77777777"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hAnsi="Bookman Old Style" w:cs="Arial"/>
                <w:sz w:val="22"/>
                <w:szCs w:val="22"/>
                <w:lang w:val="es-ES" w:eastAsia="es-ES"/>
              </w:rPr>
              <w:t>:</w:t>
            </w:r>
          </w:p>
        </w:tc>
        <w:tc>
          <w:tcPr>
            <w:tcW w:w="7088" w:type="dxa"/>
          </w:tcPr>
          <w:p w14:paraId="30F6A34C" w14:textId="73E4DA30" w:rsidR="00DE5054" w:rsidRDefault="00DE5054" w:rsidP="003F59E4">
            <w:pPr>
              <w:ind w:left="-108"/>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en el p</w:t>
            </w:r>
            <w:r w:rsidR="009C5EF2">
              <w:rPr>
                <w:rFonts w:ascii="Bookman Old Style" w:eastAsiaTheme="minorEastAsia" w:hAnsi="Bookman Old Style" w:cs="Arial"/>
                <w:sz w:val="22"/>
                <w:szCs w:val="22"/>
                <w:lang w:val="es-ES" w:eastAsia="es-ES"/>
              </w:rPr>
              <w:t>eríodo</w:t>
            </w:r>
            <w:r w:rsidRPr="00FB2E5A">
              <w:rPr>
                <w:rFonts w:ascii="Bookman Old Style" w:eastAsiaTheme="minorEastAsia" w:hAnsi="Bookman Old Style" w:cs="Arial"/>
                <w:sz w:val="22"/>
                <w:szCs w:val="22"/>
                <w:lang w:val="es-ES" w:eastAsia="es-ES"/>
              </w:rPr>
              <w:t xml:space="preserve">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p w14:paraId="00E378F3" w14:textId="77777777" w:rsidR="00C705A5" w:rsidRPr="00FB2E5A" w:rsidRDefault="00C705A5" w:rsidP="003F59E4">
            <w:pPr>
              <w:ind w:left="-108"/>
              <w:jc w:val="both"/>
              <w:rPr>
                <w:rFonts w:ascii="Bookman Old Style" w:hAnsi="Bookman Old Style" w:cs="Arial"/>
                <w:sz w:val="22"/>
                <w:szCs w:val="22"/>
                <w:lang w:val="es-ES" w:eastAsia="es-ES"/>
              </w:rPr>
            </w:pPr>
          </w:p>
        </w:tc>
      </w:tr>
      <w:tr w:rsidR="00DE5054" w:rsidRPr="00FB2E5A" w14:paraId="376E7313" w14:textId="77777777" w:rsidTr="00F913D4">
        <w:trPr>
          <w:jc w:val="center"/>
        </w:trPr>
        <w:tc>
          <w:tcPr>
            <w:tcW w:w="1701" w:type="dxa"/>
          </w:tcPr>
          <w:p w14:paraId="706AEFC1" w14:textId="77777777" w:rsidR="00DE5054" w:rsidRPr="00FB2E5A" w:rsidRDefault="00DE5054" w:rsidP="00F913D4">
            <w:pPr>
              <w:ind w:left="179" w:hanging="179"/>
              <w:jc w:val="both"/>
              <w:rPr>
                <w:rFonts w:ascii="Bookman Old Style" w:hAnsi="Bookman Old Style" w:cs="Arial"/>
                <w:sz w:val="22"/>
                <w:szCs w:val="22"/>
                <w:lang w:val="es-ES" w:eastAsia="es-ES"/>
              </w:rPr>
            </w:pPr>
            <m:oMath>
              <m:r>
                <w:rPr>
                  <w:rFonts w:ascii="Cambria Math" w:hAnsi="Cambria Math" w:cs="Arial"/>
                  <w:sz w:val="22"/>
                  <w:szCs w:val="22"/>
                  <w:lang w:val="es-ES" w:eastAsia="es-ES"/>
                </w:rPr>
                <w:lastRenderedPageBreak/>
                <m:t>CV</m:t>
              </m:r>
            </m:oMath>
            <w:r w:rsidRPr="00FB2E5A">
              <w:rPr>
                <w:rFonts w:ascii="Bookman Old Style" w:hAnsi="Bookman Old Style" w:cs="Arial"/>
                <w:sz w:val="22"/>
                <w:szCs w:val="22"/>
                <w:lang w:val="es-ES" w:eastAsia="es-ES"/>
              </w:rPr>
              <w:t>:</w:t>
            </w:r>
          </w:p>
        </w:tc>
        <w:tc>
          <w:tcPr>
            <w:tcW w:w="7088" w:type="dxa"/>
          </w:tcPr>
          <w:p w14:paraId="517CAFBB" w14:textId="77777777"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sz w:val="22"/>
                <w:szCs w:val="22"/>
                <w:lang w:val="es-ES" w:eastAsia="es-ES"/>
              </w:rPr>
              <w:t xml:space="preserve">Capacidad de cada uno de los tanques estacionarios atendidos por el distribuidor </w:t>
            </w:r>
            <w:r w:rsidRPr="00FB2E5A">
              <w:rPr>
                <w:rFonts w:ascii="Bookman Old Style" w:eastAsiaTheme="minorEastAsia" w:hAnsi="Bookman Old Style"/>
                <w:i/>
                <w:sz w:val="22"/>
                <w:szCs w:val="22"/>
                <w:lang w:val="es-ES" w:eastAsia="es-ES"/>
              </w:rPr>
              <w:t>i</w:t>
            </w:r>
            <w:r w:rsidRPr="00FB2E5A">
              <w:rPr>
                <w:rFonts w:ascii="Bookman Old Style" w:eastAsiaTheme="minorEastAsia" w:hAnsi="Bookman Old Style"/>
                <w:sz w:val="22"/>
                <w:szCs w:val="22"/>
                <w:lang w:val="es-ES" w:eastAsia="es-ES"/>
              </w:rPr>
              <w:t>, galones, de acuerdo con la información publicada en el SUI.</w:t>
            </w:r>
          </w:p>
        </w:tc>
      </w:tr>
      <w:tr w:rsidR="00DE5054" w:rsidRPr="00FB2E5A" w14:paraId="23636A48" w14:textId="77777777" w:rsidTr="00F913D4">
        <w:trPr>
          <w:jc w:val="center"/>
        </w:trPr>
        <w:tc>
          <w:tcPr>
            <w:tcW w:w="1701" w:type="dxa"/>
          </w:tcPr>
          <w:p w14:paraId="23416716" w14:textId="77777777"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Pr="00FB2E5A">
              <w:rPr>
                <w:rFonts w:ascii="Bookman Old Style" w:hAnsi="Bookman Old Style" w:cs="Arial"/>
                <w:sz w:val="22"/>
                <w:szCs w:val="22"/>
                <w:lang w:val="es-ES" w:eastAsia="es-ES"/>
              </w:rPr>
              <w:t>:</w:t>
            </w:r>
          </w:p>
        </w:tc>
        <w:tc>
          <w:tcPr>
            <w:tcW w:w="7088" w:type="dxa"/>
          </w:tcPr>
          <w:p w14:paraId="1F1C7FE6" w14:textId="77777777"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Número de tanques estacionarios atendidos por 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con una capacidad </w:t>
            </w:r>
            <w:r w:rsidRPr="00FB2E5A">
              <w:rPr>
                <w:rFonts w:ascii="Bookman Old Style" w:hAnsi="Bookman Old Style" w:cs="Arial"/>
                <w:i/>
                <w:sz w:val="22"/>
                <w:szCs w:val="22"/>
                <w:lang w:val="es-ES" w:eastAsia="es-ES"/>
              </w:rPr>
              <w:t>CV</w:t>
            </w:r>
            <w:r w:rsidRPr="00FB2E5A">
              <w:rPr>
                <w:rFonts w:ascii="Bookman Old Style" w:hAnsi="Bookman Old Style" w:cs="Arial"/>
                <w:sz w:val="22"/>
                <w:szCs w:val="22"/>
                <w:lang w:val="es-ES" w:eastAsia="es-ES"/>
              </w:rPr>
              <w:t xml:space="preserve">, de acuerdo con la información reportada al SUI. </w:t>
            </w:r>
          </w:p>
        </w:tc>
      </w:tr>
      <w:tr w:rsidR="00DE5054" w:rsidRPr="00FB2E5A" w14:paraId="280E1E33" w14:textId="77777777" w:rsidTr="00F913D4">
        <w:trPr>
          <w:jc w:val="center"/>
        </w:trPr>
        <w:tc>
          <w:tcPr>
            <w:tcW w:w="1701" w:type="dxa"/>
          </w:tcPr>
          <w:p w14:paraId="37F109D3" w14:textId="77777777"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2,10</m:t>
              </m:r>
            </m:oMath>
            <w:r w:rsidRPr="00FB2E5A">
              <w:rPr>
                <w:rFonts w:ascii="Bookman Old Style" w:hAnsi="Bookman Old Style" w:cs="Arial"/>
                <w:sz w:val="22"/>
                <w:szCs w:val="22"/>
                <w:lang w:val="es-ES" w:eastAsia="es-ES"/>
              </w:rPr>
              <w:t>:</w:t>
            </w:r>
          </w:p>
        </w:tc>
        <w:tc>
          <w:tcPr>
            <w:tcW w:w="7088" w:type="dxa"/>
          </w:tcPr>
          <w:p w14:paraId="3512A9F0" w14:textId="77777777"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Factor de conversión kilogramos por galón. </w:t>
            </w:r>
          </w:p>
        </w:tc>
      </w:tr>
      <w:tr w:rsidR="00DE5054" w:rsidRPr="00FB2E5A" w14:paraId="7BA32141" w14:textId="77777777" w:rsidTr="00F913D4">
        <w:trPr>
          <w:trHeight w:val="356"/>
          <w:jc w:val="center"/>
        </w:trPr>
        <w:tc>
          <w:tcPr>
            <w:tcW w:w="1701" w:type="dxa"/>
            <w:vAlign w:val="center"/>
          </w:tcPr>
          <w:p w14:paraId="40A96557" w14:textId="77777777" w:rsidR="00DE5054" w:rsidRPr="00FB2E5A" w:rsidRDefault="00DE5054" w:rsidP="003F59E4">
            <w:pPr>
              <w:ind w:left="708" w:hanging="708"/>
              <w:jc w:val="both"/>
              <w:rPr>
                <w:rFonts w:ascii="Bookman Old Style" w:hAnsi="Bookman Old Style" w:cs="Arial"/>
                <w:sz w:val="22"/>
                <w:szCs w:val="22"/>
                <w:lang w:val="es-ES" w:eastAsia="es-ES"/>
              </w:rPr>
            </w:pPr>
            <m:oMath>
              <m:r>
                <w:rPr>
                  <w:rFonts w:ascii="Cambria Math" w:hAnsi="Cambria Math" w:cs="Arial"/>
                  <w:sz w:val="22"/>
                  <w:szCs w:val="22"/>
                  <w:lang w:val="es-ES" w:eastAsia="es-ES"/>
                </w:rPr>
                <m:t>6</m:t>
              </m:r>
            </m:oMath>
            <w:r w:rsidRPr="00FB2E5A">
              <w:rPr>
                <w:rFonts w:ascii="Bookman Old Style" w:hAnsi="Bookman Old Style" w:cs="Arial"/>
                <w:sz w:val="22"/>
                <w:szCs w:val="22"/>
                <w:lang w:val="es-ES" w:eastAsia="es-ES"/>
              </w:rPr>
              <w:t>:</w:t>
            </w:r>
          </w:p>
        </w:tc>
        <w:tc>
          <w:tcPr>
            <w:tcW w:w="7088" w:type="dxa"/>
            <w:vAlign w:val="center"/>
          </w:tcPr>
          <w:p w14:paraId="3DA19A24" w14:textId="2D93666A"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Número de meses del p</w:t>
            </w:r>
            <w:r w:rsidR="009C5EF2">
              <w:rPr>
                <w:rFonts w:ascii="Bookman Old Style" w:hAnsi="Bookman Old Style" w:cs="Arial"/>
                <w:sz w:val="22"/>
                <w:szCs w:val="22"/>
                <w:lang w:val="es-ES" w:eastAsia="es-ES"/>
              </w:rPr>
              <w:t>eríodo</w:t>
            </w:r>
            <w:r w:rsidRPr="00FB2E5A">
              <w:rPr>
                <w:rFonts w:ascii="Bookman Old Style" w:hAnsi="Bookman Old Style" w:cs="Arial"/>
                <w:sz w:val="22"/>
                <w:szCs w:val="22"/>
                <w:lang w:val="es-ES" w:eastAsia="es-ES"/>
              </w:rPr>
              <w:t xml:space="preserve"> de compra.</w:t>
            </w:r>
          </w:p>
        </w:tc>
      </w:tr>
    </w:tbl>
    <w:p w14:paraId="3C3FB413" w14:textId="77777777" w:rsidR="00DE5054" w:rsidRPr="00FB2E5A" w:rsidRDefault="00DE5054" w:rsidP="00DE5054">
      <w:pPr>
        <w:spacing w:after="0" w:line="240" w:lineRule="auto"/>
        <w:ind w:left="567"/>
        <w:jc w:val="both"/>
        <w:rPr>
          <w:rFonts w:ascii="Bookman Old Style" w:eastAsia="Times New Roman" w:hAnsi="Bookman Old Style" w:cs="Arial"/>
          <w:b/>
          <w:lang w:val="es-ES" w:eastAsia="es-ES"/>
        </w:rPr>
      </w:pPr>
    </w:p>
    <w:p w14:paraId="72EC014F" w14:textId="77777777"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4.</w:t>
      </w:r>
      <w:r w:rsidRPr="00FB2E5A">
        <w:rPr>
          <w:rFonts w:ascii="Bookman Old Style" w:eastAsia="Times New Roman" w:hAnsi="Bookman Old Style" w:cs="Arial"/>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14:paraId="62FB2DAE" w14:textId="77777777" w:rsidR="00DE5054" w:rsidRPr="00FB2E5A" w:rsidRDefault="00DE5054" w:rsidP="00F913D4">
      <w:pPr>
        <w:spacing w:after="0" w:line="240" w:lineRule="auto"/>
        <w:ind w:left="567" w:right="284"/>
        <w:jc w:val="both"/>
        <w:rPr>
          <w:rFonts w:ascii="Bookman Old Style" w:eastAsia="Times New Roman" w:hAnsi="Bookman Old Style" w:cs="Arial"/>
          <w:lang w:val="es-ES" w:eastAsia="es-ES"/>
        </w:rPr>
      </w:pPr>
    </w:p>
    <w:p w14:paraId="59146153" w14:textId="0ACCB778" w:rsidR="00DE5054" w:rsidRPr="00FB2E5A"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sz w:val="24"/>
          <w:szCs w:val="20"/>
          <w:lang w:val="es-ES" w:eastAsia="es-ES"/>
        </w:rPr>
      </w:pPr>
      <w:r w:rsidRPr="00FB2E5A">
        <w:rPr>
          <w:rFonts w:ascii="Bookman Old Style" w:eastAsia="Times New Roman" w:hAnsi="Bookman Old Style" w:cs="Arial"/>
          <w:b/>
          <w:lang w:val="es-ES" w:eastAsia="es-ES"/>
        </w:rPr>
        <w:t xml:space="preserve">Parágrafo 5. </w:t>
      </w:r>
      <w:r w:rsidRPr="00FB2E5A">
        <w:rPr>
          <w:rFonts w:ascii="Bookman Old Style" w:eastAsia="Times New Roman" w:hAnsi="Bookman Old Style" w:cs="Arial"/>
          <w:lang w:val="es-ES" w:eastAsia="es-ES"/>
        </w:rPr>
        <w:t>En el caso de entrar nuevos distribuidores al mercado, la CREG calculará su capacidad de compra por lo que resta del p</w:t>
      </w:r>
      <w:r w:rsidR="009C5EF2">
        <w:rPr>
          <w:rFonts w:ascii="Bookman Old Style" w:eastAsia="Times New Roman" w:hAnsi="Bookman Old Style" w:cs="Arial"/>
          <w:lang w:val="es-ES" w:eastAsia="es-ES"/>
        </w:rPr>
        <w:t>eríodo</w:t>
      </w:r>
      <w:r w:rsidRPr="00FB2E5A">
        <w:rPr>
          <w:rFonts w:ascii="Bookman Old Style" w:eastAsia="Times New Roman" w:hAnsi="Bookman Old Style" w:cs="Arial"/>
          <w:lang w:val="es-ES" w:eastAsia="es-ES"/>
        </w:rPr>
        <w:t xml:space="preserve"> de compra a partir de la información reportada al SUI.</w:t>
      </w:r>
      <w:r>
        <w:rPr>
          <w:rFonts w:ascii="Bookman Old Style" w:eastAsia="Times New Roman" w:hAnsi="Bookman Old Style" w:cs="Arial"/>
          <w:lang w:val="es-ES" w:eastAsia="es-ES"/>
        </w:rPr>
        <w:t>”</w:t>
      </w:r>
    </w:p>
    <w:p w14:paraId="7DE68351"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03EF6374" w14:textId="0E593636" w:rsidR="00803299" w:rsidRPr="00803299" w:rsidRDefault="00DE5054" w:rsidP="00803299">
      <w:pPr>
        <w:spacing w:after="0" w:line="240" w:lineRule="auto"/>
        <w:jc w:val="both"/>
        <w:rPr>
          <w:rFonts w:ascii="Bookman Old Style" w:eastAsia="Times New Roman" w:hAnsi="Bookman Old Style" w:cs="Arial"/>
          <w:spacing w:val="-5"/>
          <w:sz w:val="24"/>
          <w:szCs w:val="24"/>
          <w:lang w:val="es-ES"/>
        </w:rPr>
      </w:pPr>
      <w:r>
        <w:rPr>
          <w:rFonts w:ascii="Bookman Old Style" w:eastAsia="Times New Roman" w:hAnsi="Bookman Old Style" w:cs="Arial"/>
          <w:spacing w:val="-5"/>
          <w:sz w:val="24"/>
          <w:szCs w:val="24"/>
        </w:rPr>
        <w:t>D</w:t>
      </w:r>
      <w:r w:rsidRPr="00FB2E5A">
        <w:rPr>
          <w:rFonts w:ascii="Bookman Old Style" w:eastAsia="Times New Roman" w:hAnsi="Bookman Old Style" w:cs="Arial"/>
          <w:spacing w:val="-5"/>
          <w:sz w:val="24"/>
          <w:szCs w:val="24"/>
        </w:rPr>
        <w:t xml:space="preserve">e acuerdo con lo dispuesto en esta norma, se estableció </w:t>
      </w:r>
      <w:r>
        <w:rPr>
          <w:rFonts w:ascii="Bookman Old Style" w:eastAsia="Times New Roman" w:hAnsi="Bookman Old Style" w:cs="Arial"/>
          <w:spacing w:val="-5"/>
          <w:sz w:val="24"/>
          <w:szCs w:val="24"/>
        </w:rPr>
        <w:t xml:space="preserve">igualmente </w:t>
      </w:r>
      <w:r w:rsidRPr="00FB2E5A">
        <w:rPr>
          <w:rFonts w:ascii="Bookman Old Style" w:eastAsia="Times New Roman" w:hAnsi="Bookman Old Style" w:cs="Arial"/>
          <w:spacing w:val="-5"/>
          <w:sz w:val="24"/>
          <w:szCs w:val="24"/>
        </w:rPr>
        <w:t>el concepto de “capacidad disponible de compra”, el cual corresponde a la cantidad total de GLP, medida en kilogramos, que puede comprar un distribuidor en el mercado mayorista, durante lo que resta del p</w:t>
      </w:r>
      <w:r w:rsidR="009C5EF2">
        <w:rPr>
          <w:rFonts w:ascii="Bookman Old Style" w:eastAsia="Times New Roman" w:hAnsi="Bookman Old Style" w:cs="Arial"/>
          <w:spacing w:val="-5"/>
          <w:sz w:val="24"/>
          <w:szCs w:val="24"/>
        </w:rPr>
        <w:t>eríodo</w:t>
      </w:r>
      <w:r w:rsidRPr="00FB2E5A">
        <w:rPr>
          <w:rFonts w:ascii="Bookman Old Style" w:eastAsia="Times New Roman" w:hAnsi="Bookman Old Style" w:cs="Arial"/>
          <w:spacing w:val="-5"/>
          <w:sz w:val="24"/>
          <w:szCs w:val="24"/>
        </w:rPr>
        <w:t xml:space="preserve"> de compra.</w:t>
      </w:r>
      <w:r>
        <w:rPr>
          <w:rFonts w:ascii="Bookman Old Style" w:eastAsia="Times New Roman" w:hAnsi="Bookman Old Style" w:cs="Arial"/>
          <w:spacing w:val="-5"/>
          <w:sz w:val="24"/>
          <w:szCs w:val="24"/>
        </w:rPr>
        <w:t xml:space="preserve"> </w:t>
      </w:r>
      <w:r w:rsidR="00803299">
        <w:rPr>
          <w:rFonts w:ascii="Bookman Old Style" w:eastAsia="Times New Roman" w:hAnsi="Bookman Old Style" w:cs="Arial"/>
          <w:spacing w:val="-5"/>
          <w:sz w:val="24"/>
          <w:szCs w:val="24"/>
          <w:lang w:val="es-ES_tradnl"/>
        </w:rPr>
        <w:t xml:space="preserve">Este </w:t>
      </w:r>
      <w:r w:rsidR="00803299" w:rsidRPr="00803299">
        <w:rPr>
          <w:rFonts w:ascii="Bookman Old Style" w:eastAsia="Times New Roman" w:hAnsi="Bookman Old Style" w:cs="Arial"/>
          <w:spacing w:val="-5"/>
          <w:sz w:val="24"/>
          <w:szCs w:val="24"/>
          <w:lang w:val="es-ES_tradnl"/>
        </w:rPr>
        <w:t xml:space="preserve">período de compra, </w:t>
      </w:r>
      <w:r w:rsidR="00E17C4C">
        <w:rPr>
          <w:rFonts w:ascii="Bookman Old Style" w:eastAsia="Times New Roman" w:hAnsi="Bookman Old Style" w:cs="Arial"/>
          <w:spacing w:val="-5"/>
          <w:sz w:val="24"/>
          <w:szCs w:val="24"/>
          <w:lang w:val="es-ES_tradnl"/>
        </w:rPr>
        <w:t>establecido</w:t>
      </w:r>
      <w:r w:rsidR="00803299" w:rsidRPr="00803299">
        <w:rPr>
          <w:rFonts w:ascii="Bookman Old Style" w:eastAsia="Times New Roman" w:hAnsi="Bookman Old Style" w:cs="Arial"/>
          <w:spacing w:val="-5"/>
          <w:sz w:val="24"/>
          <w:szCs w:val="24"/>
          <w:lang w:val="es-ES_tradnl"/>
        </w:rPr>
        <w:t xml:space="preserve"> en el artículo 3 de la Resolución CREG 063 de 2016 y modificado por el </w:t>
      </w:r>
      <w:r w:rsidR="00803299" w:rsidRPr="00803299">
        <w:rPr>
          <w:rFonts w:ascii="Bookman Old Style" w:eastAsia="Times New Roman" w:hAnsi="Bookman Old Style" w:cs="Arial"/>
          <w:spacing w:val="-5"/>
          <w:sz w:val="24"/>
          <w:szCs w:val="24"/>
          <w:lang w:val="es-ES"/>
        </w:rPr>
        <w:t xml:space="preserve">artículo 2 de la Resolución CREG 103 002 de 2022, ha sido definido como sigue: </w:t>
      </w:r>
    </w:p>
    <w:p w14:paraId="11C718FC" w14:textId="77777777" w:rsidR="00803299" w:rsidRPr="00803299" w:rsidRDefault="00803299" w:rsidP="00803299">
      <w:pPr>
        <w:spacing w:after="0" w:line="240" w:lineRule="auto"/>
        <w:jc w:val="both"/>
        <w:rPr>
          <w:rFonts w:ascii="Bookman Old Style" w:eastAsia="Times New Roman" w:hAnsi="Bookman Old Style" w:cs="Arial"/>
          <w:spacing w:val="-5"/>
          <w:sz w:val="24"/>
          <w:szCs w:val="24"/>
          <w:lang w:val="es-ES"/>
        </w:rPr>
      </w:pPr>
    </w:p>
    <w:p w14:paraId="1E1625BC" w14:textId="6DFA1FDA" w:rsidR="00803299" w:rsidRPr="007F2D3E" w:rsidRDefault="00803299" w:rsidP="007F2D3E">
      <w:pPr>
        <w:tabs>
          <w:tab w:val="left" w:pos="9072"/>
        </w:tabs>
        <w:spacing w:after="0" w:line="240" w:lineRule="auto"/>
        <w:ind w:left="284" w:right="284"/>
        <w:jc w:val="both"/>
        <w:rPr>
          <w:rFonts w:ascii="Bookman Old Style" w:eastAsia="Times New Roman" w:hAnsi="Bookman Old Style" w:cs="Arial"/>
          <w:spacing w:val="-5"/>
          <w:lang w:val="es-ES"/>
        </w:rPr>
      </w:pPr>
      <w:r w:rsidRPr="007F2D3E">
        <w:rPr>
          <w:rFonts w:ascii="Bookman Old Style" w:eastAsia="Times New Roman" w:hAnsi="Bookman Old Style" w:cs="Arial"/>
          <w:spacing w:val="-5"/>
          <w:lang w:val="es-ES"/>
        </w:rPr>
        <w:t>“</w:t>
      </w:r>
      <w:r w:rsidRPr="007F2D3E">
        <w:rPr>
          <w:rFonts w:ascii="Bookman Old Style" w:eastAsia="Times New Roman" w:hAnsi="Bookman Old Style" w:cs="Arial"/>
          <w:b/>
          <w:bCs/>
          <w:spacing w:val="-5"/>
          <w:lang w:val="es-ES"/>
        </w:rPr>
        <w:t>Período de compra.</w:t>
      </w:r>
      <w:r w:rsidRPr="007F2D3E">
        <w:rPr>
          <w:rFonts w:ascii="Bookman Old Style" w:eastAsia="Times New Roman" w:hAnsi="Bookman Old Style" w:cs="Arial"/>
          <w:spacing w:val="-5"/>
          <w:lang w:val="es-ES"/>
        </w:rPr>
        <w:t xml:space="preserve"> período de 6 meses que inicia un primero (1) de marzo de cada año y termina el treinta y uno (31) de agosto del mismo año, o aquel que inicia un primero (1) de septiembre de cada año y termina el veintiocho o veintinueve (28 o 29) de febrero, según corresponda, del siguiente año”.</w:t>
      </w:r>
    </w:p>
    <w:p w14:paraId="7385CBBC"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6EE5D47E" w14:textId="5A84B2D7" w:rsidR="00DE5054" w:rsidRPr="00FB2E5A" w:rsidRDefault="00DE5054" w:rsidP="00DE5054">
      <w:pPr>
        <w:spacing w:after="0" w:line="240" w:lineRule="auto"/>
        <w:jc w:val="both"/>
        <w:rPr>
          <w:rFonts w:ascii="Bookman Old Style" w:eastAsia="MS Mincho" w:hAnsi="Bookman Old Style" w:cs="Arial"/>
          <w:sz w:val="24"/>
          <w:szCs w:val="24"/>
        </w:rPr>
      </w:pPr>
      <w:r>
        <w:rPr>
          <w:rFonts w:ascii="Bookman Old Style" w:eastAsia="MS Mincho" w:hAnsi="Bookman Old Style" w:cs="Arial"/>
          <w:sz w:val="24"/>
          <w:szCs w:val="24"/>
        </w:rPr>
        <w:t>Así mismo</w:t>
      </w:r>
      <w:r w:rsidRPr="00FB2E5A">
        <w:rPr>
          <w:rFonts w:ascii="Bookman Old Style" w:eastAsia="MS Mincho" w:hAnsi="Bookman Old Style" w:cs="Arial"/>
          <w:sz w:val="24"/>
          <w:szCs w:val="24"/>
        </w:rPr>
        <w:t xml:space="preserve">, </w:t>
      </w:r>
      <w:r w:rsidR="000323B9">
        <w:rPr>
          <w:rFonts w:ascii="Bookman Old Style" w:eastAsia="MS Mincho" w:hAnsi="Bookman Old Style" w:cs="Arial"/>
          <w:sz w:val="24"/>
          <w:szCs w:val="24"/>
        </w:rPr>
        <w:t xml:space="preserve">respecto de la determinación y publicación de la capacidad de compra, </w:t>
      </w:r>
      <w:r w:rsidRPr="00FB2E5A">
        <w:rPr>
          <w:rFonts w:ascii="Bookman Old Style" w:eastAsia="MS Mincho" w:hAnsi="Bookman Old Style" w:cs="Arial"/>
          <w:sz w:val="24"/>
          <w:szCs w:val="24"/>
        </w:rPr>
        <w:t>el artículo 9 de la Resolución CREG 063 de 2016 estableció que:</w:t>
      </w:r>
    </w:p>
    <w:p w14:paraId="0215E6E1" w14:textId="77777777" w:rsidR="00DE5054" w:rsidRPr="00FB2E5A" w:rsidRDefault="00DE5054" w:rsidP="00DE5054">
      <w:pPr>
        <w:spacing w:after="0" w:line="240" w:lineRule="auto"/>
        <w:jc w:val="both"/>
        <w:rPr>
          <w:rFonts w:ascii="Bookman Old Style" w:eastAsia="MS Mincho" w:hAnsi="Bookman Old Style" w:cs="Arial"/>
          <w:sz w:val="24"/>
          <w:szCs w:val="24"/>
        </w:rPr>
      </w:pPr>
    </w:p>
    <w:p w14:paraId="1D46F805" w14:textId="3E7EC43E" w:rsidR="00DE5054" w:rsidRPr="00322645"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 w:eastAsia="es-ES"/>
        </w:rPr>
      </w:pPr>
      <w:r w:rsidRPr="00322645">
        <w:rPr>
          <w:rFonts w:ascii="Bookman Old Style" w:eastAsia="Times New Roman" w:hAnsi="Bookman Old Style" w:cs="Arial"/>
          <w:b/>
          <w:lang w:val="es-ES" w:eastAsia="es-ES"/>
        </w:rPr>
        <w:t>“</w:t>
      </w:r>
      <w:r w:rsidRPr="00D51504">
        <w:rPr>
          <w:rFonts w:ascii="Bookman Old Style" w:eastAsia="Times New Roman" w:hAnsi="Bookman Old Style" w:cs="Arial"/>
          <w:b/>
          <w:lang w:val="es-ES" w:eastAsia="es-ES"/>
        </w:rPr>
        <w:t xml:space="preserve">Artículo 9. Determinación y publicación de la capacidad de compra. </w:t>
      </w:r>
      <w:r w:rsidRPr="00D51504">
        <w:rPr>
          <w:rFonts w:ascii="Bookman Old Style" w:eastAsia="Times New Roman" w:hAnsi="Bookman Old Style" w:cs="Arial"/>
          <w:lang w:val="es-ES" w:eastAsia="es-ES"/>
        </w:rPr>
        <w:t xml:space="preserve">Atendiendo lo dispuesto en el artículo anterior, </w:t>
      </w:r>
      <w:r w:rsidRPr="00F60DDA">
        <w:rPr>
          <w:rFonts w:ascii="Bookman Old Style" w:eastAsia="Times New Roman" w:hAnsi="Bookman Old Style" w:cs="Arial"/>
          <w:bCs/>
          <w:u w:val="single"/>
          <w:lang w:val="es-ES" w:eastAsia="es-ES"/>
        </w:rPr>
        <w:t>la CREG determinará mediante acto administrativo particular y publicará mediante circular</w:t>
      </w:r>
      <w:r w:rsidRPr="00D51504">
        <w:rPr>
          <w:rFonts w:ascii="Bookman Old Style" w:eastAsia="Times New Roman" w:hAnsi="Bookman Old Style" w:cs="Arial"/>
          <w:lang w:val="es-ES" w:eastAsia="es-ES"/>
        </w:rPr>
        <w:t>, con anterioridad al inicio de cada p</w:t>
      </w:r>
      <w:r w:rsidR="009C5EF2">
        <w:rPr>
          <w:rFonts w:ascii="Bookman Old Style" w:eastAsia="Times New Roman" w:hAnsi="Bookman Old Style" w:cs="Arial"/>
          <w:lang w:val="es-ES" w:eastAsia="es-ES"/>
        </w:rPr>
        <w:t>eríodo</w:t>
      </w:r>
      <w:r w:rsidRPr="00D51504">
        <w:rPr>
          <w:rFonts w:ascii="Bookman Old Style" w:eastAsia="Times New Roman" w:hAnsi="Bookman Old Style" w:cs="Arial"/>
          <w:lang w:val="es-ES" w:eastAsia="es-ES"/>
        </w:rPr>
        <w:t xml:space="preserve"> de compra, la capacidad de compra de cada distribuidor, con información reportada al SUI, hasta el día 10 del mes correspondiente.</w:t>
      </w:r>
      <w:r w:rsidRPr="00322645">
        <w:rPr>
          <w:rFonts w:ascii="Bookman Old Style" w:eastAsia="Times New Roman" w:hAnsi="Bookman Old Style" w:cs="Arial"/>
          <w:lang w:val="es-ES" w:eastAsia="es-ES"/>
        </w:rPr>
        <w:t xml:space="preserve"> (…)” (Resaltado fuera de texto)</w:t>
      </w:r>
    </w:p>
    <w:p w14:paraId="46A586B9" w14:textId="77777777"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14:paraId="572E4CCF" w14:textId="203B4F60" w:rsidR="00DE5054" w:rsidRPr="00FB2E5A" w:rsidRDefault="00DE5054" w:rsidP="34A6AC97">
      <w:pPr>
        <w:spacing w:after="0" w:line="240" w:lineRule="auto"/>
        <w:jc w:val="both"/>
        <w:rPr>
          <w:rFonts w:ascii="Bookman Old Style" w:eastAsia="MS Mincho" w:hAnsi="Bookman Old Style" w:cs="Arial"/>
          <w:sz w:val="24"/>
          <w:szCs w:val="24"/>
          <w:lang w:val="es-ES"/>
        </w:rPr>
      </w:pPr>
      <w:r w:rsidRPr="34A6AC97">
        <w:rPr>
          <w:rFonts w:ascii="Bookman Old Style" w:eastAsia="MS Mincho" w:hAnsi="Bookman Old Style" w:cs="Arial"/>
          <w:sz w:val="24"/>
          <w:szCs w:val="24"/>
          <w:lang w:val="es-ES"/>
        </w:rPr>
        <w:t>En relación con este cálculo y la necesidad de contar con la información del Sistema Único de Información</w:t>
      </w:r>
      <w:r w:rsidR="00777ED9">
        <w:rPr>
          <w:rFonts w:ascii="Bookman Old Style" w:eastAsia="MS Mincho" w:hAnsi="Bookman Old Style" w:cs="Arial"/>
          <w:sz w:val="24"/>
          <w:szCs w:val="24"/>
          <w:lang w:val="es-ES"/>
        </w:rPr>
        <w:t>,</w:t>
      </w:r>
      <w:r w:rsidRPr="34A6AC97">
        <w:rPr>
          <w:rFonts w:ascii="Bookman Old Style" w:eastAsia="MS Mincho" w:hAnsi="Bookman Old Style" w:cs="Arial"/>
          <w:sz w:val="24"/>
          <w:szCs w:val="24"/>
          <w:lang w:val="es-ES"/>
        </w:rPr>
        <w:t xml:space="preserve"> SUI</w:t>
      </w:r>
      <w:r w:rsidR="00777ED9">
        <w:rPr>
          <w:rFonts w:ascii="Bookman Old Style" w:eastAsia="MS Mincho" w:hAnsi="Bookman Old Style" w:cs="Arial"/>
          <w:sz w:val="24"/>
          <w:szCs w:val="24"/>
          <w:lang w:val="es-ES"/>
        </w:rPr>
        <w:t>,</w:t>
      </w:r>
      <w:r w:rsidRPr="34A6AC97">
        <w:rPr>
          <w:rFonts w:ascii="Bookman Old Style" w:eastAsia="MS Mincho" w:hAnsi="Bookman Old Style" w:cs="Arial"/>
          <w:sz w:val="24"/>
          <w:szCs w:val="24"/>
          <w:lang w:val="es-ES"/>
        </w:rPr>
        <w:t xml:space="preserve"> a efectos de determinar la capacidad de compra a que hace referencia la Resolución CREG 063 de 2016, se debe tener en cuenta que la Ley 689 de 2001, en su artículo 14</w:t>
      </w:r>
      <w:r w:rsidR="00777ED9">
        <w:rPr>
          <w:rFonts w:ascii="Bookman Old Style" w:eastAsia="MS Mincho" w:hAnsi="Bookman Old Style" w:cs="Arial"/>
          <w:sz w:val="24"/>
          <w:szCs w:val="24"/>
          <w:lang w:val="es-ES"/>
        </w:rPr>
        <w:t>,</w:t>
      </w:r>
      <w:r w:rsidRPr="34A6AC97">
        <w:rPr>
          <w:rFonts w:ascii="Bookman Old Style" w:eastAsia="MS Mincho" w:hAnsi="Bookman Old Style" w:cs="Arial"/>
          <w:sz w:val="24"/>
          <w:szCs w:val="24"/>
          <w:lang w:val="es-ES"/>
        </w:rPr>
        <w:t xml:space="preserve"> adicionó un artículo a la Ley 142 de 1994</w:t>
      </w:r>
      <w:r w:rsidR="00777ED9">
        <w:rPr>
          <w:rFonts w:ascii="Bookman Old Style" w:eastAsia="MS Mincho" w:hAnsi="Bookman Old Style" w:cs="Arial"/>
          <w:sz w:val="24"/>
          <w:szCs w:val="24"/>
          <w:lang w:val="es-ES"/>
        </w:rPr>
        <w:t>,</w:t>
      </w:r>
      <w:r w:rsidRPr="34A6AC97">
        <w:rPr>
          <w:rFonts w:ascii="Bookman Old Style" w:eastAsia="MS Mincho" w:hAnsi="Bookman Old Style" w:cs="Arial"/>
          <w:sz w:val="24"/>
          <w:szCs w:val="24"/>
          <w:lang w:val="es-ES"/>
        </w:rPr>
        <w:t xml:space="preserve"> el cual dispuso lo siguiente:</w:t>
      </w:r>
    </w:p>
    <w:p w14:paraId="264586BB" w14:textId="77777777"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14:paraId="544E6C21" w14:textId="77777777" w:rsidR="00DE5054" w:rsidRPr="00FB2E5A" w:rsidRDefault="00DE5054" w:rsidP="008734B9">
      <w:pPr>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34A6AC97">
        <w:rPr>
          <w:rFonts w:ascii="Bookman Old Style" w:eastAsia="Times New Roman" w:hAnsi="Bookman Old Style" w:cs="Arial"/>
          <w:i/>
          <w:iCs/>
          <w:color w:val="000000" w:themeColor="text1"/>
          <w:lang w:eastAsia="es-CO"/>
        </w:rPr>
        <w:t>"</w:t>
      </w:r>
      <w:r w:rsidRPr="34A6AC97">
        <w:rPr>
          <w:rFonts w:ascii="Bookman Old Style" w:eastAsia="Times New Roman" w:hAnsi="Bookman Old Style" w:cs="Arial"/>
          <w:b/>
          <w:bCs/>
          <w:lang w:val="es-ES" w:eastAsia="ar-SA"/>
        </w:rPr>
        <w:t>Artículo nuevo. Del sistema único de información</w:t>
      </w:r>
      <w:r w:rsidRPr="34A6AC97">
        <w:rPr>
          <w:rFonts w:ascii="Bookman Old Style" w:eastAsia="Times New Roman" w:hAnsi="Bookman Old Style" w:cs="Arial"/>
          <w:lang w:val="es-ES" w:eastAsia="ar-SA"/>
        </w:rPr>
        <w:t xml:space="preserve">. Corresponde a la Superintendencia de Servicios Públicos Domiciliarios, en desarrollo de sus funciones de inspección y vigilancia, establecer, administrar, mantener y operar </w:t>
      </w:r>
      <w:r w:rsidRPr="34A6AC97">
        <w:rPr>
          <w:rFonts w:ascii="Bookman Old Style" w:eastAsia="Times New Roman" w:hAnsi="Bookman Old Style" w:cs="Arial"/>
          <w:u w:val="single"/>
          <w:lang w:val="es-ES" w:eastAsia="ar-SA"/>
        </w:rPr>
        <w:t>un sistema de información que se surtirá de la información proveniente de los prestadores de servicios públicos sujetos a su control, inspección y vigilancia,</w:t>
      </w:r>
      <w:r w:rsidRPr="34A6AC97">
        <w:rPr>
          <w:rFonts w:ascii="Bookman Old Style" w:eastAsia="Times New Roman" w:hAnsi="Bookman Old Style" w:cs="Arial"/>
          <w:lang w:val="es-ES" w:eastAsia="ar-SA"/>
        </w:rPr>
        <w:t xml:space="preserve"> para que su presentación al público sea confiable, conforme a lo establecido en el artículo 53 de la Ley 142 de 1994.</w:t>
      </w:r>
    </w:p>
    <w:p w14:paraId="162C2D9A" w14:textId="3DD9E83B" w:rsidR="34A6AC97" w:rsidRDefault="34A6AC97" w:rsidP="34A6AC97">
      <w:pPr>
        <w:tabs>
          <w:tab w:val="left" w:pos="1276"/>
        </w:tabs>
        <w:spacing w:after="0" w:line="240" w:lineRule="auto"/>
        <w:ind w:left="567" w:right="284"/>
        <w:jc w:val="both"/>
        <w:rPr>
          <w:rFonts w:ascii="Bookman Old Style" w:eastAsia="Times New Roman" w:hAnsi="Bookman Old Style" w:cs="Arial"/>
          <w:u w:val="single"/>
          <w:lang w:val="es-ES" w:eastAsia="ar-SA"/>
        </w:rPr>
      </w:pPr>
    </w:p>
    <w:p w14:paraId="5F9710AB" w14:textId="77777777" w:rsidR="00DE5054" w:rsidRPr="00FC74F8"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C74F8">
        <w:rPr>
          <w:rFonts w:ascii="Bookman Old Style" w:eastAsia="Times New Roman" w:hAnsi="Bookman Old Style" w:cs="Arial"/>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14:paraId="4167526D" w14:textId="77777777" w:rsidR="00DE5054" w:rsidRPr="00FB2E5A"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14:paraId="33D2056D" w14:textId="77777777" w:rsidR="00DE5054"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r w:rsidRPr="00FC74F8">
        <w:rPr>
          <w:rFonts w:ascii="Bookman Old Style" w:eastAsia="Times New Roman" w:hAnsi="Bookman Old Style" w:cs="Arial"/>
          <w:u w:val="single"/>
          <w:lang w:val="es-ES_tradnl" w:eastAsia="ar-SA"/>
        </w:rPr>
        <w:t>1. Evitar la duplicidad de funciones en materia de información relativa a los servicios públicos.</w:t>
      </w:r>
    </w:p>
    <w:p w14:paraId="5B2B609D" w14:textId="77777777" w:rsidR="0034654A" w:rsidRPr="00FC74F8"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p>
    <w:p w14:paraId="416B4451" w14:textId="77777777" w:rsidR="00DE5054" w:rsidRPr="00FC74F8"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r w:rsidRPr="00FC74F8">
        <w:rPr>
          <w:rFonts w:ascii="Bookman Old Style" w:eastAsia="Times New Roman" w:hAnsi="Bookman Old Style" w:cs="Arial"/>
          <w:u w:val="single"/>
          <w:lang w:val="es-ES_tradnl" w:eastAsia="ar-SA"/>
        </w:rPr>
        <w:t>2. Servir de base a la Superintendencia de Servicios Públicos en el cumplimiento de sus funciones de control, inspección y vigilancia.</w:t>
      </w:r>
    </w:p>
    <w:p w14:paraId="2060B0C0"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p>
    <w:p w14:paraId="74A39E2C" w14:textId="054AC47D"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14:paraId="41358DE1"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p>
    <w:p w14:paraId="1A277D0C" w14:textId="38697836" w:rsidR="00DE5054" w:rsidRPr="00FC74F8"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r w:rsidRPr="00FC74F8">
        <w:rPr>
          <w:rFonts w:ascii="Bookman Old Style" w:eastAsia="Times New Roman" w:hAnsi="Bookman Old Style" w:cs="Arial"/>
          <w:u w:val="single"/>
          <w:lang w:val="es-ES_tradnl" w:eastAsia="ar-SA"/>
        </w:rPr>
        <w:t>4. Apoyar las funciones asignadas a las Comisiones de Regulación.</w:t>
      </w:r>
    </w:p>
    <w:p w14:paraId="50DE4249"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p>
    <w:p w14:paraId="0E1B974D" w14:textId="3E90B78C"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5. Servir de base a las funciones asignadas a los Ministerios y demás autoridades que tengan competencias en el sector de los servicios públicos de que tratan las Leyes 142 y 143 de 1994.</w:t>
      </w:r>
    </w:p>
    <w:p w14:paraId="4F893CFD"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p>
    <w:p w14:paraId="2564195E" w14:textId="79A1CED8"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14:paraId="0D538D87"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p>
    <w:p w14:paraId="59D04E9E" w14:textId="5EF58DF3"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14:paraId="355F857C" w14:textId="77777777" w:rsidR="0034654A" w:rsidRDefault="0034654A"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p>
    <w:p w14:paraId="67F4CBE0" w14:textId="59693D3F" w:rsidR="00DE5054" w:rsidRPr="00FC74F8"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u w:val="single"/>
          <w:lang w:val="es-ES_tradnl" w:eastAsia="ar-SA"/>
        </w:rPr>
      </w:pPr>
      <w:r w:rsidRPr="00FC74F8">
        <w:rPr>
          <w:rFonts w:ascii="Bookman Old Style" w:eastAsia="Times New Roman" w:hAnsi="Bookman Old Style" w:cs="Arial"/>
          <w:u w:val="single"/>
          <w:lang w:val="es-ES_tradnl" w:eastAsia="ar-SA"/>
        </w:rPr>
        <w:t xml:space="preserve">8. Mantener un registro actualizado de las personas que presten servicios públicos sometidos al control, inspección y vigilancia de la Superintendencia de Servicios Públicos.  </w:t>
      </w:r>
    </w:p>
    <w:p w14:paraId="353E43B1" w14:textId="77777777"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p>
    <w:p w14:paraId="30B7A5AF" w14:textId="77777777" w:rsidR="00DE5054" w:rsidRPr="00FB2E5A" w:rsidRDefault="00DE5054" w:rsidP="008734B9">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lang w:val="es-ES_tradnl" w:eastAsia="ar-SA"/>
        </w:rPr>
        <w:t>Parágrafo 1°.</w:t>
      </w:r>
      <w:r w:rsidRPr="00FB2E5A">
        <w:rPr>
          <w:rFonts w:ascii="Bookman Old Style" w:eastAsia="Times New Roman" w:hAnsi="Bookman Old Style" w:cs="Arial"/>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14:paraId="105BEFE3" w14:textId="77777777" w:rsidR="00DE5054" w:rsidRPr="00FB2E5A" w:rsidRDefault="00DE5054" w:rsidP="00DE5054">
      <w:pPr>
        <w:spacing w:after="0" w:line="240" w:lineRule="auto"/>
        <w:jc w:val="both"/>
        <w:rPr>
          <w:rFonts w:ascii="Bookman Old Style" w:eastAsia="MS Mincho" w:hAnsi="Bookman Old Style" w:cs="Arial"/>
          <w:lang w:val="es-ES_tradnl"/>
        </w:rPr>
      </w:pPr>
    </w:p>
    <w:p w14:paraId="320E8B9E" w14:textId="77777777"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eastAsia="Times New Roman" w:hAnsi="Bookman Old Style" w:cs="Arial"/>
          <w:spacing w:val="-5"/>
          <w:sz w:val="24"/>
          <w:szCs w:val="24"/>
        </w:rPr>
        <w:t>rio a través del cual</w:t>
      </w:r>
      <w:r w:rsidRPr="00FB2E5A">
        <w:rPr>
          <w:rFonts w:ascii="Bookman Old Style" w:eastAsia="Times New Roman" w:hAnsi="Bookman Old Style" w:cs="Arial"/>
          <w:spacing w:val="-5"/>
          <w:sz w:val="24"/>
          <w:szCs w:val="24"/>
        </w:rPr>
        <w:t xml:space="preserve"> se implementaron los períodos y mecanismos regulatorios que permitieron llevar a cabo el remplazo del parque universal de cilindros por un parque de cilindros marcado propiedad de los distribuidores.</w:t>
      </w:r>
    </w:p>
    <w:p w14:paraId="730EF00E" w14:textId="77777777" w:rsidR="00A66E25" w:rsidRPr="00FB2E5A" w:rsidRDefault="00A66E25" w:rsidP="00DE5054">
      <w:pPr>
        <w:spacing w:after="0" w:line="240" w:lineRule="auto"/>
        <w:jc w:val="both"/>
        <w:rPr>
          <w:rFonts w:ascii="Bookman Old Style" w:eastAsia="Times New Roman" w:hAnsi="Bookman Old Style" w:cs="Arial"/>
          <w:spacing w:val="-5"/>
          <w:sz w:val="24"/>
          <w:szCs w:val="24"/>
        </w:rPr>
      </w:pPr>
    </w:p>
    <w:p w14:paraId="1F1C4A1D" w14:textId="3DFB3004"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las medidas regulatorias adoptadas por parte de esta Comisión se encuentra lo dispuesto</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inicialmente en el literal b</w:t>
      </w:r>
      <w:r w:rsidR="0034654A">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del artículo 31 de la Resolución CREG 045 de 2008</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w:t>
      </w:r>
      <w:r w:rsidRPr="00FB2E5A">
        <w:rPr>
          <w:rFonts w:ascii="Bookman Old Style" w:eastAsia="Times New Roman" w:hAnsi="Bookman Old Style" w:cs="Arial"/>
          <w:spacing w:val="-5"/>
          <w:sz w:val="24"/>
          <w:szCs w:val="24"/>
        </w:rPr>
        <w:lastRenderedPageBreak/>
        <w:t>de Información</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SUI</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de la Superintendencia de Servicios Públicos Domiciliarios</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atendi</w:t>
      </w:r>
      <w:r w:rsidR="0054084B">
        <w:rPr>
          <w:rFonts w:ascii="Bookman Old Style" w:eastAsia="Times New Roman" w:hAnsi="Bookman Old Style" w:cs="Arial"/>
          <w:spacing w:val="-5"/>
          <w:sz w:val="24"/>
          <w:szCs w:val="24"/>
        </w:rPr>
        <w:t>en</w:t>
      </w:r>
      <w:r w:rsidRPr="00FB2E5A">
        <w:rPr>
          <w:rFonts w:ascii="Bookman Old Style" w:eastAsia="Times New Roman" w:hAnsi="Bookman Old Style" w:cs="Arial"/>
          <w:spacing w:val="-5"/>
          <w:sz w:val="24"/>
          <w:szCs w:val="24"/>
        </w:rPr>
        <w:t>do lo dispuesto en el artí</w:t>
      </w:r>
      <w:r>
        <w:rPr>
          <w:rFonts w:ascii="Bookman Old Style" w:eastAsia="Times New Roman" w:hAnsi="Bookman Old Style" w:cs="Arial"/>
          <w:spacing w:val="-5"/>
          <w:sz w:val="24"/>
          <w:szCs w:val="24"/>
        </w:rPr>
        <w:t xml:space="preserve">culo 14 de la Ley 689 de 2001. </w:t>
      </w:r>
      <w:r w:rsidRPr="00FB2E5A">
        <w:rPr>
          <w:rFonts w:ascii="Bookman Old Style" w:eastAsia="Times New Roman" w:hAnsi="Bookman Old Style" w:cs="Arial"/>
          <w:spacing w:val="-5"/>
          <w:sz w:val="24"/>
          <w:szCs w:val="24"/>
        </w:rPr>
        <w:t xml:space="preserve">En este sentido, el artículo 3 de la Resolución CREG 177 </w:t>
      </w:r>
      <w:r w:rsidR="002C480F">
        <w:rPr>
          <w:rFonts w:ascii="Bookman Old Style" w:eastAsia="Times New Roman" w:hAnsi="Bookman Old Style" w:cs="Arial"/>
          <w:spacing w:val="-5"/>
          <w:sz w:val="24"/>
          <w:szCs w:val="24"/>
        </w:rPr>
        <w:t xml:space="preserve">de 2011 </w:t>
      </w:r>
      <w:r w:rsidRPr="00FB2E5A">
        <w:rPr>
          <w:rFonts w:ascii="Bookman Old Style" w:eastAsia="Times New Roman" w:hAnsi="Bookman Old Style" w:cs="Arial"/>
          <w:spacing w:val="-5"/>
          <w:sz w:val="24"/>
          <w:szCs w:val="24"/>
        </w:rPr>
        <w:t>dispuso lo siguiente:</w:t>
      </w:r>
    </w:p>
    <w:p w14:paraId="1B540C49"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02680685" w14:textId="77777777" w:rsidR="00DE5054" w:rsidRPr="00FB2E5A" w:rsidRDefault="00DE5054" w:rsidP="008734B9">
      <w:pPr>
        <w:spacing w:after="0" w:line="240" w:lineRule="auto"/>
        <w:ind w:left="567"/>
        <w:jc w:val="both"/>
        <w:rPr>
          <w:rFonts w:ascii="Bookman Old Style" w:eastAsia="Times New Roman" w:hAnsi="Bookman Old Style" w:cs="Arial"/>
          <w:spacing w:val="-5"/>
        </w:rPr>
      </w:pPr>
      <w:r>
        <w:rPr>
          <w:rFonts w:ascii="Bookman Old Style" w:eastAsia="Times New Roman" w:hAnsi="Bookman Old Style" w:cs="Arial"/>
          <w:spacing w:val="-5"/>
        </w:rPr>
        <w:t>“</w:t>
      </w:r>
      <w:r w:rsidRPr="002E48FC">
        <w:rPr>
          <w:rFonts w:ascii="Bookman Old Style" w:eastAsia="Times New Roman" w:hAnsi="Bookman Old Style" w:cs="Arial"/>
          <w:b/>
          <w:spacing w:val="-5"/>
        </w:rPr>
        <w:t>Artículo 3.</w:t>
      </w:r>
      <w:r w:rsidRPr="00FB2E5A">
        <w:rPr>
          <w:rFonts w:ascii="Bookman Old Style" w:eastAsia="Times New Roman" w:hAnsi="Bookman Old Style" w:cs="Arial"/>
          <w:spacing w:val="-5"/>
        </w:rPr>
        <w:t xml:space="preserve"> El numeral 8 del Artículo 6 de la Resolución CREG 023 de 2008, modificado por el artículo 4 de la Resolución CREG 165 de 2008, el cual establece las Obligaciones Generales del Distribuidor, quedará así:</w:t>
      </w:r>
    </w:p>
    <w:p w14:paraId="6BCEC00E" w14:textId="77777777" w:rsidR="00DE5054" w:rsidRPr="00FB2E5A" w:rsidRDefault="00DE5054" w:rsidP="008734B9">
      <w:pPr>
        <w:spacing w:after="0" w:line="240" w:lineRule="auto"/>
        <w:ind w:left="567"/>
        <w:jc w:val="both"/>
        <w:rPr>
          <w:rFonts w:ascii="Bookman Old Style" w:eastAsia="Times New Roman" w:hAnsi="Bookman Old Style" w:cs="Arial"/>
          <w:spacing w:val="-5"/>
        </w:rPr>
      </w:pPr>
    </w:p>
    <w:p w14:paraId="75AACB93" w14:textId="77777777" w:rsidR="00DE5054" w:rsidRPr="00FB2E5A" w:rsidRDefault="00DE5054" w:rsidP="008734B9">
      <w:pPr>
        <w:spacing w:after="0" w:line="240" w:lineRule="auto"/>
        <w:ind w:left="567"/>
        <w:jc w:val="both"/>
        <w:rPr>
          <w:rFonts w:ascii="Bookman Old Style" w:eastAsia="Times New Roman" w:hAnsi="Bookman Old Style" w:cs="Arial"/>
          <w:spacing w:val="-5"/>
        </w:rPr>
      </w:pPr>
      <w:r w:rsidRPr="00FB2E5A">
        <w:rPr>
          <w:rFonts w:ascii="Bookman Old Style" w:eastAsia="Times New Roman" w:hAnsi="Bookman Old Style" w:cs="Arial"/>
          <w:spacing w:val="-5"/>
        </w:rPr>
        <w:t>“8. Los Distribuidores deben llevar un registro pormenorizado de los cilindros marcados que van introduciendo al parque en las siguientes condiciones:</w:t>
      </w:r>
    </w:p>
    <w:p w14:paraId="3450CC4D" w14:textId="77777777" w:rsidR="00DE5054" w:rsidRPr="00FB2E5A" w:rsidRDefault="00DE5054" w:rsidP="008734B9">
      <w:pPr>
        <w:spacing w:after="0" w:line="240" w:lineRule="auto"/>
        <w:ind w:left="567"/>
        <w:jc w:val="both"/>
        <w:rPr>
          <w:rFonts w:ascii="Bookman Old Style" w:eastAsia="Times New Roman" w:hAnsi="Bookman Old Style" w:cs="Arial"/>
          <w:spacing w:val="-5"/>
        </w:rPr>
      </w:pPr>
    </w:p>
    <w:p w14:paraId="1ABA703B" w14:textId="77777777" w:rsidR="00DE5054" w:rsidRPr="008F605F" w:rsidRDefault="00DE5054" w:rsidP="008734B9">
      <w:pPr>
        <w:pStyle w:val="Prrafodelista"/>
        <w:numPr>
          <w:ilvl w:val="0"/>
          <w:numId w:val="13"/>
        </w:numPr>
        <w:spacing w:after="0" w:line="240" w:lineRule="auto"/>
        <w:jc w:val="both"/>
        <w:rPr>
          <w:rFonts w:ascii="Bookman Old Style" w:eastAsia="Times New Roman" w:hAnsi="Bookman Old Style" w:cs="Arial"/>
          <w:spacing w:val="-5"/>
        </w:rPr>
      </w:pPr>
      <w:r w:rsidRPr="008F605F">
        <w:rPr>
          <w:rFonts w:ascii="Bookman Old Style" w:eastAsia="Times New Roman" w:hAnsi="Bookman Old Style" w:cs="Arial"/>
          <w:spacing w:val="-5"/>
        </w:rPr>
        <w:t>Mientras dure el Período de Transición y el Período de Cierre a través del sistema de información SICMA que debe llevar la Interventoría del esquema centralizado.</w:t>
      </w:r>
    </w:p>
    <w:p w14:paraId="7D703B21" w14:textId="77777777" w:rsidR="00DE5054" w:rsidRPr="00FB2E5A" w:rsidRDefault="00DE5054" w:rsidP="008734B9">
      <w:pPr>
        <w:spacing w:after="0" w:line="240" w:lineRule="auto"/>
        <w:ind w:left="567"/>
        <w:jc w:val="both"/>
        <w:rPr>
          <w:rFonts w:ascii="Bookman Old Style" w:eastAsia="Times New Roman" w:hAnsi="Bookman Old Style" w:cs="Arial"/>
          <w:spacing w:val="-5"/>
        </w:rPr>
      </w:pPr>
    </w:p>
    <w:p w14:paraId="55996DED" w14:textId="280FE959" w:rsidR="00DE5054" w:rsidRPr="008F605F" w:rsidRDefault="00DE5054" w:rsidP="008734B9">
      <w:pPr>
        <w:pStyle w:val="Prrafodelista"/>
        <w:numPr>
          <w:ilvl w:val="0"/>
          <w:numId w:val="13"/>
        </w:numPr>
        <w:spacing w:after="0" w:line="240" w:lineRule="auto"/>
        <w:jc w:val="both"/>
        <w:rPr>
          <w:rFonts w:ascii="Bookman Old Style" w:eastAsia="Times New Roman" w:hAnsi="Bookman Old Style" w:cs="Arial"/>
          <w:spacing w:val="-5"/>
          <w:u w:val="single"/>
        </w:rPr>
      </w:pPr>
      <w:r w:rsidRPr="008F605F">
        <w:rPr>
          <w:rFonts w:ascii="Bookman Old Style" w:eastAsia="Times New Roman" w:hAnsi="Bookman Old Style" w:cs="Arial"/>
          <w:spacing w:val="-5"/>
          <w:u w:val="single"/>
        </w:rPr>
        <w:t>Una vez finalice el P</w:t>
      </w:r>
      <w:r w:rsidR="009C5EF2">
        <w:rPr>
          <w:rFonts w:ascii="Bookman Old Style" w:eastAsia="Times New Roman" w:hAnsi="Bookman Old Style" w:cs="Arial"/>
          <w:spacing w:val="-5"/>
          <w:u w:val="single"/>
        </w:rPr>
        <w:t>eríodo</w:t>
      </w:r>
      <w:r w:rsidRPr="008F605F">
        <w:rPr>
          <w:rFonts w:ascii="Bookman Old Style" w:eastAsia="Times New Roman" w:hAnsi="Bookman Old Style" w:cs="Arial"/>
          <w:spacing w:val="-5"/>
          <w:u w:val="single"/>
        </w:rPr>
        <w:t xml:space="preserve"> de Transición y el P</w:t>
      </w:r>
      <w:r w:rsidR="009C5EF2">
        <w:rPr>
          <w:rFonts w:ascii="Bookman Old Style" w:eastAsia="Times New Roman" w:hAnsi="Bookman Old Style" w:cs="Arial"/>
          <w:spacing w:val="-5"/>
          <w:u w:val="single"/>
        </w:rPr>
        <w:t>eríodo</w:t>
      </w:r>
      <w:r w:rsidRPr="008F605F">
        <w:rPr>
          <w:rFonts w:ascii="Bookman Old Style" w:eastAsia="Times New Roman" w:hAnsi="Bookman Old Style" w:cs="Arial"/>
          <w:spacing w:val="-5"/>
          <w:u w:val="single"/>
        </w:rPr>
        <w:t xml:space="preserve">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14:paraId="7A1B108F" w14:textId="77777777" w:rsidR="00DE5054" w:rsidRPr="00FB2E5A" w:rsidRDefault="00DE5054" w:rsidP="008734B9">
      <w:pPr>
        <w:spacing w:after="0" w:line="240" w:lineRule="auto"/>
        <w:ind w:left="567"/>
        <w:jc w:val="both"/>
        <w:rPr>
          <w:rFonts w:ascii="Bookman Old Style" w:eastAsia="Times New Roman" w:hAnsi="Bookman Old Style" w:cs="Arial"/>
          <w:spacing w:val="-5"/>
          <w:u w:val="single"/>
        </w:rPr>
      </w:pPr>
    </w:p>
    <w:p w14:paraId="7B573AA0" w14:textId="77777777" w:rsidR="00DE5054" w:rsidRPr="008F605F" w:rsidRDefault="00DE5054" w:rsidP="008734B9">
      <w:pPr>
        <w:pStyle w:val="Prrafodelista"/>
        <w:numPr>
          <w:ilvl w:val="0"/>
          <w:numId w:val="13"/>
        </w:numPr>
        <w:spacing w:after="0" w:line="240" w:lineRule="auto"/>
        <w:jc w:val="both"/>
        <w:rPr>
          <w:rFonts w:ascii="Bookman Old Style" w:eastAsia="Times New Roman" w:hAnsi="Bookman Old Style" w:cs="Arial"/>
          <w:spacing w:val="-5"/>
        </w:rPr>
      </w:pPr>
      <w:r w:rsidRPr="008F605F">
        <w:rPr>
          <w:rFonts w:ascii="Bookman Old Style" w:eastAsia="Times New Roman" w:hAnsi="Bookman Old Style" w:cs="Arial"/>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8F605F">
        <w:rPr>
          <w:rFonts w:ascii="Bookman Old Style" w:eastAsia="Times New Roman" w:hAnsi="Bookman Old Style" w:cs="Arial"/>
          <w:spacing w:val="-5"/>
        </w:rPr>
        <w:t xml:space="preserve"> (Resaltado fuera de texto)</w:t>
      </w:r>
    </w:p>
    <w:p w14:paraId="5C7115EB"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7962B3B5" w14:textId="77777777" w:rsidR="00DE5054"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En concordancia con lo anterior, en relación con la obligación de los distribuidores de llevar a cabo el </w:t>
      </w:r>
      <w:r w:rsidRPr="007917F3">
        <w:rPr>
          <w:rFonts w:ascii="Bookman Old Style" w:eastAsia="Times New Roman" w:hAnsi="Bookman Old Style" w:cs="Arial"/>
          <w:spacing w:val="-5"/>
          <w:sz w:val="24"/>
          <w:szCs w:val="24"/>
        </w:rPr>
        <w:t>reporte y uso de la marca que identifica los cilindros de su propiedad</w:t>
      </w:r>
      <w:r>
        <w:rPr>
          <w:rFonts w:ascii="Bookman Old Style" w:eastAsia="Times New Roman" w:hAnsi="Bookman Old Style" w:cs="Arial"/>
          <w:spacing w:val="-5"/>
          <w:sz w:val="24"/>
          <w:szCs w:val="24"/>
        </w:rPr>
        <w:t xml:space="preserve">, </w:t>
      </w:r>
      <w:r w:rsidR="00720524">
        <w:rPr>
          <w:rFonts w:ascii="Bookman Old Style" w:eastAsia="Times New Roman" w:hAnsi="Bookman Old Style" w:cs="Arial"/>
          <w:spacing w:val="-5"/>
          <w:sz w:val="24"/>
          <w:szCs w:val="24"/>
        </w:rPr>
        <w:t>los</w:t>
      </w:r>
      <w:r>
        <w:rPr>
          <w:rFonts w:ascii="Bookman Old Style" w:eastAsia="Times New Roman" w:hAnsi="Bookman Old Style" w:cs="Arial"/>
          <w:spacing w:val="-5"/>
          <w:sz w:val="24"/>
          <w:szCs w:val="24"/>
        </w:rPr>
        <w:t xml:space="preserve"> artículo</w:t>
      </w:r>
      <w:r w:rsidR="00720524">
        <w:rPr>
          <w:rFonts w:ascii="Bookman Old Style" w:eastAsia="Times New Roman" w:hAnsi="Bookman Old Style" w:cs="Arial"/>
          <w:spacing w:val="-5"/>
          <w:sz w:val="24"/>
          <w:szCs w:val="24"/>
        </w:rPr>
        <w:t xml:space="preserve">s 4 y </w:t>
      </w:r>
      <w:r>
        <w:rPr>
          <w:rFonts w:ascii="Bookman Old Style" w:eastAsia="Times New Roman" w:hAnsi="Bookman Old Style" w:cs="Arial"/>
          <w:spacing w:val="-5"/>
          <w:sz w:val="24"/>
          <w:szCs w:val="24"/>
        </w:rPr>
        <w:t>11 del reglamento de distribución y comercialización minorista de GLP estableció lo siguiente:</w:t>
      </w:r>
    </w:p>
    <w:p w14:paraId="5A9510B4" w14:textId="77777777" w:rsidR="00720524" w:rsidRDefault="00720524" w:rsidP="00DE5054">
      <w:pPr>
        <w:spacing w:after="0" w:line="240" w:lineRule="auto"/>
        <w:jc w:val="both"/>
        <w:rPr>
          <w:rFonts w:ascii="Bookman Old Style" w:eastAsia="Times New Roman" w:hAnsi="Bookman Old Style" w:cs="Arial"/>
          <w:spacing w:val="-5"/>
          <w:sz w:val="24"/>
          <w:szCs w:val="24"/>
        </w:rPr>
      </w:pPr>
    </w:p>
    <w:p w14:paraId="23AE9D3D" w14:textId="3FDE256C" w:rsidR="00720524" w:rsidRPr="00720524" w:rsidRDefault="00720524" w:rsidP="008734B9">
      <w:pPr>
        <w:numPr>
          <w:ilvl w:val="1"/>
          <w:numId w:val="0"/>
        </w:numPr>
        <w:suppressAutoHyphens/>
        <w:spacing w:after="0" w:line="240" w:lineRule="auto"/>
        <w:ind w:lef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w:t>
      </w:r>
      <w:r w:rsidRPr="00720524">
        <w:rPr>
          <w:rFonts w:ascii="Bookman Old Style" w:eastAsia="Times New Roman" w:hAnsi="Bookman Old Style" w:cs="Arial"/>
          <w:b/>
          <w:spacing w:val="-3"/>
          <w:lang w:val="es-ES_tradnl" w:eastAsia="es-CO"/>
        </w:rPr>
        <w:t>Artículo 4. REQUISITOS PARA LA OPERACIÓN DE LOS DISTRIBUIDORES</w:t>
      </w:r>
      <w:r w:rsidR="00462224" w:rsidRPr="00462224">
        <w:rPr>
          <w:rFonts w:ascii="Bookman Old Style" w:eastAsia="Times New Roman" w:hAnsi="Bookman Old Style" w:cs="Arial"/>
          <w:b/>
          <w:spacing w:val="-3"/>
          <w:lang w:val="es-ES_tradnl" w:eastAsia="es-CO"/>
        </w:rPr>
        <w:t xml:space="preserve"> </w:t>
      </w:r>
      <w:r w:rsidR="00462224" w:rsidRPr="00462224">
        <w:rPr>
          <w:rFonts w:ascii="Bookman Old Style" w:eastAsia="Times New Roman" w:hAnsi="Bookman Old Style" w:cs="Arial"/>
          <w:bCs/>
          <w:spacing w:val="-3"/>
          <w:lang w:val="es-ES_tradnl" w:eastAsia="es-CO"/>
        </w:rPr>
        <w:t>(Modificado por el artículo 2 de Resolución CREG 165 de 2008)</w:t>
      </w:r>
      <w:r w:rsidRPr="00462224">
        <w:rPr>
          <w:rFonts w:ascii="Bookman Old Style" w:eastAsia="Times New Roman" w:hAnsi="Bookman Old Style" w:cs="Arial"/>
          <w:bCs/>
          <w:spacing w:val="-3"/>
          <w:lang w:val="es-ES_tradnl" w:eastAsia="es-CO"/>
        </w:rPr>
        <w:t>.</w:t>
      </w:r>
      <w:r w:rsidRPr="00720524">
        <w:rPr>
          <w:rFonts w:ascii="Bookman Old Style" w:eastAsia="Times New Roman" w:hAnsi="Bookman Old Style" w:cs="Arial"/>
          <w:spacing w:val="-3"/>
          <w:lang w:val="es-ES_tradnl" w:eastAsia="es-CO"/>
        </w:rPr>
        <w:t xml:space="preserve"> (…)</w:t>
      </w:r>
    </w:p>
    <w:p w14:paraId="7CD2EA73" w14:textId="77777777" w:rsidR="00720524" w:rsidRPr="00720524" w:rsidRDefault="00720524" w:rsidP="008734B9">
      <w:pPr>
        <w:numPr>
          <w:ilvl w:val="1"/>
          <w:numId w:val="0"/>
        </w:numPr>
        <w:suppressAutoHyphens/>
        <w:spacing w:after="0" w:line="240" w:lineRule="auto"/>
        <w:ind w:left="284"/>
        <w:jc w:val="both"/>
        <w:outlineLvl w:val="1"/>
        <w:rPr>
          <w:rFonts w:ascii="Bookman Old Style" w:eastAsia="Times New Roman" w:hAnsi="Bookman Old Style" w:cs="Arial"/>
          <w:spacing w:val="-3"/>
          <w:lang w:val="es-ES_tradnl" w:eastAsia="es-CO"/>
        </w:rPr>
      </w:pPr>
    </w:p>
    <w:p w14:paraId="42792DF2" w14:textId="77777777" w:rsidR="00720524" w:rsidRPr="00720524" w:rsidRDefault="00720524" w:rsidP="008734B9">
      <w:pPr>
        <w:numPr>
          <w:ilvl w:val="1"/>
          <w:numId w:val="0"/>
        </w:numPr>
        <w:suppressAutoHyphens/>
        <w:spacing w:after="0" w:line="240" w:lineRule="auto"/>
        <w:ind w:left="284"/>
        <w:jc w:val="both"/>
        <w:outlineLvl w:val="1"/>
        <w:rPr>
          <w:rFonts w:ascii="Bookman Old Style" w:eastAsia="Times New Roman" w:hAnsi="Bookman Old Style" w:cs="Arial"/>
          <w:spacing w:val="-3"/>
          <w:lang w:val="es-ES_tradnl" w:eastAsia="es-CO"/>
        </w:rPr>
      </w:pPr>
      <w:r w:rsidRPr="00720524">
        <w:rPr>
          <w:rFonts w:ascii="Bookman Old Style" w:eastAsia="Times New Roman" w:hAnsi="Bookman Old Style" w:cs="Arial"/>
          <w:spacing w:val="-3"/>
          <w:lang w:val="es-ES_tradnl" w:eastAsia="es-CO"/>
        </w:rPr>
        <w:t xml:space="preserve">7. </w:t>
      </w:r>
      <w:r w:rsidRPr="006701F8">
        <w:rPr>
          <w:rFonts w:ascii="Bookman Old Style" w:eastAsia="Times New Roman" w:hAnsi="Bookman Old Style" w:cs="Arial"/>
          <w:spacing w:val="-3"/>
          <w:u w:val="single"/>
          <w:lang w:val="es-ES_tradnl" w:eastAsia="es-CO"/>
        </w:rPr>
        <w:t>Ser propietario de los cilindros que envasa, los cuales deberán estar certificados y marcados de acuerdo con lo establecido en el Artículo 10 de esta Resolución.</w:t>
      </w:r>
      <w:r w:rsidRPr="00720524">
        <w:rPr>
          <w:rFonts w:ascii="Bookman Old Style" w:eastAsia="Times New Roman" w:hAnsi="Bookman Old Style" w:cs="Arial"/>
          <w:spacing w:val="-3"/>
          <w:lang w:val="es-ES_tradnl" w:eastAsia="es-CO"/>
        </w:rPr>
        <w:t xml:space="preserve"> Tanto los cilindros como los tanques estacionarios a través de los cuales se prestará el servicio público, deben estar en condiciones de operación que garanticen plenamente la seguridad de los usuarios, del personal que lo maniobra y de toda la comunidad en general.</w:t>
      </w:r>
      <w:r>
        <w:rPr>
          <w:rFonts w:ascii="Bookman Old Style" w:eastAsia="Times New Roman" w:hAnsi="Bookman Old Style" w:cs="Arial"/>
          <w:spacing w:val="-3"/>
          <w:lang w:val="es-ES_tradnl" w:eastAsia="es-CO"/>
        </w:rPr>
        <w:t>”</w:t>
      </w:r>
    </w:p>
    <w:p w14:paraId="3DE4739B" w14:textId="77777777" w:rsidR="00720524" w:rsidRDefault="00720524" w:rsidP="008734B9">
      <w:pPr>
        <w:spacing w:after="0" w:line="240" w:lineRule="auto"/>
        <w:ind w:left="284"/>
        <w:jc w:val="both"/>
        <w:rPr>
          <w:rFonts w:ascii="Bookman Old Style" w:eastAsia="Times New Roman" w:hAnsi="Bookman Old Style" w:cs="Arial"/>
          <w:spacing w:val="-5"/>
          <w:sz w:val="24"/>
          <w:szCs w:val="24"/>
        </w:rPr>
      </w:pPr>
    </w:p>
    <w:p w14:paraId="0033E139" w14:textId="0497291F" w:rsidR="00DE5054" w:rsidRPr="007917F3" w:rsidRDefault="00DE5054" w:rsidP="008734B9">
      <w:pPr>
        <w:numPr>
          <w:ilvl w:val="1"/>
          <w:numId w:val="0"/>
        </w:numPr>
        <w:suppressAutoHyphens/>
        <w:spacing w:after="0" w:line="240" w:lineRule="auto"/>
        <w:ind w:left="284"/>
        <w:jc w:val="both"/>
        <w:outlineLvl w:val="1"/>
        <w:rPr>
          <w:rFonts w:ascii="Bookman Old Style" w:eastAsia="Times New Roman" w:hAnsi="Bookman Old Style" w:cs="Arial"/>
          <w:spacing w:val="-3"/>
          <w:lang w:val="es-ES_tradnl" w:eastAsia="es-CO"/>
        </w:rPr>
      </w:pPr>
      <w:r>
        <w:rPr>
          <w:rFonts w:ascii="Bookman Old Style" w:eastAsia="Times New Roman" w:hAnsi="Bookman Old Style" w:cs="Arial"/>
          <w:b/>
          <w:bCs/>
          <w:spacing w:val="-3"/>
          <w:lang w:eastAsia="es-CO"/>
        </w:rPr>
        <w:t>“</w:t>
      </w:r>
      <w:r w:rsidRPr="007917F3">
        <w:rPr>
          <w:rFonts w:ascii="Bookman Old Style" w:eastAsia="Times New Roman" w:hAnsi="Bookman Old Style" w:cs="Arial"/>
          <w:b/>
          <w:bCs/>
          <w:spacing w:val="-3"/>
          <w:lang w:eastAsia="es-CO"/>
        </w:rPr>
        <w:t>Artículo 11</w:t>
      </w:r>
      <w:r w:rsidRPr="007917F3">
        <w:rPr>
          <w:rFonts w:ascii="Bookman Old Style" w:eastAsia="Times New Roman" w:hAnsi="Bookman Old Style" w:cs="Arial"/>
          <w:b/>
          <w:bCs/>
          <w:spacing w:val="-3"/>
          <w:lang w:val="es-ES_tradnl" w:eastAsia="es-CO"/>
        </w:rPr>
        <w:t>. OBLIGACIONES DEL DISTRIBUIDOR EN EL REPORTE Y USO DE LA MARCA QUE IDENTIFICA LOS CILINDROS DE SU PROPIEDAD</w:t>
      </w:r>
      <w:r w:rsidRPr="0026550E">
        <w:rPr>
          <w:rFonts w:ascii="Bookman Old Style" w:eastAsia="Times New Roman" w:hAnsi="Bookman Old Style" w:cs="Arial"/>
          <w:bCs/>
          <w:spacing w:val="-3"/>
          <w:lang w:val="es-ES_tradnl" w:eastAsia="es-CO"/>
        </w:rPr>
        <w:t xml:space="preserve">. </w:t>
      </w:r>
      <w:r w:rsidRPr="0026550E">
        <w:rPr>
          <w:rFonts w:ascii="Bookman Old Style" w:eastAsia="Times New Roman" w:hAnsi="Bookman Old Style" w:cs="Arial"/>
          <w:bCs/>
          <w:spacing w:val="-3"/>
          <w:u w:val="single"/>
          <w:lang w:val="es-ES_tradnl" w:eastAsia="es-CO"/>
        </w:rPr>
        <w:t>La</w:t>
      </w:r>
      <w:r w:rsidRPr="0026550E">
        <w:rPr>
          <w:rFonts w:ascii="Bookman Old Style" w:eastAsia="Times New Roman" w:hAnsi="Bookman Old Style" w:cs="Arial"/>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26550E">
        <w:rPr>
          <w:rFonts w:ascii="Bookman Old Style" w:eastAsia="Times New Roman" w:hAnsi="Bookman Old Style" w:cs="Arial"/>
          <w:spacing w:val="-3"/>
          <w:lang w:val="es-ES_tradnl" w:eastAsia="es-CO"/>
        </w:rPr>
        <w:t xml:space="preserve"> </w:t>
      </w:r>
      <w:r w:rsidRPr="007917F3">
        <w:rPr>
          <w:rFonts w:ascii="Bookman Old Style" w:eastAsia="Times New Roman" w:hAnsi="Bookman Old Style" w:cs="Arial"/>
          <w:spacing w:val="-3"/>
          <w:lang w:val="es-ES_tradnl" w:eastAsia="es-CO"/>
        </w:rPr>
        <w:t>La Superintendencia informará a través del SUI sobre las solicitudes de marca recibidas y en el mismo sistema permanecerán publicadas las marcas que se están utilizando junto con la identificación plena de su propietario.</w:t>
      </w:r>
    </w:p>
    <w:p w14:paraId="6153E800" w14:textId="77777777" w:rsidR="00DE5054" w:rsidRPr="007917F3" w:rsidRDefault="00DE5054" w:rsidP="008734B9">
      <w:pPr>
        <w:widowControl w:val="0"/>
        <w:adjustRightInd w:val="0"/>
        <w:spacing w:after="0" w:line="240" w:lineRule="auto"/>
        <w:ind w:left="284"/>
        <w:jc w:val="both"/>
        <w:textAlignment w:val="baseline"/>
        <w:rPr>
          <w:rFonts w:ascii="Bookman Old Style" w:eastAsia="Times New Roman" w:hAnsi="Bookman Old Style" w:cs="Arial"/>
          <w:color w:val="000000"/>
          <w:lang w:eastAsia="es-CO"/>
        </w:rPr>
      </w:pPr>
    </w:p>
    <w:p w14:paraId="6AF82CDA" w14:textId="77777777" w:rsidR="00DE5054" w:rsidRPr="007917F3" w:rsidRDefault="00DE5054" w:rsidP="008734B9">
      <w:pPr>
        <w:widowControl w:val="0"/>
        <w:adjustRightInd w:val="0"/>
        <w:spacing w:after="0" w:line="240" w:lineRule="auto"/>
        <w:ind w:left="284"/>
        <w:jc w:val="both"/>
        <w:textAlignment w:val="baseline"/>
        <w:rPr>
          <w:rFonts w:ascii="Bookman Old Style" w:eastAsia="Times New Roman" w:hAnsi="Bookman Old Style" w:cs="Arial"/>
          <w:color w:val="000000"/>
          <w:lang w:eastAsia="es-CO"/>
        </w:rPr>
      </w:pPr>
      <w:r w:rsidRPr="007917F3">
        <w:rPr>
          <w:rFonts w:ascii="Bookman Old Style" w:eastAsia="Times New Roman" w:hAnsi="Bookman Old Style" w:cs="Arial"/>
          <w:color w:val="000000"/>
          <w:lang w:eastAsia="es-CO"/>
        </w:rPr>
        <w:t>El uso de la marca está sujeto a las siguientes reglas:</w:t>
      </w:r>
    </w:p>
    <w:p w14:paraId="4DDDA227" w14:textId="77777777" w:rsidR="00DE5054" w:rsidRPr="007917F3"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color w:val="000000"/>
          <w:lang w:eastAsia="es-CO"/>
        </w:rPr>
      </w:pPr>
    </w:p>
    <w:p w14:paraId="4AA28EDB" w14:textId="77777777" w:rsidR="00DE5054" w:rsidRPr="00C705A5" w:rsidRDefault="00DE5054" w:rsidP="008734B9">
      <w:pPr>
        <w:pStyle w:val="Prrafodelista"/>
        <w:widowControl w:val="0"/>
        <w:numPr>
          <w:ilvl w:val="0"/>
          <w:numId w:val="15"/>
        </w:numPr>
        <w:suppressAutoHyphens/>
        <w:adjustRightInd w:val="0"/>
        <w:spacing w:after="0" w:line="240" w:lineRule="auto"/>
        <w:ind w:left="851" w:hanging="284"/>
        <w:jc w:val="both"/>
        <w:textAlignment w:val="baseline"/>
        <w:rPr>
          <w:rFonts w:ascii="Bookman Old Style" w:eastAsia="Times New Roman" w:hAnsi="Bookman Old Style" w:cs="Arial"/>
          <w:spacing w:val="-3"/>
          <w:lang w:val="es-ES_tradnl" w:eastAsia="es-ES"/>
        </w:rPr>
      </w:pPr>
      <w:r w:rsidRPr="008F605F">
        <w:rPr>
          <w:rFonts w:ascii="Bookman Old Style" w:eastAsia="Times New Roman" w:hAnsi="Bookman Old Style" w:cs="Arial"/>
          <w:color w:val="000000"/>
          <w:lang w:eastAsia="es-CO"/>
        </w:rPr>
        <w:t>Un distribuidor podrá tener varias marcas, cumpliendo en cada caso con el reporte ante la Superintendencia de Servicios Públicos Domiciliarios.</w:t>
      </w:r>
    </w:p>
    <w:p w14:paraId="594F357C" w14:textId="77777777" w:rsidR="00C705A5" w:rsidRPr="008F605F" w:rsidRDefault="00C705A5" w:rsidP="008734B9">
      <w:pPr>
        <w:pStyle w:val="Prrafodelista"/>
        <w:widowControl w:val="0"/>
        <w:suppressAutoHyphens/>
        <w:adjustRightInd w:val="0"/>
        <w:spacing w:after="0" w:line="240" w:lineRule="auto"/>
        <w:ind w:left="851" w:hanging="284"/>
        <w:jc w:val="both"/>
        <w:textAlignment w:val="baseline"/>
        <w:rPr>
          <w:rFonts w:ascii="Bookman Old Style" w:eastAsia="Times New Roman" w:hAnsi="Bookman Old Style" w:cs="Arial"/>
          <w:spacing w:val="-3"/>
          <w:lang w:val="es-ES_tradnl" w:eastAsia="es-ES"/>
        </w:rPr>
      </w:pPr>
    </w:p>
    <w:p w14:paraId="4F676770" w14:textId="7FB0CED7" w:rsidR="00263DCC" w:rsidRDefault="00DE5054" w:rsidP="00263DCC">
      <w:pPr>
        <w:pStyle w:val="Prrafodelista"/>
        <w:widowControl w:val="0"/>
        <w:numPr>
          <w:ilvl w:val="0"/>
          <w:numId w:val="15"/>
        </w:numPr>
        <w:adjustRightInd w:val="0"/>
        <w:spacing w:after="0" w:line="240" w:lineRule="auto"/>
        <w:ind w:left="851" w:hanging="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14:paraId="71F68856" w14:textId="77777777" w:rsidR="00263DCC" w:rsidRPr="00263DCC" w:rsidRDefault="00263DCC" w:rsidP="00263DCC">
      <w:pPr>
        <w:pStyle w:val="Prrafodelista"/>
        <w:rPr>
          <w:rFonts w:ascii="Bookman Old Style" w:eastAsia="Times New Roman" w:hAnsi="Bookman Old Style" w:cs="Times New Roman"/>
          <w:lang w:val="es-ES_tradnl" w:eastAsia="es-ES"/>
        </w:rPr>
      </w:pPr>
    </w:p>
    <w:p w14:paraId="43B56F58" w14:textId="77777777" w:rsidR="00DE5054" w:rsidRDefault="00DE5054" w:rsidP="008734B9">
      <w:pPr>
        <w:pStyle w:val="Prrafodelista"/>
        <w:widowControl w:val="0"/>
        <w:numPr>
          <w:ilvl w:val="0"/>
          <w:numId w:val="15"/>
        </w:numPr>
        <w:adjustRightInd w:val="0"/>
        <w:spacing w:after="0" w:line="240" w:lineRule="auto"/>
        <w:ind w:left="851" w:hanging="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Nunca se podrá transferir la marca a más de un distribuidor.</w:t>
      </w:r>
    </w:p>
    <w:p w14:paraId="76928D50" w14:textId="77777777" w:rsidR="00444EBA" w:rsidRPr="00444EBA" w:rsidRDefault="00444EBA" w:rsidP="00444EBA">
      <w:pPr>
        <w:pStyle w:val="Prrafodelista"/>
        <w:rPr>
          <w:rFonts w:ascii="Bookman Old Style" w:eastAsia="Times New Roman" w:hAnsi="Bookman Old Style" w:cs="Times New Roman"/>
          <w:lang w:val="es-ES_tradnl" w:eastAsia="es-ES"/>
        </w:rPr>
      </w:pPr>
    </w:p>
    <w:p w14:paraId="227D625B" w14:textId="77777777" w:rsidR="00DE5054" w:rsidRPr="008F605F" w:rsidRDefault="00DE5054" w:rsidP="008734B9">
      <w:pPr>
        <w:pStyle w:val="Prrafodelista"/>
        <w:widowControl w:val="0"/>
        <w:numPr>
          <w:ilvl w:val="0"/>
          <w:numId w:val="15"/>
        </w:numPr>
        <w:adjustRightInd w:val="0"/>
        <w:spacing w:after="0" w:line="240" w:lineRule="auto"/>
        <w:ind w:left="851" w:hanging="284"/>
        <w:jc w:val="both"/>
        <w:textAlignment w:val="baseline"/>
        <w:rPr>
          <w:rFonts w:ascii="Bookman Old Style" w:eastAsia="Times New Roman" w:hAnsi="Bookman Old Style" w:cs="Times New Roman"/>
          <w:lang w:val="es-ES_tradnl" w:eastAsia="es-ES"/>
        </w:rPr>
      </w:pPr>
      <w:r w:rsidRPr="008F605F">
        <w:rPr>
          <w:rFonts w:ascii="Bookman Old Style" w:eastAsia="Times New Roman" w:hAnsi="Bookman Old Style" w:cs="Times New Roman"/>
          <w:lang w:val="es-ES_tradnl" w:eastAsia="es-ES"/>
        </w:rPr>
        <w:t>Una marca no puede ser reportada por más de un distribuidor.”</w:t>
      </w:r>
    </w:p>
    <w:p w14:paraId="3F32F94D" w14:textId="77777777" w:rsidR="00DE5054" w:rsidRDefault="00DE5054" w:rsidP="00DE5054">
      <w:pPr>
        <w:spacing w:after="0" w:line="240" w:lineRule="auto"/>
        <w:jc w:val="both"/>
        <w:rPr>
          <w:rFonts w:ascii="Bookman Old Style" w:eastAsia="Times New Roman" w:hAnsi="Bookman Old Style" w:cs="Arial"/>
          <w:spacing w:val="-5"/>
          <w:sz w:val="24"/>
          <w:szCs w:val="24"/>
        </w:rPr>
      </w:pPr>
    </w:p>
    <w:p w14:paraId="2192DA50" w14:textId="0577C956"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Teniendo en cuenta lo anterior, mediante Resolución SSPD 20141300040755 de 2014</w:t>
      </w:r>
      <w:r>
        <w:rPr>
          <w:rFonts w:ascii="Bookman Old Style" w:eastAsia="Times New Roman" w:hAnsi="Bookman Old Style" w:cs="Arial"/>
          <w:spacing w:val="-5"/>
          <w:sz w:val="24"/>
          <w:szCs w:val="24"/>
        </w:rPr>
        <w:t xml:space="preserve"> de la Superintendencia de Servicios Públicos Domiciliarios</w:t>
      </w:r>
      <w:r w:rsidR="0054084B">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se establecieron los plazos y formatos para el reporte de tal información al SUI, </w:t>
      </w:r>
      <w:r>
        <w:rPr>
          <w:rFonts w:ascii="Bookman Old Style" w:eastAsia="Times New Roman" w:hAnsi="Bookman Old Style" w:cs="Arial"/>
          <w:spacing w:val="-5"/>
          <w:sz w:val="24"/>
          <w:szCs w:val="24"/>
        </w:rPr>
        <w:t xml:space="preserve">de la misma forma que se dispuso que dicha </w:t>
      </w:r>
      <w:r w:rsidRPr="00FB2E5A">
        <w:rPr>
          <w:rFonts w:ascii="Bookman Old Style" w:eastAsia="Times New Roman" w:hAnsi="Bookman Old Style" w:cs="Arial"/>
          <w:spacing w:val="-5"/>
          <w:sz w:val="24"/>
          <w:szCs w:val="24"/>
        </w:rPr>
        <w:t xml:space="preserve">información </w:t>
      </w:r>
      <w:r>
        <w:rPr>
          <w:rFonts w:ascii="Bookman Old Style" w:eastAsia="Times New Roman" w:hAnsi="Bookman Old Style" w:cs="Arial"/>
          <w:spacing w:val="-5"/>
          <w:sz w:val="24"/>
          <w:szCs w:val="24"/>
        </w:rPr>
        <w:t xml:space="preserve">se utilizará </w:t>
      </w:r>
      <w:r w:rsidRPr="00FB2E5A">
        <w:rPr>
          <w:rFonts w:ascii="Bookman Old Style" w:eastAsia="Times New Roman" w:hAnsi="Bookman Old Style" w:cs="Arial"/>
          <w:spacing w:val="-5"/>
          <w:sz w:val="24"/>
          <w:szCs w:val="24"/>
        </w:rPr>
        <w:t>para ejercer un control de los cilindros marcados que cada agente ha introducido al mercado para atender sus usuarios.</w:t>
      </w:r>
      <w:r w:rsidRPr="00A35B73">
        <w:t xml:space="preserve"> </w:t>
      </w:r>
      <w:r>
        <w:rPr>
          <w:rFonts w:ascii="Bookman Old Style" w:eastAsia="Times New Roman" w:hAnsi="Bookman Old Style" w:cs="Arial"/>
          <w:spacing w:val="-5"/>
          <w:sz w:val="24"/>
          <w:szCs w:val="24"/>
        </w:rPr>
        <w:t>Lo anterior, atendiendo l</w:t>
      </w:r>
      <w:r w:rsidRPr="00A35B73">
        <w:rPr>
          <w:rFonts w:ascii="Bookman Old Style" w:eastAsia="Times New Roman" w:hAnsi="Bookman Old Style" w:cs="Arial"/>
          <w:spacing w:val="-5"/>
          <w:sz w:val="24"/>
          <w:szCs w:val="24"/>
        </w:rPr>
        <w:t>a información de cilindros marcados de cada agente que debe reportar al SUI</w:t>
      </w:r>
      <w:r w:rsidR="0054084B">
        <w:rPr>
          <w:rFonts w:ascii="Bookman Old Style" w:eastAsia="Times New Roman" w:hAnsi="Bookman Old Style" w:cs="Arial"/>
          <w:spacing w:val="-5"/>
          <w:sz w:val="24"/>
          <w:szCs w:val="24"/>
        </w:rPr>
        <w:t>,</w:t>
      </w:r>
      <w:r w:rsidRPr="00A35B73">
        <w:rPr>
          <w:rFonts w:ascii="Bookman Old Style" w:eastAsia="Times New Roman" w:hAnsi="Bookman Old Style" w:cs="Arial"/>
          <w:spacing w:val="-5"/>
          <w:sz w:val="24"/>
          <w:szCs w:val="24"/>
        </w:rPr>
        <w:t xml:space="preserve"> de conformidad </w:t>
      </w:r>
      <w:r w:rsidR="0054084B">
        <w:rPr>
          <w:rFonts w:ascii="Bookman Old Style" w:eastAsia="Times New Roman" w:hAnsi="Bookman Old Style" w:cs="Arial"/>
          <w:spacing w:val="-5"/>
          <w:sz w:val="24"/>
          <w:szCs w:val="24"/>
        </w:rPr>
        <w:t>con</w:t>
      </w:r>
      <w:r w:rsidR="0054084B" w:rsidRPr="00A35B73">
        <w:rPr>
          <w:rFonts w:ascii="Bookman Old Style" w:eastAsia="Times New Roman" w:hAnsi="Bookman Old Style" w:cs="Arial"/>
          <w:spacing w:val="-5"/>
          <w:sz w:val="24"/>
          <w:szCs w:val="24"/>
        </w:rPr>
        <w:t xml:space="preserve"> </w:t>
      </w:r>
      <w:r w:rsidRPr="00A35B73">
        <w:rPr>
          <w:rFonts w:ascii="Bookman Old Style" w:eastAsia="Times New Roman" w:hAnsi="Bookman Old Style" w:cs="Arial"/>
          <w:spacing w:val="-5"/>
          <w:sz w:val="24"/>
          <w:szCs w:val="24"/>
        </w:rPr>
        <w:t>las resoluciones CREG 045 d</w:t>
      </w:r>
      <w:r>
        <w:rPr>
          <w:rFonts w:ascii="Bookman Old Style" w:eastAsia="Times New Roman" w:hAnsi="Bookman Old Style" w:cs="Arial"/>
          <w:spacing w:val="-5"/>
          <w:sz w:val="24"/>
          <w:szCs w:val="24"/>
        </w:rPr>
        <w:t>e 2008 y CREG 177 de 2011.</w:t>
      </w:r>
    </w:p>
    <w:p w14:paraId="19CDF2A7" w14:textId="77777777"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14:paraId="0CE29E01" w14:textId="12291F79"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este sentido, la información oficial correspondiente a los cilindros marcados de los distribuidores, Sistema de Información de Cilindros Marcados</w:t>
      </w:r>
      <w:r w:rsidR="0054084B">
        <w:rPr>
          <w:rFonts w:ascii="Bookman Old Style" w:eastAsia="MS Mincho" w:hAnsi="Bookman Old Style" w:cs="Arial"/>
          <w:sz w:val="24"/>
          <w:szCs w:val="24"/>
          <w:lang w:val="es-ES_tradnl"/>
        </w:rPr>
        <w:t xml:space="preserve">, </w:t>
      </w:r>
      <w:r w:rsidRPr="00FB2E5A">
        <w:rPr>
          <w:rFonts w:ascii="Bookman Old Style" w:eastAsia="MS Mincho" w:hAnsi="Bookman Old Style" w:cs="Arial"/>
          <w:sz w:val="24"/>
          <w:szCs w:val="24"/>
          <w:lang w:val="es-ES_tradnl"/>
        </w:rPr>
        <w:t>SICMA</w:t>
      </w:r>
      <w:r w:rsidR="0054084B">
        <w:rPr>
          <w:rFonts w:ascii="Bookman Old Style" w:eastAsia="MS Mincho" w:hAnsi="Bookman Old Style" w:cs="Arial"/>
          <w:sz w:val="24"/>
          <w:szCs w:val="24"/>
          <w:lang w:val="es-ES_tradnl"/>
        </w:rPr>
        <w:t>,</w:t>
      </w:r>
      <w:r w:rsidR="0054084B" w:rsidRPr="00FB2E5A">
        <w:rPr>
          <w:rFonts w:ascii="Bookman Old Style" w:eastAsia="MS Mincho" w:hAnsi="Bookman Old Style" w:cs="Arial"/>
          <w:sz w:val="24"/>
          <w:szCs w:val="24"/>
          <w:lang w:val="es-ES_tradnl"/>
        </w:rPr>
        <w:t xml:space="preserve"> </w:t>
      </w:r>
      <w:r w:rsidRPr="00FB2E5A">
        <w:rPr>
          <w:rFonts w:ascii="Bookman Old Style" w:eastAsia="MS Mincho" w:hAnsi="Bookman Old Style" w:cs="Arial"/>
          <w:sz w:val="24"/>
          <w:szCs w:val="24"/>
          <w:lang w:val="es-ES_tradnl"/>
        </w:rPr>
        <w:t>a partir de la información entregada por la interventoría AIC</w:t>
      </w:r>
      <w:r>
        <w:rPr>
          <w:rFonts w:ascii="Bookman Old Style" w:eastAsia="MS Mincho" w:hAnsi="Bookman Old Style" w:cs="Arial"/>
          <w:sz w:val="24"/>
          <w:szCs w:val="24"/>
          <w:lang w:val="es-ES_tradnl"/>
        </w:rPr>
        <w:t xml:space="preserve"> proyectos, hasta el año 2012,</w:t>
      </w:r>
      <w:r w:rsidRPr="00FB2E5A">
        <w:rPr>
          <w:rFonts w:ascii="Bookman Old Style" w:eastAsia="MS Mincho" w:hAnsi="Bookman Old Style" w:cs="Arial"/>
          <w:sz w:val="24"/>
          <w:szCs w:val="24"/>
          <w:lang w:val="es-ES_tradnl"/>
        </w:rPr>
        <w:t xml:space="preserve"> la reportada por los distribuidores de GLP ante la Superintendencia, desde el año 2012 hasta la fecha, mediante la Resolución SSPD No. 20141300040755, así como la información de los tanques estacionarios atendidos por dichos agentes</w:t>
      </w:r>
      <w:r>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se encu</w:t>
      </w:r>
      <w:r>
        <w:rPr>
          <w:rFonts w:ascii="Bookman Old Style" w:eastAsia="MS Mincho" w:hAnsi="Bookman Old Style" w:cs="Arial"/>
          <w:sz w:val="24"/>
          <w:szCs w:val="24"/>
          <w:lang w:val="es-ES_tradnl"/>
        </w:rPr>
        <w:t>entra consignada en el Sistema Ú</w:t>
      </w:r>
      <w:r w:rsidRPr="00FB2E5A">
        <w:rPr>
          <w:rFonts w:ascii="Bookman Old Style" w:eastAsia="MS Mincho" w:hAnsi="Bookman Old Style" w:cs="Arial"/>
          <w:sz w:val="24"/>
          <w:szCs w:val="24"/>
          <w:lang w:val="es-ES_tradnl"/>
        </w:rPr>
        <w:t>nico de Información</w:t>
      </w:r>
      <w:r w:rsidR="0054084B">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SUI</w:t>
      </w:r>
      <w:r w:rsidR="0054084B">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de la Superintendencia de Servicios Públicos Domiciliarios</w:t>
      </w:r>
      <w:r>
        <w:rPr>
          <w:rFonts w:ascii="Bookman Old Style" w:eastAsia="MS Mincho" w:hAnsi="Bookman Old Style" w:cs="Arial"/>
          <w:sz w:val="24"/>
          <w:szCs w:val="24"/>
          <w:lang w:val="es-ES_tradnl"/>
        </w:rPr>
        <w:t>, entre otras atendiendo lo dispuesto en la Circular Conjunta CREG – SSPD 001 de 2004.</w:t>
      </w:r>
      <w:r>
        <w:rPr>
          <w:rStyle w:val="Refdenotaalpie"/>
          <w:rFonts w:ascii="Bookman Old Style" w:eastAsia="MS Mincho" w:hAnsi="Bookman Old Style" w:cs="Arial"/>
          <w:sz w:val="24"/>
          <w:szCs w:val="24"/>
          <w:lang w:val="es-ES_tradnl"/>
        </w:rPr>
        <w:footnoteReference w:id="3"/>
      </w:r>
    </w:p>
    <w:p w14:paraId="6CD43BB7" w14:textId="77777777"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14:paraId="2503D3E4" w14:textId="0ABF80B6" w:rsidR="00DE5054" w:rsidRPr="00FD101E" w:rsidRDefault="00F424D1" w:rsidP="00DE5054">
      <w:pPr>
        <w:spacing w:after="0" w:line="240" w:lineRule="auto"/>
        <w:jc w:val="both"/>
        <w:rPr>
          <w:rFonts w:ascii="Bookman Old Style" w:eastAsia="Times New Roman" w:hAnsi="Bookman Old Style" w:cs="Times New Roman"/>
          <w:sz w:val="24"/>
          <w:szCs w:val="24"/>
          <w:lang w:val="es-ES" w:eastAsia="es-ES"/>
        </w:rPr>
      </w:pPr>
      <w:r>
        <w:rPr>
          <w:rFonts w:ascii="Bookman Old Style" w:hAnsi="Bookman Old Style"/>
          <w:sz w:val="24"/>
          <w:szCs w:val="24"/>
        </w:rPr>
        <w:t>De acuerdo con</w:t>
      </w:r>
      <w:r w:rsidR="00DE5054" w:rsidRPr="00FD101E">
        <w:rPr>
          <w:rFonts w:ascii="Bookman Old Style" w:hAnsi="Bookman Old Style"/>
          <w:sz w:val="24"/>
          <w:szCs w:val="24"/>
        </w:rPr>
        <w:t xml:space="preserve"> lo anterior, la definición de la capacidad de compra </w:t>
      </w:r>
      <w:r w:rsidR="00DE5054">
        <w:rPr>
          <w:rFonts w:ascii="Bookman Old Style" w:hAnsi="Bookman Old Style"/>
          <w:sz w:val="24"/>
          <w:szCs w:val="24"/>
        </w:rPr>
        <w:t>se debe realizar</w:t>
      </w:r>
      <w:r w:rsidR="00DE5054" w:rsidRPr="00FD101E">
        <w:rPr>
          <w:rFonts w:ascii="Bookman Old Style" w:hAnsi="Bookman Old Style"/>
          <w:sz w:val="24"/>
          <w:szCs w:val="24"/>
        </w:rPr>
        <w:t xml:space="preserve"> para aquellos distribuidores que realizan la prestación </w:t>
      </w:r>
      <w:r w:rsidR="00DE5054" w:rsidRPr="00FD101E">
        <w:rPr>
          <w:rFonts w:ascii="Bookman Old Style" w:eastAsia="MS Mincho" w:hAnsi="Bookman Old Style" w:cs="Arial"/>
          <w:sz w:val="24"/>
          <w:szCs w:val="24"/>
          <w:lang w:val="es-ES_tradnl"/>
        </w:rPr>
        <w:t>del</w:t>
      </w:r>
      <w:r w:rsidR="00DE5054" w:rsidRPr="00FD101E">
        <w:rPr>
          <w:rFonts w:ascii="Bookman Old Style" w:hAnsi="Bookman Old Style"/>
          <w:sz w:val="24"/>
          <w:szCs w:val="24"/>
        </w:rPr>
        <w:t xml:space="preserve"> servicio de GLP en cilindros y/o a granel</w:t>
      </w:r>
      <w:r w:rsidR="0054084B">
        <w:rPr>
          <w:rFonts w:ascii="Bookman Old Style" w:hAnsi="Bookman Old Style"/>
          <w:sz w:val="24"/>
          <w:szCs w:val="24"/>
        </w:rPr>
        <w:t>,</w:t>
      </w:r>
      <w:r w:rsidR="00DE5054" w:rsidRPr="00FD101E">
        <w:rPr>
          <w:rFonts w:ascii="Bookman Old Style" w:hAnsi="Bookman Old Style"/>
          <w:sz w:val="24"/>
          <w:szCs w:val="24"/>
        </w:rPr>
        <w:t xml:space="preserve"> atendiendo la regulación prevista para el efecto en la Resolución CREG 023 de 2008, </w:t>
      </w:r>
      <w:r w:rsidR="00DE5054" w:rsidRPr="00FD101E">
        <w:rPr>
          <w:rFonts w:ascii="Bookman Old Style" w:eastAsia="Times New Roman" w:hAnsi="Bookman Old Style" w:cs="Times New Roman"/>
          <w:sz w:val="24"/>
          <w:szCs w:val="24"/>
          <w:lang w:val="es-ES" w:eastAsia="es-ES"/>
        </w:rPr>
        <w:t xml:space="preserve">la cual </w:t>
      </w:r>
      <w:r w:rsidR="00DE5054" w:rsidRPr="00FD101E">
        <w:rPr>
          <w:rFonts w:ascii="Bookman Old Style" w:hAnsi="Bookman Old Style"/>
          <w:sz w:val="24"/>
          <w:szCs w:val="24"/>
        </w:rPr>
        <w:t>ha definido esta actividad de la siguiente forma</w:t>
      </w:r>
      <w:r w:rsidR="00DE5054" w:rsidRPr="00FD101E">
        <w:rPr>
          <w:rFonts w:ascii="Bookman Old Style" w:eastAsia="Times New Roman" w:hAnsi="Bookman Old Style" w:cs="Times New Roman"/>
          <w:sz w:val="24"/>
          <w:szCs w:val="24"/>
          <w:lang w:val="es-ES" w:eastAsia="es-ES"/>
        </w:rPr>
        <w:t>:</w:t>
      </w:r>
    </w:p>
    <w:p w14:paraId="1EE4A7C6" w14:textId="77777777"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14:paraId="45051785" w14:textId="77777777" w:rsidR="00DE5054" w:rsidRPr="00955BE9" w:rsidRDefault="00DE5054" w:rsidP="008734B9">
      <w:pPr>
        <w:spacing w:after="0" w:line="240" w:lineRule="auto"/>
        <w:ind w:left="284"/>
        <w:jc w:val="both"/>
        <w:rPr>
          <w:rFonts w:ascii="Bookman Old Style" w:eastAsia="Times New Roman" w:hAnsi="Bookman Old Style" w:cs="Times New Roman"/>
          <w:i/>
          <w:iCs/>
          <w:lang w:val="es-ES" w:eastAsia="es-ES"/>
        </w:rPr>
      </w:pPr>
      <w:r w:rsidRPr="00955BE9">
        <w:rPr>
          <w:rFonts w:ascii="Bookman Old Style" w:eastAsia="Times New Roman" w:hAnsi="Bookman Old Style" w:cs="Times New Roman"/>
          <w:i/>
          <w:iCs/>
          <w:lang w:val="es-ES" w:eastAsia="es-ES"/>
        </w:rPr>
        <w:t>“</w:t>
      </w:r>
      <w:r w:rsidRPr="00955BE9">
        <w:rPr>
          <w:rFonts w:ascii="Bookman Old Style" w:eastAsia="Times New Roman" w:hAnsi="Bookman Old Style" w:cs="Times New Roman"/>
          <w:b/>
          <w:i/>
          <w:iCs/>
          <w:lang w:val="es-ES" w:eastAsia="es-ES"/>
        </w:rPr>
        <w:t>Distribución de GLP:</w:t>
      </w:r>
      <w:r w:rsidRPr="00955BE9">
        <w:rPr>
          <w:rFonts w:ascii="Bookman Old Style" w:eastAsia="Times New Roman" w:hAnsi="Bookman Old Style" w:cs="Times New Roman"/>
          <w:i/>
          <w:iCs/>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6F6412D2" w14:textId="77777777" w:rsidR="00DE5054" w:rsidRPr="0021729C" w:rsidRDefault="00DE5054" w:rsidP="00DE5054">
      <w:pPr>
        <w:spacing w:after="0" w:line="240" w:lineRule="auto"/>
        <w:jc w:val="both"/>
        <w:rPr>
          <w:rFonts w:ascii="Bookman Old Style" w:hAnsi="Bookman Old Style"/>
          <w:sz w:val="24"/>
          <w:szCs w:val="24"/>
        </w:rPr>
      </w:pPr>
    </w:p>
    <w:p w14:paraId="6D32E365" w14:textId="4754D4EB" w:rsidR="0067294D" w:rsidRPr="0087487D" w:rsidRDefault="00DE5054" w:rsidP="00DE5054">
      <w:pPr>
        <w:pStyle w:val="Textoindependiente2"/>
        <w:spacing w:after="0" w:line="240" w:lineRule="auto"/>
        <w:ind w:left="0"/>
        <w:jc w:val="both"/>
        <w:rPr>
          <w:rFonts w:ascii="Bookman Old Style" w:hAnsi="Bookman Old Style"/>
          <w:szCs w:val="27"/>
        </w:rPr>
      </w:pPr>
      <w:r>
        <w:rPr>
          <w:rFonts w:ascii="Bookman Old Style" w:hAnsi="Bookman Old Style"/>
          <w:szCs w:val="27"/>
        </w:rPr>
        <w:t>Dicha calidad y la realización de esta actividad se establece por parte de esta Comisión de acuerdo con lo previsto en la regulación, así como con base en la información registrada en el Sistema Único de Información</w:t>
      </w:r>
      <w:r w:rsidR="0054084B">
        <w:rPr>
          <w:rFonts w:ascii="Bookman Old Style" w:hAnsi="Bookman Old Style"/>
          <w:szCs w:val="27"/>
        </w:rPr>
        <w:t>,</w:t>
      </w:r>
      <w:r>
        <w:rPr>
          <w:rFonts w:ascii="Bookman Old Style" w:hAnsi="Bookman Old Style"/>
          <w:szCs w:val="27"/>
        </w:rPr>
        <w:t xml:space="preserve"> SUI</w:t>
      </w:r>
      <w:r w:rsidR="0054084B">
        <w:rPr>
          <w:rFonts w:ascii="Bookman Old Style" w:hAnsi="Bookman Old Style"/>
          <w:szCs w:val="27"/>
        </w:rPr>
        <w:t>,</w:t>
      </w:r>
      <w:r>
        <w:rPr>
          <w:rFonts w:ascii="Bookman Old Style" w:hAnsi="Bookman Old Style"/>
          <w:szCs w:val="27"/>
        </w:rPr>
        <w:t xml:space="preserve"> y el Registro Único de Prestadores de Servicios Públicos</w:t>
      </w:r>
      <w:r w:rsidR="0054084B">
        <w:rPr>
          <w:rFonts w:ascii="Bookman Old Style" w:hAnsi="Bookman Old Style"/>
          <w:szCs w:val="27"/>
        </w:rPr>
        <w:t>,</w:t>
      </w:r>
      <w:r>
        <w:rPr>
          <w:rFonts w:ascii="Bookman Old Style" w:hAnsi="Bookman Old Style"/>
          <w:szCs w:val="27"/>
        </w:rPr>
        <w:t xml:space="preserve"> RUPS</w:t>
      </w:r>
      <w:r w:rsidR="0054084B">
        <w:rPr>
          <w:rFonts w:ascii="Bookman Old Style" w:hAnsi="Bookman Old Style"/>
          <w:szCs w:val="27"/>
        </w:rPr>
        <w:t>,</w:t>
      </w:r>
      <w:r>
        <w:rPr>
          <w:rFonts w:ascii="Bookman Old Style" w:hAnsi="Bookman Old Style"/>
          <w:szCs w:val="27"/>
        </w:rPr>
        <w:t xml:space="preserve"> a cargo de la Superintendencia de Servicios Públicos Domiciliarios cuando se advierte la existencia de al menos uno de los siguientes eventos: i) encontrarse activo en el RUPS como distribuidor </w:t>
      </w:r>
      <w:r w:rsidRPr="0087487D">
        <w:rPr>
          <w:rFonts w:ascii="Bookman Old Style" w:hAnsi="Bookman Old Style"/>
          <w:szCs w:val="27"/>
        </w:rPr>
        <w:t xml:space="preserve">prestador del servicio en cilindros y/o a granel; ii) tener reportadas ventas de GLP en cilindros y/o tanques estacionarios a usuarios finales en el SUI; iii) contar con inversiones en cilindros y/o reportar tanques atendidos. </w:t>
      </w:r>
    </w:p>
    <w:p w14:paraId="544A831D" w14:textId="77777777" w:rsidR="00DE5054" w:rsidRPr="0087487D" w:rsidRDefault="00DE5054" w:rsidP="00DE5054">
      <w:pPr>
        <w:spacing w:after="0" w:line="240" w:lineRule="auto"/>
        <w:jc w:val="both"/>
        <w:rPr>
          <w:rFonts w:ascii="Bookman Old Style" w:eastAsia="Times New Roman" w:hAnsi="Bookman Old Style" w:cs="Arial"/>
          <w:spacing w:val="-5"/>
          <w:sz w:val="24"/>
          <w:szCs w:val="24"/>
          <w:lang w:val="es-ES_tradnl"/>
        </w:rPr>
      </w:pPr>
    </w:p>
    <w:p w14:paraId="4994DF41" w14:textId="365C0FDD" w:rsidR="00DE5054" w:rsidRDefault="00DE5054" w:rsidP="00BA57DB">
      <w:pPr>
        <w:pStyle w:val="Textoindependiente2"/>
        <w:spacing w:after="0" w:line="240" w:lineRule="auto"/>
        <w:ind w:left="0"/>
        <w:jc w:val="both"/>
        <w:rPr>
          <w:rFonts w:ascii="Bookman Old Style" w:hAnsi="Bookman Old Style"/>
        </w:rPr>
      </w:pPr>
      <w:r w:rsidRPr="34A6AC97">
        <w:rPr>
          <w:rFonts w:ascii="Bookman Old Style" w:hAnsi="Bookman Old Style"/>
        </w:rPr>
        <w:t xml:space="preserve">Mediante </w:t>
      </w:r>
      <w:r w:rsidR="00FD554B" w:rsidRPr="00F402C1">
        <w:rPr>
          <w:rFonts w:ascii="Bookman Old Style" w:hAnsi="Bookman Old Style"/>
        </w:rPr>
        <w:t>el</w:t>
      </w:r>
      <w:r w:rsidR="00483542" w:rsidRPr="00F402C1">
        <w:rPr>
          <w:rFonts w:ascii="Bookman Old Style" w:hAnsi="Bookman Old Style"/>
        </w:rPr>
        <w:t xml:space="preserve"> </w:t>
      </w:r>
      <w:r w:rsidR="00B2528A" w:rsidRPr="007B421F">
        <w:rPr>
          <w:rFonts w:ascii="Bookman Old Style" w:hAnsi="Bookman Old Style"/>
        </w:rPr>
        <w:t>Auto</w:t>
      </w:r>
      <w:r w:rsidR="00397A28" w:rsidRPr="007B421F">
        <w:rPr>
          <w:rFonts w:ascii="Bookman Old Style" w:hAnsi="Bookman Old Style"/>
        </w:rPr>
        <w:t xml:space="preserve"> No.</w:t>
      </w:r>
      <w:r w:rsidR="00B2528A" w:rsidRPr="007B421F">
        <w:rPr>
          <w:rFonts w:ascii="Bookman Old Style" w:hAnsi="Bookman Old Style"/>
        </w:rPr>
        <w:t xml:space="preserve"> </w:t>
      </w:r>
      <w:r w:rsidR="00397A28" w:rsidRPr="007B421F">
        <w:rPr>
          <w:rFonts w:ascii="Bookman Old Style" w:hAnsi="Bookman Old Style"/>
        </w:rPr>
        <w:t xml:space="preserve">003 </w:t>
      </w:r>
      <w:r w:rsidR="00B7261A" w:rsidRPr="007B421F">
        <w:rPr>
          <w:rFonts w:ascii="Bookman Old Style" w:hAnsi="Bookman Old Style"/>
        </w:rPr>
        <w:t>del 20 de enero de 2023</w:t>
      </w:r>
      <w:r w:rsidR="00CF09B5" w:rsidRPr="00F402C1">
        <w:rPr>
          <w:rFonts w:ascii="Bookman Old Style" w:hAnsi="Bookman Old Style"/>
        </w:rPr>
        <w:t xml:space="preserve">, </w:t>
      </w:r>
      <w:r w:rsidRPr="00F402C1">
        <w:rPr>
          <w:rFonts w:ascii="Bookman Old Style" w:hAnsi="Bookman Old Style"/>
        </w:rPr>
        <w:t>esta</w:t>
      </w:r>
      <w:r w:rsidRPr="34A6AC97">
        <w:rPr>
          <w:rFonts w:ascii="Bookman Old Style" w:hAnsi="Bookman Old Style"/>
        </w:rPr>
        <w:t xml:space="preserve"> Comisión informó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w:t>
      </w:r>
      <w:r w:rsidR="00BD7F15" w:rsidRPr="34A6AC97">
        <w:rPr>
          <w:rFonts w:ascii="Bookman Old Style" w:hAnsi="Bookman Old Style"/>
        </w:rPr>
        <w:t>6,</w:t>
      </w:r>
      <w:r w:rsidRPr="34A6AC97">
        <w:rPr>
          <w:rFonts w:ascii="Bookman Old Style" w:hAnsi="Bookman Old Style"/>
        </w:rPr>
        <w:t xml:space="preserve"> para el </w:t>
      </w:r>
      <w:r w:rsidR="00975653" w:rsidRPr="007B421F">
        <w:rPr>
          <w:rFonts w:ascii="Bookman Old Style" w:hAnsi="Bookman Old Style"/>
        </w:rPr>
        <w:t>décimo</w:t>
      </w:r>
      <w:r w:rsidR="00CF09B5" w:rsidRPr="007B421F">
        <w:rPr>
          <w:rFonts w:ascii="Bookman Old Style" w:hAnsi="Bookman Old Style"/>
        </w:rPr>
        <w:t xml:space="preserve"> </w:t>
      </w:r>
      <w:r w:rsidR="004126AB" w:rsidRPr="007B421F">
        <w:rPr>
          <w:rFonts w:ascii="Bookman Old Style" w:hAnsi="Bookman Old Style"/>
        </w:rPr>
        <w:t xml:space="preserve">cuarto </w:t>
      </w:r>
      <w:r w:rsidRPr="007B421F">
        <w:rPr>
          <w:rFonts w:ascii="Bookman Old Style" w:hAnsi="Bookman Old Style"/>
        </w:rPr>
        <w:t>p</w:t>
      </w:r>
      <w:r w:rsidR="009C5EF2" w:rsidRPr="007B421F">
        <w:rPr>
          <w:rFonts w:ascii="Bookman Old Style" w:hAnsi="Bookman Old Style"/>
        </w:rPr>
        <w:t>eríodo</w:t>
      </w:r>
      <w:r w:rsidRPr="007B421F">
        <w:rPr>
          <w:rFonts w:ascii="Bookman Old Style" w:hAnsi="Bookman Old Style"/>
        </w:rPr>
        <w:t xml:space="preserve"> de compra</w:t>
      </w:r>
      <w:r w:rsidRPr="34A6AC97">
        <w:rPr>
          <w:rFonts w:ascii="Bookman Old Style" w:hAnsi="Bookman Old Style"/>
        </w:rPr>
        <w:t>.</w:t>
      </w:r>
    </w:p>
    <w:p w14:paraId="039E719D" w14:textId="70795213" w:rsidR="00226BDF" w:rsidRDefault="00226BDF" w:rsidP="00BA57DB">
      <w:pPr>
        <w:pStyle w:val="Textoindependiente2"/>
        <w:spacing w:after="0" w:line="240" w:lineRule="auto"/>
        <w:ind w:left="0"/>
        <w:jc w:val="both"/>
        <w:rPr>
          <w:rFonts w:ascii="Bookman Old Style" w:hAnsi="Bookman Old Style"/>
        </w:rPr>
      </w:pPr>
    </w:p>
    <w:p w14:paraId="78B1F285" w14:textId="13D97D34" w:rsidR="00226BDF" w:rsidRDefault="00226BDF" w:rsidP="00226BDF">
      <w:pPr>
        <w:pStyle w:val="Textoindependiente2"/>
        <w:spacing w:after="0" w:line="240" w:lineRule="auto"/>
        <w:ind w:left="0"/>
        <w:jc w:val="both"/>
        <w:rPr>
          <w:rFonts w:ascii="Bookman Old Style" w:hAnsi="Bookman Old Style"/>
        </w:rPr>
      </w:pPr>
      <w:bookmarkStart w:id="0" w:name="_Hlk37682900"/>
      <w:r w:rsidRPr="34A6AC97">
        <w:rPr>
          <w:rFonts w:ascii="Bookman Old Style" w:hAnsi="Bookman Old Style"/>
        </w:rPr>
        <w:t>La Comisión de Regulación de Energía y Gas</w:t>
      </w:r>
      <w:r w:rsidR="00A47D41">
        <w:rPr>
          <w:rFonts w:ascii="Bookman Old Style" w:hAnsi="Bookman Old Style"/>
        </w:rPr>
        <w:t>,</w:t>
      </w:r>
      <w:r w:rsidRPr="34A6AC97">
        <w:rPr>
          <w:rFonts w:ascii="Bookman Old Style" w:hAnsi="Bookman Old Style"/>
        </w:rPr>
        <w:t xml:space="preserve"> mediante comunicación con radicado </w:t>
      </w:r>
      <w:r w:rsidR="00C36BCC" w:rsidRPr="00C36BCC">
        <w:rPr>
          <w:rFonts w:ascii="Bookman Old Style" w:hAnsi="Bookman Old Style"/>
        </w:rPr>
        <w:t xml:space="preserve">CREG </w:t>
      </w:r>
      <w:r w:rsidR="00C36BCC" w:rsidRPr="007B421F">
        <w:rPr>
          <w:rFonts w:ascii="Bookman Old Style" w:hAnsi="Bookman Old Style"/>
        </w:rPr>
        <w:t>S202200</w:t>
      </w:r>
      <w:r w:rsidR="00EC1F44" w:rsidRPr="007B421F">
        <w:rPr>
          <w:rFonts w:ascii="Bookman Old Style" w:hAnsi="Bookman Old Style"/>
        </w:rPr>
        <w:t>6110</w:t>
      </w:r>
      <w:r w:rsidR="00C36BCC" w:rsidRPr="007B421F">
        <w:rPr>
          <w:rFonts w:ascii="Bookman Old Style" w:hAnsi="Bookman Old Style"/>
        </w:rPr>
        <w:t xml:space="preserve"> del 1</w:t>
      </w:r>
      <w:r w:rsidR="00EC1F44" w:rsidRPr="007B421F">
        <w:rPr>
          <w:rFonts w:ascii="Bookman Old Style" w:hAnsi="Bookman Old Style"/>
        </w:rPr>
        <w:t>2</w:t>
      </w:r>
      <w:r w:rsidR="00C36BCC" w:rsidRPr="007B421F">
        <w:rPr>
          <w:rFonts w:ascii="Bookman Old Style" w:hAnsi="Bookman Old Style"/>
        </w:rPr>
        <w:t xml:space="preserve"> de </w:t>
      </w:r>
      <w:r w:rsidR="00EC1F44" w:rsidRPr="007B421F">
        <w:rPr>
          <w:rFonts w:ascii="Bookman Old Style" w:hAnsi="Bookman Old Style"/>
        </w:rPr>
        <w:t>diciembre</w:t>
      </w:r>
      <w:r w:rsidR="00C36BCC" w:rsidRPr="007B421F">
        <w:rPr>
          <w:rFonts w:ascii="Bookman Old Style" w:hAnsi="Bookman Old Style"/>
        </w:rPr>
        <w:t xml:space="preserve"> de 2022</w:t>
      </w:r>
      <w:r w:rsidR="004C07DA" w:rsidRPr="00B26B24">
        <w:rPr>
          <w:rFonts w:ascii="Bookman Old Style" w:hAnsi="Bookman Old Style"/>
        </w:rPr>
        <w:t xml:space="preserve"> </w:t>
      </w:r>
      <w:r w:rsidRPr="00F402C1">
        <w:rPr>
          <w:rFonts w:ascii="Bookman Old Style" w:hAnsi="Bookman Old Style"/>
        </w:rPr>
        <w:t>solicitó a la Superintendencia de Servicios Públicos Domiciliarios la información del</w:t>
      </w:r>
      <w:r w:rsidRPr="34A6AC97">
        <w:rPr>
          <w:rFonts w:ascii="Bookman Old Style" w:hAnsi="Bookman Old Style"/>
        </w:rPr>
        <w:t xml:space="preserve"> Sistema de Información de Cilindros Marcados</w:t>
      </w:r>
      <w:r w:rsidR="00A47D41">
        <w:rPr>
          <w:rFonts w:ascii="Bookman Old Style" w:hAnsi="Bookman Old Style"/>
        </w:rPr>
        <w:t xml:space="preserve">, </w:t>
      </w:r>
      <w:r w:rsidRPr="34A6AC97">
        <w:rPr>
          <w:rFonts w:ascii="Bookman Old Style" w:hAnsi="Bookman Old Style"/>
        </w:rPr>
        <w:t>SICMA</w:t>
      </w:r>
      <w:r w:rsidR="00A47D41">
        <w:rPr>
          <w:rFonts w:ascii="Bookman Old Style" w:hAnsi="Bookman Old Style"/>
        </w:rPr>
        <w:t>,</w:t>
      </w:r>
      <w:r w:rsidR="00A47D41" w:rsidRPr="34A6AC97">
        <w:rPr>
          <w:rFonts w:ascii="Bookman Old Style" w:hAnsi="Bookman Old Style"/>
        </w:rPr>
        <w:t xml:space="preserve"> </w:t>
      </w:r>
      <w:r w:rsidRPr="34A6AC97">
        <w:rPr>
          <w:rFonts w:ascii="Bookman Old Style" w:hAnsi="Bookman Old Style"/>
        </w:rPr>
        <w:t>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igual forma, se solicitó remitir la información de tanques estacionarios atendidos por cada distribuidor y su capacidad en galones</w:t>
      </w:r>
      <w:r w:rsidR="00A47D41">
        <w:rPr>
          <w:rFonts w:ascii="Bookman Old Style" w:hAnsi="Bookman Old Style"/>
        </w:rPr>
        <w:t>,</w:t>
      </w:r>
      <w:r w:rsidRPr="34A6AC97">
        <w:rPr>
          <w:rFonts w:ascii="Bookman Old Style" w:hAnsi="Bookman Old Style"/>
        </w:rPr>
        <w:t xml:space="preserve"> de acuerdo con lo reportado a la Superintendencia de Servicios Públicos Domiciliarios, en el Sistema Único de Información</w:t>
      </w:r>
      <w:r w:rsidR="00A47D41">
        <w:rPr>
          <w:rFonts w:ascii="Bookman Old Style" w:hAnsi="Bookman Old Style"/>
        </w:rPr>
        <w:t>,</w:t>
      </w:r>
      <w:r w:rsidRPr="34A6AC97">
        <w:rPr>
          <w:rFonts w:ascii="Bookman Old Style" w:hAnsi="Bookman Old Style"/>
        </w:rPr>
        <w:t xml:space="preserve"> SUI</w:t>
      </w:r>
      <w:r w:rsidR="00A47D41">
        <w:rPr>
          <w:rFonts w:ascii="Bookman Old Style" w:hAnsi="Bookman Old Style"/>
        </w:rPr>
        <w:t>,</w:t>
      </w:r>
      <w:r w:rsidRPr="34A6AC97">
        <w:rPr>
          <w:rFonts w:ascii="Bookman Old Style" w:hAnsi="Bookman Old Style"/>
        </w:rPr>
        <w:t xml:space="preserve"> con base lo dispuesto en las Circulares SSPD – CREG 001 de 2004 y 001 de 2017. </w:t>
      </w:r>
    </w:p>
    <w:p w14:paraId="0BBDAD34" w14:textId="77777777" w:rsidR="00226BDF" w:rsidRDefault="00226BDF" w:rsidP="00226BDF">
      <w:pPr>
        <w:pStyle w:val="Textoindependiente2"/>
        <w:spacing w:after="0" w:line="240" w:lineRule="auto"/>
        <w:ind w:left="0"/>
        <w:jc w:val="both"/>
        <w:rPr>
          <w:rFonts w:ascii="Bookman Old Style" w:hAnsi="Bookman Old Style"/>
        </w:rPr>
      </w:pPr>
    </w:p>
    <w:p w14:paraId="7B4ADDB0" w14:textId="3EDB3FA5" w:rsidR="00922F32" w:rsidRPr="00226BDF" w:rsidRDefault="003D54D2" w:rsidP="00226BDF">
      <w:pPr>
        <w:pStyle w:val="Textoindependiente2"/>
        <w:spacing w:after="0" w:line="240" w:lineRule="auto"/>
        <w:ind w:left="0"/>
        <w:jc w:val="both"/>
        <w:rPr>
          <w:rFonts w:ascii="Bookman Old Style" w:hAnsi="Bookman Old Style"/>
        </w:rPr>
      </w:pPr>
      <w:r w:rsidRPr="003D54D2">
        <w:rPr>
          <w:rFonts w:ascii="Bookman Old Style" w:hAnsi="Bookman Old Style"/>
        </w:rPr>
        <w:t xml:space="preserve">La Superintendencia de Servicios Públicos Domiciliarios atendió este requerimiento mediante la comunicación </w:t>
      </w:r>
      <w:r w:rsidRPr="007B421F">
        <w:rPr>
          <w:rFonts w:ascii="Bookman Old Style" w:hAnsi="Bookman Old Style"/>
        </w:rPr>
        <w:t xml:space="preserve">SSPD </w:t>
      </w:r>
      <w:r w:rsidR="00141AE1" w:rsidRPr="007B421F">
        <w:rPr>
          <w:rFonts w:ascii="Bookman Old Style" w:hAnsi="Bookman Old Style"/>
        </w:rPr>
        <w:t>20222306058981</w:t>
      </w:r>
      <w:r w:rsidRPr="007B421F">
        <w:rPr>
          <w:rFonts w:ascii="Bookman Old Style" w:hAnsi="Bookman Old Style"/>
        </w:rPr>
        <w:t xml:space="preserve"> radicado CREG E2022</w:t>
      </w:r>
      <w:r w:rsidR="001153C0" w:rsidRPr="007B421F">
        <w:rPr>
          <w:rFonts w:ascii="Bookman Old Style" w:hAnsi="Bookman Old Style"/>
        </w:rPr>
        <w:t>016045</w:t>
      </w:r>
      <w:r w:rsidRPr="007B421F">
        <w:rPr>
          <w:rFonts w:ascii="Bookman Old Style" w:hAnsi="Bookman Old Style"/>
        </w:rPr>
        <w:t xml:space="preserve"> del 2</w:t>
      </w:r>
      <w:r w:rsidR="001153C0" w:rsidRPr="007B421F">
        <w:rPr>
          <w:rFonts w:ascii="Bookman Old Style" w:hAnsi="Bookman Old Style"/>
        </w:rPr>
        <w:t>7</w:t>
      </w:r>
      <w:r w:rsidRPr="007B421F">
        <w:rPr>
          <w:rFonts w:ascii="Bookman Old Style" w:hAnsi="Bookman Old Style"/>
        </w:rPr>
        <w:t xml:space="preserve"> de </w:t>
      </w:r>
      <w:r w:rsidR="001153C0" w:rsidRPr="007B421F">
        <w:rPr>
          <w:rFonts w:ascii="Bookman Old Style" w:hAnsi="Bookman Old Style"/>
        </w:rPr>
        <w:t>diciembre</w:t>
      </w:r>
      <w:r w:rsidRPr="007B421F">
        <w:rPr>
          <w:rFonts w:ascii="Bookman Old Style" w:hAnsi="Bookman Old Style"/>
        </w:rPr>
        <w:t xml:space="preserve"> de 2022</w:t>
      </w:r>
      <w:r w:rsidR="00226BDF" w:rsidRPr="00F402C1">
        <w:rPr>
          <w:rFonts w:ascii="Bookman Old Style" w:hAnsi="Bookman Old Style"/>
        </w:rPr>
        <w:t>.</w:t>
      </w:r>
      <w:bookmarkEnd w:id="0"/>
      <w:r w:rsidR="00226BDF" w:rsidRPr="00F402C1">
        <w:rPr>
          <w:rFonts w:ascii="Bookman Old Style" w:hAnsi="Bookman Old Style"/>
        </w:rPr>
        <w:t xml:space="preserve"> </w:t>
      </w:r>
      <w:r w:rsidR="00106051">
        <w:rPr>
          <w:rFonts w:ascii="Bookman Old Style" w:hAnsi="Bookman Old Style"/>
        </w:rPr>
        <w:t xml:space="preserve">En </w:t>
      </w:r>
      <w:r w:rsidR="00226BDF">
        <w:rPr>
          <w:rFonts w:ascii="Bookman Old Style" w:hAnsi="Bookman Old Style"/>
        </w:rPr>
        <w:t>esta</w:t>
      </w:r>
      <w:r w:rsidR="0093522B" w:rsidRPr="0087487D">
        <w:rPr>
          <w:rFonts w:ascii="Bookman Old Style" w:hAnsi="Bookman Old Style"/>
        </w:rPr>
        <w:t xml:space="preserve"> comunicac</w:t>
      </w:r>
      <w:r w:rsidR="00106051">
        <w:rPr>
          <w:rFonts w:ascii="Bookman Old Style" w:hAnsi="Bookman Old Style"/>
        </w:rPr>
        <w:t xml:space="preserve">ión, </w:t>
      </w:r>
      <w:bookmarkStart w:id="1" w:name="_Hlk125705438"/>
      <w:r w:rsidR="00DE5054" w:rsidRPr="0087487D">
        <w:rPr>
          <w:rFonts w:ascii="Bookman Old Style" w:hAnsi="Bookman Old Style"/>
        </w:rPr>
        <w:t>la Superintendencia</w:t>
      </w:r>
      <w:r w:rsidR="00A47D41">
        <w:rPr>
          <w:rFonts w:ascii="Bookman Old Style" w:hAnsi="Bookman Old Style"/>
        </w:rPr>
        <w:t>,</w:t>
      </w:r>
      <w:r w:rsidR="00DE5054" w:rsidRPr="0087487D">
        <w:rPr>
          <w:rFonts w:ascii="Bookman Old Style" w:hAnsi="Bookman Old Style"/>
        </w:rPr>
        <w:t xml:space="preserve"> </w:t>
      </w:r>
      <w:r w:rsidR="008C7C6D" w:rsidRPr="0087487D">
        <w:rPr>
          <w:rFonts w:ascii="Bookman Old Style" w:hAnsi="Bookman Old Style"/>
        </w:rPr>
        <w:t>a través de la Superintendencia Delegada de Energía y Gas</w:t>
      </w:r>
      <w:r w:rsidR="008C7C6D">
        <w:rPr>
          <w:rFonts w:ascii="Bookman Old Style" w:hAnsi="Bookman Old Style"/>
        </w:rPr>
        <w:t xml:space="preserve"> Combustible</w:t>
      </w:r>
      <w:bookmarkEnd w:id="1"/>
      <w:r w:rsidR="00A47D41">
        <w:rPr>
          <w:rFonts w:ascii="Bookman Old Style" w:hAnsi="Bookman Old Style"/>
        </w:rPr>
        <w:t>,</w:t>
      </w:r>
      <w:r w:rsidR="008C7C6D">
        <w:rPr>
          <w:rFonts w:ascii="Bookman Old Style" w:hAnsi="Bookman Old Style"/>
        </w:rPr>
        <w:t xml:space="preserve"> </w:t>
      </w:r>
      <w:r w:rsidR="00DE5054" w:rsidRPr="00981490">
        <w:rPr>
          <w:rFonts w:ascii="Bookman Old Style" w:hAnsi="Bookman Old Style"/>
        </w:rPr>
        <w:t>expuso lo siguiente:</w:t>
      </w:r>
    </w:p>
    <w:p w14:paraId="02279D75" w14:textId="77777777" w:rsidR="00B56135" w:rsidRDefault="00B56135" w:rsidP="00B56135">
      <w:pPr>
        <w:pStyle w:val="Textoindependiente2"/>
        <w:spacing w:after="0" w:line="240" w:lineRule="auto"/>
        <w:ind w:right="284"/>
        <w:jc w:val="both"/>
        <w:rPr>
          <w:rFonts w:ascii="Bookman Old Style" w:hAnsi="Bookman Old Style"/>
          <w:i/>
          <w:sz w:val="22"/>
          <w:szCs w:val="22"/>
        </w:rPr>
      </w:pPr>
    </w:p>
    <w:p w14:paraId="2654A00A" w14:textId="3182F740" w:rsidR="001F1653" w:rsidRDefault="00B56135" w:rsidP="008734B9">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p>
    <w:p w14:paraId="28AC1965" w14:textId="13647891" w:rsidR="00195BDE" w:rsidRPr="007D192B" w:rsidRDefault="00721E94" w:rsidP="008734B9">
      <w:pPr>
        <w:pStyle w:val="Textoindependiente2"/>
        <w:numPr>
          <w:ilvl w:val="0"/>
          <w:numId w:val="28"/>
        </w:numPr>
        <w:spacing w:after="0" w:line="240" w:lineRule="auto"/>
        <w:jc w:val="both"/>
        <w:rPr>
          <w:rFonts w:ascii="Bookman Old Style" w:hAnsi="Bookman Old Style"/>
          <w:i/>
          <w:sz w:val="22"/>
          <w:szCs w:val="22"/>
          <w:lang w:val="es-CO"/>
        </w:rPr>
      </w:pPr>
      <w:r w:rsidRPr="007D192B">
        <w:rPr>
          <w:rFonts w:ascii="Bookman Old Style" w:hAnsi="Bookman Old Style"/>
          <w:i/>
          <w:sz w:val="22"/>
          <w:szCs w:val="22"/>
          <w:lang w:val="es-CO"/>
        </w:rPr>
        <w:t xml:space="preserve">Fecha de consulta de información: </w:t>
      </w:r>
      <w:r w:rsidR="00212A47" w:rsidRPr="00212A47">
        <w:rPr>
          <w:rFonts w:ascii="Bookman Old Style" w:hAnsi="Bookman Old Style"/>
          <w:i/>
          <w:sz w:val="22"/>
          <w:szCs w:val="22"/>
          <w:lang w:val="es-CO"/>
        </w:rPr>
        <w:t>23 de diciembre de 2022</w:t>
      </w:r>
      <w:r w:rsidRPr="007D192B">
        <w:rPr>
          <w:rFonts w:ascii="Bookman Old Style" w:hAnsi="Bookman Old Style"/>
          <w:i/>
          <w:sz w:val="22"/>
          <w:szCs w:val="22"/>
          <w:lang w:val="es-CO"/>
        </w:rPr>
        <w:t>.</w:t>
      </w:r>
    </w:p>
    <w:p w14:paraId="3233EF27" w14:textId="41AC0E58" w:rsidR="00195BDE" w:rsidRPr="007D192B" w:rsidRDefault="00721E94" w:rsidP="008734B9">
      <w:pPr>
        <w:pStyle w:val="Textoindependiente2"/>
        <w:numPr>
          <w:ilvl w:val="0"/>
          <w:numId w:val="28"/>
        </w:numPr>
        <w:spacing w:after="0" w:line="240" w:lineRule="auto"/>
        <w:jc w:val="both"/>
        <w:rPr>
          <w:rFonts w:ascii="Bookman Old Style" w:hAnsi="Bookman Old Style"/>
          <w:i/>
          <w:sz w:val="22"/>
          <w:szCs w:val="22"/>
          <w:lang w:val="es-CO"/>
        </w:rPr>
      </w:pPr>
      <w:r w:rsidRPr="007D192B">
        <w:rPr>
          <w:rFonts w:ascii="Bookman Old Style" w:hAnsi="Bookman Old Style"/>
          <w:i/>
          <w:sz w:val="22"/>
          <w:szCs w:val="22"/>
          <w:lang w:val="es-CO"/>
        </w:rPr>
        <w:t>Modo de envío: Archivo adjunto donde se encuentra la información así:</w:t>
      </w:r>
    </w:p>
    <w:p w14:paraId="4946FD5E" w14:textId="77777777" w:rsidR="00195BDE" w:rsidRPr="007D192B" w:rsidRDefault="00195BDE" w:rsidP="008734B9">
      <w:pPr>
        <w:pStyle w:val="Textoindependiente2"/>
        <w:spacing w:after="0" w:line="240" w:lineRule="auto"/>
        <w:jc w:val="both"/>
        <w:rPr>
          <w:rFonts w:ascii="Bookman Old Style" w:hAnsi="Bookman Old Style"/>
          <w:i/>
          <w:sz w:val="22"/>
          <w:szCs w:val="22"/>
          <w:lang w:val="es-CO"/>
        </w:rPr>
      </w:pPr>
    </w:p>
    <w:p w14:paraId="259F8EBE" w14:textId="77777777" w:rsidR="00195BDE" w:rsidRPr="007D192B" w:rsidRDefault="00721E94" w:rsidP="008734B9">
      <w:pPr>
        <w:pStyle w:val="Textoindependiente2"/>
        <w:spacing w:after="0" w:line="240" w:lineRule="auto"/>
        <w:jc w:val="both"/>
        <w:rPr>
          <w:rFonts w:ascii="Bookman Old Style" w:hAnsi="Bookman Old Style"/>
          <w:i/>
          <w:sz w:val="22"/>
          <w:szCs w:val="22"/>
          <w:lang w:val="es-CO"/>
        </w:rPr>
      </w:pPr>
      <w:r w:rsidRPr="007D192B">
        <w:rPr>
          <w:rFonts w:ascii="Bookman Old Style" w:hAnsi="Bookman Old Style"/>
          <w:i/>
          <w:sz w:val="22"/>
          <w:szCs w:val="22"/>
          <w:lang w:val="es-CO"/>
        </w:rPr>
        <w:t>1.INFORMACIÓN DE CILINDROS ACTIVOS</w:t>
      </w:r>
    </w:p>
    <w:p w14:paraId="60DE55F5" w14:textId="77777777" w:rsidR="00195BDE" w:rsidRPr="007D192B" w:rsidRDefault="00195BDE" w:rsidP="008734B9">
      <w:pPr>
        <w:pStyle w:val="Textoindependiente2"/>
        <w:spacing w:after="0" w:line="240" w:lineRule="auto"/>
        <w:jc w:val="both"/>
        <w:rPr>
          <w:rFonts w:ascii="Bookman Old Style" w:hAnsi="Bookman Old Style"/>
          <w:i/>
          <w:sz w:val="22"/>
          <w:szCs w:val="22"/>
          <w:lang w:val="es-CO"/>
        </w:rPr>
      </w:pPr>
    </w:p>
    <w:p w14:paraId="36F6D4E3" w14:textId="77777777" w:rsidR="00892917" w:rsidRPr="007D192B" w:rsidRDefault="00892917" w:rsidP="008734B9">
      <w:pPr>
        <w:pStyle w:val="Textoindependiente2"/>
        <w:spacing w:after="0" w:line="240" w:lineRule="auto"/>
        <w:jc w:val="both"/>
        <w:rPr>
          <w:rFonts w:ascii="Bookman Old Style" w:hAnsi="Bookman Old Style"/>
          <w:i/>
          <w:sz w:val="22"/>
          <w:szCs w:val="22"/>
          <w:lang w:val="es-CO"/>
        </w:rPr>
      </w:pPr>
      <w:r w:rsidRPr="007D192B">
        <w:rPr>
          <w:rFonts w:ascii="Bookman Old Style" w:hAnsi="Bookman Old Style"/>
          <w:i/>
          <w:sz w:val="22"/>
          <w:szCs w:val="22"/>
          <w:lang w:val="es-CO"/>
        </w:rPr>
        <w:t xml:space="preserve">En este archivo se encuentra la información consolidada de Cilindros Migrados del SICMA por ACI Proyectos y la información Técnica del Parque de Cilindros Marcados, donde se relacionan los datos reportados al Sistema Único de Información – SUI, a partir de octubre de 2012, de acuerdo con lo establecido en Resolución SSPD No. 20141300040755 de 2014. </w:t>
      </w:r>
    </w:p>
    <w:p w14:paraId="7C24B5DF" w14:textId="77777777" w:rsidR="00892917" w:rsidRPr="007D192B" w:rsidRDefault="00892917" w:rsidP="008734B9">
      <w:pPr>
        <w:pStyle w:val="Textoindependiente2"/>
        <w:spacing w:after="0" w:line="240" w:lineRule="auto"/>
        <w:jc w:val="both"/>
        <w:rPr>
          <w:rFonts w:ascii="Bookman Old Style" w:hAnsi="Bookman Old Style"/>
          <w:i/>
          <w:sz w:val="22"/>
          <w:szCs w:val="22"/>
          <w:lang w:val="es-CO"/>
        </w:rPr>
      </w:pPr>
    </w:p>
    <w:p w14:paraId="0C9F1D06" w14:textId="276217FC" w:rsidR="00892917" w:rsidRPr="007D192B" w:rsidRDefault="00892917" w:rsidP="008734B9">
      <w:pPr>
        <w:pStyle w:val="Textoindependiente2"/>
        <w:spacing w:after="0" w:line="240" w:lineRule="auto"/>
        <w:jc w:val="both"/>
        <w:rPr>
          <w:rFonts w:ascii="Bookman Old Style" w:hAnsi="Bookman Old Style"/>
          <w:i/>
          <w:sz w:val="22"/>
          <w:szCs w:val="22"/>
          <w:lang w:val="es-CO"/>
        </w:rPr>
      </w:pPr>
      <w:r w:rsidRPr="007D192B">
        <w:rPr>
          <w:rFonts w:ascii="Bookman Old Style" w:hAnsi="Bookman Old Style"/>
          <w:i/>
          <w:sz w:val="22"/>
          <w:szCs w:val="22"/>
          <w:lang w:val="es-CO"/>
        </w:rPr>
        <w:lastRenderedPageBreak/>
        <w:t>En resumen, la información enviada es la siguiente:</w:t>
      </w:r>
    </w:p>
    <w:p w14:paraId="793EEEA4" w14:textId="77777777" w:rsidR="00892917" w:rsidRPr="007D192B" w:rsidRDefault="00892917" w:rsidP="008734B9">
      <w:pPr>
        <w:pStyle w:val="Textoindependiente2"/>
        <w:spacing w:after="0" w:line="240" w:lineRule="auto"/>
        <w:jc w:val="both"/>
        <w:rPr>
          <w:rFonts w:ascii="Bookman Old Style" w:hAnsi="Bookman Old Style"/>
          <w:i/>
          <w:sz w:val="22"/>
          <w:szCs w:val="22"/>
          <w:lang w:val="es-CO"/>
        </w:rPr>
      </w:pPr>
    </w:p>
    <w:p w14:paraId="6A5A1504" w14:textId="77777777" w:rsidR="003D33BD" w:rsidRDefault="003D33BD" w:rsidP="003D33BD">
      <w:pPr>
        <w:pStyle w:val="Textoindependiente2"/>
        <w:numPr>
          <w:ilvl w:val="0"/>
          <w:numId w:val="29"/>
        </w:numPr>
        <w:spacing w:after="0" w:line="240" w:lineRule="auto"/>
        <w:jc w:val="both"/>
        <w:rPr>
          <w:rFonts w:ascii="Bookman Old Style" w:hAnsi="Bookman Old Style"/>
          <w:i/>
          <w:sz w:val="22"/>
          <w:szCs w:val="22"/>
          <w:lang w:val="es-CO"/>
        </w:rPr>
      </w:pPr>
      <w:r w:rsidRPr="003D33BD">
        <w:rPr>
          <w:rFonts w:ascii="Bookman Old Style" w:hAnsi="Bookman Old Style"/>
          <w:i/>
          <w:sz w:val="22"/>
          <w:szCs w:val="22"/>
          <w:lang w:val="es-CO"/>
        </w:rPr>
        <w:t xml:space="preserve">Cantidad de empresas operativas con cilindros en base de datos: 40 </w:t>
      </w:r>
    </w:p>
    <w:p w14:paraId="633B3B3B" w14:textId="77777777" w:rsidR="003D33BD" w:rsidRDefault="003D33BD" w:rsidP="003D33BD">
      <w:pPr>
        <w:pStyle w:val="Textoindependiente2"/>
        <w:numPr>
          <w:ilvl w:val="0"/>
          <w:numId w:val="29"/>
        </w:numPr>
        <w:spacing w:after="0" w:line="240" w:lineRule="auto"/>
        <w:jc w:val="both"/>
        <w:rPr>
          <w:rFonts w:ascii="Bookman Old Style" w:hAnsi="Bookman Old Style"/>
          <w:i/>
          <w:sz w:val="22"/>
          <w:szCs w:val="22"/>
          <w:lang w:val="es-CO"/>
        </w:rPr>
      </w:pPr>
      <w:r w:rsidRPr="003D33BD">
        <w:rPr>
          <w:rFonts w:ascii="Bookman Old Style" w:hAnsi="Bookman Old Style"/>
          <w:i/>
          <w:sz w:val="22"/>
          <w:szCs w:val="22"/>
          <w:lang w:val="es-CO"/>
        </w:rPr>
        <w:t xml:space="preserve">Cantidad de marcas que registran cilindros en la base de datos: 75 </w:t>
      </w:r>
    </w:p>
    <w:p w14:paraId="2821B4D5" w14:textId="205E7856" w:rsidR="003D33BD" w:rsidRDefault="003D33BD" w:rsidP="003D33BD">
      <w:pPr>
        <w:pStyle w:val="Textoindependiente2"/>
        <w:numPr>
          <w:ilvl w:val="0"/>
          <w:numId w:val="29"/>
        </w:numPr>
        <w:spacing w:after="0" w:line="240" w:lineRule="auto"/>
        <w:jc w:val="both"/>
        <w:rPr>
          <w:rFonts w:ascii="Bookman Old Style" w:hAnsi="Bookman Old Style"/>
          <w:i/>
          <w:sz w:val="22"/>
          <w:szCs w:val="22"/>
          <w:lang w:val="es-CO"/>
        </w:rPr>
      </w:pPr>
      <w:r w:rsidRPr="003D33BD">
        <w:rPr>
          <w:rFonts w:ascii="Bookman Old Style" w:hAnsi="Bookman Old Style"/>
          <w:i/>
          <w:sz w:val="22"/>
          <w:szCs w:val="22"/>
          <w:lang w:val="es-CO"/>
        </w:rPr>
        <w:t>Cantidad de cilindros en la base de datos: 11.565.502</w:t>
      </w:r>
    </w:p>
    <w:p w14:paraId="1B8998C5" w14:textId="77777777" w:rsidR="003D33BD" w:rsidRDefault="003D33BD" w:rsidP="003F4122">
      <w:pPr>
        <w:pStyle w:val="Textoindependiente2"/>
        <w:spacing w:after="0" w:line="240" w:lineRule="auto"/>
        <w:jc w:val="both"/>
        <w:rPr>
          <w:rFonts w:ascii="Bookman Old Style" w:hAnsi="Bookman Old Style"/>
          <w:i/>
          <w:sz w:val="22"/>
          <w:szCs w:val="22"/>
          <w:lang w:val="es-CO"/>
        </w:rPr>
      </w:pPr>
    </w:p>
    <w:p w14:paraId="450CE5EA" w14:textId="06ACCF70" w:rsidR="009C001D" w:rsidRDefault="002C5A6B" w:rsidP="003F4122">
      <w:pPr>
        <w:pStyle w:val="Textoindependiente2"/>
        <w:spacing w:after="0" w:line="240" w:lineRule="auto"/>
        <w:jc w:val="both"/>
        <w:rPr>
          <w:rFonts w:ascii="Bookman Old Style" w:hAnsi="Bookman Old Style"/>
          <w:i/>
          <w:sz w:val="22"/>
          <w:szCs w:val="22"/>
          <w:lang w:val="es-CO"/>
        </w:rPr>
      </w:pPr>
      <w:r w:rsidRPr="002C5A6B">
        <w:rPr>
          <w:rFonts w:ascii="Bookman Old Style" w:hAnsi="Bookman Old Style"/>
          <w:i/>
          <w:sz w:val="22"/>
          <w:szCs w:val="22"/>
          <w:lang w:val="es-CO"/>
        </w:rPr>
        <w:t>Asimismo,</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Dirección</w:t>
      </w:r>
      <w:r>
        <w:rPr>
          <w:rFonts w:ascii="Bookman Old Style" w:hAnsi="Bookman Old Style"/>
          <w:i/>
          <w:sz w:val="22"/>
          <w:szCs w:val="22"/>
          <w:lang w:val="es-CO"/>
        </w:rPr>
        <w:t xml:space="preserve"> </w:t>
      </w:r>
      <w:r w:rsidRPr="002C5A6B">
        <w:rPr>
          <w:rFonts w:ascii="Bookman Old Style" w:hAnsi="Bookman Old Style"/>
          <w:i/>
          <w:sz w:val="22"/>
          <w:szCs w:val="22"/>
          <w:lang w:val="es-CO"/>
        </w:rPr>
        <w:t>Técnica</w:t>
      </w:r>
      <w:r>
        <w:rPr>
          <w:rFonts w:ascii="Bookman Old Style" w:hAnsi="Bookman Old Style"/>
          <w:i/>
          <w:sz w:val="22"/>
          <w:szCs w:val="22"/>
          <w:lang w:val="es-CO"/>
        </w:rPr>
        <w:t xml:space="preserve"> </w:t>
      </w:r>
      <w:r w:rsidRPr="002C5A6B">
        <w:rPr>
          <w:rFonts w:ascii="Bookman Old Style" w:hAnsi="Bookman Old Style"/>
          <w:i/>
          <w:sz w:val="22"/>
          <w:szCs w:val="22"/>
          <w:lang w:val="es-CO"/>
        </w:rPr>
        <w:t>de</w:t>
      </w:r>
      <w:r>
        <w:rPr>
          <w:rFonts w:ascii="Bookman Old Style" w:hAnsi="Bookman Old Style"/>
          <w:i/>
          <w:sz w:val="22"/>
          <w:szCs w:val="22"/>
          <w:lang w:val="es-CO"/>
        </w:rPr>
        <w:t xml:space="preserve"> </w:t>
      </w:r>
      <w:r w:rsidRPr="002C5A6B">
        <w:rPr>
          <w:rFonts w:ascii="Bookman Old Style" w:hAnsi="Bookman Old Style"/>
          <w:i/>
          <w:sz w:val="22"/>
          <w:szCs w:val="22"/>
          <w:lang w:val="es-CO"/>
        </w:rPr>
        <w:t>Gestión</w:t>
      </w:r>
      <w:r>
        <w:rPr>
          <w:rFonts w:ascii="Bookman Old Style" w:hAnsi="Bookman Old Style"/>
          <w:i/>
          <w:sz w:val="22"/>
          <w:szCs w:val="22"/>
          <w:lang w:val="es-CO"/>
        </w:rPr>
        <w:t xml:space="preserve"> </w:t>
      </w:r>
      <w:r w:rsidRPr="002C5A6B">
        <w:rPr>
          <w:rFonts w:ascii="Bookman Old Style" w:hAnsi="Bookman Old Style"/>
          <w:i/>
          <w:sz w:val="22"/>
          <w:szCs w:val="22"/>
          <w:lang w:val="es-CO"/>
        </w:rPr>
        <w:t>de</w:t>
      </w:r>
      <w:r>
        <w:rPr>
          <w:rFonts w:ascii="Bookman Old Style" w:hAnsi="Bookman Old Style"/>
          <w:i/>
          <w:sz w:val="22"/>
          <w:szCs w:val="22"/>
          <w:lang w:val="es-CO"/>
        </w:rPr>
        <w:t xml:space="preserve"> </w:t>
      </w:r>
      <w:r w:rsidRPr="002C5A6B">
        <w:rPr>
          <w:rFonts w:ascii="Bookman Old Style" w:hAnsi="Bookman Old Style"/>
          <w:i/>
          <w:sz w:val="22"/>
          <w:szCs w:val="22"/>
          <w:lang w:val="es-CO"/>
        </w:rPr>
        <w:t>Gas</w:t>
      </w:r>
      <w:r>
        <w:rPr>
          <w:rFonts w:ascii="Bookman Old Style" w:hAnsi="Bookman Old Style"/>
          <w:i/>
          <w:sz w:val="22"/>
          <w:szCs w:val="22"/>
          <w:lang w:val="es-CO"/>
        </w:rPr>
        <w:t xml:space="preserve"> </w:t>
      </w:r>
      <w:r w:rsidRPr="002C5A6B">
        <w:rPr>
          <w:rFonts w:ascii="Bookman Old Style" w:hAnsi="Bookman Old Style"/>
          <w:i/>
          <w:sz w:val="22"/>
          <w:szCs w:val="22"/>
          <w:lang w:val="es-CO"/>
        </w:rPr>
        <w:t>Combustible</w:t>
      </w:r>
      <w:r>
        <w:rPr>
          <w:rFonts w:ascii="Bookman Old Style" w:hAnsi="Bookman Old Style"/>
          <w:i/>
          <w:sz w:val="22"/>
          <w:szCs w:val="22"/>
          <w:lang w:val="es-CO"/>
        </w:rPr>
        <w:t xml:space="preserve"> </w:t>
      </w:r>
      <w:r w:rsidRPr="002C5A6B">
        <w:rPr>
          <w:rFonts w:ascii="Bookman Old Style" w:hAnsi="Bookman Old Style"/>
          <w:i/>
          <w:sz w:val="22"/>
          <w:szCs w:val="22"/>
          <w:lang w:val="es-CO"/>
        </w:rPr>
        <w:t>(DTGGC)</w:t>
      </w:r>
      <w:r>
        <w:rPr>
          <w:rFonts w:ascii="Bookman Old Style" w:hAnsi="Bookman Old Style"/>
          <w:i/>
          <w:sz w:val="22"/>
          <w:szCs w:val="22"/>
          <w:lang w:val="es-CO"/>
        </w:rPr>
        <w:t xml:space="preserve"> </w:t>
      </w:r>
      <w:r w:rsidRPr="002C5A6B">
        <w:rPr>
          <w:rFonts w:ascii="Bookman Old Style" w:hAnsi="Bookman Old Style"/>
          <w:i/>
          <w:sz w:val="22"/>
          <w:szCs w:val="22"/>
          <w:lang w:val="es-CO"/>
        </w:rPr>
        <w:t>considera</w:t>
      </w:r>
      <w:r>
        <w:rPr>
          <w:rFonts w:ascii="Bookman Old Style" w:hAnsi="Bookman Old Style"/>
          <w:i/>
          <w:sz w:val="22"/>
          <w:szCs w:val="22"/>
          <w:lang w:val="es-CO"/>
        </w:rPr>
        <w:t xml:space="preserve"> </w:t>
      </w:r>
      <w:r w:rsidRPr="002C5A6B">
        <w:rPr>
          <w:rFonts w:ascii="Bookman Old Style" w:hAnsi="Bookman Old Style"/>
          <w:i/>
          <w:sz w:val="22"/>
          <w:szCs w:val="22"/>
          <w:lang w:val="es-CO"/>
        </w:rPr>
        <w:t>oportuno</w:t>
      </w:r>
      <w:r>
        <w:rPr>
          <w:rFonts w:ascii="Bookman Old Style" w:hAnsi="Bookman Old Style"/>
          <w:i/>
          <w:sz w:val="22"/>
          <w:szCs w:val="22"/>
          <w:lang w:val="es-CO"/>
        </w:rPr>
        <w:t xml:space="preserve"> i</w:t>
      </w:r>
      <w:r w:rsidRPr="002C5A6B">
        <w:rPr>
          <w:rFonts w:ascii="Bookman Old Style" w:hAnsi="Bookman Old Style"/>
          <w:i/>
          <w:sz w:val="22"/>
          <w:szCs w:val="22"/>
          <w:lang w:val="es-CO"/>
        </w:rPr>
        <w:t>nformarles</w:t>
      </w:r>
      <w:r>
        <w:rPr>
          <w:rFonts w:ascii="Bookman Old Style" w:hAnsi="Bookman Old Style"/>
          <w:i/>
          <w:sz w:val="22"/>
          <w:szCs w:val="22"/>
          <w:lang w:val="es-CO"/>
        </w:rPr>
        <w:t xml:space="preserve"> </w:t>
      </w:r>
      <w:r w:rsidRPr="002C5A6B">
        <w:rPr>
          <w:rFonts w:ascii="Bookman Old Style" w:hAnsi="Bookman Old Style"/>
          <w:i/>
          <w:sz w:val="22"/>
          <w:szCs w:val="22"/>
          <w:lang w:val="es-CO"/>
        </w:rPr>
        <w:t>que,</w:t>
      </w:r>
      <w:r>
        <w:rPr>
          <w:rFonts w:ascii="Bookman Old Style" w:hAnsi="Bookman Old Style"/>
          <w:i/>
          <w:sz w:val="22"/>
          <w:szCs w:val="22"/>
          <w:lang w:val="es-CO"/>
        </w:rPr>
        <w:t xml:space="preserve"> </w:t>
      </w:r>
      <w:r w:rsidRPr="002C5A6B">
        <w:rPr>
          <w:rFonts w:ascii="Bookman Old Style" w:hAnsi="Bookman Old Style"/>
          <w:i/>
          <w:sz w:val="22"/>
          <w:szCs w:val="22"/>
          <w:lang w:val="es-CO"/>
        </w:rPr>
        <w:t>en</w:t>
      </w:r>
      <w:r>
        <w:rPr>
          <w:rFonts w:ascii="Bookman Old Style" w:hAnsi="Bookman Old Style"/>
          <w:i/>
          <w:sz w:val="22"/>
          <w:szCs w:val="22"/>
          <w:lang w:val="es-CO"/>
        </w:rPr>
        <w:t xml:space="preserve"> </w:t>
      </w:r>
      <w:r w:rsidRPr="002C5A6B">
        <w:rPr>
          <w:rFonts w:ascii="Bookman Old Style" w:hAnsi="Bookman Old Style"/>
          <w:i/>
          <w:sz w:val="22"/>
          <w:szCs w:val="22"/>
          <w:lang w:val="es-CO"/>
        </w:rPr>
        <w:t>relación</w:t>
      </w:r>
      <w:r>
        <w:rPr>
          <w:rFonts w:ascii="Bookman Old Style" w:hAnsi="Bookman Old Style"/>
          <w:i/>
          <w:sz w:val="22"/>
          <w:szCs w:val="22"/>
          <w:lang w:val="es-CO"/>
        </w:rPr>
        <w:t xml:space="preserve"> </w:t>
      </w:r>
      <w:r w:rsidRPr="002C5A6B">
        <w:rPr>
          <w:rFonts w:ascii="Bookman Old Style" w:hAnsi="Bookman Old Style"/>
          <w:i/>
          <w:sz w:val="22"/>
          <w:szCs w:val="22"/>
          <w:lang w:val="es-CO"/>
        </w:rPr>
        <w:t>con</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marca</w:t>
      </w:r>
      <w:r>
        <w:rPr>
          <w:rFonts w:ascii="Bookman Old Style" w:hAnsi="Bookman Old Style"/>
          <w:i/>
          <w:sz w:val="22"/>
          <w:szCs w:val="22"/>
          <w:lang w:val="es-CO"/>
        </w:rPr>
        <w:t xml:space="preserve"> </w:t>
      </w:r>
      <w:r w:rsidRPr="002C5A6B">
        <w:rPr>
          <w:rFonts w:ascii="Bookman Old Style" w:hAnsi="Bookman Old Style"/>
          <w:i/>
          <w:sz w:val="22"/>
          <w:szCs w:val="22"/>
          <w:lang w:val="es-CO"/>
        </w:rPr>
        <w:t>GASMAX</w:t>
      </w:r>
      <w:r>
        <w:rPr>
          <w:rFonts w:ascii="Bookman Old Style" w:hAnsi="Bookman Old Style"/>
          <w:i/>
          <w:sz w:val="22"/>
          <w:szCs w:val="22"/>
          <w:lang w:val="es-CO"/>
        </w:rPr>
        <w:t xml:space="preserve"> </w:t>
      </w:r>
      <w:r w:rsidRPr="002C5A6B">
        <w:rPr>
          <w:rFonts w:ascii="Bookman Old Style" w:hAnsi="Bookman Old Style"/>
          <w:i/>
          <w:sz w:val="22"/>
          <w:szCs w:val="22"/>
          <w:lang w:val="es-CO"/>
        </w:rPr>
        <w:t>reportada</w:t>
      </w:r>
      <w:r>
        <w:rPr>
          <w:rFonts w:ascii="Bookman Old Style" w:hAnsi="Bookman Old Style"/>
          <w:i/>
          <w:sz w:val="22"/>
          <w:szCs w:val="22"/>
          <w:lang w:val="es-CO"/>
        </w:rPr>
        <w:t xml:space="preserve"> </w:t>
      </w:r>
      <w:r w:rsidRPr="002C5A6B">
        <w:rPr>
          <w:rFonts w:ascii="Bookman Old Style" w:hAnsi="Bookman Old Style"/>
          <w:i/>
          <w:sz w:val="22"/>
          <w:szCs w:val="22"/>
          <w:lang w:val="es-CO"/>
        </w:rPr>
        <w:t>por</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empresa</w:t>
      </w:r>
      <w:r>
        <w:rPr>
          <w:rFonts w:ascii="Bookman Old Style" w:hAnsi="Bookman Old Style"/>
          <w:i/>
          <w:sz w:val="22"/>
          <w:szCs w:val="22"/>
          <w:lang w:val="es-CO"/>
        </w:rPr>
        <w:t xml:space="preserve"> </w:t>
      </w:r>
      <w:r w:rsidRPr="002C5A6B">
        <w:rPr>
          <w:rFonts w:ascii="Bookman Old Style" w:hAnsi="Bookman Old Style"/>
          <w:i/>
          <w:sz w:val="22"/>
          <w:szCs w:val="22"/>
          <w:lang w:val="es-CO"/>
        </w:rPr>
        <w:t>GASGOMBEL S.A.E.S.P.,</w:t>
      </w:r>
      <w:r>
        <w:rPr>
          <w:rFonts w:ascii="Bookman Old Style" w:hAnsi="Bookman Old Style"/>
          <w:i/>
          <w:sz w:val="22"/>
          <w:szCs w:val="22"/>
          <w:lang w:val="es-CO"/>
        </w:rPr>
        <w:t xml:space="preserve"> </w:t>
      </w:r>
      <w:r w:rsidRPr="002C5A6B">
        <w:rPr>
          <w:rFonts w:ascii="Bookman Old Style" w:hAnsi="Bookman Old Style"/>
          <w:i/>
          <w:sz w:val="22"/>
          <w:szCs w:val="22"/>
          <w:lang w:val="es-CO"/>
        </w:rPr>
        <w:t>en</w:t>
      </w:r>
      <w:r>
        <w:rPr>
          <w:rFonts w:ascii="Bookman Old Style" w:hAnsi="Bookman Old Style"/>
          <w:i/>
          <w:sz w:val="22"/>
          <w:szCs w:val="22"/>
          <w:lang w:val="es-CO"/>
        </w:rPr>
        <w:t xml:space="preserve"> </w:t>
      </w:r>
      <w:r w:rsidRPr="002C5A6B">
        <w:rPr>
          <w:rFonts w:ascii="Bookman Old Style" w:hAnsi="Bookman Old Style"/>
          <w:i/>
          <w:sz w:val="22"/>
          <w:szCs w:val="22"/>
          <w:lang w:val="es-CO"/>
        </w:rPr>
        <w:t>el</w:t>
      </w:r>
      <w:r>
        <w:rPr>
          <w:rFonts w:ascii="Bookman Old Style" w:hAnsi="Bookman Old Style"/>
          <w:i/>
          <w:sz w:val="22"/>
          <w:szCs w:val="22"/>
          <w:lang w:val="es-CO"/>
        </w:rPr>
        <w:t xml:space="preserve"> </w:t>
      </w:r>
      <w:r w:rsidRPr="002C5A6B">
        <w:rPr>
          <w:rFonts w:ascii="Bookman Old Style" w:hAnsi="Bookman Old Style"/>
          <w:i/>
          <w:sz w:val="22"/>
          <w:szCs w:val="22"/>
          <w:lang w:val="es-CO"/>
        </w:rPr>
        <w:t>SUI</w:t>
      </w:r>
      <w:r>
        <w:rPr>
          <w:rFonts w:ascii="Bookman Old Style" w:hAnsi="Bookman Old Style"/>
          <w:i/>
          <w:sz w:val="22"/>
          <w:szCs w:val="22"/>
          <w:lang w:val="es-CO"/>
        </w:rPr>
        <w:t xml:space="preserve"> </w:t>
      </w:r>
      <w:r w:rsidRPr="002C5A6B">
        <w:rPr>
          <w:rFonts w:ascii="Bookman Old Style" w:hAnsi="Bookman Old Style"/>
          <w:i/>
          <w:sz w:val="22"/>
          <w:szCs w:val="22"/>
          <w:lang w:val="es-CO"/>
        </w:rPr>
        <w:t>a</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fecha</w:t>
      </w:r>
      <w:r>
        <w:rPr>
          <w:rFonts w:ascii="Bookman Old Style" w:hAnsi="Bookman Old Style"/>
          <w:i/>
          <w:sz w:val="22"/>
          <w:szCs w:val="22"/>
          <w:lang w:val="es-CO"/>
        </w:rPr>
        <w:t xml:space="preserve"> </w:t>
      </w:r>
      <w:r w:rsidRPr="002C5A6B">
        <w:rPr>
          <w:rFonts w:ascii="Bookman Old Style" w:hAnsi="Bookman Old Style"/>
          <w:i/>
          <w:sz w:val="22"/>
          <w:szCs w:val="22"/>
          <w:lang w:val="es-CO"/>
        </w:rPr>
        <w:t>no</w:t>
      </w:r>
      <w:r>
        <w:rPr>
          <w:rFonts w:ascii="Bookman Old Style" w:hAnsi="Bookman Old Style"/>
          <w:i/>
          <w:sz w:val="22"/>
          <w:szCs w:val="22"/>
          <w:lang w:val="es-CO"/>
        </w:rPr>
        <w:t xml:space="preserve"> </w:t>
      </w:r>
      <w:r w:rsidRPr="002C5A6B">
        <w:rPr>
          <w:rFonts w:ascii="Bookman Old Style" w:hAnsi="Bookman Old Style"/>
          <w:i/>
          <w:sz w:val="22"/>
          <w:szCs w:val="22"/>
          <w:lang w:val="es-CO"/>
        </w:rPr>
        <w:t>presenta</w:t>
      </w:r>
      <w:r>
        <w:rPr>
          <w:rFonts w:ascii="Bookman Old Style" w:hAnsi="Bookman Old Style"/>
          <w:i/>
          <w:sz w:val="22"/>
          <w:szCs w:val="22"/>
          <w:lang w:val="es-CO"/>
        </w:rPr>
        <w:t xml:space="preserve"> </w:t>
      </w:r>
      <w:r w:rsidRPr="002C5A6B">
        <w:rPr>
          <w:rFonts w:ascii="Bookman Old Style" w:hAnsi="Bookman Old Style"/>
          <w:i/>
          <w:sz w:val="22"/>
          <w:szCs w:val="22"/>
          <w:lang w:val="es-CO"/>
        </w:rPr>
        <w:t>ningún</w:t>
      </w:r>
      <w:r>
        <w:rPr>
          <w:rFonts w:ascii="Bookman Old Style" w:hAnsi="Bookman Old Style"/>
          <w:i/>
          <w:sz w:val="22"/>
          <w:szCs w:val="22"/>
          <w:lang w:val="es-CO"/>
        </w:rPr>
        <w:t xml:space="preserve"> </w:t>
      </w:r>
      <w:r w:rsidRPr="002C5A6B">
        <w:rPr>
          <w:rFonts w:ascii="Bookman Old Style" w:hAnsi="Bookman Old Style"/>
          <w:i/>
          <w:sz w:val="22"/>
          <w:szCs w:val="22"/>
          <w:lang w:val="es-CO"/>
        </w:rPr>
        <w:t>cambio</w:t>
      </w:r>
      <w:r>
        <w:rPr>
          <w:rFonts w:ascii="Bookman Old Style" w:hAnsi="Bookman Old Style"/>
          <w:i/>
          <w:sz w:val="22"/>
          <w:szCs w:val="22"/>
          <w:lang w:val="es-CO"/>
        </w:rPr>
        <w:t xml:space="preserve"> </w:t>
      </w:r>
      <w:r w:rsidRPr="002C5A6B">
        <w:rPr>
          <w:rFonts w:ascii="Bookman Old Style" w:hAnsi="Bookman Old Style"/>
          <w:i/>
          <w:sz w:val="22"/>
          <w:szCs w:val="22"/>
          <w:lang w:val="es-CO"/>
        </w:rPr>
        <w:t>pues</w:t>
      </w:r>
      <w:r>
        <w:rPr>
          <w:rFonts w:ascii="Bookman Old Style" w:hAnsi="Bookman Old Style"/>
          <w:i/>
          <w:sz w:val="22"/>
          <w:szCs w:val="22"/>
          <w:lang w:val="es-CO"/>
        </w:rPr>
        <w:t xml:space="preserve"> </w:t>
      </w:r>
      <w:r w:rsidRPr="002C5A6B">
        <w:rPr>
          <w:rFonts w:ascii="Bookman Old Style" w:hAnsi="Bookman Old Style"/>
          <w:i/>
          <w:sz w:val="22"/>
          <w:szCs w:val="22"/>
          <w:lang w:val="es-CO"/>
        </w:rPr>
        <w:t>no</w:t>
      </w:r>
      <w:r>
        <w:rPr>
          <w:rFonts w:ascii="Bookman Old Style" w:hAnsi="Bookman Old Style"/>
          <w:i/>
          <w:sz w:val="22"/>
          <w:szCs w:val="22"/>
          <w:lang w:val="es-CO"/>
        </w:rPr>
        <w:t xml:space="preserve"> </w:t>
      </w:r>
      <w:r w:rsidRPr="002C5A6B">
        <w:rPr>
          <w:rFonts w:ascii="Bookman Old Style" w:hAnsi="Bookman Old Style"/>
          <w:i/>
          <w:sz w:val="22"/>
          <w:szCs w:val="22"/>
          <w:lang w:val="es-CO"/>
        </w:rPr>
        <w:t>se</w:t>
      </w:r>
      <w:r>
        <w:rPr>
          <w:rFonts w:ascii="Bookman Old Style" w:hAnsi="Bookman Old Style"/>
          <w:i/>
          <w:sz w:val="22"/>
          <w:szCs w:val="22"/>
          <w:lang w:val="es-CO"/>
        </w:rPr>
        <w:t xml:space="preserve"> </w:t>
      </w:r>
      <w:r w:rsidRPr="002C5A6B">
        <w:rPr>
          <w:rFonts w:ascii="Bookman Old Style" w:hAnsi="Bookman Old Style"/>
          <w:i/>
          <w:sz w:val="22"/>
          <w:szCs w:val="22"/>
          <w:lang w:val="es-CO"/>
        </w:rPr>
        <w:t>ha</w:t>
      </w:r>
      <w:r>
        <w:rPr>
          <w:rFonts w:ascii="Bookman Old Style" w:hAnsi="Bookman Old Style"/>
          <w:i/>
          <w:sz w:val="22"/>
          <w:szCs w:val="22"/>
          <w:lang w:val="es-CO"/>
        </w:rPr>
        <w:t xml:space="preserve"> </w:t>
      </w:r>
      <w:r w:rsidRPr="002C5A6B">
        <w:rPr>
          <w:rFonts w:ascii="Bookman Old Style" w:hAnsi="Bookman Old Style"/>
          <w:i/>
          <w:sz w:val="22"/>
          <w:szCs w:val="22"/>
          <w:lang w:val="es-CO"/>
        </w:rPr>
        <w:t>realizado</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cesión</w:t>
      </w:r>
      <w:r>
        <w:rPr>
          <w:rFonts w:ascii="Bookman Old Style" w:hAnsi="Bookman Old Style"/>
          <w:i/>
          <w:sz w:val="22"/>
          <w:szCs w:val="22"/>
          <w:lang w:val="es-CO"/>
        </w:rPr>
        <w:t xml:space="preserve"> </w:t>
      </w:r>
      <w:r w:rsidRPr="002C5A6B">
        <w:rPr>
          <w:rFonts w:ascii="Bookman Old Style" w:hAnsi="Bookman Old Style"/>
          <w:i/>
          <w:sz w:val="22"/>
          <w:szCs w:val="22"/>
          <w:lang w:val="es-CO"/>
        </w:rPr>
        <w:t>de la</w:t>
      </w:r>
      <w:r>
        <w:rPr>
          <w:rFonts w:ascii="Bookman Old Style" w:hAnsi="Bookman Old Style"/>
          <w:i/>
          <w:sz w:val="22"/>
          <w:szCs w:val="22"/>
          <w:lang w:val="es-CO"/>
        </w:rPr>
        <w:t xml:space="preserve"> </w:t>
      </w:r>
      <w:r w:rsidRPr="002C5A6B">
        <w:rPr>
          <w:rFonts w:ascii="Bookman Old Style" w:hAnsi="Bookman Old Style"/>
          <w:i/>
          <w:sz w:val="22"/>
          <w:szCs w:val="22"/>
          <w:lang w:val="es-CO"/>
        </w:rPr>
        <w:t>marca</w:t>
      </w:r>
      <w:r>
        <w:rPr>
          <w:rFonts w:ascii="Bookman Old Style" w:hAnsi="Bookman Old Style"/>
          <w:i/>
          <w:sz w:val="22"/>
          <w:szCs w:val="22"/>
          <w:lang w:val="es-CO"/>
        </w:rPr>
        <w:t xml:space="preserve"> </w:t>
      </w:r>
      <w:r w:rsidRPr="002C5A6B">
        <w:rPr>
          <w:rFonts w:ascii="Bookman Old Style" w:hAnsi="Bookman Old Style"/>
          <w:i/>
          <w:sz w:val="22"/>
          <w:szCs w:val="22"/>
          <w:lang w:val="es-CO"/>
        </w:rPr>
        <w:t>a</w:t>
      </w:r>
      <w:r>
        <w:rPr>
          <w:rFonts w:ascii="Bookman Old Style" w:hAnsi="Bookman Old Style"/>
          <w:i/>
          <w:sz w:val="22"/>
          <w:szCs w:val="22"/>
          <w:lang w:val="es-CO"/>
        </w:rPr>
        <w:t xml:space="preserve"> </w:t>
      </w:r>
      <w:r w:rsidRPr="002C5A6B">
        <w:rPr>
          <w:rFonts w:ascii="Bookman Old Style" w:hAnsi="Bookman Old Style"/>
          <w:i/>
          <w:sz w:val="22"/>
          <w:szCs w:val="22"/>
          <w:lang w:val="es-CO"/>
        </w:rPr>
        <w:t>la</w:t>
      </w:r>
      <w:r>
        <w:rPr>
          <w:rFonts w:ascii="Bookman Old Style" w:hAnsi="Bookman Old Style"/>
          <w:i/>
          <w:sz w:val="22"/>
          <w:szCs w:val="22"/>
          <w:lang w:val="es-CO"/>
        </w:rPr>
        <w:t xml:space="preserve"> </w:t>
      </w:r>
      <w:r w:rsidRPr="002C5A6B">
        <w:rPr>
          <w:rFonts w:ascii="Bookman Old Style" w:hAnsi="Bookman Old Style"/>
          <w:i/>
          <w:sz w:val="22"/>
          <w:szCs w:val="22"/>
          <w:lang w:val="es-CO"/>
        </w:rPr>
        <w:t>empresa</w:t>
      </w:r>
      <w:r>
        <w:rPr>
          <w:rFonts w:ascii="Bookman Old Style" w:hAnsi="Bookman Old Style"/>
          <w:i/>
          <w:sz w:val="22"/>
          <w:szCs w:val="22"/>
          <w:lang w:val="es-CO"/>
        </w:rPr>
        <w:t xml:space="preserve"> </w:t>
      </w:r>
      <w:r w:rsidRPr="002C5A6B">
        <w:rPr>
          <w:rFonts w:ascii="Bookman Old Style" w:hAnsi="Bookman Old Style"/>
          <w:i/>
          <w:sz w:val="22"/>
          <w:szCs w:val="22"/>
          <w:lang w:val="es-CO"/>
        </w:rPr>
        <w:t>MEGAS</w:t>
      </w:r>
      <w:r>
        <w:rPr>
          <w:rFonts w:ascii="Bookman Old Style" w:hAnsi="Bookman Old Style"/>
          <w:i/>
          <w:sz w:val="22"/>
          <w:szCs w:val="22"/>
          <w:lang w:val="es-CO"/>
        </w:rPr>
        <w:t xml:space="preserve"> </w:t>
      </w:r>
      <w:r w:rsidRPr="002C5A6B">
        <w:rPr>
          <w:rFonts w:ascii="Bookman Old Style" w:hAnsi="Bookman Old Style"/>
          <w:i/>
          <w:sz w:val="22"/>
          <w:szCs w:val="22"/>
          <w:lang w:val="es-CO"/>
        </w:rPr>
        <w:t>S.A.</w:t>
      </w:r>
      <w:r>
        <w:rPr>
          <w:rFonts w:ascii="Bookman Old Style" w:hAnsi="Bookman Old Style"/>
          <w:i/>
          <w:sz w:val="22"/>
          <w:szCs w:val="22"/>
          <w:lang w:val="es-CO"/>
        </w:rPr>
        <w:t xml:space="preserve"> </w:t>
      </w:r>
      <w:r w:rsidRPr="002C5A6B">
        <w:rPr>
          <w:rFonts w:ascii="Bookman Old Style" w:hAnsi="Bookman Old Style"/>
          <w:i/>
          <w:sz w:val="22"/>
          <w:szCs w:val="22"/>
          <w:lang w:val="es-CO"/>
        </w:rPr>
        <w:t>E.S.P.</w:t>
      </w:r>
      <w:r>
        <w:rPr>
          <w:rFonts w:ascii="Bookman Old Style" w:hAnsi="Bookman Old Style"/>
          <w:i/>
          <w:sz w:val="22"/>
          <w:szCs w:val="22"/>
          <w:lang w:val="es-CO"/>
        </w:rPr>
        <w:t xml:space="preserve"> </w:t>
      </w:r>
      <w:r w:rsidRPr="002C5A6B">
        <w:rPr>
          <w:rFonts w:ascii="Bookman Old Style" w:hAnsi="Bookman Old Style"/>
          <w:i/>
          <w:sz w:val="22"/>
          <w:szCs w:val="22"/>
          <w:lang w:val="es-CO"/>
        </w:rPr>
        <w:t>u</w:t>
      </w:r>
      <w:r>
        <w:rPr>
          <w:rFonts w:ascii="Bookman Old Style" w:hAnsi="Bookman Old Style"/>
          <w:i/>
          <w:sz w:val="22"/>
          <w:szCs w:val="22"/>
          <w:lang w:val="es-CO"/>
        </w:rPr>
        <w:t xml:space="preserve"> </w:t>
      </w:r>
      <w:r w:rsidRPr="002C5A6B">
        <w:rPr>
          <w:rFonts w:ascii="Bookman Old Style" w:hAnsi="Bookman Old Style"/>
          <w:i/>
          <w:sz w:val="22"/>
          <w:szCs w:val="22"/>
          <w:lang w:val="es-CO"/>
        </w:rPr>
        <w:t>otra</w:t>
      </w:r>
      <w:r>
        <w:rPr>
          <w:rFonts w:ascii="Bookman Old Style" w:hAnsi="Bookman Old Style"/>
          <w:i/>
          <w:sz w:val="22"/>
          <w:szCs w:val="22"/>
          <w:lang w:val="es-CO"/>
        </w:rPr>
        <w:t xml:space="preserve"> </w:t>
      </w:r>
      <w:r w:rsidRPr="002C5A6B">
        <w:rPr>
          <w:rFonts w:ascii="Bookman Old Style" w:hAnsi="Bookman Old Style"/>
          <w:i/>
          <w:sz w:val="22"/>
          <w:szCs w:val="22"/>
          <w:lang w:val="es-CO"/>
        </w:rPr>
        <w:t>empresa</w:t>
      </w:r>
      <w:r>
        <w:rPr>
          <w:rFonts w:ascii="Bookman Old Style" w:hAnsi="Bookman Old Style"/>
          <w:i/>
          <w:sz w:val="22"/>
          <w:szCs w:val="22"/>
          <w:lang w:val="es-CO"/>
        </w:rPr>
        <w:t xml:space="preserve"> </w:t>
      </w:r>
      <w:r w:rsidRPr="002C5A6B">
        <w:rPr>
          <w:rFonts w:ascii="Bookman Old Style" w:hAnsi="Bookman Old Style"/>
          <w:i/>
          <w:sz w:val="22"/>
          <w:szCs w:val="22"/>
          <w:lang w:val="es-CO"/>
        </w:rPr>
        <w:t>distribuidora</w:t>
      </w:r>
      <w:r>
        <w:rPr>
          <w:rFonts w:ascii="Bookman Old Style" w:hAnsi="Bookman Old Style"/>
          <w:i/>
          <w:sz w:val="22"/>
          <w:szCs w:val="22"/>
          <w:lang w:val="es-CO"/>
        </w:rPr>
        <w:t xml:space="preserve"> </w:t>
      </w:r>
      <w:r w:rsidRPr="002C5A6B">
        <w:rPr>
          <w:rFonts w:ascii="Bookman Old Style" w:hAnsi="Bookman Old Style"/>
          <w:i/>
          <w:sz w:val="22"/>
          <w:szCs w:val="22"/>
          <w:lang w:val="es-CO"/>
        </w:rPr>
        <w:t>de</w:t>
      </w:r>
      <w:r>
        <w:rPr>
          <w:rFonts w:ascii="Bookman Old Style" w:hAnsi="Bookman Old Style"/>
          <w:i/>
          <w:sz w:val="22"/>
          <w:szCs w:val="22"/>
          <w:lang w:val="es-CO"/>
        </w:rPr>
        <w:t xml:space="preserve"> conformidad c</w:t>
      </w:r>
      <w:r w:rsidRPr="002C5A6B">
        <w:rPr>
          <w:rFonts w:ascii="Bookman Old Style" w:hAnsi="Bookman Old Style"/>
          <w:i/>
          <w:sz w:val="22"/>
          <w:szCs w:val="22"/>
          <w:lang w:val="es-CO"/>
        </w:rPr>
        <w:t>on</w:t>
      </w:r>
      <w:r>
        <w:rPr>
          <w:rFonts w:ascii="Bookman Old Style" w:hAnsi="Bookman Old Style"/>
          <w:i/>
          <w:sz w:val="22"/>
          <w:szCs w:val="22"/>
          <w:lang w:val="es-CO"/>
        </w:rPr>
        <w:t xml:space="preserve"> </w:t>
      </w:r>
      <w:r w:rsidRPr="002C5A6B">
        <w:rPr>
          <w:rFonts w:ascii="Bookman Old Style" w:hAnsi="Bookman Old Style"/>
          <w:i/>
          <w:sz w:val="22"/>
          <w:szCs w:val="22"/>
          <w:lang w:val="es-CO"/>
        </w:rPr>
        <w:t>lo</w:t>
      </w:r>
      <w:r>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señalado</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en</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la</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Circular</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Externa</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No.</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20081000000174</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del</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15</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de</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agosto</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de</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2008,</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como</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se</w:t>
      </w:r>
      <w:r w:rsidR="00C863B5">
        <w:rPr>
          <w:rFonts w:ascii="Bookman Old Style" w:hAnsi="Bookman Old Style"/>
          <w:i/>
          <w:sz w:val="22"/>
          <w:szCs w:val="22"/>
          <w:lang w:val="es-CO"/>
        </w:rPr>
        <w:t xml:space="preserve"> </w:t>
      </w:r>
      <w:r w:rsidR="00C863B5" w:rsidRPr="00C863B5">
        <w:rPr>
          <w:rFonts w:ascii="Bookman Old Style" w:hAnsi="Bookman Old Style"/>
          <w:i/>
          <w:sz w:val="22"/>
          <w:szCs w:val="22"/>
          <w:lang w:val="es-CO"/>
        </w:rPr>
        <w:t>muestra en la siguiente imagen.</w:t>
      </w:r>
    </w:p>
    <w:p w14:paraId="2874EFE2" w14:textId="77777777" w:rsidR="002C5A6B" w:rsidRDefault="002C5A6B" w:rsidP="003F4122">
      <w:pPr>
        <w:pStyle w:val="Textoindependiente2"/>
        <w:spacing w:after="0" w:line="240" w:lineRule="auto"/>
        <w:jc w:val="both"/>
        <w:rPr>
          <w:rFonts w:ascii="Bookman Old Style" w:hAnsi="Bookman Old Style"/>
          <w:i/>
          <w:sz w:val="22"/>
          <w:szCs w:val="22"/>
          <w:lang w:val="es-CO"/>
        </w:rPr>
      </w:pPr>
    </w:p>
    <w:p w14:paraId="4E352F2B" w14:textId="386C75F8" w:rsidR="002C5A6B" w:rsidRDefault="00F61C3E" w:rsidP="003F4122">
      <w:pPr>
        <w:pStyle w:val="Textoindependiente2"/>
        <w:spacing w:after="0" w:line="240" w:lineRule="auto"/>
        <w:jc w:val="both"/>
        <w:rPr>
          <w:rFonts w:ascii="Bookman Old Style" w:hAnsi="Bookman Old Style"/>
          <w:i/>
          <w:sz w:val="22"/>
          <w:szCs w:val="22"/>
          <w:lang w:val="es-CO"/>
        </w:rPr>
      </w:pPr>
      <w:r>
        <w:rPr>
          <w:noProof/>
        </w:rPr>
        <w:drawing>
          <wp:inline distT="0" distB="0" distL="0" distR="0" wp14:anchorId="33F6719A" wp14:editId="507D07CB">
            <wp:extent cx="5532614" cy="1002328"/>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7482" cy="1008645"/>
                    </a:xfrm>
                    <a:prstGeom prst="rect">
                      <a:avLst/>
                    </a:prstGeom>
                  </pic:spPr>
                </pic:pic>
              </a:graphicData>
            </a:graphic>
          </wp:inline>
        </w:drawing>
      </w:r>
    </w:p>
    <w:p w14:paraId="2109E9AC" w14:textId="3F79F5E1" w:rsidR="00F61C3E" w:rsidRDefault="00785DF8" w:rsidP="003F4122">
      <w:pPr>
        <w:pStyle w:val="Textoindependiente2"/>
        <w:spacing w:after="0" w:line="240" w:lineRule="auto"/>
        <w:jc w:val="both"/>
        <w:rPr>
          <w:rFonts w:ascii="Bookman Old Style" w:hAnsi="Bookman Old Style"/>
          <w:i/>
          <w:sz w:val="22"/>
          <w:szCs w:val="22"/>
          <w:lang w:val="es-CO"/>
        </w:rPr>
      </w:pPr>
      <w:r>
        <w:rPr>
          <w:noProof/>
        </w:rPr>
        <w:drawing>
          <wp:inline distT="0" distB="0" distL="0" distR="0" wp14:anchorId="44DA9619" wp14:editId="77B9E7FC">
            <wp:extent cx="5440916" cy="920001"/>
            <wp:effectExtent l="0" t="0" r="0" b="0"/>
            <wp:docPr id="4"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con confianza media"/>
                    <pic:cNvPicPr/>
                  </pic:nvPicPr>
                  <pic:blipFill>
                    <a:blip r:embed="rId14"/>
                    <a:stretch>
                      <a:fillRect/>
                    </a:stretch>
                  </pic:blipFill>
                  <pic:spPr>
                    <a:xfrm>
                      <a:off x="0" y="0"/>
                      <a:ext cx="5497835" cy="929625"/>
                    </a:xfrm>
                    <a:prstGeom prst="rect">
                      <a:avLst/>
                    </a:prstGeom>
                  </pic:spPr>
                </pic:pic>
              </a:graphicData>
            </a:graphic>
          </wp:inline>
        </w:drawing>
      </w:r>
    </w:p>
    <w:p w14:paraId="1EB4B16F" w14:textId="77777777" w:rsidR="00785DF8" w:rsidRDefault="00785DF8" w:rsidP="003F4122">
      <w:pPr>
        <w:pStyle w:val="Textoindependiente2"/>
        <w:spacing w:after="0" w:line="240" w:lineRule="auto"/>
        <w:jc w:val="both"/>
        <w:rPr>
          <w:rFonts w:ascii="Bookman Old Style" w:hAnsi="Bookman Old Style"/>
          <w:i/>
          <w:sz w:val="22"/>
          <w:szCs w:val="22"/>
          <w:lang w:val="es-CO"/>
        </w:rPr>
      </w:pPr>
    </w:p>
    <w:p w14:paraId="1ED8A3C5" w14:textId="35D10D86" w:rsidR="00892917" w:rsidRDefault="00785DF8" w:rsidP="008734B9">
      <w:pPr>
        <w:pStyle w:val="Textoindependiente2"/>
        <w:spacing w:after="0" w:line="240" w:lineRule="auto"/>
        <w:jc w:val="both"/>
        <w:rPr>
          <w:rFonts w:ascii="Bookman Old Style" w:hAnsi="Bookman Old Style"/>
          <w:i/>
          <w:sz w:val="22"/>
          <w:szCs w:val="22"/>
          <w:lang w:val="es-CO"/>
        </w:rPr>
      </w:pPr>
      <w:r w:rsidRPr="00785DF8">
        <w:rPr>
          <w:rFonts w:ascii="Bookman Old Style" w:hAnsi="Bookman Old Style"/>
          <w:i/>
          <w:sz w:val="22"/>
          <w:szCs w:val="22"/>
          <w:lang w:val="es-CO"/>
        </w:rPr>
        <w:t>Así</w:t>
      </w:r>
      <w:r>
        <w:rPr>
          <w:rFonts w:ascii="Bookman Old Style" w:hAnsi="Bookman Old Style"/>
          <w:i/>
          <w:sz w:val="22"/>
          <w:szCs w:val="22"/>
          <w:lang w:val="es-CO"/>
        </w:rPr>
        <w:t xml:space="preserve"> </w:t>
      </w:r>
      <w:r w:rsidRPr="00785DF8">
        <w:rPr>
          <w:rFonts w:ascii="Bookman Old Style" w:hAnsi="Bookman Old Style"/>
          <w:i/>
          <w:sz w:val="22"/>
          <w:szCs w:val="22"/>
          <w:lang w:val="es-CO"/>
        </w:rPr>
        <w:t>las</w:t>
      </w:r>
      <w:r>
        <w:rPr>
          <w:rFonts w:ascii="Bookman Old Style" w:hAnsi="Bookman Old Style"/>
          <w:i/>
          <w:sz w:val="22"/>
          <w:szCs w:val="22"/>
          <w:lang w:val="es-CO"/>
        </w:rPr>
        <w:t xml:space="preserve"> </w:t>
      </w:r>
      <w:r w:rsidRPr="00785DF8">
        <w:rPr>
          <w:rFonts w:ascii="Bookman Old Style" w:hAnsi="Bookman Old Style"/>
          <w:i/>
          <w:sz w:val="22"/>
          <w:szCs w:val="22"/>
          <w:lang w:val="es-CO"/>
        </w:rPr>
        <w:t>cosas,</w:t>
      </w:r>
      <w:r>
        <w:rPr>
          <w:rFonts w:ascii="Bookman Old Style" w:hAnsi="Bookman Old Style"/>
          <w:i/>
          <w:sz w:val="22"/>
          <w:szCs w:val="22"/>
          <w:lang w:val="es-CO"/>
        </w:rPr>
        <w:t xml:space="preserve"> </w:t>
      </w:r>
      <w:r w:rsidRPr="00785DF8">
        <w:rPr>
          <w:rFonts w:ascii="Bookman Old Style" w:hAnsi="Bookman Old Style"/>
          <w:i/>
          <w:sz w:val="22"/>
          <w:szCs w:val="22"/>
          <w:lang w:val="es-CO"/>
        </w:rPr>
        <w:t>de</w:t>
      </w:r>
      <w:r>
        <w:rPr>
          <w:rFonts w:ascii="Bookman Old Style" w:hAnsi="Bookman Old Style"/>
          <w:i/>
          <w:sz w:val="22"/>
          <w:szCs w:val="22"/>
          <w:lang w:val="es-CO"/>
        </w:rPr>
        <w:t xml:space="preserve"> </w:t>
      </w:r>
      <w:r w:rsidRPr="00785DF8">
        <w:rPr>
          <w:rFonts w:ascii="Bookman Old Style" w:hAnsi="Bookman Old Style"/>
          <w:i/>
          <w:sz w:val="22"/>
          <w:szCs w:val="22"/>
          <w:lang w:val="es-CO"/>
        </w:rPr>
        <w:t>presentarse</w:t>
      </w:r>
      <w:r>
        <w:rPr>
          <w:rFonts w:ascii="Bookman Old Style" w:hAnsi="Bookman Old Style"/>
          <w:i/>
          <w:sz w:val="22"/>
          <w:szCs w:val="22"/>
          <w:lang w:val="es-CO"/>
        </w:rPr>
        <w:t xml:space="preserve"> </w:t>
      </w:r>
      <w:r w:rsidRPr="00785DF8">
        <w:rPr>
          <w:rFonts w:ascii="Bookman Old Style" w:hAnsi="Bookman Old Style"/>
          <w:i/>
          <w:sz w:val="22"/>
          <w:szCs w:val="22"/>
          <w:lang w:val="es-CO"/>
        </w:rPr>
        <w:t>cambios</w:t>
      </w:r>
      <w:r>
        <w:rPr>
          <w:rFonts w:ascii="Bookman Old Style" w:hAnsi="Bookman Old Style"/>
          <w:i/>
          <w:sz w:val="22"/>
          <w:szCs w:val="22"/>
          <w:lang w:val="es-CO"/>
        </w:rPr>
        <w:t xml:space="preserve"> </w:t>
      </w:r>
      <w:r w:rsidRPr="00785DF8">
        <w:rPr>
          <w:rFonts w:ascii="Bookman Old Style" w:hAnsi="Bookman Old Style"/>
          <w:i/>
          <w:sz w:val="22"/>
          <w:szCs w:val="22"/>
          <w:lang w:val="es-CO"/>
        </w:rPr>
        <w:t>y/o</w:t>
      </w:r>
      <w:r>
        <w:rPr>
          <w:rFonts w:ascii="Bookman Old Style" w:hAnsi="Bookman Old Style"/>
          <w:i/>
          <w:sz w:val="22"/>
          <w:szCs w:val="22"/>
          <w:lang w:val="es-CO"/>
        </w:rPr>
        <w:t xml:space="preserve"> </w:t>
      </w:r>
      <w:r w:rsidRPr="00785DF8">
        <w:rPr>
          <w:rFonts w:ascii="Bookman Old Style" w:hAnsi="Bookman Old Style"/>
          <w:i/>
          <w:sz w:val="22"/>
          <w:szCs w:val="22"/>
          <w:lang w:val="es-CO"/>
        </w:rPr>
        <w:t>ajustes</w:t>
      </w:r>
      <w:r>
        <w:rPr>
          <w:rFonts w:ascii="Bookman Old Style" w:hAnsi="Bookman Old Style"/>
          <w:i/>
          <w:sz w:val="22"/>
          <w:szCs w:val="22"/>
          <w:lang w:val="es-CO"/>
        </w:rPr>
        <w:t xml:space="preserve"> </w:t>
      </w:r>
      <w:r w:rsidRPr="00785DF8">
        <w:rPr>
          <w:rFonts w:ascii="Bookman Old Style" w:hAnsi="Bookman Old Style"/>
          <w:i/>
          <w:sz w:val="22"/>
          <w:szCs w:val="22"/>
          <w:lang w:val="es-CO"/>
        </w:rPr>
        <w:t>en</w:t>
      </w:r>
      <w:r>
        <w:rPr>
          <w:rFonts w:ascii="Bookman Old Style" w:hAnsi="Bookman Old Style"/>
          <w:i/>
          <w:sz w:val="22"/>
          <w:szCs w:val="22"/>
          <w:lang w:val="es-CO"/>
        </w:rPr>
        <w:t xml:space="preserve"> </w:t>
      </w:r>
      <w:r w:rsidRPr="00785DF8">
        <w:rPr>
          <w:rFonts w:ascii="Bookman Old Style" w:hAnsi="Bookman Old Style"/>
          <w:i/>
          <w:sz w:val="22"/>
          <w:szCs w:val="22"/>
          <w:lang w:val="es-CO"/>
        </w:rPr>
        <w:t>la</w:t>
      </w:r>
      <w:r>
        <w:rPr>
          <w:rFonts w:ascii="Bookman Old Style" w:hAnsi="Bookman Old Style"/>
          <w:i/>
          <w:sz w:val="22"/>
          <w:szCs w:val="22"/>
          <w:lang w:val="es-CO"/>
        </w:rPr>
        <w:t xml:space="preserve"> </w:t>
      </w:r>
      <w:r w:rsidRPr="00785DF8">
        <w:rPr>
          <w:rFonts w:ascii="Bookman Old Style" w:hAnsi="Bookman Old Style"/>
          <w:i/>
          <w:sz w:val="22"/>
          <w:szCs w:val="22"/>
          <w:lang w:val="es-CO"/>
        </w:rPr>
        <w:t>información</w:t>
      </w:r>
      <w:r>
        <w:rPr>
          <w:rFonts w:ascii="Bookman Old Style" w:hAnsi="Bookman Old Style"/>
          <w:i/>
          <w:sz w:val="22"/>
          <w:szCs w:val="22"/>
          <w:lang w:val="es-CO"/>
        </w:rPr>
        <w:t xml:space="preserve"> </w:t>
      </w:r>
      <w:r w:rsidRPr="00785DF8">
        <w:rPr>
          <w:rFonts w:ascii="Bookman Old Style" w:hAnsi="Bookman Old Style"/>
          <w:i/>
          <w:sz w:val="22"/>
          <w:szCs w:val="22"/>
          <w:lang w:val="es-CO"/>
        </w:rPr>
        <w:t>de</w:t>
      </w:r>
      <w:r>
        <w:rPr>
          <w:rFonts w:ascii="Bookman Old Style" w:hAnsi="Bookman Old Style"/>
          <w:i/>
          <w:sz w:val="22"/>
          <w:szCs w:val="22"/>
          <w:lang w:val="es-CO"/>
        </w:rPr>
        <w:t xml:space="preserve"> </w:t>
      </w:r>
      <w:r w:rsidRPr="00785DF8">
        <w:rPr>
          <w:rFonts w:ascii="Bookman Old Style" w:hAnsi="Bookman Old Style"/>
          <w:i/>
          <w:sz w:val="22"/>
          <w:szCs w:val="22"/>
          <w:lang w:val="es-CO"/>
        </w:rPr>
        <w:t>cilindros</w:t>
      </w:r>
      <w:r>
        <w:rPr>
          <w:rFonts w:ascii="Bookman Old Style" w:hAnsi="Bookman Old Style"/>
          <w:i/>
          <w:sz w:val="22"/>
          <w:szCs w:val="22"/>
          <w:lang w:val="es-CO"/>
        </w:rPr>
        <w:t xml:space="preserve"> </w:t>
      </w:r>
      <w:r w:rsidRPr="00785DF8">
        <w:rPr>
          <w:rFonts w:ascii="Bookman Old Style" w:hAnsi="Bookman Old Style"/>
          <w:i/>
          <w:sz w:val="22"/>
          <w:szCs w:val="22"/>
          <w:lang w:val="es-CO"/>
        </w:rPr>
        <w:t>enviada</w:t>
      </w:r>
      <w:r>
        <w:rPr>
          <w:rFonts w:ascii="Bookman Old Style" w:hAnsi="Bookman Old Style"/>
          <w:i/>
          <w:sz w:val="22"/>
          <w:szCs w:val="22"/>
          <w:lang w:val="es-CO"/>
        </w:rPr>
        <w:t xml:space="preserve"> </w:t>
      </w:r>
      <w:r w:rsidRPr="00785DF8">
        <w:rPr>
          <w:rFonts w:ascii="Bookman Old Style" w:hAnsi="Bookman Old Style"/>
          <w:i/>
          <w:sz w:val="22"/>
          <w:szCs w:val="22"/>
          <w:lang w:val="es-CO"/>
        </w:rPr>
        <w:t>en</w:t>
      </w:r>
      <w:r>
        <w:rPr>
          <w:rFonts w:ascii="Bookman Old Style" w:hAnsi="Bookman Old Style"/>
          <w:i/>
          <w:sz w:val="22"/>
          <w:szCs w:val="22"/>
          <w:lang w:val="es-CO"/>
        </w:rPr>
        <w:t xml:space="preserve"> </w:t>
      </w:r>
      <w:r w:rsidRPr="00785DF8">
        <w:rPr>
          <w:rFonts w:ascii="Bookman Old Style" w:hAnsi="Bookman Old Style"/>
          <w:i/>
          <w:sz w:val="22"/>
          <w:szCs w:val="22"/>
          <w:lang w:val="es-CO"/>
        </w:rPr>
        <w:t>la presente comunicación, se adelantará alcance a la misma.</w:t>
      </w:r>
    </w:p>
    <w:p w14:paraId="08A07066" w14:textId="77777777" w:rsidR="00785DF8" w:rsidRPr="007F78C1" w:rsidRDefault="00785DF8" w:rsidP="008734B9">
      <w:pPr>
        <w:pStyle w:val="Textoindependiente2"/>
        <w:spacing w:after="0" w:line="240" w:lineRule="auto"/>
        <w:jc w:val="both"/>
        <w:rPr>
          <w:rFonts w:ascii="Bookman Old Style" w:hAnsi="Bookman Old Style"/>
          <w:i/>
          <w:sz w:val="22"/>
          <w:szCs w:val="22"/>
          <w:lang w:val="es-CO"/>
        </w:rPr>
      </w:pPr>
    </w:p>
    <w:p w14:paraId="2DBBC6A0" w14:textId="77777777" w:rsidR="00297CDB" w:rsidRDefault="00EA73EA" w:rsidP="008734B9">
      <w:pPr>
        <w:pStyle w:val="Textoindependiente2"/>
        <w:spacing w:after="0" w:line="240" w:lineRule="auto"/>
        <w:jc w:val="both"/>
        <w:rPr>
          <w:rFonts w:ascii="Bookman Old Style" w:hAnsi="Bookman Old Style"/>
          <w:i/>
          <w:sz w:val="22"/>
          <w:szCs w:val="22"/>
          <w:lang w:val="es-CO"/>
        </w:rPr>
      </w:pPr>
      <w:r w:rsidRPr="007F78C1">
        <w:rPr>
          <w:rFonts w:ascii="Bookman Old Style" w:hAnsi="Bookman Old Style"/>
          <w:i/>
          <w:sz w:val="22"/>
          <w:szCs w:val="22"/>
          <w:lang w:val="es-CO"/>
        </w:rPr>
        <w:t>2.INFORMACIÓN DE TANQUES ESTACIONARIOS</w:t>
      </w:r>
    </w:p>
    <w:p w14:paraId="748A26BC" w14:textId="77777777" w:rsidR="00355BDC" w:rsidRDefault="00355BDC" w:rsidP="008734B9">
      <w:pPr>
        <w:pStyle w:val="Textoindependiente2"/>
        <w:spacing w:after="0" w:line="240" w:lineRule="auto"/>
        <w:jc w:val="both"/>
        <w:rPr>
          <w:rFonts w:ascii="Bookman Old Style" w:hAnsi="Bookman Old Style"/>
          <w:i/>
          <w:sz w:val="22"/>
          <w:szCs w:val="22"/>
          <w:lang w:val="es-CO"/>
        </w:rPr>
      </w:pPr>
    </w:p>
    <w:p w14:paraId="73918ABF" w14:textId="77777777" w:rsidR="003C1F2D" w:rsidRDefault="008D3843" w:rsidP="008734B9">
      <w:pPr>
        <w:pStyle w:val="Textoindependiente2"/>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En</w:t>
      </w:r>
      <w:r>
        <w:rPr>
          <w:rFonts w:ascii="Bookman Old Style" w:hAnsi="Bookman Old Style"/>
          <w:i/>
          <w:sz w:val="22"/>
          <w:szCs w:val="22"/>
          <w:lang w:val="es-CO"/>
        </w:rPr>
        <w:t xml:space="preserve"> </w:t>
      </w:r>
      <w:r w:rsidRPr="008D3843">
        <w:rPr>
          <w:rFonts w:ascii="Bookman Old Style" w:hAnsi="Bookman Old Style"/>
          <w:i/>
          <w:sz w:val="22"/>
          <w:szCs w:val="22"/>
          <w:lang w:val="es-CO"/>
        </w:rPr>
        <w:t>este</w:t>
      </w:r>
      <w:r>
        <w:rPr>
          <w:rFonts w:ascii="Bookman Old Style" w:hAnsi="Bookman Old Style"/>
          <w:i/>
          <w:sz w:val="22"/>
          <w:szCs w:val="22"/>
          <w:lang w:val="es-CO"/>
        </w:rPr>
        <w:t xml:space="preserve"> </w:t>
      </w:r>
      <w:r w:rsidRPr="008D3843">
        <w:rPr>
          <w:rFonts w:ascii="Bookman Old Style" w:hAnsi="Bookman Old Style"/>
          <w:i/>
          <w:sz w:val="22"/>
          <w:szCs w:val="22"/>
          <w:lang w:val="es-CO"/>
        </w:rPr>
        <w:t>archivo</w:t>
      </w:r>
      <w:r>
        <w:rPr>
          <w:rFonts w:ascii="Bookman Old Style" w:hAnsi="Bookman Old Style"/>
          <w:i/>
          <w:sz w:val="22"/>
          <w:szCs w:val="22"/>
          <w:lang w:val="es-CO"/>
        </w:rPr>
        <w:t xml:space="preserve"> </w:t>
      </w:r>
      <w:r w:rsidRPr="008D3843">
        <w:rPr>
          <w:rFonts w:ascii="Bookman Old Style" w:hAnsi="Bookman Old Style"/>
          <w:i/>
          <w:sz w:val="22"/>
          <w:szCs w:val="22"/>
          <w:lang w:val="es-CO"/>
        </w:rPr>
        <w:t>se</w:t>
      </w:r>
      <w:r>
        <w:rPr>
          <w:rFonts w:ascii="Bookman Old Style" w:hAnsi="Bookman Old Style"/>
          <w:i/>
          <w:sz w:val="22"/>
          <w:szCs w:val="22"/>
          <w:lang w:val="es-CO"/>
        </w:rPr>
        <w:t xml:space="preserve"> </w:t>
      </w:r>
      <w:r w:rsidRPr="008D3843">
        <w:rPr>
          <w:rFonts w:ascii="Bookman Old Style" w:hAnsi="Bookman Old Style"/>
          <w:i/>
          <w:sz w:val="22"/>
          <w:szCs w:val="22"/>
          <w:lang w:val="es-CO"/>
        </w:rPr>
        <w:t>encuentran</w:t>
      </w:r>
      <w:r>
        <w:rPr>
          <w:rFonts w:ascii="Bookman Old Style" w:hAnsi="Bookman Old Style"/>
          <w:i/>
          <w:sz w:val="22"/>
          <w:szCs w:val="22"/>
          <w:lang w:val="es-CO"/>
        </w:rPr>
        <w:t xml:space="preserve"> </w:t>
      </w:r>
      <w:r w:rsidRPr="008D3843">
        <w:rPr>
          <w:rFonts w:ascii="Bookman Old Style" w:hAnsi="Bookman Old Style"/>
          <w:i/>
          <w:sz w:val="22"/>
          <w:szCs w:val="22"/>
          <w:lang w:val="es-CO"/>
        </w:rPr>
        <w:t>los</w:t>
      </w:r>
      <w:r>
        <w:rPr>
          <w:rFonts w:ascii="Bookman Old Style" w:hAnsi="Bookman Old Style"/>
          <w:i/>
          <w:sz w:val="22"/>
          <w:szCs w:val="22"/>
          <w:lang w:val="es-CO"/>
        </w:rPr>
        <w:t xml:space="preserve"> </w:t>
      </w:r>
      <w:r w:rsidRPr="008D3843">
        <w:rPr>
          <w:rFonts w:ascii="Bookman Old Style" w:hAnsi="Bookman Old Style"/>
          <w:i/>
          <w:sz w:val="22"/>
          <w:szCs w:val="22"/>
          <w:lang w:val="es-CO"/>
        </w:rPr>
        <w:t>Tanques</w:t>
      </w:r>
      <w:r>
        <w:rPr>
          <w:rFonts w:ascii="Bookman Old Style" w:hAnsi="Bookman Old Style"/>
          <w:i/>
          <w:sz w:val="22"/>
          <w:szCs w:val="22"/>
          <w:lang w:val="es-CO"/>
        </w:rPr>
        <w:t xml:space="preserve"> </w:t>
      </w:r>
      <w:r w:rsidRPr="008D3843">
        <w:rPr>
          <w:rFonts w:ascii="Bookman Old Style" w:hAnsi="Bookman Old Style"/>
          <w:i/>
          <w:sz w:val="22"/>
          <w:szCs w:val="22"/>
          <w:lang w:val="es-CO"/>
        </w:rPr>
        <w:t>Estacionarios,</w:t>
      </w:r>
      <w:r>
        <w:rPr>
          <w:rFonts w:ascii="Bookman Old Style" w:hAnsi="Bookman Old Style"/>
          <w:i/>
          <w:sz w:val="22"/>
          <w:szCs w:val="22"/>
          <w:lang w:val="es-CO"/>
        </w:rPr>
        <w:t xml:space="preserve"> </w:t>
      </w:r>
      <w:r w:rsidRPr="008D3843">
        <w:rPr>
          <w:rFonts w:ascii="Bookman Old Style" w:hAnsi="Bookman Old Style"/>
          <w:i/>
          <w:sz w:val="22"/>
          <w:szCs w:val="22"/>
          <w:lang w:val="es-CO"/>
        </w:rPr>
        <w:t>con</w:t>
      </w:r>
      <w:r>
        <w:rPr>
          <w:rFonts w:ascii="Bookman Old Style" w:hAnsi="Bookman Old Style"/>
          <w:i/>
          <w:sz w:val="22"/>
          <w:szCs w:val="22"/>
          <w:lang w:val="es-CO"/>
        </w:rPr>
        <w:t xml:space="preserve"> </w:t>
      </w: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información</w:t>
      </w:r>
      <w:r>
        <w:rPr>
          <w:rFonts w:ascii="Bookman Old Style" w:hAnsi="Bookman Old Style"/>
          <w:i/>
          <w:sz w:val="22"/>
          <w:szCs w:val="22"/>
          <w:lang w:val="es-CO"/>
        </w:rPr>
        <w:t xml:space="preserve"> </w:t>
      </w:r>
      <w:r w:rsidRPr="008D3843">
        <w:rPr>
          <w:rFonts w:ascii="Bookman Old Style" w:hAnsi="Bookman Old Style"/>
          <w:i/>
          <w:sz w:val="22"/>
          <w:szCs w:val="22"/>
          <w:lang w:val="es-CO"/>
        </w:rPr>
        <w:t>reportada</w:t>
      </w:r>
      <w:r>
        <w:rPr>
          <w:rFonts w:ascii="Bookman Old Style" w:hAnsi="Bookman Old Style"/>
          <w:i/>
          <w:sz w:val="22"/>
          <w:szCs w:val="22"/>
          <w:lang w:val="es-CO"/>
        </w:rPr>
        <w:t xml:space="preserve"> en el </w:t>
      </w:r>
      <w:r w:rsidRPr="008D3843">
        <w:rPr>
          <w:rFonts w:ascii="Bookman Old Style" w:hAnsi="Bookman Old Style"/>
          <w:i/>
          <w:sz w:val="22"/>
          <w:szCs w:val="22"/>
          <w:lang w:val="es-CO"/>
        </w:rPr>
        <w:t>SUI por</w:t>
      </w:r>
      <w:r>
        <w:rPr>
          <w:rFonts w:ascii="Bookman Old Style" w:hAnsi="Bookman Old Style"/>
          <w:i/>
          <w:sz w:val="22"/>
          <w:szCs w:val="22"/>
          <w:lang w:val="es-CO"/>
        </w:rPr>
        <w:t xml:space="preserve"> </w:t>
      </w:r>
      <w:r w:rsidRPr="008D3843">
        <w:rPr>
          <w:rFonts w:ascii="Bookman Old Style" w:hAnsi="Bookman Old Style"/>
          <w:i/>
          <w:sz w:val="22"/>
          <w:szCs w:val="22"/>
          <w:lang w:val="es-CO"/>
        </w:rPr>
        <w:t>parte</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los</w:t>
      </w:r>
      <w:r>
        <w:rPr>
          <w:rFonts w:ascii="Bookman Old Style" w:hAnsi="Bookman Old Style"/>
          <w:i/>
          <w:sz w:val="22"/>
          <w:szCs w:val="22"/>
          <w:lang w:val="es-CO"/>
        </w:rPr>
        <w:t xml:space="preserve"> </w:t>
      </w:r>
      <w:r w:rsidRPr="008D3843">
        <w:rPr>
          <w:rFonts w:ascii="Bookman Old Style" w:hAnsi="Bookman Old Style"/>
          <w:i/>
          <w:sz w:val="22"/>
          <w:szCs w:val="22"/>
          <w:lang w:val="es-CO"/>
        </w:rPr>
        <w:t>Distribuidores</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GLP,</w:t>
      </w:r>
      <w:r>
        <w:rPr>
          <w:rFonts w:ascii="Bookman Old Style" w:hAnsi="Bookman Old Style"/>
          <w:i/>
          <w:sz w:val="22"/>
          <w:szCs w:val="22"/>
          <w:lang w:val="es-CO"/>
        </w:rPr>
        <w:t xml:space="preserve"> </w:t>
      </w:r>
      <w:r w:rsidRPr="008D3843">
        <w:rPr>
          <w:rFonts w:ascii="Bookman Old Style" w:hAnsi="Bookman Old Style"/>
          <w:i/>
          <w:sz w:val="22"/>
          <w:szCs w:val="22"/>
          <w:lang w:val="es-CO"/>
        </w:rPr>
        <w:t>conforme</w:t>
      </w:r>
      <w:r>
        <w:rPr>
          <w:rFonts w:ascii="Bookman Old Style" w:hAnsi="Bookman Old Style"/>
          <w:i/>
          <w:sz w:val="22"/>
          <w:szCs w:val="22"/>
          <w:lang w:val="es-CO"/>
        </w:rPr>
        <w:t xml:space="preserve"> </w:t>
      </w:r>
      <w:r w:rsidRPr="008D3843">
        <w:rPr>
          <w:rFonts w:ascii="Bookman Old Style" w:hAnsi="Bookman Old Style"/>
          <w:i/>
          <w:sz w:val="22"/>
          <w:szCs w:val="22"/>
          <w:lang w:val="es-CO"/>
        </w:rPr>
        <w:t>a</w:t>
      </w:r>
      <w:r>
        <w:rPr>
          <w:rFonts w:ascii="Bookman Old Style" w:hAnsi="Bookman Old Style"/>
          <w:i/>
          <w:sz w:val="22"/>
          <w:szCs w:val="22"/>
          <w:lang w:val="es-CO"/>
        </w:rPr>
        <w:t xml:space="preserve"> </w:t>
      </w:r>
      <w:r w:rsidRPr="008D3843">
        <w:rPr>
          <w:rFonts w:ascii="Bookman Old Style" w:hAnsi="Bookman Old Style"/>
          <w:i/>
          <w:sz w:val="22"/>
          <w:szCs w:val="22"/>
          <w:lang w:val="es-CO"/>
        </w:rPr>
        <w:t>las</w:t>
      </w:r>
      <w:r>
        <w:rPr>
          <w:rFonts w:ascii="Bookman Old Style" w:hAnsi="Bookman Old Style"/>
          <w:i/>
          <w:sz w:val="22"/>
          <w:szCs w:val="22"/>
          <w:lang w:val="es-CO"/>
        </w:rPr>
        <w:t xml:space="preserve"> </w:t>
      </w:r>
      <w:r w:rsidRPr="008D3843">
        <w:rPr>
          <w:rFonts w:ascii="Bookman Old Style" w:hAnsi="Bookman Old Style"/>
          <w:i/>
          <w:sz w:val="22"/>
          <w:szCs w:val="22"/>
          <w:lang w:val="es-CO"/>
        </w:rPr>
        <w:t>disposiciones</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Circular</w:t>
      </w:r>
      <w:r>
        <w:rPr>
          <w:rFonts w:ascii="Bookman Old Style" w:hAnsi="Bookman Old Style"/>
          <w:i/>
          <w:sz w:val="22"/>
          <w:szCs w:val="22"/>
          <w:lang w:val="es-CO"/>
        </w:rPr>
        <w:t xml:space="preserve"> </w:t>
      </w:r>
      <w:r w:rsidRPr="008D3843">
        <w:rPr>
          <w:rFonts w:ascii="Bookman Old Style" w:hAnsi="Bookman Old Style"/>
          <w:i/>
          <w:sz w:val="22"/>
          <w:szCs w:val="22"/>
          <w:lang w:val="es-CO"/>
        </w:rPr>
        <w:t>Conjunta SSPD – CREG 0001 de 2017.</w:t>
      </w:r>
      <w:r>
        <w:rPr>
          <w:rFonts w:ascii="Bookman Old Style" w:hAnsi="Bookman Old Style"/>
          <w:i/>
          <w:sz w:val="22"/>
          <w:szCs w:val="22"/>
          <w:lang w:val="es-CO"/>
        </w:rPr>
        <w:t xml:space="preserve"> </w:t>
      </w:r>
    </w:p>
    <w:p w14:paraId="4A297073" w14:textId="77777777" w:rsidR="003C1F2D" w:rsidRDefault="003C1F2D" w:rsidP="008734B9">
      <w:pPr>
        <w:pStyle w:val="Textoindependiente2"/>
        <w:spacing w:after="0" w:line="240" w:lineRule="auto"/>
        <w:jc w:val="both"/>
        <w:rPr>
          <w:rFonts w:ascii="Bookman Old Style" w:hAnsi="Bookman Old Style"/>
          <w:i/>
          <w:sz w:val="22"/>
          <w:szCs w:val="22"/>
          <w:lang w:val="es-CO"/>
        </w:rPr>
      </w:pPr>
    </w:p>
    <w:p w14:paraId="27591828" w14:textId="3184AE8F" w:rsidR="008D3843" w:rsidRDefault="008D3843" w:rsidP="008734B9">
      <w:pPr>
        <w:pStyle w:val="Textoindependiente2"/>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información</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tanques</w:t>
      </w:r>
      <w:r>
        <w:rPr>
          <w:rFonts w:ascii="Bookman Old Style" w:hAnsi="Bookman Old Style"/>
          <w:i/>
          <w:sz w:val="22"/>
          <w:szCs w:val="22"/>
          <w:lang w:val="es-CO"/>
        </w:rPr>
        <w:t xml:space="preserve"> </w:t>
      </w:r>
      <w:r w:rsidRPr="008D3843">
        <w:rPr>
          <w:rFonts w:ascii="Bookman Old Style" w:hAnsi="Bookman Old Style"/>
          <w:i/>
          <w:sz w:val="22"/>
          <w:szCs w:val="22"/>
          <w:lang w:val="es-CO"/>
        </w:rPr>
        <w:t>estacionarios</w:t>
      </w:r>
      <w:r>
        <w:rPr>
          <w:rFonts w:ascii="Bookman Old Style" w:hAnsi="Bookman Old Style"/>
          <w:i/>
          <w:sz w:val="22"/>
          <w:szCs w:val="22"/>
          <w:lang w:val="es-CO"/>
        </w:rPr>
        <w:t xml:space="preserve"> </w:t>
      </w:r>
      <w:r w:rsidRPr="008D3843">
        <w:rPr>
          <w:rFonts w:ascii="Bookman Old Style" w:hAnsi="Bookman Old Style"/>
          <w:i/>
          <w:sz w:val="22"/>
          <w:szCs w:val="22"/>
          <w:lang w:val="es-CO"/>
        </w:rPr>
        <w:t>que</w:t>
      </w:r>
      <w:r>
        <w:rPr>
          <w:rFonts w:ascii="Bookman Old Style" w:hAnsi="Bookman Old Style"/>
          <w:i/>
          <w:sz w:val="22"/>
          <w:szCs w:val="22"/>
          <w:lang w:val="es-CO"/>
        </w:rPr>
        <w:t xml:space="preserve"> </w:t>
      </w:r>
      <w:r w:rsidRPr="008D3843">
        <w:rPr>
          <w:rFonts w:ascii="Bookman Old Style" w:hAnsi="Bookman Old Style"/>
          <w:i/>
          <w:sz w:val="22"/>
          <w:szCs w:val="22"/>
          <w:lang w:val="es-CO"/>
        </w:rPr>
        <w:t>se</w:t>
      </w:r>
      <w:r>
        <w:rPr>
          <w:rFonts w:ascii="Bookman Old Style" w:hAnsi="Bookman Old Style"/>
          <w:i/>
          <w:sz w:val="22"/>
          <w:szCs w:val="22"/>
          <w:lang w:val="es-CO"/>
        </w:rPr>
        <w:t xml:space="preserve"> </w:t>
      </w:r>
      <w:r w:rsidRPr="008D3843">
        <w:rPr>
          <w:rFonts w:ascii="Bookman Old Style" w:hAnsi="Bookman Old Style"/>
          <w:i/>
          <w:sz w:val="22"/>
          <w:szCs w:val="22"/>
          <w:lang w:val="es-CO"/>
        </w:rPr>
        <w:t>envía</w:t>
      </w:r>
      <w:r>
        <w:rPr>
          <w:rFonts w:ascii="Bookman Old Style" w:hAnsi="Bookman Old Style"/>
          <w:i/>
          <w:sz w:val="22"/>
          <w:szCs w:val="22"/>
          <w:lang w:val="es-CO"/>
        </w:rPr>
        <w:t xml:space="preserve"> </w:t>
      </w:r>
      <w:r w:rsidRPr="008D3843">
        <w:rPr>
          <w:rFonts w:ascii="Bookman Old Style" w:hAnsi="Bookman Old Style"/>
          <w:i/>
          <w:sz w:val="22"/>
          <w:szCs w:val="22"/>
          <w:lang w:val="es-CO"/>
        </w:rPr>
        <w:t>en</w:t>
      </w:r>
      <w:r>
        <w:rPr>
          <w:rFonts w:ascii="Bookman Old Style" w:hAnsi="Bookman Old Style"/>
          <w:i/>
          <w:sz w:val="22"/>
          <w:szCs w:val="22"/>
          <w:lang w:val="es-CO"/>
        </w:rPr>
        <w:t xml:space="preserve"> </w:t>
      </w:r>
      <w:r w:rsidRPr="008D3843">
        <w:rPr>
          <w:rFonts w:ascii="Bookman Old Style" w:hAnsi="Bookman Old Style"/>
          <w:i/>
          <w:sz w:val="22"/>
          <w:szCs w:val="22"/>
          <w:lang w:val="es-CO"/>
        </w:rPr>
        <w:t>esta</w:t>
      </w:r>
      <w:r>
        <w:rPr>
          <w:rFonts w:ascii="Bookman Old Style" w:hAnsi="Bookman Old Style"/>
          <w:i/>
          <w:sz w:val="22"/>
          <w:szCs w:val="22"/>
          <w:lang w:val="es-CO"/>
        </w:rPr>
        <w:t xml:space="preserve"> </w:t>
      </w:r>
      <w:r w:rsidRPr="008D3843">
        <w:rPr>
          <w:rFonts w:ascii="Bookman Old Style" w:hAnsi="Bookman Old Style"/>
          <w:i/>
          <w:sz w:val="22"/>
          <w:szCs w:val="22"/>
          <w:lang w:val="es-CO"/>
        </w:rPr>
        <w:t>ocasión</w:t>
      </w:r>
      <w:r>
        <w:rPr>
          <w:rFonts w:ascii="Bookman Old Style" w:hAnsi="Bookman Old Style"/>
          <w:i/>
          <w:sz w:val="22"/>
          <w:szCs w:val="22"/>
          <w:lang w:val="es-CO"/>
        </w:rPr>
        <w:t xml:space="preserve"> </w:t>
      </w:r>
      <w:r w:rsidRPr="008D3843">
        <w:rPr>
          <w:rFonts w:ascii="Bookman Old Style" w:hAnsi="Bookman Old Style"/>
          <w:i/>
          <w:sz w:val="22"/>
          <w:szCs w:val="22"/>
          <w:lang w:val="es-CO"/>
        </w:rPr>
        <w:t>se</w:t>
      </w:r>
      <w:r>
        <w:rPr>
          <w:rFonts w:ascii="Bookman Old Style" w:hAnsi="Bookman Old Style"/>
          <w:i/>
          <w:sz w:val="22"/>
          <w:szCs w:val="22"/>
          <w:lang w:val="es-CO"/>
        </w:rPr>
        <w:t xml:space="preserve"> </w:t>
      </w:r>
      <w:r w:rsidRPr="008D3843">
        <w:rPr>
          <w:rFonts w:ascii="Bookman Old Style" w:hAnsi="Bookman Old Style"/>
          <w:i/>
          <w:sz w:val="22"/>
          <w:szCs w:val="22"/>
          <w:lang w:val="es-CO"/>
        </w:rPr>
        <w:t>recolectó</w:t>
      </w:r>
      <w:r>
        <w:rPr>
          <w:rFonts w:ascii="Bookman Old Style" w:hAnsi="Bookman Old Style"/>
          <w:i/>
          <w:sz w:val="22"/>
          <w:szCs w:val="22"/>
          <w:lang w:val="es-CO"/>
        </w:rPr>
        <w:t xml:space="preserve"> </w:t>
      </w:r>
      <w:r w:rsidRPr="008D3843">
        <w:rPr>
          <w:rFonts w:ascii="Bookman Old Style" w:hAnsi="Bookman Old Style"/>
          <w:i/>
          <w:sz w:val="22"/>
          <w:szCs w:val="22"/>
          <w:lang w:val="es-CO"/>
        </w:rPr>
        <w:t>sobre</w:t>
      </w:r>
      <w:r>
        <w:rPr>
          <w:rFonts w:ascii="Bookman Old Style" w:hAnsi="Bookman Old Style"/>
          <w:i/>
          <w:sz w:val="22"/>
          <w:szCs w:val="22"/>
          <w:lang w:val="es-CO"/>
        </w:rPr>
        <w:t xml:space="preserve"> </w:t>
      </w:r>
      <w:r w:rsidRPr="008D3843">
        <w:rPr>
          <w:rFonts w:ascii="Bookman Old Style" w:hAnsi="Bookman Old Style"/>
          <w:i/>
          <w:sz w:val="22"/>
          <w:szCs w:val="22"/>
          <w:lang w:val="es-CO"/>
        </w:rPr>
        <w:t>consulta directa</w:t>
      </w:r>
      <w:r>
        <w:rPr>
          <w:rFonts w:ascii="Bookman Old Style" w:hAnsi="Bookman Old Style"/>
          <w:i/>
          <w:sz w:val="22"/>
          <w:szCs w:val="22"/>
          <w:lang w:val="es-CO"/>
        </w:rPr>
        <w:t xml:space="preserve"> </w:t>
      </w:r>
      <w:r w:rsidRPr="008D3843">
        <w:rPr>
          <w:rFonts w:ascii="Bookman Old Style" w:hAnsi="Bookman Old Style"/>
          <w:i/>
          <w:sz w:val="22"/>
          <w:szCs w:val="22"/>
          <w:lang w:val="es-CO"/>
        </w:rPr>
        <w:t>en</w:t>
      </w:r>
      <w:r>
        <w:rPr>
          <w:rFonts w:ascii="Bookman Old Style" w:hAnsi="Bookman Old Style"/>
          <w:i/>
          <w:sz w:val="22"/>
          <w:szCs w:val="22"/>
          <w:lang w:val="es-CO"/>
        </w:rPr>
        <w:t xml:space="preserve"> </w:t>
      </w: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base</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datos</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lo</w:t>
      </w:r>
      <w:r>
        <w:rPr>
          <w:rFonts w:ascii="Bookman Old Style" w:hAnsi="Bookman Old Style"/>
          <w:i/>
          <w:sz w:val="22"/>
          <w:szCs w:val="22"/>
          <w:lang w:val="es-CO"/>
        </w:rPr>
        <w:t xml:space="preserve"> </w:t>
      </w:r>
      <w:r w:rsidRPr="008D3843">
        <w:rPr>
          <w:rFonts w:ascii="Bookman Old Style" w:hAnsi="Bookman Old Style"/>
          <w:i/>
          <w:sz w:val="22"/>
          <w:szCs w:val="22"/>
          <w:lang w:val="es-CO"/>
        </w:rPr>
        <w:t>reportado</w:t>
      </w:r>
      <w:r>
        <w:rPr>
          <w:rFonts w:ascii="Bookman Old Style" w:hAnsi="Bookman Old Style"/>
          <w:i/>
          <w:sz w:val="22"/>
          <w:szCs w:val="22"/>
          <w:lang w:val="es-CO"/>
        </w:rPr>
        <w:t xml:space="preserve"> </w:t>
      </w:r>
      <w:r w:rsidRPr="008D3843">
        <w:rPr>
          <w:rFonts w:ascii="Bookman Old Style" w:hAnsi="Bookman Old Style"/>
          <w:i/>
          <w:sz w:val="22"/>
          <w:szCs w:val="22"/>
          <w:lang w:val="es-CO"/>
        </w:rPr>
        <w:t>a</w:t>
      </w:r>
      <w:r>
        <w:rPr>
          <w:rFonts w:ascii="Bookman Old Style" w:hAnsi="Bookman Old Style"/>
          <w:i/>
          <w:sz w:val="22"/>
          <w:szCs w:val="22"/>
          <w:lang w:val="es-CO"/>
        </w:rPr>
        <w:t xml:space="preserve"> </w:t>
      </w:r>
      <w:r w:rsidRPr="008D3843">
        <w:rPr>
          <w:rFonts w:ascii="Bookman Old Style" w:hAnsi="Bookman Old Style"/>
          <w:i/>
          <w:sz w:val="22"/>
          <w:szCs w:val="22"/>
          <w:lang w:val="es-CO"/>
        </w:rPr>
        <w:t>través</w:t>
      </w:r>
      <w:r>
        <w:rPr>
          <w:rFonts w:ascii="Bookman Old Style" w:hAnsi="Bookman Old Style"/>
          <w:i/>
          <w:sz w:val="22"/>
          <w:szCs w:val="22"/>
          <w:lang w:val="es-CO"/>
        </w:rPr>
        <w:t xml:space="preserve"> </w:t>
      </w:r>
      <w:r w:rsidRPr="008D3843">
        <w:rPr>
          <w:rFonts w:ascii="Bookman Old Style" w:hAnsi="Bookman Old Style"/>
          <w:i/>
          <w:sz w:val="22"/>
          <w:szCs w:val="22"/>
          <w:lang w:val="es-CO"/>
        </w:rPr>
        <w:t>del</w:t>
      </w:r>
      <w:r>
        <w:rPr>
          <w:rFonts w:ascii="Bookman Old Style" w:hAnsi="Bookman Old Style"/>
          <w:i/>
          <w:sz w:val="22"/>
          <w:szCs w:val="22"/>
          <w:lang w:val="es-CO"/>
        </w:rPr>
        <w:t xml:space="preserve"> </w:t>
      </w:r>
      <w:r w:rsidRPr="008D3843">
        <w:rPr>
          <w:rFonts w:ascii="Bookman Old Style" w:hAnsi="Bookman Old Style"/>
          <w:i/>
          <w:sz w:val="22"/>
          <w:szCs w:val="22"/>
          <w:lang w:val="es-CO"/>
        </w:rPr>
        <w:t>Formato</w:t>
      </w:r>
      <w:r>
        <w:rPr>
          <w:rFonts w:ascii="Bookman Old Style" w:hAnsi="Bookman Old Style"/>
          <w:i/>
          <w:sz w:val="22"/>
          <w:szCs w:val="22"/>
          <w:lang w:val="es-CO"/>
        </w:rPr>
        <w:t xml:space="preserve"> </w:t>
      </w:r>
      <w:r w:rsidRPr="008D3843">
        <w:rPr>
          <w:rFonts w:ascii="Bookman Old Style" w:hAnsi="Bookman Old Style"/>
          <w:i/>
          <w:sz w:val="22"/>
          <w:szCs w:val="22"/>
          <w:lang w:val="es-CO"/>
        </w:rPr>
        <w:t>(1661)</w:t>
      </w:r>
      <w:r>
        <w:rPr>
          <w:rFonts w:ascii="Bookman Old Style" w:hAnsi="Bookman Old Style"/>
          <w:i/>
          <w:sz w:val="22"/>
          <w:szCs w:val="22"/>
          <w:lang w:val="es-CO"/>
        </w:rPr>
        <w:t xml:space="preserve"> </w:t>
      </w:r>
      <w:r w:rsidRPr="008D3843">
        <w:rPr>
          <w:rFonts w:ascii="Bookman Old Style" w:hAnsi="Bookman Old Style"/>
          <w:i/>
          <w:sz w:val="22"/>
          <w:szCs w:val="22"/>
          <w:lang w:val="es-CO"/>
        </w:rPr>
        <w:t>Tanques</w:t>
      </w:r>
      <w:r>
        <w:rPr>
          <w:rFonts w:ascii="Bookman Old Style" w:hAnsi="Bookman Old Style"/>
          <w:i/>
          <w:sz w:val="22"/>
          <w:szCs w:val="22"/>
          <w:lang w:val="es-CO"/>
        </w:rPr>
        <w:t xml:space="preserve"> </w:t>
      </w:r>
      <w:r w:rsidRPr="008D3843">
        <w:rPr>
          <w:rFonts w:ascii="Bookman Old Style" w:hAnsi="Bookman Old Style"/>
          <w:i/>
          <w:sz w:val="22"/>
          <w:szCs w:val="22"/>
          <w:lang w:val="es-CO"/>
        </w:rPr>
        <w:t>Estacionarios Atendidos</w:t>
      </w:r>
      <w:r>
        <w:rPr>
          <w:rFonts w:ascii="Bookman Old Style" w:hAnsi="Bookman Old Style"/>
          <w:i/>
          <w:sz w:val="22"/>
          <w:szCs w:val="22"/>
          <w:lang w:val="es-CO"/>
        </w:rPr>
        <w:t xml:space="preserve"> </w:t>
      </w:r>
      <w:r w:rsidRPr="008D3843">
        <w:rPr>
          <w:rFonts w:ascii="Bookman Old Style" w:hAnsi="Bookman Old Style"/>
          <w:i/>
          <w:sz w:val="22"/>
          <w:szCs w:val="22"/>
          <w:lang w:val="es-CO"/>
        </w:rPr>
        <w:t>por</w:t>
      </w:r>
      <w:r>
        <w:rPr>
          <w:rFonts w:ascii="Bookman Old Style" w:hAnsi="Bookman Old Style"/>
          <w:i/>
          <w:sz w:val="22"/>
          <w:szCs w:val="22"/>
          <w:lang w:val="es-CO"/>
        </w:rPr>
        <w:t xml:space="preserve"> </w:t>
      </w:r>
      <w:r w:rsidRPr="008D3843">
        <w:rPr>
          <w:rFonts w:ascii="Bookman Old Style" w:hAnsi="Bookman Old Style"/>
          <w:i/>
          <w:sz w:val="22"/>
          <w:szCs w:val="22"/>
          <w:lang w:val="es-CO"/>
        </w:rPr>
        <w:t>el</w:t>
      </w:r>
      <w:r>
        <w:rPr>
          <w:rFonts w:ascii="Bookman Old Style" w:hAnsi="Bookman Old Style"/>
          <w:i/>
          <w:sz w:val="22"/>
          <w:szCs w:val="22"/>
          <w:lang w:val="es-CO"/>
        </w:rPr>
        <w:t xml:space="preserve"> </w:t>
      </w:r>
      <w:r w:rsidRPr="008D3843">
        <w:rPr>
          <w:rFonts w:ascii="Bookman Old Style" w:hAnsi="Bookman Old Style"/>
          <w:i/>
          <w:sz w:val="22"/>
          <w:szCs w:val="22"/>
          <w:lang w:val="es-CO"/>
        </w:rPr>
        <w:t>Distribuidor</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Circular</w:t>
      </w:r>
      <w:r>
        <w:rPr>
          <w:rFonts w:ascii="Bookman Old Style" w:hAnsi="Bookman Old Style"/>
          <w:i/>
          <w:sz w:val="22"/>
          <w:szCs w:val="22"/>
          <w:lang w:val="es-CO"/>
        </w:rPr>
        <w:t xml:space="preserve"> </w:t>
      </w:r>
      <w:r w:rsidRPr="008D3843">
        <w:rPr>
          <w:rFonts w:ascii="Bookman Old Style" w:hAnsi="Bookman Old Style"/>
          <w:i/>
          <w:sz w:val="22"/>
          <w:szCs w:val="22"/>
          <w:lang w:val="es-CO"/>
        </w:rPr>
        <w:t>Conjunta</w:t>
      </w:r>
      <w:r>
        <w:rPr>
          <w:rFonts w:ascii="Bookman Old Style" w:hAnsi="Bookman Old Style"/>
          <w:i/>
          <w:sz w:val="22"/>
          <w:szCs w:val="22"/>
          <w:lang w:val="es-CO"/>
        </w:rPr>
        <w:t xml:space="preserve"> </w:t>
      </w:r>
      <w:r w:rsidRPr="008D3843">
        <w:rPr>
          <w:rFonts w:ascii="Bookman Old Style" w:hAnsi="Bookman Old Style"/>
          <w:i/>
          <w:sz w:val="22"/>
          <w:szCs w:val="22"/>
          <w:lang w:val="es-CO"/>
        </w:rPr>
        <w:t>SSPD–CREG1de2017,</w:t>
      </w:r>
      <w:r>
        <w:rPr>
          <w:rFonts w:ascii="Bookman Old Style" w:hAnsi="Bookman Old Style"/>
          <w:i/>
          <w:sz w:val="22"/>
          <w:szCs w:val="22"/>
          <w:lang w:val="es-CO"/>
        </w:rPr>
        <w:t xml:space="preserve"> </w:t>
      </w:r>
      <w:r w:rsidRPr="008D3843">
        <w:rPr>
          <w:rFonts w:ascii="Bookman Old Style" w:hAnsi="Bookman Old Style"/>
          <w:i/>
          <w:sz w:val="22"/>
          <w:szCs w:val="22"/>
          <w:lang w:val="es-CO"/>
        </w:rPr>
        <w:t>para</w:t>
      </w:r>
      <w:r>
        <w:rPr>
          <w:rFonts w:ascii="Bookman Old Style" w:hAnsi="Bookman Old Style"/>
          <w:i/>
          <w:sz w:val="22"/>
          <w:szCs w:val="22"/>
          <w:lang w:val="es-CO"/>
        </w:rPr>
        <w:t xml:space="preserve"> </w:t>
      </w:r>
      <w:r w:rsidRPr="008D3843">
        <w:rPr>
          <w:rFonts w:ascii="Bookman Old Style" w:hAnsi="Bookman Old Style"/>
          <w:i/>
          <w:sz w:val="22"/>
          <w:szCs w:val="22"/>
          <w:lang w:val="es-CO"/>
        </w:rPr>
        <w:t>el</w:t>
      </w:r>
      <w:r>
        <w:rPr>
          <w:rFonts w:ascii="Bookman Old Style" w:hAnsi="Bookman Old Style"/>
          <w:i/>
          <w:sz w:val="22"/>
          <w:szCs w:val="22"/>
          <w:lang w:val="es-CO"/>
        </w:rPr>
        <w:t xml:space="preserve"> </w:t>
      </w:r>
      <w:r w:rsidRPr="008D3843">
        <w:rPr>
          <w:rFonts w:ascii="Bookman Old Style" w:hAnsi="Bookman Old Style"/>
          <w:i/>
          <w:sz w:val="22"/>
          <w:szCs w:val="22"/>
          <w:lang w:val="es-CO"/>
        </w:rPr>
        <w:t>tercer trimestre</w:t>
      </w:r>
      <w:r>
        <w:rPr>
          <w:rFonts w:ascii="Bookman Old Style" w:hAnsi="Bookman Old Style"/>
          <w:i/>
          <w:sz w:val="22"/>
          <w:szCs w:val="22"/>
          <w:lang w:val="es-CO"/>
        </w:rPr>
        <w:t xml:space="preserve"> </w:t>
      </w:r>
      <w:r w:rsidRPr="008D3843">
        <w:rPr>
          <w:rFonts w:ascii="Bookman Old Style" w:hAnsi="Bookman Old Style"/>
          <w:i/>
          <w:sz w:val="22"/>
          <w:szCs w:val="22"/>
          <w:lang w:val="es-CO"/>
        </w:rPr>
        <w:t>(meses</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julio,</w:t>
      </w:r>
      <w:r>
        <w:rPr>
          <w:rFonts w:ascii="Bookman Old Style" w:hAnsi="Bookman Old Style"/>
          <w:i/>
          <w:sz w:val="22"/>
          <w:szCs w:val="22"/>
          <w:lang w:val="es-CO"/>
        </w:rPr>
        <w:t xml:space="preserve"> </w:t>
      </w:r>
      <w:r w:rsidRPr="008D3843">
        <w:rPr>
          <w:rFonts w:ascii="Bookman Old Style" w:hAnsi="Bookman Old Style"/>
          <w:i/>
          <w:sz w:val="22"/>
          <w:szCs w:val="22"/>
          <w:lang w:val="es-CO"/>
        </w:rPr>
        <w:t>agosto</w:t>
      </w:r>
      <w:r>
        <w:rPr>
          <w:rFonts w:ascii="Bookman Old Style" w:hAnsi="Bookman Old Style"/>
          <w:i/>
          <w:sz w:val="22"/>
          <w:szCs w:val="22"/>
          <w:lang w:val="es-CO"/>
        </w:rPr>
        <w:t xml:space="preserve"> </w:t>
      </w:r>
      <w:r w:rsidRPr="008D3843">
        <w:rPr>
          <w:rFonts w:ascii="Bookman Old Style" w:hAnsi="Bookman Old Style"/>
          <w:i/>
          <w:sz w:val="22"/>
          <w:szCs w:val="22"/>
          <w:lang w:val="es-CO"/>
        </w:rPr>
        <w:t>y</w:t>
      </w:r>
      <w:r>
        <w:rPr>
          <w:rFonts w:ascii="Bookman Old Style" w:hAnsi="Bookman Old Style"/>
          <w:i/>
          <w:sz w:val="22"/>
          <w:szCs w:val="22"/>
          <w:lang w:val="es-CO"/>
        </w:rPr>
        <w:t xml:space="preserve"> </w:t>
      </w:r>
      <w:r w:rsidRPr="008D3843">
        <w:rPr>
          <w:rFonts w:ascii="Bookman Old Style" w:hAnsi="Bookman Old Style"/>
          <w:i/>
          <w:sz w:val="22"/>
          <w:szCs w:val="22"/>
          <w:lang w:val="es-CO"/>
        </w:rPr>
        <w:t>septiembre)</w:t>
      </w:r>
      <w:r>
        <w:rPr>
          <w:rFonts w:ascii="Bookman Old Style" w:hAnsi="Bookman Old Style"/>
          <w:i/>
          <w:sz w:val="22"/>
          <w:szCs w:val="22"/>
          <w:lang w:val="es-CO"/>
        </w:rPr>
        <w:t xml:space="preserve"> </w:t>
      </w:r>
      <w:r w:rsidRPr="008D3843">
        <w:rPr>
          <w:rFonts w:ascii="Bookman Old Style" w:hAnsi="Bookman Old Style"/>
          <w:i/>
          <w:sz w:val="22"/>
          <w:szCs w:val="22"/>
          <w:lang w:val="es-CO"/>
        </w:rPr>
        <w:t>del</w:t>
      </w:r>
      <w:r>
        <w:rPr>
          <w:rFonts w:ascii="Bookman Old Style" w:hAnsi="Bookman Old Style"/>
          <w:i/>
          <w:sz w:val="22"/>
          <w:szCs w:val="22"/>
          <w:lang w:val="es-CO"/>
        </w:rPr>
        <w:t xml:space="preserve"> </w:t>
      </w:r>
      <w:r w:rsidRPr="008D3843">
        <w:rPr>
          <w:rFonts w:ascii="Bookman Old Style" w:hAnsi="Bookman Old Style"/>
          <w:i/>
          <w:sz w:val="22"/>
          <w:szCs w:val="22"/>
          <w:lang w:val="es-CO"/>
        </w:rPr>
        <w:t>año</w:t>
      </w:r>
      <w:r>
        <w:rPr>
          <w:rFonts w:ascii="Bookman Old Style" w:hAnsi="Bookman Old Style"/>
          <w:i/>
          <w:sz w:val="22"/>
          <w:szCs w:val="22"/>
          <w:lang w:val="es-CO"/>
        </w:rPr>
        <w:t xml:space="preserve"> </w:t>
      </w:r>
      <w:r w:rsidRPr="008D3843">
        <w:rPr>
          <w:rFonts w:ascii="Bookman Old Style" w:hAnsi="Bookman Old Style"/>
          <w:i/>
          <w:sz w:val="22"/>
          <w:szCs w:val="22"/>
          <w:lang w:val="es-CO"/>
        </w:rPr>
        <w:t>2022.</w:t>
      </w:r>
      <w:r>
        <w:rPr>
          <w:rFonts w:ascii="Bookman Old Style" w:hAnsi="Bookman Old Style"/>
          <w:i/>
          <w:sz w:val="22"/>
          <w:szCs w:val="22"/>
          <w:lang w:val="es-CO"/>
        </w:rPr>
        <w:t xml:space="preserve"> </w:t>
      </w:r>
      <w:r w:rsidRPr="008D3843">
        <w:rPr>
          <w:rFonts w:ascii="Bookman Old Style" w:hAnsi="Bookman Old Style"/>
          <w:i/>
          <w:sz w:val="22"/>
          <w:szCs w:val="22"/>
          <w:lang w:val="es-CO"/>
        </w:rPr>
        <w:t>Es</w:t>
      </w:r>
      <w:r>
        <w:rPr>
          <w:rFonts w:ascii="Bookman Old Style" w:hAnsi="Bookman Old Style"/>
          <w:i/>
          <w:sz w:val="22"/>
          <w:szCs w:val="22"/>
          <w:lang w:val="es-CO"/>
        </w:rPr>
        <w:t xml:space="preserve"> </w:t>
      </w:r>
      <w:r w:rsidRPr="008D3843">
        <w:rPr>
          <w:rFonts w:ascii="Bookman Old Style" w:hAnsi="Bookman Old Style"/>
          <w:i/>
          <w:sz w:val="22"/>
          <w:szCs w:val="22"/>
          <w:lang w:val="es-CO"/>
        </w:rPr>
        <w:t>de</w:t>
      </w:r>
      <w:r>
        <w:rPr>
          <w:rFonts w:ascii="Bookman Old Style" w:hAnsi="Bookman Old Style"/>
          <w:i/>
          <w:sz w:val="22"/>
          <w:szCs w:val="22"/>
          <w:lang w:val="es-CO"/>
        </w:rPr>
        <w:t xml:space="preserve"> </w:t>
      </w:r>
      <w:r w:rsidRPr="008D3843">
        <w:rPr>
          <w:rFonts w:ascii="Bookman Old Style" w:hAnsi="Bookman Old Style"/>
          <w:i/>
          <w:sz w:val="22"/>
          <w:szCs w:val="22"/>
          <w:lang w:val="es-CO"/>
        </w:rPr>
        <w:t>anotar</w:t>
      </w:r>
      <w:r>
        <w:rPr>
          <w:rFonts w:ascii="Bookman Old Style" w:hAnsi="Bookman Old Style"/>
          <w:i/>
          <w:sz w:val="22"/>
          <w:szCs w:val="22"/>
          <w:lang w:val="es-CO"/>
        </w:rPr>
        <w:t xml:space="preserve"> </w:t>
      </w:r>
      <w:r w:rsidRPr="008D3843">
        <w:rPr>
          <w:rFonts w:ascii="Bookman Old Style" w:hAnsi="Bookman Old Style"/>
          <w:i/>
          <w:sz w:val="22"/>
          <w:szCs w:val="22"/>
          <w:lang w:val="es-CO"/>
        </w:rPr>
        <w:t>que</w:t>
      </w:r>
      <w:r>
        <w:rPr>
          <w:rFonts w:ascii="Bookman Old Style" w:hAnsi="Bookman Old Style"/>
          <w:i/>
          <w:sz w:val="22"/>
          <w:szCs w:val="22"/>
          <w:lang w:val="es-CO"/>
        </w:rPr>
        <w:t xml:space="preserve"> </w:t>
      </w:r>
      <w:r w:rsidRPr="008D3843">
        <w:rPr>
          <w:rFonts w:ascii="Bookman Old Style" w:hAnsi="Bookman Old Style"/>
          <w:i/>
          <w:sz w:val="22"/>
          <w:szCs w:val="22"/>
          <w:lang w:val="es-CO"/>
        </w:rPr>
        <w:t>la</w:t>
      </w:r>
      <w:r>
        <w:rPr>
          <w:rFonts w:ascii="Bookman Old Style" w:hAnsi="Bookman Old Style"/>
          <w:i/>
          <w:sz w:val="22"/>
          <w:szCs w:val="22"/>
          <w:lang w:val="es-CO"/>
        </w:rPr>
        <w:t xml:space="preserve"> </w:t>
      </w:r>
      <w:r w:rsidRPr="008D3843">
        <w:rPr>
          <w:rFonts w:ascii="Bookman Old Style" w:hAnsi="Bookman Old Style"/>
          <w:i/>
          <w:sz w:val="22"/>
          <w:szCs w:val="22"/>
          <w:lang w:val="es-CO"/>
        </w:rPr>
        <w:t>siguiente</w:t>
      </w:r>
      <w:r>
        <w:rPr>
          <w:rFonts w:ascii="Bookman Old Style" w:hAnsi="Bookman Old Style"/>
          <w:i/>
          <w:sz w:val="22"/>
          <w:szCs w:val="22"/>
          <w:lang w:val="es-CO"/>
        </w:rPr>
        <w:t xml:space="preserve"> </w:t>
      </w:r>
      <w:r w:rsidRPr="008D3843">
        <w:rPr>
          <w:rFonts w:ascii="Bookman Old Style" w:hAnsi="Bookman Old Style"/>
          <w:i/>
          <w:sz w:val="22"/>
          <w:szCs w:val="22"/>
          <w:lang w:val="es-CO"/>
        </w:rPr>
        <w:t xml:space="preserve">fecha de cargue vence el 15 de enero del año 2023. </w:t>
      </w:r>
    </w:p>
    <w:p w14:paraId="4BEC9504" w14:textId="77777777" w:rsidR="008D3843" w:rsidRDefault="008D3843" w:rsidP="008734B9">
      <w:pPr>
        <w:pStyle w:val="Textoindependiente2"/>
        <w:spacing w:after="0" w:line="240" w:lineRule="auto"/>
        <w:jc w:val="both"/>
        <w:rPr>
          <w:rFonts w:ascii="Bookman Old Style" w:hAnsi="Bookman Old Style"/>
          <w:i/>
          <w:sz w:val="22"/>
          <w:szCs w:val="22"/>
          <w:lang w:val="es-CO"/>
        </w:rPr>
      </w:pPr>
    </w:p>
    <w:p w14:paraId="03DC2CC6" w14:textId="77777777" w:rsidR="009B0634" w:rsidRDefault="008D3843" w:rsidP="008734B9">
      <w:pPr>
        <w:pStyle w:val="Textoindependiente2"/>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 xml:space="preserve">El resumen de esta información es el siguiente: </w:t>
      </w:r>
    </w:p>
    <w:p w14:paraId="7B073CBD" w14:textId="77777777" w:rsidR="009B0634" w:rsidRDefault="009B0634" w:rsidP="008734B9">
      <w:pPr>
        <w:pStyle w:val="Textoindependiente2"/>
        <w:spacing w:after="0" w:line="240" w:lineRule="auto"/>
        <w:jc w:val="both"/>
        <w:rPr>
          <w:rFonts w:ascii="Bookman Old Style" w:hAnsi="Bookman Old Style"/>
          <w:i/>
          <w:sz w:val="22"/>
          <w:szCs w:val="22"/>
          <w:lang w:val="es-CO"/>
        </w:rPr>
      </w:pPr>
    </w:p>
    <w:p w14:paraId="6B324BED" w14:textId="77777777" w:rsidR="009B0634" w:rsidRDefault="008D3843" w:rsidP="009B0634">
      <w:pPr>
        <w:pStyle w:val="Textoindependiente2"/>
        <w:numPr>
          <w:ilvl w:val="0"/>
          <w:numId w:val="30"/>
        </w:numPr>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 xml:space="preserve">Cantidad de empresas operativas que reportan tanques en el tercer trimestre del 2022: 53 </w:t>
      </w:r>
    </w:p>
    <w:p w14:paraId="27ADB2DD" w14:textId="4E06853D" w:rsidR="009B0634" w:rsidRDefault="008D3843" w:rsidP="009B0634">
      <w:pPr>
        <w:pStyle w:val="Textoindependiente2"/>
        <w:numPr>
          <w:ilvl w:val="0"/>
          <w:numId w:val="30"/>
        </w:numPr>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 xml:space="preserve">Cantidad de tanques reportados a la fecha: 42.827 </w:t>
      </w:r>
    </w:p>
    <w:p w14:paraId="7DAA8AF3" w14:textId="77777777" w:rsidR="009B0634" w:rsidRDefault="008D3843" w:rsidP="009B0634">
      <w:pPr>
        <w:pStyle w:val="Textoindependiente2"/>
        <w:numPr>
          <w:ilvl w:val="0"/>
          <w:numId w:val="30"/>
        </w:numPr>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 xml:space="preserve">Capacidad en galones de los tanques: 16.930.395 </w:t>
      </w:r>
    </w:p>
    <w:p w14:paraId="5C68C77A" w14:textId="77777777" w:rsidR="009B0634" w:rsidRDefault="009B0634" w:rsidP="008734B9">
      <w:pPr>
        <w:pStyle w:val="Textoindependiente2"/>
        <w:spacing w:after="0" w:line="240" w:lineRule="auto"/>
        <w:jc w:val="both"/>
        <w:rPr>
          <w:rFonts w:ascii="Bookman Old Style" w:hAnsi="Bookman Old Style"/>
          <w:i/>
          <w:sz w:val="22"/>
          <w:szCs w:val="22"/>
          <w:lang w:val="es-CO"/>
        </w:rPr>
      </w:pPr>
    </w:p>
    <w:p w14:paraId="0F340E3F" w14:textId="77777777" w:rsidR="00E535E3" w:rsidRDefault="008D3843" w:rsidP="008734B9">
      <w:pPr>
        <w:pStyle w:val="Textoindependiente2"/>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Por</w:t>
      </w:r>
      <w:r w:rsidR="009B0634">
        <w:rPr>
          <w:rFonts w:ascii="Bookman Old Style" w:hAnsi="Bookman Old Style"/>
          <w:i/>
          <w:sz w:val="22"/>
          <w:szCs w:val="22"/>
          <w:lang w:val="es-CO"/>
        </w:rPr>
        <w:t xml:space="preserve"> </w:t>
      </w:r>
      <w:r w:rsidRPr="008D3843">
        <w:rPr>
          <w:rFonts w:ascii="Bookman Old Style" w:hAnsi="Bookman Old Style"/>
          <w:i/>
          <w:sz w:val="22"/>
          <w:szCs w:val="22"/>
          <w:lang w:val="es-CO"/>
        </w:rPr>
        <w:t>otra</w:t>
      </w:r>
      <w:r w:rsidR="009B0634">
        <w:rPr>
          <w:rFonts w:ascii="Bookman Old Style" w:hAnsi="Bookman Old Style"/>
          <w:i/>
          <w:sz w:val="22"/>
          <w:szCs w:val="22"/>
          <w:lang w:val="es-CO"/>
        </w:rPr>
        <w:t xml:space="preserve"> </w:t>
      </w:r>
      <w:r w:rsidRPr="008D3843">
        <w:rPr>
          <w:rFonts w:ascii="Bookman Old Style" w:hAnsi="Bookman Old Style"/>
          <w:i/>
          <w:sz w:val="22"/>
          <w:szCs w:val="22"/>
          <w:lang w:val="es-CO"/>
        </w:rPr>
        <w:t>parte,</w:t>
      </w:r>
      <w:r w:rsidR="009B0634">
        <w:rPr>
          <w:rFonts w:ascii="Bookman Old Style" w:hAnsi="Bookman Old Style"/>
          <w:i/>
          <w:sz w:val="22"/>
          <w:szCs w:val="22"/>
          <w:lang w:val="es-CO"/>
        </w:rPr>
        <w:t xml:space="preserve"> </w:t>
      </w:r>
      <w:r w:rsidRPr="008D3843">
        <w:rPr>
          <w:rFonts w:ascii="Bookman Old Style" w:hAnsi="Bookman Old Style"/>
          <w:i/>
          <w:sz w:val="22"/>
          <w:szCs w:val="22"/>
          <w:lang w:val="es-CO"/>
        </w:rPr>
        <w:t>cabe</w:t>
      </w:r>
      <w:r w:rsidR="009B0634">
        <w:rPr>
          <w:rFonts w:ascii="Bookman Old Style" w:hAnsi="Bookman Old Style"/>
          <w:i/>
          <w:sz w:val="22"/>
          <w:szCs w:val="22"/>
          <w:lang w:val="es-CO"/>
        </w:rPr>
        <w:t xml:space="preserve"> </w:t>
      </w:r>
      <w:r w:rsidRPr="008D3843">
        <w:rPr>
          <w:rFonts w:ascii="Bookman Old Style" w:hAnsi="Bookman Old Style"/>
          <w:i/>
          <w:sz w:val="22"/>
          <w:szCs w:val="22"/>
          <w:lang w:val="es-CO"/>
        </w:rPr>
        <w:t>precisar</w:t>
      </w:r>
      <w:r w:rsidR="009B0634">
        <w:rPr>
          <w:rFonts w:ascii="Bookman Old Style" w:hAnsi="Bookman Old Style"/>
          <w:i/>
          <w:sz w:val="22"/>
          <w:szCs w:val="22"/>
          <w:lang w:val="es-CO"/>
        </w:rPr>
        <w:t xml:space="preserve"> </w:t>
      </w:r>
      <w:r w:rsidRPr="008D3843">
        <w:rPr>
          <w:rFonts w:ascii="Bookman Old Style" w:hAnsi="Bookman Old Style"/>
          <w:i/>
          <w:sz w:val="22"/>
          <w:szCs w:val="22"/>
          <w:lang w:val="es-CO"/>
        </w:rPr>
        <w:t>que,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fecha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consulta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información,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 xml:space="preserve">siguientes </w:t>
      </w:r>
      <w:r w:rsidR="001F5F3B">
        <w:rPr>
          <w:rFonts w:ascii="Bookman Old Style" w:hAnsi="Bookman Old Style"/>
          <w:i/>
          <w:sz w:val="22"/>
          <w:szCs w:val="22"/>
          <w:lang w:val="es-CO"/>
        </w:rPr>
        <w:t>e</w:t>
      </w:r>
      <w:r w:rsidRPr="008D3843">
        <w:rPr>
          <w:rFonts w:ascii="Bookman Old Style" w:hAnsi="Bookman Old Style"/>
          <w:i/>
          <w:sz w:val="22"/>
          <w:szCs w:val="22"/>
          <w:lang w:val="es-CO"/>
        </w:rPr>
        <w:t>mpresas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no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habían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cargado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y</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certificado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SUI</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información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Formato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(1661)</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Tanques Estacionarios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Atendidos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por</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Distribuidor,</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para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tercer</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trimestre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2022,</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cual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tenía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como fecha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máxima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reporte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el</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15</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octubre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de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2022.</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Sin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embargo,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necesario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mencionar</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que dicho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Formato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se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encuentra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lastRenderedPageBreak/>
        <w:t>habilitado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y</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en</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estado</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“PENDIENTE”,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para</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que</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las</w:t>
      </w:r>
      <w:r w:rsidR="001F5F3B">
        <w:rPr>
          <w:rFonts w:ascii="Bookman Old Style" w:hAnsi="Bookman Old Style"/>
          <w:i/>
          <w:sz w:val="22"/>
          <w:szCs w:val="22"/>
          <w:lang w:val="es-CO"/>
        </w:rPr>
        <w:t xml:space="preserve"> </w:t>
      </w:r>
      <w:r w:rsidRPr="008D3843">
        <w:rPr>
          <w:rFonts w:ascii="Bookman Old Style" w:hAnsi="Bookman Old Style"/>
          <w:i/>
          <w:sz w:val="22"/>
          <w:szCs w:val="22"/>
          <w:lang w:val="es-CO"/>
        </w:rPr>
        <w:t xml:space="preserve">empresas cargaran y certificaran la información hasta antes de la fecha de corte que aquí se relaciona. </w:t>
      </w:r>
    </w:p>
    <w:p w14:paraId="0C3CCD41" w14:textId="77777777" w:rsidR="00E535E3" w:rsidRDefault="00E535E3" w:rsidP="008734B9">
      <w:pPr>
        <w:pStyle w:val="Textoindependiente2"/>
        <w:spacing w:after="0" w:line="240" w:lineRule="auto"/>
        <w:jc w:val="both"/>
        <w:rPr>
          <w:rFonts w:ascii="Bookman Old Style" w:hAnsi="Bookman Old Style"/>
          <w:i/>
          <w:sz w:val="22"/>
          <w:szCs w:val="22"/>
          <w:lang w:val="es-CO"/>
        </w:rPr>
      </w:pPr>
    </w:p>
    <w:p w14:paraId="6A238049" w14:textId="5B133DF5" w:rsidR="00355BDC" w:rsidRPr="007F78C1" w:rsidRDefault="008D3843" w:rsidP="008734B9">
      <w:pPr>
        <w:pStyle w:val="Textoindependiente2"/>
        <w:spacing w:after="0" w:line="240" w:lineRule="auto"/>
        <w:jc w:val="both"/>
        <w:rPr>
          <w:rFonts w:ascii="Bookman Old Style" w:hAnsi="Bookman Old Style"/>
          <w:i/>
          <w:sz w:val="22"/>
          <w:szCs w:val="22"/>
          <w:lang w:val="es-CO"/>
        </w:rPr>
      </w:pPr>
      <w:r w:rsidRPr="008D3843">
        <w:rPr>
          <w:rFonts w:ascii="Bookman Old Style" w:hAnsi="Bookman Old Style"/>
          <w:i/>
          <w:sz w:val="22"/>
          <w:szCs w:val="22"/>
          <w:lang w:val="es-CO"/>
        </w:rPr>
        <w:t>Así las cosas, las empresas que no han reportado la información son las siguientes:</w:t>
      </w:r>
    </w:p>
    <w:p w14:paraId="31531FFC" w14:textId="16C37781" w:rsidR="00297CDB" w:rsidRDefault="005367F6" w:rsidP="005367F6">
      <w:pPr>
        <w:pStyle w:val="Textoindependiente2"/>
        <w:spacing w:after="0" w:line="240" w:lineRule="auto"/>
        <w:jc w:val="center"/>
        <w:rPr>
          <w:rFonts w:ascii="Bookman Old Style" w:hAnsi="Bookman Old Style"/>
          <w:i/>
          <w:sz w:val="22"/>
          <w:szCs w:val="22"/>
          <w:lang w:val="es-CO"/>
        </w:rPr>
      </w:pPr>
      <w:r>
        <w:rPr>
          <w:noProof/>
        </w:rPr>
        <w:drawing>
          <wp:inline distT="0" distB="0" distL="0" distR="0" wp14:anchorId="63CC602F" wp14:editId="2115B28C">
            <wp:extent cx="3465790" cy="1361719"/>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75871" cy="1365680"/>
                    </a:xfrm>
                    <a:prstGeom prst="rect">
                      <a:avLst/>
                    </a:prstGeom>
                  </pic:spPr>
                </pic:pic>
              </a:graphicData>
            </a:graphic>
          </wp:inline>
        </w:drawing>
      </w:r>
    </w:p>
    <w:p w14:paraId="710881EA" w14:textId="77777777" w:rsidR="000F0772" w:rsidRDefault="000F0772" w:rsidP="005367F6">
      <w:pPr>
        <w:pStyle w:val="Textoindependiente2"/>
        <w:spacing w:after="0" w:line="240" w:lineRule="auto"/>
        <w:jc w:val="center"/>
        <w:rPr>
          <w:rFonts w:ascii="Bookman Old Style" w:hAnsi="Bookman Old Style"/>
          <w:i/>
          <w:sz w:val="22"/>
          <w:szCs w:val="22"/>
          <w:lang w:val="es-CO"/>
        </w:rPr>
      </w:pPr>
    </w:p>
    <w:p w14:paraId="125BEE7C" w14:textId="497FF3CF" w:rsidR="000F0772" w:rsidRDefault="000F0772" w:rsidP="000F0772">
      <w:pPr>
        <w:pStyle w:val="Textoindependiente2"/>
        <w:spacing w:after="0" w:line="240" w:lineRule="auto"/>
        <w:jc w:val="both"/>
        <w:rPr>
          <w:rFonts w:ascii="Bookman Old Style" w:hAnsi="Bookman Old Style"/>
          <w:i/>
          <w:sz w:val="22"/>
          <w:szCs w:val="22"/>
          <w:lang w:val="es-CO"/>
        </w:rPr>
      </w:pPr>
      <w:r w:rsidRPr="000F0772">
        <w:rPr>
          <w:rFonts w:ascii="Bookman Old Style" w:hAnsi="Bookman Old Style"/>
          <w:i/>
          <w:sz w:val="22"/>
          <w:szCs w:val="22"/>
          <w:lang w:val="es-CO"/>
        </w:rPr>
        <w:t>Por otra parte, las siguientes empresas, reportaron la información como “No Aplica”.</w:t>
      </w:r>
    </w:p>
    <w:p w14:paraId="7E054C4D" w14:textId="2E3E7DF4" w:rsidR="00D731BA" w:rsidRPr="00B33E99" w:rsidRDefault="000F0772" w:rsidP="00B5633D">
      <w:pPr>
        <w:pStyle w:val="Textoindependiente2"/>
        <w:spacing w:after="0" w:line="240" w:lineRule="auto"/>
        <w:jc w:val="center"/>
        <w:rPr>
          <w:rFonts w:ascii="Bookman Old Style" w:hAnsi="Bookman Old Style"/>
          <w:i/>
          <w:sz w:val="22"/>
          <w:szCs w:val="22"/>
        </w:rPr>
      </w:pPr>
      <w:r>
        <w:rPr>
          <w:noProof/>
        </w:rPr>
        <w:drawing>
          <wp:inline distT="0" distB="0" distL="0" distR="0" wp14:anchorId="7B28EC0F" wp14:editId="098A9E45">
            <wp:extent cx="4445147" cy="777283"/>
            <wp:effectExtent l="0" t="0" r="0" b="3810"/>
            <wp:docPr id="8" name="Imagen 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Descripción generada automáticamente"/>
                    <pic:cNvPicPr/>
                  </pic:nvPicPr>
                  <pic:blipFill>
                    <a:blip r:embed="rId16"/>
                    <a:stretch>
                      <a:fillRect/>
                    </a:stretch>
                  </pic:blipFill>
                  <pic:spPr>
                    <a:xfrm>
                      <a:off x="0" y="0"/>
                      <a:ext cx="4472559" cy="782076"/>
                    </a:xfrm>
                    <a:prstGeom prst="rect">
                      <a:avLst/>
                    </a:prstGeom>
                  </pic:spPr>
                </pic:pic>
              </a:graphicData>
            </a:graphic>
          </wp:inline>
        </w:drawing>
      </w:r>
      <w:r w:rsidR="0080659F" w:rsidRPr="00F402C1">
        <w:rPr>
          <w:rFonts w:ascii="Bookman Old Style" w:hAnsi="Bookman Old Style"/>
          <w:i/>
          <w:sz w:val="22"/>
          <w:szCs w:val="22"/>
          <w:lang w:val="es-CO"/>
        </w:rPr>
        <w:t>”</w:t>
      </w:r>
    </w:p>
    <w:p w14:paraId="04A9988F" w14:textId="77777777" w:rsidR="00B5633D" w:rsidRDefault="00B5633D" w:rsidP="00DE5054">
      <w:pPr>
        <w:spacing w:after="0" w:line="240" w:lineRule="auto"/>
        <w:jc w:val="both"/>
        <w:rPr>
          <w:rFonts w:ascii="Bookman Old Style" w:eastAsia="MS Mincho" w:hAnsi="Bookman Old Style" w:cs="Arial"/>
          <w:sz w:val="24"/>
          <w:szCs w:val="24"/>
          <w:lang w:val="es-ES"/>
        </w:rPr>
      </w:pPr>
    </w:p>
    <w:p w14:paraId="2DC1E014" w14:textId="07D0FBA6" w:rsidR="00551786" w:rsidRDefault="000F0772"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 xml:space="preserve">Posteriormente, </w:t>
      </w:r>
      <w:r w:rsidR="00EE5337">
        <w:rPr>
          <w:rFonts w:ascii="Bookman Old Style" w:eastAsia="MS Mincho" w:hAnsi="Bookman Old Style" w:cs="Arial"/>
          <w:sz w:val="24"/>
          <w:szCs w:val="24"/>
          <w:lang w:val="es-ES"/>
        </w:rPr>
        <w:t xml:space="preserve">mediante </w:t>
      </w:r>
      <w:r w:rsidR="00EE5337" w:rsidRPr="00EE5337">
        <w:rPr>
          <w:rFonts w:ascii="Bookman Old Style" w:eastAsia="MS Mincho" w:hAnsi="Bookman Old Style" w:cs="Arial"/>
          <w:sz w:val="24"/>
          <w:szCs w:val="24"/>
          <w:lang w:val="es-ES"/>
        </w:rPr>
        <w:t xml:space="preserve">la comunicación </w:t>
      </w:r>
      <w:r w:rsidR="00EE5337" w:rsidRPr="007B421F">
        <w:rPr>
          <w:rFonts w:ascii="Bookman Old Style" w:eastAsia="MS Mincho" w:hAnsi="Bookman Old Style" w:cs="Arial"/>
          <w:sz w:val="24"/>
          <w:szCs w:val="24"/>
          <w:lang w:val="es-ES"/>
        </w:rPr>
        <w:t>SSPD 20232320270171 radicado CREG E202</w:t>
      </w:r>
      <w:r w:rsidR="00D11AEA" w:rsidRPr="007B421F">
        <w:rPr>
          <w:rFonts w:ascii="Bookman Old Style" w:eastAsia="MS Mincho" w:hAnsi="Bookman Old Style" w:cs="Arial"/>
          <w:sz w:val="24"/>
          <w:szCs w:val="24"/>
          <w:lang w:val="es-ES"/>
        </w:rPr>
        <w:t>3</w:t>
      </w:r>
      <w:r w:rsidR="0089541C" w:rsidRPr="007B421F">
        <w:rPr>
          <w:rFonts w:ascii="Bookman Old Style" w:eastAsia="MS Mincho" w:hAnsi="Bookman Old Style" w:cs="Arial"/>
          <w:sz w:val="24"/>
          <w:szCs w:val="24"/>
          <w:lang w:val="es-ES"/>
        </w:rPr>
        <w:t>00912</w:t>
      </w:r>
      <w:r w:rsidR="00EE5337" w:rsidRPr="007B421F">
        <w:rPr>
          <w:rFonts w:ascii="Bookman Old Style" w:eastAsia="MS Mincho" w:hAnsi="Bookman Old Style" w:cs="Arial"/>
          <w:sz w:val="24"/>
          <w:szCs w:val="24"/>
          <w:lang w:val="es-ES"/>
        </w:rPr>
        <w:t xml:space="preserve"> del 2</w:t>
      </w:r>
      <w:r w:rsidR="00CD6B2E" w:rsidRPr="007B421F">
        <w:rPr>
          <w:rFonts w:ascii="Bookman Old Style" w:eastAsia="MS Mincho" w:hAnsi="Bookman Old Style" w:cs="Arial"/>
          <w:sz w:val="24"/>
          <w:szCs w:val="24"/>
          <w:lang w:val="es-ES"/>
        </w:rPr>
        <w:t>3</w:t>
      </w:r>
      <w:r w:rsidR="00EE5337" w:rsidRPr="007B421F">
        <w:rPr>
          <w:rFonts w:ascii="Bookman Old Style" w:eastAsia="MS Mincho" w:hAnsi="Bookman Old Style" w:cs="Arial"/>
          <w:sz w:val="24"/>
          <w:szCs w:val="24"/>
          <w:lang w:val="es-ES"/>
        </w:rPr>
        <w:t xml:space="preserve"> de enero de 2023</w:t>
      </w:r>
      <w:r w:rsidR="0050427D">
        <w:rPr>
          <w:rFonts w:ascii="Bookman Old Style" w:eastAsia="MS Mincho" w:hAnsi="Bookman Old Style" w:cs="Arial"/>
          <w:sz w:val="24"/>
          <w:szCs w:val="24"/>
          <w:lang w:val="es-ES"/>
        </w:rPr>
        <w:t xml:space="preserve"> la </w:t>
      </w:r>
      <w:r w:rsidR="0050427D" w:rsidRPr="0050427D">
        <w:rPr>
          <w:rFonts w:ascii="Bookman Old Style" w:eastAsia="MS Mincho" w:hAnsi="Bookman Old Style" w:cs="Arial"/>
          <w:sz w:val="24"/>
          <w:szCs w:val="24"/>
          <w:lang w:val="es-ES"/>
        </w:rPr>
        <w:t>Superintendencia, a través de la Superintendencia Delegada de Energía y Gas Combustible</w:t>
      </w:r>
      <w:r w:rsidR="0050427D">
        <w:rPr>
          <w:rFonts w:ascii="Bookman Old Style" w:eastAsia="MS Mincho" w:hAnsi="Bookman Old Style" w:cs="Arial"/>
          <w:sz w:val="24"/>
          <w:szCs w:val="24"/>
          <w:lang w:val="es-ES"/>
        </w:rPr>
        <w:t xml:space="preserve">, </w:t>
      </w:r>
      <w:r w:rsidR="00147A36">
        <w:rPr>
          <w:rFonts w:ascii="Bookman Old Style" w:eastAsia="MS Mincho" w:hAnsi="Bookman Old Style" w:cs="Arial"/>
          <w:sz w:val="24"/>
          <w:szCs w:val="24"/>
          <w:lang w:val="es-ES"/>
        </w:rPr>
        <w:t>remite a esta Comisión un a</w:t>
      </w:r>
      <w:r w:rsidR="00147A36" w:rsidRPr="00147A36">
        <w:rPr>
          <w:rFonts w:ascii="Bookman Old Style" w:eastAsia="MS Mincho" w:hAnsi="Bookman Old Style" w:cs="Arial"/>
          <w:sz w:val="24"/>
          <w:szCs w:val="24"/>
          <w:lang w:val="es-ES"/>
        </w:rPr>
        <w:t>lcance</w:t>
      </w:r>
      <w:r w:rsidR="00147A36">
        <w:rPr>
          <w:rFonts w:ascii="Bookman Old Style" w:eastAsia="MS Mincho" w:hAnsi="Bookman Old Style" w:cs="Arial"/>
          <w:sz w:val="24"/>
          <w:szCs w:val="24"/>
          <w:lang w:val="es-ES"/>
        </w:rPr>
        <w:t xml:space="preserve"> </w:t>
      </w:r>
      <w:r w:rsidR="00147A36" w:rsidRPr="00147A36">
        <w:rPr>
          <w:rFonts w:ascii="Bookman Old Style" w:eastAsia="MS Mincho" w:hAnsi="Bookman Old Style" w:cs="Arial"/>
          <w:sz w:val="24"/>
          <w:szCs w:val="24"/>
          <w:lang w:val="es-ES"/>
        </w:rPr>
        <w:t>al</w:t>
      </w:r>
      <w:r w:rsidR="00147A36">
        <w:rPr>
          <w:rFonts w:ascii="Bookman Old Style" w:eastAsia="MS Mincho" w:hAnsi="Bookman Old Style" w:cs="Arial"/>
          <w:sz w:val="24"/>
          <w:szCs w:val="24"/>
          <w:lang w:val="es-ES"/>
        </w:rPr>
        <w:t xml:space="preserve"> </w:t>
      </w:r>
      <w:r w:rsidR="00147A36" w:rsidRPr="00147A36">
        <w:rPr>
          <w:rFonts w:ascii="Bookman Old Style" w:eastAsia="MS Mincho" w:hAnsi="Bookman Old Style" w:cs="Arial"/>
          <w:sz w:val="24"/>
          <w:szCs w:val="24"/>
          <w:lang w:val="es-ES"/>
        </w:rPr>
        <w:t>oficio</w:t>
      </w:r>
      <w:r w:rsidR="00147A36">
        <w:rPr>
          <w:rFonts w:ascii="Bookman Old Style" w:eastAsia="MS Mincho" w:hAnsi="Bookman Old Style" w:cs="Arial"/>
          <w:sz w:val="24"/>
          <w:szCs w:val="24"/>
          <w:lang w:val="es-ES"/>
        </w:rPr>
        <w:t xml:space="preserve"> de r</w:t>
      </w:r>
      <w:r w:rsidR="00147A36" w:rsidRPr="00147A36">
        <w:rPr>
          <w:rFonts w:ascii="Bookman Old Style" w:eastAsia="MS Mincho" w:hAnsi="Bookman Old Style" w:cs="Arial"/>
          <w:sz w:val="24"/>
          <w:szCs w:val="24"/>
          <w:lang w:val="es-ES"/>
        </w:rPr>
        <w:t>adicado</w:t>
      </w:r>
      <w:r w:rsidR="00147A36">
        <w:rPr>
          <w:rFonts w:ascii="Bookman Old Style" w:eastAsia="MS Mincho" w:hAnsi="Bookman Old Style" w:cs="Arial"/>
          <w:sz w:val="24"/>
          <w:szCs w:val="24"/>
          <w:lang w:val="es-ES"/>
        </w:rPr>
        <w:t xml:space="preserve"> </w:t>
      </w:r>
      <w:r w:rsidR="00147A36" w:rsidRPr="007B421F">
        <w:rPr>
          <w:rFonts w:ascii="Bookman Old Style" w:eastAsia="MS Mincho" w:hAnsi="Bookman Old Style" w:cs="Arial"/>
          <w:sz w:val="24"/>
          <w:szCs w:val="24"/>
          <w:lang w:val="es-ES"/>
        </w:rPr>
        <w:t>SSPD 20225295097992</w:t>
      </w:r>
      <w:r w:rsidR="00147A36">
        <w:rPr>
          <w:rFonts w:ascii="Bookman Old Style" w:eastAsia="MS Mincho" w:hAnsi="Bookman Old Style" w:cs="Arial"/>
          <w:sz w:val="24"/>
          <w:szCs w:val="24"/>
          <w:lang w:val="es-ES"/>
        </w:rPr>
        <w:t xml:space="preserve"> </w:t>
      </w:r>
      <w:r w:rsidR="005F5EE8">
        <w:rPr>
          <w:rFonts w:ascii="Bookman Old Style" w:eastAsia="MS Mincho" w:hAnsi="Bookman Old Style" w:cs="Arial"/>
          <w:sz w:val="24"/>
          <w:szCs w:val="24"/>
          <w:lang w:val="es-ES"/>
        </w:rPr>
        <w:t xml:space="preserve">con </w:t>
      </w:r>
      <w:r w:rsidR="00551786" w:rsidRPr="00551786">
        <w:rPr>
          <w:rFonts w:ascii="Bookman Old Style" w:eastAsia="MS Mincho" w:hAnsi="Bookman Old Style" w:cs="Arial"/>
          <w:sz w:val="24"/>
          <w:szCs w:val="24"/>
          <w:lang w:val="es-ES"/>
        </w:rPr>
        <w:t>información</w:t>
      </w:r>
      <w:r w:rsidR="00551786">
        <w:rPr>
          <w:rFonts w:ascii="Bookman Old Style" w:eastAsia="MS Mincho" w:hAnsi="Bookman Old Style" w:cs="Arial"/>
          <w:sz w:val="24"/>
          <w:szCs w:val="24"/>
          <w:lang w:val="es-ES"/>
        </w:rPr>
        <w:t xml:space="preserve"> actualizada </w:t>
      </w:r>
      <w:r w:rsidR="00551786" w:rsidRPr="00551786">
        <w:rPr>
          <w:rFonts w:ascii="Bookman Old Style" w:eastAsia="MS Mincho" w:hAnsi="Bookman Old Style" w:cs="Arial"/>
          <w:sz w:val="24"/>
          <w:szCs w:val="24"/>
          <w:lang w:val="es-ES"/>
        </w:rPr>
        <w:t>para la definición de la capacidad de compra</w:t>
      </w:r>
      <w:r w:rsidR="00551786">
        <w:rPr>
          <w:rFonts w:ascii="Bookman Old Style" w:eastAsia="MS Mincho" w:hAnsi="Bookman Old Style" w:cs="Arial"/>
          <w:sz w:val="24"/>
          <w:szCs w:val="24"/>
          <w:lang w:val="es-ES"/>
        </w:rPr>
        <w:t xml:space="preserve"> exponiendo lo siguiente:</w:t>
      </w:r>
    </w:p>
    <w:p w14:paraId="75322590" w14:textId="77777777" w:rsidR="00551786" w:rsidRDefault="00551786" w:rsidP="00DE5054">
      <w:pPr>
        <w:spacing w:after="0" w:line="240" w:lineRule="auto"/>
        <w:jc w:val="both"/>
        <w:rPr>
          <w:rFonts w:ascii="Bookman Old Style" w:eastAsia="MS Mincho" w:hAnsi="Bookman Old Style" w:cs="Arial"/>
          <w:sz w:val="24"/>
          <w:szCs w:val="24"/>
          <w:lang w:val="es-ES"/>
        </w:rPr>
      </w:pPr>
    </w:p>
    <w:p w14:paraId="3A02C81D" w14:textId="19CB5A92" w:rsidR="00551786" w:rsidRPr="007421D7" w:rsidRDefault="007421D7" w:rsidP="007421D7">
      <w:pPr>
        <w:pStyle w:val="Textoindependiente2"/>
        <w:spacing w:after="0" w:line="240" w:lineRule="auto"/>
        <w:jc w:val="both"/>
        <w:rPr>
          <w:rFonts w:ascii="Bookman Old Style" w:hAnsi="Bookman Old Style"/>
          <w:i/>
          <w:sz w:val="22"/>
          <w:szCs w:val="22"/>
          <w:lang w:val="es-CO"/>
        </w:rPr>
      </w:pP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a</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fecha</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de</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consulta</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de información</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20</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de</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enero</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de</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2023,</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las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siguientes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empresas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tienen</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certificado</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en</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el</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Sistema</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Único de</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Información</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(SUI)</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la</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información</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del</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Formato</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(1661)</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Tanques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Estacionarios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Atendidos</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por</w:t>
      </w:r>
      <w:r>
        <w:rPr>
          <w:rFonts w:ascii="Bookman Old Style" w:hAnsi="Bookman Old Style"/>
          <w:i/>
          <w:sz w:val="22"/>
          <w:szCs w:val="22"/>
          <w:lang w:val="es-CO"/>
        </w:rPr>
        <w:t xml:space="preserve"> </w:t>
      </w:r>
      <w:r w:rsidR="00AF5BC5" w:rsidRPr="007421D7">
        <w:rPr>
          <w:rFonts w:ascii="Bookman Old Style" w:hAnsi="Bookman Old Style"/>
          <w:i/>
          <w:sz w:val="22"/>
          <w:szCs w:val="22"/>
          <w:lang w:val="es-CO"/>
        </w:rPr>
        <w:t>el Distribuidor, para el tercer trimestre del 2022, así:</w:t>
      </w:r>
    </w:p>
    <w:p w14:paraId="79D1BB13" w14:textId="62BDCFD7" w:rsidR="00AF5BC5" w:rsidRDefault="007421D7" w:rsidP="007421D7">
      <w:pPr>
        <w:spacing w:after="0" w:line="240" w:lineRule="auto"/>
        <w:jc w:val="center"/>
        <w:rPr>
          <w:rFonts w:ascii="Bookman Old Style" w:eastAsia="MS Mincho" w:hAnsi="Bookman Old Style" w:cs="Arial"/>
          <w:sz w:val="24"/>
          <w:szCs w:val="24"/>
          <w:lang w:val="es-ES"/>
        </w:rPr>
      </w:pPr>
      <w:r>
        <w:rPr>
          <w:noProof/>
        </w:rPr>
        <w:drawing>
          <wp:inline distT="0" distB="0" distL="0" distR="0" wp14:anchorId="26DB46E5" wp14:editId="4C365D98">
            <wp:extent cx="3271755" cy="1052934"/>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1967" cy="1065875"/>
                    </a:xfrm>
                    <a:prstGeom prst="rect">
                      <a:avLst/>
                    </a:prstGeom>
                  </pic:spPr>
                </pic:pic>
              </a:graphicData>
            </a:graphic>
          </wp:inline>
        </w:drawing>
      </w:r>
    </w:p>
    <w:p w14:paraId="5F77DEE4" w14:textId="1107AA39" w:rsidR="000F0772" w:rsidRDefault="00A83E28" w:rsidP="00955BE9">
      <w:pPr>
        <w:pStyle w:val="Textoindependiente2"/>
        <w:spacing w:before="120" w:after="0" w:line="240" w:lineRule="auto"/>
        <w:jc w:val="both"/>
        <w:rPr>
          <w:rFonts w:ascii="Bookman Old Style" w:hAnsi="Bookman Old Style"/>
          <w:i/>
          <w:sz w:val="22"/>
          <w:szCs w:val="22"/>
          <w:lang w:val="es-CO"/>
        </w:rPr>
      </w:pPr>
      <w:r w:rsidRPr="00A83E28">
        <w:rPr>
          <w:rFonts w:ascii="Bookman Old Style" w:hAnsi="Bookman Old Style"/>
          <w:i/>
          <w:sz w:val="22"/>
          <w:szCs w:val="22"/>
          <w:lang w:val="es-CO"/>
        </w:rPr>
        <w:t>Asimismo, se reitera que las empresas que no han reportado la información son las siguientes:</w:t>
      </w:r>
    </w:p>
    <w:p w14:paraId="35FBB84D" w14:textId="02798F1E" w:rsidR="00A83E28" w:rsidRPr="00A83E28" w:rsidRDefault="001D16DB" w:rsidP="00955BE9">
      <w:pPr>
        <w:pStyle w:val="Textoindependiente2"/>
        <w:spacing w:line="240" w:lineRule="auto"/>
        <w:jc w:val="center"/>
        <w:rPr>
          <w:rFonts w:ascii="Bookman Old Style" w:hAnsi="Bookman Old Style"/>
          <w:i/>
          <w:sz w:val="22"/>
          <w:szCs w:val="22"/>
          <w:lang w:val="es-CO"/>
        </w:rPr>
      </w:pPr>
      <w:r>
        <w:rPr>
          <w:noProof/>
        </w:rPr>
        <w:drawing>
          <wp:inline distT="0" distB="0" distL="0" distR="0" wp14:anchorId="645CA3B1" wp14:editId="08C57895">
            <wp:extent cx="3398608" cy="959718"/>
            <wp:effectExtent l="0" t="0" r="0" b="0"/>
            <wp:docPr id="10"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pic:nvPicPr>
                  <pic:blipFill>
                    <a:blip r:embed="rId18"/>
                    <a:stretch>
                      <a:fillRect/>
                    </a:stretch>
                  </pic:blipFill>
                  <pic:spPr>
                    <a:xfrm>
                      <a:off x="0" y="0"/>
                      <a:ext cx="3407764" cy="962304"/>
                    </a:xfrm>
                    <a:prstGeom prst="rect">
                      <a:avLst/>
                    </a:prstGeom>
                  </pic:spPr>
                </pic:pic>
              </a:graphicData>
            </a:graphic>
          </wp:inline>
        </w:drawing>
      </w:r>
      <w:r w:rsidR="00B5633D" w:rsidRPr="00F402C1">
        <w:rPr>
          <w:rFonts w:ascii="Bookman Old Style" w:hAnsi="Bookman Old Style"/>
          <w:i/>
          <w:sz w:val="22"/>
          <w:szCs w:val="22"/>
          <w:lang w:val="es-CO"/>
        </w:rPr>
        <w:t>”</w:t>
      </w:r>
    </w:p>
    <w:p w14:paraId="5DF21A3E" w14:textId="15B95292" w:rsidR="00346950" w:rsidRDefault="00DE5054" w:rsidP="00DE5054">
      <w:pPr>
        <w:spacing w:after="0" w:line="240" w:lineRule="auto"/>
        <w:jc w:val="both"/>
        <w:rPr>
          <w:rFonts w:ascii="Bookman Old Style" w:eastAsia="MS Mincho" w:hAnsi="Bookman Old Style" w:cs="Arial"/>
          <w:sz w:val="24"/>
          <w:szCs w:val="24"/>
          <w:lang w:val="es-ES"/>
        </w:rPr>
      </w:pPr>
      <w:r w:rsidRPr="34A6AC97">
        <w:rPr>
          <w:rFonts w:ascii="Bookman Old Style" w:eastAsia="MS Mincho" w:hAnsi="Bookman Old Style" w:cs="Arial"/>
          <w:sz w:val="24"/>
          <w:szCs w:val="24"/>
          <w:lang w:val="es-ES"/>
        </w:rPr>
        <w:t xml:space="preserve">Una vez expuesto lo anterior, esta Comisión cuenta con la información oficial, pertinente, necesaria y útil, para lo cual procede a llevar a cabo el cálculo para la definición de la capacidad de compra a que hace referencia el artículo 8° de la </w:t>
      </w:r>
      <w:r w:rsidRPr="34A6AC97">
        <w:rPr>
          <w:rFonts w:ascii="Bookman Old Style" w:eastAsia="Times New Roman" w:hAnsi="Bookman Old Style" w:cs="Times New Roman"/>
          <w:sz w:val="24"/>
          <w:szCs w:val="24"/>
          <w:lang w:val="es-ES" w:eastAsia="es-ES"/>
        </w:rPr>
        <w:t>Resolución</w:t>
      </w:r>
      <w:r w:rsidRPr="34A6AC97">
        <w:rPr>
          <w:rFonts w:ascii="Bookman Old Style" w:eastAsia="MS Mincho" w:hAnsi="Bookman Old Style" w:cs="Arial"/>
          <w:sz w:val="24"/>
          <w:szCs w:val="24"/>
          <w:lang w:val="es-ES"/>
        </w:rPr>
        <w:t xml:space="preserve"> CREG 063 de 2016 para cada distribuidor de GLP, en los términos allí previstos, aplicable </w:t>
      </w:r>
      <w:r w:rsidRPr="008D3260">
        <w:rPr>
          <w:rFonts w:ascii="Bookman Old Style" w:eastAsia="MS Mincho" w:hAnsi="Bookman Old Style" w:cs="Arial"/>
          <w:sz w:val="24"/>
          <w:szCs w:val="24"/>
          <w:lang w:val="es-ES"/>
        </w:rPr>
        <w:t xml:space="preserve">para el </w:t>
      </w:r>
      <w:r w:rsidR="002562A8" w:rsidRPr="007B421F">
        <w:rPr>
          <w:rFonts w:ascii="Bookman Old Style" w:eastAsia="MS Mincho" w:hAnsi="Bookman Old Style" w:cs="Arial"/>
          <w:sz w:val="24"/>
          <w:szCs w:val="24"/>
          <w:lang w:val="es-ES"/>
        </w:rPr>
        <w:t xml:space="preserve">décimo </w:t>
      </w:r>
      <w:r w:rsidR="00D7371E" w:rsidRPr="007B421F">
        <w:rPr>
          <w:rFonts w:ascii="Bookman Old Style" w:eastAsia="MS Mincho" w:hAnsi="Bookman Old Style" w:cs="Arial"/>
          <w:sz w:val="24"/>
          <w:szCs w:val="24"/>
          <w:lang w:val="es-ES"/>
        </w:rPr>
        <w:t xml:space="preserve">cuarto </w:t>
      </w:r>
      <w:r w:rsidR="00346950" w:rsidRPr="007B421F">
        <w:rPr>
          <w:rFonts w:ascii="Bookman Old Style" w:eastAsia="MS Mincho" w:hAnsi="Bookman Old Style" w:cs="Arial"/>
          <w:sz w:val="24"/>
          <w:szCs w:val="24"/>
          <w:lang w:val="es-ES"/>
        </w:rPr>
        <w:t>período de compra</w:t>
      </w:r>
      <w:r w:rsidR="00346950" w:rsidRPr="34A6AC97">
        <w:rPr>
          <w:rFonts w:ascii="Bookman Old Style" w:eastAsia="MS Mincho" w:hAnsi="Bookman Old Style" w:cs="Arial"/>
          <w:sz w:val="24"/>
          <w:szCs w:val="24"/>
          <w:lang w:val="es-ES"/>
        </w:rPr>
        <w:t>.</w:t>
      </w:r>
    </w:p>
    <w:p w14:paraId="2BE593E4" w14:textId="77777777" w:rsidR="00346950" w:rsidRDefault="00346950" w:rsidP="00DE5054">
      <w:pPr>
        <w:spacing w:after="0" w:line="240" w:lineRule="auto"/>
        <w:jc w:val="both"/>
        <w:rPr>
          <w:rFonts w:ascii="Bookman Old Style" w:eastAsia="MS Mincho" w:hAnsi="Bookman Old Style" w:cs="Arial"/>
          <w:sz w:val="24"/>
          <w:szCs w:val="24"/>
          <w:lang w:val="es-ES"/>
        </w:rPr>
      </w:pPr>
    </w:p>
    <w:p w14:paraId="216763BA" w14:textId="6F754F56" w:rsidR="00DE5054" w:rsidRDefault="00AE4E4C"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 xml:space="preserve">Lo anterior, en la medida </w:t>
      </w:r>
      <w:r w:rsidR="00A47D41">
        <w:rPr>
          <w:rFonts w:ascii="Bookman Old Style" w:eastAsia="MS Mincho" w:hAnsi="Bookman Old Style" w:cs="Arial"/>
          <w:sz w:val="24"/>
          <w:szCs w:val="24"/>
          <w:lang w:val="es-ES"/>
        </w:rPr>
        <w:t xml:space="preserve">en </w:t>
      </w:r>
      <w:r>
        <w:rPr>
          <w:rFonts w:ascii="Bookman Old Style" w:eastAsia="MS Mincho" w:hAnsi="Bookman Old Style" w:cs="Arial"/>
          <w:sz w:val="24"/>
          <w:szCs w:val="24"/>
          <w:lang w:val="es-ES"/>
        </w:rPr>
        <w:t>que</w:t>
      </w:r>
      <w:r w:rsidR="008C7C6D" w:rsidRPr="0087487D">
        <w:rPr>
          <w:rFonts w:ascii="Bookman Old Style" w:eastAsia="MS Mincho" w:hAnsi="Bookman Old Style" w:cs="Arial"/>
          <w:sz w:val="24"/>
          <w:szCs w:val="24"/>
          <w:lang w:val="es-ES"/>
        </w:rPr>
        <w:t xml:space="preserve"> la información del SUI </w:t>
      </w:r>
      <w:r>
        <w:rPr>
          <w:rFonts w:ascii="Bookman Old Style" w:eastAsia="MS Mincho" w:hAnsi="Bookman Old Style" w:cs="Arial"/>
          <w:sz w:val="24"/>
          <w:szCs w:val="24"/>
          <w:lang w:val="es-ES"/>
        </w:rPr>
        <w:t xml:space="preserve">corresponde a aquella con la cual se </w:t>
      </w:r>
      <w:r w:rsidR="008C7C6D" w:rsidRPr="0087487D">
        <w:rPr>
          <w:rFonts w:ascii="Bookman Old Style" w:eastAsia="MS Mincho" w:hAnsi="Bookman Old Style" w:cs="Arial"/>
          <w:sz w:val="24"/>
          <w:szCs w:val="24"/>
          <w:lang w:val="es-ES"/>
        </w:rPr>
        <w:t xml:space="preserve">debe determinar la capacidad de compra en los términos del </w:t>
      </w:r>
      <w:r w:rsidR="008C7C6D" w:rsidRPr="0087487D">
        <w:rPr>
          <w:rFonts w:ascii="Bookman Old Style" w:eastAsia="MS Mincho" w:hAnsi="Bookman Old Style" w:cs="Arial"/>
          <w:sz w:val="24"/>
          <w:szCs w:val="24"/>
          <w:lang w:val="es-ES"/>
        </w:rPr>
        <w:lastRenderedPageBreak/>
        <w:t>artículo 14 de l</w:t>
      </w:r>
      <w:r w:rsidR="003401B5" w:rsidRPr="0087487D">
        <w:rPr>
          <w:rFonts w:ascii="Bookman Old Style" w:eastAsia="MS Mincho" w:hAnsi="Bookman Old Style" w:cs="Arial"/>
          <w:sz w:val="24"/>
          <w:szCs w:val="24"/>
          <w:lang w:val="es-ES"/>
        </w:rPr>
        <w:t>a Ley 689 de 2001 y la Resolución CREG 063 de 2016.</w:t>
      </w:r>
      <w:r>
        <w:rPr>
          <w:rFonts w:ascii="Bookman Old Style" w:eastAsia="MS Mincho" w:hAnsi="Bookman Old Style" w:cs="Arial"/>
          <w:sz w:val="24"/>
          <w:szCs w:val="24"/>
          <w:lang w:val="es-ES"/>
        </w:rPr>
        <w:t xml:space="preserve"> Esto, teniendo en cuenta que dicha</w:t>
      </w:r>
      <w:r w:rsidR="003401B5" w:rsidRPr="0087487D">
        <w:rPr>
          <w:rFonts w:ascii="Bookman Old Style" w:eastAsia="MS Mincho" w:hAnsi="Bookman Old Style" w:cs="Arial"/>
          <w:sz w:val="24"/>
          <w:szCs w:val="24"/>
          <w:lang w:val="es-ES"/>
        </w:rPr>
        <w:t xml:space="preserve"> información y su reporte</w:t>
      </w:r>
      <w:r w:rsidR="004A1394" w:rsidRPr="0087487D">
        <w:rPr>
          <w:rFonts w:ascii="Bookman Old Style" w:eastAsia="MS Mincho" w:hAnsi="Bookman Old Style" w:cs="Arial"/>
          <w:sz w:val="24"/>
          <w:szCs w:val="24"/>
          <w:lang w:val="es-ES"/>
        </w:rPr>
        <w:t xml:space="preserve"> al SUI</w:t>
      </w:r>
      <w:r w:rsidR="003401B5" w:rsidRPr="0087487D">
        <w:rPr>
          <w:rFonts w:ascii="Bookman Old Style" w:eastAsia="MS Mincho" w:hAnsi="Bookman Old Style" w:cs="Arial"/>
          <w:sz w:val="24"/>
          <w:szCs w:val="24"/>
          <w:lang w:val="es-ES"/>
        </w:rPr>
        <w:t xml:space="preserve"> corresponde a una obligación regulatoria a cargo de los distribuidores prevista en la Resolución CREG 023 de 2008, cuya aplicación se encuentra prevista y definida en las Circulares CREG – SSPD 001 de 2004 y 001 de 2017. </w:t>
      </w:r>
    </w:p>
    <w:p w14:paraId="16699E81" w14:textId="77777777" w:rsidR="00513B41" w:rsidRDefault="00513B41" w:rsidP="00DE5054">
      <w:pPr>
        <w:spacing w:after="0" w:line="240" w:lineRule="auto"/>
        <w:jc w:val="both"/>
        <w:rPr>
          <w:rFonts w:ascii="Bookman Old Style" w:eastAsia="MS Mincho" w:hAnsi="Bookman Old Style" w:cs="Arial"/>
          <w:sz w:val="24"/>
          <w:szCs w:val="24"/>
          <w:lang w:val="es-ES"/>
        </w:rPr>
      </w:pPr>
    </w:p>
    <w:p w14:paraId="6CF27CB9" w14:textId="77777777" w:rsidR="00513B41" w:rsidRDefault="00513B41" w:rsidP="00DE5054">
      <w:pPr>
        <w:spacing w:after="0" w:line="240" w:lineRule="auto"/>
        <w:jc w:val="both"/>
        <w:rPr>
          <w:rFonts w:ascii="Bookman Old Style" w:eastAsia="MS Mincho" w:hAnsi="Bookman Old Style" w:cs="Arial"/>
          <w:sz w:val="24"/>
          <w:szCs w:val="24"/>
          <w:lang w:val="es-ES"/>
        </w:rPr>
      </w:pPr>
      <w:r w:rsidRPr="00513B41">
        <w:rPr>
          <w:rFonts w:ascii="Bookman Old Style" w:eastAsia="MS Mincho" w:hAnsi="Bookman Old Style" w:cs="Arial"/>
          <w:sz w:val="24"/>
          <w:szCs w:val="24"/>
          <w:lang w:val="es-ES"/>
        </w:rPr>
        <w:t>Esta información hace parte de los expedientes administrativos dentro del trámite de la actuación administrativa en el marco del debido proceso y el derecho de defensa.</w:t>
      </w:r>
    </w:p>
    <w:p w14:paraId="2DA7B873" w14:textId="0A8C63D3" w:rsidR="00FD554B" w:rsidRDefault="00FD554B" w:rsidP="00DE5054">
      <w:pPr>
        <w:spacing w:after="0" w:line="240" w:lineRule="auto"/>
        <w:jc w:val="both"/>
        <w:rPr>
          <w:rFonts w:ascii="Bookman Old Style" w:eastAsia="MS Mincho" w:hAnsi="Bookman Old Style" w:cs="Arial"/>
          <w:sz w:val="24"/>
          <w:szCs w:val="24"/>
          <w:lang w:val="es-ES"/>
        </w:rPr>
      </w:pPr>
    </w:p>
    <w:p w14:paraId="4EBA52D7" w14:textId="4E2B5F79" w:rsidR="00234404" w:rsidRPr="00456685" w:rsidRDefault="001303F4" w:rsidP="00456685">
      <w:pPr>
        <w:spacing w:after="0" w:line="240" w:lineRule="auto"/>
        <w:jc w:val="both"/>
        <w:rPr>
          <w:rFonts w:ascii="Bookman Old Style" w:eastAsia="MS Mincho" w:hAnsi="Bookman Old Style" w:cs="Arial"/>
          <w:sz w:val="24"/>
          <w:szCs w:val="24"/>
          <w:lang w:val="es-ES"/>
        </w:rPr>
      </w:pPr>
      <w:bookmarkStart w:id="2" w:name="_Hlk37682999"/>
      <w:r>
        <w:rPr>
          <w:rFonts w:ascii="Bookman Old Style" w:eastAsia="MS Mincho" w:hAnsi="Bookman Old Style" w:cs="Arial"/>
          <w:sz w:val="24"/>
          <w:szCs w:val="24"/>
          <w:lang w:val="es-ES"/>
        </w:rPr>
        <w:t xml:space="preserve">Lo previsto en el precitado artículo </w:t>
      </w:r>
      <w:r w:rsidR="00234404" w:rsidRPr="009104B9">
        <w:rPr>
          <w:rFonts w:ascii="Bookman Old Style" w:eastAsia="MS Mincho" w:hAnsi="Bookman Old Style" w:cs="Arial"/>
          <w:sz w:val="24"/>
          <w:szCs w:val="24"/>
          <w:lang w:val="es-ES"/>
        </w:rPr>
        <w:t>debe entender</w:t>
      </w:r>
      <w:r>
        <w:rPr>
          <w:rFonts w:ascii="Bookman Old Style" w:eastAsia="MS Mincho" w:hAnsi="Bookman Old Style" w:cs="Arial"/>
          <w:sz w:val="24"/>
          <w:szCs w:val="24"/>
          <w:lang w:val="es-ES"/>
        </w:rPr>
        <w:t>se</w:t>
      </w:r>
      <w:r w:rsidR="00234404" w:rsidRPr="009104B9">
        <w:rPr>
          <w:rFonts w:ascii="Bookman Old Style" w:eastAsia="MS Mincho" w:hAnsi="Bookman Old Style" w:cs="Arial"/>
          <w:sz w:val="24"/>
          <w:szCs w:val="24"/>
          <w:lang w:val="es-ES"/>
        </w:rPr>
        <w:t xml:space="preserve"> concordante con lo establecido en el artículo 14 de la Ley 689 de 20</w:t>
      </w:r>
      <w:r w:rsidR="00143447" w:rsidRPr="009104B9">
        <w:rPr>
          <w:rFonts w:ascii="Bookman Old Style" w:eastAsia="MS Mincho" w:hAnsi="Bookman Old Style" w:cs="Arial"/>
          <w:sz w:val="24"/>
          <w:szCs w:val="24"/>
          <w:lang w:val="es-ES"/>
        </w:rPr>
        <w:t>0</w:t>
      </w:r>
      <w:r w:rsidR="00234404" w:rsidRPr="009104B9">
        <w:rPr>
          <w:rFonts w:ascii="Bookman Old Style" w:eastAsia="MS Mincho" w:hAnsi="Bookman Old Style" w:cs="Arial"/>
          <w:sz w:val="24"/>
          <w:szCs w:val="24"/>
          <w:lang w:val="es-ES"/>
        </w:rPr>
        <w:t>1 y el carácter oficial de la información reportada por los agentes en el Sistema Único de Información</w:t>
      </w:r>
      <w:r w:rsidR="00A47D41">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SUI</w:t>
      </w:r>
      <w:r w:rsidR="00A47D41">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y el Registro Único de Prestadores</w:t>
      </w:r>
      <w:r w:rsidR="00A47D41">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RUPS</w:t>
      </w:r>
      <w:bookmarkStart w:id="3" w:name="_Hlk37683024"/>
      <w:bookmarkEnd w:id="2"/>
      <w:r w:rsidR="00D569AB" w:rsidRPr="009104B9">
        <w:rPr>
          <w:rFonts w:ascii="Bookman Old Style" w:eastAsia="MS Mincho" w:hAnsi="Bookman Old Style" w:cs="Arial"/>
          <w:sz w:val="24"/>
          <w:szCs w:val="24"/>
          <w:lang w:val="es-ES"/>
        </w:rPr>
        <w:t xml:space="preserve">. </w:t>
      </w:r>
      <w:bookmarkEnd w:id="3"/>
    </w:p>
    <w:p w14:paraId="10EE4A98" w14:textId="77777777" w:rsidR="00AE4E4C" w:rsidRPr="00143447" w:rsidRDefault="00AE4E4C" w:rsidP="00DE5054">
      <w:pPr>
        <w:spacing w:after="0" w:line="240" w:lineRule="auto"/>
        <w:jc w:val="both"/>
        <w:rPr>
          <w:rFonts w:ascii="Bookman Old Style" w:eastAsia="MS Mincho" w:hAnsi="Bookman Old Style" w:cs="Arial"/>
          <w:sz w:val="24"/>
          <w:szCs w:val="24"/>
          <w:lang w:val="es-ES"/>
        </w:rPr>
      </w:pPr>
    </w:p>
    <w:p w14:paraId="24BF4FAA" w14:textId="773FE0AA" w:rsidR="001303F4" w:rsidRDefault="003401B5" w:rsidP="00DE5054">
      <w:pPr>
        <w:spacing w:after="0" w:line="240" w:lineRule="auto"/>
        <w:jc w:val="both"/>
      </w:pPr>
      <w:r w:rsidRPr="0087487D">
        <w:rPr>
          <w:rFonts w:ascii="Bookman Old Style" w:eastAsia="MS Mincho" w:hAnsi="Bookman Old Style" w:cs="Arial"/>
          <w:sz w:val="24"/>
          <w:szCs w:val="24"/>
          <w:lang w:val="es-ES"/>
        </w:rPr>
        <w:t>Finalmente, esta</w:t>
      </w:r>
      <w:r w:rsidR="00DE5054" w:rsidRPr="0087487D">
        <w:rPr>
          <w:rFonts w:ascii="Bookman Old Style" w:eastAsia="MS Mincho" w:hAnsi="Bookman Old Style" w:cs="Arial"/>
          <w:sz w:val="24"/>
          <w:szCs w:val="24"/>
          <w:lang w:val="es-ES"/>
        </w:rPr>
        <w:t xml:space="preserve"> capacidad es aplicable a los distribuidores que directamente</w:t>
      </w:r>
      <w:r w:rsidR="00A47D41">
        <w:rPr>
          <w:rFonts w:ascii="Bookman Old Style" w:eastAsia="MS Mincho" w:hAnsi="Bookman Old Style" w:cs="Arial"/>
          <w:sz w:val="24"/>
          <w:szCs w:val="24"/>
          <w:lang w:val="es-ES"/>
        </w:rPr>
        <w:t>,</w:t>
      </w:r>
      <w:r w:rsidR="00DE5054" w:rsidRPr="0087487D">
        <w:rPr>
          <w:rFonts w:ascii="Bookman Old Style" w:eastAsia="MS Mincho" w:hAnsi="Bookman Old Style" w:cs="Arial"/>
          <w:sz w:val="24"/>
          <w:szCs w:val="24"/>
          <w:lang w:val="es-ES"/>
        </w:rPr>
        <w:t xml:space="preserve"> o representados por un comercializador mayorista, compran GLP a</w:t>
      </w:r>
      <w:r w:rsidR="003F59E4" w:rsidRPr="0087487D">
        <w:rPr>
          <w:rFonts w:ascii="Bookman Old Style" w:eastAsia="MS Mincho" w:hAnsi="Bookman Old Style" w:cs="Arial"/>
          <w:sz w:val="24"/>
          <w:szCs w:val="24"/>
          <w:lang w:val="es-ES"/>
        </w:rPr>
        <w:t xml:space="preserve"> los</w:t>
      </w:r>
      <w:r w:rsidR="00DE5054" w:rsidRPr="0087487D">
        <w:rPr>
          <w:rFonts w:ascii="Bookman Old Style" w:eastAsia="MS Mincho" w:hAnsi="Bookman Old Style"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w:t>
      </w:r>
      <w:r w:rsidR="00A47D41">
        <w:rPr>
          <w:rFonts w:ascii="Bookman Old Style" w:eastAsia="MS Mincho" w:hAnsi="Bookman Old Style" w:cs="Arial"/>
          <w:sz w:val="24"/>
          <w:szCs w:val="24"/>
          <w:lang w:val="es-ES"/>
        </w:rPr>
        <w:t>,</w:t>
      </w:r>
      <w:r w:rsidR="00DE5054" w:rsidRPr="0087487D">
        <w:rPr>
          <w:rFonts w:ascii="Bookman Old Style" w:eastAsia="MS Mincho" w:hAnsi="Bookman Old Style" w:cs="Arial"/>
          <w:sz w:val="24"/>
          <w:szCs w:val="24"/>
          <w:lang w:val="es-ES"/>
        </w:rPr>
        <w:t xml:space="preserve"> y tiene efectos dentro de las actividades de comercialización mayorista y distribución de GLP, atendiendo lo dispuesto en la Resolución CREG 063 de 2016.</w:t>
      </w:r>
      <w:r w:rsidR="00AE4E4C" w:rsidRPr="00AE4E4C">
        <w:t xml:space="preserve"> </w:t>
      </w:r>
    </w:p>
    <w:p w14:paraId="243B2E9E" w14:textId="77777777" w:rsidR="00F11977" w:rsidRDefault="00F11977" w:rsidP="00DE5054">
      <w:pPr>
        <w:spacing w:after="0" w:line="240" w:lineRule="auto"/>
        <w:jc w:val="both"/>
      </w:pPr>
    </w:p>
    <w:p w14:paraId="20B06AA2" w14:textId="6194CE68" w:rsidR="00DE5054" w:rsidRPr="00AE4E4C" w:rsidRDefault="00DE5054"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Los cálculos y la información que se tuvo en cuenta para la publicación de esta capacidad se encuentran consignados en el Anexo que hace parte de la presente resolución.</w:t>
      </w:r>
    </w:p>
    <w:p w14:paraId="2AF79248" w14:textId="77777777" w:rsidR="006E3CAF" w:rsidRDefault="006E3CAF" w:rsidP="00DE5054">
      <w:pPr>
        <w:spacing w:after="0" w:line="240" w:lineRule="auto"/>
        <w:jc w:val="both"/>
        <w:rPr>
          <w:rFonts w:ascii="Bookman Old Style" w:eastAsia="Times New Roman" w:hAnsi="Bookman Old Style" w:cs="Times New Roman"/>
          <w:sz w:val="24"/>
          <w:szCs w:val="24"/>
          <w:lang w:val="es-ES_tradnl" w:eastAsia="es-ES"/>
        </w:rPr>
      </w:pPr>
    </w:p>
    <w:p w14:paraId="37B76F07" w14:textId="77777777" w:rsidR="00EF3105" w:rsidRDefault="00DE5054" w:rsidP="00DE5054">
      <w:pPr>
        <w:spacing w:after="0" w:line="240" w:lineRule="auto"/>
        <w:jc w:val="both"/>
        <w:rPr>
          <w:rFonts w:ascii="Bookman Old Style" w:eastAsia="Times New Roman" w:hAnsi="Bookman Old Style" w:cs="Times New Roman"/>
          <w:sz w:val="24"/>
          <w:szCs w:val="24"/>
          <w:lang w:val="es-ES" w:eastAsia="es-ES"/>
        </w:rPr>
      </w:pPr>
      <w:r w:rsidRPr="62EDFB00">
        <w:rPr>
          <w:rFonts w:ascii="Bookman Old Style" w:eastAsia="Times New Roman" w:hAnsi="Bookman Old Style" w:cs="Times New Roman"/>
          <w:sz w:val="24"/>
          <w:szCs w:val="24"/>
          <w:lang w:val="es-ES" w:eastAsia="es-ES"/>
        </w:rPr>
        <w:t>Con base en lo establecido en el artículo 4 del Decreto 2897 de 2010</w:t>
      </w:r>
      <w:r w:rsidRPr="62EDFB00">
        <w:rPr>
          <w:rFonts w:ascii="Bookman Old Style" w:eastAsia="Times New Roman" w:hAnsi="Bookman Old Style" w:cs="Times New Roman"/>
          <w:sz w:val="24"/>
          <w:szCs w:val="24"/>
          <w:vertAlign w:val="superscript"/>
          <w:lang w:val="es-ES" w:eastAsia="es-ES"/>
        </w:rPr>
        <w:footnoteReference w:id="4"/>
      </w:r>
      <w:r w:rsidRPr="62EDFB00">
        <w:rPr>
          <w:rFonts w:ascii="Bookman Old Style" w:eastAsia="Times New Roman" w:hAnsi="Bookman Old Style" w:cs="Times New Roman"/>
          <w:sz w:val="24"/>
          <w:szCs w:val="24"/>
          <w:lang w:val="es-ES" w:eastAsia="es-ES"/>
        </w:rPr>
        <w:t>, reglamentario de la Ley 1340 de 2009, se respondió el cuestionario establecido por la Superintendencia de Industria y Comercio para efectos de evaluar la incidencia sobre la libre competencia de los mercados, donde</w:t>
      </w:r>
      <w:r w:rsidR="00F96972" w:rsidRPr="62EDFB00">
        <w:rPr>
          <w:rFonts w:ascii="Bookman Old Style" w:eastAsia="Times New Roman" w:hAnsi="Bookman Old Style" w:cs="Times New Roman"/>
          <w:sz w:val="24"/>
          <w:szCs w:val="24"/>
          <w:lang w:val="es-ES" w:eastAsia="es-ES"/>
        </w:rPr>
        <w:t>,</w:t>
      </w:r>
      <w:r w:rsidRPr="62EDFB00">
        <w:rPr>
          <w:rFonts w:ascii="Bookman Old Style" w:eastAsia="Times New Roman" w:hAnsi="Bookman Old Style" w:cs="Times New Roman"/>
          <w:sz w:val="24"/>
          <w:szCs w:val="24"/>
          <w:lang w:val="es-ES" w:eastAsia="es-ES"/>
        </w:rPr>
        <w:t xml:space="preserve"> aplicando las reglas allí previstas, la respuesta al conjunto de preguntas fue negativa, en la medida en que no plantea ninguna restricción indebida a la libre competencia, toda vez que esto corresponde a la definición de situaciones administrativas particulares como parte de la aplicación de los artículos 8 y 9 de la Resolución CREG 063 de 2016. </w:t>
      </w:r>
    </w:p>
    <w:p w14:paraId="791D7A9C" w14:textId="77777777" w:rsidR="00EF3105" w:rsidRDefault="00EF3105" w:rsidP="00DE5054">
      <w:pPr>
        <w:spacing w:after="0" w:line="240" w:lineRule="auto"/>
        <w:jc w:val="both"/>
        <w:rPr>
          <w:rFonts w:ascii="Bookman Old Style" w:eastAsia="Times New Roman" w:hAnsi="Bookman Old Style" w:cs="Times New Roman"/>
          <w:sz w:val="24"/>
          <w:szCs w:val="24"/>
          <w:lang w:val="es-ES" w:eastAsia="es-ES"/>
        </w:rPr>
      </w:pPr>
    </w:p>
    <w:p w14:paraId="76B3AE4B" w14:textId="32AA2F26" w:rsidR="00DE5054" w:rsidRPr="0087487D" w:rsidRDefault="00DE5054" w:rsidP="00DE5054">
      <w:pPr>
        <w:spacing w:after="0" w:line="240" w:lineRule="auto"/>
        <w:jc w:val="both"/>
        <w:rPr>
          <w:rFonts w:ascii="Bookman Old Style" w:eastAsia="Times New Roman" w:hAnsi="Bookman Old Style" w:cs="Times New Roman"/>
          <w:sz w:val="24"/>
          <w:szCs w:val="24"/>
          <w:lang w:val="es-ES" w:eastAsia="es-ES"/>
        </w:rPr>
      </w:pPr>
      <w:r w:rsidRPr="62EDFB00">
        <w:rPr>
          <w:rFonts w:ascii="Bookman Old Style" w:eastAsia="Times New Roman" w:hAnsi="Bookman Old Style" w:cs="Times New Roman"/>
          <w:sz w:val="24"/>
          <w:szCs w:val="24"/>
          <w:lang w:val="es-ES" w:eastAsia="es-ES"/>
        </w:rPr>
        <w:t xml:space="preserve">En el </w:t>
      </w:r>
      <w:r w:rsidRPr="00186B0F">
        <w:rPr>
          <w:rFonts w:ascii="Bookman Old Style" w:eastAsia="Times New Roman" w:hAnsi="Bookman Old Style" w:cs="Times New Roman"/>
          <w:sz w:val="24"/>
          <w:szCs w:val="24"/>
          <w:lang w:val="es-ES" w:eastAsia="es-ES"/>
        </w:rPr>
        <w:t xml:space="preserve">Documento CREG </w:t>
      </w:r>
      <w:r w:rsidR="00186B0F">
        <w:rPr>
          <w:rFonts w:ascii="Bookman Old Style" w:eastAsia="Times New Roman" w:hAnsi="Bookman Old Style" w:cs="Times New Roman"/>
          <w:sz w:val="24"/>
          <w:szCs w:val="24"/>
          <w:lang w:val="es-ES" w:eastAsia="es-ES"/>
        </w:rPr>
        <w:t>503 001</w:t>
      </w:r>
      <w:r w:rsidRPr="00186B0F">
        <w:rPr>
          <w:rFonts w:ascii="Bookman Old Style" w:eastAsia="Times New Roman" w:hAnsi="Bookman Old Style" w:cs="Times New Roman"/>
          <w:sz w:val="24"/>
          <w:szCs w:val="24"/>
          <w:lang w:val="es-ES" w:eastAsia="es-ES"/>
        </w:rPr>
        <w:t xml:space="preserve"> de</w:t>
      </w:r>
      <w:r w:rsidR="00367B97" w:rsidRPr="00186B0F">
        <w:rPr>
          <w:rFonts w:ascii="Bookman Old Style" w:eastAsia="Times New Roman" w:hAnsi="Bookman Old Style" w:cs="Times New Roman"/>
          <w:sz w:val="24"/>
          <w:szCs w:val="24"/>
          <w:lang w:val="es-ES" w:eastAsia="es-ES"/>
        </w:rPr>
        <w:t xml:space="preserve">l </w:t>
      </w:r>
      <w:r w:rsidR="00186B0F">
        <w:rPr>
          <w:rFonts w:ascii="Bookman Old Style" w:eastAsia="Times New Roman" w:hAnsi="Bookman Old Style" w:cs="Times New Roman"/>
          <w:sz w:val="24"/>
          <w:szCs w:val="24"/>
          <w:lang w:val="es-ES" w:eastAsia="es-ES"/>
        </w:rPr>
        <w:t xml:space="preserve">31 </w:t>
      </w:r>
      <w:r w:rsidR="00367B97" w:rsidRPr="00186B0F">
        <w:rPr>
          <w:rFonts w:ascii="Bookman Old Style" w:eastAsia="Times New Roman" w:hAnsi="Bookman Old Style" w:cs="Times New Roman"/>
          <w:sz w:val="24"/>
          <w:szCs w:val="24"/>
          <w:lang w:val="es-ES" w:eastAsia="es-ES"/>
        </w:rPr>
        <w:t>de</w:t>
      </w:r>
      <w:r w:rsidRPr="00186B0F">
        <w:rPr>
          <w:rFonts w:ascii="Bookman Old Style" w:eastAsia="Times New Roman" w:hAnsi="Bookman Old Style" w:cs="Times New Roman"/>
          <w:sz w:val="24"/>
          <w:szCs w:val="24"/>
          <w:lang w:val="es-ES" w:eastAsia="es-ES"/>
        </w:rPr>
        <w:t xml:space="preserve"> </w:t>
      </w:r>
      <w:r w:rsidR="005B19A0" w:rsidRPr="00186B0F">
        <w:rPr>
          <w:rFonts w:ascii="Bookman Old Style" w:eastAsia="Times New Roman" w:hAnsi="Bookman Old Style" w:cs="Times New Roman"/>
          <w:sz w:val="24"/>
          <w:szCs w:val="24"/>
          <w:lang w:val="es-ES" w:eastAsia="es-ES"/>
        </w:rPr>
        <w:t>enero</w:t>
      </w:r>
      <w:r w:rsidR="000153B4" w:rsidRPr="00186B0F">
        <w:rPr>
          <w:rFonts w:ascii="Bookman Old Style" w:eastAsia="Times New Roman" w:hAnsi="Bookman Old Style" w:cs="Times New Roman"/>
          <w:sz w:val="24"/>
          <w:szCs w:val="24"/>
          <w:lang w:val="es-ES" w:eastAsia="es-ES"/>
        </w:rPr>
        <w:t xml:space="preserve"> </w:t>
      </w:r>
      <w:r w:rsidR="00981490" w:rsidRPr="00186B0F">
        <w:rPr>
          <w:rFonts w:ascii="Bookman Old Style" w:eastAsia="Times New Roman" w:hAnsi="Bookman Old Style" w:cs="Times New Roman"/>
          <w:sz w:val="24"/>
          <w:szCs w:val="24"/>
          <w:lang w:val="es-ES" w:eastAsia="es-ES"/>
        </w:rPr>
        <w:t xml:space="preserve">de </w:t>
      </w:r>
      <w:r w:rsidR="003D171F" w:rsidRPr="00186B0F">
        <w:rPr>
          <w:rFonts w:ascii="Bookman Old Style" w:eastAsia="Times New Roman" w:hAnsi="Bookman Old Style" w:cs="Times New Roman"/>
          <w:sz w:val="24"/>
          <w:szCs w:val="24"/>
          <w:lang w:val="es-ES" w:eastAsia="es-ES"/>
        </w:rPr>
        <w:t>20</w:t>
      </w:r>
      <w:r w:rsidR="00E676A3" w:rsidRPr="00186B0F">
        <w:rPr>
          <w:rFonts w:ascii="Bookman Old Style" w:eastAsia="Times New Roman" w:hAnsi="Bookman Old Style" w:cs="Times New Roman"/>
          <w:sz w:val="24"/>
          <w:szCs w:val="24"/>
          <w:lang w:val="es-ES" w:eastAsia="es-ES"/>
        </w:rPr>
        <w:t>2</w:t>
      </w:r>
      <w:r w:rsidR="005B19A0" w:rsidRPr="00186B0F">
        <w:rPr>
          <w:rFonts w:ascii="Bookman Old Style" w:eastAsia="Times New Roman" w:hAnsi="Bookman Old Style" w:cs="Times New Roman"/>
          <w:sz w:val="24"/>
          <w:szCs w:val="24"/>
          <w:lang w:val="es-ES" w:eastAsia="es-ES"/>
        </w:rPr>
        <w:t>3</w:t>
      </w:r>
      <w:r w:rsidRPr="62EDFB00">
        <w:rPr>
          <w:rFonts w:ascii="Bookman Old Style" w:eastAsia="Times New Roman" w:hAnsi="Bookman Old Style" w:cs="Times New Roman"/>
          <w:sz w:val="24"/>
          <w:szCs w:val="24"/>
          <w:lang w:val="es-ES" w:eastAsia="es-ES"/>
        </w:rPr>
        <w:t xml:space="preserve"> se transcribe el </w:t>
      </w:r>
      <w:r w:rsidR="003D171F" w:rsidRPr="62EDFB00">
        <w:rPr>
          <w:rFonts w:ascii="Bookman Old Style" w:eastAsia="Times New Roman" w:hAnsi="Bookman Old Style" w:cs="Times New Roman"/>
          <w:sz w:val="24"/>
          <w:szCs w:val="24"/>
          <w:lang w:val="es-ES" w:eastAsia="es-ES"/>
        </w:rPr>
        <w:t>cuestionario,</w:t>
      </w:r>
      <w:r w:rsidRPr="62EDFB00">
        <w:rPr>
          <w:rFonts w:ascii="Bookman Old Style" w:eastAsia="Times New Roman" w:hAnsi="Bookman Old Style" w:cs="Times New Roman"/>
          <w:sz w:val="24"/>
          <w:szCs w:val="24"/>
          <w:lang w:val="es-ES" w:eastAsia="es-ES"/>
        </w:rPr>
        <w:t xml:space="preserve"> así como se expone el análisis</w:t>
      </w:r>
      <w:r w:rsidR="00283212" w:rsidRPr="62EDFB00">
        <w:rPr>
          <w:rFonts w:ascii="Bookman Old Style" w:eastAsia="Times New Roman" w:hAnsi="Bookman Old Style" w:cs="Times New Roman"/>
          <w:sz w:val="24"/>
          <w:szCs w:val="24"/>
          <w:lang w:val="es-ES" w:eastAsia="es-ES"/>
        </w:rPr>
        <w:t xml:space="preserve"> y la forma como se lleva a cabo </w:t>
      </w:r>
      <w:r w:rsidRPr="62EDFB00">
        <w:rPr>
          <w:rFonts w:ascii="Bookman Old Style" w:eastAsia="Times New Roman" w:hAnsi="Bookman Old Style" w:cs="Times New Roman"/>
          <w:sz w:val="24"/>
          <w:szCs w:val="24"/>
          <w:lang w:val="es-ES" w:eastAsia="es-ES"/>
        </w:rPr>
        <w:t xml:space="preserve">la definición de la capacidad de compra de los agentes distribuidores a que hace referencia </w:t>
      </w:r>
      <w:r w:rsidR="00283212" w:rsidRPr="62EDFB00">
        <w:rPr>
          <w:rFonts w:ascii="Bookman Old Style" w:eastAsia="Times New Roman" w:hAnsi="Bookman Old Style" w:cs="Times New Roman"/>
          <w:sz w:val="24"/>
          <w:szCs w:val="24"/>
          <w:lang w:val="es-ES" w:eastAsia="es-ES"/>
        </w:rPr>
        <w:t xml:space="preserve">el artículo 1º de </w:t>
      </w:r>
      <w:r w:rsidRPr="62EDFB00">
        <w:rPr>
          <w:rFonts w:ascii="Bookman Old Style" w:eastAsia="Times New Roman" w:hAnsi="Bookman Old Style" w:cs="Times New Roman"/>
          <w:sz w:val="24"/>
          <w:szCs w:val="24"/>
          <w:lang w:val="es-ES" w:eastAsia="es-ES"/>
        </w:rPr>
        <w:t>esta resolución</w:t>
      </w:r>
      <w:r w:rsidR="00283212" w:rsidRPr="62EDFB00">
        <w:rPr>
          <w:rFonts w:ascii="Bookman Old Style" w:eastAsia="Times New Roman" w:hAnsi="Bookman Old Style" w:cs="Times New Roman"/>
          <w:sz w:val="24"/>
          <w:szCs w:val="24"/>
          <w:lang w:val="es-ES" w:eastAsia="es-ES"/>
        </w:rPr>
        <w:t xml:space="preserve">, ateniendo las </w:t>
      </w:r>
      <w:r w:rsidR="00234404" w:rsidRPr="62EDFB00">
        <w:rPr>
          <w:rFonts w:ascii="Bookman Old Style" w:eastAsia="Times New Roman" w:hAnsi="Bookman Old Style" w:cs="Times New Roman"/>
          <w:sz w:val="24"/>
          <w:szCs w:val="24"/>
          <w:lang w:val="es-ES" w:eastAsia="es-ES"/>
        </w:rPr>
        <w:t>fórmulas</w:t>
      </w:r>
      <w:r w:rsidR="00283212" w:rsidRPr="62EDFB00">
        <w:rPr>
          <w:rFonts w:ascii="Bookman Old Style" w:eastAsia="Times New Roman" w:hAnsi="Bookman Old Style" w:cs="Times New Roman"/>
          <w:sz w:val="24"/>
          <w:szCs w:val="24"/>
          <w:lang w:val="es-ES" w:eastAsia="es-ES"/>
        </w:rPr>
        <w:t xml:space="preserve"> establecidas en la Resolución CREG 063 de 2016 y sus modificaciones</w:t>
      </w:r>
      <w:r w:rsidRPr="62EDFB00">
        <w:rPr>
          <w:rFonts w:ascii="Bookman Old Style" w:eastAsia="Times New Roman" w:hAnsi="Bookman Old Style" w:cs="Times New Roman"/>
          <w:sz w:val="24"/>
          <w:szCs w:val="24"/>
          <w:lang w:val="es-ES" w:eastAsia="es-ES"/>
        </w:rPr>
        <w:t>.</w:t>
      </w:r>
    </w:p>
    <w:p w14:paraId="672159CB" w14:textId="45CC2A76" w:rsidR="6CBCB0C4" w:rsidRDefault="6CBCB0C4" w:rsidP="6CBCB0C4">
      <w:pPr>
        <w:spacing w:after="0" w:line="240" w:lineRule="auto"/>
        <w:jc w:val="both"/>
        <w:rPr>
          <w:rFonts w:ascii="Bookman Old Style" w:eastAsia="Times New Roman" w:hAnsi="Bookman Old Style" w:cs="Times New Roman"/>
          <w:sz w:val="24"/>
          <w:szCs w:val="24"/>
          <w:lang w:val="es-ES" w:eastAsia="es-ES"/>
        </w:rPr>
      </w:pPr>
    </w:p>
    <w:p w14:paraId="7F9CEFB0" w14:textId="4666F03A" w:rsidR="551096B4" w:rsidRPr="00FF1C8F" w:rsidRDefault="051496E9" w:rsidP="007F2D3E">
      <w:pPr>
        <w:spacing w:after="0" w:line="240" w:lineRule="auto"/>
        <w:jc w:val="both"/>
        <w:rPr>
          <w:rFonts w:ascii="Bookman Old Style" w:eastAsia="Times New Roman" w:hAnsi="Bookman Old Style" w:cs="Times New Roman"/>
          <w:sz w:val="24"/>
          <w:szCs w:val="24"/>
          <w:lang w:val="es-ES" w:eastAsia="es-ES"/>
        </w:rPr>
      </w:pPr>
      <w:r w:rsidRPr="00FF1C8F">
        <w:rPr>
          <w:rFonts w:ascii="Bookman Old Style" w:eastAsia="Times New Roman" w:hAnsi="Bookman Old Style" w:cs="Times New Roman"/>
          <w:sz w:val="24"/>
          <w:szCs w:val="24"/>
          <w:lang w:val="es-ES" w:eastAsia="es-ES"/>
        </w:rPr>
        <w:t xml:space="preserve">Para efectos de la notificación se debe comunicar </w:t>
      </w:r>
      <w:r w:rsidR="04F18466" w:rsidRPr="00FF1C8F">
        <w:rPr>
          <w:rFonts w:ascii="Bookman Old Style" w:eastAsia="Times New Roman" w:hAnsi="Bookman Old Style" w:cs="Times New Roman"/>
          <w:sz w:val="24"/>
          <w:szCs w:val="24"/>
          <w:lang w:val="es-ES" w:eastAsia="es-ES"/>
        </w:rPr>
        <w:t xml:space="preserve">a </w:t>
      </w:r>
      <w:r w:rsidR="43218890" w:rsidRPr="00FF1C8F">
        <w:rPr>
          <w:rFonts w:ascii="Bookman Old Style" w:eastAsia="Times New Roman" w:hAnsi="Bookman Old Style" w:cs="Times New Roman"/>
          <w:sz w:val="24"/>
          <w:szCs w:val="24"/>
          <w:lang w:val="es-ES" w:eastAsia="es-ES"/>
        </w:rPr>
        <w:t>las empresas</w:t>
      </w:r>
      <w:r w:rsidRPr="00FF1C8F">
        <w:rPr>
          <w:rFonts w:ascii="Bookman Old Style" w:eastAsia="Times New Roman" w:hAnsi="Bookman Old Style" w:cs="Times New Roman"/>
          <w:sz w:val="24"/>
          <w:szCs w:val="24"/>
          <w:lang w:val="es-ES" w:eastAsia="es-ES"/>
        </w:rPr>
        <w:t xml:space="preserve"> el contenido de la presente resolución la cual deberá notificarse según lo estipulado por </w:t>
      </w:r>
      <w:r w:rsidR="57FBE977" w:rsidRPr="00FF1C8F">
        <w:rPr>
          <w:rFonts w:ascii="Bookman Old Style" w:eastAsia="Times New Roman" w:hAnsi="Bookman Old Style" w:cs="Times New Roman"/>
          <w:sz w:val="24"/>
          <w:szCs w:val="24"/>
          <w:lang w:val="es-ES" w:eastAsia="es-ES"/>
        </w:rPr>
        <w:t>las</w:t>
      </w:r>
      <w:r w:rsidRPr="00FF1C8F">
        <w:rPr>
          <w:rFonts w:ascii="Bookman Old Style" w:eastAsia="Times New Roman" w:hAnsi="Bookman Old Style" w:cs="Times New Roman"/>
          <w:sz w:val="24"/>
          <w:szCs w:val="24"/>
          <w:lang w:val="es-ES" w:eastAsia="es-ES"/>
        </w:rPr>
        <w:t xml:space="preserve"> </w:t>
      </w:r>
      <w:r w:rsidR="794DFFB7" w:rsidRPr="00FF1C8F">
        <w:rPr>
          <w:rFonts w:ascii="Bookman Old Style" w:eastAsia="Times New Roman" w:hAnsi="Bookman Old Style" w:cs="Times New Roman"/>
          <w:sz w:val="24"/>
          <w:szCs w:val="24"/>
          <w:lang w:val="es-ES" w:eastAsia="es-ES"/>
        </w:rPr>
        <w:t xml:space="preserve">mismas </w:t>
      </w:r>
      <w:r w:rsidRPr="00FF1C8F">
        <w:rPr>
          <w:rFonts w:ascii="Bookman Old Style" w:eastAsia="Times New Roman" w:hAnsi="Bookman Old Style" w:cs="Times New Roman"/>
          <w:sz w:val="24"/>
          <w:szCs w:val="24"/>
          <w:lang w:val="es-ES" w:eastAsia="es-ES"/>
        </w:rPr>
        <w:t xml:space="preserve">al correo electrónico señalado en </w:t>
      </w:r>
      <w:r w:rsidR="13D45326" w:rsidRPr="00FF1C8F">
        <w:rPr>
          <w:rFonts w:ascii="Bookman Old Style" w:eastAsia="Times New Roman" w:hAnsi="Bookman Old Style" w:cs="Times New Roman"/>
          <w:sz w:val="24"/>
          <w:szCs w:val="24"/>
          <w:lang w:val="es-ES" w:eastAsia="es-ES"/>
        </w:rPr>
        <w:t>el formato</w:t>
      </w:r>
      <w:r w:rsidRPr="00FF1C8F">
        <w:rPr>
          <w:rFonts w:ascii="Bookman Old Style" w:eastAsia="Times New Roman" w:hAnsi="Bookman Old Style" w:cs="Times New Roman"/>
          <w:sz w:val="24"/>
          <w:szCs w:val="24"/>
          <w:lang w:val="es-ES" w:eastAsia="es-ES"/>
        </w:rPr>
        <w:t xml:space="preserve"> </w:t>
      </w:r>
      <w:r w:rsidR="68FB9393" w:rsidRPr="00FF1C8F">
        <w:rPr>
          <w:rFonts w:ascii="Bookman Old Style" w:eastAsia="Times New Roman" w:hAnsi="Bookman Old Style" w:cs="Times New Roman"/>
          <w:sz w:val="24"/>
          <w:szCs w:val="24"/>
          <w:lang w:val="es-ES" w:eastAsia="es-ES"/>
        </w:rPr>
        <w:t xml:space="preserve">de </w:t>
      </w:r>
      <w:r w:rsidR="4D9859F3" w:rsidRPr="00FF1C8F">
        <w:rPr>
          <w:rFonts w:ascii="Bookman Old Style" w:eastAsia="Times New Roman" w:hAnsi="Bookman Old Style" w:cs="Times New Roman"/>
          <w:sz w:val="24"/>
          <w:szCs w:val="24"/>
          <w:lang w:val="es-ES" w:eastAsia="es-ES"/>
        </w:rPr>
        <w:t xml:space="preserve">autorización de </w:t>
      </w:r>
      <w:r w:rsidR="382FB7ED" w:rsidRPr="00FF1C8F">
        <w:rPr>
          <w:rFonts w:ascii="Bookman Old Style" w:eastAsia="Times New Roman" w:hAnsi="Bookman Old Style" w:cs="Times New Roman"/>
          <w:sz w:val="24"/>
          <w:szCs w:val="24"/>
          <w:lang w:val="es-ES" w:eastAsia="es-ES"/>
        </w:rPr>
        <w:t>notificación</w:t>
      </w:r>
      <w:r w:rsidR="3C652644" w:rsidRPr="00FF1C8F">
        <w:rPr>
          <w:rFonts w:ascii="Bookman Old Style" w:eastAsia="Times New Roman" w:hAnsi="Bookman Old Style" w:cs="Times New Roman"/>
          <w:sz w:val="24"/>
          <w:szCs w:val="24"/>
          <w:lang w:val="es-ES" w:eastAsia="es-ES"/>
        </w:rPr>
        <w:t xml:space="preserve"> electrónica, </w:t>
      </w:r>
      <w:r w:rsidR="00894B9C">
        <w:rPr>
          <w:rFonts w:ascii="Bookman Old Style" w:eastAsia="Times New Roman" w:hAnsi="Bookman Old Style" w:cs="Times New Roman"/>
          <w:sz w:val="24"/>
          <w:szCs w:val="24"/>
          <w:lang w:val="es-ES" w:eastAsia="es-ES"/>
        </w:rPr>
        <w:t>de conformidad</w:t>
      </w:r>
      <w:r w:rsidRPr="00FF1C8F">
        <w:rPr>
          <w:rFonts w:ascii="Bookman Old Style" w:eastAsia="Times New Roman" w:hAnsi="Bookman Old Style" w:cs="Times New Roman"/>
          <w:sz w:val="24"/>
          <w:szCs w:val="24"/>
          <w:lang w:val="es-ES" w:eastAsia="es-ES"/>
        </w:rPr>
        <w:t xml:space="preserve"> con lo </w:t>
      </w:r>
      <w:r w:rsidR="00894B9C">
        <w:rPr>
          <w:rFonts w:ascii="Bookman Old Style" w:eastAsia="Times New Roman" w:hAnsi="Bookman Old Style" w:cs="Times New Roman"/>
          <w:sz w:val="24"/>
          <w:szCs w:val="24"/>
          <w:lang w:val="es-ES" w:eastAsia="es-ES"/>
        </w:rPr>
        <w:t>previsto</w:t>
      </w:r>
      <w:r w:rsidRPr="00FF1C8F">
        <w:rPr>
          <w:rFonts w:ascii="Bookman Old Style" w:eastAsia="Times New Roman" w:hAnsi="Bookman Old Style" w:cs="Times New Roman"/>
          <w:sz w:val="24"/>
          <w:szCs w:val="24"/>
          <w:lang w:val="es-ES" w:eastAsia="es-ES"/>
        </w:rPr>
        <w:t xml:space="preserve"> en el artículo 56 del </w:t>
      </w:r>
      <w:r w:rsidR="007511AC">
        <w:rPr>
          <w:rFonts w:ascii="Bookman Old Style" w:eastAsia="Times New Roman" w:hAnsi="Bookman Old Style" w:cs="Times New Roman"/>
          <w:sz w:val="24"/>
          <w:szCs w:val="24"/>
          <w:lang w:val="es-ES" w:eastAsia="es-ES"/>
        </w:rPr>
        <w:t xml:space="preserve">Código de </w:t>
      </w:r>
      <w:bookmarkStart w:id="4" w:name="_Hlk126050211"/>
      <w:r w:rsidR="007511AC">
        <w:rPr>
          <w:rFonts w:ascii="Bookman Old Style" w:eastAsia="Times New Roman" w:hAnsi="Bookman Old Style" w:cs="Times New Roman"/>
          <w:sz w:val="24"/>
          <w:szCs w:val="24"/>
          <w:lang w:val="es-ES" w:eastAsia="es-ES"/>
        </w:rPr>
        <w:t>Procedimiento Administrativo</w:t>
      </w:r>
      <w:r w:rsidRPr="00FF1C8F">
        <w:rPr>
          <w:rFonts w:ascii="Bookman Old Style" w:eastAsia="Times New Roman" w:hAnsi="Bookman Old Style" w:cs="Times New Roman"/>
          <w:sz w:val="24"/>
          <w:szCs w:val="24"/>
          <w:lang w:val="es-ES" w:eastAsia="es-ES"/>
        </w:rPr>
        <w:t xml:space="preserve"> y de </w:t>
      </w:r>
      <w:r w:rsidR="007511AC">
        <w:rPr>
          <w:rFonts w:ascii="Bookman Old Style" w:eastAsia="Times New Roman" w:hAnsi="Bookman Old Style" w:cs="Times New Roman"/>
          <w:sz w:val="24"/>
          <w:szCs w:val="24"/>
          <w:lang w:val="es-ES" w:eastAsia="es-ES"/>
        </w:rPr>
        <w:t>lo Contencioso Administrativo</w:t>
      </w:r>
      <w:bookmarkEnd w:id="4"/>
      <w:r w:rsidR="007511AC">
        <w:rPr>
          <w:rFonts w:ascii="Bookman Old Style" w:eastAsia="Times New Roman" w:hAnsi="Bookman Old Style" w:cs="Times New Roman"/>
          <w:sz w:val="24"/>
          <w:szCs w:val="24"/>
          <w:lang w:val="es-ES" w:eastAsia="es-ES"/>
        </w:rPr>
        <w:t xml:space="preserve">, </w:t>
      </w:r>
      <w:r w:rsidR="007511AC">
        <w:rPr>
          <w:rFonts w:ascii="Bookman Old Style" w:eastAsia="Times New Roman" w:hAnsi="Bookman Old Style" w:cs="Times New Roman"/>
          <w:sz w:val="24"/>
          <w:szCs w:val="24"/>
          <w:lang w:val="es-ES" w:eastAsia="es-ES"/>
        </w:rPr>
        <w:lastRenderedPageBreak/>
        <w:t xml:space="preserve">modificado por </w:t>
      </w:r>
      <w:r w:rsidR="004562BF">
        <w:rPr>
          <w:rFonts w:ascii="Bookman Old Style" w:eastAsia="Times New Roman" w:hAnsi="Bookman Old Style" w:cs="Times New Roman"/>
          <w:sz w:val="24"/>
          <w:szCs w:val="24"/>
          <w:lang w:val="es-ES" w:eastAsia="es-ES"/>
        </w:rPr>
        <w:t>el artículo 10 de</w:t>
      </w:r>
      <w:r w:rsidRPr="00FF1C8F">
        <w:rPr>
          <w:rFonts w:ascii="Bookman Old Style" w:eastAsia="Times New Roman" w:hAnsi="Bookman Old Style" w:cs="Times New Roman"/>
          <w:sz w:val="24"/>
          <w:szCs w:val="24"/>
          <w:lang w:val="es-ES" w:eastAsia="es-ES"/>
        </w:rPr>
        <w:t xml:space="preserve"> la </w:t>
      </w:r>
      <w:r w:rsidR="004562BF">
        <w:rPr>
          <w:rFonts w:ascii="Bookman Old Style" w:eastAsia="Times New Roman" w:hAnsi="Bookman Old Style" w:cs="Times New Roman"/>
          <w:sz w:val="24"/>
          <w:szCs w:val="24"/>
          <w:lang w:val="es-ES" w:eastAsia="es-ES"/>
        </w:rPr>
        <w:t xml:space="preserve">Ley </w:t>
      </w:r>
      <w:r w:rsidR="00441AE4">
        <w:rPr>
          <w:rFonts w:ascii="Bookman Old Style" w:eastAsia="Times New Roman" w:hAnsi="Bookman Old Style" w:cs="Times New Roman"/>
          <w:sz w:val="24"/>
          <w:szCs w:val="24"/>
          <w:lang w:val="es-ES" w:eastAsia="es-ES"/>
        </w:rPr>
        <w:t>2080 de 2021</w:t>
      </w:r>
      <w:r w:rsidR="00004DA4">
        <w:rPr>
          <w:rFonts w:ascii="Bookman Old Style" w:eastAsia="Times New Roman" w:hAnsi="Bookman Old Style" w:cs="Times New Roman"/>
          <w:sz w:val="24"/>
          <w:szCs w:val="24"/>
          <w:lang w:val="es-ES" w:eastAsia="es-ES"/>
        </w:rPr>
        <w:t>.</w:t>
      </w:r>
      <w:r w:rsidR="006806D5">
        <w:rPr>
          <w:rFonts w:ascii="Bookman Old Style" w:eastAsia="Times New Roman" w:hAnsi="Bookman Old Style" w:cs="Times New Roman"/>
          <w:sz w:val="24"/>
          <w:szCs w:val="24"/>
          <w:lang w:val="es-ES" w:eastAsia="es-ES"/>
        </w:rPr>
        <w:t xml:space="preserve"> </w:t>
      </w:r>
      <w:r w:rsidR="00004DA4">
        <w:rPr>
          <w:rFonts w:ascii="Bookman Old Style" w:eastAsia="Times New Roman" w:hAnsi="Bookman Old Style" w:cs="Times New Roman"/>
          <w:sz w:val="24"/>
          <w:szCs w:val="24"/>
          <w:lang w:val="es-ES" w:eastAsia="es-ES"/>
        </w:rPr>
        <w:t>P</w:t>
      </w:r>
      <w:r w:rsidR="006806D5">
        <w:rPr>
          <w:rFonts w:ascii="Bookman Old Style" w:eastAsia="Times New Roman" w:hAnsi="Bookman Old Style" w:cs="Times New Roman"/>
          <w:sz w:val="24"/>
          <w:szCs w:val="24"/>
          <w:lang w:val="es-ES" w:eastAsia="es-ES"/>
        </w:rPr>
        <w:t xml:space="preserve">ara las empresas </w:t>
      </w:r>
      <w:r w:rsidR="00004DA4">
        <w:rPr>
          <w:rFonts w:ascii="Bookman Old Style" w:eastAsia="Times New Roman" w:hAnsi="Bookman Old Style" w:cs="Times New Roman"/>
          <w:sz w:val="24"/>
          <w:szCs w:val="24"/>
          <w:lang w:val="es-ES" w:eastAsia="es-ES"/>
        </w:rPr>
        <w:t>frente</w:t>
      </w:r>
      <w:r w:rsidR="006806D5">
        <w:rPr>
          <w:rFonts w:ascii="Bookman Old Style" w:eastAsia="Times New Roman" w:hAnsi="Bookman Old Style" w:cs="Times New Roman"/>
          <w:sz w:val="24"/>
          <w:szCs w:val="24"/>
          <w:lang w:val="es-ES" w:eastAsia="es-ES"/>
        </w:rPr>
        <w:t xml:space="preserve"> </w:t>
      </w:r>
      <w:r w:rsidR="00004DA4">
        <w:rPr>
          <w:rFonts w:ascii="Bookman Old Style" w:eastAsia="Times New Roman" w:hAnsi="Bookman Old Style" w:cs="Times New Roman"/>
          <w:sz w:val="24"/>
          <w:szCs w:val="24"/>
          <w:lang w:val="es-ES" w:eastAsia="es-ES"/>
        </w:rPr>
        <w:t>a</w:t>
      </w:r>
      <w:r w:rsidR="006806D5">
        <w:rPr>
          <w:rFonts w:ascii="Bookman Old Style" w:eastAsia="Times New Roman" w:hAnsi="Bookman Old Style" w:cs="Times New Roman"/>
          <w:sz w:val="24"/>
          <w:szCs w:val="24"/>
          <w:lang w:val="es-ES" w:eastAsia="es-ES"/>
        </w:rPr>
        <w:t xml:space="preserve"> las cua</w:t>
      </w:r>
      <w:r w:rsidR="00D3206A">
        <w:rPr>
          <w:rFonts w:ascii="Bookman Old Style" w:eastAsia="Times New Roman" w:hAnsi="Bookman Old Style" w:cs="Times New Roman"/>
          <w:sz w:val="24"/>
          <w:szCs w:val="24"/>
          <w:lang w:val="es-ES" w:eastAsia="es-ES"/>
        </w:rPr>
        <w:t xml:space="preserve">les no se cuente con su autorización </w:t>
      </w:r>
      <w:r w:rsidR="00944BA1">
        <w:rPr>
          <w:rFonts w:ascii="Bookman Old Style" w:eastAsia="Times New Roman" w:hAnsi="Bookman Old Style" w:cs="Times New Roman"/>
          <w:sz w:val="24"/>
          <w:szCs w:val="24"/>
          <w:lang w:val="es-ES" w:eastAsia="es-ES"/>
        </w:rPr>
        <w:t xml:space="preserve">de notificación electrónica se seguirá el trámite de notificación previsto en los artículos </w:t>
      </w:r>
      <w:r w:rsidR="004C3D3E">
        <w:rPr>
          <w:rFonts w:ascii="Bookman Old Style" w:eastAsia="Times New Roman" w:hAnsi="Bookman Old Style" w:cs="Times New Roman"/>
          <w:sz w:val="24"/>
          <w:szCs w:val="24"/>
          <w:lang w:val="es-ES" w:eastAsia="es-ES"/>
        </w:rPr>
        <w:t xml:space="preserve">67 y 69 </w:t>
      </w:r>
      <w:r w:rsidR="00647EA0">
        <w:rPr>
          <w:rFonts w:ascii="Bookman Old Style" w:eastAsia="Times New Roman" w:hAnsi="Bookman Old Style" w:cs="Times New Roman"/>
          <w:sz w:val="24"/>
          <w:szCs w:val="24"/>
          <w:lang w:val="es-ES" w:eastAsia="es-ES"/>
        </w:rPr>
        <w:t>del</w:t>
      </w:r>
      <w:r w:rsidR="00004DA4">
        <w:rPr>
          <w:rFonts w:ascii="Bookman Old Style" w:eastAsia="Times New Roman" w:hAnsi="Bookman Old Style" w:cs="Times New Roman"/>
          <w:sz w:val="24"/>
          <w:szCs w:val="24"/>
          <w:lang w:val="es-ES" w:eastAsia="es-ES"/>
        </w:rPr>
        <w:t xml:space="preserve"> Código </w:t>
      </w:r>
      <w:r w:rsidR="00004DA4" w:rsidRPr="00004DA4">
        <w:rPr>
          <w:rFonts w:ascii="Bookman Old Style" w:eastAsia="Times New Roman" w:hAnsi="Bookman Old Style" w:cs="Times New Roman"/>
          <w:sz w:val="24"/>
          <w:szCs w:val="24"/>
          <w:lang w:val="es-ES" w:eastAsia="es-ES"/>
        </w:rPr>
        <w:t>Procedimiento Administrativo y de lo Contencioso Administrativo</w:t>
      </w:r>
      <w:r w:rsidR="00004DA4">
        <w:rPr>
          <w:rFonts w:ascii="Bookman Old Style" w:eastAsia="Times New Roman" w:hAnsi="Bookman Old Style" w:cs="Times New Roman"/>
          <w:sz w:val="24"/>
          <w:szCs w:val="24"/>
          <w:lang w:val="es-ES" w:eastAsia="es-ES"/>
        </w:rPr>
        <w:t>.</w:t>
      </w:r>
      <w:r w:rsidR="005966F4">
        <w:rPr>
          <w:rFonts w:ascii="Bookman Old Style" w:eastAsia="Times New Roman" w:hAnsi="Bookman Old Style" w:cs="Times New Roman"/>
          <w:sz w:val="24"/>
          <w:szCs w:val="24"/>
          <w:lang w:val="es-ES" w:eastAsia="es-ES"/>
        </w:rPr>
        <w:t xml:space="preserve"> </w:t>
      </w:r>
    </w:p>
    <w:p w14:paraId="79FC2B20" w14:textId="3B775464" w:rsidR="3434215B" w:rsidRDefault="3434215B" w:rsidP="3434215B">
      <w:pPr>
        <w:spacing w:after="0" w:line="240" w:lineRule="auto"/>
        <w:jc w:val="both"/>
        <w:rPr>
          <w:rFonts w:ascii="Bookman Old Style" w:eastAsia="Times New Roman" w:hAnsi="Bookman Old Style" w:cs="Times New Roman"/>
          <w:sz w:val="24"/>
          <w:szCs w:val="24"/>
          <w:lang w:val="es-ES" w:eastAsia="es-ES"/>
        </w:rPr>
      </w:pPr>
    </w:p>
    <w:p w14:paraId="35B814CD" w14:textId="7F9DDE8F" w:rsidR="00DE5054" w:rsidRPr="00186B0F" w:rsidRDefault="00DE5054" w:rsidP="00955BE9">
      <w:pPr>
        <w:spacing w:after="24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La Comisión</w:t>
      </w:r>
      <w:r w:rsidR="00D21ABE" w:rsidRPr="0087487D">
        <w:rPr>
          <w:rFonts w:ascii="Bookman Old Style" w:eastAsia="MS Mincho" w:hAnsi="Bookman Old Style" w:cs="Arial"/>
          <w:sz w:val="24"/>
          <w:szCs w:val="24"/>
          <w:lang w:val="es-ES"/>
        </w:rPr>
        <w:t xml:space="preserve"> de Regulación de Energía y Gas, </w:t>
      </w:r>
      <w:r w:rsidRPr="0087487D">
        <w:rPr>
          <w:rFonts w:ascii="Bookman Old Style" w:eastAsia="MS Mincho" w:hAnsi="Bookman Old Style" w:cs="Arial"/>
          <w:sz w:val="24"/>
          <w:szCs w:val="24"/>
          <w:lang w:val="es-ES"/>
        </w:rPr>
        <w:t xml:space="preserve">en la </w:t>
      </w:r>
      <w:r w:rsidRPr="00367B97">
        <w:rPr>
          <w:rFonts w:ascii="Bookman Old Style" w:eastAsia="MS Mincho" w:hAnsi="Bookman Old Style" w:cs="Arial"/>
          <w:sz w:val="24"/>
          <w:szCs w:val="24"/>
          <w:lang w:val="es-ES"/>
        </w:rPr>
        <w:t xml:space="preserve">sesión </w:t>
      </w:r>
      <w:r w:rsidR="006139A9">
        <w:rPr>
          <w:rFonts w:ascii="Bookman Old Style" w:eastAsia="MS Mincho" w:hAnsi="Bookman Old Style" w:cs="Arial"/>
          <w:sz w:val="24"/>
          <w:szCs w:val="24"/>
          <w:lang w:val="es-ES"/>
        </w:rPr>
        <w:t xml:space="preserve">virtual </w:t>
      </w:r>
      <w:r w:rsidRPr="00186B0F">
        <w:rPr>
          <w:rFonts w:ascii="Bookman Old Style" w:eastAsia="MS Mincho" w:hAnsi="Bookman Old Style" w:cs="Arial"/>
          <w:sz w:val="24"/>
          <w:szCs w:val="24"/>
          <w:lang w:val="es-ES"/>
        </w:rPr>
        <w:t>No.</w:t>
      </w:r>
      <w:r w:rsidR="00FA5905" w:rsidRPr="00186B0F">
        <w:rPr>
          <w:rFonts w:ascii="Bookman Old Style" w:eastAsia="MS Mincho" w:hAnsi="Bookman Old Style" w:cs="Arial"/>
          <w:sz w:val="24"/>
          <w:szCs w:val="24"/>
          <w:lang w:val="es-ES"/>
        </w:rPr>
        <w:t xml:space="preserve"> </w:t>
      </w:r>
      <w:r w:rsidR="006139A9" w:rsidRPr="00186B0F">
        <w:rPr>
          <w:rFonts w:ascii="Bookman Old Style" w:eastAsia="MS Mincho" w:hAnsi="Bookman Old Style" w:cs="Arial"/>
          <w:sz w:val="24"/>
          <w:szCs w:val="24"/>
          <w:lang w:val="es-ES"/>
        </w:rPr>
        <w:t>1239</w:t>
      </w:r>
      <w:r w:rsidR="00981490" w:rsidRPr="00186B0F">
        <w:rPr>
          <w:rFonts w:ascii="Bookman Old Style" w:eastAsia="MS Mincho" w:hAnsi="Bookman Old Style" w:cs="Arial"/>
          <w:sz w:val="24"/>
          <w:szCs w:val="24"/>
          <w:lang w:val="es-ES"/>
        </w:rPr>
        <w:t xml:space="preserve"> del </w:t>
      </w:r>
      <w:r w:rsidR="006139A9" w:rsidRPr="00186B0F">
        <w:rPr>
          <w:rFonts w:ascii="Bookman Old Style" w:eastAsia="MS Mincho" w:hAnsi="Bookman Old Style" w:cs="Arial"/>
          <w:sz w:val="24"/>
          <w:szCs w:val="24"/>
          <w:lang w:val="es-ES"/>
        </w:rPr>
        <w:t>31</w:t>
      </w:r>
      <w:r w:rsidR="001976B3" w:rsidRPr="00186B0F">
        <w:rPr>
          <w:rFonts w:ascii="Bookman Old Style" w:eastAsia="MS Mincho" w:hAnsi="Bookman Old Style" w:cs="Arial"/>
          <w:sz w:val="24"/>
          <w:szCs w:val="24"/>
          <w:lang w:val="es-ES"/>
        </w:rPr>
        <w:t xml:space="preserve"> de </w:t>
      </w:r>
      <w:r w:rsidR="006D3896" w:rsidRPr="00186B0F">
        <w:rPr>
          <w:rFonts w:ascii="Bookman Old Style" w:eastAsia="MS Mincho" w:hAnsi="Bookman Old Style" w:cs="Arial"/>
          <w:sz w:val="24"/>
          <w:szCs w:val="24"/>
          <w:lang w:val="es-ES"/>
        </w:rPr>
        <w:t>enero</w:t>
      </w:r>
      <w:r w:rsidR="00C8606A" w:rsidRPr="00186B0F">
        <w:rPr>
          <w:rFonts w:ascii="Bookman Old Style" w:eastAsia="MS Mincho" w:hAnsi="Bookman Old Style" w:cs="Arial"/>
          <w:sz w:val="24"/>
          <w:szCs w:val="24"/>
          <w:lang w:val="es-ES"/>
        </w:rPr>
        <w:t xml:space="preserve"> </w:t>
      </w:r>
      <w:r w:rsidR="00981490" w:rsidRPr="00186B0F">
        <w:rPr>
          <w:rFonts w:ascii="Bookman Old Style" w:eastAsia="MS Mincho" w:hAnsi="Bookman Old Style" w:cs="Arial"/>
          <w:sz w:val="24"/>
          <w:szCs w:val="24"/>
          <w:lang w:val="es-ES"/>
        </w:rPr>
        <w:t xml:space="preserve">de </w:t>
      </w:r>
      <w:r w:rsidR="00E676A3" w:rsidRPr="00186B0F">
        <w:rPr>
          <w:rFonts w:ascii="Bookman Old Style" w:eastAsia="MS Mincho" w:hAnsi="Bookman Old Style" w:cs="Arial"/>
          <w:sz w:val="24"/>
          <w:szCs w:val="24"/>
          <w:lang w:val="es-ES"/>
        </w:rPr>
        <w:t>202</w:t>
      </w:r>
      <w:r w:rsidR="00D069B6" w:rsidRPr="00186B0F">
        <w:rPr>
          <w:rFonts w:ascii="Bookman Old Style" w:eastAsia="MS Mincho" w:hAnsi="Bookman Old Style" w:cs="Arial"/>
          <w:sz w:val="24"/>
          <w:szCs w:val="24"/>
          <w:lang w:val="es-ES"/>
        </w:rPr>
        <w:t>3</w:t>
      </w:r>
      <w:r w:rsidR="00D21ABE" w:rsidRPr="00186B0F">
        <w:rPr>
          <w:rFonts w:ascii="Bookman Old Style" w:eastAsia="MS Mincho" w:hAnsi="Bookman Old Style" w:cs="Arial"/>
          <w:sz w:val="24"/>
          <w:szCs w:val="24"/>
          <w:lang w:val="es-ES"/>
        </w:rPr>
        <w:t>,</w:t>
      </w:r>
      <w:r w:rsidRPr="00186B0F">
        <w:rPr>
          <w:rFonts w:ascii="Bookman Old Style" w:eastAsia="MS Mincho" w:hAnsi="Bookman Old Style" w:cs="Arial"/>
          <w:sz w:val="24"/>
          <w:szCs w:val="24"/>
          <w:lang w:val="es-ES"/>
        </w:rPr>
        <w:t xml:space="preserve"> aprobó el contenido de la presente resolución. </w:t>
      </w:r>
    </w:p>
    <w:p w14:paraId="7202DA21" w14:textId="012DD06C" w:rsidR="00A66E25" w:rsidRPr="00186B0F" w:rsidRDefault="00A66E25" w:rsidP="00DE5054">
      <w:pPr>
        <w:spacing w:after="0" w:line="240" w:lineRule="auto"/>
        <w:jc w:val="both"/>
        <w:rPr>
          <w:rFonts w:ascii="Bookman Old Style" w:eastAsia="MS Mincho" w:hAnsi="Bookman Old Style" w:cs="Arial"/>
          <w:sz w:val="24"/>
          <w:szCs w:val="24"/>
          <w:lang w:val="es-ES"/>
        </w:rPr>
      </w:pPr>
    </w:p>
    <w:p w14:paraId="53D0C573" w14:textId="77777777" w:rsidR="00CD74B5" w:rsidRPr="00186B0F"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sidRPr="00186B0F">
        <w:rPr>
          <w:rFonts w:ascii="Bookman Old Style" w:eastAsia="Times New Roman" w:hAnsi="Bookman Old Style" w:cs="Times New Roman"/>
          <w:b/>
          <w:sz w:val="24"/>
          <w:szCs w:val="24"/>
          <w:lang w:val="es-ES" w:eastAsia="es-ES"/>
        </w:rPr>
        <w:t>R E S U E L V E:</w:t>
      </w:r>
    </w:p>
    <w:p w14:paraId="0B33A798" w14:textId="1470A759" w:rsidR="007F66B9" w:rsidRPr="00186B0F" w:rsidRDefault="007F66B9" w:rsidP="005C1BCA">
      <w:pPr>
        <w:spacing w:after="0" w:line="240" w:lineRule="auto"/>
        <w:ind w:right="-91"/>
        <w:jc w:val="both"/>
        <w:rPr>
          <w:rFonts w:ascii="Arial" w:eastAsia="MS Mincho" w:hAnsi="Arial" w:cs="Arial"/>
          <w:lang w:val="es-ES"/>
        </w:rPr>
      </w:pPr>
    </w:p>
    <w:p w14:paraId="57B12B63" w14:textId="65F82436" w:rsidR="00D76C12" w:rsidRDefault="005C1BCA" w:rsidP="005C1BCA">
      <w:pPr>
        <w:spacing w:after="0" w:line="240" w:lineRule="auto"/>
        <w:ind w:right="-91"/>
        <w:jc w:val="both"/>
        <w:rPr>
          <w:rFonts w:ascii="Bookman Old Style" w:eastAsiaTheme="minorEastAsia" w:hAnsi="Bookman Old Style"/>
          <w:iCs/>
          <w:sz w:val="24"/>
          <w:szCs w:val="24"/>
        </w:rPr>
      </w:pPr>
      <w:r w:rsidRPr="00186B0F">
        <w:rPr>
          <w:rFonts w:ascii="Bookman Old Style" w:eastAsia="MS Mincho" w:hAnsi="Bookman Old Style" w:cs="Arial"/>
          <w:b/>
          <w:sz w:val="24"/>
          <w:szCs w:val="24"/>
          <w:lang w:val="es-ES"/>
        </w:rPr>
        <w:t xml:space="preserve">Artículo 1. Capacidad de Compra: </w:t>
      </w:r>
      <w:r w:rsidRPr="00186B0F">
        <w:rPr>
          <w:rFonts w:ascii="Bookman Old Style" w:eastAsia="MS Mincho" w:hAnsi="Bookman Old Style" w:cs="Arial"/>
          <w:sz w:val="24"/>
          <w:szCs w:val="24"/>
          <w:lang w:val="es-ES"/>
        </w:rPr>
        <w:t>La siguiente corresponde a la Capacidad</w:t>
      </w:r>
      <w:r w:rsidRPr="0087487D">
        <w:rPr>
          <w:rFonts w:ascii="Bookman Old Style" w:eastAsia="MS Mincho" w:hAnsi="Bookman Old Style" w:cs="Arial"/>
          <w:sz w:val="24"/>
          <w:szCs w:val="24"/>
          <w:lang w:val="es-ES"/>
        </w:rPr>
        <w:t xml:space="preserve"> de Compra</w:t>
      </w:r>
      <w:r w:rsidR="00CF4873" w:rsidRPr="0087487D">
        <w:rPr>
          <w:rFonts w:ascii="Bookman Old Style" w:eastAsia="MS Mincho" w:hAnsi="Bookman Old Style" w:cs="Arial"/>
          <w:sz w:val="24"/>
          <w:szCs w:val="24"/>
          <w:lang w:val="es-ES"/>
        </w:rPr>
        <w:t xml:space="preserve"> </w:t>
      </w:r>
      <w:r w:rsidR="00B91B9E" w:rsidRPr="0087487D">
        <w:rPr>
          <w:rFonts w:ascii="Bookman Old Style" w:eastAsia="MS Mincho" w:hAnsi="Bookman Old Style" w:cs="Arial"/>
          <w:sz w:val="24"/>
          <w:szCs w:val="24"/>
          <w:lang w:val="es-ES"/>
        </w:rPr>
        <w:t>en los términos de los artículos 8 y 9 de la Resolución CREG 063 de 201</w:t>
      </w:r>
      <w:r w:rsidR="00C8606A">
        <w:rPr>
          <w:rFonts w:ascii="Bookman Old Style" w:eastAsia="MS Mincho" w:hAnsi="Bookman Old Style" w:cs="Arial"/>
          <w:sz w:val="24"/>
          <w:szCs w:val="24"/>
          <w:lang w:val="es-ES"/>
        </w:rPr>
        <w:t>6</w:t>
      </w:r>
      <w:r w:rsidR="00B91B9E" w:rsidRPr="0087487D">
        <w:rPr>
          <w:rFonts w:ascii="Bookman Old Style" w:eastAsia="MS Mincho" w:hAnsi="Bookman Old Style" w:cs="Arial"/>
          <w:sz w:val="24"/>
          <w:szCs w:val="24"/>
          <w:lang w:val="es-ES"/>
        </w:rPr>
        <w:t xml:space="preserve"> para cada uno de los siguientes distribuidores de GLP identificados de acuerdo con el reporte de información en el Sistema único de Información</w:t>
      </w:r>
      <w:r w:rsidR="00F96972">
        <w:rPr>
          <w:rFonts w:ascii="Bookman Old Style" w:eastAsia="MS Mincho" w:hAnsi="Bookman Old Style" w:cs="Arial"/>
          <w:sz w:val="24"/>
          <w:szCs w:val="24"/>
          <w:lang w:val="es-ES"/>
        </w:rPr>
        <w:t xml:space="preserve">, </w:t>
      </w:r>
      <w:r w:rsidR="00B91B9E" w:rsidRPr="0087487D">
        <w:rPr>
          <w:rFonts w:ascii="Bookman Old Style" w:eastAsia="MS Mincho" w:hAnsi="Bookman Old Style" w:cs="Arial"/>
          <w:sz w:val="24"/>
          <w:szCs w:val="24"/>
          <w:lang w:val="es-ES"/>
        </w:rPr>
        <w:t>SUI, así como el Registro Único de Prestadores de Servi</w:t>
      </w:r>
      <w:r w:rsidR="009C0053" w:rsidRPr="0087487D">
        <w:rPr>
          <w:rFonts w:ascii="Bookman Old Style" w:eastAsia="MS Mincho" w:hAnsi="Bookman Old Style" w:cs="Arial"/>
          <w:sz w:val="24"/>
          <w:szCs w:val="24"/>
          <w:lang w:val="es-ES"/>
        </w:rPr>
        <w:t>cios Públicos</w:t>
      </w:r>
      <w:r w:rsidR="00F96972">
        <w:rPr>
          <w:rFonts w:ascii="Bookman Old Style" w:eastAsia="MS Mincho" w:hAnsi="Bookman Old Style" w:cs="Arial"/>
          <w:sz w:val="24"/>
          <w:szCs w:val="24"/>
          <w:lang w:val="es-ES"/>
        </w:rPr>
        <w:t xml:space="preserve">, </w:t>
      </w:r>
      <w:r w:rsidR="009C0053" w:rsidRPr="0087487D">
        <w:rPr>
          <w:rFonts w:ascii="Bookman Old Style" w:eastAsia="MS Mincho" w:hAnsi="Bookman Old Style" w:cs="Arial"/>
          <w:sz w:val="24"/>
          <w:szCs w:val="24"/>
          <w:lang w:val="es-ES"/>
        </w:rPr>
        <w:t>RUPS, aplicable</w:t>
      </w:r>
      <w:r w:rsidR="00B91B9E" w:rsidRPr="0087487D">
        <w:rPr>
          <w:rFonts w:ascii="Bookman Old Style" w:eastAsia="MS Mincho" w:hAnsi="Bookman Old Style" w:cs="Arial"/>
          <w:sz w:val="24"/>
          <w:szCs w:val="24"/>
          <w:lang w:val="es-ES"/>
        </w:rPr>
        <w:t xml:space="preserve"> para el </w:t>
      </w:r>
      <w:r w:rsidR="00A34BD0" w:rsidRPr="0066446D">
        <w:rPr>
          <w:rFonts w:ascii="Bookman Old Style" w:eastAsia="MS Mincho" w:hAnsi="Bookman Old Style" w:cs="Arial"/>
          <w:sz w:val="24"/>
          <w:szCs w:val="24"/>
          <w:lang w:val="es-ES"/>
        </w:rPr>
        <w:t xml:space="preserve">décimo </w:t>
      </w:r>
      <w:r w:rsidR="00B17C45" w:rsidRPr="0066446D">
        <w:rPr>
          <w:rFonts w:ascii="Bookman Old Style" w:eastAsia="MS Mincho" w:hAnsi="Bookman Old Style" w:cs="Arial"/>
          <w:sz w:val="24"/>
          <w:szCs w:val="24"/>
          <w:lang w:val="es-ES"/>
        </w:rPr>
        <w:t>cuarto</w:t>
      </w:r>
      <w:r w:rsidR="00A34BD0" w:rsidRPr="0066446D">
        <w:rPr>
          <w:rFonts w:ascii="Bookman Old Style" w:eastAsia="MS Mincho" w:hAnsi="Bookman Old Style" w:cs="Arial"/>
          <w:sz w:val="24"/>
          <w:szCs w:val="24"/>
          <w:lang w:val="es-ES"/>
        </w:rPr>
        <w:t xml:space="preserve"> </w:t>
      </w:r>
      <w:r w:rsidR="00B91B9E" w:rsidRPr="0066446D">
        <w:rPr>
          <w:rFonts w:ascii="Bookman Old Style" w:eastAsia="MS Mincho" w:hAnsi="Bookman Old Style" w:cs="Arial"/>
          <w:sz w:val="24"/>
          <w:szCs w:val="24"/>
          <w:lang w:val="es-ES"/>
        </w:rPr>
        <w:t>período de compra</w:t>
      </w:r>
      <w:r w:rsidR="00B91B9E" w:rsidRPr="001303F4">
        <w:rPr>
          <w:rFonts w:ascii="Bookman Old Style" w:eastAsiaTheme="minorEastAsia" w:hAnsi="Bookman Old Style"/>
          <w:iCs/>
          <w:sz w:val="24"/>
          <w:szCs w:val="24"/>
        </w:rPr>
        <w:t>:</w:t>
      </w:r>
    </w:p>
    <w:p w14:paraId="41904896" w14:textId="77777777" w:rsidR="00540EFB" w:rsidRDefault="00540EFB" w:rsidP="005C1BCA">
      <w:pPr>
        <w:spacing w:after="0" w:line="240" w:lineRule="auto"/>
        <w:ind w:right="-91"/>
        <w:jc w:val="both"/>
        <w:rPr>
          <w:rFonts w:ascii="Bookman Old Style" w:eastAsiaTheme="minorEastAsia" w:hAnsi="Bookman Old Style"/>
          <w:iCs/>
          <w:sz w:val="24"/>
          <w:szCs w:val="24"/>
        </w:rPr>
      </w:pPr>
    </w:p>
    <w:tbl>
      <w:tblPr>
        <w:tblStyle w:val="Tablaconcuadrcula"/>
        <w:tblW w:w="0" w:type="auto"/>
        <w:jc w:val="center"/>
        <w:tblLook w:val="04A0" w:firstRow="1" w:lastRow="0" w:firstColumn="1" w:lastColumn="0" w:noHBand="0" w:noVBand="1"/>
      </w:tblPr>
      <w:tblGrid>
        <w:gridCol w:w="1271"/>
        <w:gridCol w:w="6095"/>
        <w:gridCol w:w="1757"/>
      </w:tblGrid>
      <w:tr w:rsidR="00060D96" w:rsidRPr="006A3D65" w14:paraId="2785626E" w14:textId="77777777" w:rsidTr="003D6EDB">
        <w:trPr>
          <w:trHeight w:val="624"/>
          <w:tblHeader/>
          <w:jc w:val="center"/>
        </w:trPr>
        <w:tc>
          <w:tcPr>
            <w:tcW w:w="1271" w:type="dxa"/>
            <w:noWrap/>
            <w:vAlign w:val="center"/>
            <w:hideMark/>
          </w:tcPr>
          <w:p w14:paraId="72DCF75B" w14:textId="77777777" w:rsidR="00DF386F" w:rsidRPr="006A3D65" w:rsidRDefault="00DF386F" w:rsidP="00EB14ED">
            <w:pPr>
              <w:ind w:right="-91"/>
              <w:jc w:val="center"/>
              <w:rPr>
                <w:rFonts w:ascii="Bookman Old Style" w:eastAsiaTheme="minorEastAsia" w:hAnsi="Bookman Old Style"/>
                <w:b/>
                <w:bCs/>
                <w:iCs/>
                <w:sz w:val="22"/>
                <w:szCs w:val="22"/>
              </w:rPr>
            </w:pPr>
            <w:r w:rsidRPr="006A3D65">
              <w:rPr>
                <w:rFonts w:ascii="Bookman Old Style" w:eastAsiaTheme="minorEastAsia" w:hAnsi="Bookman Old Style"/>
                <w:b/>
                <w:bCs/>
                <w:iCs/>
                <w:sz w:val="22"/>
                <w:szCs w:val="22"/>
              </w:rPr>
              <w:t>Cód. SUI</w:t>
            </w:r>
          </w:p>
        </w:tc>
        <w:tc>
          <w:tcPr>
            <w:tcW w:w="6095" w:type="dxa"/>
            <w:noWrap/>
            <w:vAlign w:val="center"/>
            <w:hideMark/>
          </w:tcPr>
          <w:p w14:paraId="220A5772" w14:textId="77777777" w:rsidR="00DF386F" w:rsidRPr="006A3D65" w:rsidRDefault="00DF386F" w:rsidP="00EB14ED">
            <w:pPr>
              <w:ind w:right="-91"/>
              <w:jc w:val="center"/>
              <w:rPr>
                <w:rFonts w:ascii="Bookman Old Style" w:eastAsiaTheme="minorEastAsia" w:hAnsi="Bookman Old Style"/>
                <w:b/>
                <w:bCs/>
                <w:iCs/>
                <w:sz w:val="22"/>
                <w:szCs w:val="22"/>
              </w:rPr>
            </w:pPr>
            <w:r w:rsidRPr="006A3D65">
              <w:rPr>
                <w:rFonts w:ascii="Bookman Old Style" w:eastAsiaTheme="minorEastAsia" w:hAnsi="Bookman Old Style"/>
                <w:b/>
                <w:bCs/>
                <w:iCs/>
                <w:sz w:val="22"/>
                <w:szCs w:val="22"/>
              </w:rPr>
              <w:t>Empresa</w:t>
            </w:r>
          </w:p>
        </w:tc>
        <w:tc>
          <w:tcPr>
            <w:tcW w:w="1757" w:type="dxa"/>
            <w:noWrap/>
            <w:vAlign w:val="center"/>
            <w:hideMark/>
          </w:tcPr>
          <w:p w14:paraId="01C96DC9" w14:textId="77777777" w:rsidR="00DF386F" w:rsidRPr="006A3D65" w:rsidRDefault="00DF386F" w:rsidP="00EB14ED">
            <w:pPr>
              <w:ind w:right="-91"/>
              <w:jc w:val="center"/>
              <w:rPr>
                <w:rFonts w:ascii="Bookman Old Style" w:eastAsiaTheme="minorEastAsia" w:hAnsi="Bookman Old Style"/>
                <w:b/>
                <w:bCs/>
                <w:iCs/>
                <w:sz w:val="22"/>
                <w:szCs w:val="22"/>
              </w:rPr>
            </w:pPr>
            <w:r w:rsidRPr="006A3D65">
              <w:rPr>
                <w:rFonts w:ascii="Bookman Old Style" w:eastAsiaTheme="minorEastAsia" w:hAnsi="Bookman Old Style"/>
                <w:b/>
                <w:bCs/>
                <w:iCs/>
                <w:sz w:val="22"/>
                <w:szCs w:val="22"/>
              </w:rPr>
              <w:t>Capacidad (kg)</w:t>
            </w:r>
          </w:p>
        </w:tc>
      </w:tr>
      <w:tr w:rsidR="00331EE9" w:rsidRPr="006A3D65" w14:paraId="464C5B51" w14:textId="77777777" w:rsidTr="006D0C2E">
        <w:trPr>
          <w:trHeight w:val="624"/>
          <w:jc w:val="center"/>
        </w:trPr>
        <w:tc>
          <w:tcPr>
            <w:tcW w:w="1271" w:type="dxa"/>
            <w:noWrap/>
            <w:vAlign w:val="center"/>
          </w:tcPr>
          <w:p w14:paraId="431DE876" w14:textId="0CD150A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522</w:t>
            </w:r>
          </w:p>
        </w:tc>
        <w:tc>
          <w:tcPr>
            <w:tcW w:w="6095" w:type="dxa"/>
            <w:noWrap/>
            <w:vAlign w:val="center"/>
          </w:tcPr>
          <w:p w14:paraId="6D6BC0D2" w14:textId="550EC9F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NORTESANTANDEREANA DE GAS S.A. E.S.P.</w:t>
            </w:r>
          </w:p>
        </w:tc>
        <w:tc>
          <w:tcPr>
            <w:tcW w:w="1757" w:type="dxa"/>
            <w:noWrap/>
            <w:vAlign w:val="center"/>
          </w:tcPr>
          <w:p w14:paraId="59D11CD7" w14:textId="55B53D1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160.631.392 </w:t>
            </w:r>
          </w:p>
        </w:tc>
      </w:tr>
      <w:tr w:rsidR="00331EE9" w:rsidRPr="006A3D65" w14:paraId="3F0BE7C9" w14:textId="77777777" w:rsidTr="006D0C2E">
        <w:trPr>
          <w:trHeight w:val="624"/>
          <w:jc w:val="center"/>
        </w:trPr>
        <w:tc>
          <w:tcPr>
            <w:tcW w:w="1271" w:type="dxa"/>
            <w:noWrap/>
            <w:vAlign w:val="center"/>
          </w:tcPr>
          <w:p w14:paraId="7A580BE3" w14:textId="0BAA5CC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543</w:t>
            </w:r>
          </w:p>
        </w:tc>
        <w:tc>
          <w:tcPr>
            <w:tcW w:w="6095" w:type="dxa"/>
            <w:noWrap/>
            <w:vAlign w:val="center"/>
          </w:tcPr>
          <w:p w14:paraId="1ECCFF06" w14:textId="21B4F11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PROVIGAS S.A.S.  E.S.P.</w:t>
            </w:r>
          </w:p>
        </w:tc>
        <w:tc>
          <w:tcPr>
            <w:tcW w:w="1757" w:type="dxa"/>
            <w:noWrap/>
            <w:vAlign w:val="center"/>
          </w:tcPr>
          <w:p w14:paraId="396050E3" w14:textId="24F4CBE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2.529.158 </w:t>
            </w:r>
          </w:p>
        </w:tc>
      </w:tr>
      <w:tr w:rsidR="00331EE9" w:rsidRPr="006A3D65" w14:paraId="660A0D59" w14:textId="77777777" w:rsidTr="006D0C2E">
        <w:trPr>
          <w:trHeight w:val="624"/>
          <w:jc w:val="center"/>
        </w:trPr>
        <w:tc>
          <w:tcPr>
            <w:tcW w:w="1271" w:type="dxa"/>
            <w:noWrap/>
            <w:vAlign w:val="center"/>
          </w:tcPr>
          <w:p w14:paraId="46C7E342" w14:textId="11D3B42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976</w:t>
            </w:r>
          </w:p>
        </w:tc>
        <w:tc>
          <w:tcPr>
            <w:tcW w:w="6095" w:type="dxa"/>
            <w:noWrap/>
            <w:vAlign w:val="center"/>
          </w:tcPr>
          <w:p w14:paraId="7D6641A0" w14:textId="01B285C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ZIPA SAS  ESP</w:t>
            </w:r>
          </w:p>
        </w:tc>
        <w:tc>
          <w:tcPr>
            <w:tcW w:w="1757" w:type="dxa"/>
            <w:noWrap/>
            <w:vAlign w:val="center"/>
          </w:tcPr>
          <w:p w14:paraId="56F0917B" w14:textId="5E4054F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11.172.427 </w:t>
            </w:r>
          </w:p>
        </w:tc>
      </w:tr>
      <w:tr w:rsidR="00331EE9" w:rsidRPr="006A3D65" w14:paraId="2FCA3270" w14:textId="77777777" w:rsidTr="006D0C2E">
        <w:trPr>
          <w:trHeight w:val="624"/>
          <w:jc w:val="center"/>
        </w:trPr>
        <w:tc>
          <w:tcPr>
            <w:tcW w:w="1271" w:type="dxa"/>
            <w:noWrap/>
            <w:vAlign w:val="center"/>
          </w:tcPr>
          <w:p w14:paraId="2AAEFE3A" w14:textId="20B40EE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1115</w:t>
            </w:r>
          </w:p>
        </w:tc>
        <w:tc>
          <w:tcPr>
            <w:tcW w:w="6095" w:type="dxa"/>
            <w:noWrap/>
            <w:vAlign w:val="center"/>
          </w:tcPr>
          <w:p w14:paraId="165BCA52" w14:textId="36AD3A5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VELOGAS S.A.  E.S.P.</w:t>
            </w:r>
          </w:p>
        </w:tc>
        <w:tc>
          <w:tcPr>
            <w:tcW w:w="1757" w:type="dxa"/>
            <w:noWrap/>
            <w:vAlign w:val="center"/>
          </w:tcPr>
          <w:p w14:paraId="5A6D57B2" w14:textId="6509141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644.735 </w:t>
            </w:r>
          </w:p>
        </w:tc>
      </w:tr>
      <w:tr w:rsidR="00331EE9" w:rsidRPr="006A3D65" w14:paraId="5A75915A" w14:textId="77777777" w:rsidTr="006D0C2E">
        <w:trPr>
          <w:trHeight w:val="624"/>
          <w:jc w:val="center"/>
        </w:trPr>
        <w:tc>
          <w:tcPr>
            <w:tcW w:w="1271" w:type="dxa"/>
            <w:noWrap/>
            <w:vAlign w:val="center"/>
          </w:tcPr>
          <w:p w14:paraId="7AFDC64E" w14:textId="4128AE6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1195</w:t>
            </w:r>
          </w:p>
        </w:tc>
        <w:tc>
          <w:tcPr>
            <w:tcW w:w="6095" w:type="dxa"/>
            <w:noWrap/>
            <w:vAlign w:val="center"/>
          </w:tcPr>
          <w:p w14:paraId="74AD9372" w14:textId="50B7135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ENVASADORA DE GAS DE PUERTO SALGAR S.A. EMPRESA DE SERVICIOS PUBLICOS</w:t>
            </w:r>
          </w:p>
        </w:tc>
        <w:tc>
          <w:tcPr>
            <w:tcW w:w="1757" w:type="dxa"/>
            <w:noWrap/>
            <w:vAlign w:val="center"/>
          </w:tcPr>
          <w:p w14:paraId="41FE7905" w14:textId="2855DB8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3.242.114 </w:t>
            </w:r>
          </w:p>
        </w:tc>
      </w:tr>
      <w:tr w:rsidR="00331EE9" w:rsidRPr="006A3D65" w14:paraId="1E548703" w14:textId="77777777" w:rsidTr="006D0C2E">
        <w:trPr>
          <w:trHeight w:val="624"/>
          <w:jc w:val="center"/>
        </w:trPr>
        <w:tc>
          <w:tcPr>
            <w:tcW w:w="1271" w:type="dxa"/>
            <w:noWrap/>
            <w:vAlign w:val="center"/>
          </w:tcPr>
          <w:p w14:paraId="6B56100C" w14:textId="1F058F2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1330</w:t>
            </w:r>
          </w:p>
        </w:tc>
        <w:tc>
          <w:tcPr>
            <w:tcW w:w="6095" w:type="dxa"/>
            <w:noWrap/>
            <w:vAlign w:val="center"/>
          </w:tcPr>
          <w:p w14:paraId="5FB27AD8" w14:textId="335123E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GRANADOS GOMEZ Y CIA S.A.S E.S.P</w:t>
            </w:r>
          </w:p>
        </w:tc>
        <w:tc>
          <w:tcPr>
            <w:tcW w:w="1757" w:type="dxa"/>
            <w:noWrap/>
            <w:vAlign w:val="center"/>
          </w:tcPr>
          <w:p w14:paraId="5D1F8C41" w14:textId="00D3A3F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2.091.891 </w:t>
            </w:r>
          </w:p>
        </w:tc>
      </w:tr>
      <w:tr w:rsidR="00331EE9" w:rsidRPr="006A3D65" w14:paraId="2835CFB6" w14:textId="77777777" w:rsidTr="006D0C2E">
        <w:trPr>
          <w:trHeight w:val="624"/>
          <w:jc w:val="center"/>
        </w:trPr>
        <w:tc>
          <w:tcPr>
            <w:tcW w:w="1271" w:type="dxa"/>
            <w:noWrap/>
            <w:vAlign w:val="center"/>
          </w:tcPr>
          <w:p w14:paraId="2BCC390F" w14:textId="5A54E3D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1564</w:t>
            </w:r>
          </w:p>
        </w:tc>
        <w:tc>
          <w:tcPr>
            <w:tcW w:w="6095" w:type="dxa"/>
            <w:noWrap/>
            <w:vAlign w:val="center"/>
          </w:tcPr>
          <w:p w14:paraId="54B5CC6A" w14:textId="05B5374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ELECTROGAS SA ESP</w:t>
            </w:r>
          </w:p>
        </w:tc>
        <w:tc>
          <w:tcPr>
            <w:tcW w:w="1757" w:type="dxa"/>
            <w:noWrap/>
            <w:vAlign w:val="center"/>
          </w:tcPr>
          <w:p w14:paraId="5D6FE1C9" w14:textId="0484116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2.040.157 </w:t>
            </w:r>
          </w:p>
        </w:tc>
      </w:tr>
      <w:tr w:rsidR="00331EE9" w:rsidRPr="006A3D65" w14:paraId="489B899C" w14:textId="77777777" w:rsidTr="006D0C2E">
        <w:trPr>
          <w:trHeight w:val="624"/>
          <w:jc w:val="center"/>
        </w:trPr>
        <w:tc>
          <w:tcPr>
            <w:tcW w:w="1271" w:type="dxa"/>
            <w:noWrap/>
            <w:vAlign w:val="center"/>
          </w:tcPr>
          <w:p w14:paraId="336E3DFA" w14:textId="3636E00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1595</w:t>
            </w:r>
          </w:p>
        </w:tc>
        <w:tc>
          <w:tcPr>
            <w:tcW w:w="6095" w:type="dxa"/>
            <w:noWrap/>
            <w:vAlign w:val="center"/>
          </w:tcPr>
          <w:p w14:paraId="274C76E4" w14:textId="723E7B4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GASES DEL CAGUAN S. A. E.S.P.</w:t>
            </w:r>
          </w:p>
        </w:tc>
        <w:tc>
          <w:tcPr>
            <w:tcW w:w="1757" w:type="dxa"/>
            <w:noWrap/>
            <w:vAlign w:val="center"/>
          </w:tcPr>
          <w:p w14:paraId="3B79BEDA" w14:textId="599C5D6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356.930 </w:t>
            </w:r>
          </w:p>
        </w:tc>
      </w:tr>
      <w:tr w:rsidR="00331EE9" w:rsidRPr="006A3D65" w14:paraId="3BF17409" w14:textId="77777777" w:rsidTr="006D0C2E">
        <w:trPr>
          <w:trHeight w:val="624"/>
          <w:jc w:val="center"/>
        </w:trPr>
        <w:tc>
          <w:tcPr>
            <w:tcW w:w="1271" w:type="dxa"/>
            <w:noWrap/>
            <w:vAlign w:val="center"/>
          </w:tcPr>
          <w:p w14:paraId="11FB0C67" w14:textId="3A10951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1598</w:t>
            </w:r>
          </w:p>
        </w:tc>
        <w:tc>
          <w:tcPr>
            <w:tcW w:w="6095" w:type="dxa"/>
            <w:noWrap/>
            <w:vAlign w:val="center"/>
          </w:tcPr>
          <w:p w14:paraId="67178004" w14:textId="2934BF6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NEIVA S.A. E.S.P.</w:t>
            </w:r>
          </w:p>
        </w:tc>
        <w:tc>
          <w:tcPr>
            <w:tcW w:w="1757" w:type="dxa"/>
            <w:noWrap/>
            <w:vAlign w:val="center"/>
          </w:tcPr>
          <w:p w14:paraId="0B9706ED" w14:textId="6072C8A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3.967.756 </w:t>
            </w:r>
          </w:p>
        </w:tc>
      </w:tr>
      <w:tr w:rsidR="00331EE9" w:rsidRPr="006A3D65" w14:paraId="7368BEEC" w14:textId="77777777" w:rsidTr="006D0C2E">
        <w:trPr>
          <w:trHeight w:val="624"/>
          <w:jc w:val="center"/>
        </w:trPr>
        <w:tc>
          <w:tcPr>
            <w:tcW w:w="1271" w:type="dxa"/>
            <w:noWrap/>
            <w:vAlign w:val="center"/>
          </w:tcPr>
          <w:p w14:paraId="38FD511D" w14:textId="62A5F53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1604</w:t>
            </w:r>
          </w:p>
        </w:tc>
        <w:tc>
          <w:tcPr>
            <w:tcW w:w="6095" w:type="dxa"/>
            <w:noWrap/>
            <w:vAlign w:val="center"/>
          </w:tcPr>
          <w:p w14:paraId="691DA930" w14:textId="13BC1C0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DISTRIBUIDORA CENTRAL DE GAS SAS ESP</w:t>
            </w:r>
          </w:p>
        </w:tc>
        <w:tc>
          <w:tcPr>
            <w:tcW w:w="1757" w:type="dxa"/>
            <w:noWrap/>
            <w:vAlign w:val="center"/>
          </w:tcPr>
          <w:p w14:paraId="31F0869B" w14:textId="43E197D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1.408.321 </w:t>
            </w:r>
          </w:p>
        </w:tc>
      </w:tr>
      <w:tr w:rsidR="00331EE9" w:rsidRPr="006A3D65" w14:paraId="37FA56BF" w14:textId="77777777" w:rsidTr="006D0C2E">
        <w:trPr>
          <w:trHeight w:val="624"/>
          <w:jc w:val="center"/>
        </w:trPr>
        <w:tc>
          <w:tcPr>
            <w:tcW w:w="1271" w:type="dxa"/>
            <w:noWrap/>
            <w:vAlign w:val="center"/>
          </w:tcPr>
          <w:p w14:paraId="1471630A" w14:textId="2B4678A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1634</w:t>
            </w:r>
          </w:p>
        </w:tc>
        <w:tc>
          <w:tcPr>
            <w:tcW w:w="6095" w:type="dxa"/>
            <w:noWrap/>
            <w:vAlign w:val="center"/>
          </w:tcPr>
          <w:p w14:paraId="5CF1417C" w14:textId="498FBB9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RAYOGAS S.A. ESP</w:t>
            </w:r>
          </w:p>
        </w:tc>
        <w:tc>
          <w:tcPr>
            <w:tcW w:w="1757" w:type="dxa"/>
            <w:noWrap/>
            <w:vAlign w:val="center"/>
          </w:tcPr>
          <w:p w14:paraId="2E6A1D7F" w14:textId="408A067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15.319.971 </w:t>
            </w:r>
          </w:p>
        </w:tc>
      </w:tr>
      <w:tr w:rsidR="00331EE9" w:rsidRPr="006A3D65" w14:paraId="636D152B" w14:textId="77777777" w:rsidTr="006D0C2E">
        <w:trPr>
          <w:trHeight w:val="624"/>
          <w:jc w:val="center"/>
        </w:trPr>
        <w:tc>
          <w:tcPr>
            <w:tcW w:w="1271" w:type="dxa"/>
            <w:noWrap/>
            <w:vAlign w:val="center"/>
          </w:tcPr>
          <w:p w14:paraId="19DEAD6A" w14:textId="7E9C591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1638</w:t>
            </w:r>
          </w:p>
        </w:tc>
        <w:tc>
          <w:tcPr>
            <w:tcW w:w="6095" w:type="dxa"/>
            <w:noWrap/>
            <w:vAlign w:val="center"/>
          </w:tcPr>
          <w:p w14:paraId="0EAF6EB0" w14:textId="4F128B9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COMPAÑIA DE ALMACENAMIENTO DE GAS S.A. ESP</w:t>
            </w:r>
          </w:p>
        </w:tc>
        <w:tc>
          <w:tcPr>
            <w:tcW w:w="1757" w:type="dxa"/>
            <w:noWrap/>
            <w:vAlign w:val="center"/>
          </w:tcPr>
          <w:p w14:paraId="7B360BBC" w14:textId="0A26DF6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1.363.462 </w:t>
            </w:r>
          </w:p>
        </w:tc>
      </w:tr>
      <w:tr w:rsidR="00331EE9" w:rsidRPr="006A3D65" w14:paraId="3506EE71" w14:textId="77777777" w:rsidTr="006D0C2E">
        <w:trPr>
          <w:trHeight w:val="624"/>
          <w:jc w:val="center"/>
        </w:trPr>
        <w:tc>
          <w:tcPr>
            <w:tcW w:w="1271" w:type="dxa"/>
            <w:noWrap/>
            <w:vAlign w:val="center"/>
          </w:tcPr>
          <w:p w14:paraId="6AD205C9" w14:textId="5B90C67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1713</w:t>
            </w:r>
          </w:p>
        </w:tc>
        <w:tc>
          <w:tcPr>
            <w:tcW w:w="6095" w:type="dxa"/>
            <w:noWrap/>
            <w:vAlign w:val="center"/>
          </w:tcPr>
          <w:p w14:paraId="1634D0D4" w14:textId="5C1BA11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INTERMUNICIPAL DE GAS S.A. E.S.P.</w:t>
            </w:r>
          </w:p>
        </w:tc>
        <w:tc>
          <w:tcPr>
            <w:tcW w:w="1757" w:type="dxa"/>
            <w:noWrap/>
            <w:vAlign w:val="center"/>
          </w:tcPr>
          <w:p w14:paraId="033C2292" w14:textId="1054E93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314.959 </w:t>
            </w:r>
          </w:p>
        </w:tc>
      </w:tr>
      <w:tr w:rsidR="00331EE9" w:rsidRPr="006A3D65" w14:paraId="5F444987" w14:textId="77777777" w:rsidTr="006D0C2E">
        <w:trPr>
          <w:trHeight w:val="624"/>
          <w:jc w:val="center"/>
        </w:trPr>
        <w:tc>
          <w:tcPr>
            <w:tcW w:w="1271" w:type="dxa"/>
            <w:noWrap/>
            <w:vAlign w:val="center"/>
          </w:tcPr>
          <w:p w14:paraId="65F62FC1" w14:textId="158D7A9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1714</w:t>
            </w:r>
          </w:p>
        </w:tc>
        <w:tc>
          <w:tcPr>
            <w:tcW w:w="6095" w:type="dxa"/>
            <w:noWrap/>
            <w:vAlign w:val="center"/>
          </w:tcPr>
          <w:p w14:paraId="3092F3A1" w14:textId="6FA57C8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VILLA GAS S.A. E.S.P.</w:t>
            </w:r>
          </w:p>
        </w:tc>
        <w:tc>
          <w:tcPr>
            <w:tcW w:w="1757" w:type="dxa"/>
            <w:noWrap/>
            <w:vAlign w:val="center"/>
          </w:tcPr>
          <w:p w14:paraId="10992C47" w14:textId="59B9533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1.091.943 </w:t>
            </w:r>
          </w:p>
        </w:tc>
      </w:tr>
      <w:tr w:rsidR="00331EE9" w:rsidRPr="006A3D65" w14:paraId="0A0FAF10" w14:textId="77777777" w:rsidTr="006D0C2E">
        <w:trPr>
          <w:trHeight w:val="624"/>
          <w:jc w:val="center"/>
        </w:trPr>
        <w:tc>
          <w:tcPr>
            <w:tcW w:w="1271" w:type="dxa"/>
            <w:noWrap/>
            <w:vAlign w:val="center"/>
          </w:tcPr>
          <w:p w14:paraId="59C5A08D" w14:textId="5BB37C1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lastRenderedPageBreak/>
              <w:t>1715</w:t>
            </w:r>
          </w:p>
        </w:tc>
        <w:tc>
          <w:tcPr>
            <w:tcW w:w="6095" w:type="dxa"/>
            <w:noWrap/>
            <w:vAlign w:val="center"/>
          </w:tcPr>
          <w:p w14:paraId="0DAD1944" w14:textId="0FAC76D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EL SOL S.A. E.S.P.</w:t>
            </w:r>
          </w:p>
        </w:tc>
        <w:tc>
          <w:tcPr>
            <w:tcW w:w="1757" w:type="dxa"/>
            <w:noWrap/>
            <w:vAlign w:val="center"/>
          </w:tcPr>
          <w:p w14:paraId="44AF0997" w14:textId="664DF0C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379.172 </w:t>
            </w:r>
          </w:p>
        </w:tc>
      </w:tr>
      <w:tr w:rsidR="00331EE9" w:rsidRPr="006A3D65" w14:paraId="6D15A919" w14:textId="77777777" w:rsidTr="006D0C2E">
        <w:trPr>
          <w:trHeight w:val="624"/>
          <w:jc w:val="center"/>
        </w:trPr>
        <w:tc>
          <w:tcPr>
            <w:tcW w:w="1271" w:type="dxa"/>
            <w:noWrap/>
            <w:vAlign w:val="center"/>
          </w:tcPr>
          <w:p w14:paraId="16BBBE0D" w14:textId="570FE36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1854</w:t>
            </w:r>
          </w:p>
        </w:tc>
        <w:tc>
          <w:tcPr>
            <w:tcW w:w="6095" w:type="dxa"/>
            <w:noWrap/>
            <w:vAlign w:val="center"/>
          </w:tcPr>
          <w:p w14:paraId="3B76A5E8" w14:textId="1794278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LIDAGAS S.A E.S.P.</w:t>
            </w:r>
          </w:p>
        </w:tc>
        <w:tc>
          <w:tcPr>
            <w:tcW w:w="1757" w:type="dxa"/>
            <w:noWrap/>
            <w:vAlign w:val="center"/>
          </w:tcPr>
          <w:p w14:paraId="51C77D10" w14:textId="571A83C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5.047.575 </w:t>
            </w:r>
          </w:p>
        </w:tc>
      </w:tr>
      <w:tr w:rsidR="00331EE9" w:rsidRPr="006A3D65" w14:paraId="1E061C20" w14:textId="77777777" w:rsidTr="006D0C2E">
        <w:trPr>
          <w:trHeight w:val="624"/>
          <w:jc w:val="center"/>
        </w:trPr>
        <w:tc>
          <w:tcPr>
            <w:tcW w:w="1271" w:type="dxa"/>
            <w:noWrap/>
            <w:vAlign w:val="center"/>
          </w:tcPr>
          <w:p w14:paraId="73051F90" w14:textId="400B380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2180</w:t>
            </w:r>
          </w:p>
        </w:tc>
        <w:tc>
          <w:tcPr>
            <w:tcW w:w="6095" w:type="dxa"/>
            <w:noWrap/>
            <w:vAlign w:val="center"/>
          </w:tcPr>
          <w:p w14:paraId="2698BE57" w14:textId="0971444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CAQUETA S.A  E.S.P</w:t>
            </w:r>
          </w:p>
        </w:tc>
        <w:tc>
          <w:tcPr>
            <w:tcW w:w="1757" w:type="dxa"/>
            <w:noWrap/>
            <w:vAlign w:val="center"/>
          </w:tcPr>
          <w:p w14:paraId="4CCAE027" w14:textId="2F3ECE8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1.964.435 </w:t>
            </w:r>
          </w:p>
        </w:tc>
      </w:tr>
      <w:tr w:rsidR="00331EE9" w:rsidRPr="006A3D65" w14:paraId="04996326" w14:textId="77777777" w:rsidTr="006D0C2E">
        <w:trPr>
          <w:trHeight w:val="624"/>
          <w:jc w:val="center"/>
        </w:trPr>
        <w:tc>
          <w:tcPr>
            <w:tcW w:w="1271" w:type="dxa"/>
            <w:noWrap/>
            <w:vAlign w:val="center"/>
          </w:tcPr>
          <w:p w14:paraId="6B71B6F0" w14:textId="57A58F2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2676</w:t>
            </w:r>
          </w:p>
        </w:tc>
        <w:tc>
          <w:tcPr>
            <w:tcW w:w="6095" w:type="dxa"/>
            <w:noWrap/>
            <w:vAlign w:val="center"/>
          </w:tcPr>
          <w:p w14:paraId="048401B0" w14:textId="0572C38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SUPERGAS DE NARIÑO S.A. E.S.P.</w:t>
            </w:r>
          </w:p>
        </w:tc>
        <w:tc>
          <w:tcPr>
            <w:tcW w:w="1757" w:type="dxa"/>
            <w:noWrap/>
            <w:vAlign w:val="center"/>
          </w:tcPr>
          <w:p w14:paraId="57417103" w14:textId="1784D07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4.657.861 </w:t>
            </w:r>
          </w:p>
        </w:tc>
      </w:tr>
      <w:tr w:rsidR="00331EE9" w:rsidRPr="006A3D65" w14:paraId="48BCF664" w14:textId="77777777" w:rsidTr="006D0C2E">
        <w:trPr>
          <w:trHeight w:val="624"/>
          <w:jc w:val="center"/>
        </w:trPr>
        <w:tc>
          <w:tcPr>
            <w:tcW w:w="1271" w:type="dxa"/>
            <w:noWrap/>
            <w:vAlign w:val="center"/>
          </w:tcPr>
          <w:p w14:paraId="0B7D613B" w14:textId="652D535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2923</w:t>
            </w:r>
          </w:p>
        </w:tc>
        <w:tc>
          <w:tcPr>
            <w:tcW w:w="6095" w:type="dxa"/>
            <w:noWrap/>
            <w:vAlign w:val="center"/>
          </w:tcPr>
          <w:p w14:paraId="6407BF4A" w14:textId="16E30C0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DISTRIBUIDORA DE GAS MONZAGAS S.A. E.S.P.</w:t>
            </w:r>
          </w:p>
        </w:tc>
        <w:tc>
          <w:tcPr>
            <w:tcW w:w="1757" w:type="dxa"/>
            <w:noWrap/>
            <w:vAlign w:val="center"/>
          </w:tcPr>
          <w:p w14:paraId="18427631" w14:textId="5D3EB93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841.667 </w:t>
            </w:r>
          </w:p>
        </w:tc>
      </w:tr>
      <w:tr w:rsidR="00331EE9" w:rsidRPr="006A3D65" w14:paraId="00BD8C3E" w14:textId="77777777" w:rsidTr="006D0C2E">
        <w:trPr>
          <w:trHeight w:val="624"/>
          <w:jc w:val="center"/>
        </w:trPr>
        <w:tc>
          <w:tcPr>
            <w:tcW w:w="1271" w:type="dxa"/>
            <w:noWrap/>
            <w:vAlign w:val="center"/>
          </w:tcPr>
          <w:p w14:paraId="144523D6" w14:textId="7DA29A1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3080</w:t>
            </w:r>
          </w:p>
        </w:tc>
        <w:tc>
          <w:tcPr>
            <w:tcW w:w="6095" w:type="dxa"/>
            <w:noWrap/>
            <w:vAlign w:val="center"/>
          </w:tcPr>
          <w:p w14:paraId="3B7C837D" w14:textId="61FE141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LA LLAMA OLÍMPICA S.A, E.S.P.</w:t>
            </w:r>
          </w:p>
        </w:tc>
        <w:tc>
          <w:tcPr>
            <w:tcW w:w="1757" w:type="dxa"/>
            <w:noWrap/>
            <w:vAlign w:val="center"/>
          </w:tcPr>
          <w:p w14:paraId="32CD1579" w14:textId="4A53D46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711.614 </w:t>
            </w:r>
          </w:p>
        </w:tc>
      </w:tr>
      <w:tr w:rsidR="00331EE9" w:rsidRPr="006A3D65" w14:paraId="6D969DD7" w14:textId="77777777" w:rsidTr="006D0C2E">
        <w:trPr>
          <w:trHeight w:val="624"/>
          <w:jc w:val="center"/>
        </w:trPr>
        <w:tc>
          <w:tcPr>
            <w:tcW w:w="1271" w:type="dxa"/>
            <w:noWrap/>
            <w:vAlign w:val="center"/>
          </w:tcPr>
          <w:p w14:paraId="02B9CC5E" w14:textId="451AB57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3358</w:t>
            </w:r>
          </w:p>
        </w:tc>
        <w:tc>
          <w:tcPr>
            <w:tcW w:w="6095" w:type="dxa"/>
            <w:noWrap/>
            <w:vAlign w:val="center"/>
          </w:tcPr>
          <w:p w14:paraId="2CE1DB36" w14:textId="2CAFDA8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COMPAÑIA DE SERVICIOS PUBLICOS S.A E.S.P</w:t>
            </w:r>
          </w:p>
        </w:tc>
        <w:tc>
          <w:tcPr>
            <w:tcW w:w="1757" w:type="dxa"/>
            <w:noWrap/>
            <w:vAlign w:val="center"/>
          </w:tcPr>
          <w:p w14:paraId="6FA37A45" w14:textId="0D0895C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7.442.664 </w:t>
            </w:r>
          </w:p>
        </w:tc>
      </w:tr>
      <w:tr w:rsidR="00331EE9" w:rsidRPr="006A3D65" w14:paraId="39F7D974" w14:textId="77777777" w:rsidTr="006D0C2E">
        <w:trPr>
          <w:trHeight w:val="624"/>
          <w:jc w:val="center"/>
        </w:trPr>
        <w:tc>
          <w:tcPr>
            <w:tcW w:w="1271" w:type="dxa"/>
            <w:noWrap/>
            <w:vAlign w:val="center"/>
          </w:tcPr>
          <w:p w14:paraId="46323193" w14:textId="5986373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6026</w:t>
            </w:r>
          </w:p>
        </w:tc>
        <w:tc>
          <w:tcPr>
            <w:tcW w:w="6095" w:type="dxa"/>
            <w:noWrap/>
            <w:vAlign w:val="center"/>
          </w:tcPr>
          <w:p w14:paraId="0EA4A09C" w14:textId="0D02274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MONTAGAS S.A. EMPRESA DE SERVICIOS PÚBLICOS DOMICILIARIOS MONTAGAS SA E S P.</w:t>
            </w:r>
          </w:p>
        </w:tc>
        <w:tc>
          <w:tcPr>
            <w:tcW w:w="1757" w:type="dxa"/>
            <w:noWrap/>
            <w:vAlign w:val="center"/>
          </w:tcPr>
          <w:p w14:paraId="5CB229BB" w14:textId="1D67317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28.766.623 </w:t>
            </w:r>
          </w:p>
        </w:tc>
      </w:tr>
      <w:tr w:rsidR="00331EE9" w:rsidRPr="006A3D65" w14:paraId="54F2B00F" w14:textId="77777777" w:rsidTr="006D0C2E">
        <w:trPr>
          <w:trHeight w:val="624"/>
          <w:jc w:val="center"/>
        </w:trPr>
        <w:tc>
          <w:tcPr>
            <w:tcW w:w="1271" w:type="dxa"/>
            <w:noWrap/>
            <w:vAlign w:val="center"/>
          </w:tcPr>
          <w:p w14:paraId="745E0DE8" w14:textId="7E31AE4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20420</w:t>
            </w:r>
          </w:p>
        </w:tc>
        <w:tc>
          <w:tcPr>
            <w:tcW w:w="6095" w:type="dxa"/>
            <w:noWrap/>
            <w:vAlign w:val="center"/>
          </w:tcPr>
          <w:p w14:paraId="57486428" w14:textId="52F8B5E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TURGAS S.A. E.S.P.</w:t>
            </w:r>
          </w:p>
        </w:tc>
        <w:tc>
          <w:tcPr>
            <w:tcW w:w="1757" w:type="dxa"/>
            <w:noWrap/>
            <w:vAlign w:val="center"/>
          </w:tcPr>
          <w:p w14:paraId="0F373B82" w14:textId="1AE155D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745.266 </w:t>
            </w:r>
          </w:p>
        </w:tc>
      </w:tr>
      <w:tr w:rsidR="00331EE9" w:rsidRPr="006A3D65" w14:paraId="604E57CB" w14:textId="77777777" w:rsidTr="006D0C2E">
        <w:trPr>
          <w:trHeight w:val="624"/>
          <w:jc w:val="center"/>
        </w:trPr>
        <w:tc>
          <w:tcPr>
            <w:tcW w:w="1271" w:type="dxa"/>
            <w:noWrap/>
            <w:vAlign w:val="center"/>
          </w:tcPr>
          <w:p w14:paraId="7D591460" w14:textId="5FEEBDE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22167</w:t>
            </w:r>
          </w:p>
        </w:tc>
        <w:tc>
          <w:tcPr>
            <w:tcW w:w="6095" w:type="dxa"/>
            <w:noWrap/>
            <w:vAlign w:val="center"/>
          </w:tcPr>
          <w:p w14:paraId="5D6F9A6A" w14:textId="64F90C7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ROSCOGAS S.A. E.S.P</w:t>
            </w:r>
          </w:p>
        </w:tc>
        <w:tc>
          <w:tcPr>
            <w:tcW w:w="1757" w:type="dxa"/>
            <w:noWrap/>
            <w:vAlign w:val="center"/>
          </w:tcPr>
          <w:p w14:paraId="1D83B1F2" w14:textId="51A7922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15.866.325 </w:t>
            </w:r>
          </w:p>
        </w:tc>
      </w:tr>
      <w:tr w:rsidR="00331EE9" w:rsidRPr="006A3D65" w14:paraId="10F844E9" w14:textId="77777777" w:rsidTr="006D0C2E">
        <w:trPr>
          <w:trHeight w:val="624"/>
          <w:jc w:val="center"/>
        </w:trPr>
        <w:tc>
          <w:tcPr>
            <w:tcW w:w="1271" w:type="dxa"/>
            <w:noWrap/>
            <w:vAlign w:val="center"/>
          </w:tcPr>
          <w:p w14:paraId="388B0081" w14:textId="34E4CB3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21578</w:t>
            </w:r>
          </w:p>
        </w:tc>
        <w:tc>
          <w:tcPr>
            <w:tcW w:w="6095" w:type="dxa"/>
            <w:noWrap/>
            <w:vAlign w:val="center"/>
          </w:tcPr>
          <w:p w14:paraId="479F3512" w14:textId="48550D4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ESP DIGASPRO SA</w:t>
            </w:r>
          </w:p>
        </w:tc>
        <w:tc>
          <w:tcPr>
            <w:tcW w:w="1757" w:type="dxa"/>
            <w:noWrap/>
            <w:vAlign w:val="center"/>
          </w:tcPr>
          <w:p w14:paraId="41C3D612" w14:textId="249F4CC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1.323.605 </w:t>
            </w:r>
          </w:p>
        </w:tc>
      </w:tr>
      <w:tr w:rsidR="00331EE9" w:rsidRPr="006A3D65" w14:paraId="11B8A4F5" w14:textId="77777777" w:rsidTr="006D0C2E">
        <w:trPr>
          <w:trHeight w:val="624"/>
          <w:jc w:val="center"/>
        </w:trPr>
        <w:tc>
          <w:tcPr>
            <w:tcW w:w="1271" w:type="dxa"/>
            <w:noWrap/>
            <w:vAlign w:val="center"/>
          </w:tcPr>
          <w:p w14:paraId="1F78665A" w14:textId="4DAEF84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22818</w:t>
            </w:r>
          </w:p>
        </w:tc>
        <w:tc>
          <w:tcPr>
            <w:tcW w:w="6095" w:type="dxa"/>
            <w:noWrap/>
            <w:vAlign w:val="center"/>
          </w:tcPr>
          <w:p w14:paraId="68FB5E03" w14:textId="4C77411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 xml:space="preserve">COMBUSTIBLES LÍQUIDOS DE COLOMBIA S.A. E.S.P. </w:t>
            </w:r>
          </w:p>
        </w:tc>
        <w:tc>
          <w:tcPr>
            <w:tcW w:w="1757" w:type="dxa"/>
            <w:noWrap/>
            <w:vAlign w:val="center"/>
          </w:tcPr>
          <w:p w14:paraId="0E5298B2" w14:textId="0E50F08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18.219.453 </w:t>
            </w:r>
          </w:p>
        </w:tc>
      </w:tr>
      <w:tr w:rsidR="00331EE9" w:rsidRPr="006A3D65" w14:paraId="412EDC30" w14:textId="77777777" w:rsidTr="006D0C2E">
        <w:trPr>
          <w:trHeight w:val="624"/>
          <w:jc w:val="center"/>
        </w:trPr>
        <w:tc>
          <w:tcPr>
            <w:tcW w:w="1271" w:type="dxa"/>
            <w:noWrap/>
            <w:vAlign w:val="center"/>
          </w:tcPr>
          <w:p w14:paraId="739CF8A2" w14:textId="143F86B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23312</w:t>
            </w:r>
          </w:p>
        </w:tc>
        <w:tc>
          <w:tcPr>
            <w:tcW w:w="6095" w:type="dxa"/>
            <w:noWrap/>
            <w:vAlign w:val="center"/>
          </w:tcPr>
          <w:p w14:paraId="67FB5071" w14:textId="641F4F7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INVERSIONES GLP SAS ESP</w:t>
            </w:r>
          </w:p>
        </w:tc>
        <w:tc>
          <w:tcPr>
            <w:tcW w:w="1757" w:type="dxa"/>
            <w:noWrap/>
            <w:vAlign w:val="center"/>
          </w:tcPr>
          <w:p w14:paraId="2F49E6FA" w14:textId="5228C93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89.330.658 </w:t>
            </w:r>
          </w:p>
        </w:tc>
      </w:tr>
      <w:tr w:rsidR="00331EE9" w:rsidRPr="006A3D65" w14:paraId="5A12527E" w14:textId="77777777" w:rsidTr="006D0C2E">
        <w:trPr>
          <w:trHeight w:val="624"/>
          <w:jc w:val="center"/>
        </w:trPr>
        <w:tc>
          <w:tcPr>
            <w:tcW w:w="1271" w:type="dxa"/>
            <w:noWrap/>
            <w:vAlign w:val="center"/>
          </w:tcPr>
          <w:p w14:paraId="3DC1EF56" w14:textId="405BEBC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24860</w:t>
            </w:r>
          </w:p>
        </w:tc>
        <w:tc>
          <w:tcPr>
            <w:tcW w:w="6095" w:type="dxa"/>
            <w:noWrap/>
            <w:vAlign w:val="center"/>
          </w:tcPr>
          <w:p w14:paraId="54077E2C" w14:textId="2171D31E" w:rsidR="00331EE9" w:rsidRPr="006A3D65" w:rsidRDefault="00331EE9" w:rsidP="00331EE9">
            <w:pPr>
              <w:ind w:right="-91"/>
              <w:jc w:val="center"/>
              <w:rPr>
                <w:rFonts w:ascii="Bookman Old Style" w:eastAsiaTheme="minorEastAsia" w:hAnsi="Bookman Old Style"/>
                <w:iCs/>
                <w:sz w:val="22"/>
                <w:szCs w:val="22"/>
                <w:lang w:val="en-US"/>
              </w:rPr>
            </w:pPr>
            <w:r w:rsidRPr="006A3D65">
              <w:rPr>
                <w:rFonts w:ascii="Bookman Old Style" w:hAnsi="Bookman Old Style" w:cs="Calibri"/>
                <w:color w:val="343536"/>
                <w:sz w:val="22"/>
                <w:szCs w:val="22"/>
                <w:lang w:val="en-US"/>
              </w:rPr>
              <w:t>FEDEGAS S.A.S.  E.S.P.</w:t>
            </w:r>
          </w:p>
        </w:tc>
        <w:tc>
          <w:tcPr>
            <w:tcW w:w="1757" w:type="dxa"/>
            <w:noWrap/>
            <w:vAlign w:val="center"/>
          </w:tcPr>
          <w:p w14:paraId="3E804636" w14:textId="01BBBF6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2.498.485 </w:t>
            </w:r>
          </w:p>
        </w:tc>
      </w:tr>
      <w:tr w:rsidR="00331EE9" w:rsidRPr="006A3D65" w14:paraId="342AC562" w14:textId="77777777" w:rsidTr="006D0C2E">
        <w:trPr>
          <w:trHeight w:val="624"/>
          <w:jc w:val="center"/>
        </w:trPr>
        <w:tc>
          <w:tcPr>
            <w:tcW w:w="1271" w:type="dxa"/>
            <w:noWrap/>
            <w:vAlign w:val="center"/>
          </w:tcPr>
          <w:p w14:paraId="0BF3938D" w14:textId="394A62C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24869</w:t>
            </w:r>
          </w:p>
        </w:tc>
        <w:tc>
          <w:tcPr>
            <w:tcW w:w="6095" w:type="dxa"/>
            <w:noWrap/>
            <w:vAlign w:val="center"/>
          </w:tcPr>
          <w:p w14:paraId="1A7051A8" w14:textId="75BB307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CHILCO DISTRIBUIDORA DE GAS Y ENERGIA S.A.S E.S.P</w:t>
            </w:r>
          </w:p>
        </w:tc>
        <w:tc>
          <w:tcPr>
            <w:tcW w:w="1757" w:type="dxa"/>
            <w:noWrap/>
            <w:vAlign w:val="center"/>
          </w:tcPr>
          <w:p w14:paraId="61F94DCE" w14:textId="1AA9F73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66.702.469 </w:t>
            </w:r>
          </w:p>
        </w:tc>
      </w:tr>
      <w:tr w:rsidR="00331EE9" w:rsidRPr="006A3D65" w14:paraId="780939FB" w14:textId="77777777" w:rsidTr="006D0C2E">
        <w:trPr>
          <w:trHeight w:val="624"/>
          <w:jc w:val="center"/>
        </w:trPr>
        <w:tc>
          <w:tcPr>
            <w:tcW w:w="1271" w:type="dxa"/>
            <w:noWrap/>
            <w:vAlign w:val="center"/>
          </w:tcPr>
          <w:p w14:paraId="67E30981" w14:textId="5C73C8C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24963</w:t>
            </w:r>
          </w:p>
        </w:tc>
        <w:tc>
          <w:tcPr>
            <w:tcW w:w="6095" w:type="dxa"/>
            <w:noWrap/>
            <w:vAlign w:val="center"/>
          </w:tcPr>
          <w:p w14:paraId="0BF08FF4" w14:textId="60EA1AC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SUPERIOR DE COLOMBIA SA ESP</w:t>
            </w:r>
          </w:p>
        </w:tc>
        <w:tc>
          <w:tcPr>
            <w:tcW w:w="1757" w:type="dxa"/>
            <w:noWrap/>
            <w:vAlign w:val="center"/>
          </w:tcPr>
          <w:p w14:paraId="26CF414F" w14:textId="057E6A1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2.235.871 </w:t>
            </w:r>
          </w:p>
        </w:tc>
      </w:tr>
      <w:tr w:rsidR="00331EE9" w:rsidRPr="006A3D65" w14:paraId="70A9F8F1" w14:textId="77777777" w:rsidTr="006D0C2E">
        <w:trPr>
          <w:trHeight w:val="624"/>
          <w:jc w:val="center"/>
        </w:trPr>
        <w:tc>
          <w:tcPr>
            <w:tcW w:w="1271" w:type="dxa"/>
            <w:noWrap/>
            <w:vAlign w:val="center"/>
          </w:tcPr>
          <w:p w14:paraId="15023A90" w14:textId="54E1473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25709</w:t>
            </w:r>
          </w:p>
        </w:tc>
        <w:tc>
          <w:tcPr>
            <w:tcW w:w="6095" w:type="dxa"/>
            <w:noWrap/>
            <w:vAlign w:val="center"/>
          </w:tcPr>
          <w:p w14:paraId="118D5AD7" w14:textId="6175C52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RAPIDGAS SAS ESP</w:t>
            </w:r>
          </w:p>
        </w:tc>
        <w:tc>
          <w:tcPr>
            <w:tcW w:w="1757" w:type="dxa"/>
            <w:noWrap/>
            <w:vAlign w:val="center"/>
          </w:tcPr>
          <w:p w14:paraId="76E2AA3E" w14:textId="5DB945D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1.081.560 </w:t>
            </w:r>
          </w:p>
        </w:tc>
      </w:tr>
      <w:tr w:rsidR="00331EE9" w:rsidRPr="006A3D65" w14:paraId="063C293B" w14:textId="77777777" w:rsidTr="006D0C2E">
        <w:trPr>
          <w:trHeight w:val="624"/>
          <w:jc w:val="center"/>
        </w:trPr>
        <w:tc>
          <w:tcPr>
            <w:tcW w:w="1271" w:type="dxa"/>
            <w:noWrap/>
            <w:vAlign w:val="center"/>
          </w:tcPr>
          <w:p w14:paraId="43C02F76" w14:textId="239AE10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25939</w:t>
            </w:r>
          </w:p>
        </w:tc>
        <w:tc>
          <w:tcPr>
            <w:tcW w:w="6095" w:type="dxa"/>
            <w:noWrap/>
            <w:vAlign w:val="center"/>
          </w:tcPr>
          <w:p w14:paraId="3EE989B9" w14:textId="07B8A97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CITYGAS DISTRIBUIDORA S.A.S. E.S.P</w:t>
            </w:r>
          </w:p>
        </w:tc>
        <w:tc>
          <w:tcPr>
            <w:tcW w:w="1757" w:type="dxa"/>
            <w:noWrap/>
            <w:vAlign w:val="center"/>
          </w:tcPr>
          <w:p w14:paraId="20555F77" w14:textId="27B9B74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4.070.209 </w:t>
            </w:r>
          </w:p>
        </w:tc>
      </w:tr>
      <w:tr w:rsidR="00331EE9" w:rsidRPr="006A3D65" w14:paraId="5CBB27DA" w14:textId="77777777" w:rsidTr="006D0C2E">
        <w:trPr>
          <w:trHeight w:val="624"/>
          <w:jc w:val="center"/>
        </w:trPr>
        <w:tc>
          <w:tcPr>
            <w:tcW w:w="1271" w:type="dxa"/>
            <w:noWrap/>
            <w:vAlign w:val="center"/>
          </w:tcPr>
          <w:p w14:paraId="4D067D79" w14:textId="16E4145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25954</w:t>
            </w:r>
          </w:p>
        </w:tc>
        <w:tc>
          <w:tcPr>
            <w:tcW w:w="6095" w:type="dxa"/>
            <w:noWrap/>
            <w:vAlign w:val="center"/>
          </w:tcPr>
          <w:p w14:paraId="0D0857E9" w14:textId="46EDE1C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DISTRIBUIDORA DE GAS DEL PACIFICO DIGAS SAS ESP</w:t>
            </w:r>
          </w:p>
        </w:tc>
        <w:tc>
          <w:tcPr>
            <w:tcW w:w="1757" w:type="dxa"/>
            <w:noWrap/>
            <w:vAlign w:val="center"/>
          </w:tcPr>
          <w:p w14:paraId="14214E07" w14:textId="1AB9EF8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1.300.364 </w:t>
            </w:r>
          </w:p>
        </w:tc>
      </w:tr>
      <w:tr w:rsidR="00331EE9" w:rsidRPr="006A3D65" w14:paraId="7F958599" w14:textId="77777777" w:rsidTr="006D0C2E">
        <w:trPr>
          <w:trHeight w:val="624"/>
          <w:jc w:val="center"/>
        </w:trPr>
        <w:tc>
          <w:tcPr>
            <w:tcW w:w="1271" w:type="dxa"/>
            <w:noWrap/>
            <w:vAlign w:val="center"/>
          </w:tcPr>
          <w:p w14:paraId="12F4B0B6" w14:textId="1244657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26219</w:t>
            </w:r>
          </w:p>
        </w:tc>
        <w:tc>
          <w:tcPr>
            <w:tcW w:w="6095" w:type="dxa"/>
            <w:noWrap/>
            <w:vAlign w:val="center"/>
          </w:tcPr>
          <w:p w14:paraId="502BF9C7" w14:textId="64F5391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EXPRESS COLOMBIA SAS ESP</w:t>
            </w:r>
          </w:p>
        </w:tc>
        <w:tc>
          <w:tcPr>
            <w:tcW w:w="1757" w:type="dxa"/>
            <w:noWrap/>
            <w:vAlign w:val="center"/>
          </w:tcPr>
          <w:p w14:paraId="421A21F5" w14:textId="6A26A66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989.205 </w:t>
            </w:r>
          </w:p>
        </w:tc>
      </w:tr>
      <w:tr w:rsidR="00331EE9" w:rsidRPr="006A3D65" w14:paraId="03627975" w14:textId="77777777" w:rsidTr="006D0C2E">
        <w:trPr>
          <w:trHeight w:val="624"/>
          <w:jc w:val="center"/>
        </w:trPr>
        <w:tc>
          <w:tcPr>
            <w:tcW w:w="1271" w:type="dxa"/>
            <w:noWrap/>
            <w:vAlign w:val="center"/>
          </w:tcPr>
          <w:p w14:paraId="2633375E" w14:textId="4AD12DD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26226</w:t>
            </w:r>
          </w:p>
        </w:tc>
        <w:tc>
          <w:tcPr>
            <w:tcW w:w="6095" w:type="dxa"/>
            <w:noWrap/>
            <w:vAlign w:val="center"/>
          </w:tcPr>
          <w:p w14:paraId="15DFE37F" w14:textId="55D9428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COMPROPANO SOCIEDAD POR ACCIONES SIMPLIFICADA E.S.P</w:t>
            </w:r>
          </w:p>
        </w:tc>
        <w:tc>
          <w:tcPr>
            <w:tcW w:w="1757" w:type="dxa"/>
            <w:noWrap/>
            <w:vAlign w:val="center"/>
          </w:tcPr>
          <w:p w14:paraId="49274A84" w14:textId="67CA4BC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571.018 </w:t>
            </w:r>
          </w:p>
        </w:tc>
      </w:tr>
      <w:tr w:rsidR="00331EE9" w:rsidRPr="006A3D65" w14:paraId="5AF75B60" w14:textId="77777777" w:rsidTr="006D0C2E">
        <w:trPr>
          <w:trHeight w:val="624"/>
          <w:jc w:val="center"/>
        </w:trPr>
        <w:tc>
          <w:tcPr>
            <w:tcW w:w="1271" w:type="dxa"/>
            <w:noWrap/>
            <w:vAlign w:val="center"/>
          </w:tcPr>
          <w:p w14:paraId="73DA2643" w14:textId="5597365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26548</w:t>
            </w:r>
          </w:p>
        </w:tc>
        <w:tc>
          <w:tcPr>
            <w:tcW w:w="6095" w:type="dxa"/>
            <w:noWrap/>
            <w:vAlign w:val="center"/>
          </w:tcPr>
          <w:p w14:paraId="12FAD15A" w14:textId="250BB9B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GASES ANDINOS DE COLOMBIA S.A.S. E.S.P.</w:t>
            </w:r>
          </w:p>
        </w:tc>
        <w:tc>
          <w:tcPr>
            <w:tcW w:w="1757" w:type="dxa"/>
            <w:noWrap/>
            <w:vAlign w:val="center"/>
          </w:tcPr>
          <w:p w14:paraId="3B3E2AA9" w14:textId="56CAF2E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397.840 </w:t>
            </w:r>
          </w:p>
        </w:tc>
      </w:tr>
      <w:tr w:rsidR="00331EE9" w:rsidRPr="006A3D65" w14:paraId="3B1851F9" w14:textId="77777777" w:rsidTr="006D0C2E">
        <w:trPr>
          <w:trHeight w:val="624"/>
          <w:jc w:val="center"/>
        </w:trPr>
        <w:tc>
          <w:tcPr>
            <w:tcW w:w="1271" w:type="dxa"/>
            <w:noWrap/>
            <w:vAlign w:val="center"/>
          </w:tcPr>
          <w:p w14:paraId="5E7964BD" w14:textId="0CFA98E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lastRenderedPageBreak/>
              <w:t>26554</w:t>
            </w:r>
          </w:p>
        </w:tc>
        <w:tc>
          <w:tcPr>
            <w:tcW w:w="6095" w:type="dxa"/>
            <w:noWrap/>
            <w:vAlign w:val="center"/>
          </w:tcPr>
          <w:p w14:paraId="721A91F4" w14:textId="04C7964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UNION DE COLOMBIA S.A.S. E.S.P.</w:t>
            </w:r>
          </w:p>
        </w:tc>
        <w:tc>
          <w:tcPr>
            <w:tcW w:w="1757" w:type="dxa"/>
            <w:noWrap/>
            <w:vAlign w:val="center"/>
          </w:tcPr>
          <w:p w14:paraId="005E420B" w14:textId="42D481C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860.624 </w:t>
            </w:r>
          </w:p>
        </w:tc>
      </w:tr>
      <w:tr w:rsidR="00331EE9" w:rsidRPr="006A3D65" w14:paraId="5CA4BB1C" w14:textId="77777777" w:rsidTr="006D0C2E">
        <w:trPr>
          <w:trHeight w:val="624"/>
          <w:jc w:val="center"/>
        </w:trPr>
        <w:tc>
          <w:tcPr>
            <w:tcW w:w="1271" w:type="dxa"/>
            <w:noWrap/>
            <w:vAlign w:val="center"/>
          </w:tcPr>
          <w:p w14:paraId="2F0D9D38" w14:textId="4D86BEF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26677</w:t>
            </w:r>
          </w:p>
        </w:tc>
        <w:tc>
          <w:tcPr>
            <w:tcW w:w="6095" w:type="dxa"/>
            <w:noWrap/>
            <w:vAlign w:val="center"/>
          </w:tcPr>
          <w:p w14:paraId="38553474" w14:textId="4559309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CENTRAL DE HIDROCARBUROS GC SAS ESP</w:t>
            </w:r>
          </w:p>
        </w:tc>
        <w:tc>
          <w:tcPr>
            <w:tcW w:w="1757" w:type="dxa"/>
            <w:noWrap/>
            <w:vAlign w:val="center"/>
          </w:tcPr>
          <w:p w14:paraId="37CA0814" w14:textId="6D8443B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1.067.767 </w:t>
            </w:r>
          </w:p>
        </w:tc>
      </w:tr>
      <w:tr w:rsidR="00331EE9" w:rsidRPr="006A3D65" w14:paraId="33248539" w14:textId="77777777" w:rsidTr="006D0C2E">
        <w:trPr>
          <w:trHeight w:val="624"/>
          <w:jc w:val="center"/>
        </w:trPr>
        <w:tc>
          <w:tcPr>
            <w:tcW w:w="1271" w:type="dxa"/>
            <w:noWrap/>
            <w:vAlign w:val="center"/>
          </w:tcPr>
          <w:p w14:paraId="36AB04D4" w14:textId="5F513C1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26817</w:t>
            </w:r>
          </w:p>
        </w:tc>
        <w:tc>
          <w:tcPr>
            <w:tcW w:w="6095" w:type="dxa"/>
            <w:noWrap/>
            <w:vAlign w:val="center"/>
          </w:tcPr>
          <w:p w14:paraId="59E502D2" w14:textId="4A7BCDE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PROPANO DE COLOMBIA S.A.S. E.S.P.</w:t>
            </w:r>
          </w:p>
        </w:tc>
        <w:tc>
          <w:tcPr>
            <w:tcW w:w="1757" w:type="dxa"/>
            <w:noWrap/>
            <w:vAlign w:val="center"/>
          </w:tcPr>
          <w:p w14:paraId="41AA08E8" w14:textId="06262D0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1.024.955 </w:t>
            </w:r>
          </w:p>
        </w:tc>
      </w:tr>
      <w:tr w:rsidR="00331EE9" w:rsidRPr="006A3D65" w14:paraId="7EF22E93" w14:textId="77777777" w:rsidTr="006D0C2E">
        <w:trPr>
          <w:trHeight w:val="624"/>
          <w:jc w:val="center"/>
        </w:trPr>
        <w:tc>
          <w:tcPr>
            <w:tcW w:w="1271" w:type="dxa"/>
            <w:noWrap/>
            <w:vAlign w:val="center"/>
          </w:tcPr>
          <w:p w14:paraId="1B17A67D" w14:textId="51A686F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26857</w:t>
            </w:r>
          </w:p>
        </w:tc>
        <w:tc>
          <w:tcPr>
            <w:tcW w:w="6095" w:type="dxa"/>
            <w:noWrap/>
            <w:vAlign w:val="center"/>
          </w:tcPr>
          <w:p w14:paraId="755AC786" w14:textId="7C95804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COMERCIALIZADORA CENTRO ORIENTE S.A. E.S.P.</w:t>
            </w:r>
          </w:p>
        </w:tc>
        <w:tc>
          <w:tcPr>
            <w:tcW w:w="1757" w:type="dxa"/>
            <w:noWrap/>
            <w:vAlign w:val="center"/>
          </w:tcPr>
          <w:p w14:paraId="36A54FC6" w14:textId="0199465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1.537.247 </w:t>
            </w:r>
          </w:p>
        </w:tc>
      </w:tr>
      <w:tr w:rsidR="00331EE9" w:rsidRPr="006A3D65" w14:paraId="03265448" w14:textId="77777777" w:rsidTr="006D0C2E">
        <w:trPr>
          <w:trHeight w:val="624"/>
          <w:jc w:val="center"/>
        </w:trPr>
        <w:tc>
          <w:tcPr>
            <w:tcW w:w="1271" w:type="dxa"/>
            <w:noWrap/>
            <w:vAlign w:val="center"/>
          </w:tcPr>
          <w:p w14:paraId="2BF1C0D4" w14:textId="2BC1DB6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26878</w:t>
            </w:r>
          </w:p>
        </w:tc>
        <w:tc>
          <w:tcPr>
            <w:tcW w:w="6095" w:type="dxa"/>
            <w:noWrap/>
            <w:vAlign w:val="center"/>
          </w:tcPr>
          <w:p w14:paraId="747F4F91" w14:textId="470B3BB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MULTIGAS DE COLOMBIA S.A.S. E.S.P.</w:t>
            </w:r>
          </w:p>
        </w:tc>
        <w:tc>
          <w:tcPr>
            <w:tcW w:w="1757" w:type="dxa"/>
            <w:noWrap/>
            <w:vAlign w:val="center"/>
          </w:tcPr>
          <w:p w14:paraId="531C639D" w14:textId="702B922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346.283 </w:t>
            </w:r>
          </w:p>
        </w:tc>
      </w:tr>
      <w:tr w:rsidR="00331EE9" w:rsidRPr="006A3D65" w14:paraId="51474328" w14:textId="77777777" w:rsidTr="006D0C2E">
        <w:trPr>
          <w:trHeight w:val="624"/>
          <w:jc w:val="center"/>
        </w:trPr>
        <w:tc>
          <w:tcPr>
            <w:tcW w:w="1271" w:type="dxa"/>
            <w:noWrap/>
            <w:vAlign w:val="center"/>
          </w:tcPr>
          <w:p w14:paraId="707C0440" w14:textId="613DF79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27812</w:t>
            </w:r>
          </w:p>
        </w:tc>
        <w:tc>
          <w:tcPr>
            <w:tcW w:w="6095" w:type="dxa"/>
            <w:noWrap/>
            <w:vAlign w:val="center"/>
          </w:tcPr>
          <w:p w14:paraId="60BC10FF" w14:textId="2150C1F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PAC S.A.S. ESP.</w:t>
            </w:r>
          </w:p>
        </w:tc>
        <w:tc>
          <w:tcPr>
            <w:tcW w:w="1757" w:type="dxa"/>
            <w:noWrap/>
            <w:vAlign w:val="center"/>
          </w:tcPr>
          <w:p w14:paraId="29E5003F" w14:textId="5292BE4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1.531.187 </w:t>
            </w:r>
          </w:p>
        </w:tc>
      </w:tr>
      <w:tr w:rsidR="00331EE9" w:rsidRPr="006A3D65" w14:paraId="31642E48" w14:textId="77777777" w:rsidTr="006D0C2E">
        <w:trPr>
          <w:trHeight w:val="624"/>
          <w:jc w:val="center"/>
        </w:trPr>
        <w:tc>
          <w:tcPr>
            <w:tcW w:w="1271" w:type="dxa"/>
            <w:noWrap/>
            <w:vAlign w:val="center"/>
          </w:tcPr>
          <w:p w14:paraId="35E8404E" w14:textId="222772F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29451</w:t>
            </w:r>
          </w:p>
        </w:tc>
        <w:tc>
          <w:tcPr>
            <w:tcW w:w="6095" w:type="dxa"/>
            <w:noWrap/>
            <w:vAlign w:val="center"/>
          </w:tcPr>
          <w:p w14:paraId="29F7C3F5" w14:textId="5E71D3A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PORVENIR ESP SAS</w:t>
            </w:r>
          </w:p>
        </w:tc>
        <w:tc>
          <w:tcPr>
            <w:tcW w:w="1757" w:type="dxa"/>
            <w:noWrap/>
            <w:vAlign w:val="center"/>
          </w:tcPr>
          <w:p w14:paraId="21255CC1" w14:textId="6299B22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911.803 </w:t>
            </w:r>
          </w:p>
        </w:tc>
      </w:tr>
      <w:tr w:rsidR="00331EE9" w:rsidRPr="006A3D65" w14:paraId="16F109D3" w14:textId="77777777" w:rsidTr="006D0C2E">
        <w:trPr>
          <w:trHeight w:val="624"/>
          <w:jc w:val="center"/>
        </w:trPr>
        <w:tc>
          <w:tcPr>
            <w:tcW w:w="1271" w:type="dxa"/>
            <w:noWrap/>
            <w:vAlign w:val="center"/>
          </w:tcPr>
          <w:p w14:paraId="6B5055A6" w14:textId="38D1A3A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32073</w:t>
            </w:r>
          </w:p>
        </w:tc>
        <w:tc>
          <w:tcPr>
            <w:tcW w:w="6095" w:type="dxa"/>
            <w:noWrap/>
            <w:vAlign w:val="center"/>
          </w:tcPr>
          <w:p w14:paraId="03F2A4D0" w14:textId="5D8007C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MEGAS S.A.S. ESP</w:t>
            </w:r>
          </w:p>
        </w:tc>
        <w:tc>
          <w:tcPr>
            <w:tcW w:w="1757" w:type="dxa"/>
            <w:noWrap/>
            <w:vAlign w:val="center"/>
          </w:tcPr>
          <w:p w14:paraId="0EA97B6F" w14:textId="3D53991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3.456.577 </w:t>
            </w:r>
          </w:p>
        </w:tc>
      </w:tr>
      <w:tr w:rsidR="00331EE9" w:rsidRPr="006A3D65" w14:paraId="484012C9" w14:textId="77777777" w:rsidTr="006D0C2E">
        <w:trPr>
          <w:trHeight w:val="624"/>
          <w:jc w:val="center"/>
        </w:trPr>
        <w:tc>
          <w:tcPr>
            <w:tcW w:w="1271" w:type="dxa"/>
            <w:noWrap/>
            <w:vAlign w:val="center"/>
          </w:tcPr>
          <w:p w14:paraId="3812957B" w14:textId="6EFD1EE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32253</w:t>
            </w:r>
          </w:p>
        </w:tc>
        <w:tc>
          <w:tcPr>
            <w:tcW w:w="6095" w:type="dxa"/>
            <w:noWrap/>
            <w:vAlign w:val="center"/>
          </w:tcPr>
          <w:p w14:paraId="3BFD6182" w14:textId="7F97768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COMERCIALIZADORA DE GAS CASANARE S.A.S. E.S.P.</w:t>
            </w:r>
          </w:p>
        </w:tc>
        <w:tc>
          <w:tcPr>
            <w:tcW w:w="1757" w:type="dxa"/>
            <w:noWrap/>
            <w:vAlign w:val="center"/>
          </w:tcPr>
          <w:p w14:paraId="02927932" w14:textId="4B25FAC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172.339 </w:t>
            </w:r>
          </w:p>
        </w:tc>
      </w:tr>
      <w:tr w:rsidR="00331EE9" w:rsidRPr="006A3D65" w14:paraId="54B1E23D" w14:textId="77777777" w:rsidTr="006D0C2E">
        <w:trPr>
          <w:trHeight w:val="624"/>
          <w:jc w:val="center"/>
        </w:trPr>
        <w:tc>
          <w:tcPr>
            <w:tcW w:w="1271" w:type="dxa"/>
            <w:noWrap/>
            <w:vAlign w:val="center"/>
          </w:tcPr>
          <w:p w14:paraId="5D1D7586" w14:textId="16B40DD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32733</w:t>
            </w:r>
          </w:p>
        </w:tc>
        <w:tc>
          <w:tcPr>
            <w:tcW w:w="6095" w:type="dxa"/>
            <w:noWrap/>
            <w:vAlign w:val="center"/>
          </w:tcPr>
          <w:p w14:paraId="4E32719E" w14:textId="1483073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EMPRESA MIXTA DE GAS S.A.S. E.S.P.</w:t>
            </w:r>
          </w:p>
        </w:tc>
        <w:tc>
          <w:tcPr>
            <w:tcW w:w="1757" w:type="dxa"/>
            <w:noWrap/>
            <w:vAlign w:val="center"/>
          </w:tcPr>
          <w:p w14:paraId="003D8F5F" w14:textId="0B1266D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1.253.895 </w:t>
            </w:r>
          </w:p>
        </w:tc>
      </w:tr>
      <w:tr w:rsidR="00331EE9" w:rsidRPr="006A3D65" w14:paraId="60896B90" w14:textId="77777777" w:rsidTr="006D0C2E">
        <w:trPr>
          <w:trHeight w:val="624"/>
          <w:jc w:val="center"/>
        </w:trPr>
        <w:tc>
          <w:tcPr>
            <w:tcW w:w="1271" w:type="dxa"/>
            <w:noWrap/>
            <w:vAlign w:val="center"/>
          </w:tcPr>
          <w:p w14:paraId="474116E0" w14:textId="3C41247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32793</w:t>
            </w:r>
          </w:p>
        </w:tc>
        <w:tc>
          <w:tcPr>
            <w:tcW w:w="6095" w:type="dxa"/>
            <w:noWrap/>
            <w:vAlign w:val="center"/>
          </w:tcPr>
          <w:p w14:paraId="27177A00" w14:textId="2A20F0B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COLOMBOGAS S.A.S. E.S.P.</w:t>
            </w:r>
          </w:p>
        </w:tc>
        <w:tc>
          <w:tcPr>
            <w:tcW w:w="1757" w:type="dxa"/>
            <w:noWrap/>
            <w:vAlign w:val="center"/>
          </w:tcPr>
          <w:p w14:paraId="4AB017AF" w14:textId="5BFFB83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869.837 </w:t>
            </w:r>
          </w:p>
        </w:tc>
      </w:tr>
      <w:tr w:rsidR="00331EE9" w:rsidRPr="006A3D65" w14:paraId="32542137" w14:textId="77777777" w:rsidTr="006D0C2E">
        <w:trPr>
          <w:trHeight w:val="624"/>
          <w:jc w:val="center"/>
        </w:trPr>
        <w:tc>
          <w:tcPr>
            <w:tcW w:w="1271" w:type="dxa"/>
            <w:noWrap/>
            <w:vAlign w:val="center"/>
          </w:tcPr>
          <w:p w14:paraId="12F06F19" w14:textId="56F45FB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33453</w:t>
            </w:r>
          </w:p>
        </w:tc>
        <w:tc>
          <w:tcPr>
            <w:tcW w:w="6095" w:type="dxa"/>
            <w:noWrap/>
            <w:vAlign w:val="center"/>
          </w:tcPr>
          <w:p w14:paraId="2CE2C842" w14:textId="7808E2DE"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COLOMBIA SAS ESP</w:t>
            </w:r>
          </w:p>
        </w:tc>
        <w:tc>
          <w:tcPr>
            <w:tcW w:w="1757" w:type="dxa"/>
            <w:noWrap/>
            <w:vAlign w:val="center"/>
          </w:tcPr>
          <w:p w14:paraId="13294BF8" w14:textId="7C4C0B9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1.376.498 </w:t>
            </w:r>
          </w:p>
        </w:tc>
      </w:tr>
      <w:tr w:rsidR="00331EE9" w:rsidRPr="006A3D65" w14:paraId="34B288C6" w14:textId="77777777" w:rsidTr="006D0C2E">
        <w:trPr>
          <w:trHeight w:val="624"/>
          <w:jc w:val="center"/>
        </w:trPr>
        <w:tc>
          <w:tcPr>
            <w:tcW w:w="1271" w:type="dxa"/>
            <w:noWrap/>
            <w:vAlign w:val="center"/>
          </w:tcPr>
          <w:p w14:paraId="608B16B1" w14:textId="4355350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33573</w:t>
            </w:r>
          </w:p>
        </w:tc>
        <w:tc>
          <w:tcPr>
            <w:tcW w:w="6095" w:type="dxa"/>
            <w:noWrap/>
            <w:vAlign w:val="center"/>
          </w:tcPr>
          <w:p w14:paraId="52F26ABA" w14:textId="4EAA6AE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COMERCIALIZADORA G.L.P DEL ORIENTE SAS   ESP</w:t>
            </w:r>
          </w:p>
        </w:tc>
        <w:tc>
          <w:tcPr>
            <w:tcW w:w="1757" w:type="dxa"/>
            <w:noWrap/>
            <w:vAlign w:val="center"/>
          </w:tcPr>
          <w:p w14:paraId="38F54706" w14:textId="0C64D33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894.694 </w:t>
            </w:r>
          </w:p>
        </w:tc>
      </w:tr>
      <w:tr w:rsidR="00331EE9" w:rsidRPr="006A3D65" w14:paraId="104D93DD" w14:textId="77777777" w:rsidTr="006D0C2E">
        <w:trPr>
          <w:trHeight w:val="624"/>
          <w:jc w:val="center"/>
        </w:trPr>
        <w:tc>
          <w:tcPr>
            <w:tcW w:w="1271" w:type="dxa"/>
            <w:noWrap/>
            <w:vAlign w:val="center"/>
          </w:tcPr>
          <w:p w14:paraId="4035D45E" w14:textId="0C95FD3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36154</w:t>
            </w:r>
          </w:p>
        </w:tc>
        <w:tc>
          <w:tcPr>
            <w:tcW w:w="6095" w:type="dxa"/>
            <w:noWrap/>
            <w:vAlign w:val="center"/>
          </w:tcPr>
          <w:p w14:paraId="6C20FC14" w14:textId="71201D4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ENTREGAMOS G.L.P. E.S.P. S.A.S.</w:t>
            </w:r>
          </w:p>
        </w:tc>
        <w:tc>
          <w:tcPr>
            <w:tcW w:w="1757" w:type="dxa"/>
            <w:noWrap/>
            <w:vAlign w:val="center"/>
          </w:tcPr>
          <w:p w14:paraId="4873749D" w14:textId="130752C7"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259.570 </w:t>
            </w:r>
          </w:p>
        </w:tc>
      </w:tr>
      <w:tr w:rsidR="00331EE9" w:rsidRPr="006A3D65" w14:paraId="59BC2B5F" w14:textId="77777777" w:rsidTr="006D0C2E">
        <w:trPr>
          <w:trHeight w:val="624"/>
          <w:jc w:val="center"/>
        </w:trPr>
        <w:tc>
          <w:tcPr>
            <w:tcW w:w="1271" w:type="dxa"/>
            <w:noWrap/>
            <w:vAlign w:val="center"/>
          </w:tcPr>
          <w:p w14:paraId="0B2E3D2F" w14:textId="2FC36A5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36695</w:t>
            </w:r>
          </w:p>
        </w:tc>
        <w:tc>
          <w:tcPr>
            <w:tcW w:w="6095" w:type="dxa"/>
            <w:noWrap/>
            <w:vAlign w:val="center"/>
          </w:tcPr>
          <w:p w14:paraId="07EDFAE3" w14:textId="76D41C9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DISTRIBUIDORA DE GAS DEL FONCE SOCIEDAD POR ACCIONES SIMPLIFICADA EMPRESA DE SERVICIO PUBLICOS DOMICILIARIOS S.A.S. E.S.P.</w:t>
            </w:r>
          </w:p>
        </w:tc>
        <w:tc>
          <w:tcPr>
            <w:tcW w:w="1757" w:type="dxa"/>
            <w:noWrap/>
            <w:vAlign w:val="center"/>
          </w:tcPr>
          <w:p w14:paraId="4FBE7C87" w14:textId="1AFF4A7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231.153 </w:t>
            </w:r>
          </w:p>
        </w:tc>
      </w:tr>
      <w:tr w:rsidR="00331EE9" w:rsidRPr="006A3D65" w14:paraId="715BDCDD" w14:textId="77777777" w:rsidTr="006D0C2E">
        <w:trPr>
          <w:trHeight w:val="624"/>
          <w:jc w:val="center"/>
        </w:trPr>
        <w:tc>
          <w:tcPr>
            <w:tcW w:w="1271" w:type="dxa"/>
            <w:noWrap/>
            <w:vAlign w:val="center"/>
          </w:tcPr>
          <w:p w14:paraId="22D8BDAB" w14:textId="65FD4A4F"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37174</w:t>
            </w:r>
          </w:p>
        </w:tc>
        <w:tc>
          <w:tcPr>
            <w:tcW w:w="6095" w:type="dxa"/>
            <w:noWrap/>
            <w:vAlign w:val="center"/>
          </w:tcPr>
          <w:p w14:paraId="6FF12102" w14:textId="4118B62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TERMOGAS SOLUCIONES ENERGETICAS SAS ESP</w:t>
            </w:r>
          </w:p>
        </w:tc>
        <w:tc>
          <w:tcPr>
            <w:tcW w:w="1757" w:type="dxa"/>
            <w:noWrap/>
            <w:vAlign w:val="center"/>
          </w:tcPr>
          <w:p w14:paraId="108C4C68" w14:textId="4DA24150"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175.141 </w:t>
            </w:r>
          </w:p>
        </w:tc>
      </w:tr>
      <w:tr w:rsidR="00331EE9" w:rsidRPr="006A3D65" w14:paraId="150981E8" w14:textId="77777777" w:rsidTr="006D0C2E">
        <w:trPr>
          <w:trHeight w:val="624"/>
          <w:jc w:val="center"/>
        </w:trPr>
        <w:tc>
          <w:tcPr>
            <w:tcW w:w="1271" w:type="dxa"/>
            <w:noWrap/>
            <w:vAlign w:val="center"/>
          </w:tcPr>
          <w:p w14:paraId="6C34F521" w14:textId="39EBF74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40255</w:t>
            </w:r>
          </w:p>
        </w:tc>
        <w:tc>
          <w:tcPr>
            <w:tcW w:w="6095" w:type="dxa"/>
            <w:noWrap/>
            <w:vAlign w:val="center"/>
          </w:tcPr>
          <w:p w14:paraId="46ACF417" w14:textId="2C7AB89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BTU ENERGY S.A.S. E.S.P.</w:t>
            </w:r>
          </w:p>
        </w:tc>
        <w:tc>
          <w:tcPr>
            <w:tcW w:w="1757" w:type="dxa"/>
            <w:noWrap/>
            <w:vAlign w:val="center"/>
          </w:tcPr>
          <w:p w14:paraId="741CEEFE" w14:textId="64B0740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151.641 </w:t>
            </w:r>
          </w:p>
        </w:tc>
      </w:tr>
      <w:tr w:rsidR="00331EE9" w:rsidRPr="006A3D65" w14:paraId="10BB7D33" w14:textId="77777777" w:rsidTr="006D0C2E">
        <w:trPr>
          <w:trHeight w:val="624"/>
          <w:jc w:val="center"/>
        </w:trPr>
        <w:tc>
          <w:tcPr>
            <w:tcW w:w="1271" w:type="dxa"/>
            <w:noWrap/>
            <w:vAlign w:val="center"/>
          </w:tcPr>
          <w:p w14:paraId="28C97008" w14:textId="26431B5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50403</w:t>
            </w:r>
          </w:p>
        </w:tc>
        <w:tc>
          <w:tcPr>
            <w:tcW w:w="6095" w:type="dxa"/>
            <w:noWrap/>
            <w:vAlign w:val="center"/>
          </w:tcPr>
          <w:p w14:paraId="52DBB913" w14:textId="777C012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EMPRESA DE SERVICIOS PUBLICOS SONYGAS S.A.S E.S.P.</w:t>
            </w:r>
          </w:p>
        </w:tc>
        <w:tc>
          <w:tcPr>
            <w:tcW w:w="1757" w:type="dxa"/>
            <w:noWrap/>
            <w:vAlign w:val="center"/>
          </w:tcPr>
          <w:p w14:paraId="5257E365" w14:textId="6060F654"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114.211 </w:t>
            </w:r>
          </w:p>
        </w:tc>
      </w:tr>
      <w:tr w:rsidR="00331EE9" w:rsidRPr="006A3D65" w14:paraId="00E5DF55" w14:textId="77777777" w:rsidTr="006D0C2E">
        <w:trPr>
          <w:trHeight w:val="624"/>
          <w:jc w:val="center"/>
        </w:trPr>
        <w:tc>
          <w:tcPr>
            <w:tcW w:w="1271" w:type="dxa"/>
            <w:noWrap/>
            <w:vAlign w:val="center"/>
          </w:tcPr>
          <w:p w14:paraId="03BEC966" w14:textId="64C22912"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50426</w:t>
            </w:r>
          </w:p>
        </w:tc>
        <w:tc>
          <w:tcPr>
            <w:tcW w:w="6095" w:type="dxa"/>
            <w:noWrap/>
            <w:vAlign w:val="center"/>
          </w:tcPr>
          <w:p w14:paraId="4941068D" w14:textId="07AE882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GAS D-UNO SAS ESP</w:t>
            </w:r>
          </w:p>
        </w:tc>
        <w:tc>
          <w:tcPr>
            <w:tcW w:w="1757" w:type="dxa"/>
            <w:noWrap/>
            <w:vAlign w:val="center"/>
          </w:tcPr>
          <w:p w14:paraId="5EA52769" w14:textId="02D6EC0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844.943 </w:t>
            </w:r>
          </w:p>
        </w:tc>
      </w:tr>
      <w:tr w:rsidR="00331EE9" w:rsidRPr="006A3D65" w14:paraId="083A3507" w14:textId="77777777" w:rsidTr="006D0C2E">
        <w:trPr>
          <w:trHeight w:val="624"/>
          <w:jc w:val="center"/>
        </w:trPr>
        <w:tc>
          <w:tcPr>
            <w:tcW w:w="1271" w:type="dxa"/>
            <w:noWrap/>
            <w:vAlign w:val="center"/>
          </w:tcPr>
          <w:p w14:paraId="0DB580D8" w14:textId="177CEDCC"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57692</w:t>
            </w:r>
          </w:p>
        </w:tc>
        <w:tc>
          <w:tcPr>
            <w:tcW w:w="6095" w:type="dxa"/>
            <w:noWrap/>
            <w:vAlign w:val="center"/>
          </w:tcPr>
          <w:p w14:paraId="071CA475" w14:textId="2EBB7823"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ECOGAS ENERGIA SAS ESP</w:t>
            </w:r>
          </w:p>
        </w:tc>
        <w:tc>
          <w:tcPr>
            <w:tcW w:w="1757" w:type="dxa"/>
            <w:noWrap/>
            <w:vAlign w:val="center"/>
          </w:tcPr>
          <w:p w14:paraId="70DDCE24" w14:textId="0A299785"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310.450 </w:t>
            </w:r>
          </w:p>
        </w:tc>
      </w:tr>
      <w:tr w:rsidR="00331EE9" w:rsidRPr="006A3D65" w14:paraId="2AE89559" w14:textId="77777777" w:rsidTr="006D0C2E">
        <w:trPr>
          <w:trHeight w:val="624"/>
          <w:jc w:val="center"/>
        </w:trPr>
        <w:tc>
          <w:tcPr>
            <w:tcW w:w="1271" w:type="dxa"/>
            <w:noWrap/>
            <w:vAlign w:val="center"/>
          </w:tcPr>
          <w:p w14:paraId="3C1105AA" w14:textId="3F7B9B5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58633</w:t>
            </w:r>
          </w:p>
        </w:tc>
        <w:tc>
          <w:tcPr>
            <w:tcW w:w="6095" w:type="dxa"/>
            <w:noWrap/>
            <w:vAlign w:val="center"/>
          </w:tcPr>
          <w:p w14:paraId="74132678" w14:textId="040419AD"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EMEGAS POR COLOMBIA 24 7 SAS ESP</w:t>
            </w:r>
          </w:p>
        </w:tc>
        <w:tc>
          <w:tcPr>
            <w:tcW w:w="1757" w:type="dxa"/>
            <w:noWrap/>
            <w:vAlign w:val="center"/>
          </w:tcPr>
          <w:p w14:paraId="1DB7B006" w14:textId="78A68E06"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1.256.449 </w:t>
            </w:r>
          </w:p>
        </w:tc>
      </w:tr>
      <w:tr w:rsidR="00331EE9" w:rsidRPr="006A3D65" w14:paraId="0A92866C" w14:textId="77777777" w:rsidTr="006D0C2E">
        <w:trPr>
          <w:trHeight w:val="624"/>
          <w:jc w:val="center"/>
        </w:trPr>
        <w:tc>
          <w:tcPr>
            <w:tcW w:w="1271" w:type="dxa"/>
            <w:noWrap/>
            <w:vAlign w:val="center"/>
          </w:tcPr>
          <w:p w14:paraId="37B62F87" w14:textId="0A73CCF9"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lastRenderedPageBreak/>
              <w:t>62310</w:t>
            </w:r>
          </w:p>
        </w:tc>
        <w:tc>
          <w:tcPr>
            <w:tcW w:w="6095" w:type="dxa"/>
            <w:noWrap/>
            <w:vAlign w:val="center"/>
          </w:tcPr>
          <w:p w14:paraId="634A30B9" w14:textId="178B1991" w:rsidR="00331EE9" w:rsidRPr="006A3D65" w:rsidRDefault="00331EE9" w:rsidP="00331EE9">
            <w:pPr>
              <w:ind w:right="-91"/>
              <w:jc w:val="center"/>
              <w:rPr>
                <w:rFonts w:ascii="Bookman Old Style" w:eastAsiaTheme="minorEastAsia" w:hAnsi="Bookman Old Style"/>
                <w:iCs/>
                <w:sz w:val="22"/>
                <w:szCs w:val="22"/>
                <w:lang w:val="en-US"/>
              </w:rPr>
            </w:pPr>
            <w:r w:rsidRPr="006A3D65">
              <w:rPr>
                <w:rFonts w:ascii="Bookman Old Style" w:hAnsi="Bookman Old Style" w:cs="Calibri"/>
                <w:color w:val="343536"/>
                <w:sz w:val="22"/>
                <w:szCs w:val="22"/>
                <w:lang w:val="en-US"/>
              </w:rPr>
              <w:t>MELL GAS S.A.S. E.S.P.</w:t>
            </w:r>
          </w:p>
        </w:tc>
        <w:tc>
          <w:tcPr>
            <w:tcW w:w="1757" w:type="dxa"/>
            <w:noWrap/>
            <w:vAlign w:val="center"/>
          </w:tcPr>
          <w:p w14:paraId="303C0B84" w14:textId="28A382AB"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lang w:val="en-US"/>
              </w:rPr>
              <w:t xml:space="preserve">      </w:t>
            </w:r>
            <w:r w:rsidRPr="006A3D65">
              <w:rPr>
                <w:rFonts w:ascii="Bookman Old Style" w:hAnsi="Bookman Old Style" w:cs="Calibri"/>
                <w:color w:val="000000"/>
                <w:sz w:val="22"/>
                <w:szCs w:val="22"/>
              </w:rPr>
              <w:t xml:space="preserve">39.636 </w:t>
            </w:r>
          </w:p>
        </w:tc>
      </w:tr>
      <w:tr w:rsidR="00331EE9" w:rsidRPr="006A3D65" w14:paraId="2A731F8B" w14:textId="77777777" w:rsidTr="006D0C2E">
        <w:trPr>
          <w:trHeight w:val="624"/>
          <w:jc w:val="center"/>
        </w:trPr>
        <w:tc>
          <w:tcPr>
            <w:tcW w:w="1271" w:type="dxa"/>
            <w:noWrap/>
            <w:vAlign w:val="center"/>
          </w:tcPr>
          <w:p w14:paraId="323B8AF1" w14:textId="6993E9D1"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62410</w:t>
            </w:r>
          </w:p>
        </w:tc>
        <w:tc>
          <w:tcPr>
            <w:tcW w:w="6095" w:type="dxa"/>
            <w:noWrap/>
            <w:vAlign w:val="center"/>
          </w:tcPr>
          <w:p w14:paraId="314E11C0" w14:textId="6A7DF208"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343536"/>
                <w:sz w:val="22"/>
                <w:szCs w:val="22"/>
              </w:rPr>
              <w:t>GRANELGAS S.A.S. E.S.P.</w:t>
            </w:r>
          </w:p>
        </w:tc>
        <w:tc>
          <w:tcPr>
            <w:tcW w:w="1757" w:type="dxa"/>
            <w:noWrap/>
            <w:vAlign w:val="center"/>
          </w:tcPr>
          <w:p w14:paraId="1B0BB032" w14:textId="23D8A67A" w:rsidR="00331EE9" w:rsidRPr="006A3D65" w:rsidRDefault="00331EE9" w:rsidP="00331EE9">
            <w:pPr>
              <w:ind w:right="-91"/>
              <w:jc w:val="center"/>
              <w:rPr>
                <w:rFonts w:ascii="Bookman Old Style" w:eastAsiaTheme="minorEastAsia" w:hAnsi="Bookman Old Style"/>
                <w:iCs/>
                <w:sz w:val="22"/>
                <w:szCs w:val="22"/>
              </w:rPr>
            </w:pPr>
            <w:r w:rsidRPr="006A3D65">
              <w:rPr>
                <w:rFonts w:ascii="Bookman Old Style" w:hAnsi="Bookman Old Style" w:cs="Calibri"/>
                <w:color w:val="000000"/>
                <w:sz w:val="22"/>
                <w:szCs w:val="22"/>
              </w:rPr>
              <w:t xml:space="preserve">      31.924 </w:t>
            </w:r>
          </w:p>
        </w:tc>
      </w:tr>
      <w:tr w:rsidR="004A12C0" w:rsidRPr="006A3D65" w14:paraId="13CE64A2" w14:textId="77777777" w:rsidTr="006D0C2E">
        <w:trPr>
          <w:trHeight w:val="624"/>
          <w:jc w:val="center"/>
        </w:trPr>
        <w:tc>
          <w:tcPr>
            <w:tcW w:w="1271" w:type="dxa"/>
            <w:noWrap/>
            <w:vAlign w:val="center"/>
          </w:tcPr>
          <w:p w14:paraId="72B39519" w14:textId="424AEEDD" w:rsidR="004A12C0" w:rsidRPr="006A3D65" w:rsidRDefault="004A12C0" w:rsidP="004A12C0">
            <w:pPr>
              <w:ind w:right="-91"/>
              <w:jc w:val="center"/>
              <w:rPr>
                <w:rFonts w:ascii="Bookman Old Style" w:hAnsi="Bookman Old Style" w:cs="Calibri"/>
                <w:color w:val="343536"/>
                <w:sz w:val="22"/>
                <w:szCs w:val="22"/>
              </w:rPr>
            </w:pPr>
            <w:r w:rsidRPr="006A3D65">
              <w:rPr>
                <w:rFonts w:ascii="Bookman Old Style" w:hAnsi="Bookman Old Style" w:cs="Calibri"/>
                <w:color w:val="343536"/>
                <w:sz w:val="22"/>
                <w:szCs w:val="22"/>
              </w:rPr>
              <w:t>62550</w:t>
            </w:r>
          </w:p>
        </w:tc>
        <w:tc>
          <w:tcPr>
            <w:tcW w:w="6095" w:type="dxa"/>
            <w:noWrap/>
            <w:vAlign w:val="center"/>
          </w:tcPr>
          <w:p w14:paraId="6E6BD5DF" w14:textId="4FBA7012" w:rsidR="004A12C0" w:rsidRPr="006A3D65" w:rsidRDefault="004A12C0" w:rsidP="004A12C0">
            <w:pPr>
              <w:ind w:right="-91"/>
              <w:jc w:val="center"/>
              <w:rPr>
                <w:rFonts w:ascii="Bookman Old Style" w:hAnsi="Bookman Old Style" w:cs="Calibri"/>
                <w:color w:val="343536"/>
                <w:sz w:val="22"/>
                <w:szCs w:val="22"/>
              </w:rPr>
            </w:pPr>
            <w:r w:rsidRPr="006A3D65">
              <w:rPr>
                <w:rFonts w:ascii="Bookman Old Style" w:hAnsi="Bookman Old Style" w:cs="Calibri"/>
                <w:color w:val="343536"/>
                <w:sz w:val="22"/>
                <w:szCs w:val="22"/>
              </w:rPr>
              <w:t>YOPAGAS S.A.S. E.S.P.</w:t>
            </w:r>
          </w:p>
        </w:tc>
        <w:tc>
          <w:tcPr>
            <w:tcW w:w="1757" w:type="dxa"/>
            <w:noWrap/>
            <w:vAlign w:val="center"/>
          </w:tcPr>
          <w:p w14:paraId="39F8AB3F" w14:textId="49774D51" w:rsidR="004A12C0" w:rsidRPr="006A3D65" w:rsidRDefault="004A12C0" w:rsidP="004A12C0">
            <w:pPr>
              <w:ind w:right="-91"/>
              <w:jc w:val="center"/>
              <w:rPr>
                <w:rFonts w:ascii="Bookman Old Style" w:hAnsi="Bookman Old Style" w:cs="Calibri"/>
                <w:color w:val="000000"/>
                <w:sz w:val="22"/>
                <w:szCs w:val="22"/>
              </w:rPr>
            </w:pPr>
            <w:r w:rsidRPr="006A3D65">
              <w:rPr>
                <w:rFonts w:ascii="Bookman Old Style" w:hAnsi="Bookman Old Style" w:cs="Calibri"/>
                <w:color w:val="000000"/>
                <w:sz w:val="22"/>
                <w:szCs w:val="22"/>
              </w:rPr>
              <w:t xml:space="preserve">      112.511 </w:t>
            </w:r>
          </w:p>
        </w:tc>
      </w:tr>
    </w:tbl>
    <w:p w14:paraId="3BA01B15" w14:textId="77777777" w:rsidR="004A12C0" w:rsidRDefault="004A12C0" w:rsidP="005C1BCA">
      <w:pPr>
        <w:spacing w:after="0" w:line="240" w:lineRule="auto"/>
        <w:ind w:right="-91"/>
        <w:jc w:val="both"/>
        <w:rPr>
          <w:rFonts w:ascii="Bookman Old Style" w:eastAsia="MS Mincho" w:hAnsi="Bookman Old Style" w:cs="Arial"/>
          <w:sz w:val="24"/>
          <w:szCs w:val="24"/>
          <w:lang w:val="es-ES"/>
        </w:rPr>
      </w:pPr>
    </w:p>
    <w:p w14:paraId="2CB339B2" w14:textId="7F560D86" w:rsidR="005C1BCA" w:rsidRPr="00CD74B5" w:rsidRDefault="005C1BCA" w:rsidP="005C1BCA">
      <w:pPr>
        <w:spacing w:after="0" w:line="240" w:lineRule="auto"/>
        <w:ind w:right="-91"/>
        <w:jc w:val="both"/>
        <w:rPr>
          <w:rFonts w:ascii="Bookman Old Style" w:eastAsia="MS Mincho" w:hAnsi="Bookman Old Style" w:cs="Arial"/>
          <w:sz w:val="24"/>
          <w:szCs w:val="24"/>
          <w:lang w:val="es-ES"/>
        </w:rPr>
      </w:pPr>
      <w:r w:rsidRPr="00283212">
        <w:rPr>
          <w:rFonts w:ascii="Bookman Old Style" w:eastAsia="MS Mincho" w:hAnsi="Bookman Old Style" w:cs="Arial"/>
          <w:sz w:val="24"/>
          <w:szCs w:val="24"/>
          <w:lang w:val="es-ES"/>
        </w:rPr>
        <w:t xml:space="preserve">Dicha capacidad ha sido </w:t>
      </w:r>
      <w:r w:rsidR="00CD74B5" w:rsidRPr="00283212">
        <w:rPr>
          <w:rFonts w:ascii="Bookman Old Style" w:eastAsia="MS Mincho" w:hAnsi="Bookman Old Style" w:cs="Arial"/>
          <w:sz w:val="24"/>
          <w:szCs w:val="24"/>
          <w:lang w:val="es-ES"/>
        </w:rPr>
        <w:t>calculada</w:t>
      </w:r>
      <w:r w:rsidRPr="00283212">
        <w:rPr>
          <w:rFonts w:ascii="Bookman Old Style" w:eastAsia="MS Mincho" w:hAnsi="Bookman Old Style" w:cs="Arial"/>
          <w:sz w:val="24"/>
          <w:szCs w:val="24"/>
          <w:lang w:val="es-ES"/>
        </w:rPr>
        <w:t xml:space="preserve"> atendiendo el procedimiento establecido en el artículo 8 de la Resolución CREG </w:t>
      </w:r>
      <w:r w:rsidR="00351A5E" w:rsidRPr="00283212">
        <w:rPr>
          <w:rFonts w:ascii="Bookman Old Style" w:eastAsia="MS Mincho" w:hAnsi="Bookman Old Style" w:cs="Arial"/>
          <w:sz w:val="24"/>
          <w:szCs w:val="24"/>
          <w:lang w:val="es-ES"/>
        </w:rPr>
        <w:t>063</w:t>
      </w:r>
      <w:r w:rsidRPr="00283212">
        <w:rPr>
          <w:rFonts w:ascii="Bookman Old Style" w:eastAsia="MS Mincho" w:hAnsi="Bookman Old Style" w:cs="Arial"/>
          <w:sz w:val="24"/>
          <w:szCs w:val="24"/>
          <w:lang w:val="es-ES"/>
        </w:rPr>
        <w:t xml:space="preserve"> de 2016</w:t>
      </w:r>
      <w:r w:rsidR="003B50DF" w:rsidRPr="00283212">
        <w:rPr>
          <w:rFonts w:ascii="Bookman Old Style" w:eastAsia="MS Mincho" w:hAnsi="Bookman Old Style" w:cs="Arial"/>
          <w:sz w:val="24"/>
          <w:szCs w:val="24"/>
          <w:lang w:val="es-ES"/>
        </w:rPr>
        <w:t xml:space="preserve"> con información </w:t>
      </w:r>
      <w:r w:rsidR="00400ABE">
        <w:rPr>
          <w:rFonts w:ascii="Bookman Old Style" w:eastAsia="MS Mincho" w:hAnsi="Bookman Old Style" w:cs="Arial"/>
          <w:sz w:val="24"/>
          <w:szCs w:val="24"/>
          <w:lang w:val="es-ES"/>
        </w:rPr>
        <w:t xml:space="preserve">suministrada por la Superintendencia de Servicios Públicos Domiciliarios la cual reposa en </w:t>
      </w:r>
      <w:r w:rsidR="003B50DF" w:rsidRPr="00283212">
        <w:rPr>
          <w:rFonts w:ascii="Bookman Old Style" w:eastAsia="MS Mincho" w:hAnsi="Bookman Old Style" w:cs="Arial"/>
          <w:sz w:val="24"/>
          <w:szCs w:val="24"/>
          <w:lang w:val="es-ES"/>
        </w:rPr>
        <w:t>el Sistema Único de Información</w:t>
      </w:r>
      <w:r w:rsidR="00F96972">
        <w:rPr>
          <w:rFonts w:ascii="Bookman Old Style" w:eastAsia="MS Mincho" w:hAnsi="Bookman Old Style" w:cs="Arial"/>
          <w:sz w:val="24"/>
          <w:szCs w:val="24"/>
          <w:lang w:val="es-ES"/>
        </w:rPr>
        <w:t>,</w:t>
      </w:r>
      <w:r w:rsidR="003B50DF" w:rsidRPr="00283212">
        <w:rPr>
          <w:rFonts w:ascii="Bookman Old Style" w:eastAsia="MS Mincho" w:hAnsi="Bookman Old Style" w:cs="Arial"/>
          <w:sz w:val="24"/>
          <w:szCs w:val="24"/>
          <w:lang w:val="es-ES"/>
        </w:rPr>
        <w:t xml:space="preserve"> </w:t>
      </w:r>
      <w:r w:rsidR="0097340A" w:rsidRPr="00283212">
        <w:rPr>
          <w:rFonts w:ascii="Bookman Old Style" w:eastAsia="MS Mincho" w:hAnsi="Bookman Old Style" w:cs="Arial"/>
          <w:sz w:val="24"/>
          <w:szCs w:val="24"/>
          <w:lang w:val="es-ES"/>
        </w:rPr>
        <w:t>SUI</w:t>
      </w:r>
      <w:r w:rsidR="00CA077E" w:rsidRPr="00283212">
        <w:rPr>
          <w:rStyle w:val="Refdenotaalpie"/>
          <w:rFonts w:ascii="Bookman Old Style" w:eastAsia="MS Mincho" w:hAnsi="Bookman Old Style" w:cs="Arial"/>
          <w:sz w:val="24"/>
          <w:szCs w:val="24"/>
          <w:lang w:val="es-ES"/>
        </w:rPr>
        <w:footnoteReference w:id="5"/>
      </w:r>
      <w:r w:rsidRPr="00283212">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El</w:t>
      </w:r>
      <w:r w:rsidRPr="00CD74B5">
        <w:rPr>
          <w:rFonts w:ascii="Bookman Old Style" w:eastAsia="MS Mincho" w:hAnsi="Bookman Old Style" w:cs="Arial"/>
          <w:sz w:val="24"/>
          <w:szCs w:val="24"/>
          <w:lang w:val="es-ES"/>
        </w:rPr>
        <w:t xml:space="preserve"> cálculo para cada empresa se detalla en el </w:t>
      </w:r>
      <w:r w:rsidR="00CE579F" w:rsidRPr="00895740">
        <w:rPr>
          <w:rFonts w:ascii="Bookman Old Style" w:eastAsia="MS Mincho" w:hAnsi="Bookman Old Style" w:cs="Arial"/>
          <w:sz w:val="24"/>
          <w:szCs w:val="24"/>
          <w:lang w:val="es-ES"/>
        </w:rPr>
        <w:t>Documento Soporte</w:t>
      </w:r>
      <w:r w:rsidRPr="00895740">
        <w:rPr>
          <w:rFonts w:ascii="Bookman Old Style" w:eastAsia="MS Mincho" w:hAnsi="Bookman Old Style" w:cs="Arial"/>
          <w:sz w:val="24"/>
          <w:szCs w:val="24"/>
          <w:lang w:val="es-ES"/>
        </w:rPr>
        <w:t xml:space="preserve"> que hace parte de la presente </w:t>
      </w:r>
      <w:r w:rsidR="003B50DF" w:rsidRPr="00895740">
        <w:rPr>
          <w:rFonts w:ascii="Bookman Old Style" w:eastAsia="MS Mincho" w:hAnsi="Bookman Old Style" w:cs="Arial"/>
          <w:sz w:val="24"/>
          <w:szCs w:val="24"/>
          <w:lang w:val="es-ES"/>
        </w:rPr>
        <w:t>resolución</w:t>
      </w:r>
      <w:r w:rsidRPr="00CD74B5">
        <w:rPr>
          <w:rFonts w:ascii="Bookman Old Style" w:eastAsia="MS Mincho" w:hAnsi="Bookman Old Style" w:cs="Arial"/>
          <w:sz w:val="24"/>
          <w:szCs w:val="24"/>
          <w:lang w:val="es-ES"/>
        </w:rPr>
        <w:t>.</w:t>
      </w:r>
    </w:p>
    <w:p w14:paraId="72B93129" w14:textId="77777777" w:rsidR="005C1BCA" w:rsidRPr="005C1BCA" w:rsidRDefault="005C1BCA" w:rsidP="005C1BCA">
      <w:pPr>
        <w:spacing w:after="0" w:line="240" w:lineRule="auto"/>
        <w:ind w:right="-91"/>
        <w:jc w:val="both"/>
        <w:rPr>
          <w:rFonts w:ascii="Arial" w:eastAsia="MS Mincho" w:hAnsi="Arial" w:cs="Arial"/>
          <w:b/>
          <w:lang w:val="es-ES"/>
        </w:rPr>
      </w:pPr>
    </w:p>
    <w:p w14:paraId="53E13983" w14:textId="75D301B3" w:rsidR="00F743B0" w:rsidRDefault="005C1BCA" w:rsidP="00F743B0">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b/>
          <w:sz w:val="24"/>
          <w:szCs w:val="24"/>
          <w:lang w:val="es-ES"/>
        </w:rPr>
        <w:t>Artículo</w:t>
      </w:r>
      <w:r w:rsidR="006139A9">
        <w:rPr>
          <w:rFonts w:ascii="Bookman Old Style" w:eastAsia="MS Mincho" w:hAnsi="Bookman Old Style" w:cs="Arial"/>
          <w:b/>
          <w:sz w:val="24"/>
          <w:szCs w:val="24"/>
          <w:lang w:val="es-ES"/>
        </w:rPr>
        <w:t xml:space="preserve"> </w:t>
      </w:r>
      <w:r w:rsidRPr="00CD74B5">
        <w:rPr>
          <w:rFonts w:ascii="Bookman Old Style" w:eastAsia="MS Mincho" w:hAnsi="Bookman Old Style" w:cs="Arial"/>
          <w:b/>
          <w:sz w:val="24"/>
          <w:szCs w:val="24"/>
          <w:lang w:val="es-ES"/>
        </w:rPr>
        <w:t>2.</w:t>
      </w:r>
      <w:r w:rsidR="00844DAC">
        <w:rPr>
          <w:rFonts w:ascii="Bookman Old Style" w:eastAsia="MS Mincho" w:hAnsi="Bookman Old Style" w:cs="Arial"/>
          <w:b/>
          <w:sz w:val="24"/>
          <w:szCs w:val="24"/>
          <w:lang w:val="es-ES"/>
        </w:rPr>
        <w:t xml:space="preserve"> </w:t>
      </w:r>
      <w:r w:rsidR="001303F4" w:rsidRPr="009104B9">
        <w:rPr>
          <w:rFonts w:ascii="Bookman Old Style" w:eastAsia="MS Mincho" w:hAnsi="Bookman Old Style" w:cs="Arial"/>
          <w:b/>
          <w:bCs/>
          <w:sz w:val="24"/>
          <w:szCs w:val="24"/>
          <w:lang w:val="es-ES"/>
        </w:rPr>
        <w:t>Notificación</w:t>
      </w:r>
      <w:r w:rsidR="001303F4">
        <w:rPr>
          <w:rFonts w:ascii="Bookman Old Style" w:eastAsia="MS Mincho" w:hAnsi="Bookman Old Style" w:cs="Arial"/>
          <w:b/>
          <w:bCs/>
          <w:sz w:val="24"/>
          <w:szCs w:val="24"/>
          <w:lang w:val="es-ES"/>
        </w:rPr>
        <w:t>.</w:t>
      </w:r>
      <w:r w:rsidR="001303F4">
        <w:rPr>
          <w:rFonts w:ascii="Bookman Old Style" w:eastAsia="MS Mincho" w:hAnsi="Bookman Old Style" w:cs="Arial"/>
          <w:sz w:val="24"/>
          <w:szCs w:val="24"/>
          <w:lang w:val="es-ES"/>
        </w:rPr>
        <w:t xml:space="preserve"> </w:t>
      </w:r>
      <w:r w:rsidRPr="009F74BF">
        <w:rPr>
          <w:rFonts w:ascii="Bookman Old Style" w:eastAsia="MS Mincho" w:hAnsi="Bookman Old Style" w:cs="Arial"/>
          <w:sz w:val="24"/>
          <w:szCs w:val="24"/>
          <w:lang w:val="es-ES"/>
        </w:rPr>
        <w:t xml:space="preserve">La presente </w:t>
      </w:r>
      <w:r w:rsidR="00CD74B5" w:rsidRPr="009F74BF">
        <w:rPr>
          <w:rFonts w:ascii="Bookman Old Style" w:eastAsia="MS Mincho" w:hAnsi="Bookman Old Style" w:cs="Arial"/>
          <w:sz w:val="24"/>
          <w:szCs w:val="24"/>
          <w:lang w:val="es-ES"/>
        </w:rPr>
        <w:t>resolución</w:t>
      </w:r>
      <w:r w:rsidR="0089512B" w:rsidRPr="009F74BF">
        <w:rPr>
          <w:rFonts w:ascii="Bookman Old Style" w:eastAsia="MS Mincho" w:hAnsi="Bookman Old Style" w:cs="Arial"/>
          <w:sz w:val="24"/>
          <w:szCs w:val="24"/>
          <w:lang w:val="es-ES"/>
        </w:rPr>
        <w:t xml:space="preserve"> deberá notificarse</w:t>
      </w:r>
      <w:r w:rsidR="00234404" w:rsidRPr="009F74BF">
        <w:rPr>
          <w:rFonts w:ascii="Bookman Old Style" w:eastAsia="MS Mincho" w:hAnsi="Bookman Old Style" w:cs="Arial"/>
          <w:sz w:val="24"/>
          <w:szCs w:val="24"/>
          <w:lang w:val="es-ES"/>
        </w:rPr>
        <w:t xml:space="preserve"> </w:t>
      </w:r>
      <w:r w:rsidR="0089512B" w:rsidRPr="009F74BF">
        <w:rPr>
          <w:rFonts w:ascii="Bookman Old Style" w:eastAsia="MS Mincho" w:hAnsi="Bookman Old Style" w:cs="Arial"/>
          <w:sz w:val="24"/>
          <w:szCs w:val="24"/>
          <w:lang w:val="es-ES"/>
        </w:rPr>
        <w:t>a</w:t>
      </w:r>
      <w:r w:rsidR="0097340A" w:rsidRPr="009F74BF">
        <w:rPr>
          <w:rFonts w:ascii="Bookman Old Style" w:eastAsia="MS Mincho" w:hAnsi="Bookman Old Style" w:cs="Arial"/>
          <w:sz w:val="24"/>
          <w:szCs w:val="24"/>
          <w:lang w:val="es-ES"/>
        </w:rPr>
        <w:t xml:space="preserve"> cada una de</w:t>
      </w:r>
      <w:r w:rsidR="0089512B" w:rsidRPr="009F74BF">
        <w:rPr>
          <w:rFonts w:ascii="Bookman Old Style" w:eastAsia="MS Mincho" w:hAnsi="Bookman Old Style" w:cs="Arial"/>
          <w:sz w:val="24"/>
          <w:szCs w:val="24"/>
          <w:lang w:val="es-ES"/>
        </w:rPr>
        <w:t xml:space="preserve"> </w:t>
      </w:r>
      <w:r w:rsidR="003B50DF" w:rsidRPr="009F74BF">
        <w:rPr>
          <w:rFonts w:ascii="Bookman Old Style" w:eastAsia="MS Mincho" w:hAnsi="Bookman Old Style" w:cs="Arial"/>
          <w:sz w:val="24"/>
          <w:szCs w:val="24"/>
          <w:lang w:val="es-ES"/>
        </w:rPr>
        <w:t>las empresas listadas en e</w:t>
      </w:r>
      <w:r w:rsidRPr="009F74BF">
        <w:rPr>
          <w:rFonts w:ascii="Bookman Old Style" w:eastAsia="MS Mincho" w:hAnsi="Bookman Old Style" w:cs="Arial"/>
          <w:sz w:val="24"/>
          <w:szCs w:val="24"/>
          <w:lang w:val="es-ES"/>
        </w:rPr>
        <w:t>l artículo anterior</w:t>
      </w:r>
      <w:r w:rsidR="00F743B0">
        <w:rPr>
          <w:rFonts w:ascii="Bookman Old Style" w:eastAsia="MS Mincho" w:hAnsi="Bookman Old Style" w:cs="Arial"/>
          <w:sz w:val="24"/>
          <w:szCs w:val="24"/>
          <w:lang w:val="es-ES"/>
        </w:rPr>
        <w:t xml:space="preserve"> de conformidad con lo previsto en los artículos 56, 67 y 69 del </w:t>
      </w:r>
      <w:r w:rsidR="00F743B0" w:rsidRPr="00A4201D">
        <w:rPr>
          <w:rFonts w:ascii="Bookman Old Style" w:eastAsia="MS Mincho" w:hAnsi="Bookman Old Style" w:cs="Arial"/>
          <w:sz w:val="24"/>
          <w:szCs w:val="24"/>
          <w:lang w:val="es-ES"/>
        </w:rPr>
        <w:t>del Código Procedimiento Administrativo y de lo Contencioso Administrativo</w:t>
      </w:r>
      <w:r w:rsidR="006139A9">
        <w:rPr>
          <w:rFonts w:ascii="Bookman Old Style" w:eastAsia="MS Mincho" w:hAnsi="Bookman Old Style" w:cs="Arial"/>
          <w:sz w:val="24"/>
          <w:szCs w:val="24"/>
          <w:lang w:val="es-ES"/>
        </w:rPr>
        <w:t>.</w:t>
      </w:r>
    </w:p>
    <w:p w14:paraId="0399C99C" w14:textId="02682B90" w:rsidR="00143447" w:rsidRDefault="00143447" w:rsidP="004B65F7">
      <w:pPr>
        <w:spacing w:after="0" w:line="240" w:lineRule="auto"/>
        <w:ind w:right="-91"/>
        <w:jc w:val="both"/>
        <w:rPr>
          <w:rFonts w:ascii="Bookman Old Style" w:eastAsia="MS Mincho" w:hAnsi="Bookman Old Style" w:cs="Arial"/>
          <w:sz w:val="24"/>
          <w:szCs w:val="24"/>
          <w:lang w:val="es-ES"/>
        </w:rPr>
      </w:pPr>
    </w:p>
    <w:p w14:paraId="459FE762" w14:textId="1B696FCB" w:rsidR="004B65F7" w:rsidRDefault="00C139AB" w:rsidP="004B65F7">
      <w:pPr>
        <w:spacing w:after="0" w:line="240" w:lineRule="auto"/>
        <w:ind w:right="-91"/>
        <w:jc w:val="both"/>
        <w:rPr>
          <w:rFonts w:ascii="Bookman Old Style" w:eastAsia="MS Mincho" w:hAnsi="Bookman Old Style" w:cs="Arial"/>
          <w:sz w:val="24"/>
          <w:szCs w:val="24"/>
          <w:lang w:val="es-ES"/>
        </w:rPr>
      </w:pPr>
      <w:r w:rsidRPr="00C139AB">
        <w:rPr>
          <w:rFonts w:ascii="Bookman Old Style" w:eastAsia="MS Mincho" w:hAnsi="Bookman Old Style" w:cs="Arial"/>
          <w:sz w:val="24"/>
          <w:szCs w:val="24"/>
          <w:lang w:val="es-ES"/>
        </w:rPr>
        <w:t>Contra lo dispuesto en este acto</w:t>
      </w:r>
      <w:r w:rsidRPr="00CD74B5">
        <w:rPr>
          <w:rFonts w:ascii="Bookman Old Style" w:eastAsia="MS Mincho" w:hAnsi="Bookman Old Style" w:cs="Arial"/>
          <w:sz w:val="24"/>
          <w:szCs w:val="24"/>
          <w:lang w:val="es-ES"/>
        </w:rPr>
        <w:t xml:space="preserve"> </w:t>
      </w:r>
      <w:r w:rsidR="005C1BCA" w:rsidRPr="00CD74B5">
        <w:rPr>
          <w:rFonts w:ascii="Bookman Old Style" w:eastAsia="MS Mincho" w:hAnsi="Bookman Old Style" w:cs="Arial"/>
          <w:sz w:val="24"/>
          <w:szCs w:val="24"/>
          <w:lang w:val="es-ES"/>
        </w:rPr>
        <w:t>procede el recurso de reposi</w:t>
      </w:r>
      <w:r>
        <w:rPr>
          <w:rFonts w:ascii="Bookman Old Style" w:eastAsia="MS Mincho" w:hAnsi="Bookman Old Style" w:cs="Arial"/>
          <w:sz w:val="24"/>
          <w:szCs w:val="24"/>
          <w:lang w:val="es-ES"/>
        </w:rPr>
        <w:t>ción, el cual podrá interponer</w:t>
      </w:r>
      <w:r w:rsidR="0032680A">
        <w:rPr>
          <w:rFonts w:ascii="Bookman Old Style" w:eastAsia="MS Mincho" w:hAnsi="Bookman Old Style" w:cs="Arial"/>
          <w:sz w:val="24"/>
          <w:szCs w:val="24"/>
          <w:lang w:val="es-ES"/>
        </w:rPr>
        <w:t>se</w:t>
      </w:r>
      <w:r w:rsidR="005C1BCA" w:rsidRPr="00CD74B5">
        <w:rPr>
          <w:rFonts w:ascii="Bookman Old Style" w:eastAsia="MS Mincho" w:hAnsi="Bookman Old Style" w:cs="Arial"/>
          <w:sz w:val="24"/>
          <w:szCs w:val="24"/>
          <w:lang w:val="es-ES"/>
        </w:rPr>
        <w:t xml:space="preserve"> ante la Dirección Ejecutiva de la CREG </w:t>
      </w:r>
      <w:r w:rsidRPr="00C139AB">
        <w:rPr>
          <w:rFonts w:ascii="Bookman Old Style" w:eastAsia="MS Mincho" w:hAnsi="Bookman Old Style" w:cs="Arial"/>
          <w:sz w:val="24"/>
          <w:szCs w:val="24"/>
          <w:lang w:val="es-ES"/>
        </w:rPr>
        <w:t>dentro de los cinco (5) días hábiles siguientes a la fecha de su notificación.</w:t>
      </w:r>
    </w:p>
    <w:p w14:paraId="227C6D40" w14:textId="7AA87CAB" w:rsidR="00351047" w:rsidRDefault="00351047" w:rsidP="004B65F7">
      <w:pPr>
        <w:spacing w:after="0" w:line="240" w:lineRule="auto"/>
        <w:ind w:right="-91"/>
        <w:jc w:val="both"/>
        <w:rPr>
          <w:rFonts w:ascii="Bookman Old Style" w:eastAsia="MS Mincho" w:hAnsi="Bookman Old Style" w:cs="Arial"/>
          <w:sz w:val="24"/>
          <w:szCs w:val="24"/>
          <w:lang w:val="es-ES"/>
        </w:rPr>
      </w:pPr>
    </w:p>
    <w:p w14:paraId="2CC39EC3" w14:textId="77777777" w:rsidR="00143447" w:rsidRPr="004B65F7" w:rsidRDefault="00143447" w:rsidP="004B65F7">
      <w:pPr>
        <w:spacing w:after="0" w:line="240" w:lineRule="auto"/>
        <w:ind w:right="-91"/>
        <w:jc w:val="both"/>
        <w:rPr>
          <w:rFonts w:ascii="Bookman Old Style" w:eastAsia="MS Mincho" w:hAnsi="Bookman Old Style" w:cs="Arial"/>
          <w:sz w:val="24"/>
          <w:szCs w:val="24"/>
          <w:lang w:val="es-ES"/>
        </w:rPr>
      </w:pPr>
    </w:p>
    <w:p w14:paraId="1A77F124" w14:textId="77777777" w:rsidR="005C1BCA" w:rsidRPr="005C1BCA" w:rsidRDefault="00CD74B5" w:rsidP="006A3D65">
      <w:pPr>
        <w:spacing w:after="0" w:line="240" w:lineRule="auto"/>
        <w:ind w:right="-91"/>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14:paraId="066AB119" w14:textId="7930A311" w:rsidR="009C0053" w:rsidRDefault="009C0053" w:rsidP="00CD74B5">
      <w:pPr>
        <w:spacing w:after="0" w:line="240" w:lineRule="auto"/>
        <w:contextualSpacing/>
        <w:rPr>
          <w:rFonts w:ascii="Bookman Old Style" w:eastAsia="Times New Roman" w:hAnsi="Bookman Old Style" w:cs="Times New Roman"/>
          <w:sz w:val="24"/>
          <w:szCs w:val="24"/>
          <w:lang w:val="es-ES" w:eastAsia="es-ES"/>
        </w:rPr>
      </w:pPr>
    </w:p>
    <w:p w14:paraId="59ECB06C" w14:textId="77777777" w:rsidR="006A3D65" w:rsidRDefault="006A3D65" w:rsidP="00CD74B5">
      <w:pPr>
        <w:spacing w:after="0" w:line="240" w:lineRule="auto"/>
        <w:contextualSpacing/>
        <w:rPr>
          <w:rFonts w:ascii="Bookman Old Style" w:eastAsia="Times New Roman" w:hAnsi="Bookman Old Style" w:cs="Times New Roman"/>
          <w:sz w:val="24"/>
          <w:szCs w:val="24"/>
          <w:lang w:val="es-ES" w:eastAsia="es-ES"/>
        </w:rPr>
      </w:pPr>
    </w:p>
    <w:p w14:paraId="4618B657" w14:textId="2C36CDCE" w:rsidR="005C1BCA" w:rsidRPr="00186B0F"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sidR="00186B0F">
        <w:rPr>
          <w:rFonts w:ascii="Bookman Old Style" w:eastAsia="Times New Roman" w:hAnsi="Bookman Old Style" w:cs="Times New Roman"/>
          <w:sz w:val="24"/>
          <w:szCs w:val="24"/>
          <w:lang w:val="es-ES" w:eastAsia="es-ES"/>
        </w:rPr>
        <w:t xml:space="preserve"> los 31 días del mes de enero de 2023.</w:t>
      </w:r>
    </w:p>
    <w:p w14:paraId="3ACCE1E0" w14:textId="77777777" w:rsidR="00F96972" w:rsidRDefault="00F96972" w:rsidP="005C1BCA">
      <w:pPr>
        <w:spacing w:after="0" w:line="240" w:lineRule="auto"/>
        <w:contextualSpacing/>
        <w:rPr>
          <w:rFonts w:ascii="Bookman Old Style" w:eastAsia="Times New Roman" w:hAnsi="Bookman Old Style" w:cs="Times New Roman"/>
          <w:sz w:val="20"/>
          <w:szCs w:val="24"/>
          <w:lang w:val="es-ES" w:eastAsia="es-ES"/>
        </w:rPr>
      </w:pPr>
    </w:p>
    <w:p w14:paraId="0B832875" w14:textId="5357A238" w:rsidR="00F27035" w:rsidRDefault="00F27035" w:rsidP="005C1BCA">
      <w:pPr>
        <w:spacing w:after="0" w:line="240" w:lineRule="auto"/>
        <w:contextualSpacing/>
        <w:rPr>
          <w:rFonts w:ascii="Bookman Old Style" w:eastAsia="Times New Roman" w:hAnsi="Bookman Old Style" w:cs="Times New Roman"/>
          <w:sz w:val="20"/>
          <w:szCs w:val="24"/>
          <w:lang w:val="es-ES" w:eastAsia="es-ES"/>
        </w:rPr>
      </w:pPr>
    </w:p>
    <w:p w14:paraId="63F72C69" w14:textId="77777777" w:rsidR="006A3D65" w:rsidRDefault="006A3D65" w:rsidP="005C1BCA">
      <w:pPr>
        <w:spacing w:after="0" w:line="240" w:lineRule="auto"/>
        <w:contextualSpacing/>
        <w:rPr>
          <w:rFonts w:ascii="Bookman Old Style" w:eastAsia="Times New Roman" w:hAnsi="Bookman Old Style" w:cs="Times New Roman"/>
          <w:sz w:val="20"/>
          <w:szCs w:val="24"/>
          <w:lang w:val="es-ES" w:eastAsia="es-ES"/>
        </w:rPr>
      </w:pPr>
    </w:p>
    <w:p w14:paraId="41B3C10F" w14:textId="77777777" w:rsidR="00F27035" w:rsidRPr="005C1BCA" w:rsidRDefault="00F27035" w:rsidP="005C1BCA">
      <w:pPr>
        <w:spacing w:after="0" w:line="240" w:lineRule="auto"/>
        <w:contextualSpacing/>
        <w:rPr>
          <w:rFonts w:ascii="Bookman Old Style" w:eastAsia="Times New Roman" w:hAnsi="Bookman Old Style" w:cs="Times New Roman"/>
          <w:sz w:val="20"/>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27035" w:rsidRPr="00666660" w14:paraId="4531A289" w14:textId="77777777" w:rsidTr="00226BDF">
        <w:trPr>
          <w:jc w:val="center"/>
        </w:trPr>
        <w:tc>
          <w:tcPr>
            <w:tcW w:w="4536" w:type="dxa"/>
          </w:tcPr>
          <w:p w14:paraId="73FF046E" w14:textId="3F0F923B" w:rsidR="00F26C0C" w:rsidRDefault="00F26C0C" w:rsidP="00F27035">
            <w:pPr>
              <w:tabs>
                <w:tab w:val="left" w:pos="-720"/>
              </w:tabs>
              <w:suppressAutoHyphens/>
              <w:spacing w:after="0" w:line="240" w:lineRule="auto"/>
              <w:jc w:val="center"/>
              <w:rPr>
                <w:rFonts w:ascii="Bookman Old Style" w:hAnsi="Bookman Old Style" w:cs="Arial"/>
                <w:b/>
                <w:spacing w:val="-3"/>
                <w:sz w:val="24"/>
                <w:szCs w:val="24"/>
              </w:rPr>
            </w:pPr>
            <w:r>
              <w:rPr>
                <w:rFonts w:ascii="Bookman Old Style" w:hAnsi="Bookman Old Style" w:cs="Arial"/>
                <w:b/>
                <w:spacing w:val="-3"/>
                <w:sz w:val="24"/>
                <w:szCs w:val="24"/>
              </w:rPr>
              <w:t>IREN</w:t>
            </w:r>
            <w:r w:rsidRPr="00F26C0C">
              <w:rPr>
                <w:rFonts w:ascii="Bookman Old Style" w:hAnsi="Bookman Old Style" w:cs="Arial"/>
                <w:b/>
                <w:spacing w:val="-3"/>
                <w:sz w:val="24"/>
                <w:szCs w:val="24"/>
              </w:rPr>
              <w:t>E VÉLEZ TORRES</w:t>
            </w:r>
          </w:p>
          <w:p w14:paraId="1A507C4D" w14:textId="44B97D93" w:rsidR="00F27035" w:rsidRPr="003F1045" w:rsidRDefault="00F27035" w:rsidP="00F27035">
            <w:pPr>
              <w:tabs>
                <w:tab w:val="left" w:pos="-720"/>
              </w:tabs>
              <w:suppressAutoHyphens/>
              <w:spacing w:after="0" w:line="240" w:lineRule="auto"/>
              <w:jc w:val="center"/>
              <w:rPr>
                <w:sz w:val="24"/>
                <w:szCs w:val="24"/>
              </w:rPr>
            </w:pPr>
            <w:r w:rsidRPr="003F1045">
              <w:rPr>
                <w:rFonts w:ascii="Bookman Old Style" w:hAnsi="Bookman Old Style"/>
                <w:sz w:val="24"/>
                <w:szCs w:val="24"/>
              </w:rPr>
              <w:t>Ministr</w:t>
            </w:r>
            <w:r w:rsidR="00AB2B82">
              <w:rPr>
                <w:rFonts w:ascii="Bookman Old Style" w:hAnsi="Bookman Old Style"/>
                <w:sz w:val="24"/>
                <w:szCs w:val="24"/>
              </w:rPr>
              <w:t>a</w:t>
            </w:r>
            <w:r w:rsidRPr="003F1045">
              <w:rPr>
                <w:rFonts w:ascii="Bookman Old Style" w:hAnsi="Bookman Old Style"/>
                <w:sz w:val="24"/>
                <w:szCs w:val="24"/>
              </w:rPr>
              <w:t xml:space="preserve"> de Minas y Energía</w:t>
            </w:r>
          </w:p>
          <w:p w14:paraId="1CBD66E6" w14:textId="77777777" w:rsidR="00F27035" w:rsidRPr="00F27035" w:rsidRDefault="00F27035" w:rsidP="00F27035">
            <w:pPr>
              <w:tabs>
                <w:tab w:val="left" w:pos="-720"/>
              </w:tabs>
              <w:suppressAutoHyphens/>
              <w:spacing w:after="0" w:line="240" w:lineRule="auto"/>
              <w:jc w:val="center"/>
              <w:rPr>
                <w:rFonts w:ascii="Bookman Old Style" w:hAnsi="Bookman Old Style" w:cs="Arial"/>
                <w:b/>
                <w:strike/>
                <w:spacing w:val="-3"/>
                <w:sz w:val="24"/>
                <w:szCs w:val="24"/>
              </w:rPr>
            </w:pPr>
            <w:r w:rsidRPr="003F1045">
              <w:rPr>
                <w:rFonts w:ascii="Bookman Old Style" w:hAnsi="Bookman Old Style"/>
                <w:sz w:val="24"/>
                <w:szCs w:val="24"/>
              </w:rPr>
              <w:t>Presidente</w:t>
            </w:r>
          </w:p>
        </w:tc>
        <w:tc>
          <w:tcPr>
            <w:tcW w:w="4678" w:type="dxa"/>
          </w:tcPr>
          <w:p w14:paraId="29213FA0" w14:textId="6000F06E" w:rsidR="00F27035" w:rsidRPr="00F27035" w:rsidRDefault="00143447" w:rsidP="00F27035">
            <w:pPr>
              <w:tabs>
                <w:tab w:val="left" w:pos="-720"/>
              </w:tabs>
              <w:suppressAutoHyphens/>
              <w:spacing w:after="0" w:line="240" w:lineRule="auto"/>
              <w:jc w:val="center"/>
              <w:rPr>
                <w:rFonts w:ascii="Bookman Old Style" w:hAnsi="Bookman Old Style" w:cs="Arial"/>
                <w:b/>
                <w:sz w:val="24"/>
                <w:szCs w:val="24"/>
              </w:rPr>
            </w:pPr>
            <w:r>
              <w:rPr>
                <w:rFonts w:ascii="Bookman Old Style" w:hAnsi="Bookman Old Style" w:cs="Arial"/>
                <w:b/>
                <w:sz w:val="24"/>
                <w:szCs w:val="24"/>
              </w:rPr>
              <w:t>J</w:t>
            </w:r>
            <w:r w:rsidR="00F26C0C">
              <w:rPr>
                <w:rFonts w:ascii="Bookman Old Style" w:hAnsi="Bookman Old Style" w:cs="Arial"/>
                <w:b/>
                <w:sz w:val="24"/>
                <w:szCs w:val="24"/>
              </w:rPr>
              <w:t>OSÉ FERNANDO PRADA RÍOS</w:t>
            </w:r>
          </w:p>
          <w:p w14:paraId="7B92AE32" w14:textId="77777777" w:rsidR="00F27035" w:rsidRPr="00F27035" w:rsidRDefault="00F27035" w:rsidP="00F27035">
            <w:pPr>
              <w:tabs>
                <w:tab w:val="left" w:pos="-720"/>
              </w:tabs>
              <w:suppressAutoHyphens/>
              <w:spacing w:after="0" w:line="240" w:lineRule="auto"/>
              <w:jc w:val="center"/>
              <w:rPr>
                <w:rFonts w:ascii="Bookman Old Style" w:hAnsi="Bookman Old Style" w:cs="Arial"/>
                <w:b/>
                <w:spacing w:val="-3"/>
                <w:sz w:val="24"/>
                <w:szCs w:val="24"/>
              </w:rPr>
            </w:pPr>
            <w:r w:rsidRPr="00F27035">
              <w:rPr>
                <w:rFonts w:ascii="Bookman Old Style" w:hAnsi="Bookman Old Style" w:cs="Arial"/>
                <w:spacing w:val="-3"/>
                <w:sz w:val="24"/>
                <w:szCs w:val="24"/>
              </w:rPr>
              <w:t>Director Ejecutivo</w:t>
            </w:r>
          </w:p>
        </w:tc>
      </w:tr>
    </w:tbl>
    <w:p w14:paraId="73DD0B11" w14:textId="77777777"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sectPr w:rsidR="0087487D" w:rsidSect="005C1BCA">
      <w:headerReference w:type="default" r:id="rId19"/>
      <w:headerReference w:type="first" r:id="rId2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3C90" w14:textId="77777777" w:rsidR="00D96264" w:rsidRDefault="00D96264" w:rsidP="005C1BCA">
      <w:pPr>
        <w:spacing w:after="0" w:line="240" w:lineRule="auto"/>
      </w:pPr>
      <w:r>
        <w:separator/>
      </w:r>
    </w:p>
  </w:endnote>
  <w:endnote w:type="continuationSeparator" w:id="0">
    <w:p w14:paraId="1ACDAD5C" w14:textId="77777777" w:rsidR="00D96264" w:rsidRDefault="00D96264" w:rsidP="005C1BCA">
      <w:pPr>
        <w:spacing w:after="0" w:line="240" w:lineRule="auto"/>
      </w:pPr>
      <w:r>
        <w:continuationSeparator/>
      </w:r>
    </w:p>
  </w:endnote>
  <w:endnote w:type="continuationNotice" w:id="1">
    <w:p w14:paraId="592CED12" w14:textId="77777777" w:rsidR="00D96264" w:rsidRDefault="00D96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FC20" w14:textId="77777777" w:rsidR="00D96264" w:rsidRDefault="00D96264" w:rsidP="005C1BCA">
      <w:pPr>
        <w:spacing w:after="0" w:line="240" w:lineRule="auto"/>
      </w:pPr>
      <w:r>
        <w:separator/>
      </w:r>
    </w:p>
  </w:footnote>
  <w:footnote w:type="continuationSeparator" w:id="0">
    <w:p w14:paraId="6EB36280" w14:textId="77777777" w:rsidR="00D96264" w:rsidRDefault="00D96264" w:rsidP="005C1BCA">
      <w:pPr>
        <w:spacing w:after="0" w:line="240" w:lineRule="auto"/>
      </w:pPr>
      <w:r>
        <w:continuationSeparator/>
      </w:r>
    </w:p>
  </w:footnote>
  <w:footnote w:type="continuationNotice" w:id="1">
    <w:p w14:paraId="31F8D481" w14:textId="77777777" w:rsidR="00D96264" w:rsidRDefault="00D96264">
      <w:pPr>
        <w:spacing w:after="0" w:line="240" w:lineRule="auto"/>
      </w:pPr>
    </w:p>
  </w:footnote>
  <w:footnote w:id="2">
    <w:p w14:paraId="06C4DFB9" w14:textId="77777777" w:rsidR="00104FE2" w:rsidRPr="00955BE9" w:rsidRDefault="00104FE2" w:rsidP="00DE5054">
      <w:pPr>
        <w:pStyle w:val="Textonotapie"/>
        <w:ind w:left="0"/>
        <w:jc w:val="both"/>
        <w:rPr>
          <w:rFonts w:ascii="Bookman Old Style" w:hAnsi="Bookman Old Style" w:cs="Arial"/>
          <w:sz w:val="18"/>
          <w:szCs w:val="18"/>
        </w:rPr>
      </w:pPr>
      <w:r w:rsidRPr="00955BE9">
        <w:rPr>
          <w:rStyle w:val="Refdenotaalpie"/>
          <w:rFonts w:ascii="Bookman Old Style" w:hAnsi="Bookman Old Style" w:cs="Arial"/>
          <w:sz w:val="18"/>
          <w:szCs w:val="18"/>
        </w:rPr>
        <w:footnoteRef/>
      </w:r>
      <w:r w:rsidRPr="00955BE9">
        <w:rPr>
          <w:rFonts w:ascii="Bookman Old Style" w:hAnsi="Bookman Old Style" w:cs="Arial"/>
          <w:sz w:val="18"/>
          <w:szCs w:val="18"/>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3">
    <w:p w14:paraId="49C7724E" w14:textId="77777777" w:rsidR="00104FE2" w:rsidRPr="00955BE9" w:rsidRDefault="00104FE2" w:rsidP="00DE5054">
      <w:pPr>
        <w:pStyle w:val="Textonotapie"/>
        <w:ind w:left="0" w:right="284"/>
        <w:jc w:val="both"/>
        <w:rPr>
          <w:rFonts w:ascii="Bookman Old Style" w:hAnsi="Bookman Old Style" w:cs="Arial"/>
          <w:sz w:val="18"/>
          <w:szCs w:val="18"/>
        </w:rPr>
      </w:pPr>
      <w:r w:rsidRPr="00955BE9">
        <w:rPr>
          <w:rFonts w:ascii="Bookman Old Style" w:hAnsi="Bookman Old Style" w:cs="Arial"/>
          <w:sz w:val="18"/>
          <w:szCs w:val="18"/>
        </w:rPr>
        <w:footnoteRef/>
      </w:r>
      <w:r w:rsidRPr="00955BE9">
        <w:rPr>
          <w:rFonts w:ascii="Bookman Old Style" w:hAnsi="Bookman Old Style" w:cs="Arial"/>
          <w:sz w:val="18"/>
          <w:szCs w:val="18"/>
        </w:rPr>
        <w:t xml:space="preserve"> La Circular 001 de 2004 conjunta entre la CREG y la Superintendencia de Servicios Públicos Domiciliarios en el aparte “instrucciones” establece lo siguiente:</w:t>
      </w:r>
    </w:p>
    <w:p w14:paraId="0378F9B9" w14:textId="77777777" w:rsidR="00104FE2" w:rsidRPr="00955BE9" w:rsidRDefault="00104FE2" w:rsidP="00DE5054">
      <w:pPr>
        <w:pStyle w:val="Textonotapie"/>
        <w:ind w:left="0" w:right="284"/>
        <w:jc w:val="both"/>
        <w:rPr>
          <w:rFonts w:ascii="Bookman Old Style" w:hAnsi="Bookman Old Style" w:cs="Arial"/>
          <w:sz w:val="18"/>
          <w:szCs w:val="18"/>
        </w:rPr>
      </w:pPr>
      <w:r w:rsidRPr="00955BE9">
        <w:rPr>
          <w:rFonts w:ascii="Bookman Old Style" w:hAnsi="Bookman Old Style" w:cs="Arial"/>
          <w:sz w:val="18"/>
          <w:szCs w:val="18"/>
        </w:rPr>
        <w:t>“1. Los transportadores, comercializadores mayoristas y distribuidores de la cadena del gas licuado de petróleo deben enviar la información de activos de acuerdo con los formatos establecidos en la presente circular.</w:t>
      </w:r>
    </w:p>
    <w:p w14:paraId="5310EA73" w14:textId="77777777" w:rsidR="00104FE2" w:rsidRPr="00955BE9" w:rsidRDefault="00104FE2" w:rsidP="00DE5054">
      <w:pPr>
        <w:pStyle w:val="Textonotapie"/>
        <w:ind w:left="0"/>
        <w:jc w:val="both"/>
        <w:rPr>
          <w:rFonts w:ascii="Bookman Old Style" w:hAnsi="Bookman Old Style" w:cs="Arial"/>
          <w:sz w:val="18"/>
          <w:szCs w:val="18"/>
        </w:rPr>
      </w:pPr>
      <w:r w:rsidRPr="00955BE9">
        <w:rPr>
          <w:rFonts w:ascii="Bookman Old Style" w:hAnsi="Bookman Old Style" w:cs="Arial"/>
          <w:sz w:val="18"/>
          <w:szCs w:val="18"/>
        </w:rPr>
        <w:t xml:space="preserve">2. Periodicidad del reporte de la información: La Información de los diferentes formatos se reportará anualmente. </w:t>
      </w:r>
    </w:p>
    <w:p w14:paraId="4AFF191D" w14:textId="77777777" w:rsidR="00104FE2" w:rsidRPr="00955BE9" w:rsidRDefault="00104FE2" w:rsidP="00DE5054">
      <w:pPr>
        <w:pStyle w:val="Textonotapie"/>
        <w:ind w:left="0"/>
        <w:jc w:val="both"/>
        <w:rPr>
          <w:rFonts w:ascii="Bookman Old Style" w:hAnsi="Bookman Old Style" w:cs="Arial"/>
          <w:sz w:val="18"/>
          <w:szCs w:val="18"/>
        </w:rPr>
      </w:pPr>
      <w:r w:rsidRPr="00955BE9">
        <w:rPr>
          <w:rFonts w:ascii="Bookman Old Style" w:hAnsi="Bookman Old Style" w:cs="Arial"/>
          <w:sz w:val="18"/>
          <w:szCs w:val="18"/>
        </w:rPr>
        <w:t xml:space="preserve">3. Plazos para el reporte: Los plazos para reportar los formatos serán los siguientes: </w:t>
      </w:r>
    </w:p>
    <w:p w14:paraId="3773577C" w14:textId="77777777" w:rsidR="00104FE2" w:rsidRPr="00955BE9" w:rsidRDefault="00104FE2" w:rsidP="00DE5054">
      <w:pPr>
        <w:pStyle w:val="Textonotapie"/>
        <w:ind w:left="0"/>
        <w:jc w:val="both"/>
        <w:rPr>
          <w:rFonts w:ascii="Bookman Old Style" w:hAnsi="Bookman Old Style" w:cs="Arial"/>
          <w:sz w:val="18"/>
          <w:szCs w:val="18"/>
        </w:rPr>
      </w:pPr>
      <w:r w:rsidRPr="00955BE9">
        <w:rPr>
          <w:rFonts w:ascii="Bookman Old Style" w:hAnsi="Bookman Old Style" w:cs="Arial"/>
          <w:sz w:val="18"/>
          <w:szCs w:val="18"/>
        </w:rPr>
        <w:t>a. Información del año 2003 se debe reportar a más tardar el 15 de septiembre de 2004.</w:t>
      </w:r>
    </w:p>
    <w:p w14:paraId="5EF003BD" w14:textId="77777777" w:rsidR="00104FE2" w:rsidRPr="00955BE9" w:rsidRDefault="00104FE2" w:rsidP="00DE5054">
      <w:pPr>
        <w:pStyle w:val="Textonotapie"/>
        <w:ind w:left="0"/>
        <w:jc w:val="both"/>
        <w:rPr>
          <w:rFonts w:ascii="Bookman Old Style" w:hAnsi="Bookman Old Style" w:cs="Arial"/>
          <w:sz w:val="18"/>
          <w:szCs w:val="18"/>
        </w:rPr>
      </w:pPr>
      <w:r w:rsidRPr="00955BE9">
        <w:rPr>
          <w:rFonts w:ascii="Bookman Old Style" w:hAnsi="Bookman Old Style" w:cs="Arial"/>
          <w:sz w:val="18"/>
          <w:szCs w:val="18"/>
        </w:rPr>
        <w:t>b. La información del 2004 en adelante se debe reportar a más tardar el 25 de enero del siguiente año.”</w:t>
      </w:r>
    </w:p>
    <w:p w14:paraId="38CC65BE" w14:textId="77777777" w:rsidR="00104FE2" w:rsidRPr="00955BE9" w:rsidRDefault="00104FE2" w:rsidP="00DE5054">
      <w:pPr>
        <w:pStyle w:val="Textonotapie"/>
        <w:rPr>
          <w:sz w:val="18"/>
          <w:szCs w:val="18"/>
        </w:rPr>
      </w:pPr>
    </w:p>
  </w:footnote>
  <w:footnote w:id="4">
    <w:p w14:paraId="1467FC13" w14:textId="77777777" w:rsidR="00104FE2" w:rsidRPr="00837ECA" w:rsidRDefault="00104FE2" w:rsidP="00DE5054">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5">
    <w:p w14:paraId="743E1467" w14:textId="7FBFE0AA" w:rsidR="00104FE2" w:rsidRPr="006A3D65" w:rsidRDefault="00104FE2" w:rsidP="00CA077E">
      <w:pPr>
        <w:pStyle w:val="Textonotapie"/>
        <w:ind w:left="0"/>
        <w:jc w:val="both"/>
        <w:rPr>
          <w:rFonts w:ascii="Bookman Old Style" w:hAnsi="Bookman Old Style"/>
          <w:sz w:val="18"/>
          <w:szCs w:val="18"/>
        </w:rPr>
      </w:pPr>
      <w:r w:rsidRPr="006A3D65">
        <w:rPr>
          <w:rStyle w:val="Refdenotaalpie"/>
          <w:rFonts w:ascii="Bookman Old Style" w:hAnsi="Bookman Old Style"/>
          <w:sz w:val="18"/>
          <w:szCs w:val="18"/>
        </w:rPr>
        <w:footnoteRef/>
      </w:r>
      <w:r w:rsidRPr="006A3D65">
        <w:rPr>
          <w:rFonts w:ascii="Bookman Old Style" w:hAnsi="Bookman Old Style"/>
          <w:sz w:val="18"/>
          <w:szCs w:val="18"/>
        </w:rPr>
        <w:t xml:space="preserve"> Radicado</w:t>
      </w:r>
      <w:r w:rsidR="00A31921" w:rsidRPr="006A3D65">
        <w:rPr>
          <w:rFonts w:ascii="Bookman Old Style" w:hAnsi="Bookman Old Style"/>
          <w:sz w:val="18"/>
          <w:szCs w:val="18"/>
        </w:rPr>
        <w:t>s</w:t>
      </w:r>
      <w:r w:rsidRPr="006A3D65">
        <w:rPr>
          <w:rFonts w:ascii="Bookman Old Style" w:hAnsi="Bookman Old Style"/>
          <w:sz w:val="18"/>
          <w:szCs w:val="18"/>
        </w:rPr>
        <w:t xml:space="preserve"> CREG </w:t>
      </w:r>
      <w:r w:rsidR="003A1BC3" w:rsidRPr="006A3D65">
        <w:rPr>
          <w:rFonts w:ascii="Bookman Old Style" w:hAnsi="Bookman Old Style"/>
          <w:sz w:val="18"/>
          <w:szCs w:val="18"/>
        </w:rPr>
        <w:t>E202201</w:t>
      </w:r>
      <w:r w:rsidR="00A31921" w:rsidRPr="006A3D65">
        <w:rPr>
          <w:rFonts w:ascii="Bookman Old Style" w:hAnsi="Bookman Old Style"/>
          <w:sz w:val="18"/>
          <w:szCs w:val="18"/>
        </w:rPr>
        <w:t>6045</w:t>
      </w:r>
      <w:r w:rsidR="00C37110" w:rsidRPr="006A3D65">
        <w:rPr>
          <w:rFonts w:ascii="Bookman Old Style" w:hAnsi="Bookman Old Style"/>
          <w:sz w:val="18"/>
          <w:szCs w:val="18"/>
        </w:rPr>
        <w:t xml:space="preserve"> y E2023</w:t>
      </w:r>
      <w:r w:rsidR="00472F5D" w:rsidRPr="006A3D65">
        <w:rPr>
          <w:rFonts w:ascii="Bookman Old Style" w:hAnsi="Bookman Old Style"/>
          <w:sz w:val="18"/>
          <w:szCs w:val="18"/>
        </w:rPr>
        <w:t>000912</w:t>
      </w:r>
      <w:r w:rsidRPr="006A3D65">
        <w:rPr>
          <w:rFonts w:ascii="Bookman Old Style" w:hAnsi="Bookman Old Styl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07BC" w14:textId="77777777" w:rsidR="00104FE2" w:rsidRDefault="00104FE2" w:rsidP="001F2B83">
    <w:pPr>
      <w:pStyle w:val="Ttulo1"/>
      <w:ind w:right="6"/>
      <w:jc w:val="left"/>
      <w:rPr>
        <w:rFonts w:ascii="Bookman Old Style" w:hAnsi="Bookman Old Style" w:cs="Arial"/>
        <w:b w:val="0"/>
        <w:sz w:val="22"/>
        <w:szCs w:val="22"/>
      </w:rPr>
    </w:pPr>
  </w:p>
  <w:p w14:paraId="2AAC7C75" w14:textId="446F72FD" w:rsidR="00104FE2" w:rsidRPr="00951F79" w:rsidRDefault="00104FE2" w:rsidP="001F2B83">
    <w:pPr>
      <w:pStyle w:val="Ttulo1"/>
      <w:ind w:left="0" w:right="6"/>
      <w:jc w:val="left"/>
      <w:rPr>
        <w:rFonts w:ascii="Bookman Old Style" w:hAnsi="Bookman Old Style" w:cs="Arial"/>
        <w:b w:val="0"/>
        <w:sz w:val="22"/>
        <w:szCs w:val="22"/>
      </w:rPr>
    </w:pPr>
    <w:r w:rsidRPr="00186B0F">
      <w:rPr>
        <w:rFonts w:ascii="Bookman Old Style" w:hAnsi="Bookman Old Style" w:cs="Arial"/>
        <w:b w:val="0"/>
        <w:sz w:val="22"/>
        <w:szCs w:val="22"/>
      </w:rPr>
      <w:t>RESOLUCIÓN No</w:t>
    </w:r>
    <w:r w:rsidRPr="00186B0F">
      <w:rPr>
        <w:rFonts w:ascii="Bookman Old Style" w:hAnsi="Bookman Old Style" w:cs="Arial"/>
        <w:bCs/>
        <w:szCs w:val="24"/>
        <w:u w:val="single"/>
      </w:rPr>
      <w:t>.</w:t>
    </w:r>
    <w:r w:rsidR="008177B9" w:rsidRPr="00186B0F">
      <w:rPr>
        <w:rFonts w:ascii="Bookman Old Style" w:hAnsi="Bookman Old Style" w:cs="Arial"/>
        <w:bCs/>
        <w:szCs w:val="24"/>
        <w:u w:val="single"/>
      </w:rPr>
      <w:t xml:space="preserve"> 503 00</w:t>
    </w:r>
    <w:r w:rsidR="00186B0F">
      <w:rPr>
        <w:rFonts w:ascii="Bookman Old Style" w:hAnsi="Bookman Old Style" w:cs="Arial"/>
        <w:bCs/>
        <w:szCs w:val="24"/>
        <w:u w:val="single"/>
      </w:rPr>
      <w:t>1</w:t>
    </w:r>
    <w:r w:rsidRPr="00186B0F">
      <w:rPr>
        <w:rFonts w:ascii="Bookman Old Style" w:hAnsi="Bookman Old Style" w:cs="Arial"/>
        <w:b w:val="0"/>
        <w:sz w:val="22"/>
        <w:szCs w:val="22"/>
      </w:rPr>
      <w:tab/>
      <w:t xml:space="preserve">DE </w:t>
    </w:r>
    <w:r w:rsidR="00186B0F">
      <w:rPr>
        <w:rFonts w:ascii="Bookman Old Style" w:hAnsi="Bookman Old Style" w:cs="Arial"/>
        <w:bCs/>
        <w:szCs w:val="24"/>
        <w:u w:val="single"/>
      </w:rPr>
      <w:t>31</w:t>
    </w:r>
    <w:r w:rsidR="006B1918" w:rsidRPr="00186B0F">
      <w:rPr>
        <w:rFonts w:ascii="Bookman Old Style" w:hAnsi="Bookman Old Style" w:cs="Arial"/>
        <w:bCs/>
        <w:szCs w:val="24"/>
        <w:u w:val="single"/>
      </w:rPr>
      <w:t xml:space="preserve"> </w:t>
    </w:r>
    <w:r w:rsidR="00570DB7" w:rsidRPr="00186B0F">
      <w:rPr>
        <w:rFonts w:ascii="Bookman Old Style" w:hAnsi="Bookman Old Style" w:cs="Arial"/>
        <w:bCs/>
        <w:szCs w:val="24"/>
        <w:u w:val="single"/>
      </w:rPr>
      <w:t>ENE</w:t>
    </w:r>
    <w:r w:rsidR="00367B97" w:rsidRPr="00186B0F">
      <w:rPr>
        <w:rFonts w:ascii="Bookman Old Style" w:hAnsi="Bookman Old Style" w:cs="Arial"/>
        <w:bCs/>
        <w:szCs w:val="24"/>
        <w:u w:val="single"/>
      </w:rPr>
      <w:t>. 202</w:t>
    </w:r>
    <w:r w:rsidR="00570DB7" w:rsidRPr="00186B0F">
      <w:rPr>
        <w:rFonts w:ascii="Bookman Old Style" w:hAnsi="Bookman Old Style" w:cs="Arial"/>
        <w:bCs/>
        <w:szCs w:val="24"/>
        <w:u w:val="single"/>
      </w:rPr>
      <w:t>3</w:t>
    </w:r>
    <w:r>
      <w:rPr>
        <w:rFonts w:ascii="Bookman Old Style" w:hAnsi="Bookman Old Style" w:cs="Arial"/>
        <w:b w:val="0"/>
        <w:sz w:val="22"/>
        <w:szCs w:val="22"/>
      </w:rPr>
      <w:tab/>
    </w:r>
    <w:r w:rsidR="00955BE9">
      <w:rPr>
        <w:rFonts w:ascii="Bookman Old Style" w:hAnsi="Bookman Old Style" w:cs="Arial"/>
        <w:b w:val="0"/>
        <w:sz w:val="22"/>
        <w:szCs w:val="22"/>
      </w:rPr>
      <w:tab/>
    </w:r>
    <w:r w:rsidR="00955BE9">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F6ADC">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EF6ADC" w:rsidRPr="00EF6ADC">
        <w:rPr>
          <w:rFonts w:ascii="Bookman Old Style" w:hAnsi="Bookman Old Style" w:cs="Arial"/>
          <w:b w:val="0"/>
          <w:noProof/>
          <w:sz w:val="22"/>
          <w:szCs w:val="22"/>
        </w:rPr>
        <w:t>15</w:t>
      </w:r>
    </w:fldSimple>
  </w:p>
  <w:p w14:paraId="362F6115" w14:textId="77777777" w:rsidR="00104FE2" w:rsidRDefault="00104FE2" w:rsidP="00955BE9">
    <w:pPr>
      <w:spacing w:after="0"/>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199B1580" wp14:editId="6D948AD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3A06C"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2AC2E88" w14:textId="77777777" w:rsidR="00104FE2" w:rsidRPr="00955BE9" w:rsidRDefault="00104FE2" w:rsidP="00955BE9">
    <w:pPr>
      <w:pBdr>
        <w:bottom w:val="single" w:sz="4" w:space="7" w:color="auto"/>
      </w:pBdr>
      <w:spacing w:after="0" w:line="240" w:lineRule="auto"/>
      <w:contextualSpacing/>
      <w:rPr>
        <w:rFonts w:ascii="Bookman Old Style" w:eastAsia="Times New Roman" w:hAnsi="Bookman Old Style" w:cs="Times New Roman"/>
        <w:lang w:val="es-ES" w:eastAsia="es-ES"/>
      </w:rPr>
    </w:pPr>
    <w:r w:rsidRPr="00955BE9">
      <w:rPr>
        <w:rFonts w:ascii="Bookman Old Style" w:eastAsia="Times New Roman" w:hAnsi="Bookman Old Style" w:cs="Times New Roman"/>
        <w:lang w:val="es-ES" w:eastAsia="es-ES"/>
      </w:rPr>
      <w:t xml:space="preserve">Por la cual se define la capacidad de compra a que hacen referencia los artículos 8 y 9 de la Resolución CREG 063 de 2016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E43B" w14:textId="77777777" w:rsidR="00104FE2" w:rsidRDefault="00104FE2"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25697A09" w14:textId="77777777" w:rsidR="00104FE2" w:rsidRDefault="00104FE2">
    <w:pPr>
      <w:pStyle w:val="Encabezado"/>
      <w:jc w:val="center"/>
      <w:rPr>
        <w:rFonts w:ascii="Arial" w:hAnsi="Arial" w:cs="Arial"/>
        <w:spacing w:val="20"/>
        <w:sz w:val="20"/>
      </w:rPr>
    </w:pPr>
  </w:p>
  <w:p w14:paraId="5A7B7380" w14:textId="77777777" w:rsidR="00104FE2" w:rsidRDefault="00104FE2"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69F54E9" wp14:editId="598963C2">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451A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1">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2">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3">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4">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5">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6">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7">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8">
      <w:start w:val="1"/>
      <w:numFmt w:val="decimal"/>
      <w:lvlText w:val="%1."/>
      <w:lvlJc w:val="left"/>
      <w:rPr>
        <w:rFonts w:ascii="Arial" w:hAnsi="Arial" w:cs="Arial"/>
        <w:b w:val="0"/>
        <w:bCs w:val="0"/>
        <w:i/>
        <w:iCs/>
        <w:smallCaps w:val="0"/>
        <w:strike w:val="0"/>
        <w:color w:val="000000"/>
        <w:spacing w:val="0"/>
        <w:w w:val="100"/>
        <w:position w:val="0"/>
        <w:sz w:val="12"/>
        <w:szCs w:val="12"/>
        <w:u w:val="none"/>
      </w:rPr>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bCs/>
        <w:i w:val="0"/>
        <w:iCs w:val="0"/>
        <w:smallCaps w:val="0"/>
        <w:strike w:val="0"/>
        <w:color w:val="000000"/>
        <w:spacing w:val="0"/>
        <w:w w:val="100"/>
        <w:position w:val="0"/>
        <w:sz w:val="17"/>
        <w:szCs w:val="17"/>
        <w:u w:val="none"/>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0C542E6E"/>
    <w:multiLevelType w:val="hybridMultilevel"/>
    <w:tmpl w:val="ECF878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41C18DE"/>
    <w:multiLevelType w:val="hybridMultilevel"/>
    <w:tmpl w:val="A89AC358"/>
    <w:lvl w:ilvl="0" w:tplc="48CAD73C">
      <w:start w:val="3"/>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9"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15DB260F"/>
    <w:multiLevelType w:val="hybridMultilevel"/>
    <w:tmpl w:val="9F70028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2" w15:restartNumberingAfterBreak="0">
    <w:nsid w:val="17AC4C07"/>
    <w:multiLevelType w:val="hybridMultilevel"/>
    <w:tmpl w:val="C4C0773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1F873B02"/>
    <w:multiLevelType w:val="hybridMultilevel"/>
    <w:tmpl w:val="0BC4CFE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2CC94E7F"/>
    <w:multiLevelType w:val="hybridMultilevel"/>
    <w:tmpl w:val="3320DF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2D0130EB"/>
    <w:multiLevelType w:val="hybridMultilevel"/>
    <w:tmpl w:val="EAAE971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019327C"/>
    <w:multiLevelType w:val="hybridMultilevel"/>
    <w:tmpl w:val="03F0717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8" w15:restartNumberingAfterBreak="0">
    <w:nsid w:val="601E24D4"/>
    <w:multiLevelType w:val="hybridMultilevel"/>
    <w:tmpl w:val="271222B6"/>
    <w:lvl w:ilvl="0" w:tplc="2C88C4CC">
      <w:start w:val="1"/>
      <w:numFmt w:val="decimal"/>
      <w:lvlText w:val=""/>
      <w:lvlJc w:val="left"/>
      <w:pPr>
        <w:ind w:left="720" w:hanging="360"/>
      </w:pPr>
      <w:rPr>
        <w:rFonts w:ascii="Bookman Old Style" w:hAnsi="Bookman Old Style" w:hint="default"/>
        <w:caps w:val="0"/>
        <w:strike w:val="0"/>
        <w:dstrike w:val="0"/>
        <w:vanish w:val="0"/>
        <w:color w:val="000000"/>
        <w:sz w:val="24"/>
        <w:vertAlign w:val="baseline"/>
      </w:rPr>
    </w:lvl>
    <w:lvl w:ilvl="1" w:tplc="240A0019">
      <w:numFmt w:val="decimal"/>
      <w:lvlText w:val=""/>
      <w:lvlJc w:val="left"/>
    </w:lvl>
    <w:lvl w:ilvl="2" w:tplc="240A001B">
      <w:numFmt w:val="decimal"/>
      <w:lvlText w:val="䡅⩈䬀H伀͊儀͊匀*⡙崀䩞䩡⡯瀀h猀ੈ琌H甀좗ÿ"/>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29" w15:restartNumberingAfterBreak="0">
    <w:nsid w:val="716B5659"/>
    <w:multiLevelType w:val="hybridMultilevel"/>
    <w:tmpl w:val="B78E656A"/>
    <w:lvl w:ilvl="0" w:tplc="240A0001">
      <w:numFmt w:val="decimal"/>
      <w:lvlText w:val=""/>
      <w:lvlJc w:val="left"/>
    </w:lvl>
    <w:lvl w:ilvl="1" w:tplc="240A0003">
      <w:numFmt w:val="decimal"/>
      <w:lvlText w:val=""/>
      <w:lvlJc w:val="left"/>
    </w:lvl>
    <w:lvl w:ilvl="2" w:tplc="240A0005">
      <w:numFmt w:val="decimal"/>
      <w:lvlText w:val=""/>
      <w:lvlJc w:val="left"/>
    </w:lvl>
    <w:lvl w:ilvl="3" w:tplc="240A0001">
      <w:numFmt w:val="decimal"/>
      <w:lvlText w:val=""/>
      <w:lvlJc w:val="left"/>
    </w:lvl>
    <w:lvl w:ilvl="4" w:tplc="240A0003">
      <w:numFmt w:val="decimal"/>
      <w:lvlText w:val=""/>
      <w:lvlJc w:val="left"/>
    </w:lvl>
    <w:lvl w:ilvl="5" w:tplc="240A0005">
      <w:numFmt w:val="decimal"/>
      <w:lvlText w:val=""/>
      <w:lvlJc w:val="left"/>
    </w:lvl>
    <w:lvl w:ilvl="6" w:tplc="240A0001">
      <w:numFmt w:val="decimal"/>
      <w:lvlText w:val=""/>
      <w:lvlJc w:val="left"/>
    </w:lvl>
    <w:lvl w:ilvl="7" w:tplc="240A0003">
      <w:numFmt w:val="decimal"/>
      <w:lvlText w:val=""/>
      <w:lvlJc w:val="left"/>
    </w:lvl>
    <w:lvl w:ilvl="8" w:tplc="240A0005">
      <w:numFmt w:val="decimal"/>
      <w:lvlText w:val=""/>
      <w:lvlJc w:val="left"/>
    </w:lvl>
  </w:abstractNum>
  <w:abstractNum w:abstractNumId="30" w15:restartNumberingAfterBreak="0">
    <w:nsid w:val="73432BD8"/>
    <w:multiLevelType w:val="hybridMultilevel"/>
    <w:tmpl w:val="1F3E190C"/>
    <w:lvl w:ilvl="0" w:tplc="68D4F308">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1" w15:restartNumberingAfterBreak="0">
    <w:nsid w:val="77636C3C"/>
    <w:multiLevelType w:val="hybridMultilevel"/>
    <w:tmpl w:val="0EFE93B6"/>
    <w:lvl w:ilvl="0" w:tplc="240A0001">
      <w:numFmt w:val="decimal"/>
      <w:lvlText w:val=""/>
      <w:lvlJc w:val="left"/>
    </w:lvl>
    <w:lvl w:ilvl="1" w:tplc="240A0003">
      <w:numFmt w:val="decimal"/>
      <w:lvlText w:val=""/>
      <w:lvlJc w:val="left"/>
    </w:lvl>
    <w:lvl w:ilvl="2" w:tplc="240A0005">
      <w:numFmt w:val="decimal"/>
      <w:lvlText w:val=""/>
      <w:lvlJc w:val="left"/>
    </w:lvl>
    <w:lvl w:ilvl="3" w:tplc="240A0001">
      <w:numFmt w:val="decimal"/>
      <w:lvlText w:val=""/>
      <w:lvlJc w:val="left"/>
    </w:lvl>
    <w:lvl w:ilvl="4" w:tplc="240A0003">
      <w:numFmt w:val="decimal"/>
      <w:lvlText w:val=""/>
      <w:lvlJc w:val="left"/>
    </w:lvl>
    <w:lvl w:ilvl="5" w:tplc="240A0005">
      <w:numFmt w:val="decimal"/>
      <w:lvlText w:val=""/>
      <w:lvlJc w:val="left"/>
    </w:lvl>
    <w:lvl w:ilvl="6" w:tplc="240A0001">
      <w:numFmt w:val="decimal"/>
      <w:lvlText w:val=""/>
      <w:lvlJc w:val="left"/>
    </w:lvl>
    <w:lvl w:ilvl="7" w:tplc="240A0003">
      <w:numFmt w:val="decimal"/>
      <w:lvlText w:val=""/>
      <w:lvlJc w:val="left"/>
    </w:lvl>
    <w:lvl w:ilvl="8" w:tplc="240A0005">
      <w:numFmt w:val="decimal"/>
      <w:lvlText w:val=""/>
      <w:lvlJc w:val="left"/>
    </w:lvl>
  </w:abstractNum>
  <w:num w:numId="1" w16cid:durableId="854614662">
    <w:abstractNumId w:val="4"/>
  </w:num>
  <w:num w:numId="2" w16cid:durableId="2042629495">
    <w:abstractNumId w:val="30"/>
  </w:num>
  <w:num w:numId="3" w16cid:durableId="1619798143">
    <w:abstractNumId w:val="21"/>
  </w:num>
  <w:num w:numId="4" w16cid:durableId="1185246219">
    <w:abstractNumId w:val="28"/>
  </w:num>
  <w:num w:numId="5" w16cid:durableId="784352202">
    <w:abstractNumId w:val="22"/>
  </w:num>
  <w:num w:numId="6" w16cid:durableId="1576551782">
    <w:abstractNumId w:val="14"/>
  </w:num>
  <w:num w:numId="7" w16cid:durableId="627781146">
    <w:abstractNumId w:val="24"/>
  </w:num>
  <w:num w:numId="8" w16cid:durableId="1950618780">
    <w:abstractNumId w:val="5"/>
  </w:num>
  <w:num w:numId="9" w16cid:durableId="2101026593">
    <w:abstractNumId w:val="15"/>
  </w:num>
  <w:num w:numId="10" w16cid:durableId="363022875">
    <w:abstractNumId w:val="11"/>
  </w:num>
  <w:num w:numId="11" w16cid:durableId="1849442856">
    <w:abstractNumId w:val="25"/>
  </w:num>
  <w:num w:numId="12" w16cid:durableId="2018995199">
    <w:abstractNumId w:val="23"/>
  </w:num>
  <w:num w:numId="13" w16cid:durableId="1227451577">
    <w:abstractNumId w:val="26"/>
  </w:num>
  <w:num w:numId="14" w16cid:durableId="384253565">
    <w:abstractNumId w:val="9"/>
  </w:num>
  <w:num w:numId="15" w16cid:durableId="1999268052">
    <w:abstractNumId w:val="27"/>
  </w:num>
  <w:num w:numId="16" w16cid:durableId="755903299">
    <w:abstractNumId w:val="19"/>
  </w:num>
  <w:num w:numId="17" w16cid:durableId="36592910">
    <w:abstractNumId w:val="7"/>
  </w:num>
  <w:num w:numId="18" w16cid:durableId="1127165987">
    <w:abstractNumId w:val="20"/>
  </w:num>
  <w:num w:numId="19" w16cid:durableId="2126188506">
    <w:abstractNumId w:val="6"/>
  </w:num>
  <w:num w:numId="20" w16cid:durableId="295330803">
    <w:abstractNumId w:val="0"/>
  </w:num>
  <w:num w:numId="21" w16cid:durableId="2117671052">
    <w:abstractNumId w:val="2"/>
  </w:num>
  <w:num w:numId="22" w16cid:durableId="851652250">
    <w:abstractNumId w:val="16"/>
  </w:num>
  <w:num w:numId="23" w16cid:durableId="1184783720">
    <w:abstractNumId w:val="10"/>
  </w:num>
  <w:num w:numId="24" w16cid:durableId="462819434">
    <w:abstractNumId w:val="29"/>
  </w:num>
  <w:num w:numId="25" w16cid:durableId="719018004">
    <w:abstractNumId w:val="8"/>
  </w:num>
  <w:num w:numId="26" w16cid:durableId="1265303992">
    <w:abstractNumId w:val="31"/>
  </w:num>
  <w:num w:numId="27" w16cid:durableId="462506388">
    <w:abstractNumId w:val="17"/>
  </w:num>
  <w:num w:numId="28" w16cid:durableId="1184587018">
    <w:abstractNumId w:val="12"/>
  </w:num>
  <w:num w:numId="29" w16cid:durableId="1827085731">
    <w:abstractNumId w:val="13"/>
  </w:num>
  <w:num w:numId="30" w16cid:durableId="120810867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2B6B"/>
    <w:rsid w:val="00002C5A"/>
    <w:rsid w:val="00004DA4"/>
    <w:rsid w:val="000068F0"/>
    <w:rsid w:val="0001493D"/>
    <w:rsid w:val="000153B4"/>
    <w:rsid w:val="00015B97"/>
    <w:rsid w:val="00020875"/>
    <w:rsid w:val="00021057"/>
    <w:rsid w:val="000243E3"/>
    <w:rsid w:val="0003079D"/>
    <w:rsid w:val="000323B9"/>
    <w:rsid w:val="0003418D"/>
    <w:rsid w:val="000372E9"/>
    <w:rsid w:val="00037534"/>
    <w:rsid w:val="00040AAC"/>
    <w:rsid w:val="00045E34"/>
    <w:rsid w:val="00046BCB"/>
    <w:rsid w:val="00051E42"/>
    <w:rsid w:val="00060C0E"/>
    <w:rsid w:val="00060D96"/>
    <w:rsid w:val="00062D47"/>
    <w:rsid w:val="00064CF9"/>
    <w:rsid w:val="000651C3"/>
    <w:rsid w:val="00074962"/>
    <w:rsid w:val="000768E2"/>
    <w:rsid w:val="000829D7"/>
    <w:rsid w:val="00083FD5"/>
    <w:rsid w:val="00085031"/>
    <w:rsid w:val="00086996"/>
    <w:rsid w:val="00092C28"/>
    <w:rsid w:val="00096487"/>
    <w:rsid w:val="0009664F"/>
    <w:rsid w:val="00097C85"/>
    <w:rsid w:val="000A44C4"/>
    <w:rsid w:val="000A4C0C"/>
    <w:rsid w:val="000B08E7"/>
    <w:rsid w:val="000B2CF1"/>
    <w:rsid w:val="000B716B"/>
    <w:rsid w:val="000C0F05"/>
    <w:rsid w:val="000C552D"/>
    <w:rsid w:val="000C7431"/>
    <w:rsid w:val="000D4D20"/>
    <w:rsid w:val="000D77B1"/>
    <w:rsid w:val="000D7889"/>
    <w:rsid w:val="000E43B1"/>
    <w:rsid w:val="000E7FC0"/>
    <w:rsid w:val="000F0772"/>
    <w:rsid w:val="000F619F"/>
    <w:rsid w:val="000F6971"/>
    <w:rsid w:val="001030F9"/>
    <w:rsid w:val="00104FE2"/>
    <w:rsid w:val="00105612"/>
    <w:rsid w:val="00106051"/>
    <w:rsid w:val="001079AA"/>
    <w:rsid w:val="00110447"/>
    <w:rsid w:val="00111FE7"/>
    <w:rsid w:val="00114C5A"/>
    <w:rsid w:val="001153C0"/>
    <w:rsid w:val="001164AC"/>
    <w:rsid w:val="001300BD"/>
    <w:rsid w:val="001303F4"/>
    <w:rsid w:val="00131DB0"/>
    <w:rsid w:val="00137FFB"/>
    <w:rsid w:val="0014070D"/>
    <w:rsid w:val="00141AE1"/>
    <w:rsid w:val="00141F37"/>
    <w:rsid w:val="0014217F"/>
    <w:rsid w:val="00142733"/>
    <w:rsid w:val="00143447"/>
    <w:rsid w:val="00147A36"/>
    <w:rsid w:val="001544B0"/>
    <w:rsid w:val="0016112F"/>
    <w:rsid w:val="00161159"/>
    <w:rsid w:val="00163B8A"/>
    <w:rsid w:val="00165B94"/>
    <w:rsid w:val="00167E49"/>
    <w:rsid w:val="001851C6"/>
    <w:rsid w:val="00185CE7"/>
    <w:rsid w:val="00186B0F"/>
    <w:rsid w:val="00187143"/>
    <w:rsid w:val="00193432"/>
    <w:rsid w:val="00193AF1"/>
    <w:rsid w:val="00195BDE"/>
    <w:rsid w:val="001976B3"/>
    <w:rsid w:val="001A1203"/>
    <w:rsid w:val="001A3285"/>
    <w:rsid w:val="001A4F57"/>
    <w:rsid w:val="001B0BF6"/>
    <w:rsid w:val="001B136F"/>
    <w:rsid w:val="001B1489"/>
    <w:rsid w:val="001B3AFB"/>
    <w:rsid w:val="001B4CCB"/>
    <w:rsid w:val="001B534B"/>
    <w:rsid w:val="001B6721"/>
    <w:rsid w:val="001B6987"/>
    <w:rsid w:val="001C0BE6"/>
    <w:rsid w:val="001C48CF"/>
    <w:rsid w:val="001C513B"/>
    <w:rsid w:val="001C566D"/>
    <w:rsid w:val="001C606A"/>
    <w:rsid w:val="001C6123"/>
    <w:rsid w:val="001D16DB"/>
    <w:rsid w:val="001D2917"/>
    <w:rsid w:val="001E04A9"/>
    <w:rsid w:val="001E531D"/>
    <w:rsid w:val="001E5EF3"/>
    <w:rsid w:val="001E653A"/>
    <w:rsid w:val="001E759E"/>
    <w:rsid w:val="001F1653"/>
    <w:rsid w:val="001F1817"/>
    <w:rsid w:val="001F2B83"/>
    <w:rsid w:val="001F5F3B"/>
    <w:rsid w:val="001F7269"/>
    <w:rsid w:val="00201D11"/>
    <w:rsid w:val="00203A12"/>
    <w:rsid w:val="00203F75"/>
    <w:rsid w:val="0020666C"/>
    <w:rsid w:val="00206D86"/>
    <w:rsid w:val="002071F1"/>
    <w:rsid w:val="002110C7"/>
    <w:rsid w:val="0021112A"/>
    <w:rsid w:val="00212A47"/>
    <w:rsid w:val="00214D23"/>
    <w:rsid w:val="002168B9"/>
    <w:rsid w:val="00226BDF"/>
    <w:rsid w:val="00227601"/>
    <w:rsid w:val="00231C14"/>
    <w:rsid w:val="0023226F"/>
    <w:rsid w:val="00234404"/>
    <w:rsid w:val="002360EA"/>
    <w:rsid w:val="00240FBB"/>
    <w:rsid w:val="0024167E"/>
    <w:rsid w:val="002425CC"/>
    <w:rsid w:val="00246B41"/>
    <w:rsid w:val="00246BDD"/>
    <w:rsid w:val="00246C07"/>
    <w:rsid w:val="00250C34"/>
    <w:rsid w:val="0025215B"/>
    <w:rsid w:val="0025381F"/>
    <w:rsid w:val="00253CDE"/>
    <w:rsid w:val="00255063"/>
    <w:rsid w:val="002562A8"/>
    <w:rsid w:val="00257891"/>
    <w:rsid w:val="00257E59"/>
    <w:rsid w:val="00263DCC"/>
    <w:rsid w:val="0026550E"/>
    <w:rsid w:val="00267AFB"/>
    <w:rsid w:val="00272D23"/>
    <w:rsid w:val="00274B86"/>
    <w:rsid w:val="00276075"/>
    <w:rsid w:val="00276F52"/>
    <w:rsid w:val="0028167D"/>
    <w:rsid w:val="00283212"/>
    <w:rsid w:val="00285716"/>
    <w:rsid w:val="00286B93"/>
    <w:rsid w:val="00290358"/>
    <w:rsid w:val="00297CDB"/>
    <w:rsid w:val="002A0822"/>
    <w:rsid w:val="002A1386"/>
    <w:rsid w:val="002A1654"/>
    <w:rsid w:val="002A3000"/>
    <w:rsid w:val="002A3B53"/>
    <w:rsid w:val="002A4422"/>
    <w:rsid w:val="002A4725"/>
    <w:rsid w:val="002A4E3A"/>
    <w:rsid w:val="002A4EB6"/>
    <w:rsid w:val="002B1779"/>
    <w:rsid w:val="002C2E32"/>
    <w:rsid w:val="002C2F59"/>
    <w:rsid w:val="002C30BD"/>
    <w:rsid w:val="002C38BA"/>
    <w:rsid w:val="002C480F"/>
    <w:rsid w:val="002C5A6B"/>
    <w:rsid w:val="002C6C5B"/>
    <w:rsid w:val="002C78B6"/>
    <w:rsid w:val="002D02A3"/>
    <w:rsid w:val="002D0502"/>
    <w:rsid w:val="002D1EEB"/>
    <w:rsid w:val="002D2D7B"/>
    <w:rsid w:val="002D4107"/>
    <w:rsid w:val="002D62B4"/>
    <w:rsid w:val="002E34D8"/>
    <w:rsid w:val="002E47EE"/>
    <w:rsid w:val="002E48FC"/>
    <w:rsid w:val="002E6306"/>
    <w:rsid w:val="002E7287"/>
    <w:rsid w:val="002E789E"/>
    <w:rsid w:val="002F3B44"/>
    <w:rsid w:val="002F68A3"/>
    <w:rsid w:val="002F6C3C"/>
    <w:rsid w:val="00302FF6"/>
    <w:rsid w:val="00306A3D"/>
    <w:rsid w:val="00307A54"/>
    <w:rsid w:val="003164D9"/>
    <w:rsid w:val="0032228A"/>
    <w:rsid w:val="00322645"/>
    <w:rsid w:val="00322EA1"/>
    <w:rsid w:val="0032482C"/>
    <w:rsid w:val="0032680A"/>
    <w:rsid w:val="00330B53"/>
    <w:rsid w:val="00331103"/>
    <w:rsid w:val="00331EE9"/>
    <w:rsid w:val="00331F35"/>
    <w:rsid w:val="0033303E"/>
    <w:rsid w:val="003333F9"/>
    <w:rsid w:val="00333CD9"/>
    <w:rsid w:val="003347B1"/>
    <w:rsid w:val="003360A2"/>
    <w:rsid w:val="0033749B"/>
    <w:rsid w:val="003401B5"/>
    <w:rsid w:val="0034595C"/>
    <w:rsid w:val="0034654A"/>
    <w:rsid w:val="00346950"/>
    <w:rsid w:val="00351047"/>
    <w:rsid w:val="00351A5E"/>
    <w:rsid w:val="00351CDC"/>
    <w:rsid w:val="00352F53"/>
    <w:rsid w:val="003535B0"/>
    <w:rsid w:val="00353D8E"/>
    <w:rsid w:val="00355BDC"/>
    <w:rsid w:val="00357B96"/>
    <w:rsid w:val="003613EA"/>
    <w:rsid w:val="0036200C"/>
    <w:rsid w:val="003622E8"/>
    <w:rsid w:val="00363119"/>
    <w:rsid w:val="003655CF"/>
    <w:rsid w:val="00367B97"/>
    <w:rsid w:val="00370A60"/>
    <w:rsid w:val="00384D68"/>
    <w:rsid w:val="003907AC"/>
    <w:rsid w:val="00390F33"/>
    <w:rsid w:val="00393342"/>
    <w:rsid w:val="0039378C"/>
    <w:rsid w:val="0039451D"/>
    <w:rsid w:val="00397A28"/>
    <w:rsid w:val="003A03D5"/>
    <w:rsid w:val="003A1BC3"/>
    <w:rsid w:val="003A4F6C"/>
    <w:rsid w:val="003A6F8E"/>
    <w:rsid w:val="003B50DF"/>
    <w:rsid w:val="003B5A05"/>
    <w:rsid w:val="003B6B35"/>
    <w:rsid w:val="003C1360"/>
    <w:rsid w:val="003C1F2D"/>
    <w:rsid w:val="003C5F25"/>
    <w:rsid w:val="003D1281"/>
    <w:rsid w:val="003D171F"/>
    <w:rsid w:val="003D24A4"/>
    <w:rsid w:val="003D33BD"/>
    <w:rsid w:val="003D3FB7"/>
    <w:rsid w:val="003D469B"/>
    <w:rsid w:val="003D54D2"/>
    <w:rsid w:val="003D682B"/>
    <w:rsid w:val="003D6EDB"/>
    <w:rsid w:val="003E02A8"/>
    <w:rsid w:val="003E669C"/>
    <w:rsid w:val="003F1045"/>
    <w:rsid w:val="003F4122"/>
    <w:rsid w:val="003F4DED"/>
    <w:rsid w:val="003F59E4"/>
    <w:rsid w:val="00400ABE"/>
    <w:rsid w:val="00403E9A"/>
    <w:rsid w:val="004126AB"/>
    <w:rsid w:val="00417D93"/>
    <w:rsid w:val="00422B50"/>
    <w:rsid w:val="004261B1"/>
    <w:rsid w:val="004276D1"/>
    <w:rsid w:val="00427A4C"/>
    <w:rsid w:val="00433D85"/>
    <w:rsid w:val="00441AE4"/>
    <w:rsid w:val="00444733"/>
    <w:rsid w:val="0044477D"/>
    <w:rsid w:val="00444EBA"/>
    <w:rsid w:val="00445CF1"/>
    <w:rsid w:val="0044687C"/>
    <w:rsid w:val="0044694B"/>
    <w:rsid w:val="00447FE8"/>
    <w:rsid w:val="00451FF9"/>
    <w:rsid w:val="004551F7"/>
    <w:rsid w:val="004562BF"/>
    <w:rsid w:val="00456685"/>
    <w:rsid w:val="004570FE"/>
    <w:rsid w:val="00460C00"/>
    <w:rsid w:val="00462224"/>
    <w:rsid w:val="00462BF6"/>
    <w:rsid w:val="00467145"/>
    <w:rsid w:val="0046738F"/>
    <w:rsid w:val="00470EB1"/>
    <w:rsid w:val="00472F5D"/>
    <w:rsid w:val="004732B0"/>
    <w:rsid w:val="00480CBC"/>
    <w:rsid w:val="00483542"/>
    <w:rsid w:val="004835E4"/>
    <w:rsid w:val="0048519D"/>
    <w:rsid w:val="00492941"/>
    <w:rsid w:val="00493D5D"/>
    <w:rsid w:val="00494BE4"/>
    <w:rsid w:val="004966B0"/>
    <w:rsid w:val="004A12C0"/>
    <w:rsid w:val="004A1394"/>
    <w:rsid w:val="004A1E6B"/>
    <w:rsid w:val="004A4B8D"/>
    <w:rsid w:val="004A5823"/>
    <w:rsid w:val="004A5FD3"/>
    <w:rsid w:val="004A677A"/>
    <w:rsid w:val="004A67EC"/>
    <w:rsid w:val="004A7835"/>
    <w:rsid w:val="004B2371"/>
    <w:rsid w:val="004B5708"/>
    <w:rsid w:val="004B65F7"/>
    <w:rsid w:val="004C07DA"/>
    <w:rsid w:val="004C116E"/>
    <w:rsid w:val="004C1ED6"/>
    <w:rsid w:val="004C299E"/>
    <w:rsid w:val="004C2BA9"/>
    <w:rsid w:val="004C3D3E"/>
    <w:rsid w:val="004C4681"/>
    <w:rsid w:val="004C4BDB"/>
    <w:rsid w:val="004C5347"/>
    <w:rsid w:val="004D5FBB"/>
    <w:rsid w:val="004E2EFE"/>
    <w:rsid w:val="004F1145"/>
    <w:rsid w:val="004F1149"/>
    <w:rsid w:val="004F21D4"/>
    <w:rsid w:val="004F6A7B"/>
    <w:rsid w:val="0050427D"/>
    <w:rsid w:val="00505CEA"/>
    <w:rsid w:val="00506375"/>
    <w:rsid w:val="00513B41"/>
    <w:rsid w:val="00516A8F"/>
    <w:rsid w:val="005237A7"/>
    <w:rsid w:val="005257F7"/>
    <w:rsid w:val="0052744C"/>
    <w:rsid w:val="00533AD5"/>
    <w:rsid w:val="00534DEE"/>
    <w:rsid w:val="005367F6"/>
    <w:rsid w:val="0053794E"/>
    <w:rsid w:val="0054084B"/>
    <w:rsid w:val="00540A54"/>
    <w:rsid w:val="00540EFB"/>
    <w:rsid w:val="00542A90"/>
    <w:rsid w:val="00547070"/>
    <w:rsid w:val="00547BA4"/>
    <w:rsid w:val="00551786"/>
    <w:rsid w:val="005519E9"/>
    <w:rsid w:val="00551CE8"/>
    <w:rsid w:val="00552721"/>
    <w:rsid w:val="005536EA"/>
    <w:rsid w:val="00553FF9"/>
    <w:rsid w:val="0055674D"/>
    <w:rsid w:val="00560437"/>
    <w:rsid w:val="005605C6"/>
    <w:rsid w:val="00560FC4"/>
    <w:rsid w:val="0056639C"/>
    <w:rsid w:val="00570DB7"/>
    <w:rsid w:val="00572628"/>
    <w:rsid w:val="00574461"/>
    <w:rsid w:val="00575874"/>
    <w:rsid w:val="005840A5"/>
    <w:rsid w:val="00586A6A"/>
    <w:rsid w:val="00590C88"/>
    <w:rsid w:val="0059208B"/>
    <w:rsid w:val="00594C7C"/>
    <w:rsid w:val="00595034"/>
    <w:rsid w:val="005966F4"/>
    <w:rsid w:val="005A0389"/>
    <w:rsid w:val="005A30A9"/>
    <w:rsid w:val="005B19A0"/>
    <w:rsid w:val="005B2338"/>
    <w:rsid w:val="005B2414"/>
    <w:rsid w:val="005B2A3B"/>
    <w:rsid w:val="005B7026"/>
    <w:rsid w:val="005C1BCA"/>
    <w:rsid w:val="005C420A"/>
    <w:rsid w:val="005D3475"/>
    <w:rsid w:val="005E3395"/>
    <w:rsid w:val="005E486C"/>
    <w:rsid w:val="005E6508"/>
    <w:rsid w:val="005F1C68"/>
    <w:rsid w:val="005F3F22"/>
    <w:rsid w:val="005F5EE8"/>
    <w:rsid w:val="005F67DE"/>
    <w:rsid w:val="0060008A"/>
    <w:rsid w:val="00606404"/>
    <w:rsid w:val="00611673"/>
    <w:rsid w:val="00612755"/>
    <w:rsid w:val="006139A9"/>
    <w:rsid w:val="00620524"/>
    <w:rsid w:val="00620723"/>
    <w:rsid w:val="006218ED"/>
    <w:rsid w:val="00626F74"/>
    <w:rsid w:val="006315FC"/>
    <w:rsid w:val="0063183C"/>
    <w:rsid w:val="006402B0"/>
    <w:rsid w:val="00641ABE"/>
    <w:rsid w:val="006441EA"/>
    <w:rsid w:val="00647EA0"/>
    <w:rsid w:val="006511B7"/>
    <w:rsid w:val="0065138A"/>
    <w:rsid w:val="0065201F"/>
    <w:rsid w:val="00653699"/>
    <w:rsid w:val="00654229"/>
    <w:rsid w:val="00655241"/>
    <w:rsid w:val="00656706"/>
    <w:rsid w:val="00660691"/>
    <w:rsid w:val="00662D78"/>
    <w:rsid w:val="0066446D"/>
    <w:rsid w:val="0066586F"/>
    <w:rsid w:val="0066684E"/>
    <w:rsid w:val="006673C7"/>
    <w:rsid w:val="006701F8"/>
    <w:rsid w:val="0067037C"/>
    <w:rsid w:val="0067176E"/>
    <w:rsid w:val="00671E24"/>
    <w:rsid w:val="0067283D"/>
    <w:rsid w:val="0067294D"/>
    <w:rsid w:val="00676BCC"/>
    <w:rsid w:val="00677ABF"/>
    <w:rsid w:val="006806D5"/>
    <w:rsid w:val="006813B3"/>
    <w:rsid w:val="006832BB"/>
    <w:rsid w:val="006836FC"/>
    <w:rsid w:val="006948D9"/>
    <w:rsid w:val="00696941"/>
    <w:rsid w:val="00697700"/>
    <w:rsid w:val="006A10CF"/>
    <w:rsid w:val="006A2FF0"/>
    <w:rsid w:val="006A3D65"/>
    <w:rsid w:val="006A5495"/>
    <w:rsid w:val="006B1918"/>
    <w:rsid w:val="006B2543"/>
    <w:rsid w:val="006B2B31"/>
    <w:rsid w:val="006B40E0"/>
    <w:rsid w:val="006B68C9"/>
    <w:rsid w:val="006B6D58"/>
    <w:rsid w:val="006C3E65"/>
    <w:rsid w:val="006D005B"/>
    <w:rsid w:val="006D0C2E"/>
    <w:rsid w:val="006D3896"/>
    <w:rsid w:val="006D6420"/>
    <w:rsid w:val="006E3CAF"/>
    <w:rsid w:val="006E4CFF"/>
    <w:rsid w:val="006E5817"/>
    <w:rsid w:val="006F4984"/>
    <w:rsid w:val="006F6F8A"/>
    <w:rsid w:val="00701265"/>
    <w:rsid w:val="00705DEB"/>
    <w:rsid w:val="00712AE7"/>
    <w:rsid w:val="007149CD"/>
    <w:rsid w:val="00716A6E"/>
    <w:rsid w:val="00720524"/>
    <w:rsid w:val="00721E94"/>
    <w:rsid w:val="00723A63"/>
    <w:rsid w:val="007254EE"/>
    <w:rsid w:val="007274C7"/>
    <w:rsid w:val="007275DD"/>
    <w:rsid w:val="00734D13"/>
    <w:rsid w:val="00735D6F"/>
    <w:rsid w:val="0073600E"/>
    <w:rsid w:val="007421D7"/>
    <w:rsid w:val="00742858"/>
    <w:rsid w:val="00744B35"/>
    <w:rsid w:val="00744D3A"/>
    <w:rsid w:val="007467BA"/>
    <w:rsid w:val="007511AC"/>
    <w:rsid w:val="00754A95"/>
    <w:rsid w:val="00754D45"/>
    <w:rsid w:val="00760851"/>
    <w:rsid w:val="0076627A"/>
    <w:rsid w:val="0077602E"/>
    <w:rsid w:val="00777A67"/>
    <w:rsid w:val="00777ED9"/>
    <w:rsid w:val="0078006D"/>
    <w:rsid w:val="00781C95"/>
    <w:rsid w:val="00784E27"/>
    <w:rsid w:val="00784E9F"/>
    <w:rsid w:val="00785DF8"/>
    <w:rsid w:val="00785E5C"/>
    <w:rsid w:val="007860F7"/>
    <w:rsid w:val="00786DDE"/>
    <w:rsid w:val="00787363"/>
    <w:rsid w:val="007917F3"/>
    <w:rsid w:val="00796E53"/>
    <w:rsid w:val="007A09C1"/>
    <w:rsid w:val="007A0E88"/>
    <w:rsid w:val="007A572A"/>
    <w:rsid w:val="007A5A7B"/>
    <w:rsid w:val="007B27DF"/>
    <w:rsid w:val="007B421F"/>
    <w:rsid w:val="007B77DB"/>
    <w:rsid w:val="007B79E1"/>
    <w:rsid w:val="007C2725"/>
    <w:rsid w:val="007C4BA1"/>
    <w:rsid w:val="007C612C"/>
    <w:rsid w:val="007D192B"/>
    <w:rsid w:val="007D2DBC"/>
    <w:rsid w:val="007D4A88"/>
    <w:rsid w:val="007D6E02"/>
    <w:rsid w:val="007E3B07"/>
    <w:rsid w:val="007E46A0"/>
    <w:rsid w:val="007E506C"/>
    <w:rsid w:val="007E52B3"/>
    <w:rsid w:val="007F25D6"/>
    <w:rsid w:val="007F2D3E"/>
    <w:rsid w:val="007F3B34"/>
    <w:rsid w:val="007F45BD"/>
    <w:rsid w:val="007F5281"/>
    <w:rsid w:val="007F66B9"/>
    <w:rsid w:val="007F6BB5"/>
    <w:rsid w:val="007F6CF0"/>
    <w:rsid w:val="007F73E8"/>
    <w:rsid w:val="007F775A"/>
    <w:rsid w:val="007F78C1"/>
    <w:rsid w:val="0080052E"/>
    <w:rsid w:val="00800BA4"/>
    <w:rsid w:val="00803299"/>
    <w:rsid w:val="0080473E"/>
    <w:rsid w:val="0080659F"/>
    <w:rsid w:val="00806C40"/>
    <w:rsid w:val="00812471"/>
    <w:rsid w:val="00815E19"/>
    <w:rsid w:val="008177B9"/>
    <w:rsid w:val="00820BB4"/>
    <w:rsid w:val="00820FB7"/>
    <w:rsid w:val="00822CB1"/>
    <w:rsid w:val="00825A29"/>
    <w:rsid w:val="008315F2"/>
    <w:rsid w:val="00832F3E"/>
    <w:rsid w:val="008347D1"/>
    <w:rsid w:val="00834EC7"/>
    <w:rsid w:val="00844DAC"/>
    <w:rsid w:val="00844EAB"/>
    <w:rsid w:val="00846CC8"/>
    <w:rsid w:val="0085159D"/>
    <w:rsid w:val="00856BFB"/>
    <w:rsid w:val="00862BAA"/>
    <w:rsid w:val="008639CD"/>
    <w:rsid w:val="008652A5"/>
    <w:rsid w:val="008734B9"/>
    <w:rsid w:val="0087487D"/>
    <w:rsid w:val="00875B0E"/>
    <w:rsid w:val="0087723A"/>
    <w:rsid w:val="0088038F"/>
    <w:rsid w:val="008823FC"/>
    <w:rsid w:val="00883003"/>
    <w:rsid w:val="00886B55"/>
    <w:rsid w:val="0088707C"/>
    <w:rsid w:val="00887675"/>
    <w:rsid w:val="00890EBF"/>
    <w:rsid w:val="00892686"/>
    <w:rsid w:val="00892917"/>
    <w:rsid w:val="008932C5"/>
    <w:rsid w:val="0089470C"/>
    <w:rsid w:val="00894B9C"/>
    <w:rsid w:val="0089512B"/>
    <w:rsid w:val="0089541C"/>
    <w:rsid w:val="00895740"/>
    <w:rsid w:val="008A1449"/>
    <w:rsid w:val="008A4929"/>
    <w:rsid w:val="008A5019"/>
    <w:rsid w:val="008A7E76"/>
    <w:rsid w:val="008A7FA4"/>
    <w:rsid w:val="008B566A"/>
    <w:rsid w:val="008C45BE"/>
    <w:rsid w:val="008C7C6D"/>
    <w:rsid w:val="008D0639"/>
    <w:rsid w:val="008D3260"/>
    <w:rsid w:val="008D3843"/>
    <w:rsid w:val="008D4F76"/>
    <w:rsid w:val="008E0BB6"/>
    <w:rsid w:val="008E46D8"/>
    <w:rsid w:val="008F0823"/>
    <w:rsid w:val="008F2026"/>
    <w:rsid w:val="008F263A"/>
    <w:rsid w:val="008F5C24"/>
    <w:rsid w:val="008F605F"/>
    <w:rsid w:val="00902DFA"/>
    <w:rsid w:val="009055F7"/>
    <w:rsid w:val="00906244"/>
    <w:rsid w:val="009104B9"/>
    <w:rsid w:val="00911D3E"/>
    <w:rsid w:val="009124F3"/>
    <w:rsid w:val="00913A5A"/>
    <w:rsid w:val="00914E1F"/>
    <w:rsid w:val="00914EA2"/>
    <w:rsid w:val="00915F1D"/>
    <w:rsid w:val="00916840"/>
    <w:rsid w:val="0092233F"/>
    <w:rsid w:val="00922F32"/>
    <w:rsid w:val="009236BC"/>
    <w:rsid w:val="00925398"/>
    <w:rsid w:val="00930891"/>
    <w:rsid w:val="00931C1C"/>
    <w:rsid w:val="00933C55"/>
    <w:rsid w:val="0093522B"/>
    <w:rsid w:val="009364D0"/>
    <w:rsid w:val="00941C0A"/>
    <w:rsid w:val="00942796"/>
    <w:rsid w:val="00943652"/>
    <w:rsid w:val="00944BA1"/>
    <w:rsid w:val="0095007D"/>
    <w:rsid w:val="00951941"/>
    <w:rsid w:val="00955641"/>
    <w:rsid w:val="00955BE9"/>
    <w:rsid w:val="009625E3"/>
    <w:rsid w:val="00962A90"/>
    <w:rsid w:val="009631A3"/>
    <w:rsid w:val="00963287"/>
    <w:rsid w:val="00965916"/>
    <w:rsid w:val="00970B35"/>
    <w:rsid w:val="0097340A"/>
    <w:rsid w:val="009746FD"/>
    <w:rsid w:val="00975653"/>
    <w:rsid w:val="009802B3"/>
    <w:rsid w:val="00980C52"/>
    <w:rsid w:val="00981490"/>
    <w:rsid w:val="00982569"/>
    <w:rsid w:val="00984495"/>
    <w:rsid w:val="00984B8E"/>
    <w:rsid w:val="00986363"/>
    <w:rsid w:val="009877A4"/>
    <w:rsid w:val="0099546F"/>
    <w:rsid w:val="009968A5"/>
    <w:rsid w:val="00996F0B"/>
    <w:rsid w:val="009A06E3"/>
    <w:rsid w:val="009A30C0"/>
    <w:rsid w:val="009A608B"/>
    <w:rsid w:val="009A682D"/>
    <w:rsid w:val="009A71D7"/>
    <w:rsid w:val="009B05E8"/>
    <w:rsid w:val="009B0634"/>
    <w:rsid w:val="009C001D"/>
    <w:rsid w:val="009C0053"/>
    <w:rsid w:val="009C2CC2"/>
    <w:rsid w:val="009C322E"/>
    <w:rsid w:val="009C34E0"/>
    <w:rsid w:val="009C38CA"/>
    <w:rsid w:val="009C3C86"/>
    <w:rsid w:val="009C5EF2"/>
    <w:rsid w:val="009C7403"/>
    <w:rsid w:val="009D405E"/>
    <w:rsid w:val="009D51E7"/>
    <w:rsid w:val="009D52B7"/>
    <w:rsid w:val="009D53E5"/>
    <w:rsid w:val="009D7D18"/>
    <w:rsid w:val="009E166A"/>
    <w:rsid w:val="009E2BA7"/>
    <w:rsid w:val="009E49FB"/>
    <w:rsid w:val="009F38AF"/>
    <w:rsid w:val="009F74BF"/>
    <w:rsid w:val="00A00450"/>
    <w:rsid w:val="00A05DB5"/>
    <w:rsid w:val="00A0756A"/>
    <w:rsid w:val="00A10349"/>
    <w:rsid w:val="00A10640"/>
    <w:rsid w:val="00A11155"/>
    <w:rsid w:val="00A120E7"/>
    <w:rsid w:val="00A14EA3"/>
    <w:rsid w:val="00A173A7"/>
    <w:rsid w:val="00A20A17"/>
    <w:rsid w:val="00A220CA"/>
    <w:rsid w:val="00A22DEB"/>
    <w:rsid w:val="00A30028"/>
    <w:rsid w:val="00A3106B"/>
    <w:rsid w:val="00A31921"/>
    <w:rsid w:val="00A34BD0"/>
    <w:rsid w:val="00A35B73"/>
    <w:rsid w:val="00A35D46"/>
    <w:rsid w:val="00A371B3"/>
    <w:rsid w:val="00A4201D"/>
    <w:rsid w:val="00A42417"/>
    <w:rsid w:val="00A43A6C"/>
    <w:rsid w:val="00A43A98"/>
    <w:rsid w:val="00A43C11"/>
    <w:rsid w:val="00A4487A"/>
    <w:rsid w:val="00A44FAD"/>
    <w:rsid w:val="00A455EE"/>
    <w:rsid w:val="00A464A9"/>
    <w:rsid w:val="00A47D41"/>
    <w:rsid w:val="00A55137"/>
    <w:rsid w:val="00A63769"/>
    <w:rsid w:val="00A6381B"/>
    <w:rsid w:val="00A66E25"/>
    <w:rsid w:val="00A705BC"/>
    <w:rsid w:val="00A74638"/>
    <w:rsid w:val="00A758A3"/>
    <w:rsid w:val="00A809E5"/>
    <w:rsid w:val="00A83E28"/>
    <w:rsid w:val="00A84D12"/>
    <w:rsid w:val="00A95F37"/>
    <w:rsid w:val="00AA0A67"/>
    <w:rsid w:val="00AB21AB"/>
    <w:rsid w:val="00AB2B82"/>
    <w:rsid w:val="00AB3CC8"/>
    <w:rsid w:val="00AB46AD"/>
    <w:rsid w:val="00AB5799"/>
    <w:rsid w:val="00AB65D3"/>
    <w:rsid w:val="00AC44B0"/>
    <w:rsid w:val="00AC7523"/>
    <w:rsid w:val="00AC7D9C"/>
    <w:rsid w:val="00AD168D"/>
    <w:rsid w:val="00AD5A58"/>
    <w:rsid w:val="00AE47AF"/>
    <w:rsid w:val="00AE4E4C"/>
    <w:rsid w:val="00AE5D16"/>
    <w:rsid w:val="00AE7741"/>
    <w:rsid w:val="00AF279C"/>
    <w:rsid w:val="00AF5BC5"/>
    <w:rsid w:val="00B02BD5"/>
    <w:rsid w:val="00B030E1"/>
    <w:rsid w:val="00B03225"/>
    <w:rsid w:val="00B03DAF"/>
    <w:rsid w:val="00B05EBF"/>
    <w:rsid w:val="00B05FD2"/>
    <w:rsid w:val="00B06153"/>
    <w:rsid w:val="00B06C55"/>
    <w:rsid w:val="00B17697"/>
    <w:rsid w:val="00B176BE"/>
    <w:rsid w:val="00B17A9E"/>
    <w:rsid w:val="00B17C45"/>
    <w:rsid w:val="00B24649"/>
    <w:rsid w:val="00B2528A"/>
    <w:rsid w:val="00B26B24"/>
    <w:rsid w:val="00B3048E"/>
    <w:rsid w:val="00B33E99"/>
    <w:rsid w:val="00B4091B"/>
    <w:rsid w:val="00B44DED"/>
    <w:rsid w:val="00B467DB"/>
    <w:rsid w:val="00B51951"/>
    <w:rsid w:val="00B53FFF"/>
    <w:rsid w:val="00B56135"/>
    <w:rsid w:val="00B5633D"/>
    <w:rsid w:val="00B57AF6"/>
    <w:rsid w:val="00B71E7D"/>
    <w:rsid w:val="00B7261A"/>
    <w:rsid w:val="00B77C99"/>
    <w:rsid w:val="00B80E29"/>
    <w:rsid w:val="00B8540F"/>
    <w:rsid w:val="00B87342"/>
    <w:rsid w:val="00B91B9E"/>
    <w:rsid w:val="00B96C9A"/>
    <w:rsid w:val="00BA0D7D"/>
    <w:rsid w:val="00BA25D6"/>
    <w:rsid w:val="00BA57DB"/>
    <w:rsid w:val="00BB1F60"/>
    <w:rsid w:val="00BC12CF"/>
    <w:rsid w:val="00BC35AA"/>
    <w:rsid w:val="00BC4A39"/>
    <w:rsid w:val="00BC69EC"/>
    <w:rsid w:val="00BC74BC"/>
    <w:rsid w:val="00BD034D"/>
    <w:rsid w:val="00BD7F15"/>
    <w:rsid w:val="00BE28C4"/>
    <w:rsid w:val="00BE4728"/>
    <w:rsid w:val="00BE5DEF"/>
    <w:rsid w:val="00BF471C"/>
    <w:rsid w:val="00BF4E06"/>
    <w:rsid w:val="00C001A1"/>
    <w:rsid w:val="00C046E4"/>
    <w:rsid w:val="00C139AB"/>
    <w:rsid w:val="00C149F3"/>
    <w:rsid w:val="00C220E6"/>
    <w:rsid w:val="00C25F3E"/>
    <w:rsid w:val="00C31FCA"/>
    <w:rsid w:val="00C3243A"/>
    <w:rsid w:val="00C339D6"/>
    <w:rsid w:val="00C345DC"/>
    <w:rsid w:val="00C352F7"/>
    <w:rsid w:val="00C36BCC"/>
    <w:rsid w:val="00C37110"/>
    <w:rsid w:val="00C53D56"/>
    <w:rsid w:val="00C54EB1"/>
    <w:rsid w:val="00C60EB5"/>
    <w:rsid w:val="00C632FF"/>
    <w:rsid w:val="00C647C0"/>
    <w:rsid w:val="00C705A5"/>
    <w:rsid w:val="00C7096A"/>
    <w:rsid w:val="00C724FC"/>
    <w:rsid w:val="00C81A69"/>
    <w:rsid w:val="00C832F6"/>
    <w:rsid w:val="00C8557A"/>
    <w:rsid w:val="00C8606A"/>
    <w:rsid w:val="00C863B5"/>
    <w:rsid w:val="00C87012"/>
    <w:rsid w:val="00C902ED"/>
    <w:rsid w:val="00C95CCA"/>
    <w:rsid w:val="00C96E4E"/>
    <w:rsid w:val="00CA077E"/>
    <w:rsid w:val="00CA2867"/>
    <w:rsid w:val="00CA3A80"/>
    <w:rsid w:val="00CA41E8"/>
    <w:rsid w:val="00CA4C24"/>
    <w:rsid w:val="00CA5889"/>
    <w:rsid w:val="00CB2FE9"/>
    <w:rsid w:val="00CB744C"/>
    <w:rsid w:val="00CC13B9"/>
    <w:rsid w:val="00CC2C25"/>
    <w:rsid w:val="00CC386D"/>
    <w:rsid w:val="00CC464F"/>
    <w:rsid w:val="00CC6934"/>
    <w:rsid w:val="00CC6E45"/>
    <w:rsid w:val="00CC740B"/>
    <w:rsid w:val="00CD16C1"/>
    <w:rsid w:val="00CD4638"/>
    <w:rsid w:val="00CD60B6"/>
    <w:rsid w:val="00CD6B2E"/>
    <w:rsid w:val="00CD6EF8"/>
    <w:rsid w:val="00CD74B5"/>
    <w:rsid w:val="00CE3430"/>
    <w:rsid w:val="00CE4E4B"/>
    <w:rsid w:val="00CE579F"/>
    <w:rsid w:val="00CE6D5D"/>
    <w:rsid w:val="00CE7A8E"/>
    <w:rsid w:val="00CF09B5"/>
    <w:rsid w:val="00CF4873"/>
    <w:rsid w:val="00CF5BA8"/>
    <w:rsid w:val="00D03C01"/>
    <w:rsid w:val="00D04CE6"/>
    <w:rsid w:val="00D069B6"/>
    <w:rsid w:val="00D07C49"/>
    <w:rsid w:val="00D11AEA"/>
    <w:rsid w:val="00D1484D"/>
    <w:rsid w:val="00D16AF9"/>
    <w:rsid w:val="00D21ABE"/>
    <w:rsid w:val="00D2305A"/>
    <w:rsid w:val="00D245B4"/>
    <w:rsid w:val="00D25BD2"/>
    <w:rsid w:val="00D316EC"/>
    <w:rsid w:val="00D3206A"/>
    <w:rsid w:val="00D34993"/>
    <w:rsid w:val="00D41337"/>
    <w:rsid w:val="00D47DFB"/>
    <w:rsid w:val="00D51504"/>
    <w:rsid w:val="00D51681"/>
    <w:rsid w:val="00D56596"/>
    <w:rsid w:val="00D56882"/>
    <w:rsid w:val="00D569AB"/>
    <w:rsid w:val="00D6091A"/>
    <w:rsid w:val="00D65730"/>
    <w:rsid w:val="00D65A88"/>
    <w:rsid w:val="00D67254"/>
    <w:rsid w:val="00D7068D"/>
    <w:rsid w:val="00D731BA"/>
    <w:rsid w:val="00D7371E"/>
    <w:rsid w:val="00D76C12"/>
    <w:rsid w:val="00D83D44"/>
    <w:rsid w:val="00D8458A"/>
    <w:rsid w:val="00D84F34"/>
    <w:rsid w:val="00D870C3"/>
    <w:rsid w:val="00D93FE3"/>
    <w:rsid w:val="00D942E4"/>
    <w:rsid w:val="00D96264"/>
    <w:rsid w:val="00DA08F9"/>
    <w:rsid w:val="00DB400F"/>
    <w:rsid w:val="00DB5E9D"/>
    <w:rsid w:val="00DC340F"/>
    <w:rsid w:val="00DC442C"/>
    <w:rsid w:val="00DC7728"/>
    <w:rsid w:val="00DD3558"/>
    <w:rsid w:val="00DD6096"/>
    <w:rsid w:val="00DD7677"/>
    <w:rsid w:val="00DE2C2D"/>
    <w:rsid w:val="00DE34B3"/>
    <w:rsid w:val="00DE3E91"/>
    <w:rsid w:val="00DE5054"/>
    <w:rsid w:val="00DE55C5"/>
    <w:rsid w:val="00DE577A"/>
    <w:rsid w:val="00DE5DBA"/>
    <w:rsid w:val="00DE6614"/>
    <w:rsid w:val="00DF083E"/>
    <w:rsid w:val="00DF2373"/>
    <w:rsid w:val="00DF37E9"/>
    <w:rsid w:val="00DF386F"/>
    <w:rsid w:val="00DF599B"/>
    <w:rsid w:val="00DF6D11"/>
    <w:rsid w:val="00E013E8"/>
    <w:rsid w:val="00E01C9C"/>
    <w:rsid w:val="00E035EC"/>
    <w:rsid w:val="00E054AF"/>
    <w:rsid w:val="00E12213"/>
    <w:rsid w:val="00E132CB"/>
    <w:rsid w:val="00E15254"/>
    <w:rsid w:val="00E16F57"/>
    <w:rsid w:val="00E17C4C"/>
    <w:rsid w:val="00E356F6"/>
    <w:rsid w:val="00E411EE"/>
    <w:rsid w:val="00E427D5"/>
    <w:rsid w:val="00E44174"/>
    <w:rsid w:val="00E51B4D"/>
    <w:rsid w:val="00E51B9C"/>
    <w:rsid w:val="00E535E3"/>
    <w:rsid w:val="00E676A3"/>
    <w:rsid w:val="00E7534E"/>
    <w:rsid w:val="00E75AF7"/>
    <w:rsid w:val="00E762FB"/>
    <w:rsid w:val="00E8516C"/>
    <w:rsid w:val="00E8770F"/>
    <w:rsid w:val="00E87C48"/>
    <w:rsid w:val="00E91A96"/>
    <w:rsid w:val="00E96997"/>
    <w:rsid w:val="00EA23A0"/>
    <w:rsid w:val="00EA2C68"/>
    <w:rsid w:val="00EA738B"/>
    <w:rsid w:val="00EA73EA"/>
    <w:rsid w:val="00EB023A"/>
    <w:rsid w:val="00EB14ED"/>
    <w:rsid w:val="00EB1577"/>
    <w:rsid w:val="00EB1716"/>
    <w:rsid w:val="00EB2D23"/>
    <w:rsid w:val="00EB559D"/>
    <w:rsid w:val="00EB7A6A"/>
    <w:rsid w:val="00EC1F44"/>
    <w:rsid w:val="00EC2D5A"/>
    <w:rsid w:val="00EC441A"/>
    <w:rsid w:val="00EC60DE"/>
    <w:rsid w:val="00EC705E"/>
    <w:rsid w:val="00ED7132"/>
    <w:rsid w:val="00EE5337"/>
    <w:rsid w:val="00EF15F4"/>
    <w:rsid w:val="00EF3105"/>
    <w:rsid w:val="00EF4A42"/>
    <w:rsid w:val="00EF4CA0"/>
    <w:rsid w:val="00EF5680"/>
    <w:rsid w:val="00EF6ADC"/>
    <w:rsid w:val="00EF7584"/>
    <w:rsid w:val="00F064F7"/>
    <w:rsid w:val="00F1179A"/>
    <w:rsid w:val="00F11960"/>
    <w:rsid w:val="00F11977"/>
    <w:rsid w:val="00F12E70"/>
    <w:rsid w:val="00F24422"/>
    <w:rsid w:val="00F24644"/>
    <w:rsid w:val="00F25290"/>
    <w:rsid w:val="00F25D68"/>
    <w:rsid w:val="00F26C0C"/>
    <w:rsid w:val="00F27035"/>
    <w:rsid w:val="00F30553"/>
    <w:rsid w:val="00F313E0"/>
    <w:rsid w:val="00F33A33"/>
    <w:rsid w:val="00F37166"/>
    <w:rsid w:val="00F401CD"/>
    <w:rsid w:val="00F402C1"/>
    <w:rsid w:val="00F424D1"/>
    <w:rsid w:val="00F4478E"/>
    <w:rsid w:val="00F46EA4"/>
    <w:rsid w:val="00F4716E"/>
    <w:rsid w:val="00F476AD"/>
    <w:rsid w:val="00F5275B"/>
    <w:rsid w:val="00F539A0"/>
    <w:rsid w:val="00F60C4E"/>
    <w:rsid w:val="00F60DDA"/>
    <w:rsid w:val="00F61668"/>
    <w:rsid w:val="00F61C3E"/>
    <w:rsid w:val="00F62750"/>
    <w:rsid w:val="00F62FAE"/>
    <w:rsid w:val="00F639B6"/>
    <w:rsid w:val="00F654EA"/>
    <w:rsid w:val="00F667BE"/>
    <w:rsid w:val="00F733EA"/>
    <w:rsid w:val="00F743B0"/>
    <w:rsid w:val="00F74DD6"/>
    <w:rsid w:val="00F80DAF"/>
    <w:rsid w:val="00F80EBD"/>
    <w:rsid w:val="00F81A37"/>
    <w:rsid w:val="00F822CC"/>
    <w:rsid w:val="00F868F0"/>
    <w:rsid w:val="00F90255"/>
    <w:rsid w:val="00F90F7B"/>
    <w:rsid w:val="00F913D4"/>
    <w:rsid w:val="00F914EB"/>
    <w:rsid w:val="00F93A45"/>
    <w:rsid w:val="00F95C57"/>
    <w:rsid w:val="00F96972"/>
    <w:rsid w:val="00FA2604"/>
    <w:rsid w:val="00FA5905"/>
    <w:rsid w:val="00FA61DE"/>
    <w:rsid w:val="00FA71BF"/>
    <w:rsid w:val="00FB2E5A"/>
    <w:rsid w:val="00FB4BC2"/>
    <w:rsid w:val="00FB588E"/>
    <w:rsid w:val="00FC08AD"/>
    <w:rsid w:val="00FC0FA7"/>
    <w:rsid w:val="00FC216C"/>
    <w:rsid w:val="00FC65B9"/>
    <w:rsid w:val="00FC74F8"/>
    <w:rsid w:val="00FD101E"/>
    <w:rsid w:val="00FD292F"/>
    <w:rsid w:val="00FD374B"/>
    <w:rsid w:val="00FD3EFE"/>
    <w:rsid w:val="00FD4273"/>
    <w:rsid w:val="00FD4F8B"/>
    <w:rsid w:val="00FD554B"/>
    <w:rsid w:val="00FD5948"/>
    <w:rsid w:val="00FD5E8E"/>
    <w:rsid w:val="00FD7FC1"/>
    <w:rsid w:val="00FE517B"/>
    <w:rsid w:val="00FF1C8F"/>
    <w:rsid w:val="00FF4049"/>
    <w:rsid w:val="00FF4180"/>
    <w:rsid w:val="00FF6563"/>
    <w:rsid w:val="00FF6A33"/>
    <w:rsid w:val="00FF7E63"/>
    <w:rsid w:val="03CE6AC1"/>
    <w:rsid w:val="03EDBAE9"/>
    <w:rsid w:val="04F18466"/>
    <w:rsid w:val="051496E9"/>
    <w:rsid w:val="06527ACF"/>
    <w:rsid w:val="07DEA3F0"/>
    <w:rsid w:val="0B8F298F"/>
    <w:rsid w:val="0C209F51"/>
    <w:rsid w:val="0C21CE41"/>
    <w:rsid w:val="0DFA7635"/>
    <w:rsid w:val="0ECDBABD"/>
    <w:rsid w:val="0F85D50D"/>
    <w:rsid w:val="101EA9CD"/>
    <w:rsid w:val="125CEF06"/>
    <w:rsid w:val="12F35CF6"/>
    <w:rsid w:val="13D45326"/>
    <w:rsid w:val="15FB6F85"/>
    <w:rsid w:val="168CE547"/>
    <w:rsid w:val="177690A0"/>
    <w:rsid w:val="178F208A"/>
    <w:rsid w:val="18D8B09C"/>
    <w:rsid w:val="19ADEE5D"/>
    <w:rsid w:val="1BE260AD"/>
    <w:rsid w:val="1DA36AEB"/>
    <w:rsid w:val="1DF9A69C"/>
    <w:rsid w:val="1E2C712D"/>
    <w:rsid w:val="1F384AE0"/>
    <w:rsid w:val="20957D46"/>
    <w:rsid w:val="21477078"/>
    <w:rsid w:val="27B5E8AE"/>
    <w:rsid w:val="2857A618"/>
    <w:rsid w:val="30FC4EC3"/>
    <w:rsid w:val="3265F6A3"/>
    <w:rsid w:val="32D7EB14"/>
    <w:rsid w:val="3434215B"/>
    <w:rsid w:val="346B9C19"/>
    <w:rsid w:val="34A6AC97"/>
    <w:rsid w:val="375EDD64"/>
    <w:rsid w:val="3811D6A0"/>
    <w:rsid w:val="382FB7ED"/>
    <w:rsid w:val="39DEFB4E"/>
    <w:rsid w:val="3A066A25"/>
    <w:rsid w:val="3B0D9D96"/>
    <w:rsid w:val="3B262D80"/>
    <w:rsid w:val="3C652644"/>
    <w:rsid w:val="3D2E30D6"/>
    <w:rsid w:val="3DD477DC"/>
    <w:rsid w:val="3EE4F8EC"/>
    <w:rsid w:val="3FF1C69B"/>
    <w:rsid w:val="42CD5E9D"/>
    <w:rsid w:val="43218890"/>
    <w:rsid w:val="43A3CB4E"/>
    <w:rsid w:val="4567CB4D"/>
    <w:rsid w:val="467C1ECF"/>
    <w:rsid w:val="46CE0EFA"/>
    <w:rsid w:val="479947DC"/>
    <w:rsid w:val="486E859D"/>
    <w:rsid w:val="4A7688F3"/>
    <w:rsid w:val="4D9859F3"/>
    <w:rsid w:val="4F71D684"/>
    <w:rsid w:val="50D26491"/>
    <w:rsid w:val="50EAF47B"/>
    <w:rsid w:val="551096B4"/>
    <w:rsid w:val="557F9C49"/>
    <w:rsid w:val="559E4DD0"/>
    <w:rsid w:val="55B80CAA"/>
    <w:rsid w:val="56BB76DD"/>
    <w:rsid w:val="56FF3EDC"/>
    <w:rsid w:val="57FBE977"/>
    <w:rsid w:val="59689249"/>
    <w:rsid w:val="5AAFC47B"/>
    <w:rsid w:val="5D311155"/>
    <w:rsid w:val="5E797277"/>
    <w:rsid w:val="60F2087D"/>
    <w:rsid w:val="62EDFB00"/>
    <w:rsid w:val="630064C7"/>
    <w:rsid w:val="64DA3BAB"/>
    <w:rsid w:val="66F4B265"/>
    <w:rsid w:val="66F5E155"/>
    <w:rsid w:val="683D1387"/>
    <w:rsid w:val="68CE8949"/>
    <w:rsid w:val="68CFB839"/>
    <w:rsid w:val="68FB9393"/>
    <w:rsid w:val="6CBCB0C4"/>
    <w:rsid w:val="6D9BA178"/>
    <w:rsid w:val="6F725033"/>
    <w:rsid w:val="7078B8AE"/>
    <w:rsid w:val="72C48403"/>
    <w:rsid w:val="72EE506C"/>
    <w:rsid w:val="7616E166"/>
    <w:rsid w:val="76181056"/>
    <w:rsid w:val="76573213"/>
    <w:rsid w:val="794DFFB7"/>
    <w:rsid w:val="7AE3F995"/>
    <w:rsid w:val="7C75940E"/>
    <w:rsid w:val="7D43673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59259"/>
  <w15:docId w15:val="{990C9E0B-7FFF-4997-84CE-D7E879AD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link w:val="Style18"/>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7">
    <w:name w:val="Char Style 27"/>
    <w:basedOn w:val="Fuentedeprrafopredeter"/>
    <w:link w:val="Style26"/>
    <w:uiPriority w:val="99"/>
    <w:rsid w:val="00346950"/>
    <w:rPr>
      <w:rFonts w:ascii="Arial" w:hAnsi="Arial" w:cs="Arial"/>
      <w:b/>
      <w:bCs/>
      <w:sz w:val="17"/>
      <w:szCs w:val="17"/>
      <w:shd w:val="clear" w:color="auto" w:fill="FFFFFF"/>
    </w:rPr>
  </w:style>
  <w:style w:type="character" w:customStyle="1" w:styleId="CharStyle42">
    <w:name w:val="Char Style 42"/>
    <w:basedOn w:val="CharStyle27"/>
    <w:uiPriority w:val="99"/>
    <w:rsid w:val="00346950"/>
    <w:rPr>
      <w:rFonts w:ascii="Arial" w:hAnsi="Arial" w:cs="Arial"/>
      <w:b w:val="0"/>
      <w:bCs w:val="0"/>
      <w:sz w:val="20"/>
      <w:szCs w:val="20"/>
      <w:shd w:val="clear" w:color="auto" w:fill="FFFFFF"/>
    </w:rPr>
  </w:style>
  <w:style w:type="paragraph" w:customStyle="1" w:styleId="Style26">
    <w:name w:val="Style 26"/>
    <w:basedOn w:val="Normal"/>
    <w:link w:val="CharStyle27"/>
    <w:uiPriority w:val="99"/>
    <w:rsid w:val="00346950"/>
    <w:pPr>
      <w:widowControl w:val="0"/>
      <w:shd w:val="clear" w:color="auto" w:fill="FFFFFF"/>
      <w:spacing w:after="120" w:line="240" w:lineRule="atLeast"/>
      <w:jc w:val="right"/>
    </w:pPr>
    <w:rPr>
      <w:rFonts w:ascii="Arial" w:hAnsi="Arial" w:cs="Arial"/>
      <w:b/>
      <w:bCs/>
      <w:sz w:val="17"/>
      <w:szCs w:val="17"/>
    </w:rPr>
  </w:style>
  <w:style w:type="character" w:customStyle="1" w:styleId="CharStyle14Exact">
    <w:name w:val="Char Style 14 Exact"/>
    <w:basedOn w:val="Fuentedeprrafopredeter"/>
    <w:uiPriority w:val="99"/>
    <w:rsid w:val="00346950"/>
    <w:rPr>
      <w:rFonts w:ascii="Arial" w:hAnsi="Arial" w:cs="Arial"/>
      <w:i/>
      <w:iCs/>
      <w:sz w:val="12"/>
      <w:szCs w:val="12"/>
      <w:u w:val="none"/>
    </w:rPr>
  </w:style>
  <w:style w:type="character" w:customStyle="1" w:styleId="CharStyle15Exact">
    <w:name w:val="Char Style 15 Exact"/>
    <w:basedOn w:val="CharStyle14Exact"/>
    <w:uiPriority w:val="99"/>
    <w:rsid w:val="00346950"/>
    <w:rPr>
      <w:rFonts w:ascii="Arial" w:hAnsi="Arial" w:cs="Arial"/>
      <w:i w:val="0"/>
      <w:iCs w:val="0"/>
      <w:sz w:val="12"/>
      <w:szCs w:val="12"/>
      <w:u w:val="none"/>
    </w:rPr>
  </w:style>
  <w:style w:type="character" w:customStyle="1" w:styleId="CharStyle17Exact">
    <w:name w:val="Char Style 17 Exact"/>
    <w:basedOn w:val="Fuentedeprrafopredeter"/>
    <w:uiPriority w:val="99"/>
    <w:rsid w:val="00346950"/>
    <w:rPr>
      <w:rFonts w:ascii="Arial" w:hAnsi="Arial" w:cs="Arial"/>
      <w:sz w:val="12"/>
      <w:szCs w:val="12"/>
      <w:u w:val="none"/>
    </w:rPr>
  </w:style>
  <w:style w:type="character" w:customStyle="1" w:styleId="CharStyle19Exact">
    <w:name w:val="Char Style 19 Exact"/>
    <w:basedOn w:val="Fuentedeprrafopredeter"/>
    <w:uiPriority w:val="99"/>
    <w:rsid w:val="00346950"/>
    <w:rPr>
      <w:rFonts w:ascii="Arial" w:hAnsi="Arial" w:cs="Arial"/>
      <w:sz w:val="15"/>
      <w:szCs w:val="15"/>
      <w:u w:val="none"/>
    </w:rPr>
  </w:style>
  <w:style w:type="character" w:customStyle="1" w:styleId="CharStyle45">
    <w:name w:val="Char Style 45"/>
    <w:basedOn w:val="Fuentedeprrafopredeter"/>
    <w:link w:val="Style44"/>
    <w:uiPriority w:val="99"/>
    <w:rsid w:val="00346950"/>
    <w:rPr>
      <w:rFonts w:ascii="Arial" w:hAnsi="Arial" w:cs="Arial"/>
      <w:sz w:val="13"/>
      <w:szCs w:val="13"/>
      <w:shd w:val="clear" w:color="auto" w:fill="FFFFFF"/>
    </w:rPr>
  </w:style>
  <w:style w:type="character" w:customStyle="1" w:styleId="CharStyle46">
    <w:name w:val="Char Style 46"/>
    <w:basedOn w:val="CharStyle45"/>
    <w:uiPriority w:val="99"/>
    <w:rsid w:val="00346950"/>
    <w:rPr>
      <w:rFonts w:ascii="Arial" w:hAnsi="Arial" w:cs="Arial"/>
      <w:sz w:val="13"/>
      <w:szCs w:val="13"/>
      <w:u w:val="single"/>
      <w:shd w:val="clear" w:color="auto" w:fill="FFFFFF"/>
    </w:rPr>
  </w:style>
  <w:style w:type="character" w:customStyle="1" w:styleId="CharStyle51">
    <w:name w:val="Char Style 51"/>
    <w:basedOn w:val="Fuentedeprrafopredeter"/>
    <w:link w:val="Style50"/>
    <w:uiPriority w:val="99"/>
    <w:rsid w:val="00346950"/>
    <w:rPr>
      <w:rFonts w:ascii="Arial" w:hAnsi="Arial" w:cs="Arial"/>
      <w:b/>
      <w:bCs/>
      <w:sz w:val="17"/>
      <w:szCs w:val="17"/>
      <w:shd w:val="clear" w:color="auto" w:fill="FFFFFF"/>
    </w:rPr>
  </w:style>
  <w:style w:type="paragraph" w:customStyle="1" w:styleId="Style16">
    <w:name w:val="Style 16"/>
    <w:basedOn w:val="Normal"/>
    <w:uiPriority w:val="99"/>
    <w:rsid w:val="00346950"/>
    <w:pPr>
      <w:widowControl w:val="0"/>
      <w:shd w:val="clear" w:color="auto" w:fill="FFFFFF"/>
      <w:spacing w:before="240" w:after="0" w:line="240" w:lineRule="atLeast"/>
      <w:jc w:val="both"/>
    </w:pPr>
    <w:rPr>
      <w:rFonts w:ascii="Arial" w:eastAsia="Times New Roman" w:hAnsi="Arial" w:cs="Arial"/>
      <w:sz w:val="13"/>
      <w:szCs w:val="13"/>
      <w:lang w:val="es-ES_tradnl" w:eastAsia="es-CO"/>
    </w:rPr>
  </w:style>
  <w:style w:type="paragraph" w:customStyle="1" w:styleId="Style18">
    <w:name w:val="Style 18"/>
    <w:basedOn w:val="Normal"/>
    <w:link w:val="CharStyle31"/>
    <w:uiPriority w:val="99"/>
    <w:rsid w:val="00346950"/>
    <w:pPr>
      <w:widowControl w:val="0"/>
      <w:shd w:val="clear" w:color="auto" w:fill="FFFFFF"/>
      <w:spacing w:before="120" w:after="0" w:line="240" w:lineRule="atLeast"/>
      <w:jc w:val="right"/>
    </w:pPr>
    <w:rPr>
      <w:rFonts w:ascii="Arial" w:hAnsi="Arial" w:cs="Arial"/>
      <w:sz w:val="19"/>
      <w:szCs w:val="19"/>
    </w:rPr>
  </w:style>
  <w:style w:type="paragraph" w:customStyle="1" w:styleId="Style44">
    <w:name w:val="Style 44"/>
    <w:basedOn w:val="Normal"/>
    <w:link w:val="CharStyle45"/>
    <w:uiPriority w:val="99"/>
    <w:rsid w:val="00346950"/>
    <w:pPr>
      <w:widowControl w:val="0"/>
      <w:shd w:val="clear" w:color="auto" w:fill="FFFFFF"/>
      <w:spacing w:after="0" w:line="202" w:lineRule="exact"/>
      <w:jc w:val="center"/>
    </w:pPr>
    <w:rPr>
      <w:rFonts w:ascii="Arial" w:hAnsi="Arial" w:cs="Arial"/>
      <w:sz w:val="13"/>
      <w:szCs w:val="13"/>
    </w:rPr>
  </w:style>
  <w:style w:type="paragraph" w:customStyle="1" w:styleId="Style50">
    <w:name w:val="Style 50"/>
    <w:basedOn w:val="Normal"/>
    <w:link w:val="CharStyle51"/>
    <w:uiPriority w:val="99"/>
    <w:rsid w:val="00346950"/>
    <w:pPr>
      <w:widowControl w:val="0"/>
      <w:shd w:val="clear" w:color="auto" w:fill="FFFFFF"/>
      <w:spacing w:after="0" w:line="240" w:lineRule="atLeast"/>
    </w:pPr>
    <w:rPr>
      <w:rFonts w:ascii="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00352962">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48486601">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2549843">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18855641">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0039676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24255459">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30829880">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875241496">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21147826">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49246168">
      <w:bodyDiv w:val="1"/>
      <w:marLeft w:val="0"/>
      <w:marRight w:val="0"/>
      <w:marTop w:val="0"/>
      <w:marBottom w:val="0"/>
      <w:divBdr>
        <w:top w:val="none" w:sz="0" w:space="0" w:color="auto"/>
        <w:left w:val="none" w:sz="0" w:space="0" w:color="auto"/>
        <w:bottom w:val="none" w:sz="0" w:space="0" w:color="auto"/>
        <w:right w:val="none" w:sz="0" w:space="0" w:color="auto"/>
      </w:divBdr>
    </w:div>
    <w:div w:id="1149908805">
      <w:bodyDiv w:val="1"/>
      <w:marLeft w:val="0"/>
      <w:marRight w:val="0"/>
      <w:marTop w:val="0"/>
      <w:marBottom w:val="0"/>
      <w:divBdr>
        <w:top w:val="none" w:sz="0" w:space="0" w:color="auto"/>
        <w:left w:val="none" w:sz="0" w:space="0" w:color="auto"/>
        <w:bottom w:val="none" w:sz="0" w:space="0" w:color="auto"/>
        <w:right w:val="none" w:sz="0" w:space="0" w:color="auto"/>
      </w:divBdr>
    </w:div>
    <w:div w:id="1186677780">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1751777">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09222638">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Diana Carolina Obando Anzola</DisplayName>
        <AccountId>13</AccountId>
        <AccountType/>
      </UserInfo>
      <UserInfo>
        <DisplayName>Monica Johanna Plaza Manrique</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7" ma:contentTypeDescription="Crear nuevo documento." ma:contentTypeScope="" ma:versionID="f8dc5168c55ebbc0fea2c70dfd9341ae">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5e15caf47c3a6f1194bc8c1fc7f0331e"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C1D6-268C-432B-B065-30DEC137E8A2}">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2C097A03-0FBB-448C-A531-BA091464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F5835-6E7C-4556-A911-33B59B6F0430}">
  <ds:schemaRefs>
    <ds:schemaRef ds:uri="http://schemas.microsoft.com/sharepoint/v3/contenttype/forms"/>
  </ds:schemaRefs>
</ds:datastoreItem>
</file>

<file path=customXml/itemProps4.xml><?xml version="1.0" encoding="utf-8"?>
<ds:datastoreItem xmlns:ds="http://schemas.openxmlformats.org/officeDocument/2006/customXml" ds:itemID="{25E037AC-2C02-4729-9565-EF820040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5124</Words>
  <Characters>28184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Diana Patino</cp:lastModifiedBy>
  <cp:revision>6</cp:revision>
  <cp:lastPrinted>2023-02-06T17:41:00Z</cp:lastPrinted>
  <dcterms:created xsi:type="dcterms:W3CDTF">2023-01-31T22:38:00Z</dcterms:created>
  <dcterms:modified xsi:type="dcterms:W3CDTF">2023-02-06T17:43:00Z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Order">
    <vt:r8>5078400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