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C10" w:rsidRPr="000058F4" w:rsidRDefault="00452F72" w:rsidP="00787C10">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97.15pt;margin-top:-53.35pt;width:52.5pt;height:48.75pt;z-index:251659264" fillcolor="#0c9">
            <v:imagedata r:id="rId9" o:title=""/>
          </v:shape>
          <o:OLEObject Type="Embed" ProgID="PBrush" ShapeID="_x0000_s1029" DrawAspect="Content" ObjectID="_1466493345" r:id="rId10"/>
        </w:pict>
      </w:r>
    </w:p>
    <w:p w:rsidR="00787C10" w:rsidRPr="000058F4" w:rsidRDefault="00787C10" w:rsidP="00787C10">
      <w:pPr>
        <w:pStyle w:val="Encabezado"/>
        <w:tabs>
          <w:tab w:val="clear" w:pos="8504"/>
          <w:tab w:val="left" w:pos="0"/>
          <w:tab w:val="right" w:pos="9356"/>
        </w:tabs>
        <w:ind w:left="0"/>
        <w:jc w:val="both"/>
        <w:rPr>
          <w:rFonts w:ascii="Bookman Old Style" w:hAnsi="Bookman Old Style"/>
          <w:szCs w:val="24"/>
        </w:rPr>
      </w:pPr>
    </w:p>
    <w:p w:rsidR="00787C10" w:rsidRPr="000058F4" w:rsidRDefault="00787C10" w:rsidP="00787C10">
      <w:pPr>
        <w:pStyle w:val="Ttulo4"/>
        <w:tabs>
          <w:tab w:val="left" w:pos="0"/>
          <w:tab w:val="right" w:pos="9356"/>
        </w:tabs>
        <w:ind w:left="0"/>
        <w:rPr>
          <w:rFonts w:ascii="Bookman Old Style" w:hAnsi="Bookman Old Style"/>
          <w:b w:val="0"/>
          <w:bCs/>
          <w:noProof/>
          <w:sz w:val="24"/>
          <w:szCs w:val="24"/>
          <w:lang w:val="es-ES"/>
        </w:rPr>
      </w:pPr>
      <w:r w:rsidRPr="000058F4">
        <w:rPr>
          <w:rFonts w:ascii="Bookman Old Style" w:hAnsi="Bookman Old Style"/>
          <w:b w:val="0"/>
          <w:bCs/>
          <w:sz w:val="24"/>
          <w:szCs w:val="24"/>
        </w:rPr>
        <w:t>Ministerio de Minas y Energía</w:t>
      </w:r>
    </w:p>
    <w:p w:rsidR="00787C10" w:rsidRPr="000058F4" w:rsidRDefault="00787C10" w:rsidP="00787C10">
      <w:pPr>
        <w:pStyle w:val="Ttulo4"/>
        <w:tabs>
          <w:tab w:val="left" w:pos="0"/>
          <w:tab w:val="right" w:pos="9356"/>
        </w:tabs>
        <w:ind w:left="0"/>
        <w:rPr>
          <w:rFonts w:ascii="Bookman Old Style" w:hAnsi="Bookman Old Style"/>
          <w:b w:val="0"/>
          <w:bCs/>
          <w:sz w:val="24"/>
          <w:szCs w:val="24"/>
        </w:rPr>
      </w:pPr>
    </w:p>
    <w:p w:rsidR="00787C10" w:rsidRPr="000058F4" w:rsidRDefault="00787C10" w:rsidP="00787C10">
      <w:pPr>
        <w:pStyle w:val="Ttulo3"/>
        <w:tabs>
          <w:tab w:val="left" w:pos="0"/>
          <w:tab w:val="right" w:pos="9356"/>
        </w:tabs>
        <w:ind w:left="0"/>
        <w:rPr>
          <w:rFonts w:ascii="Bookman Old Style" w:hAnsi="Bookman Old Style" w:cs="Arial"/>
          <w:spacing w:val="20"/>
          <w:szCs w:val="24"/>
        </w:rPr>
      </w:pPr>
      <w:r w:rsidRPr="000058F4">
        <w:rPr>
          <w:rFonts w:ascii="Bookman Old Style" w:hAnsi="Bookman Old Style" w:cs="Arial"/>
          <w:spacing w:val="20"/>
          <w:szCs w:val="24"/>
        </w:rPr>
        <w:t>COMISIÓN DE REGULACIÓN DE ENERGÍA Y GAS</w:t>
      </w:r>
    </w:p>
    <w:p w:rsidR="00787C10" w:rsidRPr="000058F4" w:rsidRDefault="00787C10" w:rsidP="00787C10">
      <w:pPr>
        <w:pStyle w:val="Ttulo5"/>
        <w:tabs>
          <w:tab w:val="left" w:pos="0"/>
          <w:tab w:val="right" w:pos="9356"/>
        </w:tabs>
        <w:ind w:left="0"/>
        <w:rPr>
          <w:rFonts w:ascii="Bookman Old Style" w:hAnsi="Bookman Old Style"/>
          <w:sz w:val="24"/>
          <w:szCs w:val="24"/>
        </w:rPr>
      </w:pPr>
    </w:p>
    <w:p w:rsidR="00787C10" w:rsidRPr="000058F4" w:rsidRDefault="00787C10" w:rsidP="00787C10">
      <w:pPr>
        <w:pStyle w:val="Ttulo5"/>
        <w:tabs>
          <w:tab w:val="left" w:pos="0"/>
          <w:tab w:val="right" w:pos="9356"/>
        </w:tabs>
        <w:ind w:left="0"/>
        <w:rPr>
          <w:rFonts w:ascii="Bookman Old Style" w:hAnsi="Bookman Old Style"/>
          <w:sz w:val="24"/>
          <w:szCs w:val="24"/>
        </w:rPr>
      </w:pPr>
    </w:p>
    <w:p w:rsidR="00787C10" w:rsidRPr="000058F4" w:rsidRDefault="00787C10" w:rsidP="00787C10">
      <w:pPr>
        <w:pStyle w:val="Ttulo5"/>
        <w:tabs>
          <w:tab w:val="left" w:pos="0"/>
          <w:tab w:val="right" w:pos="9356"/>
        </w:tabs>
        <w:ind w:left="0"/>
        <w:rPr>
          <w:rFonts w:ascii="Bookman Old Style" w:hAnsi="Bookman Old Style"/>
          <w:sz w:val="24"/>
          <w:szCs w:val="24"/>
        </w:rPr>
      </w:pPr>
      <w:r w:rsidRPr="000058F4">
        <w:rPr>
          <w:rFonts w:ascii="Bookman Old Style" w:hAnsi="Bookman Old Style"/>
          <w:sz w:val="24"/>
          <w:szCs w:val="24"/>
        </w:rPr>
        <w:t>RESOLUCIÓN No.                   DE 201</w:t>
      </w:r>
      <w:r>
        <w:rPr>
          <w:rFonts w:ascii="Bookman Old Style" w:hAnsi="Bookman Old Style"/>
          <w:sz w:val="24"/>
          <w:szCs w:val="24"/>
        </w:rPr>
        <w:t>4</w:t>
      </w:r>
    </w:p>
    <w:p w:rsidR="00787C10" w:rsidRPr="000058F4" w:rsidRDefault="00787C10" w:rsidP="00787C10">
      <w:pPr>
        <w:tabs>
          <w:tab w:val="left" w:pos="0"/>
          <w:tab w:val="right" w:pos="9356"/>
        </w:tabs>
        <w:ind w:left="0"/>
        <w:jc w:val="center"/>
        <w:rPr>
          <w:rFonts w:ascii="Bookman Old Style" w:hAnsi="Bookman Old Style" w:cs="Arial"/>
          <w:b/>
          <w:snapToGrid w:val="0"/>
          <w:color w:val="000000"/>
          <w:lang w:val="es-ES_tradnl"/>
        </w:rPr>
      </w:pPr>
    </w:p>
    <w:p w:rsidR="00787C10" w:rsidRPr="000058F4" w:rsidRDefault="00787C10" w:rsidP="00787C10">
      <w:pPr>
        <w:pStyle w:val="Ttulo3"/>
        <w:tabs>
          <w:tab w:val="left" w:pos="0"/>
          <w:tab w:val="right" w:pos="9356"/>
        </w:tabs>
        <w:ind w:left="0"/>
        <w:rPr>
          <w:rFonts w:ascii="Bookman Old Style" w:hAnsi="Bookman Old Style"/>
          <w:b w:val="0"/>
          <w:szCs w:val="24"/>
        </w:rPr>
      </w:pPr>
      <w:r w:rsidRPr="000058F4">
        <w:rPr>
          <w:rFonts w:ascii="Bookman Old Style" w:hAnsi="Bookman Old Style"/>
          <w:b w:val="0"/>
          <w:szCs w:val="24"/>
        </w:rPr>
        <w:t>(                                  )</w:t>
      </w:r>
    </w:p>
    <w:p w:rsidR="00787C10" w:rsidRPr="000058F4" w:rsidRDefault="00787C10" w:rsidP="00787C10">
      <w:pPr>
        <w:tabs>
          <w:tab w:val="left" w:pos="0"/>
          <w:tab w:val="right" w:pos="9356"/>
        </w:tabs>
        <w:ind w:left="0"/>
        <w:jc w:val="center"/>
        <w:rPr>
          <w:rFonts w:ascii="Bookman Old Style" w:hAnsi="Bookman Old Style"/>
          <w:lang w:val="es-ES_tradnl"/>
        </w:rPr>
      </w:pPr>
    </w:p>
    <w:p w:rsidR="00787C10" w:rsidRPr="000058F4" w:rsidRDefault="00787C10" w:rsidP="00787C10">
      <w:pPr>
        <w:ind w:left="0"/>
        <w:rPr>
          <w:rFonts w:ascii="Bookman Old Style" w:hAnsi="Bookman Old Style"/>
          <w:bCs/>
          <w:lang w:val="es-CO"/>
        </w:rPr>
      </w:pPr>
    </w:p>
    <w:p w:rsidR="00787C10" w:rsidRDefault="00787C10" w:rsidP="00787C10">
      <w:pPr>
        <w:ind w:left="0"/>
        <w:rPr>
          <w:rFonts w:ascii="Bookman Old Style" w:hAnsi="Bookman Old Style"/>
          <w:bCs/>
          <w:lang w:val="es-CO"/>
        </w:rPr>
      </w:pPr>
    </w:p>
    <w:p w:rsidR="00665BF2" w:rsidRPr="000058F4" w:rsidRDefault="00665BF2" w:rsidP="00787C10">
      <w:pPr>
        <w:ind w:left="0"/>
        <w:rPr>
          <w:rFonts w:ascii="Bookman Old Style" w:hAnsi="Bookman Old Style"/>
          <w:bCs/>
          <w:lang w:val="es-CO"/>
        </w:rPr>
      </w:pPr>
    </w:p>
    <w:p w:rsidR="00787C10" w:rsidRPr="000058F4" w:rsidRDefault="00787C10" w:rsidP="00787C10">
      <w:pPr>
        <w:pStyle w:val="Textodebloque"/>
        <w:ind w:left="0" w:right="51"/>
        <w:rPr>
          <w:rFonts w:ascii="Bookman Old Style" w:hAnsi="Bookman Old Style"/>
          <w:szCs w:val="24"/>
        </w:rPr>
      </w:pPr>
      <w:r w:rsidRPr="000058F4">
        <w:rPr>
          <w:rFonts w:ascii="Bookman Old Style" w:hAnsi="Bookman Old Style"/>
          <w:szCs w:val="24"/>
        </w:rPr>
        <w:t xml:space="preserve">Por la cual se </w:t>
      </w:r>
      <w:r>
        <w:rPr>
          <w:rFonts w:ascii="Bookman Old Style" w:hAnsi="Bookman Old Style"/>
          <w:szCs w:val="24"/>
        </w:rPr>
        <w:t>actualiza el</w:t>
      </w:r>
      <w:r w:rsidR="00617D4A">
        <w:rPr>
          <w:rFonts w:ascii="Bookman Old Style" w:hAnsi="Bookman Old Style"/>
          <w:szCs w:val="24"/>
        </w:rPr>
        <w:t xml:space="preserve"> Costo Anual por el uso de los A</w:t>
      </w:r>
      <w:r>
        <w:rPr>
          <w:rFonts w:ascii="Bookman Old Style" w:hAnsi="Bookman Old Style"/>
          <w:szCs w:val="24"/>
        </w:rPr>
        <w:t xml:space="preserve">ctivos de </w:t>
      </w:r>
      <w:r w:rsidR="00617D4A">
        <w:rPr>
          <w:rFonts w:ascii="Bookman Old Style" w:hAnsi="Bookman Old Style"/>
          <w:szCs w:val="24"/>
        </w:rPr>
        <w:t>N</w:t>
      </w:r>
      <w:r>
        <w:rPr>
          <w:rFonts w:ascii="Bookman Old Style" w:hAnsi="Bookman Old Style"/>
          <w:szCs w:val="24"/>
        </w:rPr>
        <w:t xml:space="preserve">ivel de </w:t>
      </w:r>
      <w:r w:rsidR="00617D4A">
        <w:rPr>
          <w:rFonts w:ascii="Bookman Old Style" w:hAnsi="Bookman Old Style"/>
          <w:szCs w:val="24"/>
        </w:rPr>
        <w:t>T</w:t>
      </w:r>
      <w:r>
        <w:rPr>
          <w:rFonts w:ascii="Bookman Old Style" w:hAnsi="Bookman Old Style"/>
          <w:szCs w:val="24"/>
        </w:rPr>
        <w:t xml:space="preserve">ensión 4 </w:t>
      </w:r>
      <w:r w:rsidR="00617D4A">
        <w:rPr>
          <w:rFonts w:ascii="Bookman Old Style" w:hAnsi="Bookman Old Style"/>
          <w:szCs w:val="24"/>
        </w:rPr>
        <w:t xml:space="preserve">operados por </w:t>
      </w:r>
      <w:r w:rsidR="00872C01">
        <w:rPr>
          <w:rFonts w:ascii="Bookman Old Style" w:hAnsi="Bookman Old Style"/>
          <w:szCs w:val="24"/>
        </w:rPr>
        <w:t>Centrales Eléctricas de Nariño</w:t>
      </w:r>
      <w:r>
        <w:rPr>
          <w:rFonts w:ascii="Bookman Old Style" w:hAnsi="Bookman Old Style"/>
          <w:szCs w:val="24"/>
        </w:rPr>
        <w:t xml:space="preserve"> </w:t>
      </w:r>
      <w:r w:rsidRPr="005F237E">
        <w:rPr>
          <w:rFonts w:ascii="Bookman Old Style" w:hAnsi="Bookman Old Style"/>
          <w:szCs w:val="24"/>
        </w:rPr>
        <w:t>S.A. E.S.P.</w:t>
      </w:r>
      <w:r>
        <w:rPr>
          <w:rFonts w:ascii="Bookman Old Style" w:hAnsi="Bookman Old Style"/>
          <w:szCs w:val="24"/>
        </w:rPr>
        <w:t xml:space="preserve">, </w:t>
      </w:r>
      <w:proofErr w:type="spellStart"/>
      <w:r>
        <w:rPr>
          <w:rFonts w:ascii="Bookman Old Style" w:hAnsi="Bookman Old Style"/>
          <w:szCs w:val="24"/>
        </w:rPr>
        <w:t>C</w:t>
      </w:r>
      <w:r w:rsidR="00872C01">
        <w:rPr>
          <w:rFonts w:ascii="Bookman Old Style" w:hAnsi="Bookman Old Style"/>
          <w:szCs w:val="24"/>
        </w:rPr>
        <w:t>edenar</w:t>
      </w:r>
      <w:proofErr w:type="spellEnd"/>
      <w:r w:rsidR="00617D4A">
        <w:rPr>
          <w:rFonts w:ascii="Bookman Old Style" w:hAnsi="Bookman Old Style"/>
          <w:szCs w:val="24"/>
        </w:rPr>
        <w:t>, en el Sistema de Transmisión Regional, STR.</w:t>
      </w:r>
    </w:p>
    <w:p w:rsidR="00787C10" w:rsidRPr="000058F4" w:rsidRDefault="00787C10" w:rsidP="00787C10">
      <w:pPr>
        <w:ind w:left="0" w:right="51"/>
        <w:rPr>
          <w:rFonts w:ascii="Bookman Old Style" w:hAnsi="Bookman Old Style"/>
        </w:rPr>
      </w:pPr>
    </w:p>
    <w:p w:rsidR="00787C10" w:rsidRPr="000058F4" w:rsidRDefault="00787C10" w:rsidP="00787C10">
      <w:pPr>
        <w:ind w:left="0" w:right="51"/>
        <w:rPr>
          <w:rFonts w:ascii="Bookman Old Style" w:hAnsi="Bookman Old Style"/>
        </w:rPr>
      </w:pPr>
    </w:p>
    <w:p w:rsidR="00787C10" w:rsidRPr="000058F4" w:rsidRDefault="00787C10" w:rsidP="00787C10">
      <w:pPr>
        <w:ind w:left="0" w:right="51"/>
        <w:jc w:val="center"/>
        <w:rPr>
          <w:rFonts w:ascii="Bookman Old Style" w:hAnsi="Bookman Old Style"/>
          <w:b/>
        </w:rPr>
      </w:pPr>
      <w:r w:rsidRPr="000058F4">
        <w:rPr>
          <w:rFonts w:ascii="Bookman Old Style" w:hAnsi="Bookman Old Style"/>
          <w:b/>
        </w:rPr>
        <w:t>LA COMISIÓN DE REGULACIÓN DE  ENERGÍA Y GAS</w:t>
      </w:r>
    </w:p>
    <w:p w:rsidR="00787C10" w:rsidRPr="000058F4" w:rsidRDefault="00787C10" w:rsidP="00787C10">
      <w:pPr>
        <w:ind w:left="0" w:right="51"/>
        <w:rPr>
          <w:rFonts w:ascii="Bookman Old Style" w:hAnsi="Bookman Old Style"/>
          <w:b/>
        </w:rPr>
      </w:pPr>
    </w:p>
    <w:p w:rsidR="00787C10" w:rsidRPr="000058F4" w:rsidRDefault="00787C10" w:rsidP="00787C10">
      <w:pPr>
        <w:ind w:left="0" w:right="51"/>
        <w:jc w:val="both"/>
        <w:rPr>
          <w:rFonts w:ascii="Bookman Old Style" w:hAnsi="Bookman Old Style"/>
        </w:rPr>
      </w:pPr>
    </w:p>
    <w:p w:rsidR="00787C10" w:rsidRPr="000058F4" w:rsidRDefault="00787C10" w:rsidP="00787C10">
      <w:pPr>
        <w:pStyle w:val="Textoindependiente3"/>
        <w:ind w:left="0"/>
        <w:jc w:val="both"/>
        <w:rPr>
          <w:rFonts w:ascii="Bookman Old Style" w:hAnsi="Bookman Old Style"/>
          <w:b w:val="0"/>
        </w:rPr>
      </w:pPr>
      <w:r w:rsidRPr="000058F4">
        <w:rPr>
          <w:rFonts w:ascii="Bookman Old Style" w:hAnsi="Bookman Old Style"/>
          <w:b w:val="0"/>
        </w:rPr>
        <w:t>En ejercicio de sus atribuciones constitucionales y legales, en especial las conferidas por las Leyes 142 y 143 de 1994, y en desarrollo de l</w:t>
      </w:r>
      <w:r>
        <w:rPr>
          <w:rFonts w:ascii="Bookman Old Style" w:hAnsi="Bookman Old Style"/>
          <w:b w:val="0"/>
        </w:rPr>
        <w:t>os Decretos 1524 y 2253 de 1994, y</w:t>
      </w:r>
    </w:p>
    <w:p w:rsidR="00787C10" w:rsidRPr="000058F4" w:rsidRDefault="00787C10" w:rsidP="00787C10">
      <w:pPr>
        <w:ind w:left="0" w:right="51"/>
        <w:rPr>
          <w:rFonts w:ascii="Bookman Old Style" w:hAnsi="Bookman Old Style"/>
        </w:rPr>
      </w:pPr>
    </w:p>
    <w:p w:rsidR="00787C10" w:rsidRPr="000058F4" w:rsidRDefault="00787C10" w:rsidP="00787C10">
      <w:pPr>
        <w:ind w:left="0" w:right="51"/>
        <w:rPr>
          <w:rFonts w:ascii="Bookman Old Style" w:hAnsi="Bookman Old Style"/>
        </w:rPr>
      </w:pPr>
    </w:p>
    <w:p w:rsidR="00787C10" w:rsidRPr="000058F4" w:rsidRDefault="00787C10" w:rsidP="00787C10">
      <w:pPr>
        <w:ind w:left="0" w:right="51"/>
        <w:jc w:val="center"/>
        <w:rPr>
          <w:rFonts w:ascii="Bookman Old Style" w:hAnsi="Bookman Old Style"/>
          <w:b/>
        </w:rPr>
      </w:pPr>
      <w:r w:rsidRPr="000058F4">
        <w:rPr>
          <w:rFonts w:ascii="Bookman Old Style" w:hAnsi="Bookman Old Style"/>
          <w:b/>
        </w:rPr>
        <w:t>C O N S I D E R A N D O</w:t>
      </w:r>
      <w:r>
        <w:rPr>
          <w:rFonts w:ascii="Bookman Old Style" w:hAnsi="Bookman Old Style"/>
          <w:b/>
        </w:rPr>
        <w:t xml:space="preserve">   Q U E</w:t>
      </w:r>
      <w:r w:rsidRPr="000058F4">
        <w:rPr>
          <w:rFonts w:ascii="Bookman Old Style" w:hAnsi="Bookman Old Style"/>
          <w:b/>
        </w:rPr>
        <w:t>:</w:t>
      </w:r>
    </w:p>
    <w:p w:rsidR="00787C10" w:rsidRPr="000058F4" w:rsidRDefault="00787C10" w:rsidP="00787C10">
      <w:pPr>
        <w:ind w:left="0" w:right="51"/>
        <w:jc w:val="center"/>
        <w:rPr>
          <w:rFonts w:ascii="Bookman Old Style" w:hAnsi="Bookman Old Style"/>
          <w:b/>
        </w:rPr>
      </w:pPr>
    </w:p>
    <w:p w:rsidR="00787C10" w:rsidRPr="000058F4" w:rsidRDefault="00787C10" w:rsidP="00787C10">
      <w:pPr>
        <w:ind w:left="0" w:right="51"/>
        <w:jc w:val="center"/>
        <w:rPr>
          <w:rFonts w:ascii="Bookman Old Style" w:hAnsi="Bookman Old Style"/>
          <w:b/>
        </w:rPr>
      </w:pPr>
    </w:p>
    <w:p w:rsidR="00787C10" w:rsidRPr="000058F4" w:rsidRDefault="00787C10" w:rsidP="00787C10">
      <w:pPr>
        <w:ind w:left="0"/>
        <w:jc w:val="both"/>
        <w:rPr>
          <w:rFonts w:ascii="Bookman Old Style" w:hAnsi="Bookman Old Style"/>
          <w:b/>
        </w:rPr>
      </w:pPr>
    </w:p>
    <w:p w:rsidR="00787C10" w:rsidRPr="000058F4" w:rsidRDefault="00787C10" w:rsidP="00787C10">
      <w:pPr>
        <w:ind w:left="0"/>
        <w:jc w:val="both"/>
        <w:rPr>
          <w:rFonts w:ascii="Bookman Old Style" w:hAnsi="Bookman Old Style"/>
        </w:rPr>
      </w:pPr>
      <w:r>
        <w:rPr>
          <w:rFonts w:ascii="Bookman Old Style" w:hAnsi="Bookman Old Style"/>
        </w:rPr>
        <w:t>D</w:t>
      </w:r>
      <w:r w:rsidRPr="000058F4">
        <w:rPr>
          <w:rFonts w:ascii="Bookman Old Style" w:hAnsi="Bookman Old Style"/>
        </w:rPr>
        <w:t xml:space="preserve">e acuerdo con lo previsto en </w:t>
      </w:r>
      <w:r>
        <w:rPr>
          <w:rFonts w:ascii="Bookman Old Style" w:hAnsi="Bookman Old Style"/>
        </w:rPr>
        <w:t>los a</w:t>
      </w:r>
      <w:r w:rsidRPr="000058F4">
        <w:rPr>
          <w:rFonts w:ascii="Bookman Old Style" w:hAnsi="Bookman Old Style"/>
        </w:rPr>
        <w:t>rtículo</w:t>
      </w:r>
      <w:r>
        <w:rPr>
          <w:rFonts w:ascii="Bookman Old Style" w:hAnsi="Bookman Old Style"/>
        </w:rPr>
        <w:t>s</w:t>
      </w:r>
      <w:r w:rsidRPr="000058F4">
        <w:rPr>
          <w:rFonts w:ascii="Bookman Old Style" w:hAnsi="Bookman Old Style"/>
        </w:rPr>
        <w:t xml:space="preserve"> 23, literal d), y 41 de la Ley 143 de 1994, es función de la Comisión de Regulación de Energía y Gas fijar las tarifas por el acces</w:t>
      </w:r>
      <w:r>
        <w:rPr>
          <w:rFonts w:ascii="Bookman Old Style" w:hAnsi="Bookman Old Style"/>
        </w:rPr>
        <w:t>o y uso de las redes eléctricas.</w:t>
      </w:r>
    </w:p>
    <w:p w:rsidR="00787C10" w:rsidRPr="000058F4" w:rsidRDefault="00787C10" w:rsidP="00787C10">
      <w:pPr>
        <w:ind w:left="0"/>
        <w:jc w:val="both"/>
        <w:rPr>
          <w:rFonts w:ascii="Bookman Old Style" w:hAnsi="Bookman Old Style"/>
        </w:rPr>
      </w:pPr>
    </w:p>
    <w:p w:rsidR="00787C10" w:rsidRPr="00F254A8" w:rsidRDefault="00787C10" w:rsidP="00787C10">
      <w:pPr>
        <w:ind w:left="0"/>
        <w:jc w:val="both"/>
        <w:rPr>
          <w:rFonts w:ascii="Bookman Old Style" w:hAnsi="Bookman Old Style"/>
        </w:rPr>
      </w:pPr>
      <w:r>
        <w:rPr>
          <w:rFonts w:ascii="Bookman Old Style" w:hAnsi="Bookman Old Style"/>
        </w:rPr>
        <w:t>M</w:t>
      </w:r>
      <w:r w:rsidRPr="00F254A8">
        <w:rPr>
          <w:rFonts w:ascii="Bookman Old Style" w:hAnsi="Bookman Old Style"/>
        </w:rPr>
        <w:t>ediante la Resolución CREG 097 de 2008</w:t>
      </w:r>
      <w:r>
        <w:rPr>
          <w:rFonts w:ascii="Bookman Old Style" w:hAnsi="Bookman Old Style"/>
        </w:rPr>
        <w:t>,</w:t>
      </w:r>
      <w:r w:rsidRPr="00F254A8">
        <w:rPr>
          <w:rFonts w:ascii="Bookman Old Style" w:hAnsi="Bookman Old Style"/>
        </w:rPr>
        <w:t xml:space="preserve"> modificada por las Resoluciones CREG 133, 135 y 166 de 2008, la Comisión aprobó los principios generales y la metodología para el establecimiento de los Cargos por Uso de los Sistemas de Transmisión Regional (STR) y de Distribución Local (SDL)</w:t>
      </w:r>
      <w:r>
        <w:rPr>
          <w:rFonts w:ascii="Bookman Old Style" w:hAnsi="Bookman Old Style"/>
        </w:rPr>
        <w:t>.</w:t>
      </w:r>
    </w:p>
    <w:p w:rsidR="00787C10" w:rsidRPr="00F254A8" w:rsidRDefault="00787C10" w:rsidP="00787C10">
      <w:pPr>
        <w:ind w:left="0"/>
        <w:jc w:val="both"/>
        <w:rPr>
          <w:rFonts w:ascii="Bookman Old Style" w:hAnsi="Bookman Old Style"/>
        </w:rPr>
      </w:pPr>
    </w:p>
    <w:p w:rsidR="00787C10" w:rsidRPr="00F254A8" w:rsidRDefault="00787C10" w:rsidP="00787C10">
      <w:pPr>
        <w:ind w:left="0"/>
        <w:jc w:val="both"/>
        <w:rPr>
          <w:rFonts w:ascii="Bookman Old Style" w:hAnsi="Bookman Old Style"/>
        </w:rPr>
      </w:pPr>
      <w:r>
        <w:rPr>
          <w:rFonts w:ascii="Bookman Old Style" w:hAnsi="Bookman Old Style"/>
        </w:rPr>
        <w:t xml:space="preserve">Con </w:t>
      </w:r>
      <w:r w:rsidRPr="00F254A8">
        <w:rPr>
          <w:rFonts w:ascii="Bookman Old Style" w:hAnsi="Bookman Old Style"/>
        </w:rPr>
        <w:t>la</w:t>
      </w:r>
      <w:r>
        <w:rPr>
          <w:rFonts w:ascii="Bookman Old Style" w:hAnsi="Bookman Old Style"/>
        </w:rPr>
        <w:t xml:space="preserve"> </w:t>
      </w:r>
      <w:r w:rsidR="00872C01">
        <w:rPr>
          <w:rFonts w:ascii="Bookman Old Style" w:hAnsi="Bookman Old Style"/>
        </w:rPr>
        <w:t>Resolución CREG 019 de 2010</w:t>
      </w:r>
      <w:r w:rsidR="00003ADE">
        <w:rPr>
          <w:rFonts w:ascii="Bookman Old Style" w:hAnsi="Bookman Old Style"/>
        </w:rPr>
        <w:t xml:space="preserve">, la comisión </w:t>
      </w:r>
      <w:r w:rsidRPr="00F254A8">
        <w:rPr>
          <w:rFonts w:ascii="Bookman Old Style" w:hAnsi="Bookman Old Style"/>
        </w:rPr>
        <w:t>aprobó el Costo Anual por el uso de los Activos del Nivel de Tensión 4 y los Cargos Máximos de los Niveles de Tensión 3, 2 y 1 de los activos operad</w:t>
      </w:r>
      <w:r>
        <w:rPr>
          <w:rFonts w:ascii="Bookman Old Style" w:hAnsi="Bookman Old Style"/>
        </w:rPr>
        <w:t xml:space="preserve">os por </w:t>
      </w:r>
      <w:r w:rsidR="00872C01">
        <w:rPr>
          <w:rFonts w:ascii="Bookman Old Style" w:hAnsi="Bookman Old Style"/>
          <w:bCs/>
        </w:rPr>
        <w:t>Centrales Eléctricas de Nariño S.A. E.S.P.</w:t>
      </w:r>
      <w:r w:rsidRPr="00F254A8">
        <w:rPr>
          <w:rFonts w:ascii="Bookman Old Style" w:hAnsi="Bookman Old Style"/>
        </w:rPr>
        <w:t xml:space="preserve"> en el Sistema de Transmisión Regional (STR) y en el Sistema de Distribución Local (SDL)</w:t>
      </w:r>
      <w:r>
        <w:rPr>
          <w:rFonts w:ascii="Bookman Old Style" w:hAnsi="Bookman Old Style"/>
        </w:rPr>
        <w:t>.</w:t>
      </w:r>
    </w:p>
    <w:p w:rsidR="00787C10" w:rsidRPr="000058F4" w:rsidRDefault="00787C10" w:rsidP="00787C10">
      <w:pPr>
        <w:ind w:left="0"/>
        <w:jc w:val="both"/>
        <w:rPr>
          <w:rFonts w:ascii="Bookman Old Style" w:hAnsi="Bookman Old Style"/>
        </w:rPr>
      </w:pPr>
    </w:p>
    <w:p w:rsidR="00787C10" w:rsidRDefault="00787C10" w:rsidP="00787C10">
      <w:pPr>
        <w:ind w:left="0"/>
        <w:jc w:val="both"/>
        <w:rPr>
          <w:rFonts w:ascii="Bookman Old Style" w:hAnsi="Bookman Old Style"/>
        </w:rPr>
      </w:pPr>
      <w:r>
        <w:rPr>
          <w:rFonts w:ascii="Bookman Old Style" w:hAnsi="Bookman Old Style"/>
        </w:rPr>
        <w:t>De conformidad con el artículo 9 de la Resolución CREG 097 de 2008, cuando entren en operación nuevos activos se actualizarán los cargos por uso de los OR, siempre que se cumplan las condiciones establecidas en el capítulo 4 del anexo general de esa resolución.</w:t>
      </w:r>
    </w:p>
    <w:p w:rsidR="00787C10" w:rsidRDefault="00787C10" w:rsidP="00787C10">
      <w:pPr>
        <w:ind w:left="0"/>
        <w:jc w:val="both"/>
        <w:rPr>
          <w:rFonts w:ascii="Bookman Old Style" w:hAnsi="Bookman Old Style"/>
        </w:rPr>
      </w:pPr>
    </w:p>
    <w:p w:rsidR="00617D4A" w:rsidRDefault="00617D4A" w:rsidP="00787C10">
      <w:pPr>
        <w:ind w:left="0"/>
        <w:jc w:val="both"/>
        <w:rPr>
          <w:rFonts w:ascii="Bookman Old Style" w:hAnsi="Bookman Old Style"/>
        </w:rPr>
      </w:pPr>
    </w:p>
    <w:p w:rsidR="00787C10" w:rsidRDefault="00787C10" w:rsidP="00787C10">
      <w:pPr>
        <w:ind w:left="0"/>
        <w:jc w:val="both"/>
        <w:rPr>
          <w:rFonts w:ascii="Bookman Old Style" w:hAnsi="Bookman Old Style"/>
        </w:rPr>
      </w:pPr>
      <w:r>
        <w:rPr>
          <w:rFonts w:ascii="Bookman Old Style" w:hAnsi="Bookman Old Style"/>
        </w:rPr>
        <w:t>Con la comunicación radicada en la CREG bajo el número E-201</w:t>
      </w:r>
      <w:r w:rsidR="00872C01">
        <w:rPr>
          <w:rFonts w:ascii="Bookman Old Style" w:hAnsi="Bookman Old Style"/>
        </w:rPr>
        <w:t>4</w:t>
      </w:r>
      <w:r>
        <w:rPr>
          <w:rFonts w:ascii="Bookman Old Style" w:hAnsi="Bookman Old Style"/>
        </w:rPr>
        <w:t>-00</w:t>
      </w:r>
      <w:r w:rsidR="00872C01">
        <w:rPr>
          <w:rFonts w:ascii="Bookman Old Style" w:hAnsi="Bookman Old Style"/>
        </w:rPr>
        <w:t>2550</w:t>
      </w:r>
      <w:r>
        <w:rPr>
          <w:rFonts w:ascii="Bookman Old Style" w:hAnsi="Bookman Old Style"/>
        </w:rPr>
        <w:t xml:space="preserve"> </w:t>
      </w:r>
      <w:r w:rsidR="00872C01">
        <w:rPr>
          <w:rFonts w:ascii="Bookman Old Style" w:hAnsi="Bookman Old Style"/>
          <w:bCs/>
        </w:rPr>
        <w:t>Centrales Eléctricas de Nariño S.A. E.S.P.</w:t>
      </w:r>
      <w:r>
        <w:rPr>
          <w:rFonts w:ascii="Bookman Old Style" w:hAnsi="Bookman Old Style"/>
        </w:rPr>
        <w:t xml:space="preserve"> solicitó a la CREG la actualización del Costo Anual por el Uso de los Activos de Nivel de Tensión 4 por la entrada en operación del segundo </w:t>
      </w:r>
      <w:r w:rsidR="00C5732A">
        <w:rPr>
          <w:rFonts w:ascii="Bookman Old Style" w:hAnsi="Bookman Old Style"/>
        </w:rPr>
        <w:t xml:space="preserve">grupo de autotransformadores de conexión 230/115/13.8 </w:t>
      </w:r>
      <w:proofErr w:type="spellStart"/>
      <w:r w:rsidR="00C5732A">
        <w:rPr>
          <w:rFonts w:ascii="Bookman Old Style" w:hAnsi="Bookman Old Style"/>
        </w:rPr>
        <w:t>kV</w:t>
      </w:r>
      <w:proofErr w:type="spellEnd"/>
      <w:r w:rsidR="00C5732A">
        <w:rPr>
          <w:rFonts w:ascii="Bookman Old Style" w:hAnsi="Bookman Old Style"/>
        </w:rPr>
        <w:t xml:space="preserve"> de capacidad total 150 MVA</w:t>
      </w:r>
      <w:r>
        <w:rPr>
          <w:rFonts w:ascii="Bookman Old Style" w:hAnsi="Bookman Old Style"/>
        </w:rPr>
        <w:t>.</w:t>
      </w:r>
    </w:p>
    <w:p w:rsidR="00787C10" w:rsidRDefault="00787C10" w:rsidP="00787C10">
      <w:pPr>
        <w:ind w:left="0"/>
        <w:jc w:val="both"/>
        <w:rPr>
          <w:rFonts w:ascii="Bookman Old Style" w:hAnsi="Bookman Old Style"/>
        </w:rPr>
      </w:pPr>
    </w:p>
    <w:p w:rsidR="00C04CDD" w:rsidRDefault="00C04CDD" w:rsidP="00C04CDD">
      <w:pPr>
        <w:ind w:left="0"/>
        <w:jc w:val="both"/>
        <w:rPr>
          <w:rFonts w:ascii="Bookman Old Style" w:hAnsi="Bookman Old Style"/>
        </w:rPr>
      </w:pPr>
      <w:r>
        <w:rPr>
          <w:rFonts w:ascii="Bookman Old Style" w:hAnsi="Bookman Old Style"/>
        </w:rPr>
        <w:t>Con la comunicación E-2014-003498 del 16 de abril de 2014, la empresa remitió los formatos correspondientes a las unidades constructivas de la solicitud para la actualización.</w:t>
      </w:r>
    </w:p>
    <w:p w:rsidR="00C04CDD" w:rsidRDefault="00C04CDD" w:rsidP="00787C10">
      <w:pPr>
        <w:ind w:left="0"/>
        <w:jc w:val="both"/>
        <w:rPr>
          <w:rFonts w:ascii="Bookman Old Style" w:hAnsi="Bookman Old Style"/>
        </w:rPr>
      </w:pPr>
    </w:p>
    <w:p w:rsidR="00787C10" w:rsidRDefault="00787C10" w:rsidP="00787C10">
      <w:pPr>
        <w:ind w:left="0"/>
        <w:jc w:val="both"/>
        <w:rPr>
          <w:rFonts w:ascii="Bookman Old Style" w:hAnsi="Bookman Old Style"/>
        </w:rPr>
      </w:pPr>
      <w:r>
        <w:rPr>
          <w:rFonts w:ascii="Bookman Old Style" w:hAnsi="Bookman Old Style"/>
        </w:rPr>
        <w:t xml:space="preserve">Con la solicitud </w:t>
      </w:r>
      <w:r w:rsidR="00C5732A">
        <w:rPr>
          <w:rFonts w:ascii="Bookman Old Style" w:hAnsi="Bookman Old Style"/>
          <w:bCs/>
        </w:rPr>
        <w:t>Centrales Eléctricas de Nariño S.A. E.S.P.</w:t>
      </w:r>
      <w:r>
        <w:rPr>
          <w:rFonts w:ascii="Bookman Old Style" w:hAnsi="Bookman Old Style"/>
        </w:rPr>
        <w:t xml:space="preserve">, </w:t>
      </w:r>
      <w:proofErr w:type="spellStart"/>
      <w:r>
        <w:rPr>
          <w:rFonts w:ascii="Bookman Old Style" w:hAnsi="Bookman Old Style"/>
        </w:rPr>
        <w:t>C</w:t>
      </w:r>
      <w:r w:rsidR="00C5732A">
        <w:rPr>
          <w:rFonts w:ascii="Bookman Old Style" w:hAnsi="Bookman Old Style"/>
        </w:rPr>
        <w:t>edenar</w:t>
      </w:r>
      <w:proofErr w:type="spellEnd"/>
      <w:r>
        <w:rPr>
          <w:rFonts w:ascii="Bookman Old Style" w:hAnsi="Bookman Old Style"/>
        </w:rPr>
        <w:t xml:space="preserve"> entregó la siguiente información:</w:t>
      </w:r>
    </w:p>
    <w:p w:rsidR="00787C10" w:rsidRDefault="00787C10" w:rsidP="00787C10">
      <w:pPr>
        <w:ind w:left="0"/>
        <w:jc w:val="both"/>
        <w:rPr>
          <w:rFonts w:ascii="Bookman Old Style" w:hAnsi="Bookman Old Style"/>
        </w:rPr>
      </w:pPr>
    </w:p>
    <w:p w:rsidR="00C04CDD" w:rsidRDefault="00C04CDD" w:rsidP="00C04CDD">
      <w:pPr>
        <w:pStyle w:val="Prrafodelista"/>
        <w:numPr>
          <w:ilvl w:val="0"/>
          <w:numId w:val="19"/>
        </w:numPr>
        <w:ind w:left="360"/>
        <w:jc w:val="both"/>
        <w:rPr>
          <w:rFonts w:ascii="Bookman Old Style" w:hAnsi="Bookman Old Style"/>
          <w:sz w:val="24"/>
          <w:szCs w:val="24"/>
        </w:rPr>
      </w:pPr>
      <w:r>
        <w:rPr>
          <w:rFonts w:ascii="Bookman Old Style" w:hAnsi="Bookman Old Style"/>
          <w:sz w:val="24"/>
          <w:szCs w:val="24"/>
        </w:rPr>
        <w:t>Listado de unidades constructivas que componen el proyecto, con base en las definidas en el capítulo 5 del anexo general de la Resolución CREG 097 de 2008. Estas son:</w:t>
      </w:r>
    </w:p>
    <w:p w:rsidR="00C04CDD" w:rsidRPr="00C04CDD" w:rsidRDefault="00C04CDD" w:rsidP="00C04CDD">
      <w:pPr>
        <w:ind w:left="360"/>
        <w:jc w:val="both"/>
        <w:rPr>
          <w:rFonts w:ascii="Bookman Old Style" w:hAnsi="Bookman Old Style"/>
        </w:rPr>
      </w:pPr>
    </w:p>
    <w:p w:rsidR="00C04CDD" w:rsidRDefault="00C04CDD" w:rsidP="00C04CDD">
      <w:pPr>
        <w:ind w:left="360"/>
        <w:jc w:val="both"/>
        <w:rPr>
          <w:rFonts w:ascii="Bookman Old Style" w:hAnsi="Bookman Old Style"/>
        </w:rPr>
      </w:pPr>
      <w:r w:rsidRPr="00C04CDD">
        <w:rPr>
          <w:noProof/>
          <w:lang w:val="es-CO" w:eastAsia="es-CO"/>
        </w:rPr>
        <w:drawing>
          <wp:inline distT="0" distB="0" distL="0" distR="0" wp14:anchorId="558AD08F" wp14:editId="496FF3D0">
            <wp:extent cx="5724525" cy="2083237"/>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981" cy="2085586"/>
                    </a:xfrm>
                    <a:prstGeom prst="rect">
                      <a:avLst/>
                    </a:prstGeom>
                    <a:noFill/>
                    <a:ln>
                      <a:noFill/>
                    </a:ln>
                  </pic:spPr>
                </pic:pic>
              </a:graphicData>
            </a:graphic>
          </wp:inline>
        </w:drawing>
      </w:r>
    </w:p>
    <w:p w:rsidR="00C04CDD" w:rsidRPr="00C04CDD" w:rsidRDefault="00C04CDD" w:rsidP="00C04CDD">
      <w:pPr>
        <w:ind w:left="360"/>
        <w:jc w:val="both"/>
        <w:rPr>
          <w:rFonts w:ascii="Bookman Old Style" w:hAnsi="Bookman Old Style"/>
        </w:rPr>
      </w:pPr>
    </w:p>
    <w:p w:rsidR="00787C10" w:rsidRDefault="00787C10" w:rsidP="00C04CDD">
      <w:pPr>
        <w:pStyle w:val="Prrafodelista"/>
        <w:numPr>
          <w:ilvl w:val="0"/>
          <w:numId w:val="19"/>
        </w:numPr>
        <w:ind w:left="360"/>
        <w:jc w:val="both"/>
        <w:rPr>
          <w:rFonts w:ascii="Bookman Old Style" w:hAnsi="Bookman Old Style"/>
          <w:sz w:val="24"/>
          <w:szCs w:val="24"/>
        </w:rPr>
      </w:pPr>
      <w:r>
        <w:rPr>
          <w:rFonts w:ascii="Bookman Old Style" w:hAnsi="Bookman Old Style"/>
          <w:sz w:val="24"/>
          <w:szCs w:val="24"/>
        </w:rPr>
        <w:t xml:space="preserve">Copia del concepto </w:t>
      </w:r>
      <w:r w:rsidR="000D2C36">
        <w:rPr>
          <w:rFonts w:ascii="Bookman Old Style" w:hAnsi="Bookman Old Style"/>
          <w:sz w:val="24"/>
          <w:szCs w:val="24"/>
        </w:rPr>
        <w:t xml:space="preserve">aprobatorio </w:t>
      </w:r>
      <w:r>
        <w:rPr>
          <w:rFonts w:ascii="Bookman Old Style" w:hAnsi="Bookman Old Style"/>
          <w:sz w:val="24"/>
          <w:szCs w:val="24"/>
        </w:rPr>
        <w:t>que sobre el proyecto emitió la Unidad de Planeación Minero Energética con radicado UPME 20</w:t>
      </w:r>
      <w:r w:rsidR="000D2C36">
        <w:rPr>
          <w:rFonts w:ascii="Bookman Old Style" w:hAnsi="Bookman Old Style"/>
          <w:sz w:val="24"/>
          <w:szCs w:val="24"/>
        </w:rPr>
        <w:t>11</w:t>
      </w:r>
      <w:r>
        <w:rPr>
          <w:rFonts w:ascii="Bookman Old Style" w:hAnsi="Bookman Old Style"/>
          <w:sz w:val="24"/>
          <w:szCs w:val="24"/>
        </w:rPr>
        <w:t>15000</w:t>
      </w:r>
      <w:r w:rsidR="000D2C36">
        <w:rPr>
          <w:rFonts w:ascii="Bookman Old Style" w:hAnsi="Bookman Old Style"/>
          <w:sz w:val="24"/>
          <w:szCs w:val="24"/>
        </w:rPr>
        <w:t>018</w:t>
      </w:r>
      <w:r>
        <w:rPr>
          <w:rFonts w:ascii="Bookman Old Style" w:hAnsi="Bookman Old Style"/>
          <w:sz w:val="24"/>
          <w:szCs w:val="24"/>
        </w:rPr>
        <w:t xml:space="preserve">71 del </w:t>
      </w:r>
      <w:r w:rsidR="006345E2">
        <w:rPr>
          <w:rFonts w:ascii="Bookman Old Style" w:hAnsi="Bookman Old Style"/>
          <w:sz w:val="24"/>
          <w:szCs w:val="24"/>
        </w:rPr>
        <w:t>31 de enero</w:t>
      </w:r>
      <w:r>
        <w:rPr>
          <w:rFonts w:ascii="Bookman Old Style" w:hAnsi="Bookman Old Style"/>
          <w:sz w:val="24"/>
          <w:szCs w:val="24"/>
        </w:rPr>
        <w:t xml:space="preserve"> de 201</w:t>
      </w:r>
      <w:r w:rsidR="006345E2">
        <w:rPr>
          <w:rFonts w:ascii="Bookman Old Style" w:hAnsi="Bookman Old Style"/>
          <w:sz w:val="24"/>
          <w:szCs w:val="24"/>
        </w:rPr>
        <w:t>1</w:t>
      </w:r>
      <w:r>
        <w:rPr>
          <w:rFonts w:ascii="Bookman Old Style" w:hAnsi="Bookman Old Style"/>
          <w:sz w:val="24"/>
          <w:szCs w:val="24"/>
        </w:rPr>
        <w:t>.</w:t>
      </w:r>
    </w:p>
    <w:p w:rsidR="00787C10" w:rsidRPr="006345E2" w:rsidRDefault="00787C10" w:rsidP="00C04CDD">
      <w:pPr>
        <w:ind w:left="0"/>
        <w:jc w:val="both"/>
        <w:rPr>
          <w:rFonts w:ascii="Bookman Old Style" w:hAnsi="Bookman Old Style"/>
          <w:lang w:val="es-CO"/>
        </w:rPr>
      </w:pPr>
    </w:p>
    <w:p w:rsidR="00787C10" w:rsidRDefault="00787C10" w:rsidP="00C04CDD">
      <w:pPr>
        <w:pStyle w:val="Prrafodelista"/>
        <w:numPr>
          <w:ilvl w:val="0"/>
          <w:numId w:val="19"/>
        </w:numPr>
        <w:ind w:left="360"/>
        <w:jc w:val="both"/>
        <w:rPr>
          <w:rFonts w:ascii="Bookman Old Style" w:hAnsi="Bookman Old Style"/>
          <w:sz w:val="24"/>
          <w:szCs w:val="24"/>
        </w:rPr>
      </w:pPr>
      <w:r>
        <w:rPr>
          <w:rFonts w:ascii="Bookman Old Style" w:hAnsi="Bookman Old Style"/>
          <w:sz w:val="24"/>
          <w:szCs w:val="24"/>
        </w:rPr>
        <w:t xml:space="preserve">Copia de la comunicación con </w:t>
      </w:r>
      <w:r w:rsidRPr="00874040">
        <w:rPr>
          <w:rFonts w:ascii="Bookman Old Style" w:hAnsi="Bookman Old Style"/>
          <w:sz w:val="24"/>
          <w:szCs w:val="24"/>
        </w:rPr>
        <w:t xml:space="preserve">radicado </w:t>
      </w:r>
      <w:r w:rsidR="00B63380">
        <w:rPr>
          <w:rFonts w:ascii="Bookman Old Style" w:hAnsi="Bookman Old Style"/>
          <w:sz w:val="24"/>
          <w:szCs w:val="24"/>
        </w:rPr>
        <w:t>001891-1 XM del 21 de febrero de 2014</w:t>
      </w:r>
      <w:r w:rsidRPr="00874040">
        <w:rPr>
          <w:rFonts w:ascii="Bookman Old Style" w:hAnsi="Bookman Old Style"/>
          <w:sz w:val="24"/>
          <w:szCs w:val="24"/>
        </w:rPr>
        <w:t>,</w:t>
      </w:r>
      <w:r>
        <w:rPr>
          <w:rFonts w:ascii="Bookman Old Style" w:hAnsi="Bookman Old Style"/>
          <w:sz w:val="24"/>
          <w:szCs w:val="24"/>
        </w:rPr>
        <w:t xml:space="preserve"> dirigida a </w:t>
      </w:r>
      <w:proofErr w:type="spellStart"/>
      <w:r w:rsidR="00B63380">
        <w:rPr>
          <w:rFonts w:ascii="Bookman Old Style" w:hAnsi="Bookman Old Style"/>
          <w:sz w:val="24"/>
          <w:szCs w:val="24"/>
        </w:rPr>
        <w:t>Cedenar</w:t>
      </w:r>
      <w:proofErr w:type="spellEnd"/>
      <w:r w:rsidR="00B63380">
        <w:rPr>
          <w:rFonts w:ascii="Bookman Old Style" w:hAnsi="Bookman Old Style"/>
          <w:sz w:val="24"/>
          <w:szCs w:val="24"/>
        </w:rPr>
        <w:t xml:space="preserve"> en la cual certifica la entrada en operación comercial </w:t>
      </w:r>
      <w:r w:rsidR="00DC3C93">
        <w:rPr>
          <w:rFonts w:ascii="Bookman Old Style" w:hAnsi="Bookman Old Style"/>
          <w:sz w:val="24"/>
          <w:szCs w:val="24"/>
        </w:rPr>
        <w:t xml:space="preserve">del segundo grupo de autotransformadores de la subestación </w:t>
      </w:r>
      <w:proofErr w:type="spellStart"/>
      <w:r w:rsidR="00DC3C93">
        <w:rPr>
          <w:rFonts w:ascii="Bookman Old Style" w:hAnsi="Bookman Old Style"/>
          <w:sz w:val="24"/>
          <w:szCs w:val="24"/>
        </w:rPr>
        <w:t>Jamondino</w:t>
      </w:r>
      <w:proofErr w:type="spellEnd"/>
      <w:r w:rsidR="00DC3C93">
        <w:rPr>
          <w:rFonts w:ascii="Bookman Old Style" w:hAnsi="Bookman Old Style"/>
          <w:sz w:val="24"/>
          <w:szCs w:val="24"/>
        </w:rPr>
        <w:t xml:space="preserve"> 230/115/13.8 </w:t>
      </w:r>
      <w:proofErr w:type="spellStart"/>
      <w:r w:rsidR="00DC3C93">
        <w:rPr>
          <w:rFonts w:ascii="Bookman Old Style" w:hAnsi="Bookman Old Style"/>
          <w:sz w:val="24"/>
          <w:szCs w:val="24"/>
        </w:rPr>
        <w:t>kV</w:t>
      </w:r>
      <w:proofErr w:type="spellEnd"/>
      <w:r w:rsidR="00DC3C93">
        <w:rPr>
          <w:rFonts w:ascii="Bookman Old Style" w:hAnsi="Bookman Old Style"/>
          <w:sz w:val="24"/>
          <w:szCs w:val="24"/>
        </w:rPr>
        <w:t xml:space="preserve"> con 150 MVA</w:t>
      </w:r>
      <w:r w:rsidR="00C04CDD">
        <w:rPr>
          <w:rFonts w:ascii="Bookman Old Style" w:hAnsi="Bookman Old Style"/>
          <w:sz w:val="24"/>
          <w:szCs w:val="24"/>
        </w:rPr>
        <w:t xml:space="preserve"> y las bahías asociadas</w:t>
      </w:r>
      <w:r>
        <w:rPr>
          <w:rFonts w:ascii="Bookman Old Style" w:hAnsi="Bookman Old Style"/>
          <w:sz w:val="24"/>
          <w:szCs w:val="24"/>
        </w:rPr>
        <w:t>.</w:t>
      </w:r>
    </w:p>
    <w:p w:rsidR="00787C10" w:rsidRDefault="00787C10" w:rsidP="00787C10">
      <w:pPr>
        <w:ind w:left="0"/>
        <w:jc w:val="both"/>
        <w:rPr>
          <w:rFonts w:ascii="Bookman Old Style" w:hAnsi="Bookman Old Style"/>
        </w:rPr>
      </w:pPr>
    </w:p>
    <w:p w:rsidR="00787C10" w:rsidRDefault="00787C10" w:rsidP="00787C10">
      <w:pPr>
        <w:ind w:left="0"/>
        <w:jc w:val="both"/>
        <w:rPr>
          <w:rFonts w:ascii="Bookman Old Style" w:hAnsi="Bookman Old Style"/>
        </w:rPr>
      </w:pPr>
      <w:r>
        <w:rPr>
          <w:rFonts w:ascii="Bookman Old Style" w:hAnsi="Bookman Old Style"/>
        </w:rPr>
        <w:t xml:space="preserve">Mediante auto del </w:t>
      </w:r>
      <w:r w:rsidR="0036358B">
        <w:rPr>
          <w:rFonts w:ascii="Bookman Old Style" w:hAnsi="Bookman Old Style"/>
        </w:rPr>
        <w:t>30 de abril de 2014</w:t>
      </w:r>
      <w:r>
        <w:rPr>
          <w:rFonts w:ascii="Bookman Old Style" w:hAnsi="Bookman Old Style"/>
        </w:rPr>
        <w:t xml:space="preserve"> la Comisión inició la actuación administrativa la cual identificó con el expediente 201</w:t>
      </w:r>
      <w:r w:rsidR="0036358B">
        <w:rPr>
          <w:rFonts w:ascii="Bookman Old Style" w:hAnsi="Bookman Old Style"/>
        </w:rPr>
        <w:t>4</w:t>
      </w:r>
      <w:r>
        <w:rPr>
          <w:rFonts w:ascii="Bookman Old Style" w:hAnsi="Bookman Old Style"/>
        </w:rPr>
        <w:t>-00</w:t>
      </w:r>
      <w:r w:rsidR="0036358B">
        <w:rPr>
          <w:rFonts w:ascii="Bookman Old Style" w:hAnsi="Bookman Old Style"/>
        </w:rPr>
        <w:t>24</w:t>
      </w:r>
      <w:r>
        <w:rPr>
          <w:rFonts w:ascii="Bookman Old Style" w:hAnsi="Bookman Old Style"/>
        </w:rPr>
        <w:t xml:space="preserve">. Así mismo la CREG publicó en el </w:t>
      </w:r>
      <w:r w:rsidRPr="009A3DA9">
        <w:rPr>
          <w:rFonts w:ascii="Bookman Old Style" w:hAnsi="Bookman Old Style"/>
          <w:i/>
        </w:rPr>
        <w:t>Diario Oficial</w:t>
      </w:r>
      <w:r>
        <w:rPr>
          <w:rFonts w:ascii="Bookman Old Style" w:hAnsi="Bookman Old Style"/>
        </w:rPr>
        <w:t xml:space="preserve"> 4</w:t>
      </w:r>
      <w:r w:rsidR="0036358B">
        <w:rPr>
          <w:rFonts w:ascii="Bookman Old Style" w:hAnsi="Bookman Old Style"/>
        </w:rPr>
        <w:t>9151</w:t>
      </w:r>
      <w:r>
        <w:rPr>
          <w:rFonts w:ascii="Bookman Old Style" w:hAnsi="Bookman Old Style"/>
        </w:rPr>
        <w:t xml:space="preserve"> del día </w:t>
      </w:r>
      <w:r w:rsidR="0036358B">
        <w:rPr>
          <w:rFonts w:ascii="Bookman Old Style" w:hAnsi="Bookman Old Style"/>
        </w:rPr>
        <w:t>catorce (14)</w:t>
      </w:r>
      <w:r>
        <w:rPr>
          <w:rFonts w:ascii="Bookman Old Style" w:hAnsi="Bookman Old Style"/>
        </w:rPr>
        <w:t xml:space="preserve"> de </w:t>
      </w:r>
      <w:r w:rsidR="0036358B">
        <w:rPr>
          <w:rFonts w:ascii="Bookman Old Style" w:hAnsi="Bookman Old Style"/>
        </w:rPr>
        <w:t>mayo de 2014</w:t>
      </w:r>
      <w:r>
        <w:rPr>
          <w:rFonts w:ascii="Bookman Old Style" w:hAnsi="Bookman Old Style"/>
        </w:rPr>
        <w:t xml:space="preserve"> un extracto de la solicitud, conforme con lo previsto en el artículo 37 del Código de Procedimiento Administrativo y de lo Contencioso Administrativo.</w:t>
      </w:r>
    </w:p>
    <w:p w:rsidR="00787C10" w:rsidRDefault="00787C10" w:rsidP="00787C10">
      <w:pPr>
        <w:ind w:left="0"/>
        <w:jc w:val="both"/>
        <w:rPr>
          <w:rFonts w:ascii="Bookman Old Style" w:hAnsi="Bookman Old Style"/>
        </w:rPr>
      </w:pPr>
    </w:p>
    <w:p w:rsidR="00787C10" w:rsidRDefault="00472219" w:rsidP="00787C10">
      <w:pPr>
        <w:ind w:left="0"/>
        <w:jc w:val="both"/>
        <w:rPr>
          <w:rFonts w:ascii="Bookman Old Style" w:hAnsi="Bookman Old Style"/>
        </w:rPr>
      </w:pPr>
      <w:r>
        <w:rPr>
          <w:rFonts w:ascii="Bookman Old Style" w:hAnsi="Bookman Old Style"/>
        </w:rPr>
        <w:t xml:space="preserve">Con el fin de verificar las características de los activos solicitados por la empresa, el día 9 de junio de 2014 funcionarios de la CREG llevaron a cabo una visita a la Subestación </w:t>
      </w:r>
      <w:proofErr w:type="spellStart"/>
      <w:r>
        <w:rPr>
          <w:rFonts w:ascii="Bookman Old Style" w:hAnsi="Bookman Old Style"/>
        </w:rPr>
        <w:t>Jamondino</w:t>
      </w:r>
      <w:proofErr w:type="spellEnd"/>
      <w:r>
        <w:rPr>
          <w:rFonts w:ascii="Bookman Old Style" w:hAnsi="Bookman Old Style"/>
        </w:rPr>
        <w:t xml:space="preserve">, la cual fue acompañada por personal de la Centrales Eléctricas de Nariño S.A. E.S.P., </w:t>
      </w:r>
      <w:proofErr w:type="spellStart"/>
      <w:r>
        <w:rPr>
          <w:rFonts w:ascii="Bookman Old Style" w:hAnsi="Bookman Old Style"/>
        </w:rPr>
        <w:t>Cedenar</w:t>
      </w:r>
      <w:proofErr w:type="spellEnd"/>
      <w:r w:rsidR="00003ADE">
        <w:rPr>
          <w:rFonts w:ascii="Bookman Old Style" w:hAnsi="Bookman Old Style"/>
        </w:rPr>
        <w:t xml:space="preserve"> y el respectivo registro de la misma hace parte del expediente administrativo.</w:t>
      </w:r>
    </w:p>
    <w:p w:rsidR="00787C10" w:rsidRDefault="00787C10" w:rsidP="00787C10">
      <w:pPr>
        <w:ind w:left="0"/>
        <w:jc w:val="both"/>
        <w:rPr>
          <w:rFonts w:ascii="Bookman Old Style" w:hAnsi="Bookman Old Style"/>
        </w:rPr>
      </w:pPr>
    </w:p>
    <w:p w:rsidR="00617D4A" w:rsidRDefault="00617D4A" w:rsidP="00787C10">
      <w:pPr>
        <w:ind w:left="0"/>
        <w:jc w:val="both"/>
        <w:rPr>
          <w:rFonts w:ascii="Bookman Old Style" w:hAnsi="Bookman Old Style"/>
        </w:rPr>
      </w:pPr>
    </w:p>
    <w:p w:rsidR="00787C10" w:rsidRDefault="00787C10" w:rsidP="00787C10">
      <w:pPr>
        <w:ind w:left="0"/>
        <w:jc w:val="both"/>
        <w:rPr>
          <w:rFonts w:ascii="Bookman Old Style" w:hAnsi="Bookman Old Style"/>
        </w:rPr>
      </w:pPr>
      <w:r w:rsidRPr="00602242">
        <w:rPr>
          <w:rFonts w:ascii="Bookman Old Style" w:hAnsi="Bookman Old Style"/>
        </w:rPr>
        <w:t xml:space="preserve">Como resultado del análisis de la información entregada durante la actuación administrativa por </w:t>
      </w:r>
      <w:r w:rsidR="0036358B">
        <w:rPr>
          <w:rFonts w:ascii="Bookman Old Style" w:hAnsi="Bookman Old Style"/>
        </w:rPr>
        <w:t>Centrales Eléctricas de Nariño S.A</w:t>
      </w:r>
      <w:r w:rsidRPr="00602242">
        <w:rPr>
          <w:rFonts w:ascii="Bookman Old Style" w:hAnsi="Bookman Old Style"/>
        </w:rPr>
        <w:t xml:space="preserve">. E.S.P., </w:t>
      </w:r>
      <w:proofErr w:type="spellStart"/>
      <w:r w:rsidRPr="00602242">
        <w:rPr>
          <w:rFonts w:ascii="Bookman Old Style" w:hAnsi="Bookman Old Style"/>
        </w:rPr>
        <w:t>C</w:t>
      </w:r>
      <w:r w:rsidR="0036358B">
        <w:rPr>
          <w:rFonts w:ascii="Bookman Old Style" w:hAnsi="Bookman Old Style"/>
        </w:rPr>
        <w:t>edenar</w:t>
      </w:r>
      <w:proofErr w:type="spellEnd"/>
      <w:r w:rsidRPr="00602242">
        <w:rPr>
          <w:rFonts w:ascii="Bookman Old Style" w:hAnsi="Bookman Old Style"/>
        </w:rPr>
        <w:t>, se ajustó el inve</w:t>
      </w:r>
      <w:r>
        <w:rPr>
          <w:rFonts w:ascii="Bookman Old Style" w:hAnsi="Bookman Old Style"/>
        </w:rPr>
        <w:t>ntario de activos de la empresa.</w:t>
      </w:r>
    </w:p>
    <w:p w:rsidR="00617D4A" w:rsidRPr="00602242" w:rsidRDefault="00617D4A" w:rsidP="00787C10">
      <w:pPr>
        <w:ind w:left="0"/>
        <w:jc w:val="both"/>
        <w:rPr>
          <w:rFonts w:ascii="Bookman Old Style" w:hAnsi="Bookman Old Style"/>
        </w:rPr>
      </w:pPr>
    </w:p>
    <w:p w:rsidR="00472219" w:rsidRDefault="00472219" w:rsidP="00472219">
      <w:pPr>
        <w:ind w:left="0"/>
        <w:jc w:val="both"/>
        <w:rPr>
          <w:rFonts w:ascii="Bookman Old Style" w:hAnsi="Bookman Old Style"/>
        </w:rPr>
      </w:pPr>
      <w:r>
        <w:rPr>
          <w:rFonts w:ascii="Bookman Old Style" w:hAnsi="Bookman Old Style"/>
        </w:rPr>
        <w:t>Aplicada la metodología establecida en la Resolución CREG 097 de 2008 se calcularon las siguientes variables:</w:t>
      </w:r>
    </w:p>
    <w:p w:rsidR="00472219" w:rsidRDefault="00472219" w:rsidP="00472219">
      <w:pPr>
        <w:ind w:left="0"/>
        <w:jc w:val="both"/>
        <w:rPr>
          <w:rFonts w:ascii="Bookman Old Style" w:hAnsi="Bookman Old Style"/>
        </w:rPr>
      </w:pPr>
    </w:p>
    <w:p w:rsidR="00472219" w:rsidRDefault="00472219" w:rsidP="00472219">
      <w:pPr>
        <w:ind w:left="0"/>
        <w:jc w:val="center"/>
        <w:rPr>
          <w:rFonts w:ascii="Bookman Old Style" w:hAnsi="Bookman Old Style"/>
        </w:rPr>
      </w:pPr>
      <w:r w:rsidRPr="00472219">
        <w:rPr>
          <w:noProof/>
          <w:lang w:val="es-CO" w:eastAsia="es-CO"/>
        </w:rPr>
        <w:drawing>
          <wp:inline distT="0" distB="0" distL="0" distR="0">
            <wp:extent cx="5019675" cy="65722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9675" cy="657225"/>
                    </a:xfrm>
                    <a:prstGeom prst="rect">
                      <a:avLst/>
                    </a:prstGeom>
                    <a:noFill/>
                    <a:ln>
                      <a:noFill/>
                    </a:ln>
                  </pic:spPr>
                </pic:pic>
              </a:graphicData>
            </a:graphic>
          </wp:inline>
        </w:drawing>
      </w:r>
    </w:p>
    <w:p w:rsidR="00472219" w:rsidRDefault="00472219" w:rsidP="00787C10">
      <w:pPr>
        <w:ind w:left="0"/>
        <w:jc w:val="both"/>
        <w:rPr>
          <w:rFonts w:ascii="Bookman Old Style" w:hAnsi="Bookman Old Style"/>
        </w:rPr>
      </w:pPr>
    </w:p>
    <w:p w:rsidR="00787C10" w:rsidRPr="00602242" w:rsidRDefault="00787C10" w:rsidP="00787C10">
      <w:pPr>
        <w:ind w:left="0"/>
        <w:jc w:val="both"/>
        <w:rPr>
          <w:rFonts w:ascii="Bookman Old Style" w:hAnsi="Bookman Old Style"/>
        </w:rPr>
      </w:pPr>
      <w:r w:rsidRPr="009E110B">
        <w:rPr>
          <w:rFonts w:ascii="Bookman Old Style" w:hAnsi="Bookman Old Style"/>
        </w:rPr>
        <w:t>La Comisión, en</w:t>
      </w:r>
      <w:r w:rsidR="0077709B" w:rsidRPr="009E110B">
        <w:rPr>
          <w:rFonts w:ascii="Bookman Old Style" w:hAnsi="Bookman Old Style"/>
        </w:rPr>
        <w:t xml:space="preserve"> su S</w:t>
      </w:r>
      <w:r w:rsidRPr="009E110B">
        <w:rPr>
          <w:rFonts w:ascii="Bookman Old Style" w:hAnsi="Bookman Old Style"/>
        </w:rPr>
        <w:t xml:space="preserve">esión No. </w:t>
      </w:r>
      <w:r w:rsidR="009E110B">
        <w:rPr>
          <w:rFonts w:ascii="Bookman Old Style" w:hAnsi="Bookman Old Style"/>
        </w:rPr>
        <w:t>610</w:t>
      </w:r>
      <w:r w:rsidRPr="009E110B">
        <w:rPr>
          <w:rFonts w:ascii="Bookman Old Style" w:hAnsi="Bookman Old Style"/>
        </w:rPr>
        <w:t xml:space="preserve"> del </w:t>
      </w:r>
      <w:r w:rsidR="009E110B">
        <w:rPr>
          <w:rFonts w:ascii="Bookman Old Style" w:hAnsi="Bookman Old Style"/>
        </w:rPr>
        <w:t>17</w:t>
      </w:r>
      <w:r w:rsidRPr="009E110B">
        <w:rPr>
          <w:rFonts w:ascii="Bookman Old Style" w:hAnsi="Bookman Old Style"/>
        </w:rPr>
        <w:t xml:space="preserve"> de </w:t>
      </w:r>
      <w:r w:rsidR="0036358B" w:rsidRPr="009E110B">
        <w:rPr>
          <w:rFonts w:ascii="Bookman Old Style" w:hAnsi="Bookman Old Style"/>
        </w:rPr>
        <w:t>juni</w:t>
      </w:r>
      <w:r w:rsidRPr="009E110B">
        <w:rPr>
          <w:rFonts w:ascii="Bookman Old Style" w:hAnsi="Bookman Old Style"/>
        </w:rPr>
        <w:t>o de 2014, aprobó m</w:t>
      </w:r>
      <w:r w:rsidRPr="00602242">
        <w:rPr>
          <w:rFonts w:ascii="Bookman Old Style" w:hAnsi="Bookman Old Style"/>
        </w:rPr>
        <w:t xml:space="preserve">odificar el Costo Anual por el </w:t>
      </w:r>
      <w:r w:rsidR="0077709B">
        <w:rPr>
          <w:rFonts w:ascii="Bookman Old Style" w:hAnsi="Bookman Old Style"/>
        </w:rPr>
        <w:t>u</w:t>
      </w:r>
      <w:r w:rsidRPr="00602242">
        <w:rPr>
          <w:rFonts w:ascii="Bookman Old Style" w:hAnsi="Bookman Old Style"/>
        </w:rPr>
        <w:t xml:space="preserve">so de los </w:t>
      </w:r>
      <w:r w:rsidR="0077709B">
        <w:rPr>
          <w:rFonts w:ascii="Bookman Old Style" w:hAnsi="Bookman Old Style"/>
        </w:rPr>
        <w:t>a</w:t>
      </w:r>
      <w:r w:rsidRPr="00602242">
        <w:rPr>
          <w:rFonts w:ascii="Bookman Old Style" w:hAnsi="Bookman Old Style"/>
        </w:rPr>
        <w:t xml:space="preserve">ctivos de </w:t>
      </w:r>
      <w:r w:rsidR="0077709B">
        <w:rPr>
          <w:rFonts w:ascii="Bookman Old Style" w:hAnsi="Bookman Old Style"/>
        </w:rPr>
        <w:t>n</w:t>
      </w:r>
      <w:r w:rsidRPr="00602242">
        <w:rPr>
          <w:rFonts w:ascii="Bookman Old Style" w:hAnsi="Bookman Old Style"/>
        </w:rPr>
        <w:t xml:space="preserve">ivel de </w:t>
      </w:r>
      <w:r w:rsidR="0077709B">
        <w:rPr>
          <w:rFonts w:ascii="Bookman Old Style" w:hAnsi="Bookman Old Style"/>
        </w:rPr>
        <w:t>t</w:t>
      </w:r>
      <w:r w:rsidRPr="00602242">
        <w:rPr>
          <w:rFonts w:ascii="Bookman Old Style" w:hAnsi="Bookman Old Style"/>
        </w:rPr>
        <w:t>ensión 4</w:t>
      </w:r>
      <w:r w:rsidRPr="00602242">
        <w:rPr>
          <w:rFonts w:ascii="Bookman Old Style" w:hAnsi="Bookman Old Style" w:cs="Arial"/>
        </w:rPr>
        <w:t xml:space="preserve"> </w:t>
      </w:r>
      <w:r w:rsidR="0077709B">
        <w:rPr>
          <w:rFonts w:ascii="Bookman Old Style" w:hAnsi="Bookman Old Style" w:cs="Arial"/>
        </w:rPr>
        <w:t xml:space="preserve">de </w:t>
      </w:r>
      <w:r w:rsidR="0036358B">
        <w:rPr>
          <w:rFonts w:ascii="Bookman Old Style" w:hAnsi="Bookman Old Style"/>
        </w:rPr>
        <w:t>Centrales Eléctricas de Nariño S.A</w:t>
      </w:r>
      <w:r w:rsidR="0036358B" w:rsidRPr="00602242">
        <w:rPr>
          <w:rFonts w:ascii="Bookman Old Style" w:hAnsi="Bookman Old Style"/>
        </w:rPr>
        <w:t>. E.S.P., C</w:t>
      </w:r>
      <w:r w:rsidR="0036358B">
        <w:rPr>
          <w:rFonts w:ascii="Bookman Old Style" w:hAnsi="Bookman Old Style"/>
        </w:rPr>
        <w:t>edenar</w:t>
      </w:r>
      <w:r w:rsidRPr="00602242">
        <w:rPr>
          <w:rFonts w:ascii="Bookman Old Style" w:hAnsi="Bookman Old Style"/>
        </w:rPr>
        <w:t>,</w:t>
      </w:r>
      <w:r w:rsidRPr="00602242">
        <w:rPr>
          <w:rFonts w:ascii="Bookman Old Style" w:hAnsi="Bookman Old Style" w:cs="Arial"/>
        </w:rPr>
        <w:t xml:space="preserve"> por la entrada en operación comercial del segundo </w:t>
      </w:r>
      <w:r w:rsidR="00ED43C0">
        <w:rPr>
          <w:rFonts w:ascii="Bookman Old Style" w:hAnsi="Bookman Old Style" w:cs="Arial"/>
        </w:rPr>
        <w:t>grupo de auto</w:t>
      </w:r>
      <w:r w:rsidR="0036358B">
        <w:rPr>
          <w:rFonts w:ascii="Bookman Old Style" w:hAnsi="Bookman Old Style" w:cs="Arial"/>
        </w:rPr>
        <w:t>transformador</w:t>
      </w:r>
      <w:r w:rsidR="00ED43C0">
        <w:rPr>
          <w:rFonts w:ascii="Bookman Old Style" w:hAnsi="Bookman Old Style" w:cs="Arial"/>
        </w:rPr>
        <w:t xml:space="preserve">es de conexión al </w:t>
      </w:r>
      <w:r w:rsidR="00617D4A" w:rsidRPr="00617D4A">
        <w:rPr>
          <w:rFonts w:ascii="Bookman Old Style" w:hAnsi="Bookman Old Style" w:cs="Arial"/>
        </w:rPr>
        <w:t xml:space="preserve">Sistema de Transmisión Regional </w:t>
      </w:r>
      <w:r w:rsidR="00617D4A">
        <w:rPr>
          <w:rFonts w:ascii="Bookman Old Style" w:hAnsi="Bookman Old Style" w:cs="Arial"/>
        </w:rPr>
        <w:t>(</w:t>
      </w:r>
      <w:r w:rsidR="00ED43C0">
        <w:rPr>
          <w:rFonts w:ascii="Bookman Old Style" w:hAnsi="Bookman Old Style" w:cs="Arial"/>
        </w:rPr>
        <w:t>STN</w:t>
      </w:r>
      <w:r w:rsidR="00617D4A">
        <w:rPr>
          <w:rFonts w:ascii="Bookman Old Style" w:hAnsi="Bookman Old Style" w:cs="Arial"/>
        </w:rPr>
        <w:t>)</w:t>
      </w:r>
      <w:r w:rsidR="00ED43C0">
        <w:rPr>
          <w:rFonts w:ascii="Bookman Old Style" w:hAnsi="Bookman Old Style" w:cs="Arial"/>
        </w:rPr>
        <w:t xml:space="preserve"> en la subestación Jamondino</w:t>
      </w:r>
      <w:r w:rsidRPr="00602242">
        <w:rPr>
          <w:rFonts w:ascii="Bookman Old Style" w:hAnsi="Bookman Old Style" w:cs="Arial"/>
        </w:rPr>
        <w:t>.</w:t>
      </w:r>
    </w:p>
    <w:p w:rsidR="00787C10" w:rsidRPr="00602242" w:rsidRDefault="00787C10" w:rsidP="00787C10">
      <w:pPr>
        <w:ind w:left="0"/>
        <w:jc w:val="both"/>
        <w:rPr>
          <w:rFonts w:ascii="Bookman Old Style" w:hAnsi="Bookman Old Style"/>
        </w:rPr>
      </w:pPr>
    </w:p>
    <w:p w:rsidR="00787C10" w:rsidRPr="00B53E70" w:rsidRDefault="00787C10" w:rsidP="00787C10">
      <w:pPr>
        <w:suppressAutoHyphens/>
        <w:jc w:val="center"/>
        <w:rPr>
          <w:rFonts w:ascii="Bookman Old Style" w:hAnsi="Bookman Old Style" w:cs="Arial"/>
          <w:spacing w:val="-3"/>
        </w:rPr>
      </w:pPr>
    </w:p>
    <w:p w:rsidR="00787C10" w:rsidRPr="00602242" w:rsidRDefault="00787C10" w:rsidP="00787C10">
      <w:pPr>
        <w:keepNext/>
        <w:suppressAutoHyphens/>
        <w:jc w:val="center"/>
        <w:rPr>
          <w:rFonts w:ascii="Bookman Old Style" w:hAnsi="Bookman Old Style" w:cs="Arial"/>
          <w:spacing w:val="-3"/>
          <w:sz w:val="26"/>
        </w:rPr>
      </w:pPr>
      <w:r w:rsidRPr="00602242">
        <w:rPr>
          <w:rFonts w:ascii="Bookman Old Style" w:hAnsi="Bookman Old Style" w:cs="Arial"/>
          <w:b/>
          <w:spacing w:val="-3"/>
          <w:sz w:val="26"/>
        </w:rPr>
        <w:t>R E S U E L V E:</w:t>
      </w:r>
    </w:p>
    <w:p w:rsidR="00787C10" w:rsidRPr="00602242" w:rsidRDefault="00787C10" w:rsidP="00787C10">
      <w:pPr>
        <w:jc w:val="center"/>
        <w:rPr>
          <w:rFonts w:ascii="Bookman Old Style" w:hAnsi="Bookman Old Style"/>
        </w:rPr>
      </w:pPr>
    </w:p>
    <w:p w:rsidR="00787C10" w:rsidRPr="00602242" w:rsidRDefault="00787C10" w:rsidP="00787C10">
      <w:pPr>
        <w:jc w:val="center"/>
        <w:rPr>
          <w:rFonts w:ascii="Bookman Old Style" w:hAnsi="Bookman Old Style"/>
        </w:rPr>
      </w:pPr>
    </w:p>
    <w:p w:rsidR="00787C10" w:rsidRPr="00384D65" w:rsidRDefault="00787C10" w:rsidP="00787C10">
      <w:pPr>
        <w:widowControl w:val="0"/>
        <w:numPr>
          <w:ilvl w:val="0"/>
          <w:numId w:val="16"/>
        </w:numPr>
        <w:adjustRightInd w:val="0"/>
        <w:jc w:val="both"/>
        <w:textAlignment w:val="baseline"/>
        <w:rPr>
          <w:rFonts w:ascii="Bookman Old Style" w:hAnsi="Bookman Old Style"/>
        </w:rPr>
      </w:pPr>
      <w:r w:rsidRPr="00384D65">
        <w:rPr>
          <w:rFonts w:ascii="Bookman Old Style" w:hAnsi="Bookman Old Style"/>
        </w:rPr>
        <w:t xml:space="preserve">El Artículo 1 de la Resolución CREG </w:t>
      </w:r>
      <w:r w:rsidR="00F8570A">
        <w:rPr>
          <w:rFonts w:ascii="Bookman Old Style" w:hAnsi="Bookman Old Style"/>
        </w:rPr>
        <w:t>019</w:t>
      </w:r>
      <w:r w:rsidRPr="00384D65">
        <w:rPr>
          <w:rFonts w:ascii="Bookman Old Style" w:hAnsi="Bookman Old Style"/>
        </w:rPr>
        <w:t xml:space="preserve"> de 20</w:t>
      </w:r>
      <w:r w:rsidR="00F8570A">
        <w:rPr>
          <w:rFonts w:ascii="Bookman Old Style" w:hAnsi="Bookman Old Style"/>
        </w:rPr>
        <w:t>10</w:t>
      </w:r>
      <w:r w:rsidRPr="00384D65">
        <w:rPr>
          <w:rFonts w:ascii="Bookman Old Style" w:hAnsi="Bookman Old Style"/>
        </w:rPr>
        <w:t>, queda así:</w:t>
      </w:r>
    </w:p>
    <w:p w:rsidR="00787C10" w:rsidRPr="00384D65" w:rsidRDefault="00787C10" w:rsidP="00787C10">
      <w:pPr>
        <w:widowControl w:val="0"/>
        <w:adjustRightInd w:val="0"/>
        <w:ind w:left="1361"/>
        <w:jc w:val="both"/>
        <w:textAlignment w:val="baseline"/>
        <w:rPr>
          <w:rFonts w:ascii="Bookman Old Style" w:hAnsi="Bookman Old Style"/>
        </w:rPr>
      </w:pPr>
    </w:p>
    <w:p w:rsidR="00787C10" w:rsidRPr="00384D65" w:rsidRDefault="00787C10" w:rsidP="00787C10">
      <w:pPr>
        <w:jc w:val="both"/>
        <w:rPr>
          <w:rFonts w:ascii="Bookman Old Style" w:hAnsi="Bookman Old Style"/>
          <w:lang w:val="es-CO"/>
        </w:rPr>
      </w:pPr>
      <w:r w:rsidRPr="00384D65">
        <w:rPr>
          <w:rFonts w:ascii="Bookman Old Style" w:hAnsi="Bookman Old Style"/>
          <w:b/>
          <w:lang w:val="es-CO"/>
        </w:rPr>
        <w:t>Artículo 1. Costo Anual por el uso de los activos del Nivel de Tensión 4.</w:t>
      </w:r>
      <w:r w:rsidRPr="00384D65">
        <w:rPr>
          <w:rFonts w:ascii="Bookman Old Style" w:hAnsi="Bookman Old Style"/>
          <w:lang w:val="es-CO"/>
        </w:rPr>
        <w:t xml:space="preserve"> El Costo Anual por el Uso de los Activos del Nivel de Tensión 4 operados por </w:t>
      </w:r>
      <w:r w:rsidR="00ED43C0">
        <w:rPr>
          <w:rFonts w:ascii="Bookman Old Style" w:hAnsi="Bookman Old Style"/>
          <w:lang w:val="es-CO"/>
        </w:rPr>
        <w:t xml:space="preserve">Centrales Eléctricas de Nariño S.A. E.S.P. </w:t>
      </w:r>
      <w:proofErr w:type="spellStart"/>
      <w:r w:rsidR="00ED43C0">
        <w:rPr>
          <w:rFonts w:ascii="Bookman Old Style" w:hAnsi="Bookman Old Style"/>
          <w:lang w:val="es-CO"/>
        </w:rPr>
        <w:t>Cedenar</w:t>
      </w:r>
      <w:proofErr w:type="spellEnd"/>
      <w:r w:rsidRPr="00384D65">
        <w:rPr>
          <w:rFonts w:ascii="Bookman Old Style" w:hAnsi="Bookman Old Style"/>
        </w:rPr>
        <w:t>,</w:t>
      </w:r>
      <w:r w:rsidRPr="00384D65">
        <w:rPr>
          <w:rFonts w:ascii="Bookman Old Style" w:hAnsi="Bookman Old Style"/>
          <w:lang w:val="es-CO"/>
        </w:rPr>
        <w:t xml:space="preserve"> calculado en la forma establecida en la Resolución CREG 097 de 2008, es el siguiente:</w:t>
      </w:r>
    </w:p>
    <w:p w:rsidR="00787C10" w:rsidRPr="00384D65" w:rsidRDefault="00787C10" w:rsidP="00787C10">
      <w:pPr>
        <w:rPr>
          <w:rFonts w:ascii="Bookman Old Style" w:hAnsi="Bookman Old Style"/>
          <w:lang w:val="es-CO"/>
        </w:rPr>
      </w:pPr>
    </w:p>
    <w:p w:rsidR="00787C10" w:rsidRPr="00384D65" w:rsidRDefault="00472219" w:rsidP="00787C10">
      <w:pPr>
        <w:jc w:val="center"/>
        <w:rPr>
          <w:rFonts w:ascii="Bookman Old Style" w:hAnsi="Bookman Old Style"/>
          <w:lang w:val="es-CO"/>
        </w:rPr>
      </w:pPr>
      <w:r w:rsidRPr="00472219">
        <w:rPr>
          <w:noProof/>
          <w:lang w:val="es-CO" w:eastAsia="es-CO"/>
        </w:rPr>
        <w:drawing>
          <wp:inline distT="0" distB="0" distL="0" distR="0">
            <wp:extent cx="4724400" cy="7239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24400" cy="723900"/>
                    </a:xfrm>
                    <a:prstGeom prst="rect">
                      <a:avLst/>
                    </a:prstGeom>
                    <a:noFill/>
                    <a:ln>
                      <a:noFill/>
                    </a:ln>
                  </pic:spPr>
                </pic:pic>
              </a:graphicData>
            </a:graphic>
          </wp:inline>
        </w:drawing>
      </w:r>
    </w:p>
    <w:p w:rsidR="00787C10" w:rsidRPr="00384D65" w:rsidRDefault="00787C10" w:rsidP="00787C10">
      <w:pPr>
        <w:widowControl w:val="0"/>
        <w:adjustRightInd w:val="0"/>
        <w:jc w:val="both"/>
        <w:textAlignment w:val="baseline"/>
        <w:rPr>
          <w:rFonts w:ascii="Bookman Old Style" w:hAnsi="Bookman Old Style"/>
        </w:rPr>
      </w:pPr>
    </w:p>
    <w:p w:rsidR="00787C10" w:rsidRPr="007B792F" w:rsidRDefault="00787C10" w:rsidP="00787C10">
      <w:pPr>
        <w:widowControl w:val="0"/>
        <w:numPr>
          <w:ilvl w:val="0"/>
          <w:numId w:val="16"/>
        </w:numPr>
        <w:adjustRightInd w:val="0"/>
        <w:jc w:val="both"/>
        <w:textAlignment w:val="baseline"/>
        <w:rPr>
          <w:rFonts w:ascii="Bookman Old Style" w:hAnsi="Bookman Old Style"/>
        </w:rPr>
      </w:pPr>
      <w:r w:rsidRPr="007B792F">
        <w:rPr>
          <w:rFonts w:ascii="Bookman Old Style" w:hAnsi="Bookman Old Style"/>
        </w:rPr>
        <w:t xml:space="preserve">El Artículo 5 de la Resolución CREG </w:t>
      </w:r>
      <w:r w:rsidR="00553DA4">
        <w:rPr>
          <w:rFonts w:ascii="Bookman Old Style" w:hAnsi="Bookman Old Style"/>
        </w:rPr>
        <w:t>019 de 2010</w:t>
      </w:r>
      <w:r w:rsidRPr="007B792F">
        <w:rPr>
          <w:rFonts w:ascii="Bookman Old Style" w:hAnsi="Bookman Old Style"/>
        </w:rPr>
        <w:t>, queda así:</w:t>
      </w:r>
    </w:p>
    <w:p w:rsidR="00787C10" w:rsidRPr="007B792F" w:rsidRDefault="00787C10" w:rsidP="00787C10">
      <w:pPr>
        <w:widowControl w:val="0"/>
        <w:adjustRightInd w:val="0"/>
        <w:ind w:left="1361"/>
        <w:jc w:val="both"/>
        <w:textAlignment w:val="baseline"/>
        <w:rPr>
          <w:rFonts w:ascii="Bookman Old Style" w:hAnsi="Bookman Old Style"/>
        </w:rPr>
      </w:pPr>
    </w:p>
    <w:p w:rsidR="00787C10" w:rsidRPr="007B792F" w:rsidRDefault="00787C10" w:rsidP="00787C10">
      <w:pPr>
        <w:widowControl w:val="0"/>
        <w:adjustRightInd w:val="0"/>
        <w:jc w:val="both"/>
        <w:textAlignment w:val="baseline"/>
        <w:rPr>
          <w:rFonts w:ascii="Bookman Old Style" w:hAnsi="Bookman Old Style"/>
        </w:rPr>
      </w:pPr>
      <w:r w:rsidRPr="007B792F">
        <w:rPr>
          <w:rFonts w:ascii="Bookman Old Style" w:hAnsi="Bookman Old Style"/>
          <w:b/>
        </w:rPr>
        <w:t xml:space="preserve">Artículo 5. Costos de reposición de la inversión. </w:t>
      </w:r>
      <w:r w:rsidRPr="007B792F">
        <w:rPr>
          <w:rFonts w:ascii="Bookman Old Style" w:hAnsi="Bookman Old Style"/>
        </w:rPr>
        <w:t xml:space="preserve">Los costos de reposición de la inversión del OR </w:t>
      </w:r>
      <w:r w:rsidR="00ED43C0">
        <w:rPr>
          <w:rFonts w:ascii="Bookman Old Style" w:hAnsi="Bookman Old Style"/>
          <w:lang w:val="es-CO"/>
        </w:rPr>
        <w:t xml:space="preserve">Centrales Eléctricas de Nariño S.A. E.S.P. </w:t>
      </w:r>
      <w:proofErr w:type="spellStart"/>
      <w:r w:rsidR="00ED43C0">
        <w:rPr>
          <w:rFonts w:ascii="Bookman Old Style" w:hAnsi="Bookman Old Style"/>
          <w:lang w:val="es-CO"/>
        </w:rPr>
        <w:t>Cedenar</w:t>
      </w:r>
      <w:proofErr w:type="spellEnd"/>
      <w:r w:rsidRPr="007B792F">
        <w:rPr>
          <w:rFonts w:ascii="Bookman Old Style" w:hAnsi="Bookman Old Style"/>
        </w:rPr>
        <w:t xml:space="preserve"> para cada nivel de tensión, calculados en la forma establecida en la Resolución CREG 097 de 2008, son los siguientes:</w:t>
      </w:r>
    </w:p>
    <w:p w:rsidR="00787C10" w:rsidRPr="00E569CC" w:rsidRDefault="00787C10" w:rsidP="00787C10">
      <w:pPr>
        <w:widowControl w:val="0"/>
        <w:adjustRightInd w:val="0"/>
        <w:jc w:val="both"/>
        <w:textAlignment w:val="baseline"/>
        <w:rPr>
          <w:rFonts w:ascii="Bookman Old Style" w:hAnsi="Bookman Old Style"/>
          <w:highlight w:val="yellow"/>
        </w:rPr>
      </w:pPr>
    </w:p>
    <w:p w:rsidR="00787C10" w:rsidRPr="00817F7A" w:rsidRDefault="00553DA4" w:rsidP="00787C10">
      <w:pPr>
        <w:widowControl w:val="0"/>
        <w:adjustRightInd w:val="0"/>
        <w:jc w:val="center"/>
        <w:textAlignment w:val="baseline"/>
        <w:rPr>
          <w:rFonts w:ascii="Bookman Old Style" w:hAnsi="Bookman Old Style"/>
        </w:rPr>
      </w:pPr>
      <w:r w:rsidRPr="00553DA4">
        <w:rPr>
          <w:noProof/>
          <w:lang w:val="es-CO" w:eastAsia="es-CO"/>
        </w:rPr>
        <w:drawing>
          <wp:inline distT="0" distB="0" distL="0" distR="0">
            <wp:extent cx="4724400" cy="141922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24400" cy="1419225"/>
                    </a:xfrm>
                    <a:prstGeom prst="rect">
                      <a:avLst/>
                    </a:prstGeom>
                    <a:noFill/>
                    <a:ln>
                      <a:noFill/>
                    </a:ln>
                  </pic:spPr>
                </pic:pic>
              </a:graphicData>
            </a:graphic>
          </wp:inline>
        </w:drawing>
      </w:r>
    </w:p>
    <w:p w:rsidR="00787C10" w:rsidRDefault="00787C10" w:rsidP="00787C10">
      <w:pPr>
        <w:widowControl w:val="0"/>
        <w:adjustRightInd w:val="0"/>
        <w:ind w:left="1361"/>
        <w:jc w:val="both"/>
        <w:textAlignment w:val="baseline"/>
        <w:rPr>
          <w:rFonts w:ascii="Bookman Old Style" w:hAnsi="Bookman Old Style"/>
        </w:rPr>
      </w:pPr>
    </w:p>
    <w:p w:rsidR="00617D4A" w:rsidRDefault="00617D4A" w:rsidP="00787C10">
      <w:pPr>
        <w:widowControl w:val="0"/>
        <w:adjustRightInd w:val="0"/>
        <w:ind w:left="1361"/>
        <w:jc w:val="both"/>
        <w:textAlignment w:val="baseline"/>
        <w:rPr>
          <w:rFonts w:ascii="Bookman Old Style" w:hAnsi="Bookman Old Style"/>
        </w:rPr>
      </w:pPr>
    </w:p>
    <w:p w:rsidR="00617D4A" w:rsidRDefault="00617D4A" w:rsidP="00787C10">
      <w:pPr>
        <w:widowControl w:val="0"/>
        <w:adjustRightInd w:val="0"/>
        <w:ind w:left="1361"/>
        <w:jc w:val="both"/>
        <w:textAlignment w:val="baseline"/>
        <w:rPr>
          <w:rFonts w:ascii="Bookman Old Style" w:hAnsi="Bookman Old Style"/>
        </w:rPr>
      </w:pPr>
    </w:p>
    <w:p w:rsidR="00787C10" w:rsidRDefault="00787C10" w:rsidP="00787C10">
      <w:pPr>
        <w:widowControl w:val="0"/>
        <w:numPr>
          <w:ilvl w:val="0"/>
          <w:numId w:val="16"/>
        </w:numPr>
        <w:adjustRightInd w:val="0"/>
        <w:jc w:val="both"/>
        <w:textAlignment w:val="baseline"/>
        <w:rPr>
          <w:rFonts w:ascii="Bookman Old Style" w:hAnsi="Bookman Old Style"/>
        </w:rPr>
      </w:pPr>
      <w:r w:rsidRPr="00BB1387">
        <w:rPr>
          <w:rFonts w:ascii="Bookman Old Style" w:hAnsi="Bookman Old Style"/>
          <w:b/>
        </w:rPr>
        <w:t>Vigencia.</w:t>
      </w:r>
      <w:r w:rsidRPr="007F735F">
        <w:rPr>
          <w:rFonts w:ascii="Bookman Old Style" w:hAnsi="Bookman Old Style"/>
        </w:rPr>
        <w:t xml:space="preserve"> </w:t>
      </w:r>
      <w:r w:rsidRPr="00417564">
        <w:rPr>
          <w:rFonts w:ascii="Bookman Old Style" w:hAnsi="Bookman Old Style"/>
        </w:rPr>
        <w:t xml:space="preserve">De conformidad con lo previsto por el artículo 19 de la Resolución CREG 097 de 2008, los cargos y valores </w:t>
      </w:r>
      <w:r>
        <w:rPr>
          <w:rFonts w:ascii="Bookman Old Style" w:hAnsi="Bookman Old Style"/>
        </w:rPr>
        <w:t xml:space="preserve">aquí </w:t>
      </w:r>
      <w:r w:rsidRPr="00417564">
        <w:rPr>
          <w:rFonts w:ascii="Bookman Old Style" w:hAnsi="Bookman Old Style"/>
        </w:rPr>
        <w:t xml:space="preserve">aprobados estarán vigentes desde la fecha en que quede en firme </w:t>
      </w:r>
      <w:r>
        <w:rPr>
          <w:rFonts w:ascii="Bookman Old Style" w:hAnsi="Bookman Old Style"/>
        </w:rPr>
        <w:t xml:space="preserve">la presente resolución </w:t>
      </w:r>
      <w:r w:rsidRPr="00417564">
        <w:rPr>
          <w:rFonts w:ascii="Bookman Old Style" w:hAnsi="Bookman Old Style"/>
        </w:rPr>
        <w:t xml:space="preserve">y </w:t>
      </w:r>
      <w:r>
        <w:rPr>
          <w:rFonts w:ascii="Bookman Old Style" w:hAnsi="Bookman Old Style"/>
        </w:rPr>
        <w:t xml:space="preserve">por el periodo que establezca la regulación, sin perjuicio de las actualizaciones a que haya lugar. </w:t>
      </w:r>
      <w:r w:rsidRPr="00417564">
        <w:rPr>
          <w:rFonts w:ascii="Bookman Old Style" w:hAnsi="Bookman Old Style"/>
        </w:rPr>
        <w:t>Vencido su período de vigencia, continuarán rigiendo hasta que la Comisión apruebe los nuevos.</w:t>
      </w:r>
    </w:p>
    <w:p w:rsidR="00617D4A" w:rsidRPr="007F735F" w:rsidRDefault="00617D4A" w:rsidP="00617D4A">
      <w:pPr>
        <w:widowControl w:val="0"/>
        <w:adjustRightInd w:val="0"/>
        <w:ind w:left="1361"/>
        <w:jc w:val="both"/>
        <w:textAlignment w:val="baseline"/>
        <w:rPr>
          <w:rFonts w:ascii="Bookman Old Style" w:hAnsi="Bookman Old Style"/>
        </w:rPr>
      </w:pPr>
    </w:p>
    <w:p w:rsidR="00787C10" w:rsidRPr="00BB1387" w:rsidRDefault="00787C10" w:rsidP="00787C10">
      <w:pPr>
        <w:widowControl w:val="0"/>
        <w:numPr>
          <w:ilvl w:val="0"/>
          <w:numId w:val="16"/>
        </w:numPr>
        <w:adjustRightInd w:val="0"/>
        <w:jc w:val="both"/>
        <w:textAlignment w:val="baseline"/>
        <w:rPr>
          <w:rFonts w:ascii="Bookman Old Style" w:hAnsi="Bookman Old Style"/>
          <w:b/>
        </w:rPr>
      </w:pPr>
      <w:r w:rsidRPr="00BB1387">
        <w:rPr>
          <w:rFonts w:ascii="Bookman Old Style" w:hAnsi="Bookman Old Style"/>
          <w:b/>
        </w:rPr>
        <w:t xml:space="preserve">Recursos. </w:t>
      </w:r>
      <w:r w:rsidRPr="00BB1387">
        <w:rPr>
          <w:rFonts w:ascii="Bookman Old Style" w:hAnsi="Bookman Old Style"/>
        </w:rPr>
        <w:t xml:space="preserve">La presente Resolución deberá notificarse a </w:t>
      </w:r>
      <w:r w:rsidR="00ED43C0">
        <w:rPr>
          <w:rFonts w:ascii="Bookman Old Style" w:hAnsi="Bookman Old Style"/>
          <w:lang w:val="es-CO"/>
        </w:rPr>
        <w:t xml:space="preserve">Centrales Eléctricas de Nariño S.A. E.S.P. </w:t>
      </w:r>
      <w:proofErr w:type="spellStart"/>
      <w:r w:rsidR="00ED43C0">
        <w:rPr>
          <w:rFonts w:ascii="Bookman Old Style" w:hAnsi="Bookman Old Style"/>
          <w:lang w:val="es-CO"/>
        </w:rPr>
        <w:t>Cedenar</w:t>
      </w:r>
      <w:proofErr w:type="spellEnd"/>
      <w:r w:rsidRPr="00384D65">
        <w:rPr>
          <w:rFonts w:ascii="Bookman Old Style" w:hAnsi="Bookman Old Style"/>
        </w:rPr>
        <w:t>,</w:t>
      </w:r>
      <w:r w:rsidRPr="000D33E7">
        <w:rPr>
          <w:rFonts w:ascii="Bookman Old Style" w:hAnsi="Bookman Old Style"/>
        </w:rPr>
        <w:t xml:space="preserve"> </w:t>
      </w:r>
      <w:r>
        <w:rPr>
          <w:rFonts w:ascii="Bookman Old Style" w:hAnsi="Bookman Old Style"/>
        </w:rPr>
        <w:t>c</w:t>
      </w:r>
      <w:r w:rsidRPr="00BB1387">
        <w:rPr>
          <w:rFonts w:ascii="Bookman Old Style" w:hAnsi="Bookman Old Style"/>
        </w:rPr>
        <w:t>ontra lo dispuesto en este acto procede el recurso de reposición, el cual se podrá interponer ante la Dirección Ejecutiva de la CREG dentro de los cinco (5) días hábiles siguientes a la fecha de su notificación.</w:t>
      </w:r>
    </w:p>
    <w:p w:rsidR="00787C10" w:rsidRPr="006B71CD" w:rsidRDefault="00787C10" w:rsidP="00787C10">
      <w:pPr>
        <w:widowControl w:val="0"/>
        <w:adjustRightInd w:val="0"/>
        <w:ind w:left="1361"/>
        <w:jc w:val="both"/>
        <w:textAlignment w:val="baseline"/>
        <w:rPr>
          <w:rFonts w:ascii="Bookman Old Style" w:hAnsi="Bookman Old Style"/>
        </w:rPr>
      </w:pPr>
    </w:p>
    <w:p w:rsidR="00787C10" w:rsidRPr="006B71CD" w:rsidRDefault="00787C10" w:rsidP="00787C10">
      <w:pPr>
        <w:widowControl w:val="0"/>
        <w:adjustRightInd w:val="0"/>
        <w:ind w:left="1361"/>
        <w:jc w:val="both"/>
        <w:textAlignment w:val="baseline"/>
        <w:rPr>
          <w:rFonts w:ascii="Bookman Old Style" w:hAnsi="Bookman Old Style"/>
        </w:rPr>
      </w:pPr>
    </w:p>
    <w:p w:rsidR="00787C10" w:rsidRPr="000058F4" w:rsidRDefault="00787C10" w:rsidP="00787C10">
      <w:pPr>
        <w:ind w:left="0"/>
        <w:jc w:val="center"/>
        <w:rPr>
          <w:rFonts w:ascii="Bookman Old Style" w:hAnsi="Bookman Old Style"/>
          <w:b/>
        </w:rPr>
      </w:pPr>
      <w:r w:rsidRPr="000058F4">
        <w:rPr>
          <w:rFonts w:ascii="Bookman Old Style" w:hAnsi="Bookman Old Style"/>
          <w:b/>
        </w:rPr>
        <w:t>NOTIFÍQUESE</w:t>
      </w:r>
      <w:r>
        <w:rPr>
          <w:rFonts w:ascii="Bookman Old Style" w:hAnsi="Bookman Old Style"/>
          <w:b/>
        </w:rPr>
        <w:t>, PUBLÍQUESE</w:t>
      </w:r>
      <w:r w:rsidRPr="000058F4">
        <w:rPr>
          <w:rFonts w:ascii="Bookman Old Style" w:hAnsi="Bookman Old Style"/>
          <w:b/>
        </w:rPr>
        <w:t xml:space="preserve"> Y CÚMPLASE</w:t>
      </w:r>
    </w:p>
    <w:p w:rsidR="00787C10" w:rsidRPr="000058F4" w:rsidRDefault="00787C10" w:rsidP="00787C10">
      <w:pPr>
        <w:ind w:left="0"/>
        <w:rPr>
          <w:rFonts w:ascii="Bookman Old Style" w:hAnsi="Bookman Old Style"/>
        </w:rPr>
      </w:pPr>
    </w:p>
    <w:p w:rsidR="00787C10" w:rsidRPr="000058F4" w:rsidRDefault="00787C10" w:rsidP="00787C10">
      <w:pPr>
        <w:ind w:left="0"/>
        <w:rPr>
          <w:rFonts w:ascii="Bookman Old Style" w:hAnsi="Bookman Old Style"/>
        </w:rPr>
      </w:pPr>
    </w:p>
    <w:p w:rsidR="00787C10" w:rsidRPr="000058F4" w:rsidRDefault="00787C10" w:rsidP="00787C10">
      <w:pPr>
        <w:ind w:left="0"/>
        <w:rPr>
          <w:rFonts w:ascii="Bookman Old Style" w:hAnsi="Bookman Old Style"/>
        </w:rPr>
      </w:pPr>
      <w:r w:rsidRPr="000058F4">
        <w:rPr>
          <w:rFonts w:ascii="Bookman Old Style" w:hAnsi="Bookman Old Style"/>
        </w:rPr>
        <w:t xml:space="preserve">Dada en Bogotá. D. C., </w:t>
      </w:r>
    </w:p>
    <w:p w:rsidR="00787C10" w:rsidRDefault="00787C10" w:rsidP="00787C10">
      <w:pPr>
        <w:rPr>
          <w:rFonts w:ascii="Bookman Old Style" w:hAnsi="Bookman Old Style"/>
        </w:rPr>
      </w:pPr>
    </w:p>
    <w:p w:rsidR="00787C10" w:rsidRDefault="00787C10" w:rsidP="00787C10">
      <w:pPr>
        <w:rPr>
          <w:rFonts w:ascii="Bookman Old Style" w:hAnsi="Bookman Old Style"/>
        </w:rPr>
      </w:pPr>
    </w:p>
    <w:p w:rsidR="00787C10" w:rsidRDefault="00787C10" w:rsidP="00787C10">
      <w:pPr>
        <w:rPr>
          <w:rFonts w:ascii="Bookman Old Style" w:hAnsi="Bookman Old Style"/>
        </w:rPr>
      </w:pPr>
    </w:p>
    <w:p w:rsidR="009E110B" w:rsidRDefault="009E110B" w:rsidP="00787C10">
      <w:pPr>
        <w:rPr>
          <w:rFonts w:ascii="Bookman Old Style" w:hAnsi="Bookman Old Style"/>
        </w:rPr>
      </w:pPr>
    </w:p>
    <w:p w:rsidR="00787C10" w:rsidRDefault="00787C10" w:rsidP="00787C10">
      <w:pPr>
        <w:rPr>
          <w:rFonts w:ascii="Bookman Old Style" w:hAnsi="Bookman Old Style"/>
        </w:rPr>
      </w:pPr>
    </w:p>
    <w:p w:rsidR="00787C10" w:rsidRPr="000058F4" w:rsidRDefault="00787C10" w:rsidP="00787C10">
      <w:pPr>
        <w:rPr>
          <w:rFonts w:ascii="Bookman Old Style" w:hAnsi="Bookman Old Style"/>
        </w:rPr>
      </w:pPr>
    </w:p>
    <w:tbl>
      <w:tblPr>
        <w:tblW w:w="9640" w:type="dxa"/>
        <w:tblInd w:w="-142" w:type="dxa"/>
        <w:tblLayout w:type="fixed"/>
        <w:tblCellMar>
          <w:left w:w="0" w:type="dxa"/>
          <w:right w:w="0" w:type="dxa"/>
        </w:tblCellMar>
        <w:tblLook w:val="0000" w:firstRow="0" w:lastRow="0" w:firstColumn="0" w:lastColumn="0" w:noHBand="0" w:noVBand="0"/>
      </w:tblPr>
      <w:tblGrid>
        <w:gridCol w:w="4962"/>
        <w:gridCol w:w="4678"/>
      </w:tblGrid>
      <w:tr w:rsidR="00787C10" w:rsidRPr="000377B0" w:rsidTr="00306D24">
        <w:tc>
          <w:tcPr>
            <w:tcW w:w="4962" w:type="dxa"/>
          </w:tcPr>
          <w:p w:rsidR="00787C10" w:rsidRPr="000377B0" w:rsidRDefault="009E110B" w:rsidP="009E110B">
            <w:pPr>
              <w:snapToGrid w:val="0"/>
              <w:ind w:left="0"/>
              <w:jc w:val="center"/>
              <w:rPr>
                <w:rFonts w:ascii="Bookman Old Style" w:hAnsi="Bookman Old Style" w:cs="Arial"/>
                <w:b/>
                <w:bCs/>
                <w:szCs w:val="22"/>
              </w:rPr>
            </w:pPr>
            <w:r>
              <w:rPr>
                <w:rFonts w:ascii="Bookman Old Style" w:hAnsi="Bookman Old Style" w:cs="Arial"/>
                <w:b/>
                <w:bCs/>
                <w:szCs w:val="22"/>
              </w:rPr>
              <w:t>AMILCAR DAVID ACOSTA MEDINA</w:t>
            </w:r>
          </w:p>
        </w:tc>
        <w:tc>
          <w:tcPr>
            <w:tcW w:w="4678" w:type="dxa"/>
          </w:tcPr>
          <w:p w:rsidR="00787C10" w:rsidRPr="000377B0" w:rsidRDefault="00787C10" w:rsidP="00306D24">
            <w:pPr>
              <w:snapToGrid w:val="0"/>
              <w:ind w:left="0"/>
              <w:jc w:val="center"/>
              <w:rPr>
                <w:rFonts w:ascii="Bookman Old Style" w:hAnsi="Bookman Old Style" w:cs="Arial"/>
                <w:b/>
                <w:bCs/>
                <w:szCs w:val="22"/>
              </w:rPr>
            </w:pPr>
            <w:r>
              <w:rPr>
                <w:rFonts w:ascii="Bookman Old Style" w:hAnsi="Bookman Old Style" w:cs="Arial"/>
                <w:b/>
                <w:bCs/>
                <w:szCs w:val="22"/>
              </w:rPr>
              <w:t>CARLOS FERNANDO ERASO CALERO</w:t>
            </w:r>
          </w:p>
        </w:tc>
      </w:tr>
      <w:tr w:rsidR="00787C10" w:rsidRPr="000377B0" w:rsidTr="00306D24">
        <w:tc>
          <w:tcPr>
            <w:tcW w:w="4962" w:type="dxa"/>
          </w:tcPr>
          <w:p w:rsidR="00787C10" w:rsidRPr="000377B0" w:rsidRDefault="009E110B" w:rsidP="00306D24">
            <w:pPr>
              <w:snapToGrid w:val="0"/>
              <w:ind w:left="0"/>
              <w:jc w:val="center"/>
              <w:rPr>
                <w:rFonts w:ascii="Bookman Old Style" w:hAnsi="Bookman Old Style" w:cs="Arial"/>
                <w:szCs w:val="22"/>
              </w:rPr>
            </w:pPr>
            <w:r>
              <w:rPr>
                <w:rFonts w:ascii="Bookman Old Style" w:hAnsi="Bookman Old Style" w:cs="Arial"/>
                <w:szCs w:val="22"/>
              </w:rPr>
              <w:t>Ministro de Minas y Energía</w:t>
            </w:r>
          </w:p>
        </w:tc>
        <w:tc>
          <w:tcPr>
            <w:tcW w:w="4678" w:type="dxa"/>
          </w:tcPr>
          <w:p w:rsidR="00787C10" w:rsidRPr="000377B0" w:rsidRDefault="00787C10" w:rsidP="00306D24">
            <w:pPr>
              <w:snapToGrid w:val="0"/>
              <w:ind w:left="0"/>
              <w:jc w:val="center"/>
              <w:rPr>
                <w:rFonts w:ascii="Bookman Old Style" w:hAnsi="Bookman Old Style" w:cs="Arial"/>
                <w:szCs w:val="22"/>
              </w:rPr>
            </w:pPr>
            <w:r w:rsidRPr="000377B0">
              <w:rPr>
                <w:rFonts w:ascii="Bookman Old Style" w:hAnsi="Bookman Old Style" w:cs="Arial"/>
                <w:szCs w:val="22"/>
              </w:rPr>
              <w:t>Director Ejecutivo</w:t>
            </w:r>
          </w:p>
        </w:tc>
      </w:tr>
      <w:tr w:rsidR="00787C10" w:rsidRPr="000377B0" w:rsidTr="00306D24">
        <w:tc>
          <w:tcPr>
            <w:tcW w:w="4962" w:type="dxa"/>
          </w:tcPr>
          <w:p w:rsidR="00787C10" w:rsidRPr="000377B0" w:rsidRDefault="00787C10" w:rsidP="00306D24">
            <w:pPr>
              <w:snapToGrid w:val="0"/>
              <w:ind w:left="0"/>
              <w:jc w:val="center"/>
              <w:rPr>
                <w:rFonts w:ascii="Bookman Old Style" w:hAnsi="Bookman Old Style" w:cs="Arial"/>
                <w:szCs w:val="22"/>
              </w:rPr>
            </w:pPr>
            <w:r w:rsidRPr="000377B0">
              <w:rPr>
                <w:rFonts w:ascii="Bookman Old Style" w:hAnsi="Bookman Old Style" w:cs="Arial"/>
                <w:szCs w:val="22"/>
              </w:rPr>
              <w:t>Presidente</w:t>
            </w:r>
          </w:p>
        </w:tc>
        <w:tc>
          <w:tcPr>
            <w:tcW w:w="4678" w:type="dxa"/>
          </w:tcPr>
          <w:p w:rsidR="00787C10" w:rsidRPr="000377B0" w:rsidRDefault="00787C10" w:rsidP="00306D24">
            <w:pPr>
              <w:snapToGrid w:val="0"/>
              <w:rPr>
                <w:rFonts w:ascii="Bookman Old Style" w:hAnsi="Bookman Old Style" w:cs="Arial"/>
                <w:szCs w:val="22"/>
              </w:rPr>
            </w:pPr>
          </w:p>
        </w:tc>
      </w:tr>
    </w:tbl>
    <w:p w:rsidR="00787C10" w:rsidRPr="000058F4" w:rsidRDefault="00787C10" w:rsidP="00787C10">
      <w:pPr>
        <w:ind w:left="0"/>
        <w:rPr>
          <w:rFonts w:ascii="Bookman Old Style" w:hAnsi="Bookman Old Style"/>
        </w:rPr>
      </w:pPr>
    </w:p>
    <w:p w:rsidR="00E433F6" w:rsidRPr="00787C10" w:rsidRDefault="00E433F6" w:rsidP="00787C10"/>
    <w:sectPr w:rsidR="00E433F6" w:rsidRPr="00787C10" w:rsidSect="005A59EF">
      <w:headerReference w:type="default" r:id="rId15"/>
      <w:headerReference w:type="first" r:id="rId16"/>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883" w:rsidRDefault="003E0883">
      <w:r>
        <w:separator/>
      </w:r>
    </w:p>
  </w:endnote>
  <w:endnote w:type="continuationSeparator" w:id="0">
    <w:p w:rsidR="003E0883" w:rsidRDefault="003E0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883" w:rsidRDefault="003E0883">
      <w:r>
        <w:separator/>
      </w:r>
    </w:p>
  </w:footnote>
  <w:footnote w:type="continuationSeparator" w:id="0">
    <w:p w:rsidR="003E0883" w:rsidRDefault="003E0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63A" w:rsidRDefault="00E4263A" w:rsidP="00951F79">
    <w:pPr>
      <w:pStyle w:val="Ttulo1"/>
      <w:ind w:right="6"/>
      <w:jc w:val="left"/>
      <w:rPr>
        <w:rFonts w:ascii="Bookman Old Style" w:hAnsi="Bookman Old Style" w:cs="Arial"/>
        <w:b w:val="0"/>
        <w:sz w:val="22"/>
        <w:szCs w:val="22"/>
      </w:rPr>
    </w:pPr>
  </w:p>
  <w:p w:rsidR="00E4263A" w:rsidRPr="00951F79" w:rsidRDefault="00E4263A"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452F72">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452F72" w:rsidRPr="00452F72">
        <w:rPr>
          <w:rFonts w:ascii="Bookman Old Style" w:hAnsi="Bookman Old Style" w:cs="Arial"/>
          <w:b w:val="0"/>
          <w:noProof/>
          <w:sz w:val="22"/>
          <w:szCs w:val="22"/>
        </w:rPr>
        <w:t>4</w:t>
      </w:r>
    </w:fldSimple>
  </w:p>
  <w:p w:rsidR="00E4263A" w:rsidRDefault="00E4263A"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212E7424" wp14:editId="0E2A5AD4">
              <wp:simplePos x="0" y="0"/>
              <wp:positionH relativeFrom="column">
                <wp:posOffset>-175260</wp:posOffset>
              </wp:positionH>
              <wp:positionV relativeFrom="paragraph">
                <wp:posOffset>139065</wp:posOffset>
              </wp:positionV>
              <wp:extent cx="6267450" cy="9900920"/>
              <wp:effectExtent l="15240" t="15240" r="13335" b="1841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G7M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lOG7MegIA&#10;AP0EAAAOAAAAAAAAAAAAAAAAAC4CAABkcnMvZTJvRG9jLnhtbFBLAQItABQABgAIAAAAIQBXFkFY&#10;4wAAAAsBAAAPAAAAAAAAAAAAAAAAANQEAABkcnMvZG93bnJldi54bWxQSwUGAAAAAAQABADzAAAA&#10;5AUAAAAA&#10;" filled="f" strokeweight="1.5pt"/>
          </w:pict>
        </mc:Fallback>
      </mc:AlternateContent>
    </w:r>
  </w:p>
  <w:p w:rsidR="00E4263A" w:rsidRPr="00CB5DD0" w:rsidRDefault="00617D4A" w:rsidP="00617D4A">
    <w:pPr>
      <w:pBdr>
        <w:bottom w:val="single" w:sz="4" w:space="1" w:color="auto"/>
      </w:pBdr>
      <w:ind w:left="142" w:right="148"/>
      <w:jc w:val="both"/>
      <w:rPr>
        <w:b/>
      </w:rPr>
    </w:pPr>
    <w:r w:rsidRPr="00617D4A">
      <w:rPr>
        <w:rFonts w:ascii="Bookman Old Style" w:hAnsi="Bookman Old Style" w:cs="Arial"/>
        <w:spacing w:val="-3"/>
        <w:sz w:val="22"/>
        <w:szCs w:val="22"/>
        <w:lang w:val="es-ES_tradnl"/>
      </w:rPr>
      <w:t xml:space="preserve">Por la cual se actualiza el Costo Anual por el uso de los Activos de Nivel de Tensión 4 operados por Centrales Eléctricas de Nariño S.A. E.S.P., </w:t>
    </w:r>
    <w:proofErr w:type="spellStart"/>
    <w:r w:rsidRPr="00617D4A">
      <w:rPr>
        <w:rFonts w:ascii="Bookman Old Style" w:hAnsi="Bookman Old Style" w:cs="Arial"/>
        <w:spacing w:val="-3"/>
        <w:sz w:val="22"/>
        <w:szCs w:val="22"/>
        <w:lang w:val="es-ES_tradnl"/>
      </w:rPr>
      <w:t>Cedenar</w:t>
    </w:r>
    <w:proofErr w:type="spellEnd"/>
    <w:r w:rsidRPr="00617D4A">
      <w:rPr>
        <w:rFonts w:ascii="Bookman Old Style" w:hAnsi="Bookman Old Style" w:cs="Arial"/>
        <w:spacing w:val="-3"/>
        <w:sz w:val="22"/>
        <w:szCs w:val="22"/>
        <w:lang w:val="es-ES_tradnl"/>
      </w:rPr>
      <w:t>, en el Sistema de Transmisión Regional, STR.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63A" w:rsidRDefault="00E4263A"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E4263A" w:rsidRDefault="00E4263A">
    <w:pPr>
      <w:pStyle w:val="Encabezado"/>
      <w:jc w:val="center"/>
      <w:rPr>
        <w:rFonts w:ascii="Arial" w:hAnsi="Arial" w:cs="Arial"/>
        <w:spacing w:val="20"/>
        <w:sz w:val="20"/>
      </w:rPr>
    </w:pPr>
  </w:p>
  <w:p w:rsidR="00E4263A" w:rsidRDefault="00E4263A"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352F129D" wp14:editId="69E9DC90">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078775C2"/>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4">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31116C6"/>
    <w:multiLevelType w:val="hybridMultilevel"/>
    <w:tmpl w:val="BA3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DC6F09"/>
    <w:multiLevelType w:val="multilevel"/>
    <w:tmpl w:val="80189DDA"/>
    <w:lvl w:ilvl="0">
      <w:start w:val="1"/>
      <w:numFmt w:val="decimal"/>
      <w:lvlText w:val="Artículo %1."/>
      <w:lvlJc w:val="left"/>
      <w:pPr>
        <w:ind w:left="0" w:firstLine="0"/>
      </w:pPr>
      <w:rPr>
        <w:rFonts w:ascii="Bookman Old Style" w:hAnsi="Bookman Old Style" w:hint="default"/>
        <w:b/>
        <w:i w:val="0"/>
        <w:caps/>
        <w:sz w:val="24"/>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9">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9DB0D2F"/>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2">
    <w:nsid w:val="52194BA5"/>
    <w:multiLevelType w:val="hybridMultilevel"/>
    <w:tmpl w:val="8D94CD90"/>
    <w:lvl w:ilvl="0" w:tplc="A0D0C484">
      <w:start w:val="1"/>
      <w:numFmt w:val="lowerLetter"/>
      <w:lvlText w:val="%1."/>
      <w:lvlJc w:val="left"/>
      <w:pPr>
        <w:ind w:left="720" w:hanging="360"/>
      </w:pPr>
      <w:rPr>
        <w:rFonts w:ascii="Arial" w:hAnsi="Arial" w:hint="default"/>
        <w:b w:val="0"/>
        <w:i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7"/>
  </w:num>
  <w:num w:numId="4">
    <w:abstractNumId w:val="6"/>
  </w:num>
  <w:num w:numId="5">
    <w:abstractNumId w:val="13"/>
  </w:num>
  <w:num w:numId="6">
    <w:abstractNumId w:val="2"/>
  </w:num>
  <w:num w:numId="7">
    <w:abstractNumId w:val="1"/>
  </w:num>
  <w:num w:numId="8">
    <w:abstractNumId w:val="15"/>
  </w:num>
  <w:num w:numId="9">
    <w:abstractNumId w:val="14"/>
  </w:num>
  <w:num w:numId="10">
    <w:abstractNumId w:val="10"/>
  </w:num>
  <w:num w:numId="11">
    <w:abstractNumId w:val="18"/>
  </w:num>
  <w:num w:numId="12">
    <w:abstractNumId w:val="16"/>
  </w:num>
  <w:num w:numId="13">
    <w:abstractNumId w:val="7"/>
  </w:num>
  <w:num w:numId="14">
    <w:abstractNumId w:val="0"/>
  </w:num>
  <w:num w:numId="15">
    <w:abstractNumId w:val="8"/>
  </w:num>
  <w:num w:numId="16">
    <w:abstractNumId w:val="11"/>
  </w:num>
  <w:num w:numId="17">
    <w:abstractNumId w:val="5"/>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04F1"/>
    <w:rsid w:val="00003ADE"/>
    <w:rsid w:val="000058F4"/>
    <w:rsid w:val="00006AE2"/>
    <w:rsid w:val="00006C1A"/>
    <w:rsid w:val="000076A1"/>
    <w:rsid w:val="00012259"/>
    <w:rsid w:val="00025383"/>
    <w:rsid w:val="00063657"/>
    <w:rsid w:val="000658B0"/>
    <w:rsid w:val="00074836"/>
    <w:rsid w:val="00076680"/>
    <w:rsid w:val="0007691B"/>
    <w:rsid w:val="00076B43"/>
    <w:rsid w:val="0008073E"/>
    <w:rsid w:val="00081F53"/>
    <w:rsid w:val="000851CA"/>
    <w:rsid w:val="00091CDB"/>
    <w:rsid w:val="000A19AC"/>
    <w:rsid w:val="000A5B9E"/>
    <w:rsid w:val="000B5996"/>
    <w:rsid w:val="000B7141"/>
    <w:rsid w:val="000D26F8"/>
    <w:rsid w:val="000D2C36"/>
    <w:rsid w:val="000D5E87"/>
    <w:rsid w:val="000E6937"/>
    <w:rsid w:val="000F1EE3"/>
    <w:rsid w:val="000F4269"/>
    <w:rsid w:val="000F5BD2"/>
    <w:rsid w:val="00100F33"/>
    <w:rsid w:val="0010128A"/>
    <w:rsid w:val="00133081"/>
    <w:rsid w:val="001405C6"/>
    <w:rsid w:val="00141013"/>
    <w:rsid w:val="001710FF"/>
    <w:rsid w:val="001715E0"/>
    <w:rsid w:val="00192CBF"/>
    <w:rsid w:val="00192FF1"/>
    <w:rsid w:val="001A5F1B"/>
    <w:rsid w:val="001A7196"/>
    <w:rsid w:val="001B1C22"/>
    <w:rsid w:val="001B34C6"/>
    <w:rsid w:val="001C098B"/>
    <w:rsid w:val="001C5E02"/>
    <w:rsid w:val="001C7022"/>
    <w:rsid w:val="001D7832"/>
    <w:rsid w:val="001E2001"/>
    <w:rsid w:val="001E41E9"/>
    <w:rsid w:val="001E5CC9"/>
    <w:rsid w:val="00204735"/>
    <w:rsid w:val="00211D34"/>
    <w:rsid w:val="00214F04"/>
    <w:rsid w:val="002316E8"/>
    <w:rsid w:val="00242E21"/>
    <w:rsid w:val="002520A5"/>
    <w:rsid w:val="00253A4C"/>
    <w:rsid w:val="00266CD6"/>
    <w:rsid w:val="00270D1A"/>
    <w:rsid w:val="0028277C"/>
    <w:rsid w:val="002953CD"/>
    <w:rsid w:val="002B11E2"/>
    <w:rsid w:val="002B24B8"/>
    <w:rsid w:val="002B5444"/>
    <w:rsid w:val="002C3BF0"/>
    <w:rsid w:val="002C713A"/>
    <w:rsid w:val="002C78A3"/>
    <w:rsid w:val="002D1FE5"/>
    <w:rsid w:val="002D3AE9"/>
    <w:rsid w:val="002D7BCF"/>
    <w:rsid w:val="002D7D33"/>
    <w:rsid w:val="002E27FA"/>
    <w:rsid w:val="002F0734"/>
    <w:rsid w:val="002F46E7"/>
    <w:rsid w:val="00300E63"/>
    <w:rsid w:val="00304B6E"/>
    <w:rsid w:val="003101DA"/>
    <w:rsid w:val="00314757"/>
    <w:rsid w:val="00317BC1"/>
    <w:rsid w:val="003211CE"/>
    <w:rsid w:val="0033002B"/>
    <w:rsid w:val="003428D1"/>
    <w:rsid w:val="003515D2"/>
    <w:rsid w:val="00351BF7"/>
    <w:rsid w:val="0035403A"/>
    <w:rsid w:val="0035549C"/>
    <w:rsid w:val="0036358B"/>
    <w:rsid w:val="0036394B"/>
    <w:rsid w:val="00367249"/>
    <w:rsid w:val="003709B5"/>
    <w:rsid w:val="00370BD1"/>
    <w:rsid w:val="003759C2"/>
    <w:rsid w:val="00384D65"/>
    <w:rsid w:val="00397365"/>
    <w:rsid w:val="0039788C"/>
    <w:rsid w:val="003A31F6"/>
    <w:rsid w:val="003B2100"/>
    <w:rsid w:val="003B6B6E"/>
    <w:rsid w:val="003C3447"/>
    <w:rsid w:val="003D076C"/>
    <w:rsid w:val="003E0883"/>
    <w:rsid w:val="003E5019"/>
    <w:rsid w:val="003E63C6"/>
    <w:rsid w:val="00415BAB"/>
    <w:rsid w:val="00415ED2"/>
    <w:rsid w:val="0042068C"/>
    <w:rsid w:val="00426E0F"/>
    <w:rsid w:val="004303C4"/>
    <w:rsid w:val="004308BD"/>
    <w:rsid w:val="0043189C"/>
    <w:rsid w:val="00434C75"/>
    <w:rsid w:val="00436CEB"/>
    <w:rsid w:val="004408E5"/>
    <w:rsid w:val="00452143"/>
    <w:rsid w:val="00452F72"/>
    <w:rsid w:val="00460EE0"/>
    <w:rsid w:val="0047122B"/>
    <w:rsid w:val="00472219"/>
    <w:rsid w:val="00473B7A"/>
    <w:rsid w:val="00475E3A"/>
    <w:rsid w:val="0048139F"/>
    <w:rsid w:val="00483942"/>
    <w:rsid w:val="00485F87"/>
    <w:rsid w:val="00487ABF"/>
    <w:rsid w:val="004932B1"/>
    <w:rsid w:val="004960E9"/>
    <w:rsid w:val="00496275"/>
    <w:rsid w:val="004A1EC8"/>
    <w:rsid w:val="004A2E88"/>
    <w:rsid w:val="004A5305"/>
    <w:rsid w:val="004B079D"/>
    <w:rsid w:val="004B6CE9"/>
    <w:rsid w:val="004C2BB6"/>
    <w:rsid w:val="004C6425"/>
    <w:rsid w:val="004D1D3A"/>
    <w:rsid w:val="004D3EF2"/>
    <w:rsid w:val="004D53CD"/>
    <w:rsid w:val="004D7634"/>
    <w:rsid w:val="004E5B75"/>
    <w:rsid w:val="00503E41"/>
    <w:rsid w:val="00504863"/>
    <w:rsid w:val="005300D3"/>
    <w:rsid w:val="00534783"/>
    <w:rsid w:val="00535285"/>
    <w:rsid w:val="00544F82"/>
    <w:rsid w:val="00553DA4"/>
    <w:rsid w:val="005555DC"/>
    <w:rsid w:val="00563D5A"/>
    <w:rsid w:val="00571353"/>
    <w:rsid w:val="00585D3A"/>
    <w:rsid w:val="00593C4F"/>
    <w:rsid w:val="005946A8"/>
    <w:rsid w:val="005A4407"/>
    <w:rsid w:val="005A59EF"/>
    <w:rsid w:val="005A6994"/>
    <w:rsid w:val="005A7FFB"/>
    <w:rsid w:val="005B4C9B"/>
    <w:rsid w:val="005D69ED"/>
    <w:rsid w:val="005E04BC"/>
    <w:rsid w:val="005F237E"/>
    <w:rsid w:val="00601E4A"/>
    <w:rsid w:val="00602242"/>
    <w:rsid w:val="00602C5C"/>
    <w:rsid w:val="0061647C"/>
    <w:rsid w:val="00617D4A"/>
    <w:rsid w:val="00625DC6"/>
    <w:rsid w:val="00626F8C"/>
    <w:rsid w:val="00627105"/>
    <w:rsid w:val="006345E2"/>
    <w:rsid w:val="00634693"/>
    <w:rsid w:val="00635C1B"/>
    <w:rsid w:val="0064398F"/>
    <w:rsid w:val="00644A3C"/>
    <w:rsid w:val="00645CB6"/>
    <w:rsid w:val="00646F87"/>
    <w:rsid w:val="00651821"/>
    <w:rsid w:val="00654384"/>
    <w:rsid w:val="00665BF2"/>
    <w:rsid w:val="00666CE7"/>
    <w:rsid w:val="006675CD"/>
    <w:rsid w:val="00670BC4"/>
    <w:rsid w:val="00684D9B"/>
    <w:rsid w:val="0069382C"/>
    <w:rsid w:val="00697556"/>
    <w:rsid w:val="006A16D4"/>
    <w:rsid w:val="006A5429"/>
    <w:rsid w:val="006B4C2B"/>
    <w:rsid w:val="006B6D47"/>
    <w:rsid w:val="006B71CD"/>
    <w:rsid w:val="006B79E2"/>
    <w:rsid w:val="006C0DD6"/>
    <w:rsid w:val="006C1D3A"/>
    <w:rsid w:val="006F6D95"/>
    <w:rsid w:val="00706F13"/>
    <w:rsid w:val="007072E8"/>
    <w:rsid w:val="007104E9"/>
    <w:rsid w:val="0071618D"/>
    <w:rsid w:val="00723E40"/>
    <w:rsid w:val="00725FA4"/>
    <w:rsid w:val="0073666F"/>
    <w:rsid w:val="00740446"/>
    <w:rsid w:val="007438A9"/>
    <w:rsid w:val="0074491E"/>
    <w:rsid w:val="0074794B"/>
    <w:rsid w:val="00750340"/>
    <w:rsid w:val="00755584"/>
    <w:rsid w:val="00761656"/>
    <w:rsid w:val="007651C0"/>
    <w:rsid w:val="00775964"/>
    <w:rsid w:val="0077709B"/>
    <w:rsid w:val="007779AE"/>
    <w:rsid w:val="007845E1"/>
    <w:rsid w:val="00785ED0"/>
    <w:rsid w:val="00787C10"/>
    <w:rsid w:val="00795466"/>
    <w:rsid w:val="00795BFB"/>
    <w:rsid w:val="00797BD0"/>
    <w:rsid w:val="007A1915"/>
    <w:rsid w:val="007B2760"/>
    <w:rsid w:val="007B792F"/>
    <w:rsid w:val="007C5B9C"/>
    <w:rsid w:val="007D3050"/>
    <w:rsid w:val="007D428F"/>
    <w:rsid w:val="007E453B"/>
    <w:rsid w:val="007E65B5"/>
    <w:rsid w:val="008012A9"/>
    <w:rsid w:val="00804930"/>
    <w:rsid w:val="00806C01"/>
    <w:rsid w:val="00811BEF"/>
    <w:rsid w:val="00813B0E"/>
    <w:rsid w:val="008148CC"/>
    <w:rsid w:val="00816EAA"/>
    <w:rsid w:val="00817F7A"/>
    <w:rsid w:val="008211A4"/>
    <w:rsid w:val="00821345"/>
    <w:rsid w:val="00843B70"/>
    <w:rsid w:val="00845514"/>
    <w:rsid w:val="00850070"/>
    <w:rsid w:val="008531E3"/>
    <w:rsid w:val="00853BEE"/>
    <w:rsid w:val="008660A2"/>
    <w:rsid w:val="00872C01"/>
    <w:rsid w:val="00873150"/>
    <w:rsid w:val="00874040"/>
    <w:rsid w:val="0087657D"/>
    <w:rsid w:val="008775D5"/>
    <w:rsid w:val="008807D5"/>
    <w:rsid w:val="00880832"/>
    <w:rsid w:val="00886EE1"/>
    <w:rsid w:val="0088727D"/>
    <w:rsid w:val="00897C75"/>
    <w:rsid w:val="008C1130"/>
    <w:rsid w:val="008D18E6"/>
    <w:rsid w:val="008D7A9B"/>
    <w:rsid w:val="008E76AC"/>
    <w:rsid w:val="008F21F6"/>
    <w:rsid w:val="008F4F9A"/>
    <w:rsid w:val="0093246C"/>
    <w:rsid w:val="0093506B"/>
    <w:rsid w:val="00937C80"/>
    <w:rsid w:val="009408FC"/>
    <w:rsid w:val="009454D9"/>
    <w:rsid w:val="00951F79"/>
    <w:rsid w:val="00966712"/>
    <w:rsid w:val="00972BAD"/>
    <w:rsid w:val="00974AB5"/>
    <w:rsid w:val="00974C38"/>
    <w:rsid w:val="0098706D"/>
    <w:rsid w:val="00991DE5"/>
    <w:rsid w:val="009935FB"/>
    <w:rsid w:val="009A7DD6"/>
    <w:rsid w:val="009C14F9"/>
    <w:rsid w:val="009C3BBD"/>
    <w:rsid w:val="009C3EF0"/>
    <w:rsid w:val="009D321A"/>
    <w:rsid w:val="009D7387"/>
    <w:rsid w:val="009E110B"/>
    <w:rsid w:val="009E698D"/>
    <w:rsid w:val="009F4A54"/>
    <w:rsid w:val="009F4BEC"/>
    <w:rsid w:val="00A17C23"/>
    <w:rsid w:val="00A17E0C"/>
    <w:rsid w:val="00A21FC7"/>
    <w:rsid w:val="00A25FD7"/>
    <w:rsid w:val="00A27343"/>
    <w:rsid w:val="00A33C22"/>
    <w:rsid w:val="00A43AFF"/>
    <w:rsid w:val="00A459F8"/>
    <w:rsid w:val="00A621D6"/>
    <w:rsid w:val="00A64866"/>
    <w:rsid w:val="00A703A8"/>
    <w:rsid w:val="00A7793A"/>
    <w:rsid w:val="00A77D85"/>
    <w:rsid w:val="00A843BB"/>
    <w:rsid w:val="00A85B4B"/>
    <w:rsid w:val="00A90A01"/>
    <w:rsid w:val="00A95565"/>
    <w:rsid w:val="00AA0080"/>
    <w:rsid w:val="00AA363D"/>
    <w:rsid w:val="00AA7405"/>
    <w:rsid w:val="00AB666A"/>
    <w:rsid w:val="00AB6CA7"/>
    <w:rsid w:val="00AD01E4"/>
    <w:rsid w:val="00AD0858"/>
    <w:rsid w:val="00AE0B57"/>
    <w:rsid w:val="00AE2268"/>
    <w:rsid w:val="00AE7340"/>
    <w:rsid w:val="00AE7469"/>
    <w:rsid w:val="00AF145B"/>
    <w:rsid w:val="00AF1BBD"/>
    <w:rsid w:val="00AF3198"/>
    <w:rsid w:val="00AF37E2"/>
    <w:rsid w:val="00B04DAE"/>
    <w:rsid w:val="00B07506"/>
    <w:rsid w:val="00B10207"/>
    <w:rsid w:val="00B11959"/>
    <w:rsid w:val="00B12755"/>
    <w:rsid w:val="00B141E7"/>
    <w:rsid w:val="00B162A5"/>
    <w:rsid w:val="00B23461"/>
    <w:rsid w:val="00B23D09"/>
    <w:rsid w:val="00B23E43"/>
    <w:rsid w:val="00B351B4"/>
    <w:rsid w:val="00B40B8F"/>
    <w:rsid w:val="00B46BCA"/>
    <w:rsid w:val="00B47906"/>
    <w:rsid w:val="00B53E70"/>
    <w:rsid w:val="00B63380"/>
    <w:rsid w:val="00B64127"/>
    <w:rsid w:val="00B66DCE"/>
    <w:rsid w:val="00B72766"/>
    <w:rsid w:val="00B844CB"/>
    <w:rsid w:val="00B86F7B"/>
    <w:rsid w:val="00B87806"/>
    <w:rsid w:val="00B87EC9"/>
    <w:rsid w:val="00BB0715"/>
    <w:rsid w:val="00BB1387"/>
    <w:rsid w:val="00BB27B2"/>
    <w:rsid w:val="00BC38FD"/>
    <w:rsid w:val="00BD7B34"/>
    <w:rsid w:val="00C021C8"/>
    <w:rsid w:val="00C032EB"/>
    <w:rsid w:val="00C034CB"/>
    <w:rsid w:val="00C04CDD"/>
    <w:rsid w:val="00C04F7A"/>
    <w:rsid w:val="00C051A8"/>
    <w:rsid w:val="00C054BC"/>
    <w:rsid w:val="00C0577A"/>
    <w:rsid w:val="00C1014F"/>
    <w:rsid w:val="00C17897"/>
    <w:rsid w:val="00C22A01"/>
    <w:rsid w:val="00C34904"/>
    <w:rsid w:val="00C34EAF"/>
    <w:rsid w:val="00C409D5"/>
    <w:rsid w:val="00C466B5"/>
    <w:rsid w:val="00C5732A"/>
    <w:rsid w:val="00C6234B"/>
    <w:rsid w:val="00C63EAE"/>
    <w:rsid w:val="00C656C3"/>
    <w:rsid w:val="00C6728C"/>
    <w:rsid w:val="00C746E7"/>
    <w:rsid w:val="00C7629F"/>
    <w:rsid w:val="00C7747B"/>
    <w:rsid w:val="00C8065C"/>
    <w:rsid w:val="00C8661B"/>
    <w:rsid w:val="00CA139A"/>
    <w:rsid w:val="00CA2899"/>
    <w:rsid w:val="00CA77FB"/>
    <w:rsid w:val="00CB379B"/>
    <w:rsid w:val="00CB382F"/>
    <w:rsid w:val="00CB5DD0"/>
    <w:rsid w:val="00CC51D4"/>
    <w:rsid w:val="00CC65DA"/>
    <w:rsid w:val="00CD61F6"/>
    <w:rsid w:val="00CE584D"/>
    <w:rsid w:val="00CF0042"/>
    <w:rsid w:val="00CF21B9"/>
    <w:rsid w:val="00CF6BF9"/>
    <w:rsid w:val="00D0272B"/>
    <w:rsid w:val="00D03800"/>
    <w:rsid w:val="00D048ED"/>
    <w:rsid w:val="00D065D3"/>
    <w:rsid w:val="00D07405"/>
    <w:rsid w:val="00D1264F"/>
    <w:rsid w:val="00D14C94"/>
    <w:rsid w:val="00D159D8"/>
    <w:rsid w:val="00D2131B"/>
    <w:rsid w:val="00D2405D"/>
    <w:rsid w:val="00D2525B"/>
    <w:rsid w:val="00D32F3D"/>
    <w:rsid w:val="00D342A6"/>
    <w:rsid w:val="00D34DBB"/>
    <w:rsid w:val="00D41220"/>
    <w:rsid w:val="00D42846"/>
    <w:rsid w:val="00D464BF"/>
    <w:rsid w:val="00D53E26"/>
    <w:rsid w:val="00D5698E"/>
    <w:rsid w:val="00D670AA"/>
    <w:rsid w:val="00D67940"/>
    <w:rsid w:val="00D72400"/>
    <w:rsid w:val="00D7412F"/>
    <w:rsid w:val="00D7616D"/>
    <w:rsid w:val="00D84DFF"/>
    <w:rsid w:val="00D87988"/>
    <w:rsid w:val="00D922E9"/>
    <w:rsid w:val="00D95C0D"/>
    <w:rsid w:val="00D97682"/>
    <w:rsid w:val="00DA0092"/>
    <w:rsid w:val="00DA6513"/>
    <w:rsid w:val="00DB451C"/>
    <w:rsid w:val="00DB51C7"/>
    <w:rsid w:val="00DC3C93"/>
    <w:rsid w:val="00DC5A43"/>
    <w:rsid w:val="00DD28C6"/>
    <w:rsid w:val="00DD4F0E"/>
    <w:rsid w:val="00DD7C59"/>
    <w:rsid w:val="00DF0ACF"/>
    <w:rsid w:val="00DF375A"/>
    <w:rsid w:val="00E00AAF"/>
    <w:rsid w:val="00E05E0A"/>
    <w:rsid w:val="00E27B4D"/>
    <w:rsid w:val="00E37FB9"/>
    <w:rsid w:val="00E4263A"/>
    <w:rsid w:val="00E433F6"/>
    <w:rsid w:val="00E534CF"/>
    <w:rsid w:val="00E566FE"/>
    <w:rsid w:val="00E569CC"/>
    <w:rsid w:val="00E81CB4"/>
    <w:rsid w:val="00E8585B"/>
    <w:rsid w:val="00E86AFA"/>
    <w:rsid w:val="00E93051"/>
    <w:rsid w:val="00E94997"/>
    <w:rsid w:val="00EA3F15"/>
    <w:rsid w:val="00EA40C9"/>
    <w:rsid w:val="00EA7847"/>
    <w:rsid w:val="00EB4FBC"/>
    <w:rsid w:val="00EC16C2"/>
    <w:rsid w:val="00EC6D45"/>
    <w:rsid w:val="00ED427E"/>
    <w:rsid w:val="00ED43C0"/>
    <w:rsid w:val="00EE2E6E"/>
    <w:rsid w:val="00EF0538"/>
    <w:rsid w:val="00EF061E"/>
    <w:rsid w:val="00EF4000"/>
    <w:rsid w:val="00EF4010"/>
    <w:rsid w:val="00EF5C39"/>
    <w:rsid w:val="00EF6C23"/>
    <w:rsid w:val="00F0759E"/>
    <w:rsid w:val="00F12BA5"/>
    <w:rsid w:val="00F43023"/>
    <w:rsid w:val="00F45935"/>
    <w:rsid w:val="00F821A3"/>
    <w:rsid w:val="00F8570A"/>
    <w:rsid w:val="00F86847"/>
    <w:rsid w:val="00F9314A"/>
    <w:rsid w:val="00F96D1B"/>
    <w:rsid w:val="00FA062F"/>
    <w:rsid w:val="00FA5BBD"/>
    <w:rsid w:val="00FB0A17"/>
    <w:rsid w:val="00FB29AB"/>
    <w:rsid w:val="00FB4485"/>
    <w:rsid w:val="00FC4E3D"/>
    <w:rsid w:val="00FC58EF"/>
    <w:rsid w:val="00FD33DF"/>
    <w:rsid w:val="00FD552B"/>
    <w:rsid w:val="00FE39D7"/>
    <w:rsid w:val="00FE466F"/>
    <w:rsid w:val="00FE69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7E65B5"/>
    <w:pPr>
      <w:widowControl w:val="0"/>
      <w:adjustRightInd w:val="0"/>
      <w:spacing w:before="120" w:after="120" w:line="360" w:lineRule="atLeast"/>
      <w:ind w:left="0"/>
      <w:jc w:val="center"/>
      <w:textAlignment w:val="baseline"/>
    </w:pPr>
    <w:rPr>
      <w:rFonts w:ascii="Bookman Old Style" w:hAnsi="Bookman Old Style"/>
      <w:b/>
      <w:sz w:val="22"/>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Refdecomentario">
    <w:name w:val="annotation reference"/>
    <w:basedOn w:val="Fuentedeprrafopredeter"/>
    <w:uiPriority w:val="99"/>
    <w:semiHidden/>
    <w:unhideWhenUsed/>
    <w:rsid w:val="00EF5C39"/>
    <w:rPr>
      <w:sz w:val="16"/>
      <w:szCs w:val="16"/>
    </w:rPr>
  </w:style>
  <w:style w:type="paragraph" w:styleId="Textocomentario">
    <w:name w:val="annotation text"/>
    <w:basedOn w:val="Normal"/>
    <w:link w:val="TextocomentarioCar"/>
    <w:uiPriority w:val="99"/>
    <w:semiHidden/>
    <w:unhideWhenUsed/>
    <w:rsid w:val="00EF5C39"/>
    <w:rPr>
      <w:sz w:val="20"/>
      <w:szCs w:val="20"/>
    </w:rPr>
  </w:style>
  <w:style w:type="character" w:customStyle="1" w:styleId="TextocomentarioCar">
    <w:name w:val="Texto comentario Car"/>
    <w:basedOn w:val="Fuentedeprrafopredeter"/>
    <w:link w:val="Textocomentario"/>
    <w:uiPriority w:val="99"/>
    <w:semiHidden/>
    <w:rsid w:val="00EF5C39"/>
  </w:style>
  <w:style w:type="paragraph" w:styleId="Asuntodelcomentario">
    <w:name w:val="annotation subject"/>
    <w:basedOn w:val="Textocomentario"/>
    <w:next w:val="Textocomentario"/>
    <w:link w:val="AsuntodelcomentarioCar"/>
    <w:uiPriority w:val="99"/>
    <w:semiHidden/>
    <w:unhideWhenUsed/>
    <w:rsid w:val="00EF5C39"/>
    <w:rPr>
      <w:b/>
      <w:bCs/>
    </w:rPr>
  </w:style>
  <w:style w:type="character" w:customStyle="1" w:styleId="AsuntodelcomentarioCar">
    <w:name w:val="Asunto del comentario Car"/>
    <w:basedOn w:val="TextocomentarioCar"/>
    <w:link w:val="Asuntodelcomentario"/>
    <w:uiPriority w:val="99"/>
    <w:semiHidden/>
    <w:rsid w:val="00EF5C39"/>
    <w:rPr>
      <w:b/>
      <w:bCs/>
    </w:rPr>
  </w:style>
  <w:style w:type="character" w:styleId="Hipervnculo">
    <w:name w:val="Hyperlink"/>
    <w:basedOn w:val="Fuentedeprrafopredeter"/>
    <w:uiPriority w:val="99"/>
    <w:unhideWhenUsed/>
    <w:rsid w:val="004D53CD"/>
    <w:rPr>
      <w:color w:val="0000FF" w:themeColor="hyperlink"/>
      <w:u w:val="single"/>
    </w:rPr>
  </w:style>
  <w:style w:type="paragraph" w:styleId="Cita">
    <w:name w:val="Quote"/>
    <w:basedOn w:val="Normal"/>
    <w:next w:val="Normal"/>
    <w:link w:val="CitaCar"/>
    <w:uiPriority w:val="29"/>
    <w:qFormat/>
    <w:rsid w:val="00843B70"/>
    <w:rPr>
      <w:i/>
      <w:iCs/>
      <w:color w:val="000000" w:themeColor="text1"/>
    </w:rPr>
  </w:style>
  <w:style w:type="character" w:customStyle="1" w:styleId="CitaCar">
    <w:name w:val="Cita Car"/>
    <w:basedOn w:val="Fuentedeprrafopredeter"/>
    <w:link w:val="Cita"/>
    <w:uiPriority w:val="29"/>
    <w:rsid w:val="00843B70"/>
    <w:rPr>
      <w:i/>
      <w:iCs/>
      <w:color w:val="000000" w:themeColor="tex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7E65B5"/>
    <w:pPr>
      <w:widowControl w:val="0"/>
      <w:adjustRightInd w:val="0"/>
      <w:spacing w:before="120" w:after="120" w:line="360" w:lineRule="atLeast"/>
      <w:ind w:left="0"/>
      <w:jc w:val="center"/>
      <w:textAlignment w:val="baseline"/>
    </w:pPr>
    <w:rPr>
      <w:rFonts w:ascii="Bookman Old Style" w:hAnsi="Bookman Old Style"/>
      <w:b/>
      <w:sz w:val="22"/>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Refdecomentario">
    <w:name w:val="annotation reference"/>
    <w:basedOn w:val="Fuentedeprrafopredeter"/>
    <w:uiPriority w:val="99"/>
    <w:semiHidden/>
    <w:unhideWhenUsed/>
    <w:rsid w:val="00EF5C39"/>
    <w:rPr>
      <w:sz w:val="16"/>
      <w:szCs w:val="16"/>
    </w:rPr>
  </w:style>
  <w:style w:type="paragraph" w:styleId="Textocomentario">
    <w:name w:val="annotation text"/>
    <w:basedOn w:val="Normal"/>
    <w:link w:val="TextocomentarioCar"/>
    <w:uiPriority w:val="99"/>
    <w:semiHidden/>
    <w:unhideWhenUsed/>
    <w:rsid w:val="00EF5C39"/>
    <w:rPr>
      <w:sz w:val="20"/>
      <w:szCs w:val="20"/>
    </w:rPr>
  </w:style>
  <w:style w:type="character" w:customStyle="1" w:styleId="TextocomentarioCar">
    <w:name w:val="Texto comentario Car"/>
    <w:basedOn w:val="Fuentedeprrafopredeter"/>
    <w:link w:val="Textocomentario"/>
    <w:uiPriority w:val="99"/>
    <w:semiHidden/>
    <w:rsid w:val="00EF5C39"/>
  </w:style>
  <w:style w:type="paragraph" w:styleId="Asuntodelcomentario">
    <w:name w:val="annotation subject"/>
    <w:basedOn w:val="Textocomentario"/>
    <w:next w:val="Textocomentario"/>
    <w:link w:val="AsuntodelcomentarioCar"/>
    <w:uiPriority w:val="99"/>
    <w:semiHidden/>
    <w:unhideWhenUsed/>
    <w:rsid w:val="00EF5C39"/>
    <w:rPr>
      <w:b/>
      <w:bCs/>
    </w:rPr>
  </w:style>
  <w:style w:type="character" w:customStyle="1" w:styleId="AsuntodelcomentarioCar">
    <w:name w:val="Asunto del comentario Car"/>
    <w:basedOn w:val="TextocomentarioCar"/>
    <w:link w:val="Asuntodelcomentario"/>
    <w:uiPriority w:val="99"/>
    <w:semiHidden/>
    <w:rsid w:val="00EF5C39"/>
    <w:rPr>
      <w:b/>
      <w:bCs/>
    </w:rPr>
  </w:style>
  <w:style w:type="character" w:styleId="Hipervnculo">
    <w:name w:val="Hyperlink"/>
    <w:basedOn w:val="Fuentedeprrafopredeter"/>
    <w:uiPriority w:val="99"/>
    <w:unhideWhenUsed/>
    <w:rsid w:val="004D53CD"/>
    <w:rPr>
      <w:color w:val="0000FF" w:themeColor="hyperlink"/>
      <w:u w:val="single"/>
    </w:rPr>
  </w:style>
  <w:style w:type="paragraph" w:styleId="Cita">
    <w:name w:val="Quote"/>
    <w:basedOn w:val="Normal"/>
    <w:next w:val="Normal"/>
    <w:link w:val="CitaCar"/>
    <w:uiPriority w:val="29"/>
    <w:qFormat/>
    <w:rsid w:val="00843B70"/>
    <w:rPr>
      <w:i/>
      <w:iCs/>
      <w:color w:val="000000" w:themeColor="text1"/>
    </w:rPr>
  </w:style>
  <w:style w:type="character" w:customStyle="1" w:styleId="CitaCar">
    <w:name w:val="Cita Car"/>
    <w:basedOn w:val="Fuentedeprrafopredeter"/>
    <w:link w:val="Cita"/>
    <w:uiPriority w:val="29"/>
    <w:rsid w:val="00843B70"/>
    <w:rPr>
      <w:i/>
      <w:i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920269">
      <w:bodyDiv w:val="1"/>
      <w:marLeft w:val="0"/>
      <w:marRight w:val="0"/>
      <w:marTop w:val="0"/>
      <w:marBottom w:val="0"/>
      <w:divBdr>
        <w:top w:val="none" w:sz="0" w:space="0" w:color="auto"/>
        <w:left w:val="none" w:sz="0" w:space="0" w:color="auto"/>
        <w:bottom w:val="none" w:sz="0" w:space="0" w:color="auto"/>
        <w:right w:val="none" w:sz="0" w:space="0" w:color="auto"/>
      </w:divBdr>
    </w:div>
    <w:div w:id="670715158">
      <w:bodyDiv w:val="1"/>
      <w:marLeft w:val="0"/>
      <w:marRight w:val="0"/>
      <w:marTop w:val="0"/>
      <w:marBottom w:val="0"/>
      <w:divBdr>
        <w:top w:val="none" w:sz="0" w:space="0" w:color="auto"/>
        <w:left w:val="none" w:sz="0" w:space="0" w:color="auto"/>
        <w:bottom w:val="none" w:sz="0" w:space="0" w:color="auto"/>
        <w:right w:val="none" w:sz="0" w:space="0" w:color="auto"/>
      </w:divBdr>
    </w:div>
    <w:div w:id="950816831">
      <w:bodyDiv w:val="1"/>
      <w:marLeft w:val="0"/>
      <w:marRight w:val="0"/>
      <w:marTop w:val="0"/>
      <w:marBottom w:val="0"/>
      <w:divBdr>
        <w:top w:val="none" w:sz="0" w:space="0" w:color="auto"/>
        <w:left w:val="none" w:sz="0" w:space="0" w:color="auto"/>
        <w:bottom w:val="none" w:sz="0" w:space="0" w:color="auto"/>
        <w:right w:val="none" w:sz="0" w:space="0" w:color="auto"/>
      </w:divBdr>
    </w:div>
    <w:div w:id="137345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77950-9AA0-4816-ADF5-D14A3002C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4</Pages>
  <Words>919</Words>
  <Characters>5056</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2014-06-24T16:19:00Z</cp:lastPrinted>
  <dcterms:created xsi:type="dcterms:W3CDTF">2014-07-10T15:29:00Z</dcterms:created>
  <dcterms:modified xsi:type="dcterms:W3CDTF">2014-07-10T15:29:00Z</dcterms:modified>
</cp:coreProperties>
</file>