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CBA" w:rsidRPr="006875CB" w:rsidRDefault="00C71189" w:rsidP="005056C1">
      <w:pPr>
        <w:pStyle w:val="Encabezado"/>
        <w:tabs>
          <w:tab w:val="clear" w:pos="8504"/>
          <w:tab w:val="left" w:pos="0"/>
          <w:tab w:val="left" w:pos="2977"/>
          <w:tab w:val="right" w:pos="9356"/>
        </w:tabs>
        <w:ind w:left="0"/>
        <w:jc w:val="both"/>
        <w:rPr>
          <w:rFonts w:ascii="Bookman Old Style" w:hAnsi="Bookman Old Style"/>
          <w:color w:val="000000" w:themeColor="text1"/>
          <w:szCs w:val="24"/>
          <w:lang w:val="es-ES"/>
        </w:rPr>
      </w:pPr>
      <w:bookmarkStart w:id="0" w:name="_GoBack"/>
      <w:bookmarkEnd w:id="0"/>
      <w:r>
        <w:rPr>
          <w:rFonts w:ascii="Bookman Old Style" w:hAnsi="Bookman Old Style"/>
          <w:noProof/>
          <w:color w:val="000000" w:themeColor="text1"/>
          <w:szCs w:val="24"/>
          <w:lang w:eastAsia="es-CO"/>
        </w:rPr>
        <w:drawing>
          <wp:anchor distT="0" distB="0" distL="114300" distR="114300" simplePos="0" relativeHeight="251657728" behindDoc="0" locked="0" layoutInCell="1" allowOverlap="1">
            <wp:simplePos x="0" y="0"/>
            <wp:positionH relativeFrom="column">
              <wp:posOffset>2570480</wp:posOffset>
            </wp:positionH>
            <wp:positionV relativeFrom="paragraph">
              <wp:posOffset>-631825</wp:posOffset>
            </wp:positionV>
            <wp:extent cx="666750" cy="619125"/>
            <wp:effectExtent l="0" t="0" r="0" b="9525"/>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pic:spPr>
                </pic:pic>
              </a:graphicData>
            </a:graphic>
            <wp14:sizeRelH relativeFrom="page">
              <wp14:pctWidth>0</wp14:pctWidth>
            </wp14:sizeRelH>
            <wp14:sizeRelV relativeFrom="page">
              <wp14:pctHeight>0</wp14:pctHeight>
            </wp14:sizeRelV>
          </wp:anchor>
        </w:drawing>
      </w:r>
    </w:p>
    <w:p w:rsidR="00625DC6" w:rsidRPr="006875CB" w:rsidRDefault="00625DC6" w:rsidP="005056C1">
      <w:pPr>
        <w:pStyle w:val="Encabezado"/>
        <w:tabs>
          <w:tab w:val="clear" w:pos="8504"/>
          <w:tab w:val="left" w:pos="0"/>
          <w:tab w:val="right" w:pos="9356"/>
        </w:tabs>
        <w:ind w:left="0"/>
        <w:jc w:val="both"/>
        <w:rPr>
          <w:rFonts w:ascii="Bookman Old Style" w:hAnsi="Bookman Old Style"/>
          <w:color w:val="000000" w:themeColor="text1"/>
          <w:szCs w:val="24"/>
          <w:lang w:val="es-ES"/>
        </w:rPr>
      </w:pPr>
    </w:p>
    <w:p w:rsidR="00AD0D6E" w:rsidRPr="006875CB" w:rsidRDefault="00AD0D6E" w:rsidP="005056C1">
      <w:pPr>
        <w:pStyle w:val="Ttulo4"/>
        <w:tabs>
          <w:tab w:val="left" w:pos="0"/>
          <w:tab w:val="right" w:pos="9356"/>
        </w:tabs>
        <w:ind w:left="0"/>
        <w:rPr>
          <w:rFonts w:ascii="Bookman Old Style" w:hAnsi="Bookman Old Style"/>
          <w:b w:val="0"/>
          <w:bCs/>
          <w:sz w:val="24"/>
          <w:szCs w:val="24"/>
        </w:rPr>
      </w:pPr>
    </w:p>
    <w:p w:rsidR="00CC5CE1" w:rsidRPr="006875CB" w:rsidRDefault="00CC5CE1" w:rsidP="005056C1">
      <w:pPr>
        <w:pStyle w:val="Ttulo4"/>
        <w:tabs>
          <w:tab w:val="left" w:pos="0"/>
          <w:tab w:val="right" w:pos="9356"/>
        </w:tabs>
        <w:ind w:left="0"/>
        <w:rPr>
          <w:rFonts w:ascii="Bookman Old Style" w:hAnsi="Bookman Old Style"/>
          <w:b w:val="0"/>
          <w:bCs/>
          <w:noProof/>
          <w:sz w:val="24"/>
          <w:szCs w:val="24"/>
          <w:lang w:val="es-ES"/>
        </w:rPr>
      </w:pPr>
      <w:r w:rsidRPr="006875CB">
        <w:rPr>
          <w:rFonts w:ascii="Bookman Old Style" w:hAnsi="Bookman Old Style"/>
          <w:b w:val="0"/>
          <w:bCs/>
          <w:sz w:val="24"/>
          <w:szCs w:val="24"/>
        </w:rPr>
        <w:t>Ministerio de Minas y Energía</w:t>
      </w:r>
    </w:p>
    <w:p w:rsidR="00CC5CE1" w:rsidRPr="006875CB" w:rsidRDefault="00CC5CE1" w:rsidP="005300B2">
      <w:pPr>
        <w:pStyle w:val="Ttulo4"/>
        <w:tabs>
          <w:tab w:val="left" w:pos="0"/>
          <w:tab w:val="right" w:pos="9356"/>
        </w:tabs>
        <w:ind w:left="0"/>
        <w:rPr>
          <w:rFonts w:ascii="Bookman Old Style" w:hAnsi="Bookman Old Style"/>
          <w:b w:val="0"/>
          <w:bCs/>
          <w:sz w:val="24"/>
          <w:szCs w:val="24"/>
        </w:rPr>
      </w:pPr>
    </w:p>
    <w:p w:rsidR="00CC5CE1" w:rsidRPr="006875CB" w:rsidRDefault="00CC5CE1" w:rsidP="005300B2">
      <w:pPr>
        <w:pStyle w:val="Ttulo3"/>
        <w:tabs>
          <w:tab w:val="left" w:pos="0"/>
          <w:tab w:val="right" w:pos="9356"/>
        </w:tabs>
        <w:ind w:left="0"/>
        <w:rPr>
          <w:rFonts w:ascii="Bookman Old Style" w:hAnsi="Bookman Old Style" w:cs="Arial"/>
          <w:spacing w:val="20"/>
          <w:szCs w:val="24"/>
        </w:rPr>
      </w:pPr>
      <w:r w:rsidRPr="006875CB">
        <w:rPr>
          <w:rFonts w:ascii="Bookman Old Style" w:hAnsi="Bookman Old Style" w:cs="Arial"/>
          <w:spacing w:val="20"/>
          <w:szCs w:val="24"/>
        </w:rPr>
        <w:t>COMISIÓN DE REGULACIÓN DE ENERGÍA Y GAS</w:t>
      </w:r>
    </w:p>
    <w:p w:rsidR="00CC5CE1" w:rsidRPr="006875CB" w:rsidRDefault="00CC5CE1" w:rsidP="005300B2">
      <w:pPr>
        <w:pStyle w:val="Ttulo5"/>
        <w:tabs>
          <w:tab w:val="left" w:pos="0"/>
          <w:tab w:val="right" w:pos="9356"/>
        </w:tabs>
        <w:ind w:left="0"/>
        <w:rPr>
          <w:rFonts w:ascii="Bookman Old Style" w:hAnsi="Bookman Old Style"/>
          <w:sz w:val="24"/>
          <w:szCs w:val="24"/>
        </w:rPr>
      </w:pPr>
    </w:p>
    <w:p w:rsidR="00CC5CE1" w:rsidRPr="006875CB" w:rsidRDefault="00CC5CE1">
      <w:pPr>
        <w:pStyle w:val="Ttulo5"/>
        <w:tabs>
          <w:tab w:val="left" w:pos="0"/>
          <w:tab w:val="right" w:pos="9356"/>
        </w:tabs>
        <w:ind w:left="0"/>
        <w:rPr>
          <w:rFonts w:ascii="Bookman Old Style" w:hAnsi="Bookman Old Style"/>
          <w:sz w:val="24"/>
          <w:szCs w:val="24"/>
        </w:rPr>
      </w:pPr>
    </w:p>
    <w:p w:rsidR="00CC5CE1" w:rsidRPr="006875CB" w:rsidRDefault="00CC5CE1">
      <w:pPr>
        <w:pStyle w:val="Ttulo5"/>
        <w:tabs>
          <w:tab w:val="left" w:pos="0"/>
          <w:tab w:val="right" w:pos="9356"/>
        </w:tabs>
        <w:ind w:left="0"/>
        <w:rPr>
          <w:rFonts w:ascii="Bookman Old Style" w:hAnsi="Bookman Old Style"/>
          <w:sz w:val="24"/>
          <w:szCs w:val="24"/>
        </w:rPr>
      </w:pPr>
      <w:r w:rsidRPr="006875CB">
        <w:rPr>
          <w:rFonts w:ascii="Bookman Old Style" w:hAnsi="Bookman Old Style"/>
          <w:sz w:val="24"/>
          <w:szCs w:val="24"/>
        </w:rPr>
        <w:t>RESOLUCIÓN No.</w:t>
      </w:r>
      <w:r w:rsidR="00AD0D6E" w:rsidRPr="006875CB">
        <w:rPr>
          <w:rFonts w:ascii="Bookman Old Style" w:hAnsi="Bookman Old Style"/>
          <w:color w:val="000000" w:themeColor="text1"/>
          <w:sz w:val="24"/>
          <w:szCs w:val="24"/>
          <w:lang w:val="es-ES"/>
        </w:rPr>
        <w:t xml:space="preserve">          </w:t>
      </w:r>
      <w:r w:rsidRPr="006875CB">
        <w:rPr>
          <w:rFonts w:ascii="Bookman Old Style" w:hAnsi="Bookman Old Style"/>
          <w:sz w:val="24"/>
          <w:szCs w:val="24"/>
        </w:rPr>
        <w:t>DE 201</w:t>
      </w:r>
      <w:r w:rsidR="00AD0D6E" w:rsidRPr="006875CB">
        <w:rPr>
          <w:rFonts w:ascii="Bookman Old Style" w:hAnsi="Bookman Old Style"/>
          <w:sz w:val="24"/>
          <w:szCs w:val="24"/>
        </w:rPr>
        <w:t>3</w:t>
      </w:r>
    </w:p>
    <w:p w:rsidR="00CC5CE1" w:rsidRPr="006875CB" w:rsidRDefault="00CC5CE1">
      <w:pPr>
        <w:tabs>
          <w:tab w:val="left" w:pos="0"/>
          <w:tab w:val="right" w:pos="9356"/>
        </w:tabs>
        <w:ind w:left="0"/>
        <w:jc w:val="center"/>
        <w:rPr>
          <w:rFonts w:ascii="Bookman Old Style" w:hAnsi="Bookman Old Style" w:cs="Arial"/>
          <w:b/>
          <w:snapToGrid w:val="0"/>
          <w:color w:val="000000"/>
          <w:lang w:val="es-ES_tradnl"/>
        </w:rPr>
      </w:pPr>
    </w:p>
    <w:p w:rsidR="00CC5CE1" w:rsidRPr="006875CB" w:rsidRDefault="00CC5CE1">
      <w:pPr>
        <w:pStyle w:val="Ttulo3"/>
        <w:tabs>
          <w:tab w:val="left" w:pos="0"/>
          <w:tab w:val="right" w:pos="9356"/>
        </w:tabs>
        <w:ind w:left="0"/>
        <w:rPr>
          <w:rFonts w:ascii="Bookman Old Style" w:hAnsi="Bookman Old Style"/>
          <w:b w:val="0"/>
          <w:szCs w:val="24"/>
        </w:rPr>
      </w:pPr>
      <w:r w:rsidRPr="006875CB">
        <w:rPr>
          <w:rFonts w:ascii="Bookman Old Style" w:hAnsi="Bookman Old Style"/>
          <w:b w:val="0"/>
          <w:szCs w:val="24"/>
        </w:rPr>
        <w:t>(                                  )</w:t>
      </w:r>
    </w:p>
    <w:p w:rsidR="00CC5CE1" w:rsidRDefault="00CC5CE1">
      <w:pPr>
        <w:ind w:left="0"/>
        <w:rPr>
          <w:rFonts w:ascii="Bookman Old Style" w:hAnsi="Bookman Old Style"/>
          <w:bCs/>
          <w:lang w:val="es-CO"/>
        </w:rPr>
      </w:pPr>
    </w:p>
    <w:p w:rsidR="00DF728E" w:rsidRDefault="00DF728E">
      <w:pPr>
        <w:ind w:left="0"/>
        <w:rPr>
          <w:rFonts w:ascii="Bookman Old Style" w:hAnsi="Bookman Old Style"/>
          <w:bCs/>
          <w:lang w:val="es-CO"/>
        </w:rPr>
      </w:pPr>
    </w:p>
    <w:p w:rsidR="00DF728E" w:rsidRPr="006875CB" w:rsidRDefault="00DF728E">
      <w:pPr>
        <w:ind w:left="0"/>
        <w:rPr>
          <w:rFonts w:ascii="Bookman Old Style" w:hAnsi="Bookman Old Style"/>
          <w:bCs/>
          <w:lang w:val="es-CO"/>
        </w:rPr>
      </w:pPr>
    </w:p>
    <w:p w:rsidR="00CC5CE1" w:rsidRPr="009C3122" w:rsidRDefault="00CC5CE1">
      <w:pPr>
        <w:ind w:left="0"/>
        <w:rPr>
          <w:rFonts w:ascii="Bookman Old Style" w:hAnsi="Bookman Old Style"/>
          <w:bCs/>
          <w:sz w:val="22"/>
          <w:lang w:val="es-CO"/>
        </w:rPr>
      </w:pPr>
    </w:p>
    <w:p w:rsidR="00CC5CE1" w:rsidRPr="006875CB" w:rsidRDefault="00CC5CE1" w:rsidP="00A417AB">
      <w:pPr>
        <w:ind w:left="0"/>
        <w:jc w:val="center"/>
        <w:rPr>
          <w:rFonts w:ascii="Bookman Old Style" w:hAnsi="Bookman Old Style"/>
        </w:rPr>
      </w:pPr>
      <w:r w:rsidRPr="006875CB">
        <w:rPr>
          <w:rFonts w:ascii="Bookman Old Style" w:hAnsi="Bookman Old Style"/>
        </w:rPr>
        <w:t>Por la cual se resuelve el recurso de reposición interpuesto contra la Resolución CREG 14</w:t>
      </w:r>
      <w:r w:rsidR="00A417AB">
        <w:rPr>
          <w:rFonts w:ascii="Bookman Old Style" w:hAnsi="Bookman Old Style"/>
        </w:rPr>
        <w:t>2</w:t>
      </w:r>
      <w:r w:rsidRPr="006875CB">
        <w:rPr>
          <w:rFonts w:ascii="Bookman Old Style" w:hAnsi="Bookman Old Style"/>
        </w:rPr>
        <w:t xml:space="preserve"> de 2012</w:t>
      </w:r>
      <w:r w:rsidR="00E7538E" w:rsidRPr="006875CB">
        <w:rPr>
          <w:rFonts w:ascii="Bookman Old Style" w:hAnsi="Bookman Old Style"/>
        </w:rPr>
        <w:t>,</w:t>
      </w:r>
      <w:r w:rsidRPr="006875CB">
        <w:rPr>
          <w:rFonts w:ascii="Bookman Old Style" w:hAnsi="Bookman Old Style"/>
        </w:rPr>
        <w:t xml:space="preserve"> “Por la cual se establecen los cargos regulados para el sistema regional de transporte </w:t>
      </w:r>
      <w:r w:rsidR="00A417AB">
        <w:rPr>
          <w:rFonts w:ascii="Bookman Old Style" w:hAnsi="Bookman Old Style"/>
        </w:rPr>
        <w:t>Cundi</w:t>
      </w:r>
      <w:r w:rsidR="00730B6C">
        <w:rPr>
          <w:rFonts w:ascii="Bookman Old Style" w:hAnsi="Bookman Old Style"/>
        </w:rPr>
        <w:t xml:space="preserve"> S</w:t>
      </w:r>
      <w:r w:rsidR="00A417AB">
        <w:rPr>
          <w:rFonts w:ascii="Bookman Old Style" w:hAnsi="Bookman Old Style"/>
        </w:rPr>
        <w:t>uroccidental</w:t>
      </w:r>
      <w:r w:rsidRPr="006875CB">
        <w:rPr>
          <w:rFonts w:ascii="Bookman Old Style" w:hAnsi="Bookman Old Style"/>
        </w:rPr>
        <w:t>, según solicitud de la Transportadora de Gas Internacional S.A. E.S.P., TGI S.A. E.S.P.</w:t>
      </w:r>
      <w:r w:rsidR="00E7538E" w:rsidRPr="006875CB">
        <w:rPr>
          <w:rFonts w:ascii="Bookman Old Style" w:hAnsi="Bookman Old Style"/>
        </w:rPr>
        <w:t>”</w:t>
      </w:r>
    </w:p>
    <w:p w:rsidR="00CC5CE1" w:rsidRPr="006875CB" w:rsidRDefault="00CC5CE1">
      <w:pPr>
        <w:ind w:left="0"/>
        <w:jc w:val="center"/>
        <w:rPr>
          <w:rFonts w:ascii="Bookman Old Style" w:hAnsi="Bookman Old Style" w:cs="Arial"/>
        </w:rPr>
      </w:pPr>
    </w:p>
    <w:p w:rsidR="00CC5CE1" w:rsidRPr="006875CB" w:rsidRDefault="00CC5CE1">
      <w:pPr>
        <w:ind w:left="0"/>
        <w:jc w:val="both"/>
        <w:rPr>
          <w:rFonts w:ascii="Bookman Old Style" w:hAnsi="Bookman Old Style" w:cs="Arial"/>
        </w:rPr>
      </w:pPr>
    </w:p>
    <w:p w:rsidR="00CC5CE1" w:rsidRPr="006875CB" w:rsidRDefault="00CC5CE1">
      <w:pPr>
        <w:pStyle w:val="Ttulo7"/>
        <w:spacing w:before="0" w:after="0"/>
        <w:ind w:left="0"/>
        <w:jc w:val="center"/>
        <w:rPr>
          <w:rFonts w:ascii="Bookman Old Style" w:hAnsi="Bookman Old Style"/>
          <w:b/>
        </w:rPr>
      </w:pPr>
      <w:r w:rsidRPr="006875CB">
        <w:rPr>
          <w:rFonts w:ascii="Bookman Old Style" w:hAnsi="Bookman Old Style"/>
          <w:b/>
        </w:rPr>
        <w:t>LA COMISIÓN DE REGULACIÓN DE ENERGÍA Y GAS</w:t>
      </w:r>
    </w:p>
    <w:p w:rsidR="00CC5CE1" w:rsidRPr="006875CB" w:rsidRDefault="00CC5CE1">
      <w:pPr>
        <w:ind w:left="0"/>
        <w:jc w:val="both"/>
        <w:rPr>
          <w:rFonts w:ascii="Bookman Old Style" w:hAnsi="Bookman Old Style" w:cs="Arial"/>
          <w:b/>
        </w:rPr>
      </w:pPr>
    </w:p>
    <w:p w:rsidR="00CC5CE1" w:rsidRPr="006875CB" w:rsidRDefault="00CC5CE1">
      <w:pPr>
        <w:ind w:left="0"/>
        <w:jc w:val="both"/>
        <w:rPr>
          <w:rFonts w:ascii="Bookman Old Style" w:hAnsi="Bookman Old Style" w:cs="Arial"/>
        </w:rPr>
      </w:pPr>
    </w:p>
    <w:p w:rsidR="00CC5CE1" w:rsidRPr="006875CB" w:rsidRDefault="00CC5CE1">
      <w:pPr>
        <w:ind w:left="0"/>
        <w:jc w:val="center"/>
        <w:rPr>
          <w:rFonts w:ascii="Bookman Old Style" w:hAnsi="Bookman Old Style" w:cs="Arial"/>
        </w:rPr>
      </w:pPr>
      <w:r w:rsidRPr="006875CB">
        <w:rPr>
          <w:rFonts w:ascii="Bookman Old Style" w:hAnsi="Bookman Old Style" w:cs="Arial"/>
        </w:rPr>
        <w:t xml:space="preserve">En ejercicio de sus atribuciones legales, en especial </w:t>
      </w:r>
      <w:r w:rsidR="00E7538E" w:rsidRPr="006875CB">
        <w:rPr>
          <w:rFonts w:ascii="Bookman Old Style" w:hAnsi="Bookman Old Style" w:cs="Arial"/>
        </w:rPr>
        <w:t xml:space="preserve">de </w:t>
      </w:r>
      <w:r w:rsidRPr="006875CB">
        <w:rPr>
          <w:rFonts w:ascii="Bookman Old Style" w:hAnsi="Bookman Old Style" w:cs="Arial"/>
        </w:rPr>
        <w:t>las conferidas por la Ley 142 de 1994, y en desarrollo del Decreto 2253 de 1994, y</w:t>
      </w:r>
    </w:p>
    <w:p w:rsidR="00CC5CE1" w:rsidRPr="006875CB" w:rsidRDefault="00CC5CE1">
      <w:pPr>
        <w:ind w:left="0"/>
        <w:jc w:val="both"/>
        <w:rPr>
          <w:rFonts w:ascii="Bookman Old Style" w:hAnsi="Bookman Old Style" w:cs="Arial"/>
        </w:rPr>
      </w:pPr>
    </w:p>
    <w:p w:rsidR="00CC5CE1" w:rsidRPr="006875CB" w:rsidRDefault="00CC5CE1">
      <w:pPr>
        <w:ind w:left="0"/>
        <w:jc w:val="both"/>
        <w:rPr>
          <w:rFonts w:ascii="Bookman Old Style" w:hAnsi="Bookman Old Style" w:cs="Arial"/>
        </w:rPr>
      </w:pPr>
    </w:p>
    <w:p w:rsidR="00CC5CE1" w:rsidRPr="006875CB" w:rsidRDefault="00CC5CE1">
      <w:pPr>
        <w:ind w:left="0"/>
        <w:jc w:val="center"/>
        <w:rPr>
          <w:rFonts w:ascii="Bookman Old Style" w:hAnsi="Bookman Old Style" w:cs="Arial"/>
          <w:b/>
        </w:rPr>
      </w:pPr>
      <w:r w:rsidRPr="006875CB">
        <w:rPr>
          <w:rFonts w:ascii="Bookman Old Style" w:hAnsi="Bookman Old Style" w:cs="Arial"/>
          <w:b/>
          <w:spacing w:val="80"/>
        </w:rPr>
        <w:t>CONSIDERANDO QUE</w:t>
      </w:r>
      <w:r w:rsidRPr="006875CB">
        <w:rPr>
          <w:rFonts w:ascii="Bookman Old Style" w:hAnsi="Bookman Old Style" w:cs="Arial"/>
          <w:b/>
        </w:rPr>
        <w:t>:</w:t>
      </w:r>
    </w:p>
    <w:p w:rsidR="00CC5CE1" w:rsidRPr="009C3122" w:rsidRDefault="00CC5CE1">
      <w:pPr>
        <w:ind w:left="0"/>
        <w:jc w:val="both"/>
        <w:rPr>
          <w:rFonts w:ascii="Bookman Old Style" w:hAnsi="Bookman Old Style" w:cs="Arial"/>
          <w:b/>
          <w:sz w:val="20"/>
        </w:rPr>
      </w:pPr>
    </w:p>
    <w:p w:rsidR="00E7538E" w:rsidRDefault="00E7538E">
      <w:pPr>
        <w:ind w:left="0"/>
        <w:jc w:val="both"/>
        <w:rPr>
          <w:rFonts w:ascii="Bookman Old Style" w:hAnsi="Bookman Old Style" w:cs="Arial"/>
          <w:b/>
        </w:rPr>
      </w:pPr>
    </w:p>
    <w:p w:rsidR="00DF728E" w:rsidRPr="006875CB" w:rsidRDefault="00DF728E">
      <w:pPr>
        <w:ind w:left="0"/>
        <w:jc w:val="both"/>
        <w:rPr>
          <w:rFonts w:ascii="Bookman Old Style" w:hAnsi="Bookman Old Style" w:cs="Arial"/>
          <w:b/>
        </w:rPr>
      </w:pPr>
    </w:p>
    <w:p w:rsidR="00CC5CE1" w:rsidRPr="006875CB" w:rsidRDefault="00CC5CE1" w:rsidP="000804FD">
      <w:pPr>
        <w:numPr>
          <w:ilvl w:val="0"/>
          <w:numId w:val="29"/>
        </w:numPr>
        <w:ind w:left="567" w:hanging="567"/>
        <w:jc w:val="both"/>
        <w:rPr>
          <w:rFonts w:ascii="Bookman Old Style" w:hAnsi="Bookman Old Style" w:cs="Arial"/>
          <w:b/>
        </w:rPr>
      </w:pPr>
      <w:r w:rsidRPr="006875CB">
        <w:rPr>
          <w:rFonts w:ascii="Bookman Old Style" w:hAnsi="Bookman Old Style" w:cs="Arial"/>
          <w:b/>
        </w:rPr>
        <w:t>ANTECEDENTES</w:t>
      </w:r>
    </w:p>
    <w:p w:rsidR="00CC5CE1" w:rsidRPr="006875CB" w:rsidRDefault="00CC5CE1" w:rsidP="005056C1">
      <w:pPr>
        <w:ind w:left="0"/>
        <w:jc w:val="both"/>
        <w:rPr>
          <w:rFonts w:ascii="Bookman Old Style" w:hAnsi="Bookman Old Style" w:cs="Arial"/>
        </w:rPr>
      </w:pPr>
    </w:p>
    <w:p w:rsidR="00CC5CE1" w:rsidRPr="006875CB" w:rsidRDefault="00CC5CE1" w:rsidP="005056C1">
      <w:pPr>
        <w:ind w:left="0"/>
        <w:jc w:val="both"/>
        <w:rPr>
          <w:rFonts w:ascii="Bookman Old Style" w:hAnsi="Bookman Old Style"/>
          <w:spacing w:val="-3"/>
        </w:rPr>
      </w:pPr>
      <w:r w:rsidRPr="006875CB">
        <w:rPr>
          <w:rFonts w:ascii="Bookman Old Style" w:hAnsi="Bookman Old Style"/>
        </w:rPr>
        <w:t>De acuerdo con lo establecido en el artículo 14.28 de la Ley 142 de 1994, la actividad de transporte de gas natural es una actividad complementaria del servicio público domiciliario de gas combustible.</w:t>
      </w:r>
    </w:p>
    <w:p w:rsidR="00CC5CE1" w:rsidRPr="006875CB" w:rsidRDefault="00CC5CE1" w:rsidP="005300B2">
      <w:pPr>
        <w:rPr>
          <w:rFonts w:ascii="Bookman Old Style" w:hAnsi="Bookman Old Style"/>
          <w:spacing w:val="-3"/>
        </w:rPr>
      </w:pPr>
    </w:p>
    <w:p w:rsidR="00CC5CE1" w:rsidRPr="006875CB" w:rsidRDefault="00CC5CE1" w:rsidP="005300B2">
      <w:pPr>
        <w:ind w:left="0"/>
        <w:jc w:val="both"/>
        <w:rPr>
          <w:rFonts w:ascii="Bookman Old Style" w:hAnsi="Bookman Old Style"/>
        </w:rPr>
      </w:pPr>
      <w:r w:rsidRPr="006875CB">
        <w:rPr>
          <w:rFonts w:ascii="Bookman Old Style" w:hAnsi="Bookman Old Style"/>
        </w:rPr>
        <w:t>Según lo dispuesto por el artículo 28 de la Ley 142 de 1994, la construcción y operación de redes para el transporte de gas, así como el señalamiento de las tarifas por su uso, se regirán exclusivamente por esta Ley.</w:t>
      </w:r>
    </w:p>
    <w:p w:rsidR="00CC5CE1" w:rsidRPr="006875CB" w:rsidRDefault="00CC5CE1" w:rsidP="005300B2">
      <w:pPr>
        <w:ind w:left="0"/>
        <w:jc w:val="both"/>
        <w:rPr>
          <w:rFonts w:ascii="Bookman Old Style" w:hAnsi="Bookman Old Style"/>
        </w:rPr>
      </w:pPr>
    </w:p>
    <w:p w:rsidR="00CC5CE1" w:rsidRPr="006875CB" w:rsidRDefault="00CC5CE1">
      <w:pPr>
        <w:ind w:left="0"/>
        <w:jc w:val="both"/>
        <w:rPr>
          <w:rFonts w:ascii="Bookman Old Style" w:hAnsi="Bookman Old Style"/>
        </w:rPr>
      </w:pPr>
      <w:r w:rsidRPr="006875CB">
        <w:rPr>
          <w:rFonts w:ascii="Bookman Old Style" w:hAnsi="Bookman Old Style"/>
        </w:rPr>
        <w:t>El artículo 73.11 de la Ley 142 de 1994 atribuyó a la Comisión de Regulación de Energía y Gas la competencia para establecer las fórmulas para la fijación de las tarifas del servicio público domiciliario de gas combustible.</w:t>
      </w:r>
    </w:p>
    <w:p w:rsidR="00CC5CE1" w:rsidRPr="006875CB" w:rsidRDefault="00CC5CE1">
      <w:pPr>
        <w:ind w:left="0"/>
        <w:jc w:val="both"/>
        <w:rPr>
          <w:rFonts w:ascii="Bookman Old Style" w:hAnsi="Bookman Old Style" w:cs="Arial"/>
        </w:rPr>
      </w:pPr>
    </w:p>
    <w:p w:rsidR="00CC5CE1" w:rsidRPr="006875CB" w:rsidRDefault="00CC5CE1">
      <w:pPr>
        <w:ind w:left="0"/>
        <w:jc w:val="both"/>
        <w:rPr>
          <w:rFonts w:ascii="Bookman Old Style" w:hAnsi="Bookman Old Style" w:cs="Arial"/>
          <w:lang w:val="es-CO" w:eastAsia="es-CO"/>
        </w:rPr>
      </w:pPr>
      <w:r w:rsidRPr="006875CB">
        <w:rPr>
          <w:rFonts w:ascii="Bookman Old Style" w:hAnsi="Bookman Old Style"/>
        </w:rPr>
        <w:t xml:space="preserve">Mediante la Resolución CREG 126 de 2010, en adelante la </w:t>
      </w:r>
      <w:r w:rsidRPr="006875CB">
        <w:rPr>
          <w:rFonts w:ascii="Bookman Old Style" w:hAnsi="Bookman Old Style"/>
          <w:i/>
        </w:rPr>
        <w:t>metodología</w:t>
      </w:r>
      <w:r w:rsidRPr="006875CB">
        <w:rPr>
          <w:rFonts w:ascii="Bookman Old Style" w:hAnsi="Bookman Old Style"/>
        </w:rPr>
        <w:t xml:space="preserve">, la Comisión de Regulación de Energía y Gas </w:t>
      </w:r>
      <w:r w:rsidRPr="006875CB">
        <w:rPr>
          <w:rFonts w:ascii="Bookman Old Style" w:hAnsi="Bookman Old Style" w:cs="Arial"/>
          <w:lang w:val="es-CO" w:eastAsia="es-CO"/>
        </w:rPr>
        <w:t>estableció los criterios generales para la remuneración del servicio de transporte de gas natural y el esquema general de cargos del Sistema Nacional de Transporte, y dictó otras disposiciones en materia de transporte de gas natural.</w:t>
      </w:r>
    </w:p>
    <w:p w:rsidR="00CC5CE1" w:rsidRPr="006875CB" w:rsidRDefault="00CC5CE1">
      <w:pPr>
        <w:ind w:left="0"/>
        <w:jc w:val="both"/>
        <w:rPr>
          <w:rFonts w:ascii="Bookman Old Style" w:hAnsi="Bookman Old Style" w:cs="Arial"/>
          <w:lang w:val="es-CO" w:eastAsia="es-CO"/>
        </w:rPr>
      </w:pPr>
    </w:p>
    <w:p w:rsidR="00CC5CE1" w:rsidRDefault="00CC5CE1">
      <w:pPr>
        <w:ind w:left="0"/>
        <w:jc w:val="both"/>
        <w:rPr>
          <w:rFonts w:ascii="Bookman Old Style" w:hAnsi="Bookman Old Style"/>
        </w:rPr>
      </w:pPr>
      <w:r w:rsidRPr="006875CB">
        <w:rPr>
          <w:rFonts w:ascii="Bookman Old Style" w:hAnsi="Bookman Old Style"/>
        </w:rPr>
        <w:lastRenderedPageBreak/>
        <w:t>El artículo 25 de la Resolución CREG 126 de 2010 determina las normas aplicables a las extensiones de la red tipo II de transporte, cuya definición se establece en el artículo 22 de la misma Resolución.</w:t>
      </w:r>
    </w:p>
    <w:p w:rsidR="00DF728E" w:rsidRPr="006875CB" w:rsidRDefault="00DF728E">
      <w:pPr>
        <w:ind w:left="0"/>
        <w:jc w:val="both"/>
        <w:rPr>
          <w:rFonts w:ascii="Bookman Old Style" w:hAnsi="Bookman Old Style"/>
        </w:rPr>
      </w:pPr>
    </w:p>
    <w:p w:rsidR="00CC5CE1" w:rsidRPr="006875CB" w:rsidRDefault="00CC5CE1">
      <w:pPr>
        <w:ind w:left="0"/>
        <w:jc w:val="both"/>
        <w:rPr>
          <w:rFonts w:ascii="Bookman Old Style" w:hAnsi="Bookman Old Style"/>
        </w:rPr>
      </w:pPr>
      <w:r w:rsidRPr="006875CB">
        <w:rPr>
          <w:rFonts w:ascii="Bookman Old Style" w:hAnsi="Bookman Old Style"/>
        </w:rPr>
        <w:t>Mediante la comunicación radicada en la CREG bajo el No. CREG E-2011-00711</w:t>
      </w:r>
      <w:r w:rsidR="0078281C">
        <w:rPr>
          <w:rFonts w:ascii="Bookman Old Style" w:hAnsi="Bookman Old Style"/>
        </w:rPr>
        <w:t>3</w:t>
      </w:r>
      <w:r w:rsidRPr="006875CB">
        <w:rPr>
          <w:rFonts w:ascii="Bookman Old Style" w:hAnsi="Bookman Old Style"/>
        </w:rPr>
        <w:t>, de fecha 27 de julio de 2011, y de conformidad con lo establecido en el artículo 25 de la Resolución CREG 126 de 2010, l</w:t>
      </w:r>
      <w:r w:rsidRPr="006875CB">
        <w:rPr>
          <w:rFonts w:ascii="Bookman Old Style" w:hAnsi="Bookman Old Style" w:cs="Arial"/>
          <w:lang w:val="es-CO" w:eastAsia="es-CO"/>
        </w:rPr>
        <w:t>a Transportadora de Gas Internacional S.A. E.S.P., TGI S.A. E.S.P., en adelante TGI,</w:t>
      </w:r>
      <w:r w:rsidRPr="006875CB">
        <w:rPr>
          <w:rFonts w:ascii="Bookman Old Style" w:hAnsi="Bookman Old Style"/>
        </w:rPr>
        <w:t xml:space="preserve"> presentó a la Comisión la solicitud de aprobación de cargos para los gasoductos del sistema regional de transporte denominado </w:t>
      </w:r>
      <w:r w:rsidR="0078281C">
        <w:rPr>
          <w:rFonts w:ascii="Bookman Old Style" w:hAnsi="Bookman Old Style"/>
        </w:rPr>
        <w:t>Cundi</w:t>
      </w:r>
      <w:r w:rsidR="00730B6C">
        <w:rPr>
          <w:rFonts w:ascii="Bookman Old Style" w:hAnsi="Bookman Old Style"/>
        </w:rPr>
        <w:t xml:space="preserve"> S</w:t>
      </w:r>
      <w:r w:rsidR="0078281C">
        <w:rPr>
          <w:rFonts w:ascii="Bookman Old Style" w:hAnsi="Bookman Old Style"/>
        </w:rPr>
        <w:t>uroccidental</w:t>
      </w:r>
      <w:r w:rsidRPr="006875CB">
        <w:rPr>
          <w:rFonts w:ascii="Bookman Old Style" w:hAnsi="Bookman Old Style"/>
        </w:rPr>
        <w:t xml:space="preserve">. </w:t>
      </w:r>
    </w:p>
    <w:p w:rsidR="00CC5CE1" w:rsidRPr="006875CB" w:rsidRDefault="00CC5CE1">
      <w:pPr>
        <w:ind w:left="0"/>
        <w:jc w:val="both"/>
        <w:rPr>
          <w:rFonts w:ascii="Bookman Old Style" w:hAnsi="Bookman Old Style"/>
        </w:rPr>
      </w:pPr>
    </w:p>
    <w:p w:rsidR="00CC5CE1" w:rsidRPr="006875CB" w:rsidRDefault="00CC5CE1">
      <w:pPr>
        <w:ind w:left="0"/>
        <w:jc w:val="both"/>
        <w:rPr>
          <w:rFonts w:ascii="Bookman Old Style" w:hAnsi="Bookman Old Style" w:cs="Arial"/>
        </w:rPr>
      </w:pPr>
      <w:r w:rsidRPr="006875CB">
        <w:rPr>
          <w:rFonts w:ascii="Bookman Old Style" w:hAnsi="Bookman Old Style"/>
        </w:rPr>
        <w:t>La Comisión de Regulación de Energía y Gas se ciñó al procedimiento establecido en la Resolución CREG 126 de 2010 y,</w:t>
      </w:r>
      <w:r w:rsidRPr="006875CB">
        <w:rPr>
          <w:rFonts w:ascii="Bookman Old Style" w:hAnsi="Bookman Old Style" w:cs="Arial"/>
        </w:rPr>
        <w:t xml:space="preserve"> según la </w:t>
      </w:r>
      <w:r w:rsidRPr="006875CB">
        <w:rPr>
          <w:rFonts w:ascii="Bookman Old Style" w:hAnsi="Bookman Old Style" w:cs="Arial"/>
          <w:i/>
        </w:rPr>
        <w:t>metodología</w:t>
      </w:r>
      <w:r w:rsidRPr="006875CB">
        <w:rPr>
          <w:rFonts w:ascii="Bookman Old Style" w:hAnsi="Bookman Old Style" w:cs="Arial"/>
        </w:rPr>
        <w:t xml:space="preserve"> allí contemplada y </w:t>
      </w:r>
      <w:r w:rsidR="002F38C7" w:rsidRPr="006875CB">
        <w:rPr>
          <w:rFonts w:ascii="Bookman Old Style" w:hAnsi="Bookman Old Style" w:cs="Arial"/>
        </w:rPr>
        <w:t xml:space="preserve">la </w:t>
      </w:r>
      <w:r w:rsidRPr="006875CB">
        <w:rPr>
          <w:rFonts w:ascii="Bookman Old Style" w:hAnsi="Bookman Old Style" w:cs="Arial"/>
        </w:rPr>
        <w:t xml:space="preserve">información disponible en la Comisión, efectuó los cálculos tarifarios correspondientes y fijó los cargos para el sistema regional de transporte </w:t>
      </w:r>
      <w:r w:rsidR="0078281C">
        <w:rPr>
          <w:rFonts w:ascii="Bookman Old Style" w:hAnsi="Bookman Old Style"/>
        </w:rPr>
        <w:t>Cundi</w:t>
      </w:r>
      <w:r w:rsidR="00730B6C">
        <w:rPr>
          <w:rFonts w:ascii="Bookman Old Style" w:hAnsi="Bookman Old Style"/>
        </w:rPr>
        <w:t xml:space="preserve"> S</w:t>
      </w:r>
      <w:r w:rsidR="0078281C">
        <w:rPr>
          <w:rFonts w:ascii="Bookman Old Style" w:hAnsi="Bookman Old Style"/>
        </w:rPr>
        <w:t>uroccidental</w:t>
      </w:r>
      <w:r w:rsidRPr="006875CB">
        <w:rPr>
          <w:rFonts w:ascii="Bookman Old Style" w:hAnsi="Bookman Old Style" w:cs="Arial"/>
        </w:rPr>
        <w:t xml:space="preserve"> mediante </w:t>
      </w:r>
      <w:r w:rsidRPr="006875CB">
        <w:rPr>
          <w:rFonts w:ascii="Bookman Old Style" w:hAnsi="Bookman Old Style"/>
        </w:rPr>
        <w:t>la Resolución CREG 14</w:t>
      </w:r>
      <w:r w:rsidR="0078281C">
        <w:rPr>
          <w:rFonts w:ascii="Bookman Old Style" w:hAnsi="Bookman Old Style"/>
        </w:rPr>
        <w:t>2</w:t>
      </w:r>
      <w:r w:rsidRPr="006875CB">
        <w:rPr>
          <w:rFonts w:ascii="Bookman Old Style" w:hAnsi="Bookman Old Style"/>
        </w:rPr>
        <w:t xml:space="preserve"> de 2012</w:t>
      </w:r>
      <w:r w:rsidRPr="006875CB">
        <w:rPr>
          <w:rFonts w:ascii="Bookman Old Style" w:hAnsi="Bookman Old Style" w:cs="Arial"/>
        </w:rPr>
        <w:t>.</w:t>
      </w:r>
    </w:p>
    <w:p w:rsidR="00CC5CE1" w:rsidRPr="006875CB" w:rsidRDefault="00CC5CE1">
      <w:pPr>
        <w:ind w:left="0"/>
        <w:jc w:val="both"/>
        <w:rPr>
          <w:rFonts w:ascii="Bookman Old Style" w:hAnsi="Bookman Old Style" w:cs="Arial"/>
        </w:rPr>
      </w:pPr>
    </w:p>
    <w:p w:rsidR="00CC5CE1" w:rsidRPr="006875CB" w:rsidRDefault="00CC5CE1">
      <w:pPr>
        <w:ind w:left="0"/>
        <w:jc w:val="both"/>
        <w:rPr>
          <w:rFonts w:ascii="Bookman Old Style" w:hAnsi="Bookman Old Style" w:cs="Arial"/>
        </w:rPr>
      </w:pPr>
      <w:r w:rsidRPr="006875CB">
        <w:rPr>
          <w:rFonts w:ascii="Bookman Old Style" w:hAnsi="Bookman Old Style" w:cs="Arial"/>
        </w:rPr>
        <w:t xml:space="preserve">Una vez notificado el acto administrativo en mención, y estando dentro del término legal para hacerlo, TGI interpuso recurso de reposición mediante comunicación radicada el día </w:t>
      </w:r>
      <w:r w:rsidR="00730B6C">
        <w:rPr>
          <w:rFonts w:ascii="Bookman Old Style" w:hAnsi="Bookman Old Style" w:cs="Arial"/>
        </w:rPr>
        <w:t>3</w:t>
      </w:r>
      <w:r w:rsidRPr="006875CB">
        <w:rPr>
          <w:rFonts w:ascii="Bookman Old Style" w:hAnsi="Bookman Old Style" w:cs="Arial"/>
        </w:rPr>
        <w:t xml:space="preserve"> de enero de 2013 bajo el número E-2013-0000</w:t>
      </w:r>
      <w:r w:rsidR="00730B6C">
        <w:rPr>
          <w:rFonts w:ascii="Bookman Old Style" w:hAnsi="Bookman Old Style" w:cs="Arial"/>
        </w:rPr>
        <w:t>90</w:t>
      </w:r>
      <w:r w:rsidRPr="006875CB">
        <w:rPr>
          <w:rFonts w:ascii="Bookman Old Style" w:hAnsi="Bookman Old Style" w:cs="Arial"/>
        </w:rPr>
        <w:t>.</w:t>
      </w:r>
    </w:p>
    <w:p w:rsidR="00CC5CE1" w:rsidRPr="006875CB" w:rsidRDefault="00CC5CE1">
      <w:pPr>
        <w:ind w:left="0"/>
        <w:jc w:val="both"/>
        <w:rPr>
          <w:rFonts w:ascii="Bookman Old Style" w:hAnsi="Bookman Old Style" w:cs="Arial"/>
        </w:rPr>
      </w:pPr>
    </w:p>
    <w:p w:rsidR="00CC5CE1" w:rsidRPr="006875CB" w:rsidRDefault="00CC5CE1" w:rsidP="000804FD">
      <w:pPr>
        <w:numPr>
          <w:ilvl w:val="0"/>
          <w:numId w:val="29"/>
        </w:numPr>
        <w:ind w:left="567" w:hanging="567"/>
        <w:jc w:val="both"/>
        <w:rPr>
          <w:rFonts w:ascii="Bookman Old Style" w:hAnsi="Bookman Old Style" w:cs="Arial"/>
          <w:b/>
        </w:rPr>
      </w:pPr>
      <w:r w:rsidRPr="006875CB">
        <w:rPr>
          <w:rFonts w:ascii="Bookman Old Style" w:hAnsi="Bookman Old Style" w:cs="Arial"/>
          <w:b/>
        </w:rPr>
        <w:t>PETICIONES DE TGI</w:t>
      </w:r>
    </w:p>
    <w:p w:rsidR="00CC5CE1" w:rsidRPr="006875CB" w:rsidRDefault="00CC5CE1" w:rsidP="005056C1">
      <w:pPr>
        <w:ind w:left="0"/>
        <w:jc w:val="both"/>
        <w:rPr>
          <w:rFonts w:ascii="Bookman Old Style" w:hAnsi="Bookman Old Style" w:cs="Arial"/>
          <w:b/>
        </w:rPr>
      </w:pPr>
    </w:p>
    <w:p w:rsidR="00CC5CE1" w:rsidRPr="006875CB" w:rsidRDefault="00CC5CE1" w:rsidP="005300B2">
      <w:pPr>
        <w:ind w:left="0"/>
        <w:jc w:val="both"/>
        <w:rPr>
          <w:rFonts w:ascii="Bookman Old Style" w:hAnsi="Bookman Old Style" w:cs="Arial"/>
        </w:rPr>
      </w:pPr>
      <w:r w:rsidRPr="006875CB">
        <w:rPr>
          <w:rFonts w:ascii="Bookman Old Style" w:hAnsi="Bookman Old Style" w:cs="Arial"/>
        </w:rPr>
        <w:t xml:space="preserve">Según lo expresado por TGI en el acápite denominado “III. SOLICITUD” del recurso de reposición por ella interpuesto, </w:t>
      </w:r>
      <w:r w:rsidRPr="006875CB">
        <w:rPr>
          <w:rFonts w:ascii="Bookman Old Style" w:hAnsi="Bookman Old Style" w:cs="Arial"/>
          <w:i/>
        </w:rPr>
        <w:t xml:space="preserve">“(…) </w:t>
      </w:r>
      <w:r w:rsidRPr="006875CB">
        <w:rPr>
          <w:rFonts w:ascii="Bookman Old Style" w:hAnsi="Bookman Old Style" w:cs="Arial"/>
          <w:i/>
          <w:u w:val="single"/>
        </w:rPr>
        <w:t>se solicita sea revocada la Resolución CREG 14</w:t>
      </w:r>
      <w:r w:rsidR="00E604EC">
        <w:rPr>
          <w:rFonts w:ascii="Bookman Old Style" w:hAnsi="Bookman Old Style" w:cs="Arial"/>
          <w:i/>
          <w:u w:val="single"/>
        </w:rPr>
        <w:t>2</w:t>
      </w:r>
      <w:r w:rsidRPr="006875CB">
        <w:rPr>
          <w:rFonts w:ascii="Bookman Old Style" w:hAnsi="Bookman Old Style" w:cs="Arial"/>
          <w:i/>
          <w:u w:val="single"/>
        </w:rPr>
        <w:t xml:space="preserve"> de 2012</w:t>
      </w:r>
      <w:r w:rsidRPr="006875CB">
        <w:rPr>
          <w:rFonts w:ascii="Bookman Old Style" w:hAnsi="Bookman Old Style" w:cs="Arial"/>
          <w:i/>
        </w:rPr>
        <w:t xml:space="preserve"> y se proceda expedir los cargos regulados para el Sistema Regional de Transporte </w:t>
      </w:r>
      <w:r w:rsidR="00E604EC">
        <w:rPr>
          <w:rFonts w:ascii="Bookman Old Style" w:hAnsi="Bookman Old Style" w:cs="Arial"/>
          <w:i/>
        </w:rPr>
        <w:t>Cundi Suroccidental</w:t>
      </w:r>
      <w:r w:rsidRPr="006875CB">
        <w:rPr>
          <w:rFonts w:ascii="Bookman Old Style" w:hAnsi="Bookman Old Style" w:cs="Arial"/>
          <w:i/>
        </w:rPr>
        <w:t>, reconociendo las nuevas exigencias de inversión y la actualización de los costos presentados por la Transportadora de Gas Internacional S.A. E.S.P.”</w:t>
      </w:r>
      <w:r w:rsidRPr="006875CB">
        <w:rPr>
          <w:rFonts w:ascii="Bookman Old Style" w:hAnsi="Bookman Old Style" w:cs="Arial"/>
        </w:rPr>
        <w:t xml:space="preserve">, según se sustenta en los acápites “I. CONSIDERACIONES JURÍDICAS” y “II. NUEVAS CONSIDERACIONES A TENER EN CUENTA” del mismo documento. </w:t>
      </w:r>
    </w:p>
    <w:p w:rsidR="00CC5CE1" w:rsidRPr="006875CB" w:rsidRDefault="00CC5CE1" w:rsidP="005300B2">
      <w:pPr>
        <w:ind w:left="0"/>
        <w:jc w:val="both"/>
        <w:rPr>
          <w:rFonts w:ascii="Bookman Old Style" w:hAnsi="Bookman Old Style" w:cs="Arial"/>
        </w:rPr>
      </w:pPr>
    </w:p>
    <w:p w:rsidR="00CC5CE1" w:rsidRPr="006875CB" w:rsidRDefault="00CC5CE1" w:rsidP="005300B2">
      <w:pPr>
        <w:ind w:left="0"/>
        <w:jc w:val="both"/>
        <w:rPr>
          <w:rFonts w:ascii="Bookman Old Style" w:hAnsi="Bookman Old Style" w:cs="Arial"/>
        </w:rPr>
      </w:pPr>
      <w:r w:rsidRPr="006875CB">
        <w:rPr>
          <w:rFonts w:ascii="Bookman Old Style" w:hAnsi="Bookman Old Style" w:cs="Arial"/>
        </w:rPr>
        <w:t>A continuación se analizan tales argumentos.</w:t>
      </w:r>
    </w:p>
    <w:p w:rsidR="00CC5CE1" w:rsidRPr="00DF728E" w:rsidRDefault="00CC5CE1">
      <w:pPr>
        <w:ind w:left="0"/>
        <w:jc w:val="both"/>
        <w:rPr>
          <w:rFonts w:ascii="Bookman Old Style" w:hAnsi="Bookman Old Style" w:cs="Arial"/>
          <w:sz w:val="32"/>
        </w:rPr>
      </w:pPr>
    </w:p>
    <w:p w:rsidR="00CC5CE1" w:rsidRPr="006875CB" w:rsidRDefault="00CC5CE1" w:rsidP="000804FD">
      <w:pPr>
        <w:numPr>
          <w:ilvl w:val="0"/>
          <w:numId w:val="29"/>
        </w:numPr>
        <w:ind w:left="567" w:hanging="567"/>
        <w:jc w:val="both"/>
        <w:rPr>
          <w:rFonts w:ascii="Bookman Old Style" w:hAnsi="Bookman Old Style" w:cs="Arial"/>
          <w:b/>
        </w:rPr>
      </w:pPr>
      <w:r w:rsidRPr="006875CB">
        <w:rPr>
          <w:rFonts w:ascii="Bookman Old Style" w:hAnsi="Bookman Old Style" w:cs="Arial"/>
          <w:b/>
        </w:rPr>
        <w:t>AN</w:t>
      </w:r>
      <w:r w:rsidR="005056C1" w:rsidRPr="006875CB">
        <w:rPr>
          <w:rFonts w:ascii="Bookman Old Style" w:hAnsi="Bookman Old Style" w:cs="Arial"/>
          <w:b/>
        </w:rPr>
        <w:t>Á</w:t>
      </w:r>
      <w:r w:rsidRPr="006875CB">
        <w:rPr>
          <w:rFonts w:ascii="Bookman Old Style" w:hAnsi="Bookman Old Style" w:cs="Arial"/>
          <w:b/>
        </w:rPr>
        <w:t>LISIS DE LA CREG</w:t>
      </w:r>
    </w:p>
    <w:p w:rsidR="00CC5CE1" w:rsidRPr="006875CB" w:rsidRDefault="00CC5CE1" w:rsidP="005056C1">
      <w:pPr>
        <w:ind w:left="0"/>
        <w:jc w:val="both"/>
        <w:rPr>
          <w:rFonts w:ascii="Bookman Old Style" w:hAnsi="Bookman Old Style" w:cs="Arial"/>
          <w:b/>
        </w:rPr>
      </w:pPr>
    </w:p>
    <w:p w:rsidR="00CC5CE1" w:rsidRPr="006875CB" w:rsidRDefault="00CC5CE1" w:rsidP="005056C1">
      <w:pPr>
        <w:ind w:left="0"/>
        <w:jc w:val="both"/>
        <w:rPr>
          <w:rFonts w:ascii="Bookman Old Style" w:hAnsi="Bookman Old Style" w:cs="Arial"/>
        </w:rPr>
      </w:pPr>
      <w:r w:rsidRPr="006875CB">
        <w:rPr>
          <w:rFonts w:ascii="Bookman Old Style" w:hAnsi="Bookman Old Style" w:cs="Arial"/>
        </w:rPr>
        <w:t xml:space="preserve">A continuación se procede a analizar la argumentación esbozada por TGI en los acápites I y II de su recurso, para lo cual se seguirá el orden </w:t>
      </w:r>
      <w:r w:rsidR="003A122D" w:rsidRPr="006875CB">
        <w:rPr>
          <w:rFonts w:ascii="Bookman Old Style" w:hAnsi="Bookman Old Style" w:cs="Arial"/>
        </w:rPr>
        <w:t>de</w:t>
      </w:r>
      <w:r w:rsidRPr="006875CB">
        <w:rPr>
          <w:rFonts w:ascii="Bookman Old Style" w:hAnsi="Bookman Old Style" w:cs="Arial"/>
        </w:rPr>
        <w:t xml:space="preserve"> dicho documento.</w:t>
      </w:r>
    </w:p>
    <w:p w:rsidR="00CC5CE1" w:rsidRPr="006875CB" w:rsidRDefault="00CC5CE1" w:rsidP="005300B2">
      <w:pPr>
        <w:ind w:left="0"/>
        <w:jc w:val="both"/>
        <w:rPr>
          <w:rFonts w:ascii="Bookman Old Style" w:hAnsi="Bookman Old Style" w:cs="Arial"/>
          <w:b/>
        </w:rPr>
      </w:pPr>
    </w:p>
    <w:p w:rsidR="00CC5CE1" w:rsidRPr="006875CB" w:rsidRDefault="00CC5CE1" w:rsidP="000804FD">
      <w:pPr>
        <w:numPr>
          <w:ilvl w:val="0"/>
          <w:numId w:val="30"/>
        </w:numPr>
        <w:ind w:left="567" w:hanging="567"/>
        <w:jc w:val="both"/>
        <w:rPr>
          <w:rFonts w:ascii="Bookman Old Style" w:hAnsi="Bookman Old Style" w:cs="Arial"/>
          <w:b/>
        </w:rPr>
      </w:pPr>
      <w:r w:rsidRPr="006875CB">
        <w:rPr>
          <w:rFonts w:ascii="Bookman Old Style" w:hAnsi="Bookman Old Style" w:cs="Arial"/>
          <w:b/>
        </w:rPr>
        <w:t>Violación del debido proceso</w:t>
      </w:r>
    </w:p>
    <w:p w:rsidR="00CC5CE1" w:rsidRPr="006875CB" w:rsidRDefault="00CC5CE1" w:rsidP="005056C1">
      <w:pPr>
        <w:ind w:left="0"/>
        <w:jc w:val="both"/>
        <w:rPr>
          <w:rFonts w:ascii="Bookman Old Style" w:hAnsi="Bookman Old Style" w:cs="Arial"/>
          <w:b/>
        </w:rPr>
      </w:pPr>
    </w:p>
    <w:p w:rsidR="00CC5CE1" w:rsidRPr="006875CB" w:rsidRDefault="00CC5CE1" w:rsidP="005300B2">
      <w:pPr>
        <w:ind w:left="0"/>
        <w:jc w:val="both"/>
        <w:rPr>
          <w:rFonts w:ascii="Bookman Old Style" w:hAnsi="Bookman Old Style" w:cs="Arial"/>
        </w:rPr>
      </w:pPr>
      <w:r w:rsidRPr="006875CB">
        <w:rPr>
          <w:rFonts w:ascii="Bookman Old Style" w:hAnsi="Bookman Old Style" w:cs="Arial"/>
        </w:rPr>
        <w:t>Luego de trascribir el artículo 29 de la Constitución y hacer referencia a jurisprudencia de la Corte Constitucional al respecto, TGI afirma lo siguiente:</w:t>
      </w:r>
    </w:p>
    <w:p w:rsidR="00CC5CE1" w:rsidRPr="006875CB" w:rsidRDefault="00CC5CE1" w:rsidP="005300B2">
      <w:pPr>
        <w:ind w:left="0"/>
        <w:jc w:val="both"/>
        <w:rPr>
          <w:rFonts w:ascii="Bookman Old Style" w:hAnsi="Bookman Old Style" w:cs="Arial"/>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lastRenderedPageBreak/>
        <w:t>“(…) no puede un peticionario soportar procedimientos no públicos o que no evidencien la realidad de las inversiones o costos que un prestador de un servicio complementario a un servicio tiene que realizar.</w:t>
      </w:r>
    </w:p>
    <w:p w:rsidR="00CC5CE1" w:rsidRPr="006875CB" w:rsidRDefault="00CC5CE1" w:rsidP="000804FD">
      <w:pPr>
        <w:jc w:val="both"/>
        <w:rPr>
          <w:rFonts w:ascii="Bookman Old Style" w:hAnsi="Bookman Old Style" w:cs="Arial"/>
          <w:i/>
          <w:sz w:val="22"/>
          <w:szCs w:val="22"/>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Dentro de la actuación administrativa ante la CREG, ésta violó el presente derecho constitucional, y estableciendo una relación concreta con la resolución objeto del presente recurso se observa que la Empresa en ningún caso ha podido controvertir la información de carácter reservada y, por lo tanto, la inversión reconocida en el Sistema Regional de Transporte la cual se basó en el modelo de valoración de inversiones en gasoductos por comparación impidiendo el análisis y definición del efecto que esta genera.</w:t>
      </w:r>
    </w:p>
    <w:p w:rsidR="00CC5CE1" w:rsidRPr="006875CB" w:rsidRDefault="00CC5CE1" w:rsidP="000804FD">
      <w:pPr>
        <w:jc w:val="both"/>
        <w:rPr>
          <w:rFonts w:ascii="Bookman Old Style" w:hAnsi="Bookman Old Style" w:cs="Arial"/>
          <w:i/>
          <w:sz w:val="22"/>
          <w:szCs w:val="22"/>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Lo anterior significa (…) que a la Empresa no se le pueden asignar cargos regulados sin tener un proceso legal que respete el derecho de contradicción, que necesariamente está en conocer la información, las formas y métodos que utiliza el regulador (…).</w:t>
      </w:r>
    </w:p>
    <w:p w:rsidR="00CC5CE1" w:rsidRPr="006875CB" w:rsidRDefault="00CC5CE1" w:rsidP="000804FD">
      <w:pPr>
        <w:jc w:val="both"/>
        <w:rPr>
          <w:rFonts w:ascii="Bookman Old Style" w:hAnsi="Bookman Old Style" w:cs="Arial"/>
          <w:i/>
          <w:sz w:val="22"/>
          <w:szCs w:val="22"/>
        </w:rPr>
      </w:pPr>
    </w:p>
    <w:p w:rsidR="00E604EC"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Es importante entonces, igualmente considerar que existen situaciones posteriores al análisis que realiza la CREG y que, si no se tienen en cuenta, no se estaría siguiendo un procedimiento legal y efectivo para la determinación de cargos. Por ello, la Comisión debe en primer lugar informar y permitir el análisis para cada caso concreto de la información utilizada para el modelo de cálculo de los cargos y posteriormente incluir y actualizar los mismos con las situaciones fácticas y con ello evitar efectos patrimoniales y de servicios nocivos para la Empresa</w:t>
      </w:r>
      <w:r w:rsidR="00E604EC">
        <w:rPr>
          <w:rFonts w:ascii="Bookman Old Style" w:hAnsi="Bookman Old Style" w:cs="Arial"/>
          <w:i/>
          <w:sz w:val="22"/>
          <w:szCs w:val="22"/>
        </w:rPr>
        <w:t>.</w:t>
      </w:r>
    </w:p>
    <w:p w:rsidR="00E604EC" w:rsidRDefault="00E604EC" w:rsidP="000804FD">
      <w:pPr>
        <w:jc w:val="both"/>
        <w:rPr>
          <w:rFonts w:ascii="Bookman Old Style" w:hAnsi="Bookman Old Style" w:cs="Arial"/>
          <w:i/>
          <w:sz w:val="22"/>
          <w:szCs w:val="22"/>
        </w:rPr>
      </w:pPr>
    </w:p>
    <w:p w:rsidR="00E604EC"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w:t>
      </w:r>
    </w:p>
    <w:p w:rsidR="00CC5CE1" w:rsidRPr="006875CB" w:rsidRDefault="00CC5CE1" w:rsidP="000804FD">
      <w:pPr>
        <w:jc w:val="both"/>
        <w:rPr>
          <w:rFonts w:ascii="Bookman Old Style" w:hAnsi="Bookman Old Style" w:cs="Arial"/>
          <w:i/>
          <w:sz w:val="22"/>
          <w:szCs w:val="22"/>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 xml:space="preserve">En efecto, el Documento CREG 082/12 expone varios criterios de valoración para una muestra de gasoductos, pero no indica la manera como se le aplicaron al Sistema Regional de Transporte </w:t>
      </w:r>
      <w:r w:rsidR="00A25548">
        <w:rPr>
          <w:rFonts w:ascii="Bookman Old Style" w:hAnsi="Bookman Old Style" w:cs="Arial"/>
          <w:i/>
          <w:sz w:val="22"/>
          <w:szCs w:val="22"/>
        </w:rPr>
        <w:t>Cundi Suroccidental</w:t>
      </w:r>
      <w:r w:rsidRPr="006875CB">
        <w:rPr>
          <w:rFonts w:ascii="Bookman Old Style" w:hAnsi="Bookman Old Style" w:cs="Arial"/>
          <w:i/>
          <w:sz w:val="22"/>
          <w:szCs w:val="22"/>
        </w:rPr>
        <w:t xml:space="preserve">. De la información remitida por la CREG a TGI sobre los gasoductos de la muestra, a 11 de los 35 elementos de la misma no le es posible comprobar los costos originados con la información disponible por los criterios de comparación a pesar que la CREG utiliza el costo en USD/m-pulg de los 35 elementos de la muestra. </w:t>
      </w:r>
    </w:p>
    <w:p w:rsidR="00CC5CE1" w:rsidRPr="006875CB" w:rsidRDefault="00CC5CE1" w:rsidP="000804FD">
      <w:pPr>
        <w:jc w:val="both"/>
        <w:rPr>
          <w:rFonts w:ascii="Bookman Old Style" w:hAnsi="Bookman Old Style" w:cs="Arial"/>
          <w:i/>
          <w:sz w:val="22"/>
          <w:szCs w:val="22"/>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 xml:space="preserve">No se cumple, por lo tanto, la exigencia legal de que los motivos para tomar las decisiones contenidas en la Resolución recurrida </w:t>
      </w:r>
      <w:r w:rsidR="00E604EC">
        <w:rPr>
          <w:rFonts w:ascii="Bookman Old Style" w:hAnsi="Bookman Old Style" w:cs="Arial"/>
          <w:i/>
          <w:sz w:val="22"/>
          <w:szCs w:val="22"/>
        </w:rPr>
        <w:t>‘</w:t>
      </w:r>
      <w:r w:rsidRPr="006875CB">
        <w:rPr>
          <w:rFonts w:ascii="Bookman Old Style" w:hAnsi="Bookman Old Style" w:cs="Arial"/>
          <w:i/>
          <w:sz w:val="22"/>
          <w:szCs w:val="22"/>
        </w:rPr>
        <w:t>sean verificables</w:t>
      </w:r>
      <w:r w:rsidR="00E604EC">
        <w:rPr>
          <w:rFonts w:ascii="Bookman Old Style" w:hAnsi="Bookman Old Style" w:cs="Arial"/>
          <w:i/>
          <w:sz w:val="22"/>
          <w:szCs w:val="22"/>
        </w:rPr>
        <w:t>’</w:t>
      </w:r>
      <w:r w:rsidRPr="006875CB">
        <w:rPr>
          <w:rFonts w:ascii="Bookman Old Style" w:hAnsi="Bookman Old Style" w:cs="Arial"/>
          <w:i/>
          <w:sz w:val="22"/>
          <w:szCs w:val="22"/>
        </w:rPr>
        <w:t xml:space="preserve">. </w:t>
      </w:r>
    </w:p>
    <w:p w:rsidR="00CC5CE1" w:rsidRPr="006875CB" w:rsidRDefault="00CC5CE1" w:rsidP="000804FD">
      <w:pPr>
        <w:jc w:val="both"/>
        <w:rPr>
          <w:rFonts w:ascii="Bookman Old Style" w:hAnsi="Bookman Old Style" w:cs="Arial"/>
          <w:i/>
          <w:sz w:val="22"/>
          <w:szCs w:val="22"/>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 xml:space="preserve">En efecto, al reducir considerablemente los costos reconocidos para la inversión, y ello sin tener en cuenta que los correspondientes a Geotecnia de por sí se han elevado considerablemente, TGI resulta lesionado gravemente o, como dice el código, recibe un </w:t>
      </w:r>
      <w:r w:rsidR="001579B6">
        <w:rPr>
          <w:rFonts w:ascii="Bookman Old Style" w:hAnsi="Bookman Old Style" w:cs="Arial"/>
          <w:i/>
          <w:sz w:val="22"/>
          <w:szCs w:val="22"/>
        </w:rPr>
        <w:t>‘</w:t>
      </w:r>
      <w:r w:rsidRPr="006875CB">
        <w:rPr>
          <w:rFonts w:ascii="Bookman Old Style" w:hAnsi="Bookman Old Style" w:cs="Arial"/>
          <w:i/>
          <w:sz w:val="22"/>
          <w:szCs w:val="22"/>
        </w:rPr>
        <w:t>agravio injustificado</w:t>
      </w:r>
      <w:r w:rsidR="001579B6">
        <w:rPr>
          <w:rFonts w:ascii="Bookman Old Style" w:hAnsi="Bookman Old Style" w:cs="Arial"/>
          <w:i/>
          <w:sz w:val="22"/>
          <w:szCs w:val="22"/>
        </w:rPr>
        <w:t>’</w:t>
      </w:r>
      <w:r w:rsidRPr="006875CB">
        <w:rPr>
          <w:rFonts w:ascii="Bookman Old Style" w:hAnsi="Bookman Old Style" w:cs="Arial"/>
          <w:i/>
          <w:sz w:val="22"/>
          <w:szCs w:val="22"/>
        </w:rPr>
        <w:t>.</w:t>
      </w:r>
    </w:p>
    <w:p w:rsidR="00CC5CE1" w:rsidRPr="006875CB" w:rsidRDefault="00CC5CE1" w:rsidP="000804FD">
      <w:pPr>
        <w:jc w:val="both"/>
        <w:rPr>
          <w:rFonts w:ascii="Bookman Old Style" w:hAnsi="Bookman Old Style" w:cs="Arial"/>
          <w:i/>
          <w:sz w:val="22"/>
          <w:szCs w:val="22"/>
        </w:rPr>
      </w:pPr>
    </w:p>
    <w:p w:rsidR="001579B6"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Las decisiones tarifarias de la CREG, que legalmente son regladas, están sujetas a un procedimiento legal y por tal razón la causal es plenamente aplicable, máxime en la situación presente en que el gasoducto no está construido</w:t>
      </w:r>
      <w:r w:rsidR="001579B6">
        <w:rPr>
          <w:rFonts w:ascii="Bookman Old Style" w:hAnsi="Bookman Old Style" w:cs="Arial"/>
          <w:i/>
          <w:sz w:val="22"/>
          <w:szCs w:val="22"/>
        </w:rPr>
        <w:t>.</w:t>
      </w:r>
    </w:p>
    <w:p w:rsidR="001579B6" w:rsidRDefault="001579B6" w:rsidP="000804FD">
      <w:pPr>
        <w:jc w:val="both"/>
        <w:rPr>
          <w:rFonts w:ascii="Bookman Old Style" w:hAnsi="Bookman Old Style" w:cs="Arial"/>
          <w:i/>
          <w:sz w:val="22"/>
          <w:szCs w:val="22"/>
        </w:rPr>
      </w:pPr>
    </w:p>
    <w:p w:rsidR="001579B6"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 xml:space="preserve">Igualmente se debe tener en cuenta que la metodología general para remunerar los servicios de transporte de gas natural, contenida en la Resolución CREG 126/10, reformada por la Resolución CREG 79/11, se modificó para la fijación de los cargos en la Resolución objeto del presente recurso, a incorporar los conceptos de peritazgos utilizados para resolver los Recursos de Reposición contra las </w:t>
      </w:r>
      <w:r w:rsidRPr="006875CB">
        <w:rPr>
          <w:rFonts w:ascii="Bookman Old Style" w:hAnsi="Bookman Old Style" w:cs="Arial"/>
          <w:i/>
          <w:sz w:val="22"/>
          <w:szCs w:val="22"/>
        </w:rPr>
        <w:lastRenderedPageBreak/>
        <w:t xml:space="preserve">Resoluciones CREG 110/11, 115/11 y 117/11, relativas a cargos regulados de transporte. </w:t>
      </w:r>
    </w:p>
    <w:p w:rsidR="001579B6" w:rsidRDefault="001579B6" w:rsidP="000804FD">
      <w:pPr>
        <w:jc w:val="both"/>
        <w:rPr>
          <w:rFonts w:ascii="Bookman Old Style" w:hAnsi="Bookman Old Style" w:cs="Arial"/>
          <w:i/>
          <w:sz w:val="22"/>
          <w:szCs w:val="22"/>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w:t>
      </w:r>
    </w:p>
    <w:p w:rsidR="00CC5CE1" w:rsidRPr="006875CB" w:rsidRDefault="00CC5CE1" w:rsidP="000804FD">
      <w:pPr>
        <w:jc w:val="both"/>
        <w:rPr>
          <w:rFonts w:ascii="Bookman Old Style" w:hAnsi="Bookman Old Style" w:cs="Arial"/>
          <w:i/>
          <w:sz w:val="22"/>
          <w:szCs w:val="22"/>
        </w:rPr>
      </w:pPr>
    </w:p>
    <w:p w:rsidR="00092660"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Sin embargo, una decisión de carácter particular como la mencionada resolución, no puede ni ser fundamento de otras decisiones, ni modificar resoluciones de carácter general, toda vez que contraría lo dispuesto en el artículo 126 de la Ley 142/94</w:t>
      </w:r>
      <w:r w:rsidR="00092660">
        <w:rPr>
          <w:rFonts w:ascii="Bookman Old Style" w:hAnsi="Bookman Old Style" w:cs="Arial"/>
          <w:i/>
          <w:sz w:val="22"/>
          <w:szCs w:val="22"/>
        </w:rPr>
        <w:t>:</w:t>
      </w:r>
    </w:p>
    <w:p w:rsidR="00092660" w:rsidRDefault="00092660" w:rsidP="000804FD">
      <w:pPr>
        <w:jc w:val="both"/>
        <w:rPr>
          <w:rFonts w:ascii="Bookman Old Style" w:hAnsi="Bookman Old Style" w:cs="Arial"/>
          <w:i/>
          <w:sz w:val="22"/>
          <w:szCs w:val="22"/>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w:t>
      </w:r>
    </w:p>
    <w:p w:rsidR="00CC5CE1" w:rsidRPr="006875CB" w:rsidRDefault="00CC5CE1" w:rsidP="005056C1">
      <w:pPr>
        <w:ind w:left="0"/>
        <w:jc w:val="both"/>
        <w:rPr>
          <w:rFonts w:ascii="Bookman Old Style" w:hAnsi="Bookman Old Style" w:cs="Arial"/>
        </w:rPr>
      </w:pPr>
    </w:p>
    <w:p w:rsidR="00A62E4D" w:rsidRPr="006875CB" w:rsidRDefault="00E95F5C" w:rsidP="001743A6">
      <w:pPr>
        <w:ind w:left="0"/>
        <w:jc w:val="both"/>
        <w:rPr>
          <w:rFonts w:ascii="Bookman Old Style" w:hAnsi="Bookman Old Style" w:cs="Arial"/>
        </w:rPr>
      </w:pPr>
      <w:r w:rsidRPr="006875CB">
        <w:rPr>
          <w:rFonts w:ascii="Bookman Old Style" w:hAnsi="Bookman Old Style" w:cs="Arial"/>
        </w:rPr>
        <w:t>Respecto de las aseveraci</w:t>
      </w:r>
      <w:r w:rsidR="00CB73DF" w:rsidRPr="006875CB">
        <w:rPr>
          <w:rFonts w:ascii="Bookman Old Style" w:hAnsi="Bookman Old Style" w:cs="Arial"/>
        </w:rPr>
        <w:t>ones de TGI</w:t>
      </w:r>
      <w:r w:rsidRPr="006875CB">
        <w:rPr>
          <w:rFonts w:ascii="Bookman Old Style" w:hAnsi="Bookman Old Style" w:cs="Arial"/>
        </w:rPr>
        <w:t xml:space="preserve"> es pertinente </w:t>
      </w:r>
      <w:r w:rsidR="00067F10" w:rsidRPr="006875CB">
        <w:rPr>
          <w:rFonts w:ascii="Bookman Old Style" w:hAnsi="Bookman Old Style" w:cs="Arial"/>
        </w:rPr>
        <w:t>señalar</w:t>
      </w:r>
      <w:r w:rsidR="00CB73DF" w:rsidRPr="006875CB">
        <w:rPr>
          <w:rFonts w:ascii="Bookman Old Style" w:hAnsi="Bookman Old Style" w:cs="Arial"/>
        </w:rPr>
        <w:t>,</w:t>
      </w:r>
      <w:r w:rsidR="00087095" w:rsidRPr="006875CB">
        <w:rPr>
          <w:rFonts w:ascii="Bookman Old Style" w:hAnsi="Bookman Old Style" w:cs="Arial"/>
        </w:rPr>
        <w:t xml:space="preserve"> como primer punto</w:t>
      </w:r>
      <w:r w:rsidR="00CB73DF" w:rsidRPr="006875CB">
        <w:rPr>
          <w:rFonts w:ascii="Bookman Old Style" w:hAnsi="Bookman Old Style" w:cs="Arial"/>
        </w:rPr>
        <w:t>,</w:t>
      </w:r>
      <w:r w:rsidR="00087095" w:rsidRPr="006875CB">
        <w:rPr>
          <w:rFonts w:ascii="Bookman Old Style" w:hAnsi="Bookman Old Style" w:cs="Arial"/>
        </w:rPr>
        <w:t xml:space="preserve"> que </w:t>
      </w:r>
      <w:r w:rsidR="00087095" w:rsidRPr="006875CB">
        <w:rPr>
          <w:rFonts w:ascii="Bookman Old Style" w:hAnsi="Bookman Old Style" w:cs="Arial"/>
          <w:i/>
        </w:rPr>
        <w:t>“</w:t>
      </w:r>
      <w:r w:rsidRPr="006875CB">
        <w:rPr>
          <w:rFonts w:ascii="Bookman Old Style" w:hAnsi="Bookman Old Style" w:cs="Arial"/>
          <w:i/>
        </w:rPr>
        <w:t>la información</w:t>
      </w:r>
      <w:r w:rsidR="00087095" w:rsidRPr="006875CB">
        <w:rPr>
          <w:rFonts w:ascii="Bookman Old Style" w:hAnsi="Bookman Old Style" w:cs="Arial"/>
          <w:i/>
        </w:rPr>
        <w:t xml:space="preserve">, </w:t>
      </w:r>
      <w:r w:rsidRPr="006875CB">
        <w:rPr>
          <w:rFonts w:ascii="Bookman Old Style" w:hAnsi="Bookman Old Style" w:cs="Arial"/>
          <w:i/>
        </w:rPr>
        <w:t>las formas</w:t>
      </w:r>
      <w:r w:rsidR="00087095" w:rsidRPr="006875CB">
        <w:rPr>
          <w:rFonts w:ascii="Bookman Old Style" w:hAnsi="Bookman Old Style" w:cs="Arial"/>
          <w:i/>
        </w:rPr>
        <w:t xml:space="preserve"> y los métodos”</w:t>
      </w:r>
      <w:r w:rsidRPr="006875CB">
        <w:rPr>
          <w:rFonts w:ascii="Bookman Old Style" w:hAnsi="Bookman Old Style" w:cs="Arial"/>
        </w:rPr>
        <w:t xml:space="preserve"> que utilizó la CREG para fijar los cargos regulados de transporte de gas natural </w:t>
      </w:r>
      <w:r w:rsidR="00087095" w:rsidRPr="006875CB">
        <w:rPr>
          <w:rFonts w:ascii="Bookman Old Style" w:hAnsi="Bookman Old Style" w:cs="Arial"/>
        </w:rPr>
        <w:t>no sólo están claramente determinados en la normativa pertinente, sino que son públicos y basados en información transparente</w:t>
      </w:r>
      <w:r w:rsidRPr="006875CB">
        <w:rPr>
          <w:rFonts w:ascii="Bookman Old Style" w:hAnsi="Bookman Old Style" w:cs="Arial"/>
        </w:rPr>
        <w:t xml:space="preserve">. </w:t>
      </w:r>
      <w:r w:rsidR="00A62E4D" w:rsidRPr="006875CB">
        <w:rPr>
          <w:rFonts w:ascii="Bookman Old Style" w:hAnsi="Bookman Old Style" w:cs="Arial"/>
        </w:rPr>
        <w:t>Por lo tanto, se rechaza toda afirmación que implique que la CREG actuó ocultando información o violando en manera alguna el principio de publicidad.</w:t>
      </w:r>
    </w:p>
    <w:p w:rsidR="00A62E4D" w:rsidRPr="006875CB" w:rsidRDefault="00A62E4D" w:rsidP="001743A6">
      <w:pPr>
        <w:ind w:left="0"/>
        <w:jc w:val="both"/>
        <w:rPr>
          <w:rFonts w:ascii="Bookman Old Style" w:hAnsi="Bookman Old Style" w:cs="Arial"/>
        </w:rPr>
      </w:pPr>
    </w:p>
    <w:p w:rsidR="00087095" w:rsidRPr="006875CB" w:rsidRDefault="00E95F5C" w:rsidP="001743A6">
      <w:pPr>
        <w:ind w:left="0"/>
        <w:jc w:val="both"/>
        <w:rPr>
          <w:rFonts w:ascii="Bookman Old Style" w:hAnsi="Bookman Old Style" w:cs="Arial"/>
        </w:rPr>
      </w:pPr>
      <w:r w:rsidRPr="006875CB">
        <w:rPr>
          <w:rFonts w:ascii="Bookman Old Style" w:hAnsi="Bookman Old Style" w:cs="Arial"/>
        </w:rPr>
        <w:t xml:space="preserve">En efecto, la Resolución CREG 126 de 2010 estableció con claridad la </w:t>
      </w:r>
      <w:r w:rsidRPr="006875CB">
        <w:rPr>
          <w:rFonts w:ascii="Bookman Old Style" w:hAnsi="Bookman Old Style" w:cs="Arial"/>
          <w:i/>
        </w:rPr>
        <w:t>metodología</w:t>
      </w:r>
      <w:r w:rsidRPr="006875CB">
        <w:rPr>
          <w:rFonts w:ascii="Bookman Old Style" w:hAnsi="Bookman Old Style" w:cs="Arial"/>
        </w:rPr>
        <w:t xml:space="preserve"> </w:t>
      </w:r>
      <w:r w:rsidR="00E93A08" w:rsidRPr="006875CB">
        <w:rPr>
          <w:rFonts w:ascii="Bookman Old Style" w:hAnsi="Bookman Old Style" w:cs="Arial"/>
        </w:rPr>
        <w:t>aplicable, en especial en sus artículo</w:t>
      </w:r>
      <w:r w:rsidR="00087095" w:rsidRPr="006875CB">
        <w:rPr>
          <w:rFonts w:ascii="Bookman Old Style" w:hAnsi="Bookman Old Style" w:cs="Arial"/>
        </w:rPr>
        <w:t>s</w:t>
      </w:r>
      <w:r w:rsidR="00E93A08" w:rsidRPr="006875CB">
        <w:rPr>
          <w:rFonts w:ascii="Bookman Old Style" w:hAnsi="Bookman Old Style" w:cs="Arial"/>
        </w:rPr>
        <w:t xml:space="preserve"> 22</w:t>
      </w:r>
      <w:r w:rsidR="00087095" w:rsidRPr="006875CB">
        <w:rPr>
          <w:rFonts w:ascii="Bookman Old Style" w:hAnsi="Bookman Old Style" w:cs="Arial"/>
        </w:rPr>
        <w:t>, 24 y 25, los cuales fueron aplicados</w:t>
      </w:r>
      <w:r w:rsidR="00E93A08" w:rsidRPr="006875CB">
        <w:rPr>
          <w:rFonts w:ascii="Bookman Old Style" w:hAnsi="Bookman Old Style" w:cs="Arial"/>
        </w:rPr>
        <w:t xml:space="preserve"> de manera rigurosa</w:t>
      </w:r>
      <w:r w:rsidR="00087095" w:rsidRPr="006875CB">
        <w:rPr>
          <w:rFonts w:ascii="Bookman Old Style" w:hAnsi="Bookman Old Style" w:cs="Arial"/>
        </w:rPr>
        <w:t xml:space="preserve"> durante la actuación administrativa que dio lugar a la Resolución recurrida.</w:t>
      </w:r>
    </w:p>
    <w:p w:rsidR="00087095" w:rsidRPr="006875CB" w:rsidRDefault="00087095" w:rsidP="001743A6">
      <w:pPr>
        <w:ind w:left="0"/>
        <w:jc w:val="both"/>
        <w:rPr>
          <w:rFonts w:ascii="Bookman Old Style" w:hAnsi="Bookman Old Style" w:cs="Arial"/>
        </w:rPr>
      </w:pPr>
    </w:p>
    <w:p w:rsidR="00B61182" w:rsidRPr="006875CB" w:rsidRDefault="00CB73DF" w:rsidP="001743A6">
      <w:pPr>
        <w:ind w:left="0"/>
        <w:jc w:val="both"/>
        <w:rPr>
          <w:rFonts w:ascii="Bookman Old Style" w:hAnsi="Bookman Old Style" w:cs="Arial"/>
        </w:rPr>
      </w:pPr>
      <w:r w:rsidRPr="006875CB">
        <w:rPr>
          <w:rFonts w:ascii="Bookman Old Style" w:hAnsi="Bookman Old Style" w:cs="Arial"/>
        </w:rPr>
        <w:t>En efecto, l</w:t>
      </w:r>
      <w:r w:rsidR="00087095" w:rsidRPr="006875CB">
        <w:rPr>
          <w:rFonts w:ascii="Bookman Old Style" w:hAnsi="Bookman Old Style" w:cs="Arial"/>
        </w:rPr>
        <w:t>a CREG dio aplicación al literal h) del mencionado artículo 24,</w:t>
      </w:r>
      <w:r w:rsidR="00B61182" w:rsidRPr="006875CB">
        <w:rPr>
          <w:rFonts w:ascii="Bookman Old Style" w:hAnsi="Bookman Old Style" w:cs="Arial"/>
        </w:rPr>
        <w:t xml:space="preserve"> el</w:t>
      </w:r>
      <w:r w:rsidR="00087095" w:rsidRPr="006875CB">
        <w:rPr>
          <w:rFonts w:ascii="Bookman Old Style" w:hAnsi="Bookman Old Style" w:cs="Arial"/>
        </w:rPr>
        <w:t xml:space="preserve"> cual dispone que </w:t>
      </w:r>
      <w:r w:rsidR="00B61182" w:rsidRPr="006875CB">
        <w:rPr>
          <w:rFonts w:ascii="Bookman Old Style" w:hAnsi="Bookman Old Style" w:cs="Arial"/>
        </w:rPr>
        <w:t>si para la determinación de cargos de la Red Tipo II</w:t>
      </w:r>
      <w:r w:rsidR="00087095" w:rsidRPr="006875CB">
        <w:rPr>
          <w:rFonts w:ascii="Bookman Old Style" w:hAnsi="Bookman Old Style" w:cs="Arial"/>
        </w:rPr>
        <w:t xml:space="preserve"> </w:t>
      </w:r>
      <w:r w:rsidR="00087095" w:rsidRPr="006875CB">
        <w:rPr>
          <w:rFonts w:ascii="Bookman Old Style" w:hAnsi="Bookman Old Style" w:cs="Arial"/>
          <w:i/>
        </w:rPr>
        <w:t>“</w:t>
      </w:r>
      <w:r w:rsidR="00087095" w:rsidRPr="006875CB">
        <w:rPr>
          <w:rFonts w:ascii="Bookman Old Style" w:hAnsi="Bookman Old Style" w:cs="Arial"/>
          <w:i/>
          <w:color w:val="000000"/>
        </w:rPr>
        <w:t xml:space="preserve">se presenta una solicitud tarifaria o sólo se reciben solicitudes de transportadores que tienen interés económico entre sí, la CREG evaluará la solicitud del agente que presentó los tres sobres de conformidad con el </w:t>
      </w:r>
      <w:r w:rsidR="00087095" w:rsidRPr="006875CB">
        <w:rPr>
          <w:rFonts w:ascii="Bookman Old Style" w:hAnsi="Bookman Old Style" w:cs="Arial"/>
          <w:i/>
        </w:rPr>
        <w:t>literal a)</w:t>
      </w:r>
      <w:r w:rsidR="00087095" w:rsidRPr="006875CB">
        <w:rPr>
          <w:rFonts w:ascii="Bookman Old Style" w:hAnsi="Bookman Old Style"/>
          <w:i/>
        </w:rPr>
        <w:t xml:space="preserve"> </w:t>
      </w:r>
      <w:r w:rsidR="00087095" w:rsidRPr="006875CB">
        <w:rPr>
          <w:rFonts w:ascii="Bookman Old Style" w:hAnsi="Bookman Old Style" w:cs="Arial"/>
          <w:i/>
          <w:color w:val="000000"/>
        </w:rPr>
        <w:t xml:space="preserve">de este artículo. </w:t>
      </w:r>
      <w:r w:rsidR="00087095" w:rsidRPr="006875CB">
        <w:rPr>
          <w:rFonts w:ascii="Bookman Old Style" w:hAnsi="Bookman Old Style" w:cs="Arial"/>
          <w:b/>
          <w:i/>
          <w:color w:val="000000"/>
          <w:u w:val="single"/>
        </w:rPr>
        <w:t>Este procedimiento se llevará a cabo de acuerdo con lo establecido en el Anexo 1 de la presente Resolución</w:t>
      </w:r>
      <w:r w:rsidR="00087095" w:rsidRPr="006875CB">
        <w:rPr>
          <w:rFonts w:ascii="Bookman Old Style" w:hAnsi="Bookman Old Style" w:cs="Arial"/>
          <w:i/>
        </w:rPr>
        <w:t>”</w:t>
      </w:r>
      <w:r w:rsidR="00E93A08" w:rsidRPr="006875CB">
        <w:rPr>
          <w:rFonts w:ascii="Bookman Old Style" w:hAnsi="Bookman Old Style" w:cs="Arial"/>
        </w:rPr>
        <w:t xml:space="preserve"> </w:t>
      </w:r>
      <w:r w:rsidR="00087095" w:rsidRPr="006875CB">
        <w:rPr>
          <w:rFonts w:ascii="Bookman Old Style" w:hAnsi="Bookman Old Style" w:cs="Arial"/>
        </w:rPr>
        <w:t xml:space="preserve">(subrayas y negrillas fuera de texto). </w:t>
      </w:r>
    </w:p>
    <w:p w:rsidR="00B61182" w:rsidRPr="006875CB" w:rsidRDefault="00B61182" w:rsidP="001743A6">
      <w:pPr>
        <w:ind w:left="0"/>
        <w:jc w:val="both"/>
        <w:rPr>
          <w:rFonts w:ascii="Bookman Old Style" w:hAnsi="Bookman Old Style" w:cs="Arial"/>
        </w:rPr>
      </w:pPr>
    </w:p>
    <w:p w:rsidR="00CB73DF" w:rsidRPr="006875CB" w:rsidRDefault="00B61182" w:rsidP="001743A6">
      <w:pPr>
        <w:ind w:left="0"/>
        <w:jc w:val="both"/>
        <w:rPr>
          <w:rFonts w:ascii="Bookman Old Style" w:hAnsi="Bookman Old Style" w:cs="Arial"/>
        </w:rPr>
      </w:pPr>
      <w:r w:rsidRPr="006875CB">
        <w:rPr>
          <w:rFonts w:ascii="Bookman Old Style" w:hAnsi="Bookman Old Style" w:cs="Arial"/>
        </w:rPr>
        <w:t>De esta forma, se procedió a aplicar el método de comparación</w:t>
      </w:r>
      <w:r w:rsidR="00A62E4D" w:rsidRPr="006875CB">
        <w:rPr>
          <w:rFonts w:ascii="Bookman Old Style" w:hAnsi="Bookman Old Style" w:cs="Arial"/>
        </w:rPr>
        <w:t xml:space="preserve"> cuyo marco fue establecido en el Anexo </w:t>
      </w:r>
      <w:r w:rsidR="003A122D" w:rsidRPr="006875CB">
        <w:rPr>
          <w:rFonts w:ascii="Bookman Old Style" w:hAnsi="Bookman Old Style" w:cs="Arial"/>
        </w:rPr>
        <w:t xml:space="preserve">1 </w:t>
      </w:r>
      <w:r w:rsidR="00A62E4D" w:rsidRPr="006875CB">
        <w:rPr>
          <w:rFonts w:ascii="Bookman Old Style" w:hAnsi="Bookman Old Style" w:cs="Arial"/>
        </w:rPr>
        <w:t>de la Resolución CREG 126 de 2010</w:t>
      </w:r>
      <w:r w:rsidRPr="006875CB">
        <w:rPr>
          <w:rFonts w:ascii="Bookman Old Style" w:hAnsi="Bookman Old Style" w:cs="Arial"/>
        </w:rPr>
        <w:t>, el cual es explicado en detalle en el Documento CREG 082 de 2012</w:t>
      </w:r>
      <w:r w:rsidR="00CB73DF" w:rsidRPr="006875CB">
        <w:rPr>
          <w:rFonts w:ascii="Bookman Old Style" w:hAnsi="Bookman Old Style" w:cs="Arial"/>
        </w:rPr>
        <w:t>, específicamente en el Anexo 3 del mismo</w:t>
      </w:r>
      <w:r w:rsidRPr="006875CB">
        <w:rPr>
          <w:rFonts w:ascii="Bookman Old Style" w:hAnsi="Bookman Old Style" w:cs="Arial"/>
        </w:rPr>
        <w:t xml:space="preserve">. </w:t>
      </w:r>
      <w:r w:rsidR="00CB73DF" w:rsidRPr="006875CB">
        <w:rPr>
          <w:rFonts w:ascii="Bookman Old Style" w:hAnsi="Bookman Old Style" w:cs="Arial"/>
        </w:rPr>
        <w:t>Allí</w:t>
      </w:r>
      <w:r w:rsidRPr="006875CB">
        <w:rPr>
          <w:rFonts w:ascii="Bookman Old Style" w:hAnsi="Bookman Old Style" w:cs="Arial"/>
        </w:rPr>
        <w:t xml:space="preserve"> se </w:t>
      </w:r>
      <w:r w:rsidR="00CB73DF" w:rsidRPr="006875CB">
        <w:rPr>
          <w:rFonts w:ascii="Bookman Old Style" w:hAnsi="Bookman Old Style" w:cs="Arial"/>
        </w:rPr>
        <w:t xml:space="preserve">exponen de manera clara los ductos que fueron tenidos en cuenta para conformar la muestra respecto de la cual se aplicó el método de comparación determinado en la </w:t>
      </w:r>
      <w:r w:rsidR="00CB73DF" w:rsidRPr="006875CB">
        <w:rPr>
          <w:rFonts w:ascii="Bookman Old Style" w:hAnsi="Bookman Old Style" w:cs="Arial"/>
          <w:i/>
        </w:rPr>
        <w:t xml:space="preserve">metodología. </w:t>
      </w:r>
      <w:r w:rsidR="00CB73DF" w:rsidRPr="006875CB">
        <w:rPr>
          <w:rFonts w:ascii="Bookman Old Style" w:hAnsi="Bookman Old Style" w:cs="Arial"/>
        </w:rPr>
        <w:t xml:space="preserve">Así, entre otros, se dejó claro el </w:t>
      </w:r>
      <w:r w:rsidR="00154D0F" w:rsidRPr="006875CB">
        <w:rPr>
          <w:rFonts w:ascii="Bookman Old Style" w:hAnsi="Bookman Old Style" w:cs="Arial"/>
        </w:rPr>
        <w:t xml:space="preserve">gasoducto </w:t>
      </w:r>
      <w:r w:rsidR="00D70C78">
        <w:rPr>
          <w:rFonts w:ascii="Bookman Old Style" w:hAnsi="Bookman Old Style" w:cs="Arial"/>
        </w:rPr>
        <w:t>correspondiente y la r</w:t>
      </w:r>
      <w:r w:rsidR="00CB73DF" w:rsidRPr="006875CB">
        <w:rPr>
          <w:rFonts w:ascii="Bookman Old Style" w:hAnsi="Bookman Old Style" w:cs="Arial"/>
        </w:rPr>
        <w:t>esolución CREG mediante la cual se aprobaron cargos regulados de transporte</w:t>
      </w:r>
      <w:r w:rsidR="00C74BCD" w:rsidRPr="006875CB">
        <w:rPr>
          <w:rFonts w:ascii="Bookman Old Style" w:hAnsi="Bookman Old Style" w:cs="Arial"/>
        </w:rPr>
        <w:t>. Valga indicar que todos los du</w:t>
      </w:r>
      <w:r w:rsidR="00CB73DF" w:rsidRPr="006875CB">
        <w:rPr>
          <w:rFonts w:ascii="Bookman Old Style" w:hAnsi="Bookman Old Style" w:cs="Arial"/>
        </w:rPr>
        <w:t>ctos referidos fueron construidos entre los años 2002 y 2011.</w:t>
      </w:r>
    </w:p>
    <w:p w:rsidR="00CB73DF" w:rsidRPr="006875CB" w:rsidRDefault="00CB73DF" w:rsidP="001743A6">
      <w:pPr>
        <w:ind w:left="0"/>
        <w:jc w:val="both"/>
        <w:rPr>
          <w:rFonts w:ascii="Bookman Old Style" w:hAnsi="Bookman Old Style" w:cs="Arial"/>
        </w:rPr>
      </w:pPr>
    </w:p>
    <w:p w:rsidR="007F03D7" w:rsidRPr="006875CB" w:rsidRDefault="00CB73DF" w:rsidP="001743A6">
      <w:pPr>
        <w:ind w:left="0"/>
        <w:jc w:val="both"/>
        <w:rPr>
          <w:rFonts w:ascii="Bookman Old Style" w:hAnsi="Bookman Old Style" w:cs="Arial"/>
        </w:rPr>
      </w:pPr>
      <w:r w:rsidRPr="006875CB">
        <w:rPr>
          <w:rFonts w:ascii="Bookman Old Style" w:hAnsi="Bookman Old Style" w:cs="Arial"/>
        </w:rPr>
        <w:t>Asimismo, en el Anexo 3 del Documento CRE</w:t>
      </w:r>
      <w:r w:rsidR="00154D0F" w:rsidRPr="006875CB">
        <w:rPr>
          <w:rFonts w:ascii="Bookman Old Style" w:hAnsi="Bookman Old Style" w:cs="Arial"/>
        </w:rPr>
        <w:t>G</w:t>
      </w:r>
      <w:r w:rsidRPr="006875CB">
        <w:rPr>
          <w:rFonts w:ascii="Bookman Old Style" w:hAnsi="Bookman Old Style" w:cs="Arial"/>
        </w:rPr>
        <w:t xml:space="preserve"> </w:t>
      </w:r>
      <w:r w:rsidRPr="00730B6C">
        <w:rPr>
          <w:rFonts w:ascii="Bookman Old Style" w:hAnsi="Bookman Old Style" w:cs="Arial"/>
        </w:rPr>
        <w:t>082</w:t>
      </w:r>
      <w:r w:rsidRPr="006875CB">
        <w:rPr>
          <w:rFonts w:ascii="Bookman Old Style" w:hAnsi="Bookman Old Style" w:cs="Arial"/>
        </w:rPr>
        <w:t xml:space="preserve"> de 2012 se detallaron</w:t>
      </w:r>
      <w:r w:rsidR="00B61182" w:rsidRPr="006875CB">
        <w:rPr>
          <w:rFonts w:ascii="Bookman Old Style" w:hAnsi="Bookman Old Style" w:cs="Arial"/>
        </w:rPr>
        <w:t xml:space="preserve"> las variables tomadas en cuenta por la CREG</w:t>
      </w:r>
      <w:r w:rsidR="00A62E4D" w:rsidRPr="006875CB">
        <w:rPr>
          <w:rFonts w:ascii="Bookman Old Style" w:hAnsi="Bookman Old Style" w:cs="Arial"/>
        </w:rPr>
        <w:t xml:space="preserve"> para comparar las inversiones de TGI</w:t>
      </w:r>
      <w:r w:rsidR="00B61182" w:rsidRPr="006875CB">
        <w:rPr>
          <w:rFonts w:ascii="Bookman Old Style" w:hAnsi="Bookman Old Style" w:cs="Arial"/>
        </w:rPr>
        <w:t xml:space="preserve">, </w:t>
      </w:r>
      <w:r w:rsidR="00A62E4D" w:rsidRPr="006875CB">
        <w:rPr>
          <w:rFonts w:ascii="Bookman Old Style" w:hAnsi="Bookman Old Style" w:cs="Arial"/>
        </w:rPr>
        <w:t xml:space="preserve">así como </w:t>
      </w:r>
      <w:r w:rsidR="00B61182" w:rsidRPr="006875CB">
        <w:rPr>
          <w:rFonts w:ascii="Bookman Old Style" w:hAnsi="Bookman Old Style" w:cs="Arial"/>
        </w:rPr>
        <w:t xml:space="preserve">el procedimiento mediante el cual se </w:t>
      </w:r>
      <w:r w:rsidR="00A62E4D" w:rsidRPr="006875CB">
        <w:rPr>
          <w:rFonts w:ascii="Bookman Old Style" w:hAnsi="Bookman Old Style" w:cs="Arial"/>
        </w:rPr>
        <w:t>llegó a determinar los multiplicadores que perm</w:t>
      </w:r>
      <w:r w:rsidRPr="006875CB">
        <w:rPr>
          <w:rFonts w:ascii="Bookman Old Style" w:hAnsi="Bookman Old Style" w:cs="Arial"/>
        </w:rPr>
        <w:t>iten comparar las inversiones.</w:t>
      </w:r>
      <w:r w:rsidR="00C74BCD" w:rsidRPr="006875CB">
        <w:rPr>
          <w:rFonts w:ascii="Bookman Old Style" w:hAnsi="Bookman Old Style" w:cs="Arial"/>
        </w:rPr>
        <w:t xml:space="preserve"> Según se indica en el mismo documento, la mencionada información surgió de informes realizados por expertos internacionales que recomendaron incluir trece variables distintas </w:t>
      </w:r>
      <w:r w:rsidR="00C74BCD" w:rsidRPr="006875CB">
        <w:rPr>
          <w:rFonts w:ascii="Bookman Old Style" w:hAnsi="Bookman Old Style" w:cs="Arial"/>
        </w:rPr>
        <w:lastRenderedPageBreak/>
        <w:t>al modelo de comparación, recomendaciones que TGI conocía de antemano y tuvo la oportunidad de controvertir</w:t>
      </w:r>
      <w:r w:rsidR="007F03D7" w:rsidRPr="006875CB">
        <w:rPr>
          <w:rFonts w:ascii="Bookman Old Style" w:hAnsi="Bookman Old Style" w:cs="Arial"/>
        </w:rPr>
        <w:t>. Los primeros párrafos del Anexo 3 en mención establecen lo siguiente:</w:t>
      </w:r>
    </w:p>
    <w:p w:rsidR="007F03D7" w:rsidRPr="006875CB" w:rsidRDefault="007F03D7" w:rsidP="001743A6">
      <w:pPr>
        <w:ind w:left="0"/>
        <w:jc w:val="both"/>
        <w:rPr>
          <w:rFonts w:ascii="Bookman Old Style" w:hAnsi="Bookman Old Style" w:cs="Arial"/>
        </w:rPr>
      </w:pPr>
    </w:p>
    <w:p w:rsidR="007F03D7" w:rsidRPr="006875CB" w:rsidRDefault="007F03D7" w:rsidP="007F03D7">
      <w:pPr>
        <w:jc w:val="both"/>
        <w:rPr>
          <w:rFonts w:ascii="Bookman Old Style" w:hAnsi="Bookman Old Style" w:cs="Arial"/>
          <w:i/>
          <w:sz w:val="22"/>
          <w:szCs w:val="22"/>
        </w:rPr>
      </w:pPr>
      <w:r w:rsidRPr="006875CB">
        <w:rPr>
          <w:rFonts w:ascii="Bookman Old Style" w:hAnsi="Bookman Old Style" w:cs="Arial"/>
          <w:i/>
          <w:sz w:val="22"/>
          <w:szCs w:val="22"/>
        </w:rPr>
        <w:t>“En este anexo se presentan los análisis realizados por la Comisión para valorar inversiones en gasoductos por comparación, con fundamento en lo establecido en el anexo 1 de la Resolución CREG 126 de 2010. El resultado de estos análisis es un modelo de valoración que recoge las principales variables que determinan el costo de un gasoducto.</w:t>
      </w:r>
    </w:p>
    <w:p w:rsidR="007F03D7" w:rsidRPr="006875CB" w:rsidRDefault="007F03D7" w:rsidP="007F03D7">
      <w:pPr>
        <w:jc w:val="both"/>
        <w:rPr>
          <w:rFonts w:ascii="Bookman Old Style" w:hAnsi="Bookman Old Style" w:cs="Arial"/>
          <w:i/>
          <w:sz w:val="22"/>
          <w:szCs w:val="22"/>
        </w:rPr>
      </w:pPr>
    </w:p>
    <w:p w:rsidR="007F03D7" w:rsidRPr="006875CB" w:rsidRDefault="007F03D7" w:rsidP="009F5E1A">
      <w:pPr>
        <w:jc w:val="both"/>
        <w:rPr>
          <w:rFonts w:ascii="Bookman Old Style" w:hAnsi="Bookman Old Style" w:cs="Arial"/>
          <w:i/>
          <w:sz w:val="22"/>
          <w:szCs w:val="22"/>
        </w:rPr>
      </w:pPr>
      <w:r w:rsidRPr="006875CB">
        <w:rPr>
          <w:rFonts w:ascii="Bookman Old Style" w:hAnsi="Bookman Old Style" w:cs="Arial"/>
          <w:i/>
          <w:sz w:val="22"/>
          <w:szCs w:val="22"/>
        </w:rPr>
        <w:t xml:space="preserve">Aunque estos análisis, y el modelo de valoración resultante, surgieron por la necesidad de profundizar el mecanismo de valoración de gasoductos utilizado en los cargos adoptados mediante las resoluciones </w:t>
      </w:r>
      <w:r w:rsidRPr="006875CB">
        <w:rPr>
          <w:rFonts w:ascii="Bookman Old Style" w:hAnsi="Bookman Old Style" w:cs="Arial"/>
          <w:b/>
          <w:i/>
          <w:sz w:val="22"/>
          <w:szCs w:val="22"/>
        </w:rPr>
        <w:t>CREG 110</w:t>
      </w:r>
      <w:r w:rsidRPr="006875CB">
        <w:rPr>
          <w:rStyle w:val="Refdenotaalpie"/>
          <w:rFonts w:ascii="Bookman Old Style" w:hAnsi="Bookman Old Style" w:cs="Arial"/>
          <w:b/>
          <w:i/>
          <w:sz w:val="22"/>
          <w:szCs w:val="22"/>
        </w:rPr>
        <w:footnoteReference w:id="1"/>
      </w:r>
      <w:r w:rsidRPr="006875CB">
        <w:rPr>
          <w:rFonts w:ascii="Bookman Old Style" w:hAnsi="Bookman Old Style" w:cs="Arial"/>
          <w:i/>
          <w:sz w:val="22"/>
          <w:szCs w:val="22"/>
        </w:rPr>
        <w:t xml:space="preserve">, 115 y 117 de 2011, </w:t>
      </w:r>
      <w:r w:rsidRPr="006875CB">
        <w:rPr>
          <w:rFonts w:ascii="Bookman Old Style" w:hAnsi="Bookman Old Style" w:cs="Arial"/>
          <w:b/>
          <w:i/>
          <w:sz w:val="22"/>
          <w:szCs w:val="22"/>
          <w:u w:val="single"/>
        </w:rPr>
        <w:t>su aplicación es de carácter general para la valoración de gasoductos. Es decir, este modelo de valoración se puede aplicar a cualquier gasoducto para el que se conozcan los valores de las variables requeridas por el modelo</w:t>
      </w:r>
      <w:r w:rsidRPr="006875CB">
        <w:rPr>
          <w:rFonts w:ascii="Bookman Old Style" w:hAnsi="Bookman Old Style" w:cs="Arial"/>
          <w:i/>
          <w:sz w:val="22"/>
          <w:szCs w:val="22"/>
        </w:rPr>
        <w:t>”</w:t>
      </w:r>
      <w:r w:rsidR="009F5E1A" w:rsidRPr="006875CB">
        <w:rPr>
          <w:rFonts w:ascii="Bookman Old Style" w:hAnsi="Bookman Old Style" w:cs="Arial"/>
          <w:i/>
          <w:sz w:val="22"/>
          <w:szCs w:val="22"/>
        </w:rPr>
        <w:t xml:space="preserve"> </w:t>
      </w:r>
      <w:r w:rsidR="009F5E1A" w:rsidRPr="006875CB">
        <w:rPr>
          <w:rFonts w:ascii="Bookman Old Style" w:hAnsi="Bookman Old Style" w:cs="Arial"/>
          <w:sz w:val="22"/>
          <w:szCs w:val="22"/>
        </w:rPr>
        <w:t>(subrayas y negrillas fuera de texto)</w:t>
      </w:r>
      <w:r w:rsidRPr="006875CB">
        <w:rPr>
          <w:rFonts w:ascii="Bookman Old Style" w:hAnsi="Bookman Old Style" w:cs="Arial"/>
          <w:i/>
          <w:sz w:val="22"/>
          <w:szCs w:val="22"/>
        </w:rPr>
        <w:t>.</w:t>
      </w:r>
    </w:p>
    <w:p w:rsidR="00C74BCD" w:rsidRPr="006875CB" w:rsidRDefault="00C74BCD" w:rsidP="00C74BCD">
      <w:pPr>
        <w:ind w:left="0"/>
        <w:jc w:val="both"/>
        <w:rPr>
          <w:rFonts w:ascii="Bookman Old Style" w:hAnsi="Bookman Old Style" w:cs="Arial"/>
        </w:rPr>
      </w:pPr>
      <w:r w:rsidRPr="006875CB">
        <w:rPr>
          <w:rFonts w:ascii="Bookman Old Style" w:hAnsi="Bookman Old Style" w:cs="Arial"/>
        </w:rPr>
        <w:t xml:space="preserve"> </w:t>
      </w:r>
    </w:p>
    <w:p w:rsidR="00C74BCD" w:rsidRPr="006875CB" w:rsidRDefault="00C74BCD" w:rsidP="00C74BCD">
      <w:pPr>
        <w:ind w:left="0"/>
        <w:jc w:val="both"/>
        <w:rPr>
          <w:rFonts w:ascii="Bookman Old Style" w:hAnsi="Bookman Old Style" w:cs="Arial"/>
        </w:rPr>
      </w:pPr>
      <w:r w:rsidRPr="006338D6">
        <w:rPr>
          <w:rFonts w:ascii="Bookman Old Style" w:hAnsi="Bookman Old Style" w:cs="Arial"/>
        </w:rPr>
        <w:t xml:space="preserve">Es pertinente </w:t>
      </w:r>
      <w:r w:rsidR="00E027AA" w:rsidRPr="006338D6">
        <w:rPr>
          <w:rFonts w:ascii="Bookman Old Style" w:hAnsi="Bookman Old Style" w:cs="Arial"/>
        </w:rPr>
        <w:t xml:space="preserve">anotar </w:t>
      </w:r>
      <w:r w:rsidRPr="006338D6">
        <w:rPr>
          <w:rFonts w:ascii="Bookman Old Style" w:hAnsi="Bookman Old Style" w:cs="Arial"/>
        </w:rPr>
        <w:t>que</w:t>
      </w:r>
      <w:r w:rsidR="00E027AA" w:rsidRPr="006338D6">
        <w:rPr>
          <w:rFonts w:ascii="Bookman Old Style" w:hAnsi="Bookman Old Style" w:cs="Arial"/>
        </w:rPr>
        <w:t xml:space="preserve"> la información indicada en el Anexo 3 del documento CREG 082 de 2012 ha estado disponible, dentro de los términos previstos en la Ley, tanto para </w:t>
      </w:r>
      <w:r w:rsidR="001D3786" w:rsidRPr="006338D6">
        <w:rPr>
          <w:rFonts w:ascii="Bookman Old Style" w:hAnsi="Bookman Old Style" w:cs="Arial"/>
        </w:rPr>
        <w:t xml:space="preserve">TGI </w:t>
      </w:r>
      <w:r w:rsidR="00E027AA" w:rsidRPr="006338D6">
        <w:rPr>
          <w:rFonts w:ascii="Bookman Old Style" w:hAnsi="Bookman Old Style" w:cs="Arial"/>
        </w:rPr>
        <w:t xml:space="preserve">como para los terceros interesados. En particular, </w:t>
      </w:r>
      <w:r w:rsidRPr="006338D6">
        <w:rPr>
          <w:rFonts w:ascii="Bookman Old Style" w:hAnsi="Bookman Old Style" w:cs="Arial"/>
        </w:rPr>
        <w:t xml:space="preserve">mediante </w:t>
      </w:r>
      <w:r w:rsidR="00E027AA" w:rsidRPr="006338D6">
        <w:rPr>
          <w:rFonts w:ascii="Bookman Old Style" w:hAnsi="Bookman Old Style" w:cs="Arial"/>
        </w:rPr>
        <w:t xml:space="preserve">las </w:t>
      </w:r>
      <w:r w:rsidRPr="006338D6">
        <w:rPr>
          <w:rFonts w:ascii="Bookman Old Style" w:hAnsi="Bookman Old Style" w:cs="Arial"/>
        </w:rPr>
        <w:t>comunicaciones E-2012-</w:t>
      </w:r>
      <w:r w:rsidR="001D3786" w:rsidRPr="006338D6">
        <w:rPr>
          <w:rFonts w:ascii="Bookman Old Style" w:hAnsi="Bookman Old Style" w:cs="Arial"/>
        </w:rPr>
        <w:t>011287</w:t>
      </w:r>
      <w:r w:rsidRPr="006338D6">
        <w:rPr>
          <w:rFonts w:ascii="Bookman Old Style" w:hAnsi="Bookman Old Style" w:cs="Arial"/>
        </w:rPr>
        <w:t>, E-2012-</w:t>
      </w:r>
      <w:r w:rsidR="001D3786" w:rsidRPr="006338D6">
        <w:rPr>
          <w:rFonts w:ascii="Bookman Old Style" w:hAnsi="Bookman Old Style" w:cs="Arial"/>
        </w:rPr>
        <w:t>011543, E-2012-012158</w:t>
      </w:r>
      <w:r w:rsidR="00E027AA" w:rsidRPr="006338D6">
        <w:rPr>
          <w:rFonts w:ascii="Bookman Old Style" w:hAnsi="Bookman Old Style" w:cs="Arial"/>
        </w:rPr>
        <w:t xml:space="preserve"> y E-2012-012472</w:t>
      </w:r>
      <w:r w:rsidRPr="006338D6">
        <w:rPr>
          <w:rFonts w:ascii="Bookman Old Style" w:hAnsi="Bookman Old Style" w:cs="Arial"/>
        </w:rPr>
        <w:t xml:space="preserve"> TGI solicitó información </w:t>
      </w:r>
      <w:r w:rsidR="001D3786" w:rsidRPr="006338D6">
        <w:rPr>
          <w:rFonts w:ascii="Bookman Old Style" w:hAnsi="Bookman Old Style" w:cs="Arial"/>
        </w:rPr>
        <w:t xml:space="preserve">utilizada para los análisis consignados en el Anexo 3 del </w:t>
      </w:r>
      <w:r w:rsidRPr="006338D6">
        <w:rPr>
          <w:rFonts w:ascii="Bookman Old Style" w:hAnsi="Bookman Old Style" w:cs="Arial"/>
        </w:rPr>
        <w:t>Documento CREG 082 de 2012, las cuales fueron respondidas</w:t>
      </w:r>
      <w:r w:rsidR="001D3786" w:rsidRPr="006338D6">
        <w:rPr>
          <w:rFonts w:ascii="Bookman Old Style" w:hAnsi="Bookman Old Style" w:cs="Arial"/>
        </w:rPr>
        <w:t xml:space="preserve">, dentro de los términos previstos en la Ley, </w:t>
      </w:r>
      <w:r w:rsidRPr="006338D6">
        <w:rPr>
          <w:rFonts w:ascii="Bookman Old Style" w:hAnsi="Bookman Old Style" w:cs="Arial"/>
        </w:rPr>
        <w:t xml:space="preserve">mediante </w:t>
      </w:r>
      <w:r w:rsidR="00E027AA" w:rsidRPr="006338D6">
        <w:rPr>
          <w:rFonts w:ascii="Bookman Old Style" w:hAnsi="Bookman Old Style" w:cs="Arial"/>
        </w:rPr>
        <w:t xml:space="preserve">los </w:t>
      </w:r>
      <w:r w:rsidRPr="006338D6">
        <w:rPr>
          <w:rFonts w:ascii="Bookman Old Style" w:hAnsi="Bookman Old Style" w:cs="Arial"/>
        </w:rPr>
        <w:t>oficios S-2012-</w:t>
      </w:r>
      <w:r w:rsidR="00E027AA" w:rsidRPr="006338D6">
        <w:rPr>
          <w:rFonts w:ascii="Bookman Old Style" w:hAnsi="Bookman Old Style" w:cs="Arial"/>
        </w:rPr>
        <w:t>05814,</w:t>
      </w:r>
      <w:r w:rsidRPr="006338D6">
        <w:rPr>
          <w:rFonts w:ascii="Bookman Old Style" w:hAnsi="Bookman Old Style" w:cs="Arial"/>
        </w:rPr>
        <w:t xml:space="preserve"> S-2012-</w:t>
      </w:r>
      <w:r w:rsidR="00E027AA" w:rsidRPr="006338D6">
        <w:rPr>
          <w:rFonts w:ascii="Bookman Old Style" w:hAnsi="Bookman Old Style" w:cs="Arial"/>
        </w:rPr>
        <w:t>05987, S-2012-05988, S-2012-0</w:t>
      </w:r>
      <w:r w:rsidR="0047177D" w:rsidRPr="006338D6">
        <w:rPr>
          <w:rFonts w:ascii="Bookman Old Style" w:hAnsi="Bookman Old Style" w:cs="Arial"/>
        </w:rPr>
        <w:t>06080, S-2013-000022</w:t>
      </w:r>
      <w:r w:rsidR="00FF4C7F" w:rsidRPr="006338D6">
        <w:rPr>
          <w:rFonts w:ascii="Bookman Old Style" w:hAnsi="Bookman Old Style" w:cs="Arial"/>
        </w:rPr>
        <w:t>,</w:t>
      </w:r>
      <w:r w:rsidR="0047177D" w:rsidRPr="006338D6">
        <w:rPr>
          <w:rFonts w:ascii="Bookman Old Style" w:hAnsi="Bookman Old Style" w:cs="Arial"/>
        </w:rPr>
        <w:t xml:space="preserve"> S-2013-000024</w:t>
      </w:r>
      <w:r w:rsidR="00FF4C7F" w:rsidRPr="006338D6">
        <w:rPr>
          <w:rFonts w:ascii="Bookman Old Style" w:hAnsi="Bookman Old Style" w:cs="Arial"/>
        </w:rPr>
        <w:t xml:space="preserve"> y S-2013-000106</w:t>
      </w:r>
      <w:r w:rsidRPr="006338D6">
        <w:rPr>
          <w:rFonts w:ascii="Bookman Old Style" w:hAnsi="Bookman Old Style" w:cs="Arial"/>
        </w:rPr>
        <w:t xml:space="preserve"> con la información no sujeta a reserva legal. Valga además resaltar que mediante </w:t>
      </w:r>
      <w:r w:rsidR="003B42E3" w:rsidRPr="006338D6">
        <w:rPr>
          <w:rFonts w:ascii="Bookman Old Style" w:hAnsi="Bookman Old Style" w:cs="Arial"/>
        </w:rPr>
        <w:t xml:space="preserve">las </w:t>
      </w:r>
      <w:r w:rsidRPr="006338D6">
        <w:rPr>
          <w:rFonts w:ascii="Bookman Old Style" w:hAnsi="Bookman Old Style" w:cs="Arial"/>
        </w:rPr>
        <w:t>comunicaci</w:t>
      </w:r>
      <w:r w:rsidR="003B42E3" w:rsidRPr="006338D6">
        <w:rPr>
          <w:rFonts w:ascii="Bookman Old Style" w:hAnsi="Bookman Old Style" w:cs="Arial"/>
        </w:rPr>
        <w:t xml:space="preserve">ones S-2012-006018 y </w:t>
      </w:r>
      <w:r w:rsidRPr="006338D6">
        <w:rPr>
          <w:rFonts w:ascii="Bookman Old Style" w:hAnsi="Bookman Old Style" w:cs="Arial"/>
        </w:rPr>
        <w:t>S-201</w:t>
      </w:r>
      <w:r w:rsidR="001D3786" w:rsidRPr="006338D6">
        <w:rPr>
          <w:rFonts w:ascii="Bookman Old Style" w:hAnsi="Bookman Old Style" w:cs="Arial"/>
        </w:rPr>
        <w:t>3</w:t>
      </w:r>
      <w:r w:rsidRPr="006338D6">
        <w:rPr>
          <w:rFonts w:ascii="Bookman Old Style" w:hAnsi="Bookman Old Style" w:cs="Arial"/>
        </w:rPr>
        <w:t>-</w:t>
      </w:r>
      <w:r w:rsidR="001D3786" w:rsidRPr="006338D6">
        <w:rPr>
          <w:rFonts w:ascii="Bookman Old Style" w:hAnsi="Bookman Old Style" w:cs="Arial"/>
        </w:rPr>
        <w:t xml:space="preserve">000310 </w:t>
      </w:r>
      <w:r w:rsidRPr="006338D6">
        <w:rPr>
          <w:rFonts w:ascii="Bookman Old Style" w:hAnsi="Bookman Old Style" w:cs="Arial"/>
        </w:rPr>
        <w:t xml:space="preserve">la CREG solicitó a TGI indicar qué documentos remitidos por la empresa deben estar sujetos a reserva de acuerdo con la Ley, solicitud que fue respondida mediante </w:t>
      </w:r>
      <w:r w:rsidR="003B42E3" w:rsidRPr="006338D6">
        <w:rPr>
          <w:rFonts w:ascii="Bookman Old Style" w:hAnsi="Bookman Old Style" w:cs="Arial"/>
        </w:rPr>
        <w:t xml:space="preserve">las </w:t>
      </w:r>
      <w:r w:rsidRPr="006338D6">
        <w:rPr>
          <w:rFonts w:ascii="Bookman Old Style" w:hAnsi="Bookman Old Style" w:cs="Arial"/>
        </w:rPr>
        <w:t>comunicaci</w:t>
      </w:r>
      <w:r w:rsidR="003B42E3" w:rsidRPr="006338D6">
        <w:rPr>
          <w:rFonts w:ascii="Bookman Old Style" w:hAnsi="Bookman Old Style" w:cs="Arial"/>
        </w:rPr>
        <w:t xml:space="preserve">ones E-2012-012471 y </w:t>
      </w:r>
      <w:r w:rsidRPr="006338D6">
        <w:rPr>
          <w:rFonts w:ascii="Bookman Old Style" w:hAnsi="Bookman Old Style" w:cs="Arial"/>
        </w:rPr>
        <w:t>E-201</w:t>
      </w:r>
      <w:r w:rsidR="001D3786" w:rsidRPr="006338D6">
        <w:rPr>
          <w:rFonts w:ascii="Bookman Old Style" w:hAnsi="Bookman Old Style" w:cs="Arial"/>
        </w:rPr>
        <w:t>3</w:t>
      </w:r>
      <w:r w:rsidRPr="006338D6">
        <w:rPr>
          <w:rFonts w:ascii="Bookman Old Style" w:hAnsi="Bookman Old Style" w:cs="Arial"/>
        </w:rPr>
        <w:t>-</w:t>
      </w:r>
      <w:r w:rsidR="001D3786" w:rsidRPr="006338D6">
        <w:rPr>
          <w:rFonts w:ascii="Bookman Old Style" w:hAnsi="Bookman Old Style" w:cs="Arial"/>
        </w:rPr>
        <w:t>001268</w:t>
      </w:r>
      <w:r w:rsidR="003B42E3" w:rsidRPr="006338D6">
        <w:rPr>
          <w:rFonts w:ascii="Bookman Old Style" w:hAnsi="Bookman Old Style" w:cs="Arial"/>
        </w:rPr>
        <w:t xml:space="preserve"> en las cuales TGI indicó </w:t>
      </w:r>
      <w:r w:rsidRPr="006338D6">
        <w:rPr>
          <w:rFonts w:ascii="Bookman Old Style" w:hAnsi="Bookman Old Style" w:cs="Arial"/>
        </w:rPr>
        <w:t xml:space="preserve">que </w:t>
      </w:r>
      <w:r w:rsidRPr="006338D6">
        <w:rPr>
          <w:rFonts w:ascii="Bookman Old Style" w:hAnsi="Bookman Old Style" w:cs="Arial"/>
          <w:i/>
        </w:rPr>
        <w:t>“</w:t>
      </w:r>
      <w:r w:rsidR="003B42E3" w:rsidRPr="006338D6">
        <w:rPr>
          <w:rFonts w:ascii="Bookman Old Style" w:hAnsi="Bookman Old Style" w:cs="Arial"/>
          <w:i/>
        </w:rPr>
        <w:t>… la información del asunto no tiene reserva legal para cualquier aspecto relacionado con la aprobación de la solicitud de cargos regulados de transporte de TGI, pero que su utilización para otros aspectos diferentes a lo señalado anteriormente debe ser previamente consultada y autorizada por la Empresa</w:t>
      </w:r>
      <w:r w:rsidRPr="006338D6">
        <w:rPr>
          <w:rFonts w:ascii="Bookman Old Style" w:hAnsi="Bookman Old Style" w:cs="Arial"/>
          <w:i/>
        </w:rPr>
        <w:t>”</w:t>
      </w:r>
      <w:r w:rsidRPr="006338D6">
        <w:rPr>
          <w:rFonts w:ascii="Bookman Old Style" w:hAnsi="Bookman Old Style" w:cs="Arial"/>
        </w:rPr>
        <w:t>. La CREG hizo la misma solicitud a todas las empresas que reportaron información respecto de los gasoductos y propanoductos incluidos en la muestra.</w:t>
      </w:r>
    </w:p>
    <w:p w:rsidR="00C74BCD" w:rsidRPr="006875CB" w:rsidRDefault="00C74BCD" w:rsidP="001743A6">
      <w:pPr>
        <w:ind w:left="0"/>
        <w:jc w:val="both"/>
        <w:rPr>
          <w:rFonts w:ascii="Bookman Old Style" w:hAnsi="Bookman Old Style" w:cs="Arial"/>
        </w:rPr>
      </w:pPr>
    </w:p>
    <w:p w:rsidR="00C74BCD" w:rsidRPr="006875CB" w:rsidRDefault="00C74BCD" w:rsidP="001743A6">
      <w:pPr>
        <w:ind w:left="0"/>
        <w:jc w:val="both"/>
        <w:rPr>
          <w:rFonts w:ascii="Bookman Old Style" w:hAnsi="Bookman Old Style" w:cs="Arial"/>
        </w:rPr>
      </w:pPr>
      <w:r w:rsidRPr="006875CB">
        <w:rPr>
          <w:rFonts w:ascii="Bookman Old Style" w:hAnsi="Bookman Old Style" w:cs="Arial"/>
        </w:rPr>
        <w:t>Se reitera, entonces, que la actuación de la CREG fue transparente, cuidadosa y apegada a la Ley, tal y como se desprende de los documentos que obran en el expediente, así como de la rigurosidad del análisis de la Comisión reflejado en el detalle que exhibe el Documento CRE</w:t>
      </w:r>
      <w:r w:rsidR="00154D0F" w:rsidRPr="006875CB">
        <w:rPr>
          <w:rFonts w:ascii="Bookman Old Style" w:hAnsi="Bookman Old Style" w:cs="Arial"/>
        </w:rPr>
        <w:t>G</w:t>
      </w:r>
      <w:r w:rsidRPr="006875CB">
        <w:rPr>
          <w:rFonts w:ascii="Bookman Old Style" w:hAnsi="Bookman Old Style" w:cs="Arial"/>
        </w:rPr>
        <w:t xml:space="preserve"> </w:t>
      </w:r>
      <w:r w:rsidRPr="00730B6C">
        <w:rPr>
          <w:rFonts w:ascii="Bookman Old Style" w:hAnsi="Bookman Old Style" w:cs="Arial"/>
        </w:rPr>
        <w:t>082</w:t>
      </w:r>
      <w:r w:rsidRPr="006875CB">
        <w:rPr>
          <w:rFonts w:ascii="Bookman Old Style" w:hAnsi="Bookman Old Style" w:cs="Arial"/>
        </w:rPr>
        <w:t xml:space="preserve"> de 2012, soporte de la Resolución CREG 14</w:t>
      </w:r>
      <w:r w:rsidR="00E44BDE">
        <w:rPr>
          <w:rFonts w:ascii="Bookman Old Style" w:hAnsi="Bookman Old Style" w:cs="Arial"/>
        </w:rPr>
        <w:t>2</w:t>
      </w:r>
      <w:r w:rsidRPr="006875CB">
        <w:rPr>
          <w:rFonts w:ascii="Bookman Old Style" w:hAnsi="Bookman Old Style" w:cs="Arial"/>
        </w:rPr>
        <w:t xml:space="preserve"> de 2012 recurrida por TGI.</w:t>
      </w:r>
    </w:p>
    <w:p w:rsidR="0011775E" w:rsidRDefault="0011775E" w:rsidP="001743A6">
      <w:pPr>
        <w:ind w:left="0"/>
        <w:jc w:val="both"/>
        <w:rPr>
          <w:rFonts w:ascii="Bookman Old Style" w:hAnsi="Bookman Old Style" w:cs="Arial"/>
        </w:rPr>
      </w:pPr>
    </w:p>
    <w:p w:rsidR="007F03D7" w:rsidRPr="006875CB" w:rsidRDefault="00C74BCD" w:rsidP="001743A6">
      <w:pPr>
        <w:ind w:left="0"/>
        <w:jc w:val="both"/>
        <w:rPr>
          <w:rFonts w:ascii="Bookman Old Style" w:hAnsi="Bookman Old Style" w:cs="Arial"/>
        </w:rPr>
      </w:pPr>
      <w:r w:rsidRPr="006875CB">
        <w:rPr>
          <w:rFonts w:ascii="Bookman Old Style" w:hAnsi="Bookman Old Style" w:cs="Arial"/>
        </w:rPr>
        <w:lastRenderedPageBreak/>
        <w:t xml:space="preserve">Ahora bien, </w:t>
      </w:r>
      <w:r w:rsidR="007F03D7" w:rsidRPr="006875CB">
        <w:rPr>
          <w:rFonts w:ascii="Bookman Old Style" w:hAnsi="Bookman Old Style" w:cs="Arial"/>
        </w:rPr>
        <w:t xml:space="preserve">respecto de la información específica utilizada por la CREG para la caracterización de los ductos de la muestra, es pertinente </w:t>
      </w:r>
      <w:r w:rsidR="00434F58">
        <w:rPr>
          <w:rFonts w:ascii="Bookman Old Style" w:hAnsi="Bookman Old Style" w:cs="Arial"/>
        </w:rPr>
        <w:t xml:space="preserve">detallar </w:t>
      </w:r>
      <w:r w:rsidR="007F03D7" w:rsidRPr="006875CB">
        <w:rPr>
          <w:rFonts w:ascii="Bookman Old Style" w:hAnsi="Bookman Old Style" w:cs="Arial"/>
        </w:rPr>
        <w:t>lo siguiente.</w:t>
      </w:r>
    </w:p>
    <w:p w:rsidR="007F03D7" w:rsidRPr="006875CB" w:rsidRDefault="007F03D7" w:rsidP="001743A6">
      <w:pPr>
        <w:ind w:left="0"/>
        <w:jc w:val="both"/>
        <w:rPr>
          <w:rFonts w:ascii="Bookman Old Style" w:hAnsi="Bookman Old Style" w:cs="Arial"/>
        </w:rPr>
      </w:pPr>
    </w:p>
    <w:p w:rsidR="00CC5CE1" w:rsidRPr="002446FD" w:rsidRDefault="007F03D7" w:rsidP="001743A6">
      <w:pPr>
        <w:ind w:left="0"/>
        <w:jc w:val="both"/>
        <w:rPr>
          <w:rFonts w:ascii="Bookman Old Style" w:hAnsi="Bookman Old Style" w:cs="Arial"/>
          <w:lang w:val="es-ES_tradnl"/>
        </w:rPr>
      </w:pPr>
      <w:r w:rsidRPr="006875CB">
        <w:rPr>
          <w:rFonts w:ascii="Bookman Old Style" w:hAnsi="Bookman Old Style" w:cs="Arial"/>
        </w:rPr>
        <w:t>E</w:t>
      </w:r>
      <w:r w:rsidR="00C74BCD" w:rsidRPr="006875CB">
        <w:rPr>
          <w:rFonts w:ascii="Bookman Old Style" w:hAnsi="Bookman Old Style" w:cs="Arial"/>
        </w:rPr>
        <w:t>n todas sus actuaciones</w:t>
      </w:r>
      <w:r w:rsidR="00CD449F" w:rsidRPr="006875CB">
        <w:rPr>
          <w:rFonts w:ascii="Bookman Old Style" w:hAnsi="Bookman Old Style" w:cs="Arial"/>
        </w:rPr>
        <w:t xml:space="preserve"> </w:t>
      </w:r>
      <w:r w:rsidR="00C74BCD" w:rsidRPr="006875CB">
        <w:rPr>
          <w:rFonts w:ascii="Bookman Old Style" w:hAnsi="Bookman Old Style" w:cs="Arial"/>
        </w:rPr>
        <w:t xml:space="preserve">la CREG </w:t>
      </w:r>
      <w:r w:rsidR="00CC5CE1" w:rsidRPr="006875CB">
        <w:rPr>
          <w:rFonts w:ascii="Bookman Old Style" w:hAnsi="Bookman Old Style" w:cs="Arial"/>
        </w:rPr>
        <w:t>d</w:t>
      </w:r>
      <w:r w:rsidR="00CD449F" w:rsidRPr="006875CB">
        <w:rPr>
          <w:rFonts w:ascii="Bookman Old Style" w:hAnsi="Bookman Old Style" w:cs="Arial"/>
        </w:rPr>
        <w:t>a</w:t>
      </w:r>
      <w:r w:rsidR="00CC5CE1" w:rsidRPr="006875CB">
        <w:rPr>
          <w:rFonts w:ascii="Bookman Old Style" w:hAnsi="Bookman Old Style" w:cs="Arial"/>
        </w:rPr>
        <w:t xml:space="preserve"> cabal cumplimiento al artículo 74 de la Constitución Política, a cuyo tenor </w:t>
      </w:r>
      <w:r w:rsidR="00CC5CE1" w:rsidRPr="006875CB">
        <w:rPr>
          <w:rFonts w:ascii="Bookman Old Style" w:hAnsi="Bookman Old Style" w:cs="Arial"/>
          <w:i/>
        </w:rPr>
        <w:t>“</w:t>
      </w:r>
      <w:r w:rsidR="00CC5CE1" w:rsidRPr="006875CB">
        <w:rPr>
          <w:rFonts w:ascii="Bookman Old Style" w:hAnsi="Bookman Old Style" w:cs="Arial"/>
          <w:i/>
          <w:lang w:val="es-ES_tradnl"/>
        </w:rPr>
        <w:t>Todas las personas tienen derecho a acceder a los documentos públicos salvo los casos que establezca la ley”</w:t>
      </w:r>
      <w:r w:rsidR="00CC5CE1" w:rsidRPr="006875CB">
        <w:rPr>
          <w:rFonts w:ascii="Bookman Old Style" w:hAnsi="Bookman Old Style" w:cs="Arial"/>
          <w:lang w:val="es-ES_tradnl"/>
        </w:rPr>
        <w:t xml:space="preserve">, lo que a su turno se refleja en el artículo </w:t>
      </w:r>
      <w:r w:rsidR="00CC5CE1" w:rsidRPr="006875CB">
        <w:rPr>
          <w:rFonts w:ascii="Bookman Old Style" w:hAnsi="Bookman Old Style" w:cs="Arial"/>
        </w:rPr>
        <w:t xml:space="preserve">29 del Código Contencioso Administrativo, cuyo inciso tercero estipula que </w:t>
      </w:r>
      <w:r w:rsidR="00CC5CE1" w:rsidRPr="006875CB">
        <w:rPr>
          <w:rFonts w:ascii="Bookman Old Style" w:hAnsi="Bookman Old Style" w:cs="Arial"/>
          <w:i/>
        </w:rPr>
        <w:t>“</w:t>
      </w:r>
      <w:r w:rsidR="00CC5CE1" w:rsidRPr="006875CB">
        <w:rPr>
          <w:rFonts w:ascii="Bookman Old Style" w:hAnsi="Bookman Old Style" w:cs="Arial"/>
          <w:i/>
          <w:lang w:val="es-ES_tradnl"/>
        </w:rPr>
        <w:t>Cualquier persona tendrá derecho a examinar los expedientes en el estado en que se encuentren, y de obtener copias y certificaciones sobre los mismos, que se entregarán en plazo no mayor de tres (3) días. Con los documentos que, por mandato de la Constitución Política o de la ley, tengan carácter de reservados y obren dentro de un expediente, se hará cuaderno separado</w:t>
      </w:r>
      <w:r w:rsidR="00CC5CE1" w:rsidRPr="006875CB">
        <w:rPr>
          <w:rFonts w:ascii="Bookman Old Style" w:hAnsi="Bookman Old Style" w:cs="Arial"/>
        </w:rPr>
        <w:t>”</w:t>
      </w:r>
      <w:r w:rsidR="006401EE">
        <w:rPr>
          <w:rFonts w:ascii="Bookman Old Style" w:hAnsi="Bookman Old Style" w:cs="Arial"/>
        </w:rPr>
        <w:t xml:space="preserve">, disposición hoy contenida en el artículo 36 del </w:t>
      </w:r>
      <w:r w:rsidR="006401EE" w:rsidRPr="006401EE">
        <w:rPr>
          <w:rFonts w:ascii="Bookman Old Style" w:hAnsi="Bookman Old Style" w:cs="Arial"/>
          <w:lang w:val="es-ES_tradnl"/>
        </w:rPr>
        <w:t>Código de Procedimiento Administrativo y de lo Contencioso Administrativo</w:t>
      </w:r>
      <w:r w:rsidR="00CC5CE1" w:rsidRPr="006875CB">
        <w:rPr>
          <w:rFonts w:ascii="Bookman Old Style" w:hAnsi="Bookman Old Style" w:cs="Arial"/>
        </w:rPr>
        <w:t>.</w:t>
      </w:r>
    </w:p>
    <w:p w:rsidR="00CC5CE1" w:rsidRPr="006875CB" w:rsidRDefault="00CC5CE1" w:rsidP="005300B2">
      <w:pPr>
        <w:ind w:left="0"/>
        <w:jc w:val="both"/>
        <w:rPr>
          <w:rFonts w:ascii="Bookman Old Style" w:hAnsi="Bookman Old Style" w:cs="Arial"/>
        </w:rPr>
      </w:pPr>
    </w:p>
    <w:p w:rsidR="00CC5CE1" w:rsidRPr="006875CB" w:rsidRDefault="00CC5CE1" w:rsidP="001743A6">
      <w:pPr>
        <w:ind w:left="0"/>
        <w:jc w:val="both"/>
        <w:rPr>
          <w:rFonts w:ascii="Bookman Old Style" w:hAnsi="Bookman Old Style" w:cs="Arial"/>
        </w:rPr>
      </w:pPr>
      <w:r w:rsidRPr="006875CB">
        <w:rPr>
          <w:rFonts w:ascii="Bookman Old Style" w:hAnsi="Bookman Old Style" w:cs="Arial"/>
        </w:rPr>
        <w:t xml:space="preserve">En ese sentido, dentro de la actuación administrativa que dio lugar a la expedición de la </w:t>
      </w:r>
      <w:r w:rsidR="001743A6" w:rsidRPr="006875CB">
        <w:rPr>
          <w:rFonts w:ascii="Bookman Old Style" w:hAnsi="Bookman Old Style" w:cs="Arial"/>
        </w:rPr>
        <w:t>r</w:t>
      </w:r>
      <w:r w:rsidRPr="006875CB">
        <w:rPr>
          <w:rFonts w:ascii="Bookman Old Style" w:hAnsi="Bookman Old Style" w:cs="Arial"/>
        </w:rPr>
        <w:t>esolución recurrida, TGI tuvo la posibilidad de acceder al expediente tarifario sin restricción alguna, al mismo tiempo que la Comisión cumplió su obligación de proveer a dicha empresa los documentos que fueron s</w:t>
      </w:r>
      <w:r w:rsidR="00A62E4D" w:rsidRPr="006875CB">
        <w:rPr>
          <w:rFonts w:ascii="Bookman Old Style" w:hAnsi="Bookman Old Style" w:cs="Arial"/>
        </w:rPr>
        <w:t xml:space="preserve">olicitados. Asimismo, se reitera </w:t>
      </w:r>
      <w:r w:rsidR="00154D0F" w:rsidRPr="006875CB">
        <w:rPr>
          <w:rFonts w:ascii="Bookman Old Style" w:hAnsi="Bookman Old Style" w:cs="Arial"/>
        </w:rPr>
        <w:t xml:space="preserve">que </w:t>
      </w:r>
      <w:r w:rsidRPr="006875CB">
        <w:rPr>
          <w:rFonts w:ascii="Bookman Old Style" w:hAnsi="Bookman Old Style" w:cs="Arial"/>
        </w:rPr>
        <w:t>la CREG fue cuidadosa en salvaguardar la reserva legal a que hace referencia el artículo trascrito, negando el acceso a información así clasificada por las mismas empresas que la suscribieron.</w:t>
      </w:r>
    </w:p>
    <w:p w:rsidR="00CC5CE1" w:rsidRPr="006875CB" w:rsidRDefault="00CC5CE1" w:rsidP="005300B2">
      <w:pPr>
        <w:ind w:left="0"/>
        <w:jc w:val="both"/>
        <w:rPr>
          <w:rFonts w:ascii="Bookman Old Style" w:hAnsi="Bookman Old Style" w:cs="Arial"/>
        </w:rPr>
      </w:pPr>
    </w:p>
    <w:p w:rsidR="00CC5CE1" w:rsidRPr="006875CB" w:rsidRDefault="00A62E4D" w:rsidP="005300B2">
      <w:pPr>
        <w:ind w:left="0"/>
        <w:jc w:val="both"/>
        <w:rPr>
          <w:rFonts w:ascii="Bookman Old Style" w:hAnsi="Bookman Old Style" w:cs="Arial"/>
        </w:rPr>
      </w:pPr>
      <w:r w:rsidRPr="006875CB">
        <w:rPr>
          <w:rFonts w:ascii="Bookman Old Style" w:hAnsi="Bookman Old Style" w:cs="Arial"/>
        </w:rPr>
        <w:t>Ahora bien, m</w:t>
      </w:r>
      <w:r w:rsidR="00CC5CE1" w:rsidRPr="006875CB">
        <w:rPr>
          <w:rFonts w:ascii="Bookman Old Style" w:hAnsi="Bookman Old Style" w:cs="Arial"/>
        </w:rPr>
        <w:t xml:space="preserve">al puede concluirse de lo anterior que la información en la que se basa el modelo de comparación, esto es, la aplicación del Anexo 1 de la Resolución CREG 126 de 2010, no es “comprobable”. En efecto, el hecho de que la Comisión esté legalmente obligada a guardar la reserva de cierta información no implica que la misma no es verificable, ni que la CREG se esté basando en supuestos ficticios para decidir sobre los cargos regulados de transporte de gas. Por el contrario, tal y como se evidencia en el Documento CREG </w:t>
      </w:r>
      <w:r w:rsidR="00CC5CE1" w:rsidRPr="00730B6C">
        <w:rPr>
          <w:rFonts w:ascii="Bookman Old Style" w:hAnsi="Bookman Old Style" w:cs="Arial"/>
        </w:rPr>
        <w:t>082</w:t>
      </w:r>
      <w:r w:rsidR="00CC5CE1" w:rsidRPr="006875CB">
        <w:rPr>
          <w:rFonts w:ascii="Bookman Old Style" w:hAnsi="Bookman Old Style" w:cs="Arial"/>
        </w:rPr>
        <w:t xml:space="preserve"> de 2012, la información allegada por las empresas del sector y que fue utilizada por la CREG para dar aplicación al Anexo 1 de la Resolución CREG 126 de 2010 fue escudriñada y analizada de la manera más detallada posible. </w:t>
      </w:r>
    </w:p>
    <w:p w:rsidR="00CC5CE1" w:rsidRPr="006875CB" w:rsidRDefault="00CC5CE1" w:rsidP="005300B2">
      <w:pPr>
        <w:ind w:left="0"/>
        <w:jc w:val="both"/>
        <w:rPr>
          <w:rFonts w:ascii="Bookman Old Style" w:hAnsi="Bookman Old Style" w:cs="Arial"/>
        </w:rPr>
      </w:pPr>
      <w:r w:rsidRPr="006875CB">
        <w:rPr>
          <w:rFonts w:ascii="Bookman Old Style" w:hAnsi="Bookman Old Style" w:cs="Arial"/>
          <w:i/>
        </w:rPr>
        <w:t xml:space="preserve"> </w:t>
      </w:r>
    </w:p>
    <w:p w:rsidR="00CC5CE1" w:rsidRPr="006875CB" w:rsidRDefault="00CC5CE1" w:rsidP="005300B2">
      <w:pPr>
        <w:ind w:left="0"/>
        <w:jc w:val="both"/>
        <w:rPr>
          <w:rFonts w:ascii="Bookman Old Style" w:hAnsi="Bookman Old Style" w:cs="Arial"/>
        </w:rPr>
      </w:pPr>
      <w:r w:rsidRPr="006875CB">
        <w:rPr>
          <w:rFonts w:ascii="Bookman Old Style" w:hAnsi="Bookman Old Style" w:cs="Arial"/>
        </w:rPr>
        <w:t>Allí se establece con toda claridad</w:t>
      </w:r>
      <w:r w:rsidR="001743A6" w:rsidRPr="006875CB">
        <w:rPr>
          <w:rFonts w:ascii="Bookman Old Style" w:hAnsi="Bookman Old Style" w:cs="Arial"/>
        </w:rPr>
        <w:t>:</w:t>
      </w:r>
      <w:r w:rsidRPr="006875CB">
        <w:rPr>
          <w:rFonts w:ascii="Bookman Old Style" w:hAnsi="Bookman Old Style" w:cs="Arial"/>
        </w:rPr>
        <w:t xml:space="preserve"> i) los gasoductos que constituyen la muestra respecto a la cual se compararán las nuevas inversiones</w:t>
      </w:r>
      <w:r w:rsidR="00154D0F" w:rsidRPr="006875CB">
        <w:rPr>
          <w:rFonts w:ascii="Bookman Old Style" w:hAnsi="Bookman Old Style" w:cs="Arial"/>
        </w:rPr>
        <w:t xml:space="preserve">; </w:t>
      </w:r>
      <w:r w:rsidRPr="006875CB">
        <w:rPr>
          <w:rFonts w:ascii="Bookman Old Style" w:hAnsi="Bookman Old Style" w:cs="Arial"/>
        </w:rPr>
        <w:t>ii) los criterios específicos de comparación, para lo cual se solicitó a las empresas dueñas de cada gasoducto la información correspondiente</w:t>
      </w:r>
      <w:r w:rsidR="00154D0F" w:rsidRPr="006875CB">
        <w:rPr>
          <w:rFonts w:ascii="Bookman Old Style" w:hAnsi="Bookman Old Style" w:cs="Arial"/>
        </w:rPr>
        <w:t xml:space="preserve">; </w:t>
      </w:r>
      <w:r w:rsidRPr="006875CB">
        <w:rPr>
          <w:rFonts w:ascii="Bookman Old Style" w:hAnsi="Bookman Old Style" w:cs="Arial"/>
        </w:rPr>
        <w:t xml:space="preserve">y iii) el tratamiento de dicha información y la aplicación específica, desde el punto de vista estadístico, de la misma. Más aún, el programa diseñado para aplicar el modelo allí descrito, esto es, las hojas de Microsoft Excel utilizadas por la Comisión son de </w:t>
      </w:r>
      <w:r w:rsidR="00434F58">
        <w:rPr>
          <w:rFonts w:ascii="Bookman Old Style" w:hAnsi="Bookman Old Style" w:cs="Arial"/>
        </w:rPr>
        <w:t xml:space="preserve">acceso </w:t>
      </w:r>
      <w:r w:rsidRPr="006875CB">
        <w:rPr>
          <w:rFonts w:ascii="Bookman Old Style" w:hAnsi="Bookman Old Style" w:cs="Arial"/>
        </w:rPr>
        <w:t xml:space="preserve">público </w:t>
      </w:r>
      <w:r w:rsidR="00434F58">
        <w:rPr>
          <w:rFonts w:ascii="Bookman Old Style" w:hAnsi="Bookman Old Style" w:cs="Arial"/>
        </w:rPr>
        <w:t>dentro de los términos de la Ley</w:t>
      </w:r>
      <w:r w:rsidRPr="006875CB">
        <w:rPr>
          <w:rFonts w:ascii="Bookman Old Style" w:hAnsi="Bookman Old Style" w:cs="Arial"/>
        </w:rPr>
        <w:t xml:space="preserve">. De esta forma, la CREG rechaza de manera tajante la afirmación de TGI según la cual </w:t>
      </w:r>
      <w:r w:rsidRPr="006875CB">
        <w:rPr>
          <w:rFonts w:ascii="Bookman Old Style" w:hAnsi="Bookman Old Style" w:cs="Arial"/>
          <w:i/>
        </w:rPr>
        <w:t xml:space="preserve">“No se cumple (…) la exigencia legal de que los motivos para tomar las decisiones contenidas en la Resolución recurrida </w:t>
      </w:r>
      <w:r w:rsidR="00154D0F" w:rsidRPr="006875CB">
        <w:rPr>
          <w:rFonts w:ascii="Bookman Old Style" w:hAnsi="Bookman Old Style" w:cs="Arial"/>
          <w:i/>
        </w:rPr>
        <w:t>‘</w:t>
      </w:r>
      <w:r w:rsidRPr="006875CB">
        <w:rPr>
          <w:rFonts w:ascii="Bookman Old Style" w:hAnsi="Bookman Old Style" w:cs="Arial"/>
          <w:i/>
        </w:rPr>
        <w:t>sean verificables</w:t>
      </w:r>
      <w:r w:rsidR="00D70C78">
        <w:rPr>
          <w:rFonts w:ascii="Bookman Old Style" w:hAnsi="Bookman Old Style" w:cs="Arial"/>
          <w:i/>
        </w:rPr>
        <w:t>.</w:t>
      </w:r>
      <w:r w:rsidR="0011775E">
        <w:rPr>
          <w:rFonts w:ascii="Bookman Old Style" w:hAnsi="Bookman Old Style" w:cs="Arial"/>
          <w:i/>
        </w:rPr>
        <w:t>”</w:t>
      </w:r>
    </w:p>
    <w:p w:rsidR="00CC5CE1" w:rsidRPr="006875CB" w:rsidRDefault="00CC5CE1" w:rsidP="00ED68C4">
      <w:pPr>
        <w:ind w:left="0"/>
        <w:jc w:val="both"/>
        <w:rPr>
          <w:rFonts w:ascii="Bookman Old Style" w:hAnsi="Bookman Old Style" w:cs="Arial"/>
        </w:rPr>
      </w:pPr>
    </w:p>
    <w:p w:rsidR="00CC5CE1" w:rsidRPr="006875CB" w:rsidRDefault="00CC5CE1" w:rsidP="00ED68C4">
      <w:pPr>
        <w:ind w:left="0"/>
        <w:jc w:val="both"/>
        <w:rPr>
          <w:rFonts w:ascii="Bookman Old Style" w:hAnsi="Bookman Old Style" w:cs="Arial"/>
        </w:rPr>
      </w:pPr>
      <w:r w:rsidRPr="006875CB">
        <w:rPr>
          <w:rFonts w:ascii="Bookman Old Style" w:hAnsi="Bookman Old Style" w:cs="Arial"/>
        </w:rPr>
        <w:lastRenderedPageBreak/>
        <w:t>Se reitera, además, que el cumplimiento de la obligación de guardar la reserva legal a que se ha hecho referencia no puede constituirse en una violación al principio de contradicción y, por ende, en violación alguna del derecho al debido proceso.</w:t>
      </w:r>
    </w:p>
    <w:p w:rsidR="00CC5CE1" w:rsidRPr="006875CB" w:rsidRDefault="00CC5CE1">
      <w:pPr>
        <w:ind w:left="0"/>
        <w:jc w:val="both"/>
        <w:rPr>
          <w:rFonts w:ascii="Bookman Old Style" w:hAnsi="Bookman Old Style" w:cs="Arial"/>
        </w:rPr>
      </w:pPr>
    </w:p>
    <w:p w:rsidR="00CC5CE1" w:rsidRDefault="00CC5CE1">
      <w:pPr>
        <w:ind w:left="0"/>
        <w:jc w:val="both"/>
        <w:rPr>
          <w:rFonts w:ascii="Bookman Old Style" w:hAnsi="Bookman Old Style" w:cs="Arial"/>
        </w:rPr>
      </w:pPr>
      <w:r w:rsidRPr="006875CB">
        <w:rPr>
          <w:rFonts w:ascii="Bookman Old Style" w:hAnsi="Bookman Old Style" w:cs="Arial"/>
        </w:rPr>
        <w:t xml:space="preserve">La Corte Constitucional se ha referido a la tensión que se evidencia entre el derecho </w:t>
      </w:r>
      <w:r w:rsidR="0000183C" w:rsidRPr="006875CB">
        <w:rPr>
          <w:rFonts w:ascii="Bookman Old Style" w:hAnsi="Bookman Old Style" w:cs="Arial"/>
        </w:rPr>
        <w:t xml:space="preserve">a </w:t>
      </w:r>
      <w:r w:rsidRPr="006875CB">
        <w:rPr>
          <w:rFonts w:ascii="Bookman Old Style" w:hAnsi="Bookman Old Style" w:cs="Arial"/>
        </w:rPr>
        <w:t>acceder a información pública y el deber de guardar la reserva legal. En efecto, en sentencia C-860 de 2007, M.P. Jaime Córdova Triviño, el Alto Tribunal estableció lo siguiente:</w:t>
      </w:r>
    </w:p>
    <w:p w:rsidR="00DF728E" w:rsidRPr="006875CB" w:rsidRDefault="00DF728E">
      <w:pPr>
        <w:ind w:left="0"/>
        <w:jc w:val="both"/>
        <w:rPr>
          <w:rFonts w:ascii="Bookman Old Style" w:hAnsi="Bookman Old Style" w:cs="Arial"/>
        </w:rPr>
      </w:pP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“8.2.  Existe en la actualidad una sólida doctrina constitucional acerca de la naturaleza, fundamento, contenido, alcance y limitaciones del derecho de acceso a los documentos públicos consagrado en el artículo 74 de la Carta Política</w:t>
      </w:r>
      <w:r w:rsidRPr="006875CB">
        <w:rPr>
          <w:rStyle w:val="Refdenotaalpie"/>
          <w:rFonts w:ascii="Bookman Old Style" w:hAnsi="Bookman Old Style" w:cs="Arial"/>
          <w:i/>
          <w:sz w:val="22"/>
          <w:szCs w:val="22"/>
          <w:lang w:val="es-CO"/>
        </w:rPr>
        <w:footnoteReference w:id="2"/>
      </w:r>
      <w:r w:rsidRPr="006875CB">
        <w:rPr>
          <w:rFonts w:ascii="Bookman Old Style" w:hAnsi="Bookman Old Style" w:cs="Arial"/>
          <w:i/>
          <w:sz w:val="22"/>
          <w:szCs w:val="22"/>
          <w:lang w:val="es-CO"/>
        </w:rPr>
        <w:t>.  Los elementos centrales de dicha doctrina pueden resumirse así:</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 </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8.2.1.  La facultad de todo ciudadano de acceder a los documentos públicos está protegida en nuestro sistema jurídico como un derecho fundamental autónomo, aunque a la vez estrechamente vinculado al ejercicio de otros derechos tales como el de petición (art. 23 C.P.)</w:t>
      </w:r>
      <w:r w:rsidRPr="006875CB">
        <w:rPr>
          <w:rStyle w:val="Refdenotaalpie"/>
          <w:rFonts w:ascii="Bookman Old Style" w:hAnsi="Bookman Old Style" w:cs="Arial"/>
          <w:i/>
          <w:sz w:val="22"/>
          <w:szCs w:val="22"/>
          <w:lang w:val="es-CO"/>
        </w:rPr>
        <w:footnoteReference w:id="3"/>
      </w:r>
      <w:r w:rsidRPr="006875CB">
        <w:rPr>
          <w:rFonts w:ascii="Bookman Old Style" w:hAnsi="Bookman Old Style" w:cs="Arial"/>
          <w:i/>
          <w:sz w:val="22"/>
          <w:szCs w:val="22"/>
          <w:lang w:val="es-CO"/>
        </w:rPr>
        <w:t> y el derecho a participar en la conformación, ejercicio y control del poder político (art. 40 C.P.)</w:t>
      </w:r>
      <w:r w:rsidRPr="006875CB">
        <w:rPr>
          <w:rStyle w:val="Refdenotaalpie"/>
          <w:rFonts w:ascii="Bookman Old Style" w:hAnsi="Bookman Old Style" w:cs="Arial"/>
          <w:i/>
          <w:sz w:val="22"/>
          <w:szCs w:val="22"/>
          <w:lang w:val="es-CO"/>
        </w:rPr>
        <w:footnoteReference w:id="4"/>
      </w:r>
      <w:r w:rsidRPr="006875CB">
        <w:rPr>
          <w:rFonts w:ascii="Bookman Old Style" w:hAnsi="Bookman Old Style" w:cs="Arial"/>
          <w:i/>
          <w:sz w:val="22"/>
          <w:szCs w:val="22"/>
          <w:lang w:val="es-CO"/>
        </w:rPr>
        <w:t>.</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 </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8.2.2. El principio de publicidad de los documentos oficiales recaba además su fundamento en el modelo de democracia participativa establecido en la constitución.  Así lo ha señalado esta Corporación (…)</w:t>
      </w:r>
      <w:r w:rsidRPr="006875CB">
        <w:rPr>
          <w:rFonts w:ascii="Bookman Old Style" w:hAnsi="Bookman Old Style" w:cs="Arial"/>
          <w:i/>
          <w:iCs/>
          <w:sz w:val="22"/>
          <w:szCs w:val="22"/>
          <w:lang w:val="es-CO"/>
        </w:rPr>
        <w:t>.</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 </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8.2.3.  En relación con el contenido de este derecho se ha establecido que, por tratarse de una condición necesaria para el control ciudadano de la actividad estatal y, con ello, contribuir al desarrollo de una democracia participativa, el artículo 74 de la Carta debe ser interpretado en sentido amplio, para albergar un principio general de publicidad de la información estatal, que faculta a toda persona para la consulta </w:t>
      </w:r>
      <w:r w:rsidRPr="006875CB">
        <w:rPr>
          <w:rFonts w:ascii="Bookman Old Style" w:hAnsi="Bookman Old Style" w:cs="Arial"/>
          <w:i/>
          <w:iCs/>
          <w:sz w:val="22"/>
          <w:szCs w:val="22"/>
          <w:lang w:val="es-CO"/>
        </w:rPr>
        <w:t>in situ</w:t>
      </w:r>
      <w:r w:rsidRPr="006875CB">
        <w:rPr>
          <w:rFonts w:ascii="Bookman Old Style" w:hAnsi="Bookman Old Style" w:cs="Arial"/>
          <w:i/>
          <w:sz w:val="22"/>
          <w:szCs w:val="22"/>
          <w:lang w:val="es-CO"/>
        </w:rPr>
        <w:t xml:space="preserve"> y la reproducción de todos los documentos públicos, </w:t>
      </w:r>
      <w:r w:rsidRPr="006875CB">
        <w:rPr>
          <w:rFonts w:ascii="Bookman Old Style" w:hAnsi="Bookman Old Style" w:cs="Arial"/>
          <w:b/>
          <w:i/>
          <w:sz w:val="22"/>
          <w:szCs w:val="22"/>
          <w:u w:val="single"/>
          <w:lang w:val="es-CO"/>
        </w:rPr>
        <w:t>con excepción de los excluidos por mandato de la ley</w:t>
      </w:r>
      <w:r w:rsidRPr="006875CB">
        <w:rPr>
          <w:rFonts w:ascii="Bookman Old Style" w:hAnsi="Bookman Old Style" w:cs="Arial"/>
          <w:i/>
          <w:sz w:val="22"/>
          <w:szCs w:val="22"/>
          <w:lang w:val="es-CO"/>
        </w:rPr>
        <w:t>. </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 </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 </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8.2.4. Respecto a las excepciones a este principio general de publicidad de la información, la jurisprudencia de esta Corporación ha establecido que ellas deben satisfacer tres requisitos:</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 </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 xml:space="preserve">8.2.4.1.   </w:t>
      </w:r>
      <w:r w:rsidRPr="006875CB">
        <w:rPr>
          <w:rFonts w:ascii="Bookman Old Style" w:hAnsi="Bookman Old Style" w:cs="Arial"/>
          <w:b/>
          <w:i/>
          <w:sz w:val="22"/>
          <w:szCs w:val="22"/>
          <w:u w:val="single"/>
          <w:lang w:val="es-CO"/>
        </w:rPr>
        <w:t>Sólo pueden ser estipuladas por ley</w:t>
      </w:r>
      <w:r w:rsidRPr="006875CB">
        <w:rPr>
          <w:rFonts w:ascii="Bookman Old Style" w:hAnsi="Bookman Old Style" w:cs="Arial"/>
          <w:i/>
          <w:sz w:val="22"/>
          <w:szCs w:val="22"/>
          <w:lang w:val="es-CO"/>
        </w:rPr>
        <w:t xml:space="preserve">.  En relación con la reserva de ley  para imponer restricciones al derecho de acceso a los documentos públicos, la Corte ha señalado que, si bien el artículo 74 autoriza que se establezcan excepciones a este derecho por medio de la ley, no especifica un tipo especial de ley.  En consecuencia, </w:t>
      </w:r>
      <w:r w:rsidRPr="006875CB">
        <w:rPr>
          <w:rFonts w:ascii="Bookman Old Style" w:hAnsi="Bookman Old Style" w:cs="Arial"/>
          <w:i/>
          <w:sz w:val="22"/>
          <w:szCs w:val="22"/>
          <w:u w:val="single"/>
          <w:lang w:val="es-CO"/>
        </w:rPr>
        <w:t xml:space="preserve">aunque no se requiera de ley estatutaria, tales limitaciones deben estar contempladas en una ley ordinaria </w:t>
      </w:r>
      <w:r w:rsidRPr="006875CB">
        <w:rPr>
          <w:rFonts w:ascii="Bookman Old Style" w:hAnsi="Bookman Old Style" w:cs="Arial"/>
          <w:b/>
          <w:i/>
          <w:sz w:val="22"/>
          <w:szCs w:val="22"/>
          <w:u w:val="single"/>
          <w:lang w:val="es-CO"/>
        </w:rPr>
        <w:t xml:space="preserve">o, en su caso, en un decreto con </w:t>
      </w:r>
      <w:r w:rsidRPr="006875CB">
        <w:rPr>
          <w:rFonts w:ascii="Bookman Old Style" w:hAnsi="Bookman Old Style" w:cs="Arial"/>
          <w:b/>
          <w:i/>
          <w:sz w:val="22"/>
          <w:szCs w:val="22"/>
          <w:u w:val="single"/>
          <w:lang w:val="es-CO"/>
        </w:rPr>
        <w:lastRenderedPageBreak/>
        <w:t>fuerza de ley</w:t>
      </w:r>
      <w:r w:rsidRPr="006875CB">
        <w:rPr>
          <w:rFonts w:ascii="Bookman Old Style" w:hAnsi="Bookman Old Style" w:cs="Arial"/>
          <w:i/>
          <w:sz w:val="22"/>
          <w:szCs w:val="22"/>
          <w:u w:val="single"/>
          <w:lang w:val="es-CO"/>
        </w:rPr>
        <w:t>, como los expedidos en virtud de la delegación de competencias que puede efectuar el Congreso con fundamento en el artículo 150, numeral 10, de la Constitución</w:t>
      </w:r>
      <w:r w:rsidRPr="006875CB">
        <w:rPr>
          <w:rFonts w:ascii="Bookman Old Style" w:hAnsi="Bookman Old Style" w:cs="Arial"/>
          <w:i/>
          <w:sz w:val="22"/>
          <w:szCs w:val="22"/>
          <w:lang w:val="es-CO"/>
        </w:rPr>
        <w:t>.</w:t>
      </w:r>
      <w:r w:rsidRPr="006875CB">
        <w:rPr>
          <w:rStyle w:val="Refdenotaalpie"/>
          <w:rFonts w:ascii="Bookman Old Style" w:hAnsi="Bookman Old Style" w:cs="Arial"/>
          <w:i/>
          <w:sz w:val="22"/>
          <w:szCs w:val="22"/>
          <w:lang w:val="es-CO"/>
        </w:rPr>
        <w:footnoteReference w:id="5"/>
      </w:r>
      <w:r w:rsidRPr="006875CB">
        <w:rPr>
          <w:rFonts w:ascii="Bookman Old Style" w:hAnsi="Bookman Old Style" w:cs="Arial"/>
          <w:i/>
          <w:sz w:val="22"/>
          <w:szCs w:val="22"/>
          <w:lang w:val="es-CO"/>
        </w:rPr>
        <w:t> </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 </w:t>
      </w:r>
    </w:p>
    <w:p w:rsidR="00CC5CE1" w:rsidRPr="00066A4D" w:rsidRDefault="00CC5CE1" w:rsidP="00066A4D">
      <w:pPr>
        <w:jc w:val="both"/>
        <w:rPr>
          <w:rFonts w:ascii="Bookman Old Style" w:hAnsi="Bookman Old Style" w:cs="Arial"/>
          <w:lang w:val="es-ES_tradnl"/>
        </w:rPr>
      </w:pPr>
      <w:r w:rsidRPr="006875CB">
        <w:rPr>
          <w:rFonts w:ascii="Bookman Old Style" w:hAnsi="Bookman Old Style" w:cs="Arial"/>
          <w:i/>
          <w:sz w:val="22"/>
          <w:szCs w:val="22"/>
          <w:lang w:val="es-CO"/>
        </w:rPr>
        <w:t xml:space="preserve">8.2.4.2.  Tales  excepciones deben sujetarse a los principios de razonabilidad y proporcionalidad, e igualmente estar </w:t>
      </w:r>
      <w:r w:rsidRPr="006875CB">
        <w:rPr>
          <w:rFonts w:ascii="Bookman Old Style" w:hAnsi="Bookman Old Style" w:cs="Arial"/>
          <w:b/>
          <w:i/>
          <w:sz w:val="22"/>
          <w:szCs w:val="22"/>
          <w:u w:val="single"/>
          <w:lang w:val="es-CO"/>
        </w:rPr>
        <w:t>relacionadas con la protección de derechos fundamentales, como es el caso de la intimidad</w:t>
      </w:r>
      <w:r w:rsidRPr="006875CB">
        <w:rPr>
          <w:rFonts w:ascii="Bookman Old Style" w:hAnsi="Bookman Old Style" w:cs="Arial"/>
          <w:i/>
          <w:sz w:val="22"/>
          <w:szCs w:val="22"/>
          <w:lang w:val="es-CO"/>
        </w:rPr>
        <w:t>, o de valores constitucionalmente protegidos, como sucede con la seguridad y la defensa nacional.</w:t>
      </w:r>
      <w:r w:rsidRPr="006875CB">
        <w:rPr>
          <w:rFonts w:ascii="Bookman Old Style" w:hAnsi="Bookman Old Style" w:cs="Arial"/>
          <w:i/>
          <w:sz w:val="22"/>
          <w:szCs w:val="22"/>
          <w:lang w:val="es-ES_tradnl"/>
        </w:rPr>
        <w:t xml:space="preserve"> </w:t>
      </w:r>
      <w:r w:rsidRPr="006875CB">
        <w:rPr>
          <w:rFonts w:ascii="Bookman Old Style" w:hAnsi="Bookman Old Style" w:cs="Arial"/>
          <w:i/>
          <w:sz w:val="22"/>
          <w:szCs w:val="22"/>
          <w:lang w:val="es-CO"/>
        </w:rPr>
        <w:t>(…)”</w:t>
      </w:r>
      <w:r w:rsidRPr="006875CB">
        <w:rPr>
          <w:rFonts w:ascii="Bookman Old Style" w:hAnsi="Bookman Old Style" w:cs="Arial"/>
          <w:sz w:val="22"/>
          <w:szCs w:val="22"/>
          <w:lang w:val="es-CO"/>
        </w:rPr>
        <w:t xml:space="preserve"> (subrayas y negrillas fuera de texto)</w:t>
      </w:r>
    </w:p>
    <w:p w:rsidR="00D70C78" w:rsidRDefault="00D70C78" w:rsidP="0000183C">
      <w:pPr>
        <w:ind w:left="0"/>
        <w:jc w:val="both"/>
        <w:rPr>
          <w:rFonts w:ascii="Bookman Old Style" w:hAnsi="Bookman Old Style" w:cs="Arial"/>
          <w:lang w:val="es-ES_tradnl"/>
        </w:rPr>
      </w:pPr>
    </w:p>
    <w:p w:rsidR="00CC5CE1" w:rsidRPr="006875CB" w:rsidRDefault="00CC5CE1" w:rsidP="0000183C">
      <w:pPr>
        <w:ind w:left="0"/>
        <w:jc w:val="both"/>
        <w:rPr>
          <w:rFonts w:ascii="Bookman Old Style" w:hAnsi="Bookman Old Style" w:cs="Arial"/>
          <w:lang w:val="es-ES_tradnl"/>
        </w:rPr>
      </w:pPr>
      <w:r w:rsidRPr="006875CB">
        <w:rPr>
          <w:rFonts w:ascii="Bookman Old Style" w:hAnsi="Bookman Old Style" w:cs="Arial"/>
          <w:lang w:val="es-ES_tradnl"/>
        </w:rPr>
        <w:t xml:space="preserve">Se reitera que la CREG dio estricto cumplimiento a un mandato </w:t>
      </w:r>
      <w:r w:rsidR="0000183C" w:rsidRPr="006875CB">
        <w:rPr>
          <w:rFonts w:ascii="Bookman Old Style" w:hAnsi="Bookman Old Style" w:cs="Arial"/>
          <w:lang w:val="es-ES_tradnl"/>
        </w:rPr>
        <w:t>c</w:t>
      </w:r>
      <w:r w:rsidRPr="006875CB">
        <w:rPr>
          <w:rFonts w:ascii="Bookman Old Style" w:hAnsi="Bookman Old Style" w:cs="Arial"/>
          <w:lang w:val="es-ES_tradnl"/>
        </w:rPr>
        <w:t>onstitucional y legal, sin que por ello se pueda considerar que actuó de forma arbitraria o basándose en supuestos falsos o ficticios, o que violó el derecho al debido proceso de la recurrente.</w:t>
      </w:r>
    </w:p>
    <w:p w:rsidR="00CC5CE1" w:rsidRPr="006875CB" w:rsidRDefault="00CC5CE1" w:rsidP="0000183C">
      <w:pPr>
        <w:ind w:left="0"/>
        <w:jc w:val="both"/>
        <w:rPr>
          <w:rFonts w:ascii="Bookman Old Style" w:hAnsi="Bookman Old Style" w:cs="Arial"/>
          <w:lang w:val="es-ES_tradnl"/>
        </w:rPr>
      </w:pPr>
    </w:p>
    <w:p w:rsidR="00CC5CE1" w:rsidRPr="006875CB" w:rsidRDefault="00CC5CE1" w:rsidP="005300B2">
      <w:pPr>
        <w:ind w:left="0"/>
        <w:jc w:val="both"/>
        <w:rPr>
          <w:rFonts w:ascii="Bookman Old Style" w:hAnsi="Bookman Old Style" w:cs="Arial"/>
        </w:rPr>
      </w:pPr>
      <w:r w:rsidRPr="006875CB">
        <w:rPr>
          <w:rFonts w:ascii="Bookman Old Style" w:hAnsi="Bookman Old Style" w:cs="Arial"/>
          <w:lang w:val="es-ES_tradnl"/>
        </w:rPr>
        <w:t>Finalmente, debe indicarse que no es acertado concluir, como lo hace TGI, que la Resolución CREG 14</w:t>
      </w:r>
      <w:r w:rsidR="00E44BDE">
        <w:rPr>
          <w:rFonts w:ascii="Bookman Old Style" w:hAnsi="Bookman Old Style" w:cs="Arial"/>
          <w:lang w:val="es-ES_tradnl"/>
        </w:rPr>
        <w:t>2</w:t>
      </w:r>
      <w:r w:rsidRPr="006875CB">
        <w:rPr>
          <w:rFonts w:ascii="Bookman Old Style" w:hAnsi="Bookman Old Style" w:cs="Arial"/>
          <w:lang w:val="es-ES_tradnl"/>
        </w:rPr>
        <w:t xml:space="preserve"> de 2012 recurrida modificó la </w:t>
      </w:r>
      <w:r w:rsidRPr="006875CB">
        <w:rPr>
          <w:rFonts w:ascii="Bookman Old Style" w:hAnsi="Bookman Old Style" w:cs="Arial"/>
          <w:i/>
          <w:lang w:val="es-ES_tradnl"/>
        </w:rPr>
        <w:t>metodología</w:t>
      </w:r>
      <w:r w:rsidRPr="006875CB">
        <w:rPr>
          <w:rFonts w:ascii="Bookman Old Style" w:hAnsi="Bookman Old Style" w:cs="Arial"/>
          <w:lang w:val="es-ES_tradnl"/>
        </w:rPr>
        <w:t xml:space="preserve"> contenida en la Resolución CREG 126 de 2010. En efecto, </w:t>
      </w:r>
      <w:r w:rsidRPr="006875CB">
        <w:rPr>
          <w:rFonts w:ascii="Bookman Old Style" w:hAnsi="Bookman Old Style" w:cs="Arial"/>
        </w:rPr>
        <w:t xml:space="preserve">valga recordar que el Anexo 1 referido establece que </w:t>
      </w:r>
      <w:r w:rsidRPr="006875CB">
        <w:rPr>
          <w:rFonts w:ascii="Bookman Old Style" w:hAnsi="Bookman Old Style" w:cs="Arial"/>
          <w:i/>
        </w:rPr>
        <w:t>“</w:t>
      </w:r>
      <w:r w:rsidRPr="006875CB">
        <w:rPr>
          <w:rFonts w:ascii="Bookman Old Style" w:hAnsi="Bookman Old Style"/>
          <w:i/>
          <w:color w:val="000000"/>
        </w:rPr>
        <w:t xml:space="preserve">Para efectos regulatorios, la CREG determinará los costos eficientes de inversiones a través del mecanismo de comparación, mediante la aplicación de los siguientes criterios, </w:t>
      </w:r>
      <w:r w:rsidRPr="006875CB">
        <w:rPr>
          <w:rFonts w:ascii="Bookman Old Style" w:hAnsi="Bookman Old Style"/>
          <w:i/>
          <w:color w:val="000000"/>
          <w:u w:val="single"/>
        </w:rPr>
        <w:t>entre otros</w:t>
      </w:r>
      <w:r w:rsidRPr="006875CB">
        <w:rPr>
          <w:rFonts w:ascii="Bookman Old Style" w:hAnsi="Bookman Old Style" w:cs="Arial"/>
          <w:i/>
        </w:rPr>
        <w:t>”</w:t>
      </w:r>
      <w:r w:rsidRPr="006875CB">
        <w:rPr>
          <w:rFonts w:ascii="Bookman Old Style" w:hAnsi="Bookman Old Style" w:cs="Arial"/>
        </w:rPr>
        <w:t xml:space="preserve">, y que </w:t>
      </w:r>
      <w:r w:rsidRPr="006875CB">
        <w:rPr>
          <w:rFonts w:ascii="Bookman Old Style" w:hAnsi="Bookman Old Style" w:cs="Arial"/>
          <w:i/>
        </w:rPr>
        <w:t>“</w:t>
      </w:r>
      <w:r w:rsidR="006110B0" w:rsidRPr="006875CB">
        <w:rPr>
          <w:rFonts w:ascii="Bookman Old Style" w:hAnsi="Bookman Old Style" w:cs="Arial"/>
          <w:i/>
        </w:rPr>
        <w:t>[e]</w:t>
      </w:r>
      <w:r w:rsidRPr="006875CB">
        <w:rPr>
          <w:rFonts w:ascii="Bookman Old Style" w:hAnsi="Bookman Old Style"/>
          <w:i/>
          <w:color w:val="000000"/>
        </w:rPr>
        <w:t xml:space="preserve">l procedimiento descrito en este anexo se aplicará gradualmente, </w:t>
      </w:r>
      <w:r w:rsidRPr="006875CB">
        <w:rPr>
          <w:rFonts w:ascii="Bookman Old Style" w:hAnsi="Bookman Old Style"/>
          <w:i/>
          <w:color w:val="000000"/>
          <w:u w:val="single"/>
        </w:rPr>
        <w:t>en la medida que la CREG disponga de la información requerida para su implementación</w:t>
      </w:r>
      <w:r w:rsidRPr="006875CB">
        <w:rPr>
          <w:rFonts w:ascii="Bookman Old Style" w:hAnsi="Bookman Old Style" w:cs="Arial"/>
          <w:i/>
        </w:rPr>
        <w:t>”</w:t>
      </w:r>
      <w:r w:rsidRPr="006875CB">
        <w:rPr>
          <w:rFonts w:ascii="Bookman Old Style" w:hAnsi="Bookman Old Style" w:cs="Arial"/>
        </w:rPr>
        <w:t xml:space="preserve">. </w:t>
      </w:r>
      <w:r w:rsidR="006110B0" w:rsidRPr="006875CB">
        <w:rPr>
          <w:rFonts w:ascii="Bookman Old Style" w:hAnsi="Bookman Old Style" w:cs="Arial"/>
        </w:rPr>
        <w:t>(subrayas propias)</w:t>
      </w:r>
    </w:p>
    <w:p w:rsidR="00CC5CE1" w:rsidRPr="006875CB" w:rsidRDefault="00CC5CE1" w:rsidP="005300B2">
      <w:pPr>
        <w:ind w:left="0"/>
        <w:jc w:val="both"/>
        <w:rPr>
          <w:rFonts w:ascii="Bookman Old Style" w:hAnsi="Bookman Old Style" w:cs="Arial"/>
        </w:rPr>
      </w:pPr>
    </w:p>
    <w:p w:rsidR="00CC5CE1" w:rsidRPr="006875CB" w:rsidRDefault="00CC5CE1" w:rsidP="005300B2">
      <w:pPr>
        <w:ind w:left="0"/>
        <w:jc w:val="both"/>
        <w:rPr>
          <w:rFonts w:ascii="Bookman Old Style" w:hAnsi="Bookman Old Style" w:cs="Arial"/>
        </w:rPr>
      </w:pPr>
      <w:r w:rsidRPr="006875CB">
        <w:rPr>
          <w:rFonts w:ascii="Bookman Old Style" w:hAnsi="Bookman Old Style" w:cs="Arial"/>
        </w:rPr>
        <w:t>Según se desprende del Anexo 1</w:t>
      </w:r>
      <w:r w:rsidR="0000183C" w:rsidRPr="006875CB">
        <w:rPr>
          <w:rFonts w:ascii="Bookman Old Style" w:hAnsi="Bookman Old Style" w:cs="Arial"/>
        </w:rPr>
        <w:t xml:space="preserve"> de </w:t>
      </w:r>
      <w:r w:rsidR="0000183C" w:rsidRPr="006875CB">
        <w:rPr>
          <w:rFonts w:ascii="Bookman Old Style" w:hAnsi="Bookman Old Style" w:cs="Arial"/>
          <w:lang w:val="es-ES_tradnl"/>
        </w:rPr>
        <w:t>la Resolución CREG 126 de 2010</w:t>
      </w:r>
      <w:r w:rsidRPr="006875CB">
        <w:rPr>
          <w:rFonts w:ascii="Bookman Old Style" w:hAnsi="Bookman Old Style" w:cs="Arial"/>
        </w:rPr>
        <w:t>, la CREG tiene la facultad y el deber de incluir otros criterios y de mejorar la información que sirve de base para sus decisiones, si ello es posible. Pues bien, gracias al procedimiento llevado a cabo para la expedición de las</w:t>
      </w:r>
      <w:r w:rsidR="004C7E35">
        <w:rPr>
          <w:rFonts w:ascii="Bookman Old Style" w:hAnsi="Bookman Old Style" w:cs="Arial"/>
        </w:rPr>
        <w:t xml:space="preserve"> r</w:t>
      </w:r>
      <w:r w:rsidRPr="006875CB">
        <w:rPr>
          <w:rFonts w:ascii="Bookman Old Style" w:hAnsi="Bookman Old Style" w:cs="Arial"/>
        </w:rPr>
        <w:t xml:space="preserve">esoluciones CREG 121, 122 y 123 de 2012, la Comisión contó con información más completa, específica y relevante para aplicar el mencionado Anexo en la decisión adoptada en la </w:t>
      </w:r>
      <w:r w:rsidR="0000183C" w:rsidRPr="006875CB">
        <w:rPr>
          <w:rFonts w:ascii="Bookman Old Style" w:hAnsi="Bookman Old Style" w:cs="Arial"/>
        </w:rPr>
        <w:t>r</w:t>
      </w:r>
      <w:r w:rsidRPr="006875CB">
        <w:rPr>
          <w:rFonts w:ascii="Bookman Old Style" w:hAnsi="Bookman Old Style" w:cs="Arial"/>
        </w:rPr>
        <w:t xml:space="preserve">esolución recurrida por TGI. La recopilación y el análisis de dicha información fueron explicados en detalle, como arriba se dijo, en el Documento CREG </w:t>
      </w:r>
      <w:r w:rsidRPr="00730B6C">
        <w:rPr>
          <w:rFonts w:ascii="Bookman Old Style" w:hAnsi="Bookman Old Style" w:cs="Arial"/>
        </w:rPr>
        <w:t>082</w:t>
      </w:r>
      <w:r w:rsidRPr="006875CB">
        <w:rPr>
          <w:rFonts w:ascii="Bookman Old Style" w:hAnsi="Bookman Old Style" w:cs="Arial"/>
        </w:rPr>
        <w:t xml:space="preserve"> de 2012</w:t>
      </w:r>
      <w:r w:rsidR="006110B0" w:rsidRPr="006875CB">
        <w:rPr>
          <w:rFonts w:ascii="Bookman Old Style" w:hAnsi="Bookman Old Style" w:cs="Arial"/>
        </w:rPr>
        <w:t>, soporte de la Resolución CREG 14</w:t>
      </w:r>
      <w:r w:rsidR="00E44BDE">
        <w:rPr>
          <w:rFonts w:ascii="Bookman Old Style" w:hAnsi="Bookman Old Style" w:cs="Arial"/>
        </w:rPr>
        <w:t>2</w:t>
      </w:r>
      <w:r w:rsidR="006110B0" w:rsidRPr="006875CB">
        <w:rPr>
          <w:rFonts w:ascii="Bookman Old Style" w:hAnsi="Bookman Old Style" w:cs="Arial"/>
        </w:rPr>
        <w:t xml:space="preserve"> de 2012</w:t>
      </w:r>
      <w:r w:rsidRPr="006875CB">
        <w:rPr>
          <w:rFonts w:ascii="Bookman Old Style" w:hAnsi="Bookman Old Style" w:cs="Arial"/>
        </w:rPr>
        <w:t xml:space="preserve">. </w:t>
      </w:r>
    </w:p>
    <w:p w:rsidR="00CC5CE1" w:rsidRPr="006875CB" w:rsidRDefault="00CC5CE1" w:rsidP="005300B2">
      <w:pPr>
        <w:ind w:left="0"/>
        <w:jc w:val="both"/>
        <w:rPr>
          <w:rFonts w:ascii="Bookman Old Style" w:hAnsi="Bookman Old Style" w:cs="Arial"/>
        </w:rPr>
      </w:pPr>
    </w:p>
    <w:p w:rsidR="00CC5CE1" w:rsidRPr="006875CB" w:rsidRDefault="00CC5CE1" w:rsidP="005300B2">
      <w:pPr>
        <w:ind w:left="0"/>
        <w:jc w:val="both"/>
        <w:rPr>
          <w:rFonts w:ascii="Bookman Old Style" w:hAnsi="Bookman Old Style" w:cs="Arial"/>
          <w:lang w:val="es-ES_tradnl"/>
        </w:rPr>
      </w:pPr>
      <w:r w:rsidRPr="006875CB">
        <w:rPr>
          <w:rFonts w:ascii="Bookman Old Style" w:hAnsi="Bookman Old Style" w:cs="Arial"/>
        </w:rPr>
        <w:t xml:space="preserve">Así, mal puede afirmarse que se modificó la </w:t>
      </w:r>
      <w:r w:rsidRPr="006875CB">
        <w:rPr>
          <w:rFonts w:ascii="Bookman Old Style" w:hAnsi="Bookman Old Style" w:cs="Arial"/>
          <w:i/>
        </w:rPr>
        <w:t>metodología</w:t>
      </w:r>
      <w:r w:rsidRPr="006875CB">
        <w:rPr>
          <w:rFonts w:ascii="Bookman Old Style" w:hAnsi="Bookman Old Style" w:cs="Arial"/>
        </w:rPr>
        <w:t xml:space="preserve"> en manera alguna mediante la </w:t>
      </w:r>
      <w:r w:rsidR="0000183C" w:rsidRPr="006875CB">
        <w:rPr>
          <w:rFonts w:ascii="Bookman Old Style" w:hAnsi="Bookman Old Style" w:cs="Arial"/>
        </w:rPr>
        <w:t>r</w:t>
      </w:r>
      <w:r w:rsidRPr="006875CB">
        <w:rPr>
          <w:rFonts w:ascii="Bookman Old Style" w:hAnsi="Bookman Old Style" w:cs="Arial"/>
        </w:rPr>
        <w:t xml:space="preserve">esolución recurrida. La Comisión dio estricto cumplimiento a la </w:t>
      </w:r>
      <w:r w:rsidRPr="006875CB">
        <w:rPr>
          <w:rFonts w:ascii="Bookman Old Style" w:hAnsi="Bookman Old Style" w:cs="Arial"/>
          <w:i/>
        </w:rPr>
        <w:t>metodología</w:t>
      </w:r>
      <w:r w:rsidRPr="006875CB">
        <w:rPr>
          <w:rFonts w:ascii="Bookman Old Style" w:hAnsi="Bookman Old Style" w:cs="Arial"/>
        </w:rPr>
        <w:t xml:space="preserve"> contenida en la Resolución CREG 126 de 2010, incluyendo criterios que, incluso, fueron propuestos por TGI durante el proceso de expedición de la Resolución CREG 121 de 2012. </w:t>
      </w:r>
    </w:p>
    <w:p w:rsidR="00CC5CE1" w:rsidRPr="006875CB" w:rsidRDefault="00CC5CE1" w:rsidP="005300B2">
      <w:pPr>
        <w:ind w:left="0"/>
        <w:jc w:val="both"/>
        <w:rPr>
          <w:rFonts w:ascii="Bookman Old Style" w:hAnsi="Bookman Old Style" w:cs="Arial"/>
          <w:lang w:val="es-ES_tradnl"/>
        </w:rPr>
      </w:pPr>
    </w:p>
    <w:p w:rsidR="00CC5CE1" w:rsidRPr="006875CB" w:rsidRDefault="00CC5CE1" w:rsidP="000804FD">
      <w:pPr>
        <w:numPr>
          <w:ilvl w:val="0"/>
          <w:numId w:val="30"/>
        </w:numPr>
        <w:ind w:left="567" w:hanging="567"/>
        <w:jc w:val="both"/>
        <w:rPr>
          <w:rFonts w:ascii="Bookman Old Style" w:hAnsi="Bookman Old Style" w:cs="Arial"/>
          <w:b/>
        </w:rPr>
      </w:pPr>
      <w:r w:rsidRPr="006875CB">
        <w:rPr>
          <w:rFonts w:ascii="Bookman Old Style" w:hAnsi="Bookman Old Style" w:cs="Arial"/>
          <w:b/>
        </w:rPr>
        <w:t>Nuevas consideraciones esbozadas por TGI</w:t>
      </w:r>
    </w:p>
    <w:p w:rsidR="00CC5CE1" w:rsidRPr="006875CB" w:rsidRDefault="00CC5CE1" w:rsidP="005300B2">
      <w:pPr>
        <w:ind w:left="0"/>
        <w:jc w:val="both"/>
        <w:rPr>
          <w:rFonts w:ascii="Bookman Old Style" w:hAnsi="Bookman Old Style" w:cs="Arial"/>
          <w:b/>
        </w:rPr>
      </w:pPr>
    </w:p>
    <w:p w:rsidR="00CC5CE1" w:rsidRPr="006875CB" w:rsidRDefault="00CC5CE1" w:rsidP="00D7393B">
      <w:pPr>
        <w:ind w:left="0"/>
        <w:jc w:val="both"/>
        <w:rPr>
          <w:rFonts w:ascii="Bookman Old Style" w:hAnsi="Bookman Old Style" w:cs="Arial"/>
        </w:rPr>
      </w:pPr>
      <w:r w:rsidRPr="006875CB">
        <w:rPr>
          <w:rFonts w:ascii="Bookman Old Style" w:hAnsi="Bookman Old Style" w:cs="Arial"/>
        </w:rPr>
        <w:t xml:space="preserve">En el acápite II del recurso de reposición TGI afirma que dado el tiempo que tomó la Comisión para aprobar los cargos regulados del sistema regional de </w:t>
      </w:r>
      <w:r w:rsidRPr="006875CB">
        <w:rPr>
          <w:rFonts w:ascii="Bookman Old Style" w:hAnsi="Bookman Old Style" w:cs="Arial"/>
        </w:rPr>
        <w:lastRenderedPageBreak/>
        <w:t xml:space="preserve">transporte </w:t>
      </w:r>
      <w:r w:rsidR="00530202">
        <w:rPr>
          <w:rFonts w:ascii="Bookman Old Style" w:hAnsi="Bookman Old Style" w:cs="Arial"/>
        </w:rPr>
        <w:t>Cundi</w:t>
      </w:r>
      <w:r w:rsidR="00730B6C">
        <w:rPr>
          <w:rFonts w:ascii="Bookman Old Style" w:hAnsi="Bookman Old Style" w:cs="Arial"/>
        </w:rPr>
        <w:t xml:space="preserve"> S</w:t>
      </w:r>
      <w:r w:rsidR="00530202">
        <w:rPr>
          <w:rFonts w:ascii="Bookman Old Style" w:hAnsi="Bookman Old Style" w:cs="Arial"/>
        </w:rPr>
        <w:t>uroccidental</w:t>
      </w:r>
      <w:r w:rsidRPr="006875CB">
        <w:rPr>
          <w:rFonts w:ascii="Bookman Old Style" w:hAnsi="Bookman Old Style" w:cs="Arial"/>
        </w:rPr>
        <w:t>, es necesario actualizar o modificar algunos costos. Se refiere a las siguien</w:t>
      </w:r>
      <w:r w:rsidR="00ED68C4" w:rsidRPr="006875CB">
        <w:rPr>
          <w:rFonts w:ascii="Bookman Old Style" w:hAnsi="Bookman Old Style" w:cs="Arial"/>
        </w:rPr>
        <w:t>t</w:t>
      </w:r>
      <w:r w:rsidRPr="006875CB">
        <w:rPr>
          <w:rFonts w:ascii="Bookman Old Style" w:hAnsi="Bookman Old Style" w:cs="Arial"/>
        </w:rPr>
        <w:t>es variables:</w:t>
      </w:r>
    </w:p>
    <w:p w:rsidR="00CC5CE1" w:rsidRPr="006875CB" w:rsidRDefault="00CC5CE1" w:rsidP="00ED68C4">
      <w:pPr>
        <w:ind w:left="0"/>
        <w:jc w:val="both"/>
        <w:rPr>
          <w:rFonts w:ascii="Bookman Old Style" w:hAnsi="Bookman Old Style" w:cs="Arial"/>
          <w:b/>
        </w:rPr>
      </w:pPr>
    </w:p>
    <w:p w:rsidR="00CC5CE1" w:rsidRPr="006875CB" w:rsidRDefault="00CC5CE1" w:rsidP="00D73A17">
      <w:pPr>
        <w:jc w:val="both"/>
        <w:rPr>
          <w:rFonts w:ascii="Bookman Old Style" w:hAnsi="Bookman Old Style" w:cs="Arial"/>
          <w:i/>
          <w:sz w:val="22"/>
          <w:szCs w:val="22"/>
        </w:rPr>
      </w:pPr>
      <w:r w:rsidRPr="006875CB">
        <w:rPr>
          <w:rFonts w:ascii="Bookman Old Style" w:hAnsi="Bookman Old Style" w:cs="Arial"/>
          <w:i/>
          <w:sz w:val="22"/>
          <w:szCs w:val="22"/>
        </w:rPr>
        <w:t>“(…)</w:t>
      </w:r>
    </w:p>
    <w:p w:rsidR="00ED68C4" w:rsidRPr="006875CB" w:rsidRDefault="00ED68C4" w:rsidP="00D73A17">
      <w:pPr>
        <w:jc w:val="both"/>
        <w:rPr>
          <w:rFonts w:ascii="Bookman Old Style" w:hAnsi="Bookman Old Style" w:cs="Arial"/>
          <w:i/>
          <w:sz w:val="22"/>
          <w:szCs w:val="22"/>
        </w:rPr>
      </w:pPr>
    </w:p>
    <w:p w:rsidR="00CC5CE1" w:rsidRPr="006875CB" w:rsidRDefault="00CC5CE1" w:rsidP="00D73A17">
      <w:pPr>
        <w:numPr>
          <w:ilvl w:val="0"/>
          <w:numId w:val="31"/>
        </w:numPr>
        <w:ind w:left="567" w:firstLine="0"/>
        <w:jc w:val="both"/>
        <w:rPr>
          <w:rFonts w:ascii="Bookman Old Style" w:hAnsi="Bookman Old Style" w:cs="Arial"/>
          <w:i/>
          <w:sz w:val="22"/>
          <w:szCs w:val="22"/>
        </w:rPr>
      </w:pPr>
      <w:r w:rsidRPr="006875CB">
        <w:rPr>
          <w:rFonts w:ascii="Bookman Old Style" w:hAnsi="Bookman Old Style" w:cs="Arial"/>
          <w:b/>
          <w:i/>
          <w:sz w:val="22"/>
          <w:szCs w:val="22"/>
        </w:rPr>
        <w:t xml:space="preserve">Aumento en las obras de geotecnia: </w:t>
      </w:r>
      <w:r w:rsidRPr="006875CB">
        <w:rPr>
          <w:rFonts w:ascii="Bookman Old Style" w:hAnsi="Bookman Old Style" w:cs="Arial"/>
          <w:i/>
          <w:sz w:val="22"/>
          <w:szCs w:val="22"/>
        </w:rPr>
        <w:t>En los últimos dos años se ha evidenciado un incremento significativo en la cantidad y complejidad de las obras de geotecnia necesarias para garantizar la esta</w:t>
      </w:r>
      <w:r w:rsidR="00220D15" w:rsidRPr="006875CB">
        <w:rPr>
          <w:rFonts w:ascii="Bookman Old Style" w:hAnsi="Bookman Old Style" w:cs="Arial"/>
          <w:i/>
          <w:sz w:val="22"/>
          <w:szCs w:val="22"/>
        </w:rPr>
        <w:t>b</w:t>
      </w:r>
      <w:r w:rsidRPr="006875CB">
        <w:rPr>
          <w:rFonts w:ascii="Bookman Old Style" w:hAnsi="Bookman Old Style" w:cs="Arial"/>
          <w:i/>
          <w:sz w:val="22"/>
          <w:szCs w:val="22"/>
        </w:rPr>
        <w:t>ilidad e integridad de los ductos para transporte de gas natural y sus respectivos Derechos de Vía. Lo anterior es consecuencia de dos factores principales.</w:t>
      </w:r>
    </w:p>
    <w:p w:rsidR="00CC5CE1" w:rsidRPr="006875CB" w:rsidRDefault="00CC5CE1" w:rsidP="00D73A17">
      <w:pPr>
        <w:jc w:val="both"/>
        <w:rPr>
          <w:rFonts w:ascii="Bookman Old Style" w:hAnsi="Bookman Old Style" w:cs="Arial"/>
          <w:b/>
          <w:i/>
          <w:sz w:val="22"/>
          <w:szCs w:val="22"/>
        </w:rPr>
      </w:pPr>
    </w:p>
    <w:p w:rsidR="00220D15" w:rsidRPr="006875CB" w:rsidRDefault="00CC5CE1" w:rsidP="00D73A17">
      <w:pPr>
        <w:jc w:val="both"/>
        <w:rPr>
          <w:rFonts w:ascii="Bookman Old Style" w:hAnsi="Bookman Old Style" w:cs="Arial"/>
          <w:i/>
          <w:sz w:val="22"/>
          <w:szCs w:val="22"/>
        </w:rPr>
      </w:pPr>
      <w:r w:rsidRPr="006875CB">
        <w:rPr>
          <w:rFonts w:ascii="Bookman Old Style" w:hAnsi="Bookman Old Style" w:cs="Arial"/>
          <w:i/>
          <w:sz w:val="22"/>
          <w:szCs w:val="22"/>
        </w:rPr>
        <w:t>El primer factor es el cambio climático que trae consigo una mayor concentración de lluvias en algunos periodos (Fenómeno de La Niña), generado crecientes en los ríos y quebradas e inestabilidades superficiales (coluviones) en las zonas montañosas</w:t>
      </w:r>
      <w:r w:rsidR="00530202">
        <w:rPr>
          <w:rFonts w:ascii="Bookman Old Style" w:hAnsi="Bookman Old Style" w:cs="Arial"/>
          <w:i/>
          <w:sz w:val="22"/>
          <w:szCs w:val="22"/>
        </w:rPr>
        <w:t xml:space="preserve"> </w:t>
      </w:r>
      <w:r w:rsidR="00220D15" w:rsidRPr="006875CB">
        <w:rPr>
          <w:rFonts w:ascii="Bookman Old Style" w:hAnsi="Bookman Old Style" w:cs="Arial"/>
          <w:i/>
          <w:sz w:val="22"/>
          <w:szCs w:val="22"/>
        </w:rPr>
        <w:t>…</w:t>
      </w:r>
    </w:p>
    <w:p w:rsidR="00220D15" w:rsidRPr="006875CB" w:rsidRDefault="00220D15" w:rsidP="00D73A17">
      <w:pPr>
        <w:jc w:val="both"/>
        <w:rPr>
          <w:rFonts w:ascii="Bookman Old Style" w:hAnsi="Bookman Old Style" w:cs="Arial"/>
          <w:i/>
          <w:sz w:val="22"/>
          <w:szCs w:val="22"/>
        </w:rPr>
      </w:pPr>
    </w:p>
    <w:p w:rsidR="00CC5CE1" w:rsidRPr="006875CB" w:rsidRDefault="00220D15" w:rsidP="00D73A17">
      <w:pPr>
        <w:jc w:val="both"/>
        <w:rPr>
          <w:rFonts w:ascii="Bookman Old Style" w:hAnsi="Bookman Old Style" w:cs="Arial"/>
          <w:i/>
          <w:sz w:val="22"/>
          <w:szCs w:val="22"/>
        </w:rPr>
      </w:pPr>
      <w:r w:rsidRPr="006875CB">
        <w:rPr>
          <w:rFonts w:ascii="Bookman Old Style" w:hAnsi="Bookman Old Style" w:cs="Arial"/>
          <w:i/>
          <w:sz w:val="22"/>
          <w:szCs w:val="22"/>
        </w:rPr>
        <w:t>El segundo factor es el incremento en la densidad de obras de geotecnia</w:t>
      </w:r>
      <w:r w:rsidR="00CC5CE1" w:rsidRPr="006875CB">
        <w:rPr>
          <w:rFonts w:ascii="Bookman Old Style" w:hAnsi="Bookman Old Style" w:cs="Arial"/>
          <w:i/>
          <w:sz w:val="22"/>
          <w:szCs w:val="22"/>
        </w:rPr>
        <w:t xml:space="preserve"> </w:t>
      </w:r>
      <w:r w:rsidRPr="006875CB">
        <w:rPr>
          <w:rFonts w:ascii="Bookman Old Style" w:hAnsi="Bookman Old Style" w:cs="Arial"/>
          <w:i/>
          <w:sz w:val="22"/>
          <w:szCs w:val="22"/>
        </w:rPr>
        <w:t>preliminar, que son aquellas necesarias para estabilizar la zona de trabajo y tránsito para la construcción del ducto y que son sacrificadas cuando se hace la reconformación del terreno después de enterrada la tubería …</w:t>
      </w:r>
    </w:p>
    <w:p w:rsidR="00220D15" w:rsidRPr="006875CB" w:rsidRDefault="00220D15" w:rsidP="00D73A17">
      <w:pPr>
        <w:jc w:val="both"/>
        <w:rPr>
          <w:rFonts w:ascii="Bookman Old Style" w:hAnsi="Bookman Old Style" w:cs="Arial"/>
          <w:i/>
          <w:sz w:val="22"/>
          <w:szCs w:val="22"/>
        </w:rPr>
      </w:pPr>
    </w:p>
    <w:p w:rsidR="00220D15" w:rsidRPr="006875CB" w:rsidRDefault="00220D15" w:rsidP="00D73A17">
      <w:pPr>
        <w:jc w:val="both"/>
        <w:rPr>
          <w:rFonts w:ascii="Bookman Old Style" w:hAnsi="Bookman Old Style" w:cs="Arial"/>
          <w:i/>
          <w:sz w:val="22"/>
          <w:szCs w:val="22"/>
        </w:rPr>
      </w:pPr>
      <w:r w:rsidRPr="006875CB">
        <w:rPr>
          <w:rFonts w:ascii="Bookman Old Style" w:hAnsi="Bookman Old Style" w:cs="Arial"/>
          <w:i/>
          <w:sz w:val="22"/>
          <w:szCs w:val="22"/>
        </w:rPr>
        <w:t xml:space="preserve">El costo de las obras de geotecnia previstas inicialmente en el 2010 representaba aproximadamente el </w:t>
      </w:r>
      <w:r w:rsidR="00530202">
        <w:rPr>
          <w:rFonts w:ascii="Bookman Old Style" w:hAnsi="Bookman Old Style" w:cs="Arial"/>
          <w:i/>
          <w:sz w:val="22"/>
          <w:szCs w:val="22"/>
        </w:rPr>
        <w:t>8</w:t>
      </w:r>
      <w:r w:rsidRPr="006875CB">
        <w:rPr>
          <w:rFonts w:ascii="Bookman Old Style" w:hAnsi="Bookman Old Style" w:cs="Arial"/>
          <w:i/>
          <w:sz w:val="22"/>
          <w:szCs w:val="22"/>
        </w:rPr>
        <w:t>% del costo total del proyecto y ahora, con las nuevas necesidades, éste aumenta, pasando a representar cerca del 2</w:t>
      </w:r>
      <w:r w:rsidR="00530202">
        <w:rPr>
          <w:rFonts w:ascii="Bookman Old Style" w:hAnsi="Bookman Old Style" w:cs="Arial"/>
          <w:i/>
          <w:sz w:val="22"/>
          <w:szCs w:val="22"/>
        </w:rPr>
        <w:t>4</w:t>
      </w:r>
      <w:r w:rsidRPr="006875CB">
        <w:rPr>
          <w:rFonts w:ascii="Bookman Old Style" w:hAnsi="Bookman Old Style" w:cs="Arial"/>
          <w:i/>
          <w:sz w:val="22"/>
          <w:szCs w:val="22"/>
        </w:rPr>
        <w:t>%.</w:t>
      </w:r>
    </w:p>
    <w:p w:rsidR="00220D15" w:rsidRPr="006875CB" w:rsidRDefault="00220D15" w:rsidP="00D73A17">
      <w:pPr>
        <w:jc w:val="both"/>
        <w:rPr>
          <w:rFonts w:ascii="Bookman Old Style" w:hAnsi="Bookman Old Style" w:cs="Arial"/>
          <w:i/>
          <w:sz w:val="22"/>
          <w:szCs w:val="22"/>
        </w:rPr>
      </w:pPr>
    </w:p>
    <w:p w:rsidR="00220D15" w:rsidRPr="006875CB" w:rsidRDefault="00220D15" w:rsidP="00D73A17">
      <w:pPr>
        <w:pStyle w:val="Prrafodelista"/>
        <w:numPr>
          <w:ilvl w:val="0"/>
          <w:numId w:val="31"/>
        </w:numPr>
        <w:ind w:left="567" w:firstLine="0"/>
        <w:jc w:val="both"/>
        <w:rPr>
          <w:rFonts w:ascii="Bookman Old Style" w:hAnsi="Bookman Old Style" w:cs="Arial"/>
          <w:i/>
          <w:sz w:val="22"/>
          <w:szCs w:val="22"/>
        </w:rPr>
      </w:pPr>
      <w:r w:rsidRPr="006875CB">
        <w:rPr>
          <w:rFonts w:ascii="Bookman Old Style" w:hAnsi="Bookman Old Style" w:cs="Arial"/>
          <w:b/>
          <w:i/>
          <w:sz w:val="22"/>
          <w:szCs w:val="22"/>
        </w:rPr>
        <w:t xml:space="preserve">Interventoría: </w:t>
      </w:r>
      <w:r w:rsidRPr="006875CB">
        <w:rPr>
          <w:rFonts w:ascii="Bookman Old Style" w:hAnsi="Bookman Old Style" w:cs="Arial"/>
          <w:i/>
          <w:sz w:val="22"/>
          <w:szCs w:val="22"/>
        </w:rPr>
        <w:t>En la actualidad se están desarrollando en el país una gran cantidad de proyectos en el sector de hidrocarburos que han generado un aumento en la demanda de ingenieros y de personal técnico con experiencia en construcción de ductos, conllevando a un incremento en el valor de los servicios profesionales requeridos para la supervisión de la construcción de los mismos. Teniendo en cuenta lo anterior (…) se estima un aumento en el costo de los recursos necesarios para la interventoría a la construcción, la cual pasa de representar aproximadamente un 4% a cerca de un 6% del costo total del proyecto.</w:t>
      </w:r>
    </w:p>
    <w:p w:rsidR="00220D15" w:rsidRPr="006875CB" w:rsidRDefault="00220D15" w:rsidP="00D73A17">
      <w:pPr>
        <w:pStyle w:val="Prrafodelista"/>
        <w:ind w:left="567"/>
        <w:jc w:val="both"/>
        <w:rPr>
          <w:rFonts w:ascii="Bookman Old Style" w:hAnsi="Bookman Old Style" w:cs="Arial"/>
          <w:i/>
          <w:sz w:val="22"/>
          <w:szCs w:val="22"/>
        </w:rPr>
      </w:pPr>
    </w:p>
    <w:p w:rsidR="00761EDD" w:rsidRPr="006875CB" w:rsidRDefault="00220D15" w:rsidP="00D73A17">
      <w:pPr>
        <w:pStyle w:val="Prrafodelista"/>
        <w:numPr>
          <w:ilvl w:val="0"/>
          <w:numId w:val="31"/>
        </w:numPr>
        <w:ind w:left="567" w:firstLine="0"/>
        <w:jc w:val="both"/>
        <w:rPr>
          <w:rFonts w:ascii="Bookman Old Style" w:hAnsi="Bookman Old Style" w:cs="Arial"/>
          <w:i/>
          <w:sz w:val="22"/>
          <w:szCs w:val="22"/>
        </w:rPr>
      </w:pPr>
      <w:r w:rsidRPr="006875CB">
        <w:rPr>
          <w:rFonts w:ascii="Bookman Old Style" w:hAnsi="Bookman Old Style" w:cs="Arial"/>
          <w:b/>
          <w:i/>
          <w:sz w:val="22"/>
          <w:szCs w:val="22"/>
        </w:rPr>
        <w:t xml:space="preserve">AIU del contratista de construcción: </w:t>
      </w:r>
      <w:r w:rsidR="00761EDD" w:rsidRPr="006875CB">
        <w:rPr>
          <w:rFonts w:ascii="Bookman Old Style" w:hAnsi="Bookman Old Style" w:cs="Arial"/>
          <w:i/>
          <w:sz w:val="22"/>
          <w:szCs w:val="22"/>
        </w:rPr>
        <w:t>El costo promedio de los AIU que cobran los contratistas de constr</w:t>
      </w:r>
      <w:r w:rsidR="0026544D">
        <w:rPr>
          <w:rFonts w:ascii="Bookman Old Style" w:hAnsi="Bookman Old Style" w:cs="Arial"/>
          <w:i/>
          <w:sz w:val="22"/>
          <w:szCs w:val="22"/>
        </w:rPr>
        <w:t>u</w:t>
      </w:r>
      <w:r w:rsidR="00761EDD" w:rsidRPr="006875CB">
        <w:rPr>
          <w:rFonts w:ascii="Bookman Old Style" w:hAnsi="Bookman Old Style" w:cs="Arial"/>
          <w:i/>
          <w:sz w:val="22"/>
          <w:szCs w:val="22"/>
        </w:rPr>
        <w:t>cción en el sector de hidrocarburos ha aumentado en los dos últimos años. Para ductos relativamente pequeños, se estima que estos costos han pasado del 23% alrededor del 28% de los costos directos de construcción, debido principalmente a dos factores.</w:t>
      </w:r>
    </w:p>
    <w:p w:rsidR="00761EDD" w:rsidRPr="006875CB" w:rsidRDefault="00761EDD" w:rsidP="00D73A17">
      <w:pPr>
        <w:jc w:val="both"/>
        <w:rPr>
          <w:rFonts w:ascii="Bookman Old Style" w:hAnsi="Bookman Old Style" w:cs="Arial"/>
          <w:i/>
          <w:sz w:val="22"/>
          <w:szCs w:val="22"/>
        </w:rPr>
      </w:pPr>
    </w:p>
    <w:p w:rsidR="00761EDD" w:rsidRPr="006875CB" w:rsidRDefault="00761EDD" w:rsidP="00D73A17">
      <w:pPr>
        <w:pStyle w:val="Prrafodelista"/>
        <w:tabs>
          <w:tab w:val="left" w:pos="630"/>
        </w:tabs>
        <w:ind w:left="567"/>
        <w:jc w:val="both"/>
        <w:rPr>
          <w:rFonts w:ascii="Bookman Old Style" w:hAnsi="Bookman Old Style" w:cs="Arial"/>
          <w:i/>
          <w:sz w:val="22"/>
          <w:szCs w:val="22"/>
        </w:rPr>
      </w:pPr>
      <w:r w:rsidRPr="006875CB">
        <w:rPr>
          <w:rFonts w:ascii="Bookman Old Style" w:hAnsi="Bookman Old Style" w:cs="Arial"/>
          <w:i/>
          <w:sz w:val="22"/>
          <w:szCs w:val="22"/>
        </w:rPr>
        <w:t>El primer factor es que el costo y cantidad de los recursos con que deben disponer los constratistas para la administración de las obras ha presentado un aumento en los últimos dos años …</w:t>
      </w:r>
    </w:p>
    <w:p w:rsidR="00761EDD" w:rsidRPr="006875CB" w:rsidRDefault="00761EDD" w:rsidP="00D73A17">
      <w:pPr>
        <w:pStyle w:val="Prrafodelista"/>
        <w:ind w:left="567"/>
        <w:jc w:val="both"/>
        <w:rPr>
          <w:rFonts w:ascii="Bookman Old Style" w:hAnsi="Bookman Old Style" w:cs="Arial"/>
          <w:i/>
          <w:sz w:val="22"/>
          <w:szCs w:val="22"/>
        </w:rPr>
      </w:pPr>
    </w:p>
    <w:p w:rsidR="00761EDD" w:rsidRPr="006875CB" w:rsidRDefault="00761EDD" w:rsidP="00D73A17">
      <w:pPr>
        <w:pStyle w:val="Prrafodelista"/>
        <w:ind w:left="567"/>
        <w:jc w:val="both"/>
        <w:rPr>
          <w:rFonts w:ascii="Bookman Old Style" w:hAnsi="Bookman Old Style" w:cs="Arial"/>
          <w:i/>
          <w:sz w:val="22"/>
          <w:szCs w:val="22"/>
        </w:rPr>
      </w:pPr>
      <w:r w:rsidRPr="006875CB">
        <w:rPr>
          <w:rFonts w:ascii="Bookman Old Style" w:hAnsi="Bookman Old Style" w:cs="Arial"/>
          <w:i/>
          <w:sz w:val="22"/>
          <w:szCs w:val="22"/>
        </w:rPr>
        <w:t>El segu</w:t>
      </w:r>
      <w:r w:rsidR="002B356B" w:rsidRPr="006875CB">
        <w:rPr>
          <w:rFonts w:ascii="Bookman Old Style" w:hAnsi="Bookman Old Style" w:cs="Arial"/>
          <w:i/>
          <w:sz w:val="22"/>
          <w:szCs w:val="22"/>
        </w:rPr>
        <w:t>ndo factor es el aumento de la i</w:t>
      </w:r>
      <w:r w:rsidRPr="006875CB">
        <w:rPr>
          <w:rFonts w:ascii="Bookman Old Style" w:hAnsi="Bookman Old Style" w:cs="Arial"/>
          <w:i/>
          <w:sz w:val="22"/>
          <w:szCs w:val="22"/>
        </w:rPr>
        <w:t>ncertidumbre en la ejecución de las obras, que genera un aumento en la cuantificación de los imprevistos que debe asumir el contratista … El AIU del contratista pasó de representar aproximadamente el 14% a cerca del 17% del costo total del proyecto.</w:t>
      </w:r>
    </w:p>
    <w:p w:rsidR="00761EDD" w:rsidRPr="006875CB" w:rsidRDefault="00761EDD" w:rsidP="00D73A17">
      <w:pPr>
        <w:jc w:val="both"/>
        <w:rPr>
          <w:rFonts w:ascii="Bookman Old Style" w:hAnsi="Bookman Old Style" w:cs="Arial"/>
          <w:i/>
          <w:sz w:val="22"/>
          <w:szCs w:val="22"/>
        </w:rPr>
      </w:pPr>
    </w:p>
    <w:p w:rsidR="00761EDD" w:rsidRPr="006875CB" w:rsidRDefault="00761EDD" w:rsidP="00D73A17">
      <w:pPr>
        <w:pStyle w:val="Prrafodelista"/>
        <w:numPr>
          <w:ilvl w:val="0"/>
          <w:numId w:val="31"/>
        </w:numPr>
        <w:ind w:left="567" w:firstLine="0"/>
        <w:jc w:val="both"/>
        <w:rPr>
          <w:rFonts w:ascii="Bookman Old Style" w:hAnsi="Bookman Old Style" w:cs="Arial"/>
          <w:i/>
          <w:sz w:val="22"/>
          <w:szCs w:val="22"/>
        </w:rPr>
      </w:pPr>
      <w:r w:rsidRPr="006875CB">
        <w:rPr>
          <w:rFonts w:ascii="Bookman Old Style" w:hAnsi="Bookman Old Style" w:cs="Arial"/>
          <w:b/>
          <w:i/>
          <w:sz w:val="22"/>
          <w:szCs w:val="22"/>
        </w:rPr>
        <w:t xml:space="preserve">Revaluación del peso colombiano frente al dólar: </w:t>
      </w:r>
      <w:r w:rsidRPr="006875CB">
        <w:rPr>
          <w:rFonts w:ascii="Bookman Old Style" w:hAnsi="Bookman Old Style" w:cs="Arial"/>
          <w:i/>
          <w:sz w:val="22"/>
          <w:szCs w:val="22"/>
        </w:rPr>
        <w:t xml:space="preserve">La inversión en este proyecto tiene no solo componentes denominados en dólares sino que también tiene componentes denominados en pesos colombianos, razón por la cual la fuente </w:t>
      </w:r>
      <w:r w:rsidRPr="006875CB">
        <w:rPr>
          <w:rFonts w:ascii="Bookman Old Style" w:hAnsi="Bookman Old Style" w:cs="Arial"/>
          <w:i/>
          <w:sz w:val="22"/>
          <w:szCs w:val="22"/>
        </w:rPr>
        <w:lastRenderedPageBreak/>
        <w:t>de revaluación del peso frente al dólar genera que el costo del proyecto cuando es denominado en dólares sea superior … introduciéndose una diferencia sólo por este concepto del orden de 8% durante este periodo de tiempo.</w:t>
      </w:r>
    </w:p>
    <w:p w:rsidR="00761EDD" w:rsidRPr="006875CB" w:rsidRDefault="00761EDD" w:rsidP="00D73A17">
      <w:pPr>
        <w:pStyle w:val="Prrafodelista"/>
        <w:ind w:left="567"/>
        <w:jc w:val="both"/>
        <w:rPr>
          <w:rFonts w:ascii="Bookman Old Style" w:hAnsi="Bookman Old Style" w:cs="Arial"/>
          <w:i/>
          <w:sz w:val="22"/>
          <w:szCs w:val="22"/>
        </w:rPr>
      </w:pPr>
    </w:p>
    <w:p w:rsidR="00220D15" w:rsidRPr="006875CB" w:rsidRDefault="00761EDD" w:rsidP="00D73A17">
      <w:pPr>
        <w:pStyle w:val="Prrafodelista"/>
        <w:numPr>
          <w:ilvl w:val="0"/>
          <w:numId w:val="31"/>
        </w:numPr>
        <w:ind w:left="567" w:firstLine="0"/>
        <w:jc w:val="both"/>
        <w:rPr>
          <w:rFonts w:ascii="Bookman Old Style" w:hAnsi="Bookman Old Style" w:cs="Arial"/>
          <w:b/>
          <w:i/>
          <w:sz w:val="22"/>
          <w:szCs w:val="22"/>
        </w:rPr>
      </w:pPr>
      <w:r w:rsidRPr="006875CB">
        <w:rPr>
          <w:rFonts w:ascii="Bookman Old Style" w:hAnsi="Bookman Old Style" w:cs="Arial"/>
          <w:b/>
          <w:i/>
          <w:sz w:val="22"/>
          <w:szCs w:val="22"/>
        </w:rPr>
        <w:t>Ajuste de precios por inflación:</w:t>
      </w:r>
      <w:r w:rsidR="00220D15" w:rsidRPr="006875CB">
        <w:rPr>
          <w:rFonts w:ascii="Bookman Old Style" w:hAnsi="Bookman Old Style" w:cs="Arial"/>
          <w:b/>
          <w:i/>
          <w:sz w:val="22"/>
          <w:szCs w:val="22"/>
        </w:rPr>
        <w:t xml:space="preserve"> </w:t>
      </w:r>
      <w:r w:rsidRPr="006875CB">
        <w:rPr>
          <w:rFonts w:ascii="Bookman Old Style" w:hAnsi="Bookman Old Style" w:cs="Arial"/>
          <w:i/>
          <w:sz w:val="22"/>
          <w:szCs w:val="22"/>
        </w:rPr>
        <w:t>… Se ajustaron los costos unitarios del presupuesto del proyecto con base en el incremento del IPC en los años 2010, 2011, 2012 y un IPC supuesto para 2013 del 3% considerando que la construcción se llevaría a cabo en 2014.</w:t>
      </w:r>
    </w:p>
    <w:p w:rsidR="00761EDD" w:rsidRPr="006875CB" w:rsidRDefault="00761EDD" w:rsidP="003567D1">
      <w:pPr>
        <w:jc w:val="center"/>
        <w:rPr>
          <w:rFonts w:ascii="Bookman Old Style" w:hAnsi="Bookman Old Style" w:cs="Arial"/>
          <w:b/>
          <w:i/>
          <w:sz w:val="22"/>
          <w:szCs w:val="22"/>
        </w:rPr>
      </w:pPr>
    </w:p>
    <w:p w:rsidR="00761EDD" w:rsidRDefault="00761EDD" w:rsidP="004C7E35">
      <w:pPr>
        <w:pStyle w:val="Prrafodelista"/>
        <w:ind w:left="567"/>
        <w:jc w:val="center"/>
        <w:rPr>
          <w:rFonts w:ascii="Bookman Old Style" w:hAnsi="Bookman Old Style" w:cs="Arial"/>
          <w:b/>
          <w:i/>
          <w:sz w:val="22"/>
          <w:szCs w:val="22"/>
        </w:rPr>
      </w:pPr>
      <w:r w:rsidRPr="006875CB">
        <w:rPr>
          <w:rFonts w:ascii="Bookman Old Style" w:hAnsi="Bookman Old Style" w:cs="Arial"/>
          <w:b/>
          <w:i/>
          <w:noProof/>
          <w:sz w:val="22"/>
          <w:szCs w:val="22"/>
          <w:lang w:eastAsia="es-CO"/>
        </w:rPr>
        <w:drawing>
          <wp:inline distT="0" distB="0" distL="0" distR="0" wp14:anchorId="2D8CD6D3" wp14:editId="0F1A1E4B">
            <wp:extent cx="4664710" cy="462915"/>
            <wp:effectExtent l="0" t="0" r="889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4710" cy="462915"/>
                    </a:xfrm>
                    <a:prstGeom prst="rect">
                      <a:avLst/>
                    </a:prstGeom>
                    <a:noFill/>
                    <a:ln>
                      <a:noFill/>
                    </a:ln>
                  </pic:spPr>
                </pic:pic>
              </a:graphicData>
            </a:graphic>
          </wp:inline>
        </w:drawing>
      </w:r>
    </w:p>
    <w:p w:rsidR="00DF728E" w:rsidRPr="006875CB" w:rsidRDefault="00DF728E" w:rsidP="004C7E35">
      <w:pPr>
        <w:pStyle w:val="Prrafodelista"/>
        <w:ind w:left="567"/>
        <w:jc w:val="center"/>
        <w:rPr>
          <w:rFonts w:ascii="Bookman Old Style" w:hAnsi="Bookman Old Style" w:cs="Arial"/>
          <w:b/>
          <w:i/>
          <w:sz w:val="22"/>
          <w:szCs w:val="22"/>
        </w:rPr>
      </w:pPr>
    </w:p>
    <w:p w:rsidR="00761EDD" w:rsidRPr="006875CB" w:rsidRDefault="00761EDD" w:rsidP="00D73A17">
      <w:pPr>
        <w:pStyle w:val="Prrafodelista"/>
        <w:numPr>
          <w:ilvl w:val="0"/>
          <w:numId w:val="31"/>
        </w:numPr>
        <w:ind w:left="567" w:firstLine="0"/>
        <w:jc w:val="both"/>
        <w:rPr>
          <w:rFonts w:ascii="Bookman Old Style" w:hAnsi="Bookman Old Style" w:cs="Arial"/>
          <w:i/>
          <w:sz w:val="22"/>
          <w:szCs w:val="22"/>
        </w:rPr>
      </w:pPr>
      <w:r w:rsidRPr="006875CB">
        <w:rPr>
          <w:rFonts w:ascii="Bookman Old Style" w:hAnsi="Bookman Old Style" w:cs="Arial"/>
          <w:b/>
          <w:i/>
          <w:sz w:val="22"/>
          <w:szCs w:val="22"/>
        </w:rPr>
        <w:t xml:space="preserve">Precio de la tubería: </w:t>
      </w:r>
      <w:r w:rsidRPr="006875CB">
        <w:rPr>
          <w:rFonts w:ascii="Bookman Old Style" w:hAnsi="Bookman Old Style" w:cs="Arial"/>
          <w:i/>
          <w:sz w:val="22"/>
          <w:szCs w:val="22"/>
        </w:rPr>
        <w:t>Los precios de la tubería de acero al carbón necesaria para la construcción de este proyecto actualmente tienen un menor costo que el presupuestado en el 2010, lo cual se debe principalmente a los efectos de la cr</w:t>
      </w:r>
      <w:r w:rsidR="0026544D">
        <w:rPr>
          <w:rFonts w:ascii="Bookman Old Style" w:hAnsi="Bookman Old Style" w:cs="Arial"/>
          <w:i/>
          <w:sz w:val="22"/>
          <w:szCs w:val="22"/>
        </w:rPr>
        <w:t>i</w:t>
      </w:r>
      <w:r w:rsidRPr="006875CB">
        <w:rPr>
          <w:rFonts w:ascii="Bookman Old Style" w:hAnsi="Bookman Old Style" w:cs="Arial"/>
          <w:i/>
          <w:sz w:val="22"/>
          <w:szCs w:val="22"/>
        </w:rPr>
        <w:t>s</w:t>
      </w:r>
      <w:r w:rsidR="0026544D">
        <w:rPr>
          <w:rFonts w:ascii="Bookman Old Style" w:hAnsi="Bookman Old Style" w:cs="Arial"/>
          <w:i/>
          <w:sz w:val="22"/>
          <w:szCs w:val="22"/>
        </w:rPr>
        <w:t>i</w:t>
      </w:r>
      <w:r w:rsidRPr="006875CB">
        <w:rPr>
          <w:rFonts w:ascii="Bookman Old Style" w:hAnsi="Bookman Old Style" w:cs="Arial"/>
          <w:i/>
          <w:sz w:val="22"/>
          <w:szCs w:val="22"/>
        </w:rPr>
        <w:t>s económica de los países desarrollados. Con la disminisción en el costo de la tubería y el aumento considerable de</w:t>
      </w:r>
      <w:r w:rsidR="0026544D">
        <w:rPr>
          <w:rFonts w:ascii="Bookman Old Style" w:hAnsi="Bookman Old Style" w:cs="Arial"/>
          <w:i/>
          <w:sz w:val="22"/>
          <w:szCs w:val="22"/>
        </w:rPr>
        <w:t xml:space="preserve"> </w:t>
      </w:r>
      <w:r w:rsidRPr="006875CB">
        <w:rPr>
          <w:rFonts w:ascii="Bookman Old Style" w:hAnsi="Bookman Old Style" w:cs="Arial"/>
          <w:i/>
          <w:sz w:val="22"/>
          <w:szCs w:val="22"/>
        </w:rPr>
        <w:t>los aspectos ya mencionados del proyecto, este ítem pasó de representar aproximadamente el 1</w:t>
      </w:r>
      <w:r w:rsidR="00FF0EB7">
        <w:rPr>
          <w:rFonts w:ascii="Bookman Old Style" w:hAnsi="Bookman Old Style" w:cs="Arial"/>
          <w:i/>
          <w:sz w:val="22"/>
          <w:szCs w:val="22"/>
        </w:rPr>
        <w:t>8</w:t>
      </w:r>
      <w:r w:rsidRPr="006875CB">
        <w:rPr>
          <w:rFonts w:ascii="Bookman Old Style" w:hAnsi="Bookman Old Style" w:cs="Arial"/>
          <w:i/>
          <w:sz w:val="22"/>
          <w:szCs w:val="22"/>
        </w:rPr>
        <w:t xml:space="preserve">% del costo total del proyecto en el 2010 a cerca del </w:t>
      </w:r>
      <w:r w:rsidR="00FF0EB7">
        <w:rPr>
          <w:rFonts w:ascii="Bookman Old Style" w:hAnsi="Bookman Old Style" w:cs="Arial"/>
          <w:i/>
          <w:sz w:val="22"/>
          <w:szCs w:val="22"/>
        </w:rPr>
        <w:t>9</w:t>
      </w:r>
      <w:r w:rsidRPr="006875CB">
        <w:rPr>
          <w:rFonts w:ascii="Bookman Old Style" w:hAnsi="Bookman Old Style" w:cs="Arial"/>
          <w:i/>
          <w:sz w:val="22"/>
          <w:szCs w:val="22"/>
        </w:rPr>
        <w:t>% en la actualidad.</w:t>
      </w:r>
    </w:p>
    <w:p w:rsidR="00761EDD" w:rsidRPr="006875CB" w:rsidRDefault="00761EDD" w:rsidP="00D73A17">
      <w:pPr>
        <w:jc w:val="both"/>
        <w:rPr>
          <w:rFonts w:ascii="Bookman Old Style" w:hAnsi="Bookman Old Style" w:cs="Arial"/>
          <w:i/>
          <w:sz w:val="22"/>
          <w:szCs w:val="22"/>
        </w:rPr>
      </w:pPr>
    </w:p>
    <w:p w:rsidR="00FF0EB7" w:rsidRDefault="00844C07" w:rsidP="00D73A17">
      <w:pPr>
        <w:jc w:val="both"/>
        <w:rPr>
          <w:rFonts w:ascii="Bookman Old Style" w:hAnsi="Bookman Old Style" w:cs="Arial"/>
          <w:i/>
          <w:sz w:val="22"/>
          <w:szCs w:val="22"/>
        </w:rPr>
      </w:pPr>
      <w:r w:rsidRPr="006875CB">
        <w:rPr>
          <w:rFonts w:ascii="Bookman Old Style" w:hAnsi="Bookman Old Style" w:cs="Arial"/>
          <w:i/>
          <w:sz w:val="22"/>
          <w:szCs w:val="22"/>
        </w:rPr>
        <w:t xml:space="preserve">Debido a las variables descritas anteriormente, el costo total presupuestado del proyecto pasó a ser de USD </w:t>
      </w:r>
      <w:r w:rsidR="00FF0EB7">
        <w:rPr>
          <w:rFonts w:ascii="Bookman Old Style" w:hAnsi="Bookman Old Style" w:cs="Arial"/>
          <w:i/>
          <w:sz w:val="22"/>
          <w:szCs w:val="22"/>
        </w:rPr>
        <w:t>27</w:t>
      </w:r>
      <w:r w:rsidRPr="006875CB">
        <w:rPr>
          <w:rFonts w:ascii="Bookman Old Style" w:hAnsi="Bookman Old Style" w:cs="Arial"/>
          <w:i/>
          <w:sz w:val="22"/>
          <w:szCs w:val="22"/>
        </w:rPr>
        <w:t>.</w:t>
      </w:r>
      <w:r w:rsidR="00FF0EB7">
        <w:rPr>
          <w:rFonts w:ascii="Bookman Old Style" w:hAnsi="Bookman Old Style" w:cs="Arial"/>
          <w:i/>
          <w:sz w:val="22"/>
          <w:szCs w:val="22"/>
        </w:rPr>
        <w:t>882</w:t>
      </w:r>
      <w:r w:rsidRPr="006875CB">
        <w:rPr>
          <w:rFonts w:ascii="Bookman Old Style" w:hAnsi="Bookman Old Style" w:cs="Arial"/>
          <w:i/>
          <w:sz w:val="22"/>
          <w:szCs w:val="22"/>
        </w:rPr>
        <w:t xml:space="preserve">.000 (utilizando TRM de 31/Dic/2010), lo cual representa un aumento de aproximadamente </w:t>
      </w:r>
      <w:r w:rsidR="00FF0EB7">
        <w:rPr>
          <w:rFonts w:ascii="Bookman Old Style" w:hAnsi="Bookman Old Style" w:cs="Arial"/>
          <w:i/>
          <w:sz w:val="22"/>
          <w:szCs w:val="22"/>
        </w:rPr>
        <w:t>45</w:t>
      </w:r>
      <w:r w:rsidRPr="006875CB">
        <w:rPr>
          <w:rFonts w:ascii="Bookman Old Style" w:hAnsi="Bookman Old Style" w:cs="Arial"/>
          <w:i/>
          <w:sz w:val="22"/>
          <w:szCs w:val="22"/>
        </w:rPr>
        <w:t>% con respecto al inicialmente calculado en el 2010</w:t>
      </w:r>
      <w:r w:rsidR="00FF0EB7">
        <w:rPr>
          <w:rFonts w:ascii="Bookman Old Style" w:hAnsi="Bookman Old Style" w:cs="Arial"/>
          <w:i/>
          <w:sz w:val="22"/>
          <w:szCs w:val="22"/>
        </w:rPr>
        <w:t>.</w:t>
      </w:r>
    </w:p>
    <w:p w:rsidR="00FF0EB7" w:rsidRDefault="00844C07" w:rsidP="00D73A17">
      <w:pPr>
        <w:jc w:val="both"/>
        <w:rPr>
          <w:rFonts w:ascii="Bookman Old Style" w:hAnsi="Bookman Old Style" w:cs="Arial"/>
          <w:i/>
          <w:sz w:val="22"/>
          <w:szCs w:val="22"/>
        </w:rPr>
      </w:pPr>
      <w:r w:rsidRPr="006875CB">
        <w:rPr>
          <w:rFonts w:ascii="Bookman Old Style" w:hAnsi="Bookman Old Style" w:cs="Arial"/>
          <w:i/>
          <w:sz w:val="22"/>
          <w:szCs w:val="22"/>
        </w:rPr>
        <w:t xml:space="preserve"> </w:t>
      </w:r>
    </w:p>
    <w:p w:rsidR="00761EDD" w:rsidRPr="006875CB" w:rsidRDefault="00844C07" w:rsidP="00D73A17">
      <w:pPr>
        <w:jc w:val="both"/>
        <w:rPr>
          <w:rFonts w:ascii="Bookman Old Style" w:hAnsi="Bookman Old Style" w:cs="Arial"/>
          <w:i/>
          <w:sz w:val="22"/>
          <w:szCs w:val="22"/>
        </w:rPr>
      </w:pPr>
      <w:r w:rsidRPr="006875CB">
        <w:rPr>
          <w:rFonts w:ascii="Bookman Old Style" w:hAnsi="Bookman Old Style" w:cs="Arial"/>
          <w:i/>
          <w:sz w:val="22"/>
          <w:szCs w:val="22"/>
        </w:rPr>
        <w:t>(…)”.</w:t>
      </w:r>
    </w:p>
    <w:p w:rsidR="00CC5CE1" w:rsidRPr="006875CB" w:rsidRDefault="00CC5CE1" w:rsidP="00ED68C4">
      <w:pPr>
        <w:ind w:left="0"/>
        <w:jc w:val="both"/>
        <w:rPr>
          <w:rFonts w:ascii="Bookman Old Style" w:hAnsi="Bookman Old Style" w:cs="Arial"/>
          <w:b/>
        </w:rPr>
      </w:pPr>
    </w:p>
    <w:p w:rsidR="002F4B5A" w:rsidRPr="006875CB" w:rsidRDefault="00522E32" w:rsidP="00ED68C4">
      <w:pPr>
        <w:ind w:left="0"/>
        <w:jc w:val="both"/>
        <w:rPr>
          <w:rFonts w:ascii="Bookman Old Style" w:hAnsi="Bookman Old Style"/>
        </w:rPr>
      </w:pPr>
      <w:r w:rsidRPr="006875CB">
        <w:rPr>
          <w:rFonts w:ascii="Bookman Old Style" w:hAnsi="Bookman Old Style" w:cs="Arial"/>
        </w:rPr>
        <w:t xml:space="preserve">Como primer punto </w:t>
      </w:r>
      <w:r w:rsidR="002F4B5A" w:rsidRPr="006875CB">
        <w:rPr>
          <w:rFonts w:ascii="Bookman Old Style" w:hAnsi="Bookman Old Style" w:cs="Arial"/>
        </w:rPr>
        <w:t>se advierte</w:t>
      </w:r>
      <w:r w:rsidRPr="006875CB">
        <w:rPr>
          <w:rFonts w:ascii="Bookman Old Style" w:hAnsi="Bookman Old Style" w:cs="Arial"/>
        </w:rPr>
        <w:t xml:space="preserve"> que es obligación de la CREG, en virtud del principio de eficacia</w:t>
      </w:r>
      <w:r w:rsidR="00B1579A" w:rsidRPr="006875CB">
        <w:rPr>
          <w:rFonts w:ascii="Bookman Old Style" w:hAnsi="Bookman Old Style" w:cs="Arial"/>
        </w:rPr>
        <w:t xml:space="preserve"> administrativa</w:t>
      </w:r>
      <w:r w:rsidRPr="006875CB">
        <w:rPr>
          <w:rFonts w:ascii="Bookman Old Style" w:hAnsi="Bookman Old Style" w:cs="Arial"/>
        </w:rPr>
        <w:t xml:space="preserve">, </w:t>
      </w:r>
      <w:r w:rsidR="00B1579A" w:rsidRPr="006875CB">
        <w:rPr>
          <w:rFonts w:ascii="Bookman Old Style" w:hAnsi="Bookman Old Style" w:cs="Arial"/>
        </w:rPr>
        <w:t>asegurarse de que sus actuaciones y procedimientos logren su finalidad, de tal forma que haya una efectiva realización de los derechos de los particulares. En el presente caso, la finalidad de la actuación administrativa que dio lugar a la expedición de la Resolución CREG 14</w:t>
      </w:r>
      <w:r w:rsidR="00B67EA2">
        <w:rPr>
          <w:rFonts w:ascii="Bookman Old Style" w:hAnsi="Bookman Old Style" w:cs="Arial"/>
        </w:rPr>
        <w:t>2</w:t>
      </w:r>
      <w:r w:rsidR="00B1579A" w:rsidRPr="006875CB">
        <w:rPr>
          <w:rFonts w:ascii="Bookman Old Style" w:hAnsi="Bookman Old Style" w:cs="Arial"/>
        </w:rPr>
        <w:t xml:space="preserve"> de 2012 fue la de determinar los cargos regulados de transporte de gas natural para</w:t>
      </w:r>
      <w:r w:rsidR="00B1579A" w:rsidRPr="006875CB">
        <w:rPr>
          <w:rFonts w:ascii="Bookman Old Style" w:hAnsi="Bookman Old Style"/>
        </w:rPr>
        <w:t xml:space="preserve"> el sistema regional de transporte </w:t>
      </w:r>
      <w:r w:rsidR="00B67EA2">
        <w:rPr>
          <w:rFonts w:ascii="Bookman Old Style" w:hAnsi="Bookman Old Style"/>
        </w:rPr>
        <w:t>Cundi</w:t>
      </w:r>
      <w:r w:rsidR="00730B6C">
        <w:rPr>
          <w:rFonts w:ascii="Bookman Old Style" w:hAnsi="Bookman Old Style"/>
        </w:rPr>
        <w:t xml:space="preserve"> S</w:t>
      </w:r>
      <w:r w:rsidR="00B67EA2">
        <w:rPr>
          <w:rFonts w:ascii="Bookman Old Style" w:hAnsi="Bookman Old Style"/>
        </w:rPr>
        <w:t>uroccidental</w:t>
      </w:r>
      <w:r w:rsidR="00B1579A" w:rsidRPr="006875CB">
        <w:rPr>
          <w:rFonts w:ascii="Bookman Old Style" w:hAnsi="Bookman Old Style"/>
        </w:rPr>
        <w:t>, según la solicitud que hiciera TGI, de confo</w:t>
      </w:r>
      <w:r w:rsidR="002F4B5A" w:rsidRPr="006875CB">
        <w:rPr>
          <w:rFonts w:ascii="Bookman Old Style" w:hAnsi="Bookman Old Style"/>
        </w:rPr>
        <w:t>r</w:t>
      </w:r>
      <w:r w:rsidR="00B1579A" w:rsidRPr="006875CB">
        <w:rPr>
          <w:rFonts w:ascii="Bookman Old Style" w:hAnsi="Bookman Old Style"/>
        </w:rPr>
        <w:t xml:space="preserve">midad </w:t>
      </w:r>
      <w:r w:rsidR="00F44C2D" w:rsidRPr="006875CB">
        <w:rPr>
          <w:rFonts w:ascii="Bookman Old Style" w:hAnsi="Bookman Old Style"/>
        </w:rPr>
        <w:t xml:space="preserve">con </w:t>
      </w:r>
      <w:r w:rsidR="002F4B5A" w:rsidRPr="006875CB">
        <w:rPr>
          <w:rFonts w:ascii="Bookman Old Style" w:hAnsi="Bookman Old Style"/>
        </w:rPr>
        <w:t>lo dispuesto en</w:t>
      </w:r>
      <w:r w:rsidR="00B1579A" w:rsidRPr="006875CB">
        <w:rPr>
          <w:rFonts w:ascii="Bookman Old Style" w:hAnsi="Bookman Old Style"/>
        </w:rPr>
        <w:t xml:space="preserve"> la Resolución CREG 126 de 2010</w:t>
      </w:r>
      <w:r w:rsidR="002F4B5A" w:rsidRPr="006875CB">
        <w:rPr>
          <w:rFonts w:ascii="Bookman Old Style" w:hAnsi="Bookman Old Style"/>
        </w:rPr>
        <w:t xml:space="preserve"> para redes Tipo II</w:t>
      </w:r>
      <w:r w:rsidR="00B1579A" w:rsidRPr="006875CB">
        <w:rPr>
          <w:rFonts w:ascii="Bookman Old Style" w:hAnsi="Bookman Old Style"/>
        </w:rPr>
        <w:t xml:space="preserve">. </w:t>
      </w:r>
    </w:p>
    <w:p w:rsidR="002F4B5A" w:rsidRPr="006875CB" w:rsidRDefault="002F4B5A" w:rsidP="00ED68C4">
      <w:pPr>
        <w:ind w:left="0"/>
        <w:jc w:val="both"/>
        <w:rPr>
          <w:rFonts w:ascii="Bookman Old Style" w:hAnsi="Bookman Old Style"/>
        </w:rPr>
      </w:pPr>
    </w:p>
    <w:p w:rsidR="002F4B5A" w:rsidRPr="006875CB" w:rsidRDefault="002F4B5A" w:rsidP="00ED68C4">
      <w:pPr>
        <w:ind w:left="0"/>
        <w:jc w:val="both"/>
        <w:rPr>
          <w:rFonts w:ascii="Bookman Old Style" w:hAnsi="Bookman Old Style"/>
        </w:rPr>
      </w:pPr>
      <w:r w:rsidRPr="006875CB">
        <w:rPr>
          <w:rFonts w:ascii="Bookman Old Style" w:hAnsi="Bookman Old Style"/>
        </w:rPr>
        <w:t xml:space="preserve">Para ello, la CREG debió </w:t>
      </w:r>
      <w:r w:rsidR="0067726F" w:rsidRPr="006875CB">
        <w:rPr>
          <w:rFonts w:ascii="Bookman Old Style" w:hAnsi="Bookman Old Style"/>
        </w:rPr>
        <w:t>observar las normas contenidas en</w:t>
      </w:r>
      <w:r w:rsidRPr="006875CB">
        <w:rPr>
          <w:rFonts w:ascii="Bookman Old Style" w:hAnsi="Bookman Old Style"/>
        </w:rPr>
        <w:t xml:space="preserve"> la </w:t>
      </w:r>
      <w:r w:rsidRPr="006875CB">
        <w:rPr>
          <w:rFonts w:ascii="Bookman Old Style" w:hAnsi="Bookman Old Style"/>
          <w:i/>
        </w:rPr>
        <w:t>metodología</w:t>
      </w:r>
      <w:r w:rsidRPr="006875CB">
        <w:rPr>
          <w:rFonts w:ascii="Bookman Old Style" w:hAnsi="Bookman Old Style"/>
        </w:rPr>
        <w:t xml:space="preserve"> establecida en la Resolución CREG 126 mencionada</w:t>
      </w:r>
      <w:r w:rsidR="0067726F" w:rsidRPr="006875CB">
        <w:rPr>
          <w:rFonts w:ascii="Bookman Old Style" w:hAnsi="Bookman Old Style"/>
        </w:rPr>
        <w:t xml:space="preserve"> y, entre otras disposiciones, por expreso mandato de sus artículos 24 y 25,</w:t>
      </w:r>
      <w:r w:rsidRPr="006875CB">
        <w:rPr>
          <w:rFonts w:ascii="Bookman Old Style" w:hAnsi="Bookman Old Style"/>
        </w:rPr>
        <w:t xml:space="preserve"> </w:t>
      </w:r>
      <w:r w:rsidR="0067726F" w:rsidRPr="006875CB">
        <w:rPr>
          <w:rFonts w:ascii="Bookman Old Style" w:hAnsi="Bookman Old Style"/>
        </w:rPr>
        <w:t>dar aplica</w:t>
      </w:r>
      <w:r w:rsidR="00E563FA" w:rsidRPr="006875CB">
        <w:rPr>
          <w:rFonts w:ascii="Bookman Old Style" w:hAnsi="Bookman Old Style"/>
        </w:rPr>
        <w:t>ción al Anexo 1 de la misma que</w:t>
      </w:r>
      <w:r w:rsidR="00F44C2D" w:rsidRPr="006875CB">
        <w:rPr>
          <w:rFonts w:ascii="Bookman Old Style" w:hAnsi="Bookman Old Style"/>
        </w:rPr>
        <w:t>,</w:t>
      </w:r>
      <w:r w:rsidR="0067726F" w:rsidRPr="006875CB">
        <w:rPr>
          <w:rFonts w:ascii="Bookman Old Style" w:hAnsi="Bookman Old Style"/>
        </w:rPr>
        <w:t xml:space="preserve"> como se ha dicho, establece los criterios </w:t>
      </w:r>
      <w:r w:rsidR="0067726F" w:rsidRPr="006875CB">
        <w:rPr>
          <w:rFonts w:ascii="Bookman Old Style" w:hAnsi="Bookman Old Style"/>
          <w:color w:val="000000"/>
        </w:rPr>
        <w:t>aplicables a la valoración de inversiones por comparación</w:t>
      </w:r>
      <w:r w:rsidR="0067726F" w:rsidRPr="006875CB">
        <w:rPr>
          <w:rFonts w:ascii="Bookman Old Style" w:hAnsi="Bookman Old Style"/>
        </w:rPr>
        <w:t>.</w:t>
      </w:r>
    </w:p>
    <w:p w:rsidR="002F4B5A" w:rsidRPr="006875CB" w:rsidRDefault="002F4B5A" w:rsidP="00ED68C4">
      <w:pPr>
        <w:ind w:left="0"/>
        <w:jc w:val="both"/>
        <w:rPr>
          <w:rFonts w:ascii="Bookman Old Style" w:hAnsi="Bookman Old Style"/>
        </w:rPr>
      </w:pPr>
    </w:p>
    <w:p w:rsidR="00490DEF" w:rsidRDefault="0067726F" w:rsidP="00ED68C4">
      <w:pPr>
        <w:ind w:left="0"/>
        <w:jc w:val="both"/>
        <w:rPr>
          <w:rFonts w:ascii="Bookman Old Style" w:hAnsi="Bookman Old Style"/>
          <w:szCs w:val="22"/>
        </w:rPr>
      </w:pPr>
      <w:r w:rsidRPr="006875CB">
        <w:rPr>
          <w:rFonts w:ascii="Bookman Old Style" w:hAnsi="Bookman Old Style"/>
        </w:rPr>
        <w:t>Ahora bien, e</w:t>
      </w:r>
      <w:r w:rsidR="002F4B5A" w:rsidRPr="006875CB">
        <w:rPr>
          <w:rFonts w:ascii="Bookman Old Style" w:hAnsi="Bookman Old Style"/>
        </w:rPr>
        <w:t xml:space="preserve">s preciso resaltar el hecho según el cual, al mismo tiempo que TGI presentó la solitud aludida, y </w:t>
      </w:r>
      <w:r w:rsidR="00EA464D">
        <w:rPr>
          <w:rFonts w:ascii="Bookman Old Style" w:hAnsi="Bookman Old Style"/>
        </w:rPr>
        <w:t>se adelantaba el procedimiento establecido para su trámite</w:t>
      </w:r>
      <w:r w:rsidR="002F4B5A" w:rsidRPr="006875CB">
        <w:rPr>
          <w:rFonts w:ascii="Bookman Old Style" w:hAnsi="Bookman Old Style"/>
        </w:rPr>
        <w:t>, la empresa también presentó recurso de reposición contra la Resolución CREG 110 de 2011, señalando serios desacuerdos con la forma en que la Comisión había aplicado el Anexo 1 de la Resoluc</w:t>
      </w:r>
      <w:r w:rsidRPr="006875CB">
        <w:rPr>
          <w:rFonts w:ascii="Bookman Old Style" w:hAnsi="Bookman Old Style"/>
        </w:rPr>
        <w:t xml:space="preserve">ión CREG 126 de 2010, y planteando </w:t>
      </w:r>
      <w:r w:rsidRPr="00EA464D">
        <w:rPr>
          <w:rFonts w:ascii="Bookman Old Style" w:hAnsi="Bookman Old Style"/>
          <w:szCs w:val="22"/>
        </w:rPr>
        <w:t xml:space="preserve">cuestionamientos de fondo que la Comisión debía resolver </w:t>
      </w:r>
      <w:r w:rsidRPr="00EA464D">
        <w:rPr>
          <w:rFonts w:ascii="Bookman Old Style" w:hAnsi="Bookman Old Style"/>
          <w:szCs w:val="22"/>
        </w:rPr>
        <w:lastRenderedPageBreak/>
        <w:t>dentro del trámite de dicho recurso</w:t>
      </w:r>
      <w:r w:rsidR="00EA464D">
        <w:rPr>
          <w:rFonts w:ascii="Bookman Old Style" w:hAnsi="Bookman Old Style"/>
          <w:szCs w:val="22"/>
        </w:rPr>
        <w:t>, solicitando además la práctica de pruebas periciales al respecto</w:t>
      </w:r>
      <w:r w:rsidR="006401EE" w:rsidRPr="00EA464D">
        <w:rPr>
          <w:rFonts w:ascii="Bookman Old Style" w:hAnsi="Bookman Old Style"/>
          <w:szCs w:val="22"/>
        </w:rPr>
        <w:t>.</w:t>
      </w:r>
      <w:r w:rsidR="0008081B" w:rsidRPr="00EA464D">
        <w:rPr>
          <w:rFonts w:ascii="Bookman Old Style" w:hAnsi="Bookman Old Style"/>
          <w:szCs w:val="22"/>
        </w:rPr>
        <w:t xml:space="preserve"> </w:t>
      </w:r>
    </w:p>
    <w:p w:rsidR="00B67EA2" w:rsidRDefault="00B67EA2" w:rsidP="00ED68C4">
      <w:pPr>
        <w:ind w:left="0"/>
        <w:jc w:val="both"/>
        <w:rPr>
          <w:rFonts w:ascii="Bookman Old Style" w:hAnsi="Bookman Old Style"/>
        </w:rPr>
      </w:pPr>
    </w:p>
    <w:p w:rsidR="00EA464D" w:rsidRDefault="00490DEF" w:rsidP="00ED68C4">
      <w:pPr>
        <w:ind w:left="0"/>
        <w:jc w:val="both"/>
        <w:rPr>
          <w:rFonts w:ascii="Bookman Old Style" w:hAnsi="Bookman Old Style"/>
          <w:szCs w:val="22"/>
        </w:rPr>
      </w:pPr>
      <w:r>
        <w:rPr>
          <w:rFonts w:ascii="Bookman Old Style" w:hAnsi="Bookman Old Style"/>
        </w:rPr>
        <w:t>La CREG fue cuidadosa en analizar los reparos de TGI a la aplicación de dicho Anexo; decretó, entre otras, las pruebas periciales solicitadas por la empresa</w:t>
      </w:r>
      <w:r w:rsidRPr="006875CB">
        <w:rPr>
          <w:rFonts w:ascii="Bookman Old Style" w:hAnsi="Bookman Old Style"/>
        </w:rPr>
        <w:t>, a partir de las cuales se ajustó el modelo utilizado de comparación incluyendo criterios adicionales, ampliando la muestra de ductos y determinando multiplicadores para su comparación</w:t>
      </w:r>
      <w:r>
        <w:rPr>
          <w:rFonts w:ascii="Bookman Old Style" w:hAnsi="Bookman Old Style"/>
        </w:rPr>
        <w:t>.</w:t>
      </w:r>
    </w:p>
    <w:p w:rsidR="00EA464D" w:rsidRDefault="00EA464D" w:rsidP="00ED68C4">
      <w:pPr>
        <w:ind w:left="0"/>
        <w:jc w:val="both"/>
        <w:rPr>
          <w:rFonts w:ascii="Bookman Old Style" w:hAnsi="Bookman Old Style"/>
          <w:szCs w:val="22"/>
        </w:rPr>
      </w:pPr>
    </w:p>
    <w:p w:rsidR="006401EE" w:rsidRPr="00EA464D" w:rsidRDefault="006401EE" w:rsidP="00ED68C4">
      <w:pPr>
        <w:ind w:left="0"/>
        <w:jc w:val="both"/>
        <w:rPr>
          <w:rFonts w:ascii="Bookman Old Style" w:hAnsi="Bookman Old Style"/>
          <w:szCs w:val="22"/>
        </w:rPr>
      </w:pPr>
      <w:r w:rsidRPr="00EA464D">
        <w:rPr>
          <w:rFonts w:ascii="Bookman Old Style" w:hAnsi="Bookman Old Style"/>
          <w:szCs w:val="22"/>
        </w:rPr>
        <w:t>Para</w:t>
      </w:r>
      <w:r w:rsidR="0008081B" w:rsidRPr="00EA464D">
        <w:rPr>
          <w:rFonts w:ascii="Bookman Old Style" w:hAnsi="Bookman Old Style"/>
          <w:szCs w:val="22"/>
        </w:rPr>
        <w:t xml:space="preserve"> ilustrar de manera clara la coherencia en la actuación de la Comisión</w:t>
      </w:r>
      <w:r w:rsidRPr="00EA464D">
        <w:rPr>
          <w:rFonts w:ascii="Bookman Old Style" w:hAnsi="Bookman Old Style"/>
          <w:szCs w:val="22"/>
        </w:rPr>
        <w:t>, se relacionan las fechas y las comunicaciones pertinentes:</w:t>
      </w:r>
    </w:p>
    <w:p w:rsidR="006401EE" w:rsidRPr="00CA6E86" w:rsidRDefault="006401EE" w:rsidP="00ED68C4">
      <w:pPr>
        <w:ind w:left="0"/>
        <w:jc w:val="both"/>
        <w:rPr>
          <w:rFonts w:ascii="Bookman Old Style" w:hAnsi="Bookman Old Style"/>
          <w:szCs w:val="22"/>
        </w:rPr>
      </w:pPr>
    </w:p>
    <w:p w:rsidR="006401EE" w:rsidRPr="002446FD" w:rsidRDefault="006401EE" w:rsidP="002446FD">
      <w:pPr>
        <w:pStyle w:val="Prrafodelista"/>
        <w:numPr>
          <w:ilvl w:val="0"/>
          <w:numId w:val="32"/>
        </w:numPr>
        <w:jc w:val="both"/>
        <w:rPr>
          <w:rFonts w:ascii="Bookman Old Style" w:hAnsi="Bookman Old Style"/>
          <w:szCs w:val="22"/>
        </w:rPr>
      </w:pPr>
      <w:r w:rsidRPr="002446FD">
        <w:rPr>
          <w:rFonts w:ascii="Bookman Old Style" w:hAnsi="Bookman Old Style"/>
          <w:sz w:val="24"/>
          <w:szCs w:val="22"/>
          <w:lang w:val="es-ES"/>
        </w:rPr>
        <w:t>Mediante comunicación de fecha 27 de julio de 2011 radicada en la Comisión bajo el número E-2011-00711</w:t>
      </w:r>
      <w:r w:rsidR="00B67EA2">
        <w:rPr>
          <w:rFonts w:ascii="Bookman Old Style" w:hAnsi="Bookman Old Style"/>
          <w:sz w:val="24"/>
          <w:szCs w:val="22"/>
          <w:lang w:val="es-ES"/>
        </w:rPr>
        <w:t>3</w:t>
      </w:r>
      <w:r w:rsidRPr="002446FD">
        <w:rPr>
          <w:rFonts w:ascii="Bookman Old Style" w:hAnsi="Bookman Old Style"/>
          <w:sz w:val="24"/>
          <w:szCs w:val="22"/>
          <w:lang w:val="es-ES"/>
        </w:rPr>
        <w:t xml:space="preserve">, TGI solicitó la aprobación de cargos regulados de transporte de gas, de acuerdo con el procedimiento establecido en la </w:t>
      </w:r>
      <w:r w:rsidRPr="002446FD">
        <w:rPr>
          <w:rFonts w:ascii="Bookman Old Style" w:hAnsi="Bookman Old Style"/>
          <w:i/>
          <w:sz w:val="24"/>
          <w:szCs w:val="22"/>
          <w:lang w:val="es-ES"/>
        </w:rPr>
        <w:t>metodología.</w:t>
      </w:r>
      <w:r w:rsidR="0008081B" w:rsidRPr="002446FD">
        <w:rPr>
          <w:rFonts w:ascii="Bookman Old Style" w:hAnsi="Bookman Old Style"/>
          <w:i/>
          <w:sz w:val="24"/>
          <w:szCs w:val="22"/>
          <w:lang w:val="es-ES"/>
        </w:rPr>
        <w:t xml:space="preserve"> </w:t>
      </w:r>
      <w:r w:rsidR="0008081B" w:rsidRPr="002446FD">
        <w:rPr>
          <w:rFonts w:ascii="Bookman Old Style" w:hAnsi="Bookman Old Style"/>
          <w:sz w:val="24"/>
          <w:szCs w:val="22"/>
          <w:lang w:val="es-ES"/>
        </w:rPr>
        <w:t xml:space="preserve">La Comisión procedió a dar aplicación al artículo 24 de la Resolución CREG 126 de 2010, </w:t>
      </w:r>
      <w:r w:rsidR="00EA464D" w:rsidRPr="002446FD">
        <w:rPr>
          <w:rFonts w:ascii="Bookman Old Style" w:hAnsi="Bookman Old Style"/>
          <w:sz w:val="24"/>
          <w:szCs w:val="22"/>
          <w:lang w:val="es-ES"/>
        </w:rPr>
        <w:t>publicando la información que indica el literal b) de la mencionada norma por un término de tres (3) meses.</w:t>
      </w:r>
    </w:p>
    <w:p w:rsidR="006401EE" w:rsidRPr="002446FD" w:rsidRDefault="0008081B" w:rsidP="002446FD">
      <w:pPr>
        <w:pStyle w:val="Prrafodelista"/>
        <w:numPr>
          <w:ilvl w:val="0"/>
          <w:numId w:val="32"/>
        </w:numPr>
        <w:jc w:val="both"/>
        <w:rPr>
          <w:rFonts w:ascii="Bookman Old Style" w:hAnsi="Bookman Old Style"/>
          <w:sz w:val="24"/>
          <w:szCs w:val="22"/>
        </w:rPr>
      </w:pPr>
      <w:r w:rsidRPr="002446FD">
        <w:rPr>
          <w:rFonts w:ascii="Bookman Old Style" w:hAnsi="Bookman Old Style"/>
          <w:sz w:val="24"/>
          <w:szCs w:val="22"/>
        </w:rPr>
        <w:t xml:space="preserve">La Resolución CREG 110 de 2011 </w:t>
      </w:r>
      <w:r w:rsidRPr="002446FD">
        <w:rPr>
          <w:rFonts w:ascii="Bookman Old Style" w:hAnsi="Bookman Old Style"/>
          <w:i/>
          <w:sz w:val="24"/>
          <w:szCs w:val="22"/>
        </w:rPr>
        <w:t>“</w:t>
      </w:r>
      <w:r w:rsidRPr="002446FD">
        <w:rPr>
          <w:rFonts w:ascii="Bookman Old Style" w:hAnsi="Bookman Old Style" w:cs="Arial"/>
          <w:i/>
          <w:sz w:val="24"/>
          <w:szCs w:val="22"/>
        </w:rPr>
        <w:t xml:space="preserve">por la cual se establecieron los cargos regulados para el sistema de transporte de la Transportadora de Gas Internacional S.A. E.S.P., TGI S.A. E.S.P” </w:t>
      </w:r>
      <w:r w:rsidRPr="002446FD">
        <w:rPr>
          <w:rFonts w:ascii="Bookman Old Style" w:hAnsi="Bookman Old Style" w:cs="Arial"/>
          <w:sz w:val="24"/>
          <w:szCs w:val="22"/>
        </w:rPr>
        <w:t xml:space="preserve">fue expedida un mes después, el día 25 de agosto de 2011. </w:t>
      </w:r>
    </w:p>
    <w:p w:rsidR="0008081B" w:rsidRPr="00CA6E86" w:rsidRDefault="0008081B" w:rsidP="002446FD">
      <w:pPr>
        <w:pStyle w:val="Prrafodelista"/>
        <w:numPr>
          <w:ilvl w:val="0"/>
          <w:numId w:val="32"/>
        </w:numPr>
        <w:jc w:val="both"/>
        <w:rPr>
          <w:rFonts w:ascii="Bookman Old Style" w:hAnsi="Bookman Old Style"/>
          <w:szCs w:val="22"/>
        </w:rPr>
      </w:pPr>
      <w:r w:rsidRPr="002446FD">
        <w:rPr>
          <w:rFonts w:ascii="Bookman Old Style" w:hAnsi="Bookman Old Style"/>
          <w:sz w:val="24"/>
          <w:szCs w:val="22"/>
        </w:rPr>
        <w:t xml:space="preserve">Una vez notificada personalmente al representante legal de TGI, dicha empresa interpueso el recurso de reposición mencionado contra la Resolución CREG 110 de 2011, mediante </w:t>
      </w:r>
      <w:r w:rsidRPr="002446FD">
        <w:rPr>
          <w:rFonts w:ascii="Bookman Old Style" w:hAnsi="Bookman Old Style"/>
          <w:sz w:val="24"/>
          <w:szCs w:val="22"/>
          <w:lang w:val="es-ES"/>
        </w:rPr>
        <w:t>comunicaciones número E-2011-008895 y E-2011-008898 recibidas el 20 de septiembre de 2011 y radicadas el 21 del mismo mes y año.</w:t>
      </w:r>
    </w:p>
    <w:p w:rsidR="0008081B" w:rsidRDefault="00EA464D" w:rsidP="002446FD">
      <w:pPr>
        <w:pStyle w:val="Prrafodelista"/>
        <w:numPr>
          <w:ilvl w:val="0"/>
          <w:numId w:val="32"/>
        </w:numPr>
        <w:jc w:val="both"/>
        <w:rPr>
          <w:rFonts w:ascii="Bookman Old Style" w:hAnsi="Bookman Old Style"/>
          <w:szCs w:val="22"/>
        </w:rPr>
      </w:pPr>
      <w:r w:rsidRPr="002446FD">
        <w:rPr>
          <w:rFonts w:ascii="Bookman Old Style" w:hAnsi="Bookman Old Style"/>
          <w:sz w:val="24"/>
          <w:szCs w:val="22"/>
        </w:rPr>
        <w:t>De conformidad con el literal e) del artículo 24 de la Resolución CREG 126 de 2010, la CREG procedió a abrir la urna en acto público</w:t>
      </w:r>
      <w:r>
        <w:rPr>
          <w:rFonts w:ascii="Bookman Old Style" w:hAnsi="Bookman Old Style"/>
          <w:sz w:val="24"/>
          <w:szCs w:val="22"/>
        </w:rPr>
        <w:t xml:space="preserve"> el día </w:t>
      </w:r>
      <w:r w:rsidR="0026544D" w:rsidRPr="006338D6">
        <w:rPr>
          <w:rFonts w:ascii="Bookman Old Style" w:hAnsi="Bookman Old Style"/>
          <w:sz w:val="24"/>
          <w:szCs w:val="22"/>
        </w:rPr>
        <w:t>12 de diciembre de 2011, a las 2:00 p.m.</w:t>
      </w:r>
      <w:r w:rsidRPr="006338D6">
        <w:rPr>
          <w:rFonts w:ascii="Bookman Old Style" w:hAnsi="Bookman Old Style"/>
          <w:sz w:val="24"/>
          <w:szCs w:val="22"/>
        </w:rPr>
        <w:t>, constatando que la única solic</w:t>
      </w:r>
      <w:r w:rsidRPr="002446FD">
        <w:rPr>
          <w:rFonts w:ascii="Bookman Old Style" w:hAnsi="Bookman Old Style"/>
          <w:sz w:val="24"/>
          <w:szCs w:val="22"/>
        </w:rPr>
        <w:t>itud para el gasoducto Tipo II que aquí se analiza, era la de TGI.</w:t>
      </w:r>
    </w:p>
    <w:p w:rsidR="00EA464D" w:rsidRPr="002446FD" w:rsidRDefault="00EA464D" w:rsidP="002446FD">
      <w:pPr>
        <w:pStyle w:val="Prrafodelista"/>
        <w:numPr>
          <w:ilvl w:val="0"/>
          <w:numId w:val="32"/>
        </w:numPr>
        <w:jc w:val="both"/>
        <w:rPr>
          <w:rFonts w:ascii="Bookman Old Style" w:hAnsi="Bookman Old Style"/>
        </w:rPr>
      </w:pPr>
      <w:r w:rsidRPr="002446FD">
        <w:rPr>
          <w:rFonts w:ascii="Bookman Old Style" w:hAnsi="Bookman Old Style"/>
          <w:sz w:val="24"/>
          <w:szCs w:val="24"/>
        </w:rPr>
        <w:t xml:space="preserve">Así las cosas, se procedió a dar aplicación al literal e) del mismo artículo 24, el cual dispone que </w:t>
      </w:r>
      <w:r w:rsidRPr="002446FD">
        <w:rPr>
          <w:rFonts w:ascii="Bookman Old Style" w:hAnsi="Bookman Old Style"/>
          <w:i/>
          <w:sz w:val="24"/>
          <w:szCs w:val="24"/>
        </w:rPr>
        <w:t>“</w:t>
      </w:r>
      <w:r w:rsidRPr="002446FD">
        <w:rPr>
          <w:rFonts w:ascii="Bookman Old Style" w:hAnsi="Bookman Old Style" w:cs="Arial"/>
          <w:i/>
          <w:color w:val="000000"/>
          <w:sz w:val="24"/>
          <w:szCs w:val="24"/>
        </w:rPr>
        <w:t xml:space="preserve">Si dentro de este procedimiento sólo se presenta una solicitud tarifaria o sólo se reciben solicitudes de transportadores que tienen interés económico entre sí, la CREG evaluará la solicitud del agente que presentó los tres sobres de conformidad con el literal a) de este artículo. Este procedimiento se llevará a cabo de acuerdo con lo establecido en el </w:t>
      </w:r>
      <w:r w:rsidRPr="002446FD">
        <w:rPr>
          <w:rFonts w:ascii="Bookman Old Style" w:hAnsi="Bookman Old Style"/>
          <w:i/>
          <w:sz w:val="24"/>
          <w:szCs w:val="24"/>
        </w:rPr>
        <w:t>Anexo 1</w:t>
      </w:r>
      <w:r w:rsidRPr="002446FD">
        <w:rPr>
          <w:rFonts w:ascii="Bookman Old Style" w:hAnsi="Bookman Old Style" w:cs="Arial"/>
          <w:i/>
          <w:color w:val="000000"/>
          <w:sz w:val="24"/>
          <w:szCs w:val="24"/>
        </w:rPr>
        <w:t xml:space="preserve"> de la presente Resolución</w:t>
      </w:r>
      <w:r w:rsidRPr="002446FD">
        <w:rPr>
          <w:rFonts w:ascii="Bookman Old Style" w:hAnsi="Bookman Old Style"/>
          <w:i/>
          <w:sz w:val="24"/>
          <w:szCs w:val="24"/>
        </w:rPr>
        <w:t>”.</w:t>
      </w:r>
    </w:p>
    <w:p w:rsidR="006401EE" w:rsidRPr="00EA464D" w:rsidRDefault="006401EE" w:rsidP="00ED68C4">
      <w:pPr>
        <w:ind w:left="0"/>
        <w:jc w:val="both"/>
        <w:rPr>
          <w:rFonts w:ascii="Bookman Old Style" w:hAnsi="Bookman Old Style"/>
          <w:szCs w:val="22"/>
        </w:rPr>
      </w:pPr>
    </w:p>
    <w:p w:rsidR="00490DEF" w:rsidRPr="006875CB" w:rsidRDefault="00490DEF" w:rsidP="00490DEF">
      <w:pPr>
        <w:ind w:left="0"/>
        <w:jc w:val="both"/>
        <w:rPr>
          <w:rFonts w:ascii="Bookman Old Style" w:hAnsi="Bookman Old Style"/>
        </w:rPr>
      </w:pPr>
      <w:r w:rsidRPr="006875CB">
        <w:rPr>
          <w:rFonts w:ascii="Bookman Old Style" w:hAnsi="Bookman Old Style"/>
        </w:rPr>
        <w:t xml:space="preserve">Así las cosas, mal habría actuado la CREG en determinar los cargos regulados de transporte de gas natural para el sistema regional </w:t>
      </w:r>
      <w:r w:rsidR="00B67EA2">
        <w:rPr>
          <w:rFonts w:ascii="Bookman Old Style" w:hAnsi="Bookman Old Style"/>
        </w:rPr>
        <w:t>Cundi</w:t>
      </w:r>
      <w:r w:rsidR="00730B6C">
        <w:rPr>
          <w:rFonts w:ascii="Bookman Old Style" w:hAnsi="Bookman Old Style"/>
        </w:rPr>
        <w:t xml:space="preserve"> S</w:t>
      </w:r>
      <w:r w:rsidR="00B67EA2">
        <w:rPr>
          <w:rFonts w:ascii="Bookman Old Style" w:hAnsi="Bookman Old Style"/>
        </w:rPr>
        <w:t xml:space="preserve">uroccidental </w:t>
      </w:r>
      <w:r w:rsidRPr="006875CB">
        <w:rPr>
          <w:rFonts w:ascii="Bookman Old Style" w:hAnsi="Bookman Old Style"/>
        </w:rPr>
        <w:t>utilizando las mismas variables y bajo los mismo</w:t>
      </w:r>
      <w:r>
        <w:rPr>
          <w:rFonts w:ascii="Bookman Old Style" w:hAnsi="Bookman Old Style"/>
        </w:rPr>
        <w:t>s</w:t>
      </w:r>
      <w:r w:rsidRPr="006875CB">
        <w:rPr>
          <w:rFonts w:ascii="Bookman Old Style" w:hAnsi="Bookman Old Style"/>
        </w:rPr>
        <w:t xml:space="preserve"> criterios de comparación que TGI estaba cuestionando. Dicho de otra forma, la determinación apresurada de los cargos de transporte para el sistema regional </w:t>
      </w:r>
      <w:r w:rsidR="00B67EA2">
        <w:rPr>
          <w:rFonts w:ascii="Bookman Old Style" w:hAnsi="Bookman Old Style"/>
        </w:rPr>
        <w:t>Cundi</w:t>
      </w:r>
      <w:r w:rsidR="00730B6C">
        <w:rPr>
          <w:rFonts w:ascii="Bookman Old Style" w:hAnsi="Bookman Old Style"/>
        </w:rPr>
        <w:t xml:space="preserve"> S</w:t>
      </w:r>
      <w:r w:rsidR="00B67EA2">
        <w:rPr>
          <w:rFonts w:ascii="Bookman Old Style" w:hAnsi="Bookman Old Style"/>
        </w:rPr>
        <w:t>uroccidental</w:t>
      </w:r>
      <w:r w:rsidR="00D70C78">
        <w:rPr>
          <w:rFonts w:ascii="Bookman Old Style" w:hAnsi="Bookman Old Style"/>
        </w:rPr>
        <w:t>, aplicando el Anexo 1 de la R</w:t>
      </w:r>
      <w:r w:rsidRPr="006875CB">
        <w:rPr>
          <w:rFonts w:ascii="Bookman Old Style" w:hAnsi="Bookman Old Style"/>
        </w:rPr>
        <w:t xml:space="preserve">esolución CREG 126 de 2010 con las mismas variables y criterios con los que se expidió la Resolución CREG 110 de 2011, habría contrariado de manera flagrante el principio de eficacia administrativa, </w:t>
      </w:r>
      <w:r w:rsidRPr="006875CB">
        <w:rPr>
          <w:rFonts w:ascii="Bookman Old Style" w:hAnsi="Bookman Old Style"/>
        </w:rPr>
        <w:lastRenderedPageBreak/>
        <w:t>toda vez que saltaba a la vista el desacuerdo de TGI con el mismo. De haber actuado así, la CREG estaría lejos de lograr la finalidad del procedimiento, y de realizar el derecho de TGI a tener cargos que remuneren de manera eficiente sus inversiones.</w:t>
      </w:r>
    </w:p>
    <w:p w:rsidR="002F4B5A" w:rsidRPr="006875CB" w:rsidRDefault="002F4B5A" w:rsidP="00ED68C4">
      <w:pPr>
        <w:ind w:left="0"/>
        <w:jc w:val="both"/>
        <w:rPr>
          <w:rFonts w:ascii="Bookman Old Style" w:hAnsi="Bookman Old Style"/>
        </w:rPr>
      </w:pPr>
    </w:p>
    <w:p w:rsidR="008F3DE4" w:rsidRPr="006875CB" w:rsidRDefault="00490DEF" w:rsidP="008F3DE4">
      <w:pPr>
        <w:ind w:left="0"/>
        <w:jc w:val="both"/>
        <w:rPr>
          <w:rFonts w:ascii="Bookman Old Style" w:hAnsi="Bookman Old Style"/>
        </w:rPr>
      </w:pPr>
      <w:r>
        <w:rPr>
          <w:rFonts w:ascii="Bookman Old Style" w:hAnsi="Bookman Old Style"/>
        </w:rPr>
        <w:t>En efecto, l</w:t>
      </w:r>
      <w:r w:rsidR="008F3DE4" w:rsidRPr="006875CB">
        <w:rPr>
          <w:rFonts w:ascii="Bookman Old Style" w:hAnsi="Bookman Old Style"/>
        </w:rPr>
        <w:t>a Corte Constitucional ha establecido el alcance del principio de eficacia en la función administrativa, consagrado en los artículos 2 y 209 de la Constitución Política, así como en el artículo 3 del Código Contencioso Administrativo. Al respecto ha dicho lo siguiente:</w:t>
      </w:r>
    </w:p>
    <w:p w:rsidR="008F3DE4" w:rsidRPr="006875CB" w:rsidRDefault="008F3DE4" w:rsidP="008F3DE4">
      <w:pPr>
        <w:ind w:left="0"/>
        <w:jc w:val="both"/>
        <w:rPr>
          <w:rFonts w:ascii="Bookman Old Style" w:hAnsi="Bookman Old Style"/>
        </w:rPr>
      </w:pPr>
    </w:p>
    <w:p w:rsidR="008F3DE4" w:rsidRPr="006875CB" w:rsidRDefault="008F3DE4" w:rsidP="005966A9">
      <w:pPr>
        <w:jc w:val="both"/>
        <w:rPr>
          <w:rFonts w:ascii="Bookman Old Style" w:hAnsi="Bookman Old Style"/>
          <w:i/>
          <w:sz w:val="22"/>
          <w:szCs w:val="22"/>
          <w:lang w:val="es-ES_tradnl"/>
        </w:rPr>
      </w:pPr>
      <w:r w:rsidRPr="006875CB">
        <w:rPr>
          <w:rFonts w:ascii="Bookman Old Style" w:hAnsi="Bookman Old Style"/>
          <w:i/>
          <w:sz w:val="22"/>
          <w:szCs w:val="22"/>
          <w:lang w:val="es-CO"/>
        </w:rPr>
        <w:t>“Este sistema de integración en materia de procedimientos administrativos es aún más importante si se trata de dar aplicación a reglas de procedimiento directamente relacionadas con los principios que rigen la función administrativa, cuya vinculación a todo tipo de actuaciones administrativas se deriva directamente del Artículo 209 de la Constitución Política. En la medida que mediante el procedimiento administrativo se logra el cumplimiento de las funciones administrativas del Estado, su desarrollo está presidido por una doble categoría de principios rectores de rango constitucional: </w:t>
      </w:r>
      <w:r w:rsidRPr="006875CB">
        <w:rPr>
          <w:rFonts w:ascii="Bookman Old Style" w:hAnsi="Bookman Old Style"/>
          <w:i/>
          <w:iCs/>
          <w:sz w:val="22"/>
          <w:szCs w:val="22"/>
          <w:lang w:val="es-CO"/>
        </w:rPr>
        <w:t>“de un lado el principio del debido proceso con todas las garantías que de él se derivan y de otro los que se refieren al recto ejercicio de la función pública”</w:t>
      </w:r>
      <w:r w:rsidRPr="006875CB">
        <w:rPr>
          <w:rStyle w:val="Refdenotaalpie"/>
          <w:rFonts w:ascii="Bookman Old Style" w:hAnsi="Bookman Old Style"/>
          <w:i/>
          <w:iCs/>
          <w:sz w:val="22"/>
          <w:szCs w:val="22"/>
          <w:lang w:val="es-CO"/>
        </w:rPr>
        <w:footnoteReference w:id="6"/>
      </w:r>
      <w:r w:rsidR="0026544D">
        <w:rPr>
          <w:rFonts w:ascii="Bookman Old Style" w:hAnsi="Bookman Old Style"/>
          <w:i/>
          <w:iCs/>
          <w:sz w:val="22"/>
          <w:szCs w:val="22"/>
          <w:lang w:val="es-CO"/>
        </w:rPr>
        <w:t>.</w:t>
      </w:r>
    </w:p>
    <w:p w:rsidR="008F3DE4" w:rsidRPr="006875CB" w:rsidRDefault="008F3DE4" w:rsidP="005966A9">
      <w:pPr>
        <w:jc w:val="both"/>
        <w:rPr>
          <w:rFonts w:ascii="Bookman Old Style" w:hAnsi="Bookman Old Style"/>
          <w:i/>
          <w:sz w:val="22"/>
          <w:szCs w:val="22"/>
          <w:lang w:val="es-ES_tradnl"/>
        </w:rPr>
      </w:pPr>
      <w:r w:rsidRPr="006875CB">
        <w:rPr>
          <w:rFonts w:ascii="Bookman Old Style" w:hAnsi="Bookman Old Style"/>
          <w:i/>
          <w:sz w:val="22"/>
          <w:szCs w:val="22"/>
          <w:lang w:val="es-CO"/>
        </w:rPr>
        <w:t> </w:t>
      </w:r>
    </w:p>
    <w:p w:rsidR="008F3DE4" w:rsidRPr="006875CB" w:rsidRDefault="008F3DE4" w:rsidP="005966A9">
      <w:pPr>
        <w:jc w:val="both"/>
        <w:rPr>
          <w:rFonts w:ascii="Bookman Old Style" w:hAnsi="Bookman Old Style"/>
          <w:i/>
          <w:sz w:val="22"/>
          <w:szCs w:val="22"/>
          <w:lang w:val="es-ES_tradnl"/>
        </w:rPr>
      </w:pPr>
      <w:r w:rsidRPr="006875CB">
        <w:rPr>
          <w:rFonts w:ascii="Bookman Old Style" w:hAnsi="Bookman Old Style"/>
          <w:i/>
          <w:sz w:val="22"/>
          <w:szCs w:val="22"/>
          <w:lang w:val="es-CO"/>
        </w:rPr>
        <w:t>Dentro de estos principios, aparece un mandato expreso de </w:t>
      </w:r>
      <w:r w:rsidRPr="006875CB">
        <w:rPr>
          <w:rFonts w:ascii="Bookman Old Style" w:hAnsi="Bookman Old Style"/>
          <w:b/>
          <w:bCs/>
          <w:i/>
          <w:sz w:val="22"/>
          <w:szCs w:val="22"/>
          <w:lang w:val="es-CO"/>
        </w:rPr>
        <w:t>eficacia</w:t>
      </w:r>
      <w:r w:rsidRPr="006875CB">
        <w:rPr>
          <w:rFonts w:ascii="Bookman Old Style" w:hAnsi="Bookman Old Style"/>
          <w:i/>
          <w:sz w:val="22"/>
          <w:szCs w:val="22"/>
          <w:lang w:val="es-CO"/>
        </w:rPr>
        <w:t xml:space="preserve">, en virtud del cual </w:t>
      </w:r>
      <w:r w:rsidR="0026544D">
        <w:rPr>
          <w:rFonts w:ascii="Bookman Old Style" w:hAnsi="Bookman Old Style"/>
          <w:i/>
          <w:sz w:val="22"/>
          <w:szCs w:val="22"/>
          <w:lang w:val="es-CO"/>
        </w:rPr>
        <w:t>‘</w:t>
      </w:r>
      <w:r w:rsidRPr="006875CB">
        <w:rPr>
          <w:rFonts w:ascii="Bookman Old Style" w:hAnsi="Bookman Old Style"/>
          <w:i/>
          <w:iCs/>
          <w:sz w:val="22"/>
          <w:szCs w:val="22"/>
          <w:lang w:val="es-CO"/>
        </w:rPr>
        <w:t>se tendrá en cuenta que los procedimientos deben lograr su finalidad</w:t>
      </w:r>
      <w:r w:rsidR="0026544D">
        <w:rPr>
          <w:rFonts w:ascii="Bookman Old Style" w:hAnsi="Bookman Old Style"/>
          <w:i/>
          <w:iCs/>
          <w:sz w:val="22"/>
          <w:szCs w:val="22"/>
          <w:lang w:val="es-CO"/>
        </w:rPr>
        <w:t>’</w:t>
      </w:r>
      <w:r w:rsidRPr="006875CB">
        <w:rPr>
          <w:rFonts w:ascii="Bookman Old Style" w:hAnsi="Bookman Old Style"/>
          <w:i/>
          <w:sz w:val="22"/>
          <w:szCs w:val="22"/>
          <w:lang w:val="es-CO"/>
        </w:rPr>
        <w:t> y que, por tanto, las autoridades deben remover </w:t>
      </w:r>
      <w:r w:rsidR="0026544D">
        <w:rPr>
          <w:rFonts w:ascii="Bookman Old Style" w:hAnsi="Bookman Old Style"/>
          <w:i/>
          <w:sz w:val="22"/>
          <w:szCs w:val="22"/>
          <w:lang w:val="es-CO"/>
        </w:rPr>
        <w:t>‘</w:t>
      </w:r>
      <w:r w:rsidRPr="006875CB">
        <w:rPr>
          <w:rFonts w:ascii="Bookman Old Style" w:hAnsi="Bookman Old Style"/>
          <w:i/>
          <w:iCs/>
          <w:sz w:val="22"/>
          <w:szCs w:val="22"/>
          <w:lang w:val="es-CO"/>
        </w:rPr>
        <w:t>de oficio los obstáculos puramente formales, evitando decisiones inhibitorias</w:t>
      </w:r>
      <w:r w:rsidR="0026544D">
        <w:rPr>
          <w:rFonts w:ascii="Bookman Old Style" w:hAnsi="Bookman Old Style"/>
          <w:i/>
          <w:iCs/>
          <w:sz w:val="22"/>
          <w:szCs w:val="22"/>
          <w:lang w:val="es-CO"/>
        </w:rPr>
        <w:t>’.</w:t>
      </w:r>
      <w:r w:rsidRPr="006875CB">
        <w:rPr>
          <w:rFonts w:ascii="Bookman Old Style" w:hAnsi="Bookman Old Style"/>
          <w:i/>
          <w:sz w:val="22"/>
          <w:szCs w:val="22"/>
          <w:lang w:val="es-CO"/>
        </w:rPr>
        <w:t xml:space="preserve"> (art. 3 C.C.A.) Así, se ha entendido por esta Corporación que </w:t>
      </w:r>
      <w:r w:rsidR="0026544D">
        <w:rPr>
          <w:rFonts w:ascii="Bookman Old Style" w:hAnsi="Bookman Old Style"/>
          <w:i/>
          <w:sz w:val="22"/>
          <w:szCs w:val="22"/>
          <w:lang w:val="es-CO"/>
        </w:rPr>
        <w:t>‘</w:t>
      </w:r>
      <w:r w:rsidRPr="006875CB">
        <w:rPr>
          <w:rFonts w:ascii="Bookman Old Style" w:hAnsi="Bookman Old Style"/>
          <w:i/>
          <w:iCs/>
          <w:sz w:val="22"/>
          <w:szCs w:val="22"/>
          <w:lang w:val="es-CO"/>
        </w:rPr>
        <w:t>los mandatos contenidos en los artículos 2º y 209 de la Constitución imponen a las autoridades la obligación de atender las necesidades, hacer efectivos los derechos de los administrados y asegurar el cumplimiento de las obligaciones sociales</w:t>
      </w:r>
      <w:r w:rsidR="0026544D">
        <w:rPr>
          <w:rFonts w:ascii="Bookman Old Style" w:hAnsi="Bookman Old Style"/>
          <w:i/>
          <w:iCs/>
          <w:sz w:val="22"/>
          <w:szCs w:val="22"/>
          <w:lang w:val="es-CO"/>
        </w:rPr>
        <w:t>’</w:t>
      </w:r>
      <w:r w:rsidRPr="006875CB">
        <w:rPr>
          <w:rFonts w:ascii="Bookman Old Style" w:hAnsi="Bookman Old Style"/>
          <w:i/>
          <w:sz w:val="22"/>
          <w:szCs w:val="22"/>
          <w:lang w:val="es-CO"/>
        </w:rPr>
        <w:t>, todo lo cual </w:t>
      </w:r>
      <w:r w:rsidR="0026544D">
        <w:rPr>
          <w:rFonts w:ascii="Bookman Old Style" w:hAnsi="Bookman Old Style"/>
          <w:i/>
          <w:sz w:val="22"/>
          <w:szCs w:val="22"/>
          <w:lang w:val="es-CO"/>
        </w:rPr>
        <w:t>‘</w:t>
      </w:r>
      <w:r w:rsidRPr="006875CB">
        <w:rPr>
          <w:rFonts w:ascii="Bookman Old Style" w:hAnsi="Bookman Old Style"/>
          <w:i/>
          <w:iCs/>
          <w:sz w:val="22"/>
          <w:szCs w:val="22"/>
          <w:lang w:val="es-CO"/>
        </w:rPr>
        <w:t>se desarrolla con base en dos cualidades, la eficacia y la eficiencia administrativa</w:t>
      </w:r>
      <w:r w:rsidR="0026544D">
        <w:rPr>
          <w:rFonts w:ascii="Bookman Old Style" w:hAnsi="Bookman Old Style"/>
          <w:i/>
          <w:iCs/>
          <w:sz w:val="22"/>
          <w:szCs w:val="22"/>
          <w:lang w:val="es-CO"/>
        </w:rPr>
        <w:t>’</w:t>
      </w:r>
      <w:bookmarkStart w:id="1" w:name="_ftnref31"/>
      <w:r w:rsidR="0026544D">
        <w:rPr>
          <w:rFonts w:ascii="Bookman Old Style" w:hAnsi="Bookman Old Style"/>
          <w:i/>
          <w:iCs/>
          <w:sz w:val="22"/>
          <w:szCs w:val="22"/>
          <w:lang w:val="es-CO"/>
        </w:rPr>
        <w:t>.</w:t>
      </w:r>
      <w:r w:rsidRPr="006875CB">
        <w:rPr>
          <w:rStyle w:val="Refdenotaalpie"/>
          <w:rFonts w:ascii="Bookman Old Style" w:hAnsi="Bookman Old Style"/>
          <w:i/>
          <w:iCs/>
          <w:sz w:val="22"/>
          <w:szCs w:val="22"/>
          <w:lang w:val="es-CO"/>
        </w:rPr>
        <w:footnoteReference w:id="7"/>
      </w:r>
      <w:bookmarkEnd w:id="1"/>
    </w:p>
    <w:p w:rsidR="008F3DE4" w:rsidRPr="006875CB" w:rsidRDefault="008F3DE4" w:rsidP="005966A9">
      <w:pPr>
        <w:jc w:val="both"/>
        <w:rPr>
          <w:rFonts w:ascii="Bookman Old Style" w:hAnsi="Bookman Old Style"/>
          <w:i/>
          <w:sz w:val="22"/>
          <w:szCs w:val="22"/>
          <w:lang w:val="es-ES_tradnl"/>
        </w:rPr>
      </w:pPr>
      <w:r w:rsidRPr="006875CB">
        <w:rPr>
          <w:rFonts w:ascii="Bookman Old Style" w:hAnsi="Bookman Old Style"/>
          <w:i/>
          <w:sz w:val="22"/>
          <w:szCs w:val="22"/>
          <w:lang w:val="es-CO"/>
        </w:rPr>
        <w:t> </w:t>
      </w:r>
    </w:p>
    <w:p w:rsidR="008F3DE4" w:rsidRPr="006875CB" w:rsidRDefault="008F3DE4" w:rsidP="005966A9">
      <w:pPr>
        <w:jc w:val="both"/>
        <w:rPr>
          <w:rFonts w:ascii="Bookman Old Style" w:hAnsi="Bookman Old Style"/>
          <w:sz w:val="22"/>
          <w:szCs w:val="22"/>
          <w:lang w:val="es-ES_tradnl"/>
        </w:rPr>
      </w:pPr>
      <w:r w:rsidRPr="006875CB">
        <w:rPr>
          <w:rFonts w:ascii="Bookman Old Style" w:hAnsi="Bookman Old Style"/>
          <w:i/>
          <w:sz w:val="22"/>
          <w:szCs w:val="22"/>
          <w:lang w:val="es-CO"/>
        </w:rPr>
        <w:t xml:space="preserve">En este orden de ideas, </w:t>
      </w:r>
      <w:r w:rsidRPr="006875CB">
        <w:rPr>
          <w:rFonts w:ascii="Bookman Old Style" w:hAnsi="Bookman Old Style"/>
          <w:b/>
          <w:i/>
          <w:sz w:val="22"/>
          <w:szCs w:val="22"/>
          <w:u w:val="single"/>
          <w:lang w:val="es-CO"/>
        </w:rPr>
        <w:t>el hecho de que el legislador exija algunas formalidades en la iniciación y tramitación de los procedimientos administrativos, no implica que la Administración quede liberada de dar aplicación a los principios rectores de la función administrativa, así como de garantizar la protección efectiva de los derechos de los administrados (art. 2º C.P.)</w:t>
      </w:r>
      <w:r w:rsidRPr="006875CB">
        <w:rPr>
          <w:rFonts w:ascii="Bookman Old Style" w:hAnsi="Bookman Old Style"/>
          <w:i/>
          <w:sz w:val="22"/>
          <w:szCs w:val="22"/>
          <w:lang w:val="es-CO"/>
        </w:rPr>
        <w:t>, más aún cuando está en discusión la dignidad humana y la integridad física y moral de las personas”</w:t>
      </w:r>
      <w:r w:rsidRPr="006875CB">
        <w:rPr>
          <w:rStyle w:val="Refdenotaalpie"/>
          <w:rFonts w:ascii="Bookman Old Style" w:hAnsi="Bookman Old Style"/>
          <w:i/>
          <w:sz w:val="22"/>
          <w:szCs w:val="22"/>
          <w:lang w:val="es-CO"/>
        </w:rPr>
        <w:footnoteReference w:id="8"/>
      </w:r>
      <w:r w:rsidRPr="006875CB">
        <w:rPr>
          <w:rFonts w:ascii="Bookman Old Style" w:hAnsi="Bookman Old Style"/>
          <w:i/>
          <w:sz w:val="22"/>
          <w:szCs w:val="22"/>
          <w:lang w:val="es-CO"/>
        </w:rPr>
        <w:t xml:space="preserve"> </w:t>
      </w:r>
      <w:r w:rsidRPr="006875CB">
        <w:rPr>
          <w:rFonts w:ascii="Bookman Old Style" w:hAnsi="Bookman Old Style"/>
          <w:sz w:val="22"/>
          <w:szCs w:val="22"/>
          <w:lang w:val="es-CO"/>
        </w:rPr>
        <w:t>(se resalta y subraya).</w:t>
      </w:r>
    </w:p>
    <w:p w:rsidR="008F3DE4" w:rsidRPr="006875CB" w:rsidRDefault="008F3DE4" w:rsidP="00ED68C4">
      <w:pPr>
        <w:ind w:left="0"/>
        <w:jc w:val="both"/>
        <w:rPr>
          <w:rFonts w:ascii="Bookman Old Style" w:hAnsi="Bookman Old Style"/>
        </w:rPr>
      </w:pPr>
    </w:p>
    <w:p w:rsidR="00B379EB" w:rsidRDefault="004C7E35" w:rsidP="00ED68C4">
      <w:pPr>
        <w:ind w:left="0"/>
        <w:jc w:val="both"/>
        <w:rPr>
          <w:rFonts w:ascii="Bookman Old Style" w:hAnsi="Bookman Old Style"/>
        </w:rPr>
      </w:pPr>
      <w:r w:rsidRPr="004C7E35">
        <w:rPr>
          <w:rFonts w:ascii="Bookman Old Style" w:hAnsi="Bookman Old Style"/>
        </w:rPr>
        <w:t>Ahora bien, respecto a las “nuevas consideraciones” que TGI solicita que se tengan en cuenta, se indica que la metodología contenida en la Resolución CREG 126 de 2010 tiene la vocación de reconocer los costos que se estiman eficientes al momento de la valoración, de acuerdo con el análisis por comparación al que se ha hecho referencia, del cual surge el valor eficiente a considerar para el cálculo tarifario. Así, sólo se reconocieron los costos reales si los mismos son eficientes.</w:t>
      </w:r>
    </w:p>
    <w:p w:rsidR="004C7E35" w:rsidRDefault="004C7E35" w:rsidP="00ED68C4">
      <w:pPr>
        <w:ind w:left="0"/>
        <w:jc w:val="both"/>
        <w:rPr>
          <w:rFonts w:ascii="Bookman Old Style" w:hAnsi="Bookman Old Style"/>
        </w:rPr>
      </w:pPr>
    </w:p>
    <w:p w:rsidR="00E119DD" w:rsidRDefault="00E119DD" w:rsidP="00ED68C4">
      <w:pPr>
        <w:ind w:left="0"/>
        <w:jc w:val="both"/>
        <w:rPr>
          <w:rFonts w:ascii="Bookman Old Style" w:hAnsi="Bookman Old Style"/>
        </w:rPr>
      </w:pPr>
      <w:r w:rsidRPr="006875CB">
        <w:rPr>
          <w:rFonts w:ascii="Bookman Old Style" w:hAnsi="Bookman Old Style"/>
        </w:rPr>
        <w:lastRenderedPageBreak/>
        <w:t xml:space="preserve">Lo anterior no sólo fue claro al momento de expedir la </w:t>
      </w:r>
      <w:r w:rsidRPr="006875CB">
        <w:rPr>
          <w:rFonts w:ascii="Bookman Old Style" w:hAnsi="Bookman Old Style"/>
          <w:i/>
        </w:rPr>
        <w:t xml:space="preserve">metodología, </w:t>
      </w:r>
      <w:r w:rsidRPr="006875CB">
        <w:rPr>
          <w:rFonts w:ascii="Bookman Old Style" w:hAnsi="Bookman Old Style"/>
        </w:rPr>
        <w:t>sino que ha sido reiterado por la Comisión en anteriores pronunciamientos, referidos a distintos asuntos</w:t>
      </w:r>
      <w:r w:rsidR="00DE054E">
        <w:rPr>
          <w:rFonts w:ascii="Bookman Old Style" w:hAnsi="Bookman Old Style"/>
        </w:rPr>
        <w:t xml:space="preserve"> como se indica a continuación</w:t>
      </w:r>
      <w:r w:rsidRPr="006875CB">
        <w:rPr>
          <w:rFonts w:ascii="Bookman Old Style" w:hAnsi="Bookman Old Style"/>
        </w:rPr>
        <w:t>.</w:t>
      </w:r>
    </w:p>
    <w:p w:rsidR="00B67EA2" w:rsidRPr="00DF728E" w:rsidRDefault="00B67EA2" w:rsidP="00ED68C4">
      <w:pPr>
        <w:ind w:left="0"/>
        <w:jc w:val="both"/>
        <w:rPr>
          <w:rFonts w:ascii="Bookman Old Style" w:hAnsi="Bookman Old Style"/>
          <w:sz w:val="22"/>
        </w:rPr>
      </w:pPr>
    </w:p>
    <w:p w:rsidR="00E119DD" w:rsidRDefault="00E119DD" w:rsidP="00ED68C4">
      <w:pPr>
        <w:ind w:left="0"/>
        <w:jc w:val="both"/>
        <w:rPr>
          <w:rFonts w:ascii="Bookman Old Style" w:hAnsi="Bookman Old Style"/>
        </w:rPr>
      </w:pPr>
      <w:r w:rsidRPr="006875CB">
        <w:rPr>
          <w:rFonts w:ascii="Bookman Old Style" w:hAnsi="Bookman Old Style"/>
        </w:rPr>
        <w:t>En efecto, e</w:t>
      </w:r>
      <w:r w:rsidR="00F10157">
        <w:rPr>
          <w:rFonts w:ascii="Bookman Old Style" w:hAnsi="Bookman Old Style"/>
        </w:rPr>
        <w:t>n la Resolución CREG 121 de 2012, mediante la cual se resolvieron los recursos de reposición interpuestos contra la Resolución CREG 110 de 2011, se</w:t>
      </w:r>
      <w:r w:rsidRPr="006875CB">
        <w:rPr>
          <w:rFonts w:ascii="Bookman Old Style" w:hAnsi="Bookman Old Style"/>
        </w:rPr>
        <w:t xml:space="preserve"> estableció de manera clara lo siguiente:</w:t>
      </w:r>
    </w:p>
    <w:p w:rsidR="00F10157" w:rsidRPr="00DF728E" w:rsidRDefault="00F10157" w:rsidP="00ED68C4">
      <w:pPr>
        <w:ind w:left="0"/>
        <w:jc w:val="both"/>
        <w:rPr>
          <w:rFonts w:ascii="Bookman Old Style" w:hAnsi="Bookman Old Style"/>
          <w:sz w:val="22"/>
        </w:rPr>
      </w:pPr>
    </w:p>
    <w:p w:rsidR="00F10157" w:rsidRPr="00F10157" w:rsidRDefault="00F10157" w:rsidP="00F10157">
      <w:pPr>
        <w:jc w:val="both"/>
        <w:rPr>
          <w:rFonts w:ascii="Bookman Old Style" w:hAnsi="Bookman Old Style"/>
          <w:i/>
          <w:iCs/>
          <w:sz w:val="22"/>
          <w:szCs w:val="22"/>
          <w:lang w:val="es-CO"/>
        </w:rPr>
      </w:pPr>
      <w:r w:rsidRPr="00F10157">
        <w:rPr>
          <w:rFonts w:ascii="Bookman Old Style" w:hAnsi="Bookman Old Style"/>
          <w:i/>
          <w:iCs/>
          <w:sz w:val="22"/>
          <w:szCs w:val="22"/>
          <w:lang w:val="es-CO"/>
        </w:rPr>
        <w:t>“Uno de los preceptos fundamentales de la Ley 142 de 1994, aplicables a los cargos regulados que aprueba la CREG, es el de la eficiencia económica. De acuerdo con el artículo 87.1 de la Ley 142 de 1994, por eficiencia económica se entiende que: i) el régimen de tarifas procurará que éstas se aproximen a lo que serían los precios de un mercado competitivo; ii) las fórmulas tarifarias no pueden trasladar a los usuarios los costos de una gestión ineficiente; y iii) las tarifas deben reflejar tanto el nivel y la estructura de los costos económicos de prestar el servicio.</w:t>
      </w:r>
    </w:p>
    <w:p w:rsidR="00F10157" w:rsidRPr="00DF728E" w:rsidRDefault="00F10157" w:rsidP="00F10157">
      <w:pPr>
        <w:jc w:val="both"/>
        <w:rPr>
          <w:rFonts w:ascii="Bookman Old Style" w:hAnsi="Bookman Old Style"/>
          <w:i/>
          <w:iCs/>
          <w:sz w:val="20"/>
          <w:szCs w:val="22"/>
          <w:lang w:val="es-CO"/>
        </w:rPr>
      </w:pPr>
    </w:p>
    <w:p w:rsidR="00F10157" w:rsidRPr="00F10157" w:rsidRDefault="00F10157" w:rsidP="00F10157">
      <w:pPr>
        <w:jc w:val="both"/>
        <w:rPr>
          <w:rFonts w:ascii="Bookman Old Style" w:hAnsi="Bookman Old Style"/>
          <w:i/>
          <w:iCs/>
          <w:sz w:val="22"/>
          <w:szCs w:val="22"/>
          <w:lang w:val="es-CO"/>
        </w:rPr>
      </w:pPr>
      <w:r w:rsidRPr="00F10157">
        <w:rPr>
          <w:rFonts w:ascii="Bookman Old Style" w:hAnsi="Bookman Old Style"/>
          <w:i/>
          <w:iCs/>
          <w:sz w:val="22"/>
          <w:szCs w:val="22"/>
          <w:lang w:val="es-CO"/>
        </w:rPr>
        <w:t xml:space="preserve">De otra parte, en el artículo 92 de la Ley 142 de 1994 se establece, entre otros aspectos, que </w:t>
      </w:r>
      <w:r>
        <w:rPr>
          <w:rFonts w:ascii="Bookman Old Style" w:hAnsi="Bookman Old Style"/>
          <w:i/>
          <w:iCs/>
          <w:sz w:val="22"/>
          <w:szCs w:val="22"/>
          <w:lang w:val="es-CO"/>
        </w:rPr>
        <w:t>‘</w:t>
      </w:r>
      <w:r w:rsidRPr="00F10157">
        <w:rPr>
          <w:rFonts w:ascii="Bookman Old Style" w:hAnsi="Bookman Old Style"/>
          <w:i/>
          <w:iCs/>
          <w:sz w:val="22"/>
          <w:szCs w:val="22"/>
          <w:lang w:val="es-CO"/>
        </w:rPr>
        <w:t>al definir las fórmulas tarifarias los costos y gastos típicos de operación de las empresas de servicios públicos, las comisiones utilizarán no solo la información propia de la empresa, sino la de otras empresas que operen en condiciones similares; pero que sean más eficientes</w:t>
      </w:r>
      <w:r>
        <w:rPr>
          <w:rFonts w:ascii="Bookman Old Style" w:hAnsi="Bookman Old Style"/>
          <w:i/>
          <w:iCs/>
          <w:sz w:val="22"/>
          <w:szCs w:val="22"/>
          <w:lang w:val="es-CO"/>
        </w:rPr>
        <w:t>’</w:t>
      </w:r>
      <w:r w:rsidRPr="00F10157">
        <w:rPr>
          <w:rFonts w:ascii="Bookman Old Style" w:hAnsi="Bookman Old Style"/>
          <w:i/>
          <w:iCs/>
          <w:sz w:val="22"/>
          <w:szCs w:val="22"/>
          <w:lang w:val="es-CO"/>
        </w:rPr>
        <w:t>.</w:t>
      </w:r>
    </w:p>
    <w:p w:rsidR="00F10157" w:rsidRPr="00DF728E" w:rsidRDefault="00F10157" w:rsidP="00F10157">
      <w:pPr>
        <w:jc w:val="both"/>
        <w:rPr>
          <w:rFonts w:ascii="Bookman Old Style" w:hAnsi="Bookman Old Style"/>
          <w:i/>
          <w:iCs/>
          <w:sz w:val="20"/>
          <w:szCs w:val="22"/>
          <w:lang w:val="es-CO"/>
        </w:rPr>
      </w:pPr>
    </w:p>
    <w:p w:rsidR="00F10157" w:rsidRDefault="00B379EB" w:rsidP="00F10157">
      <w:pPr>
        <w:jc w:val="both"/>
        <w:rPr>
          <w:rFonts w:ascii="Bookman Old Style" w:hAnsi="Bookman Old Style"/>
          <w:i/>
          <w:iCs/>
          <w:sz w:val="22"/>
          <w:szCs w:val="22"/>
          <w:lang w:val="es-CO"/>
        </w:rPr>
      </w:pPr>
      <w:r>
        <w:rPr>
          <w:rFonts w:ascii="Bookman Old Style" w:hAnsi="Bookman Old Style"/>
          <w:i/>
          <w:iCs/>
          <w:sz w:val="22"/>
          <w:szCs w:val="22"/>
          <w:lang w:val="es-CO"/>
        </w:rPr>
        <w:t>(…)</w:t>
      </w:r>
    </w:p>
    <w:p w:rsidR="00B379EB" w:rsidRPr="00DF728E" w:rsidRDefault="00B379EB" w:rsidP="00F10157">
      <w:pPr>
        <w:jc w:val="both"/>
        <w:rPr>
          <w:rFonts w:ascii="Bookman Old Style" w:hAnsi="Bookman Old Style"/>
          <w:i/>
          <w:iCs/>
          <w:sz w:val="20"/>
          <w:szCs w:val="22"/>
          <w:lang w:val="es-CO"/>
        </w:rPr>
      </w:pPr>
    </w:p>
    <w:p w:rsidR="00F10157" w:rsidRPr="00F10157" w:rsidRDefault="00F10157" w:rsidP="00F10157">
      <w:pPr>
        <w:jc w:val="both"/>
        <w:rPr>
          <w:rFonts w:ascii="Bookman Old Style" w:hAnsi="Bookman Old Style"/>
          <w:i/>
          <w:iCs/>
          <w:sz w:val="22"/>
          <w:szCs w:val="22"/>
          <w:lang w:val="es-CO"/>
        </w:rPr>
      </w:pPr>
      <w:r w:rsidRPr="00F10157">
        <w:rPr>
          <w:rFonts w:ascii="Bookman Old Style" w:hAnsi="Bookman Old Style"/>
          <w:i/>
          <w:iCs/>
          <w:sz w:val="22"/>
          <w:szCs w:val="22"/>
          <w:lang w:val="es-CO"/>
        </w:rPr>
        <w:t xml:space="preserve">se debe anotar que la metodología estipula que </w:t>
      </w:r>
      <w:r w:rsidR="00B379EB">
        <w:rPr>
          <w:rFonts w:ascii="Bookman Old Style" w:hAnsi="Bookman Old Style"/>
          <w:i/>
          <w:iCs/>
          <w:sz w:val="22"/>
          <w:szCs w:val="22"/>
          <w:lang w:val="es-CO"/>
        </w:rPr>
        <w:t>‘</w:t>
      </w:r>
      <w:r w:rsidRPr="00F10157">
        <w:rPr>
          <w:rFonts w:ascii="Bookman Old Style" w:hAnsi="Bookman Old Style"/>
          <w:i/>
          <w:iCs/>
          <w:sz w:val="22"/>
          <w:szCs w:val="22"/>
          <w:lang w:val="es-CO"/>
        </w:rPr>
        <w:t>La CREG establecerá el valor eficiente de estos activos a partir de costos eficientes de otros activos comparables, teniendo en cuenta los criterios establecidos en el Anexo 1 de la presente Resolución, u otros criterios de evaluación de que disponga</w:t>
      </w:r>
      <w:r w:rsidR="00B379EB">
        <w:rPr>
          <w:rFonts w:ascii="Bookman Old Style" w:hAnsi="Bookman Old Style"/>
          <w:i/>
          <w:iCs/>
          <w:sz w:val="22"/>
          <w:szCs w:val="22"/>
          <w:lang w:val="es-CO"/>
        </w:rPr>
        <w:t>’</w:t>
      </w:r>
      <w:r w:rsidRPr="00F10157">
        <w:rPr>
          <w:rFonts w:ascii="Bookman Old Style" w:hAnsi="Bookman Old Style"/>
          <w:i/>
          <w:iCs/>
          <w:sz w:val="22"/>
          <w:szCs w:val="22"/>
          <w:lang w:val="es-CO"/>
        </w:rPr>
        <w:t xml:space="preserve">. Cabe anotar que el concepto de eficiencia es uno de los criterios tarifarios establecidos en el artículo 87 de la Ley 142 de 1994. </w:t>
      </w:r>
    </w:p>
    <w:p w:rsidR="00F10157" w:rsidRPr="00DF728E" w:rsidRDefault="00F10157" w:rsidP="00F10157">
      <w:pPr>
        <w:jc w:val="both"/>
        <w:rPr>
          <w:rFonts w:ascii="Bookman Old Style" w:hAnsi="Bookman Old Style"/>
          <w:i/>
          <w:iCs/>
          <w:sz w:val="20"/>
          <w:szCs w:val="22"/>
          <w:lang w:val="es-CO"/>
        </w:rPr>
      </w:pPr>
    </w:p>
    <w:p w:rsidR="00B379EB" w:rsidRDefault="00B379EB" w:rsidP="00F10157">
      <w:pPr>
        <w:jc w:val="both"/>
        <w:rPr>
          <w:rFonts w:ascii="Bookman Old Style" w:hAnsi="Bookman Old Style"/>
          <w:i/>
          <w:iCs/>
          <w:sz w:val="22"/>
          <w:szCs w:val="22"/>
          <w:lang w:val="es-CO"/>
        </w:rPr>
      </w:pPr>
      <w:r>
        <w:rPr>
          <w:rFonts w:ascii="Bookman Old Style" w:hAnsi="Bookman Old Style"/>
          <w:i/>
          <w:iCs/>
          <w:sz w:val="22"/>
          <w:szCs w:val="22"/>
          <w:lang w:val="es-CO"/>
        </w:rPr>
        <w:t>(…)</w:t>
      </w:r>
    </w:p>
    <w:p w:rsidR="00B379EB" w:rsidRPr="00DF728E" w:rsidRDefault="00B379EB" w:rsidP="00F10157">
      <w:pPr>
        <w:jc w:val="both"/>
        <w:rPr>
          <w:rFonts w:ascii="Bookman Old Style" w:hAnsi="Bookman Old Style"/>
          <w:i/>
          <w:iCs/>
          <w:sz w:val="20"/>
          <w:szCs w:val="22"/>
          <w:lang w:val="es-CO"/>
        </w:rPr>
      </w:pPr>
    </w:p>
    <w:p w:rsidR="00F10157" w:rsidRPr="00F10157" w:rsidRDefault="00F10157" w:rsidP="00F10157">
      <w:pPr>
        <w:jc w:val="both"/>
        <w:rPr>
          <w:rFonts w:ascii="Bookman Old Style" w:hAnsi="Bookman Old Style"/>
          <w:i/>
          <w:iCs/>
          <w:sz w:val="22"/>
          <w:szCs w:val="22"/>
          <w:lang w:val="es-CO"/>
        </w:rPr>
      </w:pPr>
      <w:r w:rsidRPr="00F10157">
        <w:rPr>
          <w:rFonts w:ascii="Bookman Old Style" w:hAnsi="Bookman Old Style"/>
          <w:i/>
          <w:iCs/>
          <w:sz w:val="22"/>
          <w:szCs w:val="22"/>
          <w:lang w:val="es-CO"/>
        </w:rPr>
        <w:t xml:space="preserve">También es pertinente anotar que los criterios generales para remunerar la actividad de trasporte, establecidos en la Resolución CREG 126 de 2010, corresponden a una metodología de carácter general, impersonal y abstracto. Esta metodología establece un esquema de cargos máximos fijos y variables por distancia para remunerar la inversión, y cargos fijos para remunerar los gastos de administración, operación y mantenimiento (AOM). En el cálculo de estos cargos máximos se utilizan los valores eficientes de inversión y gastos, y la demanda esperada eficiente sobre el respectivo gasoducto o grupo de gasoductos.      </w:t>
      </w:r>
    </w:p>
    <w:p w:rsidR="00F10157" w:rsidRPr="00DF728E" w:rsidRDefault="00F10157" w:rsidP="00F10157">
      <w:pPr>
        <w:jc w:val="both"/>
        <w:rPr>
          <w:rFonts w:ascii="Bookman Old Style" w:hAnsi="Bookman Old Style"/>
          <w:i/>
          <w:iCs/>
          <w:sz w:val="20"/>
          <w:szCs w:val="22"/>
          <w:lang w:val="es-CO"/>
        </w:rPr>
      </w:pPr>
    </w:p>
    <w:p w:rsidR="00F10157" w:rsidRPr="00F10157" w:rsidRDefault="00F10157" w:rsidP="00F10157">
      <w:pPr>
        <w:jc w:val="both"/>
        <w:rPr>
          <w:rFonts w:ascii="Bookman Old Style" w:hAnsi="Bookman Old Style"/>
          <w:i/>
          <w:iCs/>
          <w:sz w:val="22"/>
          <w:szCs w:val="22"/>
          <w:lang w:val="es-CO"/>
        </w:rPr>
      </w:pPr>
      <w:r w:rsidRPr="00F10157">
        <w:rPr>
          <w:rFonts w:ascii="Bookman Old Style" w:hAnsi="Bookman Old Style"/>
          <w:i/>
          <w:iCs/>
          <w:sz w:val="22"/>
          <w:szCs w:val="22"/>
          <w:lang w:val="es-CO"/>
        </w:rPr>
        <w:t>Lo anterior corresponde a una metodología de incentivos, en la cual el transportador se puede considerar como un agente activo en la búsqueda de eficiencia (e.g. reducción de costos y aumento de demanda). Este tipo de metodologías tienen asociado un mayor riesgo para el agente si se compara con metodologías de ingreso regulado o tasa de retorno. Consecuentemente este mayor riesgo se remunera a través una mayor tasa de costo de capital</w:t>
      </w:r>
      <w:r w:rsidRPr="00B379EB">
        <w:rPr>
          <w:rFonts w:ascii="Bookman Old Style" w:hAnsi="Bookman Old Style"/>
          <w:i/>
          <w:iCs/>
          <w:sz w:val="22"/>
          <w:szCs w:val="22"/>
          <w:vertAlign w:val="superscript"/>
          <w:lang w:val="es-CO"/>
        </w:rPr>
        <w:footnoteReference w:id="9"/>
      </w:r>
      <w:r w:rsidRPr="00F10157">
        <w:rPr>
          <w:rFonts w:ascii="Bookman Old Style" w:hAnsi="Bookman Old Style"/>
          <w:i/>
          <w:iCs/>
          <w:sz w:val="22"/>
          <w:szCs w:val="22"/>
          <w:lang w:val="es-CO"/>
        </w:rPr>
        <w:t xml:space="preserve">.     </w:t>
      </w:r>
    </w:p>
    <w:p w:rsidR="00F10157" w:rsidRDefault="00F10157" w:rsidP="00F10157">
      <w:pPr>
        <w:jc w:val="both"/>
        <w:rPr>
          <w:rFonts w:ascii="Bookman Old Style" w:hAnsi="Bookman Old Style"/>
        </w:rPr>
      </w:pPr>
      <w:r w:rsidRPr="00F10157">
        <w:rPr>
          <w:rFonts w:ascii="Bookman Old Style" w:hAnsi="Bookman Old Style"/>
          <w:i/>
          <w:iCs/>
          <w:sz w:val="22"/>
          <w:szCs w:val="22"/>
          <w:lang w:val="es-CO"/>
        </w:rPr>
        <w:lastRenderedPageBreak/>
        <w:t>De conformidad con lo anterior le corresponde a la CREG establecer el valor eficiente de las inversiones, para lo cual, de conformidad con la metodología, se utilizan métodos de comparación. Los valores obtenidos por el transportador en sus procesos de compra y contratación pueden resultar superiores o inferiores a aquellos determinados por el regulador. Esto hace parte del riesgo inherente a la metodología de incentivos</w:t>
      </w:r>
      <w:r w:rsidR="00B379EB">
        <w:rPr>
          <w:rFonts w:ascii="Bookman Old Style" w:hAnsi="Bookman Old Style"/>
          <w:i/>
          <w:iCs/>
          <w:sz w:val="22"/>
          <w:szCs w:val="22"/>
          <w:lang w:val="es-CO"/>
        </w:rPr>
        <w:t>”</w:t>
      </w:r>
      <w:r w:rsidRPr="00F10157">
        <w:rPr>
          <w:rFonts w:ascii="Bookman Old Style" w:hAnsi="Bookman Old Style"/>
          <w:i/>
          <w:iCs/>
          <w:sz w:val="22"/>
          <w:szCs w:val="22"/>
          <w:lang w:val="es-CO"/>
        </w:rPr>
        <w:t>.</w:t>
      </w:r>
    </w:p>
    <w:p w:rsidR="00E119DD" w:rsidRPr="00DF728E" w:rsidRDefault="00E119DD" w:rsidP="006338D6">
      <w:pPr>
        <w:jc w:val="both"/>
        <w:rPr>
          <w:rFonts w:ascii="Bookman Old Style" w:hAnsi="Bookman Old Style"/>
          <w:sz w:val="22"/>
        </w:rPr>
      </w:pPr>
    </w:p>
    <w:p w:rsidR="0074250E" w:rsidRPr="006875CB" w:rsidRDefault="0074250E" w:rsidP="0074250E">
      <w:pPr>
        <w:ind w:left="0"/>
        <w:jc w:val="both"/>
        <w:rPr>
          <w:rFonts w:ascii="Bookman Old Style" w:eastAsia="Verdana" w:hAnsi="Bookman Old Style"/>
          <w:bCs/>
        </w:rPr>
      </w:pPr>
      <w:r w:rsidRPr="006875CB">
        <w:rPr>
          <w:rFonts w:ascii="Bookman Old Style" w:hAnsi="Bookman Old Style"/>
        </w:rPr>
        <w:t xml:space="preserve">Por otro lado, </w:t>
      </w:r>
      <w:r w:rsidRPr="006875CB">
        <w:rPr>
          <w:rFonts w:ascii="Bookman Old Style" w:eastAsia="Verdana" w:hAnsi="Bookman Old Style"/>
          <w:bCs/>
        </w:rPr>
        <w:t xml:space="preserve">la CREG ya se ha se pronunciado en el pasado en este sentido en situaciones análogas a la que ahora reclama TGI. En la Resolución CREG 132 de </w:t>
      </w:r>
      <w:r w:rsidR="00490DEF">
        <w:rPr>
          <w:rFonts w:ascii="Bookman Old Style" w:eastAsia="Verdana" w:hAnsi="Bookman Old Style"/>
          <w:bCs/>
        </w:rPr>
        <w:t>2008</w:t>
      </w:r>
      <w:r w:rsidRPr="006875CB">
        <w:rPr>
          <w:rFonts w:ascii="Bookman Old Style" w:eastAsia="Verdana" w:hAnsi="Bookman Old Style"/>
          <w:bCs/>
        </w:rPr>
        <w:t>, mediante la cual se resolvió un recurso de reposición interpuesto por Codensa S.A E.S.P., mediante el cual se pretendía la actualización del costo anual de los activos de conexión al STN y el costo anual por el uso de los activos del nivel de tensión 4 por la entrada en operación de la subestación Bacatá y los activos asociados con los costos reales incurridos por la empresa producto de una convocatoria pública internacional, la CREG expuso, entre otros, el siguiente argumento para negar la pretensión:</w:t>
      </w:r>
    </w:p>
    <w:p w:rsidR="0074250E" w:rsidRPr="00DF728E" w:rsidRDefault="0074250E" w:rsidP="0074250E">
      <w:pPr>
        <w:tabs>
          <w:tab w:val="left" w:pos="-720"/>
        </w:tabs>
        <w:suppressAutoHyphens/>
        <w:ind w:left="0"/>
        <w:jc w:val="both"/>
        <w:rPr>
          <w:rFonts w:ascii="Bookman Old Style" w:hAnsi="Bookman Old Style"/>
          <w:i/>
          <w:sz w:val="22"/>
        </w:rPr>
      </w:pPr>
    </w:p>
    <w:p w:rsidR="0074250E" w:rsidRPr="00C623F9" w:rsidRDefault="0074250E" w:rsidP="00C623F9">
      <w:pPr>
        <w:tabs>
          <w:tab w:val="left" w:pos="-720"/>
        </w:tabs>
        <w:suppressAutoHyphens/>
        <w:jc w:val="both"/>
        <w:rPr>
          <w:rFonts w:ascii="Bookman Old Style" w:hAnsi="Bookman Old Style"/>
          <w:i/>
          <w:sz w:val="22"/>
          <w:szCs w:val="22"/>
        </w:rPr>
      </w:pPr>
      <w:r w:rsidRPr="00C623F9">
        <w:rPr>
          <w:rFonts w:ascii="Bookman Old Style" w:hAnsi="Bookman Old Style"/>
          <w:i/>
          <w:sz w:val="22"/>
          <w:szCs w:val="22"/>
        </w:rPr>
        <w:t xml:space="preserve">“Es claro entonces que la aplicación de los costos de reposición a nuevo establecidos en el Anexo 3 de la Resolución CREG – 082 de 2002, no está sometida a la discrecional elección del OR. No podría ser de otra forma, porque </w:t>
      </w:r>
      <w:r w:rsidRPr="00C623F9">
        <w:rPr>
          <w:rFonts w:ascii="Bookman Old Style" w:hAnsi="Bookman Old Style"/>
          <w:b/>
          <w:i/>
          <w:sz w:val="22"/>
          <w:szCs w:val="22"/>
          <w:u w:val="single"/>
        </w:rPr>
        <w:t>la metodología tarifaria contenida en esta resolución consulta los criterios tarifarios imperativos establecidos por la Leyes 142 y 143 de 1994, que pugnan con la aspiración del agente de que se le reconozcan los costos reales en que incurrió y no los costos eficientes determinados por el regulador</w:t>
      </w:r>
      <w:r w:rsidRPr="00C623F9">
        <w:rPr>
          <w:rFonts w:ascii="Bookman Old Style" w:hAnsi="Bookman Old Style"/>
          <w:i/>
          <w:sz w:val="22"/>
          <w:szCs w:val="22"/>
        </w:rPr>
        <w:t>”</w:t>
      </w:r>
      <w:r w:rsidR="0026544D">
        <w:rPr>
          <w:rFonts w:ascii="Bookman Old Style" w:hAnsi="Bookman Old Style"/>
          <w:i/>
          <w:sz w:val="22"/>
          <w:szCs w:val="22"/>
        </w:rPr>
        <w:t>.</w:t>
      </w:r>
    </w:p>
    <w:p w:rsidR="0074250E" w:rsidRPr="00DF728E" w:rsidRDefault="0074250E" w:rsidP="00C623F9">
      <w:pPr>
        <w:tabs>
          <w:tab w:val="left" w:pos="-720"/>
        </w:tabs>
        <w:suppressAutoHyphens/>
        <w:jc w:val="both"/>
        <w:rPr>
          <w:rFonts w:ascii="Bookman Old Style" w:hAnsi="Bookman Old Style"/>
          <w:i/>
          <w:sz w:val="20"/>
          <w:szCs w:val="22"/>
        </w:rPr>
      </w:pPr>
    </w:p>
    <w:p w:rsidR="0074250E" w:rsidRPr="00C623F9" w:rsidRDefault="0074250E" w:rsidP="00C623F9">
      <w:pPr>
        <w:tabs>
          <w:tab w:val="left" w:pos="-720"/>
        </w:tabs>
        <w:suppressAutoHyphens/>
        <w:jc w:val="both"/>
        <w:rPr>
          <w:rFonts w:ascii="Bookman Old Style" w:hAnsi="Bookman Old Style"/>
          <w:i/>
          <w:sz w:val="22"/>
          <w:szCs w:val="22"/>
        </w:rPr>
      </w:pPr>
      <w:r w:rsidRPr="00C623F9">
        <w:rPr>
          <w:rFonts w:ascii="Bookman Old Style" w:hAnsi="Bookman Old Style"/>
          <w:i/>
          <w:sz w:val="22"/>
          <w:szCs w:val="22"/>
        </w:rPr>
        <w:t xml:space="preserve">“Debe recordarse en este sentido que </w:t>
      </w:r>
      <w:r w:rsidRPr="00C623F9">
        <w:rPr>
          <w:rFonts w:ascii="Bookman Old Style" w:hAnsi="Bookman Old Style"/>
          <w:b/>
          <w:i/>
          <w:sz w:val="22"/>
          <w:szCs w:val="22"/>
          <w:u w:val="single"/>
        </w:rPr>
        <w:t>la función del regulador no se restringe a sumar los costos de una empresa para proceder a reconocérselos</w:t>
      </w:r>
      <w:r w:rsidRPr="00C623F9">
        <w:rPr>
          <w:rFonts w:ascii="Bookman Old Style" w:hAnsi="Bookman Old Style"/>
          <w:i/>
          <w:sz w:val="22"/>
          <w:szCs w:val="22"/>
        </w:rPr>
        <w:t xml:space="preserve">, como pretende el impugnante. Por el contrario, las leyes 142 y 143 de 1994, fijaron, entre otros criterios de obligatorio cumplimiento, los siguientes: </w:t>
      </w:r>
      <w:r w:rsidRPr="00C623F9">
        <w:rPr>
          <w:rFonts w:ascii="Bookman Old Style" w:hAnsi="Bookman Old Style"/>
          <w:b/>
          <w:i/>
          <w:sz w:val="22"/>
          <w:szCs w:val="22"/>
        </w:rPr>
        <w:t>Se debe procurar que las tarifas se aproximen a lo que serían los precios de un mercado competitivo (L.142 Art. 87.1 y 143 Art. 44); que a los usuarios no se le trasladen costos de gestiones ineficientes (L.142 Arts. 87.1 y 90 y 143 Art.39); que al definir los costos y gastos típicos de operación las comisiones utilizarán no solo la información propia de la empresa, sino la de otras empresas que operen en condiciones similares, pero que sean más eficientes (L.142 Art. 92); que dado el deber legal de lograr un adecuado equilibrio entre los principios de eficiencia y suficiencia financiera, no se permitirán alzas destinadas a recuperar pérdidas patrimoniales (L.142 Art. 92); y que las empresas no pueden extraer beneficios de posiciones dominantes o de monopolio (L.142 Art. 87.1 y 90)</w:t>
      </w:r>
      <w:r w:rsidRPr="00C623F9">
        <w:rPr>
          <w:rFonts w:ascii="Bookman Old Style" w:hAnsi="Bookman Old Style"/>
          <w:i/>
          <w:sz w:val="22"/>
          <w:szCs w:val="22"/>
        </w:rPr>
        <w:t>”</w:t>
      </w:r>
      <w:r w:rsidR="0026544D">
        <w:rPr>
          <w:rFonts w:ascii="Bookman Old Style" w:hAnsi="Bookman Old Style"/>
          <w:i/>
          <w:sz w:val="22"/>
          <w:szCs w:val="22"/>
        </w:rPr>
        <w:t>.</w:t>
      </w:r>
    </w:p>
    <w:p w:rsidR="0074250E" w:rsidRPr="00DF728E" w:rsidRDefault="0074250E" w:rsidP="00C623F9">
      <w:pPr>
        <w:jc w:val="both"/>
        <w:rPr>
          <w:rFonts w:ascii="Bookman Old Style" w:hAnsi="Bookman Old Style"/>
          <w:i/>
          <w:sz w:val="20"/>
          <w:szCs w:val="22"/>
        </w:rPr>
      </w:pPr>
    </w:p>
    <w:p w:rsidR="0074250E" w:rsidRPr="00C623F9" w:rsidRDefault="0074250E" w:rsidP="00C623F9">
      <w:pPr>
        <w:jc w:val="both"/>
        <w:rPr>
          <w:rFonts w:ascii="Bookman Old Style" w:hAnsi="Bookman Old Style" w:cs="Arial"/>
          <w:sz w:val="22"/>
          <w:szCs w:val="22"/>
        </w:rPr>
      </w:pPr>
      <w:r w:rsidRPr="00C623F9">
        <w:rPr>
          <w:rFonts w:ascii="Bookman Old Style" w:hAnsi="Bookman Old Style"/>
          <w:i/>
          <w:sz w:val="22"/>
          <w:szCs w:val="22"/>
        </w:rPr>
        <w:t xml:space="preserve">“De acuerdo con estas normas, se concluye que la ley no permite remunerar a los distribuidores cualquier costo que pretendan cobrar por su servicio, sino que debe tratarse de costos regidos, entre otros, por los principios legales de eficiencia económica y suficiencia financiera como son los previstos en el Anexo 3 de la Resolución CREG – 082 de 2002 y aplicados en la resolución recurrida” </w:t>
      </w:r>
      <w:r w:rsidRPr="00C623F9">
        <w:rPr>
          <w:rFonts w:ascii="Bookman Old Style" w:hAnsi="Bookman Old Style" w:cs="Arial"/>
          <w:color w:val="000000"/>
          <w:sz w:val="22"/>
          <w:szCs w:val="22"/>
        </w:rPr>
        <w:t>(Subrayas y negrillas propias)</w:t>
      </w:r>
    </w:p>
    <w:p w:rsidR="0074250E" w:rsidRPr="006875CB" w:rsidRDefault="0074250E" w:rsidP="0074250E">
      <w:pPr>
        <w:ind w:left="0"/>
        <w:jc w:val="both"/>
        <w:rPr>
          <w:rFonts w:ascii="Bookman Old Style" w:hAnsi="Bookman Old Style" w:cs="Arial"/>
          <w:bCs/>
          <w:spacing w:val="-3"/>
        </w:rPr>
      </w:pPr>
    </w:p>
    <w:p w:rsidR="0074250E" w:rsidRPr="006875CB" w:rsidRDefault="0074250E" w:rsidP="0074250E">
      <w:pPr>
        <w:ind w:left="0"/>
        <w:jc w:val="both"/>
        <w:rPr>
          <w:rFonts w:ascii="Bookman Old Style" w:hAnsi="Bookman Old Style" w:cs="Arial"/>
          <w:bCs/>
          <w:spacing w:val="-3"/>
        </w:rPr>
      </w:pPr>
      <w:r w:rsidRPr="006875CB">
        <w:rPr>
          <w:rFonts w:ascii="Bookman Old Style" w:hAnsi="Bookman Old Style" w:cs="Arial"/>
          <w:bCs/>
          <w:spacing w:val="-3"/>
        </w:rPr>
        <w:t xml:space="preserve">En igual sentido se pronunció la Comisión en la Resolución CREG 087 de 2004, mediante la cual se resolvió un recurso de reposición interpuesto por Empresas Públicas de Medellín E.S.P. contra la Resolución CREG 022 de 2004, </w:t>
      </w:r>
      <w:r w:rsidRPr="006875CB">
        <w:rPr>
          <w:rFonts w:ascii="Bookman Old Style" w:hAnsi="Bookman Old Style" w:cs="Arial"/>
          <w:bCs/>
          <w:spacing w:val="-3"/>
        </w:rPr>
        <w:lastRenderedPageBreak/>
        <w:t>específicamente contra sus artículos 5 y 6, en los cuales se señaló el cargo promedio de distribución de gas combustible por red aplicable al mercado relevante atendido por Empresas Públicas de Medellín E.S.P. En aquella oportunidad esa empresa solicitaba modificar la valoración de los activos inherentes a la operación, considerando para ellos los precios reales en que incurrió surgidos de los procesos licitatorios contractuales abiertos a nivel nacional para la construcción de la red, por ser estos procesos, según la recurrente, garantía para obtener mejores precios:</w:t>
      </w:r>
    </w:p>
    <w:p w:rsidR="0074250E" w:rsidRPr="006875CB" w:rsidRDefault="0074250E" w:rsidP="0074250E">
      <w:pPr>
        <w:pStyle w:val="Sangra3detindependiente"/>
        <w:spacing w:after="0"/>
        <w:ind w:left="0"/>
        <w:jc w:val="both"/>
        <w:rPr>
          <w:rFonts w:ascii="Bookman Old Style" w:hAnsi="Bookman Old Style"/>
          <w:i/>
          <w:iCs/>
          <w:sz w:val="24"/>
          <w:szCs w:val="24"/>
        </w:rPr>
      </w:pPr>
    </w:p>
    <w:p w:rsidR="0074250E" w:rsidRPr="00C623F9" w:rsidRDefault="0074250E" w:rsidP="00C623F9">
      <w:pPr>
        <w:pStyle w:val="Sangra3detindependiente"/>
        <w:spacing w:after="0"/>
        <w:ind w:left="567"/>
        <w:jc w:val="both"/>
        <w:rPr>
          <w:rFonts w:ascii="Bookman Old Style" w:hAnsi="Bookman Old Style"/>
          <w:i/>
          <w:iCs/>
          <w:sz w:val="22"/>
          <w:szCs w:val="22"/>
        </w:rPr>
      </w:pPr>
      <w:r w:rsidRPr="00C623F9">
        <w:rPr>
          <w:rFonts w:ascii="Bookman Old Style" w:hAnsi="Bookman Old Style"/>
          <w:i/>
          <w:iCs/>
          <w:sz w:val="22"/>
          <w:szCs w:val="22"/>
        </w:rPr>
        <w:t xml:space="preserve">“Como primera medida es importante resaltar que </w:t>
      </w:r>
      <w:r w:rsidRPr="00C623F9">
        <w:rPr>
          <w:rFonts w:ascii="Bookman Old Style" w:hAnsi="Bookman Old Style"/>
          <w:b/>
          <w:i/>
          <w:iCs/>
          <w:sz w:val="22"/>
          <w:szCs w:val="22"/>
          <w:u w:val="single"/>
        </w:rPr>
        <w:t xml:space="preserve">la metodología para valorar la inversión que la CREG ha adoptado a través de la Resolución CREG 11 de 2003, no pretende reconocer los costos </w:t>
      </w:r>
      <w:r w:rsidR="0026544D">
        <w:rPr>
          <w:rFonts w:ascii="Bookman Old Style" w:hAnsi="Bookman Old Style"/>
          <w:b/>
          <w:i/>
          <w:iCs/>
          <w:sz w:val="22"/>
          <w:szCs w:val="22"/>
          <w:u w:val="single"/>
        </w:rPr>
        <w:t>‘</w:t>
      </w:r>
      <w:r w:rsidRPr="00C623F9">
        <w:rPr>
          <w:rFonts w:ascii="Bookman Old Style" w:hAnsi="Bookman Old Style"/>
          <w:b/>
          <w:i/>
          <w:iCs/>
          <w:sz w:val="22"/>
          <w:szCs w:val="22"/>
          <w:u w:val="single"/>
        </w:rPr>
        <w:t>reales</w:t>
      </w:r>
      <w:r w:rsidR="0026544D">
        <w:rPr>
          <w:rFonts w:ascii="Bookman Old Style" w:hAnsi="Bookman Old Style"/>
          <w:b/>
          <w:i/>
          <w:iCs/>
          <w:sz w:val="22"/>
          <w:szCs w:val="22"/>
          <w:u w:val="single"/>
        </w:rPr>
        <w:t>’</w:t>
      </w:r>
      <w:r w:rsidRPr="00C623F9">
        <w:rPr>
          <w:rFonts w:ascii="Bookman Old Style" w:hAnsi="Bookman Old Style"/>
          <w:i/>
          <w:iCs/>
          <w:sz w:val="22"/>
          <w:szCs w:val="22"/>
        </w:rPr>
        <w:t xml:space="preserve"> que la empresa ha hundido en inversión y lo que aspira en AO&amp;M. </w:t>
      </w:r>
      <w:r w:rsidRPr="00C623F9">
        <w:rPr>
          <w:rFonts w:ascii="Bookman Old Style" w:hAnsi="Bookman Old Style"/>
          <w:b/>
          <w:i/>
          <w:iCs/>
          <w:sz w:val="22"/>
          <w:szCs w:val="22"/>
          <w:u w:val="single"/>
        </w:rPr>
        <w:t>Por otro lado, si la intención de la CREG fuese reconocer ese valor no se adelantarían metodologías de valoración de inversión y AO&amp;M sino que simplemente se le solicitaría a la empresa un reporte de este valor para incluirlo de manera pura y simple en la Resolución individual</w:t>
      </w:r>
      <w:r w:rsidRPr="00C623F9">
        <w:rPr>
          <w:rFonts w:ascii="Bookman Old Style" w:hAnsi="Bookman Old Style"/>
          <w:i/>
          <w:iCs/>
          <w:sz w:val="22"/>
          <w:szCs w:val="22"/>
        </w:rPr>
        <w:t xml:space="preserve">. </w:t>
      </w:r>
      <w:r w:rsidRPr="00C623F9">
        <w:rPr>
          <w:rFonts w:ascii="Bookman Old Style" w:hAnsi="Bookman Old Style"/>
          <w:b/>
          <w:i/>
          <w:iCs/>
          <w:sz w:val="22"/>
          <w:szCs w:val="22"/>
          <w:u w:val="single"/>
        </w:rPr>
        <w:t>Sin embargo la ley le ordena a la CREG fijar las tarifas con criterios de eficiencia, pues el propósito de estas Resoluciones, en términos generales, es conjugar los derechos de todos los sectores con interés en los procesos tarifarios, esto es, la empresa y los usuarios.</w:t>
      </w:r>
      <w:r w:rsidRPr="00C623F9">
        <w:rPr>
          <w:rFonts w:ascii="Bookman Old Style" w:hAnsi="Bookman Old Style"/>
          <w:i/>
          <w:iCs/>
          <w:sz w:val="22"/>
          <w:szCs w:val="22"/>
        </w:rPr>
        <w:t xml:space="preserve"> Así las cosas, por un lado se encuentra la aspiración legítima de la empresa para que se le reconozcan sus inversiones y los costos asociados a la misma, y con mayor razón, cuando tales inversiones, según se afirma en los documentos que reposan en el expediente, se realizaron a partir de procesos que buscaban lograr los mejores costos, y por otro lado, se encuentra la posición del usuario que busca que se definan unas tarifas adecuadas. En consecuencia, el objetivo tarifario es lograr que con la eficiencia en la valoración de la inversión y del AO&amp;M se equilibren estas posturas y de esa manera la empresa reciba lo que eficientemente le corresponde por su actividad y el usuario que desee el servicio se vea avocado a sufragarlo. </w:t>
      </w:r>
    </w:p>
    <w:p w:rsidR="0074250E" w:rsidRPr="00DF728E" w:rsidRDefault="0074250E" w:rsidP="00C623F9">
      <w:pPr>
        <w:pStyle w:val="Sangra3detindependiente"/>
        <w:spacing w:after="0"/>
        <w:ind w:left="567"/>
        <w:jc w:val="both"/>
        <w:rPr>
          <w:rFonts w:ascii="Bookman Old Style" w:hAnsi="Bookman Old Style"/>
          <w:b/>
          <w:i/>
          <w:iCs/>
          <w:sz w:val="20"/>
          <w:szCs w:val="22"/>
          <w:u w:val="single"/>
        </w:rPr>
      </w:pPr>
    </w:p>
    <w:p w:rsidR="0074250E" w:rsidRPr="00C623F9" w:rsidRDefault="0074250E" w:rsidP="00C623F9">
      <w:pPr>
        <w:pStyle w:val="Sangra3detindependiente"/>
        <w:spacing w:after="0"/>
        <w:ind w:left="567"/>
        <w:jc w:val="both"/>
        <w:rPr>
          <w:rFonts w:ascii="Bookman Old Style" w:hAnsi="Bookman Old Style"/>
          <w:i/>
          <w:iCs/>
          <w:sz w:val="22"/>
          <w:szCs w:val="22"/>
        </w:rPr>
      </w:pPr>
      <w:r w:rsidRPr="00C623F9">
        <w:rPr>
          <w:rFonts w:ascii="Bookman Old Style" w:hAnsi="Bookman Old Style"/>
          <w:b/>
          <w:i/>
          <w:iCs/>
          <w:sz w:val="22"/>
          <w:szCs w:val="22"/>
          <w:u w:val="single"/>
        </w:rPr>
        <w:t xml:space="preserve">Nótese como la idea central del proceso tarifario no es reconocer un costo </w:t>
      </w:r>
      <w:r w:rsidR="00F10157">
        <w:rPr>
          <w:rFonts w:ascii="Bookman Old Style" w:hAnsi="Bookman Old Style"/>
          <w:b/>
          <w:i/>
          <w:iCs/>
          <w:sz w:val="22"/>
          <w:szCs w:val="22"/>
          <w:u w:val="single"/>
        </w:rPr>
        <w:t>‘</w:t>
      </w:r>
      <w:r w:rsidRPr="00C623F9">
        <w:rPr>
          <w:rFonts w:ascii="Bookman Old Style" w:hAnsi="Bookman Old Style"/>
          <w:b/>
          <w:i/>
          <w:iCs/>
          <w:sz w:val="22"/>
          <w:szCs w:val="22"/>
          <w:u w:val="single"/>
        </w:rPr>
        <w:t>real</w:t>
      </w:r>
      <w:r w:rsidR="00F10157">
        <w:rPr>
          <w:rFonts w:ascii="Bookman Old Style" w:hAnsi="Bookman Old Style"/>
          <w:b/>
          <w:i/>
          <w:iCs/>
          <w:sz w:val="22"/>
          <w:szCs w:val="22"/>
          <w:u w:val="single"/>
        </w:rPr>
        <w:t>’</w:t>
      </w:r>
      <w:r w:rsidRPr="00C623F9">
        <w:rPr>
          <w:rFonts w:ascii="Bookman Old Style" w:hAnsi="Bookman Old Style"/>
          <w:b/>
          <w:i/>
          <w:iCs/>
          <w:sz w:val="22"/>
          <w:szCs w:val="22"/>
          <w:u w:val="single"/>
        </w:rPr>
        <w:t xml:space="preserve"> sino uno eficiente para todas las partes.</w:t>
      </w:r>
      <w:r w:rsidRPr="00C623F9">
        <w:rPr>
          <w:rFonts w:ascii="Bookman Old Style" w:hAnsi="Bookman Old Style"/>
          <w:i/>
          <w:iCs/>
          <w:sz w:val="22"/>
          <w:szCs w:val="22"/>
        </w:rPr>
        <w:t xml:space="preserve"> De esta manera, si algunos costos </w:t>
      </w:r>
      <w:r w:rsidR="00F10157">
        <w:rPr>
          <w:rFonts w:ascii="Bookman Old Style" w:hAnsi="Bookman Old Style"/>
          <w:i/>
          <w:iCs/>
          <w:sz w:val="22"/>
          <w:szCs w:val="22"/>
        </w:rPr>
        <w:t>‘</w:t>
      </w:r>
      <w:r w:rsidRPr="00C623F9">
        <w:rPr>
          <w:rFonts w:ascii="Bookman Old Style" w:hAnsi="Bookman Old Style"/>
          <w:i/>
          <w:iCs/>
          <w:sz w:val="22"/>
          <w:szCs w:val="22"/>
        </w:rPr>
        <w:t>reales</w:t>
      </w:r>
      <w:r w:rsidR="00F10157">
        <w:rPr>
          <w:rFonts w:ascii="Bookman Old Style" w:hAnsi="Bookman Old Style"/>
          <w:i/>
          <w:iCs/>
          <w:sz w:val="22"/>
          <w:szCs w:val="22"/>
        </w:rPr>
        <w:t>’</w:t>
      </w:r>
      <w:r w:rsidRPr="00C623F9">
        <w:rPr>
          <w:rFonts w:ascii="Bookman Old Style" w:hAnsi="Bookman Old Style"/>
          <w:i/>
          <w:iCs/>
          <w:sz w:val="22"/>
          <w:szCs w:val="22"/>
        </w:rPr>
        <w:t xml:space="preserve"> son calificados como ineficientes no es posible reconocerlos vía tarifas, y en el mismo sentido, la tarifa que resulte debe ser asumida por el usuario aún si la considerada muy alta. Se recuerda que la Ley 142 de 1994, en su Artículo 87.1 en virtud de la eficiencia económica prohíbe trasladar vía tarifa los costos de gestión ineficiente. </w:t>
      </w:r>
    </w:p>
    <w:p w:rsidR="0074250E" w:rsidRPr="00C623F9" w:rsidRDefault="0074250E" w:rsidP="00C623F9">
      <w:pPr>
        <w:pStyle w:val="Encabezado"/>
        <w:jc w:val="both"/>
        <w:rPr>
          <w:rFonts w:ascii="Bookman Old Style" w:hAnsi="Bookman Old Style" w:cs="Arial"/>
          <w:iCs/>
          <w:sz w:val="22"/>
          <w:szCs w:val="22"/>
          <w:lang w:val="es-ES_tradnl"/>
        </w:rPr>
      </w:pPr>
    </w:p>
    <w:p w:rsidR="0074250E" w:rsidRPr="00C623F9" w:rsidRDefault="0074250E" w:rsidP="00C623F9">
      <w:pPr>
        <w:pStyle w:val="Encabezado"/>
        <w:jc w:val="both"/>
        <w:rPr>
          <w:rFonts w:ascii="Bookman Old Style" w:hAnsi="Bookman Old Style" w:cs="Arial"/>
          <w:iCs/>
          <w:sz w:val="22"/>
          <w:szCs w:val="22"/>
          <w:lang w:val="es-ES_tradnl"/>
        </w:rPr>
      </w:pPr>
      <w:r w:rsidRPr="00C623F9">
        <w:rPr>
          <w:rFonts w:ascii="Bookman Old Style" w:hAnsi="Bookman Old Style" w:cs="Arial"/>
          <w:i/>
          <w:iCs/>
          <w:sz w:val="22"/>
          <w:szCs w:val="22"/>
          <w:lang w:val="es-ES_tradnl"/>
        </w:rPr>
        <w:t xml:space="preserve">(…)” </w:t>
      </w:r>
      <w:r w:rsidRPr="00C623F9">
        <w:rPr>
          <w:rFonts w:ascii="Bookman Old Style" w:hAnsi="Bookman Old Style" w:cs="Arial"/>
          <w:color w:val="000000"/>
          <w:sz w:val="22"/>
          <w:szCs w:val="22"/>
        </w:rPr>
        <w:t>(Subrayas y negrillas propias)</w:t>
      </w:r>
    </w:p>
    <w:p w:rsidR="00F10157" w:rsidRDefault="00F10157" w:rsidP="00A65EA2">
      <w:pPr>
        <w:ind w:left="0"/>
        <w:jc w:val="both"/>
        <w:rPr>
          <w:rFonts w:ascii="Bookman Old Style" w:hAnsi="Bookman Old Style"/>
        </w:rPr>
      </w:pPr>
    </w:p>
    <w:p w:rsidR="00FB0478" w:rsidRDefault="00A65EA2" w:rsidP="001148DF">
      <w:pPr>
        <w:ind w:left="0"/>
        <w:jc w:val="both"/>
        <w:rPr>
          <w:rFonts w:ascii="Bookman Old Style" w:hAnsi="Bookman Old Style"/>
        </w:rPr>
      </w:pPr>
      <w:r w:rsidRPr="006875CB">
        <w:rPr>
          <w:rFonts w:ascii="Bookman Old Style" w:hAnsi="Bookman Old Style"/>
        </w:rPr>
        <w:t>Se reitera que</w:t>
      </w:r>
      <w:r w:rsidR="00FB0478">
        <w:rPr>
          <w:rFonts w:ascii="Bookman Old Style" w:hAnsi="Bookman Old Style"/>
        </w:rPr>
        <w:t xml:space="preserve">: </w:t>
      </w:r>
    </w:p>
    <w:p w:rsidR="00FB0478" w:rsidRPr="00FB0478" w:rsidRDefault="00FB0478" w:rsidP="001148DF">
      <w:pPr>
        <w:ind w:left="0"/>
        <w:jc w:val="both"/>
        <w:rPr>
          <w:rFonts w:ascii="Bookman Old Style" w:hAnsi="Bookman Old Style"/>
        </w:rPr>
      </w:pPr>
    </w:p>
    <w:p w:rsidR="0078281C" w:rsidRDefault="00FB0478" w:rsidP="009C5753">
      <w:pPr>
        <w:pStyle w:val="Prrafodelista"/>
        <w:numPr>
          <w:ilvl w:val="0"/>
          <w:numId w:val="34"/>
        </w:numPr>
        <w:ind w:left="426" w:hanging="426"/>
        <w:jc w:val="both"/>
        <w:rPr>
          <w:rFonts w:ascii="Bookman Old Style" w:hAnsi="Bookman Old Style"/>
          <w:sz w:val="24"/>
          <w:szCs w:val="24"/>
        </w:rPr>
      </w:pPr>
      <w:r w:rsidRPr="00FB0478">
        <w:rPr>
          <w:rFonts w:ascii="Bookman Old Style" w:hAnsi="Bookman Old Style"/>
          <w:sz w:val="24"/>
          <w:szCs w:val="24"/>
        </w:rPr>
        <w:t>L</w:t>
      </w:r>
      <w:r w:rsidR="00A65EA2" w:rsidRPr="00FB0478">
        <w:rPr>
          <w:rFonts w:ascii="Bookman Old Style" w:hAnsi="Bookman Old Style"/>
          <w:sz w:val="24"/>
          <w:szCs w:val="24"/>
        </w:rPr>
        <w:t xml:space="preserve">a forma en que la CREG estimó el costo eficiente para el caso del sistema regional de transporte de gas natural </w:t>
      </w:r>
      <w:r w:rsidR="00B67EA2" w:rsidRPr="00B67EA2">
        <w:rPr>
          <w:rFonts w:ascii="Bookman Old Style" w:hAnsi="Bookman Old Style"/>
          <w:sz w:val="24"/>
          <w:szCs w:val="24"/>
        </w:rPr>
        <w:t>Cundi</w:t>
      </w:r>
      <w:r w:rsidR="00730B6C">
        <w:rPr>
          <w:rFonts w:ascii="Bookman Old Style" w:hAnsi="Bookman Old Style"/>
          <w:sz w:val="24"/>
          <w:szCs w:val="24"/>
        </w:rPr>
        <w:t xml:space="preserve"> S</w:t>
      </w:r>
      <w:r w:rsidR="00B67EA2" w:rsidRPr="00B67EA2">
        <w:rPr>
          <w:rFonts w:ascii="Bookman Old Style" w:hAnsi="Bookman Old Style"/>
          <w:sz w:val="24"/>
          <w:szCs w:val="24"/>
        </w:rPr>
        <w:t>uroccidental</w:t>
      </w:r>
      <w:r w:rsidR="00A65EA2" w:rsidRPr="00FB0478">
        <w:rPr>
          <w:rFonts w:ascii="Bookman Old Style" w:hAnsi="Bookman Old Style"/>
          <w:sz w:val="24"/>
          <w:szCs w:val="24"/>
        </w:rPr>
        <w:t xml:space="preserve"> se encuentra claramente explicado en el Documento CREG </w:t>
      </w:r>
      <w:r w:rsidR="00A65EA2" w:rsidRPr="00730B6C">
        <w:rPr>
          <w:rFonts w:ascii="Bookman Old Style" w:hAnsi="Bookman Old Style"/>
          <w:sz w:val="24"/>
          <w:szCs w:val="24"/>
        </w:rPr>
        <w:t>082</w:t>
      </w:r>
      <w:r w:rsidR="00A65EA2" w:rsidRPr="00FB0478">
        <w:rPr>
          <w:rFonts w:ascii="Bookman Old Style" w:hAnsi="Bookman Old Style"/>
          <w:sz w:val="24"/>
          <w:szCs w:val="24"/>
        </w:rPr>
        <w:t xml:space="preserve"> de 2012. Las variables que </w:t>
      </w:r>
      <w:r w:rsidR="00A65EA2" w:rsidRPr="00000306">
        <w:rPr>
          <w:rFonts w:ascii="Bookman Old Style" w:hAnsi="Bookman Old Style"/>
          <w:sz w:val="24"/>
          <w:szCs w:val="24"/>
        </w:rPr>
        <w:t>se enumeran</w:t>
      </w:r>
      <w:r w:rsidR="00A65EA2" w:rsidRPr="00D31FE7">
        <w:rPr>
          <w:rFonts w:ascii="Bookman Old Style" w:hAnsi="Bookman Old Style"/>
          <w:sz w:val="24"/>
          <w:szCs w:val="24"/>
        </w:rPr>
        <w:t xml:space="preserve"> en </w:t>
      </w:r>
      <w:r w:rsidR="00262E20" w:rsidRPr="00D31FE7">
        <w:rPr>
          <w:rFonts w:ascii="Bookman Old Style" w:hAnsi="Bookman Old Style"/>
          <w:sz w:val="24"/>
          <w:szCs w:val="24"/>
        </w:rPr>
        <w:t xml:space="preserve">el </w:t>
      </w:r>
      <w:r w:rsidR="00A65EA2" w:rsidRPr="00D31FE7">
        <w:rPr>
          <w:rFonts w:ascii="Bookman Old Style" w:hAnsi="Bookman Old Style"/>
          <w:sz w:val="24"/>
          <w:szCs w:val="24"/>
        </w:rPr>
        <w:t xml:space="preserve">Anexo 3 recogen </w:t>
      </w:r>
      <w:r w:rsidR="00A65EA2" w:rsidRPr="009C5753">
        <w:rPr>
          <w:rFonts w:ascii="Bookman Old Style" w:hAnsi="Bookman Old Style"/>
          <w:sz w:val="24"/>
          <w:szCs w:val="24"/>
        </w:rPr>
        <w:t xml:space="preserve">los costos </w:t>
      </w:r>
      <w:r w:rsidR="00D31FE7" w:rsidRPr="006338D6">
        <w:rPr>
          <w:rFonts w:ascii="Bookman Old Style" w:hAnsi="Bookman Old Style"/>
          <w:sz w:val="24"/>
          <w:szCs w:val="24"/>
        </w:rPr>
        <w:t xml:space="preserve">asociados </w:t>
      </w:r>
      <w:r w:rsidR="00D31FE7">
        <w:rPr>
          <w:rFonts w:ascii="Bookman Old Style" w:hAnsi="Bookman Old Style"/>
          <w:sz w:val="24"/>
          <w:szCs w:val="24"/>
        </w:rPr>
        <w:t>a la construcción de un gasoducto con diferentes características particulares (</w:t>
      </w:r>
      <w:r w:rsidR="00D31FE7" w:rsidRPr="00FB0478">
        <w:rPr>
          <w:rFonts w:ascii="Bookman Old Style" w:hAnsi="Bookman Old Style"/>
          <w:sz w:val="24"/>
          <w:szCs w:val="24"/>
        </w:rPr>
        <w:t>e.g. topografía, tipo de terreno, cruces subfluviales, etc</w:t>
      </w:r>
      <w:r w:rsidR="00730B6C">
        <w:rPr>
          <w:rFonts w:ascii="Bookman Old Style" w:hAnsi="Bookman Old Style"/>
          <w:sz w:val="24"/>
          <w:szCs w:val="24"/>
        </w:rPr>
        <w:t>.</w:t>
      </w:r>
      <w:r w:rsidR="00D31FE7">
        <w:rPr>
          <w:rFonts w:ascii="Bookman Old Style" w:hAnsi="Bookman Old Style"/>
          <w:sz w:val="24"/>
          <w:szCs w:val="24"/>
        </w:rPr>
        <w:t xml:space="preserve">) con lo que se </w:t>
      </w:r>
      <w:r w:rsidR="001148DF" w:rsidRPr="00D31FE7">
        <w:rPr>
          <w:rFonts w:ascii="Bookman Old Style" w:hAnsi="Bookman Old Style"/>
          <w:sz w:val="24"/>
          <w:szCs w:val="24"/>
        </w:rPr>
        <w:t xml:space="preserve">determina el valor eficiente de un gasoducto. </w:t>
      </w:r>
    </w:p>
    <w:p w:rsidR="007E2E1B" w:rsidRPr="00FB0478" w:rsidRDefault="0078281C" w:rsidP="00826045">
      <w:pPr>
        <w:pStyle w:val="Prrafodelista"/>
        <w:ind w:left="426"/>
        <w:jc w:val="both"/>
        <w:rPr>
          <w:rFonts w:ascii="Bookman Old Style" w:hAnsi="Bookman Old Style"/>
          <w:sz w:val="24"/>
          <w:szCs w:val="24"/>
        </w:rPr>
      </w:pPr>
      <w:r w:rsidRPr="00FB0478">
        <w:rPr>
          <w:rFonts w:ascii="Bookman Old Style" w:hAnsi="Bookman Old Style"/>
          <w:sz w:val="24"/>
          <w:szCs w:val="24"/>
        </w:rPr>
        <w:lastRenderedPageBreak/>
        <w:t xml:space="preserve">Como se explica en el Anexo 3 mencionado, el modelo de valoración se basa en un método de comparación y considera trece (13) criterios que afectan el valor de construcción de un gasoducto. Los criterios utilizados consideran información </w:t>
      </w:r>
      <w:r>
        <w:rPr>
          <w:rFonts w:ascii="Bookman Old Style" w:hAnsi="Bookman Old Style"/>
          <w:sz w:val="24"/>
          <w:szCs w:val="24"/>
        </w:rPr>
        <w:t xml:space="preserve">reportada por TGI en su momento y </w:t>
      </w:r>
      <w:r w:rsidRPr="00FB0478">
        <w:rPr>
          <w:rFonts w:ascii="Bookman Old Style" w:hAnsi="Bookman Old Style"/>
          <w:sz w:val="24"/>
          <w:szCs w:val="24"/>
        </w:rPr>
        <w:t>precios disponible</w:t>
      </w:r>
      <w:r>
        <w:rPr>
          <w:rFonts w:ascii="Bookman Old Style" w:hAnsi="Bookman Old Style"/>
          <w:sz w:val="24"/>
          <w:szCs w:val="24"/>
        </w:rPr>
        <w:t>s</w:t>
      </w:r>
      <w:r w:rsidRPr="00FB0478">
        <w:rPr>
          <w:rFonts w:ascii="Bookman Old Style" w:hAnsi="Bookman Old Style"/>
          <w:sz w:val="24"/>
          <w:szCs w:val="24"/>
        </w:rPr>
        <w:t xml:space="preserve"> a octubre de 2012. </w:t>
      </w:r>
      <w:r>
        <w:rPr>
          <w:rFonts w:ascii="Bookman Old Style" w:hAnsi="Bookman Old Style"/>
          <w:sz w:val="24"/>
          <w:szCs w:val="24"/>
        </w:rPr>
        <w:t>Así, l</w:t>
      </w:r>
      <w:r w:rsidRPr="00FB0478">
        <w:rPr>
          <w:rFonts w:ascii="Bookman Old Style" w:hAnsi="Bookman Old Style"/>
          <w:sz w:val="24"/>
          <w:szCs w:val="24"/>
        </w:rPr>
        <w:t xml:space="preserve">os criterios recogen los aspectos característicos de la construcción del sistema regional de transporte </w:t>
      </w:r>
      <w:r w:rsidR="00B67EA2" w:rsidRPr="00B67EA2">
        <w:rPr>
          <w:rFonts w:ascii="Bookman Old Style" w:hAnsi="Bookman Old Style"/>
          <w:sz w:val="24"/>
          <w:szCs w:val="24"/>
        </w:rPr>
        <w:t>Cundi</w:t>
      </w:r>
      <w:r w:rsidR="00730B6C">
        <w:rPr>
          <w:rFonts w:ascii="Bookman Old Style" w:hAnsi="Bookman Old Style"/>
          <w:sz w:val="24"/>
          <w:szCs w:val="24"/>
        </w:rPr>
        <w:t xml:space="preserve"> S</w:t>
      </w:r>
      <w:r w:rsidR="00B67EA2" w:rsidRPr="00B67EA2">
        <w:rPr>
          <w:rFonts w:ascii="Bookman Old Style" w:hAnsi="Bookman Old Style"/>
          <w:sz w:val="24"/>
          <w:szCs w:val="24"/>
        </w:rPr>
        <w:t>uroccidental</w:t>
      </w:r>
      <w:r w:rsidRPr="00FB0478">
        <w:rPr>
          <w:rFonts w:ascii="Bookman Old Style" w:hAnsi="Bookman Old Style"/>
          <w:sz w:val="24"/>
          <w:szCs w:val="24"/>
        </w:rPr>
        <w:t xml:space="preserve"> (e.g. topografía, tipo de terreno, cruces subfluviales, etc.) reportados por TGI</w:t>
      </w:r>
      <w:r>
        <w:rPr>
          <w:rFonts w:ascii="Bookman Old Style" w:hAnsi="Bookman Old Style"/>
          <w:sz w:val="24"/>
          <w:szCs w:val="24"/>
        </w:rPr>
        <w:t>,</w:t>
      </w:r>
      <w:r w:rsidRPr="00FB0478">
        <w:rPr>
          <w:rFonts w:ascii="Bookman Old Style" w:hAnsi="Bookman Old Style"/>
          <w:sz w:val="24"/>
          <w:szCs w:val="24"/>
        </w:rPr>
        <w:t xml:space="preserve"> y los disponibles en el mercado como precios del acero y mano de obra al momento de la valoración (Octubre de 2012).</w:t>
      </w:r>
      <w:r w:rsidR="00FB0478" w:rsidRPr="00FB0478">
        <w:rPr>
          <w:rFonts w:ascii="Bookman Old Style" w:hAnsi="Bookman Old Style"/>
          <w:sz w:val="24"/>
          <w:szCs w:val="24"/>
        </w:rPr>
        <w:t xml:space="preserve"> </w:t>
      </w:r>
      <w:r w:rsidR="00D349AB" w:rsidRPr="00FB0478">
        <w:rPr>
          <w:rFonts w:ascii="Bookman Old Style" w:hAnsi="Bookman Old Style"/>
          <w:sz w:val="24"/>
          <w:szCs w:val="24"/>
        </w:rPr>
        <w:t xml:space="preserve"> </w:t>
      </w:r>
      <w:r w:rsidR="007E2E1B" w:rsidRPr="00FB0478">
        <w:rPr>
          <w:rFonts w:ascii="Bookman Old Style" w:hAnsi="Bookman Old Style"/>
          <w:sz w:val="24"/>
          <w:szCs w:val="24"/>
        </w:rPr>
        <w:t xml:space="preserve"> </w:t>
      </w:r>
    </w:p>
    <w:p w:rsidR="00FB0478" w:rsidRDefault="00FB0478" w:rsidP="00FB0478">
      <w:pPr>
        <w:pStyle w:val="Prrafodelista"/>
        <w:ind w:left="426"/>
        <w:jc w:val="both"/>
        <w:rPr>
          <w:rFonts w:ascii="Bookman Old Style" w:hAnsi="Bookman Old Style"/>
          <w:sz w:val="24"/>
          <w:szCs w:val="24"/>
        </w:rPr>
      </w:pPr>
    </w:p>
    <w:p w:rsidR="001148DF" w:rsidRPr="00FB0478" w:rsidRDefault="00FB0478" w:rsidP="00FB0478">
      <w:pPr>
        <w:pStyle w:val="Prrafodelista"/>
        <w:numPr>
          <w:ilvl w:val="0"/>
          <w:numId w:val="34"/>
        </w:numPr>
        <w:ind w:left="426" w:hanging="426"/>
        <w:jc w:val="both"/>
        <w:rPr>
          <w:rFonts w:ascii="Bookman Old Style" w:hAnsi="Bookman Old Style"/>
          <w:sz w:val="24"/>
          <w:szCs w:val="24"/>
        </w:rPr>
      </w:pPr>
      <w:r>
        <w:rPr>
          <w:rFonts w:ascii="Bookman Old Style" w:hAnsi="Bookman Old Style"/>
          <w:sz w:val="24"/>
          <w:szCs w:val="24"/>
        </w:rPr>
        <w:t xml:space="preserve">Los valores eficientes reconocidos para efectos tarifarios no necesariamente deben coincidir con el valor esperado, o con los costos reales en que incurre el respectivo agente. La </w:t>
      </w:r>
      <w:r w:rsidRPr="00D70C78">
        <w:rPr>
          <w:rFonts w:ascii="Bookman Old Style" w:hAnsi="Bookman Old Style"/>
          <w:i/>
          <w:sz w:val="24"/>
          <w:szCs w:val="24"/>
        </w:rPr>
        <w:t>metodología</w:t>
      </w:r>
      <w:r>
        <w:rPr>
          <w:rFonts w:ascii="Bookman Old Style" w:hAnsi="Bookman Old Style"/>
          <w:sz w:val="24"/>
          <w:szCs w:val="24"/>
        </w:rPr>
        <w:t xml:space="preserve"> de remuneración es de incentivos y como tal el agente enfrenta riesgos que son debidamente reconocidos en la metodología tarifaria.    </w:t>
      </w:r>
      <w:r w:rsidR="007E2E1B" w:rsidRPr="00FB0478">
        <w:rPr>
          <w:rFonts w:ascii="Bookman Old Style" w:hAnsi="Bookman Old Style"/>
          <w:sz w:val="24"/>
          <w:szCs w:val="24"/>
        </w:rPr>
        <w:t xml:space="preserve"> </w:t>
      </w:r>
    </w:p>
    <w:p w:rsidR="00FB0478" w:rsidRDefault="00FB0478" w:rsidP="00A65EA2">
      <w:pPr>
        <w:ind w:left="0"/>
        <w:jc w:val="both"/>
        <w:rPr>
          <w:rFonts w:ascii="Bookman Old Style" w:hAnsi="Bookman Old Style"/>
        </w:rPr>
      </w:pPr>
    </w:p>
    <w:p w:rsidR="00CC5CE1" w:rsidRPr="006875CB" w:rsidRDefault="00CC5CE1">
      <w:pPr>
        <w:ind w:left="0"/>
        <w:jc w:val="both"/>
        <w:rPr>
          <w:rFonts w:ascii="Bookman Old Style" w:hAnsi="Bookman Old Style" w:cs="Arial"/>
        </w:rPr>
      </w:pPr>
      <w:r w:rsidRPr="006875CB">
        <w:rPr>
          <w:rFonts w:ascii="Bookman Old Style" w:hAnsi="Bookman Old Style" w:cs="Arial"/>
        </w:rPr>
        <w:t xml:space="preserve">La Comisión de Regulación de Energía y Gas discutió la presente Resolución en la sesión N° </w:t>
      </w:r>
      <w:r w:rsidR="00926EEB">
        <w:rPr>
          <w:rFonts w:ascii="Bookman Old Style" w:hAnsi="Bookman Old Style" w:cs="Arial"/>
        </w:rPr>
        <w:t>551</w:t>
      </w:r>
      <w:r w:rsidRPr="006875CB">
        <w:rPr>
          <w:rFonts w:ascii="Bookman Old Style" w:hAnsi="Bookman Old Style" w:cs="Arial"/>
        </w:rPr>
        <w:t xml:space="preserve"> de fecha </w:t>
      </w:r>
      <w:r w:rsidR="00926EEB">
        <w:rPr>
          <w:rFonts w:ascii="Bookman Old Style" w:hAnsi="Bookman Old Style" w:cs="Arial"/>
        </w:rPr>
        <w:t>20</w:t>
      </w:r>
      <w:r w:rsidRPr="006875CB">
        <w:rPr>
          <w:rFonts w:ascii="Bookman Old Style" w:hAnsi="Bookman Old Style" w:cs="Arial"/>
        </w:rPr>
        <w:t xml:space="preserve"> de </w:t>
      </w:r>
      <w:r w:rsidR="00926EEB">
        <w:rPr>
          <w:rFonts w:ascii="Bookman Old Style" w:hAnsi="Bookman Old Style" w:cs="Arial"/>
        </w:rPr>
        <w:t>marzo</w:t>
      </w:r>
      <w:r w:rsidRPr="006875CB">
        <w:rPr>
          <w:rFonts w:ascii="Bookman Old Style" w:hAnsi="Bookman Old Style" w:cs="Arial"/>
        </w:rPr>
        <w:t xml:space="preserve"> de 2013 y aprobó </w:t>
      </w:r>
      <w:r w:rsidR="00437B6A" w:rsidRPr="006875CB">
        <w:rPr>
          <w:rFonts w:ascii="Bookman Old Style" w:hAnsi="Bookman Old Style" w:cs="Arial"/>
        </w:rPr>
        <w:t>resolver el recurso de reposición interpuesto por Transportadora de Gas Internacional S.A. E.S.P. – TGI S.A. E.S.P. contra la Resolución CREG 14</w:t>
      </w:r>
      <w:r w:rsidR="00B67EA2">
        <w:rPr>
          <w:rFonts w:ascii="Bookman Old Style" w:hAnsi="Bookman Old Style" w:cs="Arial"/>
        </w:rPr>
        <w:t>2</w:t>
      </w:r>
      <w:r w:rsidR="00437B6A" w:rsidRPr="006875CB">
        <w:rPr>
          <w:rFonts w:ascii="Bookman Old Style" w:hAnsi="Bookman Old Style" w:cs="Arial"/>
        </w:rPr>
        <w:t xml:space="preserve"> de 2012 “Por la cual se establecen los cargos regulados para el sistema regional de transporte </w:t>
      </w:r>
      <w:r w:rsidR="00B67EA2">
        <w:rPr>
          <w:rFonts w:ascii="Bookman Old Style" w:hAnsi="Bookman Old Style"/>
        </w:rPr>
        <w:t>Cundi</w:t>
      </w:r>
      <w:r w:rsidR="00730B6C">
        <w:rPr>
          <w:rFonts w:ascii="Bookman Old Style" w:hAnsi="Bookman Old Style"/>
        </w:rPr>
        <w:t xml:space="preserve"> S</w:t>
      </w:r>
      <w:r w:rsidR="00B67EA2">
        <w:rPr>
          <w:rFonts w:ascii="Bookman Old Style" w:hAnsi="Bookman Old Style"/>
        </w:rPr>
        <w:t>uroccidental</w:t>
      </w:r>
      <w:r w:rsidR="00437B6A" w:rsidRPr="006875CB">
        <w:rPr>
          <w:rFonts w:ascii="Bookman Old Style" w:hAnsi="Bookman Old Style" w:cs="Arial"/>
        </w:rPr>
        <w:t>, según solicitud de la Transportadora de Gas Internacional S.A. E.S.P. – TGI S.A. E.S.P</w:t>
      </w:r>
      <w:r w:rsidRPr="006875CB">
        <w:rPr>
          <w:rFonts w:ascii="Bookman Old Style" w:hAnsi="Bookman Old Style" w:cs="Arial"/>
        </w:rPr>
        <w:t>.</w:t>
      </w:r>
      <w:r w:rsidR="00437B6A" w:rsidRPr="006875CB">
        <w:rPr>
          <w:rFonts w:ascii="Bookman Old Style" w:hAnsi="Bookman Old Style" w:cs="Arial"/>
        </w:rPr>
        <w:t>”.</w:t>
      </w:r>
      <w:r w:rsidRPr="006875CB">
        <w:rPr>
          <w:rFonts w:ascii="Bookman Old Style" w:hAnsi="Bookman Old Style" w:cs="Arial"/>
        </w:rPr>
        <w:t xml:space="preserve"> </w:t>
      </w:r>
    </w:p>
    <w:p w:rsidR="00CC5CE1" w:rsidRPr="009C3122" w:rsidRDefault="00CC5CE1">
      <w:pPr>
        <w:ind w:left="0"/>
        <w:jc w:val="both"/>
        <w:rPr>
          <w:rFonts w:ascii="Bookman Old Style" w:hAnsi="Bookman Old Style" w:cs="Arial"/>
        </w:rPr>
      </w:pPr>
    </w:p>
    <w:p w:rsidR="00CC5CE1" w:rsidRPr="006875CB" w:rsidRDefault="00CC5CE1">
      <w:pPr>
        <w:ind w:left="0"/>
        <w:jc w:val="center"/>
        <w:rPr>
          <w:rFonts w:ascii="Bookman Old Style" w:hAnsi="Bookman Old Style" w:cs="Arial"/>
        </w:rPr>
      </w:pPr>
      <w:r w:rsidRPr="006875CB">
        <w:rPr>
          <w:rFonts w:ascii="Bookman Old Style" w:hAnsi="Bookman Old Style" w:cs="Arial"/>
          <w:b/>
          <w:spacing w:val="80"/>
        </w:rPr>
        <w:t>RESUELVE</w:t>
      </w:r>
      <w:r w:rsidRPr="006875CB">
        <w:rPr>
          <w:rFonts w:ascii="Bookman Old Style" w:hAnsi="Bookman Old Style" w:cs="Arial"/>
        </w:rPr>
        <w:t>:</w:t>
      </w:r>
    </w:p>
    <w:p w:rsidR="00CC5CE1" w:rsidRPr="009C3122" w:rsidRDefault="00CC5CE1">
      <w:pPr>
        <w:ind w:left="0"/>
        <w:jc w:val="both"/>
        <w:rPr>
          <w:rFonts w:ascii="Bookman Old Style" w:hAnsi="Bookman Old Style" w:cs="Arial"/>
          <w:b/>
          <w:spacing w:val="-3"/>
          <w:sz w:val="32"/>
        </w:rPr>
      </w:pPr>
    </w:p>
    <w:p w:rsidR="00CC5CE1" w:rsidRPr="006875CB" w:rsidRDefault="00CC5CE1">
      <w:pPr>
        <w:tabs>
          <w:tab w:val="left" w:pos="0"/>
        </w:tabs>
        <w:ind w:left="0"/>
        <w:jc w:val="both"/>
        <w:rPr>
          <w:rFonts w:ascii="Bookman Old Style" w:hAnsi="Bookman Old Style" w:cs="Arial"/>
          <w:spacing w:val="-3"/>
        </w:rPr>
      </w:pPr>
      <w:r w:rsidRPr="006875CB">
        <w:rPr>
          <w:rFonts w:ascii="Bookman Old Style" w:hAnsi="Bookman Old Style" w:cs="Arial"/>
          <w:b/>
          <w:spacing w:val="-3"/>
        </w:rPr>
        <w:t xml:space="preserve">Artículo 1. Decisión. </w:t>
      </w:r>
      <w:r w:rsidRPr="006875CB">
        <w:rPr>
          <w:rFonts w:ascii="Bookman Old Style" w:hAnsi="Bookman Old Style" w:cs="Arial"/>
          <w:spacing w:val="-3"/>
        </w:rPr>
        <w:t>No reponer la Resolución CREG 14</w:t>
      </w:r>
      <w:r w:rsidR="00B67EA2">
        <w:rPr>
          <w:rFonts w:ascii="Bookman Old Style" w:hAnsi="Bookman Old Style" w:cs="Arial"/>
          <w:spacing w:val="-3"/>
        </w:rPr>
        <w:t>2</w:t>
      </w:r>
      <w:r w:rsidRPr="006875CB">
        <w:rPr>
          <w:rFonts w:ascii="Bookman Old Style" w:hAnsi="Bookman Old Style" w:cs="Arial"/>
          <w:spacing w:val="-3"/>
        </w:rPr>
        <w:t xml:space="preserve"> de 2012</w:t>
      </w:r>
      <w:r w:rsidR="00ED68C4" w:rsidRPr="006875CB">
        <w:rPr>
          <w:rFonts w:ascii="Bookman Old Style" w:hAnsi="Bookman Old Style" w:cs="Arial"/>
          <w:spacing w:val="-3"/>
        </w:rPr>
        <w:t>,</w:t>
      </w:r>
      <w:r w:rsidRPr="006875CB">
        <w:rPr>
          <w:rFonts w:ascii="Bookman Old Style" w:hAnsi="Bookman Old Style" w:cs="Arial"/>
          <w:spacing w:val="-3"/>
        </w:rPr>
        <w:t xml:space="preserve"> “Por la cual se establecen los cargos regulados para el sistema regional de transporte </w:t>
      </w:r>
      <w:r w:rsidR="00B67EA2">
        <w:rPr>
          <w:rFonts w:ascii="Bookman Old Style" w:hAnsi="Bookman Old Style"/>
        </w:rPr>
        <w:t>Cundi</w:t>
      </w:r>
      <w:r w:rsidR="00730B6C">
        <w:rPr>
          <w:rFonts w:ascii="Bookman Old Style" w:hAnsi="Bookman Old Style"/>
        </w:rPr>
        <w:t xml:space="preserve"> S</w:t>
      </w:r>
      <w:r w:rsidR="00B67EA2">
        <w:rPr>
          <w:rFonts w:ascii="Bookman Old Style" w:hAnsi="Bookman Old Style"/>
        </w:rPr>
        <w:t>uroccidental</w:t>
      </w:r>
      <w:r w:rsidRPr="006875CB">
        <w:rPr>
          <w:rFonts w:ascii="Bookman Old Style" w:hAnsi="Bookman Old Style" w:cs="Arial"/>
          <w:spacing w:val="-3"/>
        </w:rPr>
        <w:t>, según solicitud de la Transportadora de Gas Internacional S.A. E.S.P., TGI S.A. E.S.P” por las razones expuestas en la parte motiva.</w:t>
      </w:r>
    </w:p>
    <w:p w:rsidR="00CC5CE1" w:rsidRPr="006875CB" w:rsidRDefault="00CC5CE1">
      <w:pPr>
        <w:tabs>
          <w:tab w:val="left" w:pos="0"/>
        </w:tabs>
        <w:ind w:left="0"/>
        <w:jc w:val="both"/>
        <w:rPr>
          <w:rFonts w:ascii="Bookman Old Style" w:hAnsi="Bookman Old Style" w:cs="Arial"/>
          <w:bCs/>
          <w:spacing w:val="-4"/>
          <w:lang w:val="es-ES_tradnl"/>
        </w:rPr>
      </w:pPr>
    </w:p>
    <w:p w:rsidR="00CC5CE1" w:rsidRPr="006875CB" w:rsidRDefault="00CC5CE1">
      <w:pPr>
        <w:ind w:left="0"/>
        <w:jc w:val="both"/>
        <w:rPr>
          <w:rFonts w:ascii="Bookman Old Style" w:hAnsi="Bookman Old Style" w:cs="Arial"/>
          <w:spacing w:val="-4"/>
        </w:rPr>
      </w:pPr>
      <w:r w:rsidRPr="006875CB">
        <w:rPr>
          <w:rFonts w:ascii="Bookman Old Style" w:hAnsi="Bookman Old Style" w:cs="Arial"/>
          <w:b/>
          <w:bCs/>
          <w:spacing w:val="-4"/>
        </w:rPr>
        <w:t xml:space="preserve">Artículo 2. Notificaciones y Recursos. </w:t>
      </w:r>
      <w:r w:rsidRPr="006875CB">
        <w:rPr>
          <w:rFonts w:ascii="Bookman Old Style" w:hAnsi="Bookman Old Style" w:cs="Arial"/>
          <w:spacing w:val="-4"/>
        </w:rPr>
        <w:t xml:space="preserve">La presente Resolución deberá notificarse a la empresa Transportadora de Gas Internacional TGI S.A. E.S.P., y publicarse en el </w:t>
      </w:r>
      <w:r w:rsidRPr="006875CB">
        <w:rPr>
          <w:rFonts w:ascii="Bookman Old Style" w:hAnsi="Bookman Old Style" w:cs="Arial"/>
          <w:i/>
          <w:spacing w:val="-4"/>
        </w:rPr>
        <w:t>Diario Oficial</w:t>
      </w:r>
      <w:r w:rsidRPr="006875CB">
        <w:rPr>
          <w:rFonts w:ascii="Bookman Old Style" w:hAnsi="Bookman Old Style" w:cs="Arial"/>
          <w:spacing w:val="-4"/>
        </w:rPr>
        <w:t>. Contra lo dispuesto en este acto no procede ningún recurso.</w:t>
      </w:r>
    </w:p>
    <w:p w:rsidR="00CC5CE1" w:rsidRPr="00DF728E" w:rsidRDefault="00CC5CE1">
      <w:pPr>
        <w:rPr>
          <w:rFonts w:ascii="Bookman Old Style" w:hAnsi="Bookman Old Style" w:cs="Arial"/>
          <w:spacing w:val="-4"/>
          <w:sz w:val="28"/>
        </w:rPr>
      </w:pPr>
    </w:p>
    <w:p w:rsidR="00CC5CE1" w:rsidRPr="006875CB" w:rsidRDefault="00CC5CE1">
      <w:pPr>
        <w:jc w:val="center"/>
        <w:rPr>
          <w:rFonts w:ascii="Bookman Old Style" w:hAnsi="Bookman Old Style" w:cs="Arial"/>
          <w:b/>
        </w:rPr>
      </w:pPr>
      <w:r w:rsidRPr="006875CB">
        <w:rPr>
          <w:rFonts w:ascii="Bookman Old Style" w:hAnsi="Bookman Old Style" w:cs="Arial"/>
          <w:b/>
        </w:rPr>
        <w:t>NOTIFÍQUESE, PUBLÍQUESE Y CÚMPLASE,</w:t>
      </w:r>
    </w:p>
    <w:p w:rsidR="00CC5CE1" w:rsidRPr="006875CB" w:rsidRDefault="00CC5CE1">
      <w:pPr>
        <w:rPr>
          <w:rFonts w:ascii="Bookman Old Style" w:hAnsi="Bookman Old Style" w:cs="Arial"/>
        </w:rPr>
      </w:pPr>
    </w:p>
    <w:p w:rsidR="00CC5CE1" w:rsidRPr="006875CB" w:rsidRDefault="00CC5CE1">
      <w:pPr>
        <w:ind w:left="0"/>
        <w:rPr>
          <w:rFonts w:ascii="Bookman Old Style" w:hAnsi="Bookman Old Style" w:cs="Arial"/>
        </w:rPr>
      </w:pPr>
      <w:r w:rsidRPr="006875CB">
        <w:rPr>
          <w:rFonts w:ascii="Bookman Old Style" w:hAnsi="Bookman Old Style" w:cs="Arial"/>
        </w:rPr>
        <w:t>Dada en Bogotá, a los</w:t>
      </w:r>
    </w:p>
    <w:p w:rsidR="00CC5CE1" w:rsidRDefault="00CC5CE1">
      <w:pPr>
        <w:ind w:left="0"/>
        <w:rPr>
          <w:rFonts w:ascii="Bookman Old Style" w:hAnsi="Bookman Old Style"/>
        </w:rPr>
      </w:pPr>
    </w:p>
    <w:p w:rsidR="00C623F9" w:rsidRDefault="00C623F9">
      <w:pPr>
        <w:ind w:left="0"/>
        <w:rPr>
          <w:rFonts w:ascii="Bookman Old Style" w:hAnsi="Bookman Old Style"/>
        </w:rPr>
      </w:pPr>
    </w:p>
    <w:p w:rsidR="00C623F9" w:rsidRPr="00DF728E" w:rsidRDefault="00C623F9">
      <w:pPr>
        <w:ind w:left="0"/>
        <w:rPr>
          <w:rFonts w:ascii="Bookman Old Style" w:hAnsi="Bookman Old Style"/>
          <w:sz w:val="28"/>
        </w:rPr>
      </w:pPr>
    </w:p>
    <w:tbl>
      <w:tblPr>
        <w:tblW w:w="0" w:type="auto"/>
        <w:jc w:val="center"/>
        <w:tblInd w:w="-679" w:type="dxa"/>
        <w:tblLayout w:type="fixed"/>
        <w:tblCellMar>
          <w:left w:w="70" w:type="dxa"/>
          <w:right w:w="70" w:type="dxa"/>
        </w:tblCellMar>
        <w:tblLook w:val="04A0" w:firstRow="1" w:lastRow="0" w:firstColumn="1" w:lastColumn="0" w:noHBand="0" w:noVBand="1"/>
      </w:tblPr>
      <w:tblGrid>
        <w:gridCol w:w="4624"/>
        <w:gridCol w:w="4624"/>
      </w:tblGrid>
      <w:tr w:rsidR="002405E3" w:rsidRPr="006875CB" w:rsidTr="00220D15">
        <w:trPr>
          <w:trHeight w:val="391"/>
          <w:jc w:val="center"/>
        </w:trPr>
        <w:tc>
          <w:tcPr>
            <w:tcW w:w="4624" w:type="dxa"/>
            <w:vAlign w:val="center"/>
            <w:hideMark/>
          </w:tcPr>
          <w:p w:rsidR="002405E3" w:rsidRDefault="002405E3">
            <w:pPr>
              <w:ind w:left="0"/>
              <w:jc w:val="center"/>
              <w:rPr>
                <w:rFonts w:ascii="Bookman Old Style" w:hAnsi="Bookman Old Style" w:cs="Arial"/>
                <w:b/>
                <w:spacing w:val="-3"/>
              </w:rPr>
            </w:pPr>
          </w:p>
          <w:p w:rsidR="002405E3" w:rsidRDefault="002405E3">
            <w:pPr>
              <w:ind w:left="0"/>
              <w:jc w:val="center"/>
              <w:rPr>
                <w:rFonts w:ascii="Bookman Old Style" w:hAnsi="Bookman Old Style" w:cs="Arial"/>
                <w:b/>
                <w:spacing w:val="-3"/>
              </w:rPr>
            </w:pPr>
            <w:r>
              <w:rPr>
                <w:rFonts w:ascii="Bookman Old Style" w:hAnsi="Bookman Old Style" w:cs="Arial"/>
                <w:b/>
                <w:spacing w:val="-3"/>
              </w:rPr>
              <w:t>ORLANDO CABRALES SEGOVIA</w:t>
            </w:r>
          </w:p>
        </w:tc>
        <w:tc>
          <w:tcPr>
            <w:tcW w:w="4624" w:type="dxa"/>
            <w:vAlign w:val="center"/>
            <w:hideMark/>
          </w:tcPr>
          <w:p w:rsidR="002405E3" w:rsidRPr="006875CB" w:rsidRDefault="002405E3" w:rsidP="000804FD">
            <w:pPr>
              <w:jc w:val="center"/>
              <w:rPr>
                <w:rFonts w:ascii="Bookman Old Style" w:hAnsi="Bookman Old Style"/>
                <w:b/>
              </w:rPr>
            </w:pPr>
            <w:r w:rsidRPr="006875CB">
              <w:rPr>
                <w:rFonts w:ascii="Bookman Old Style" w:hAnsi="Bookman Old Style"/>
                <w:b/>
              </w:rPr>
              <w:t>GERMÁN CASTRO FERREIRA</w:t>
            </w:r>
          </w:p>
        </w:tc>
      </w:tr>
      <w:tr w:rsidR="002405E3" w:rsidRPr="006875CB" w:rsidTr="00220D15">
        <w:trPr>
          <w:jc w:val="center"/>
        </w:trPr>
        <w:tc>
          <w:tcPr>
            <w:tcW w:w="4624" w:type="dxa"/>
            <w:hideMark/>
          </w:tcPr>
          <w:p w:rsidR="002405E3" w:rsidRDefault="002405E3">
            <w:pPr>
              <w:snapToGrid w:val="0"/>
              <w:ind w:left="0"/>
              <w:jc w:val="center"/>
              <w:rPr>
                <w:rFonts w:ascii="Bookman Old Style" w:hAnsi="Bookman Old Style" w:cs="Arial"/>
                <w:szCs w:val="22"/>
              </w:rPr>
            </w:pPr>
            <w:r>
              <w:rPr>
                <w:rFonts w:ascii="Bookman Old Style" w:hAnsi="Bookman Old Style" w:cs="Arial"/>
                <w:szCs w:val="22"/>
              </w:rPr>
              <w:t>Viceministro de Energía</w:t>
            </w:r>
            <w:r>
              <w:rPr>
                <w:rFonts w:ascii="Bookman Old Style" w:hAnsi="Bookman Old Style" w:cs="Arial"/>
                <w:szCs w:val="22"/>
              </w:rPr>
              <w:br/>
            </w:r>
            <w:r w:rsidRPr="00DF728E">
              <w:rPr>
                <w:rFonts w:ascii="Bookman Old Style" w:hAnsi="Bookman Old Style" w:cs="Arial"/>
                <w:sz w:val="22"/>
                <w:szCs w:val="22"/>
              </w:rPr>
              <w:t>Delegado del Ministro de Minas y Energía</w:t>
            </w:r>
          </w:p>
        </w:tc>
        <w:tc>
          <w:tcPr>
            <w:tcW w:w="4624" w:type="dxa"/>
            <w:hideMark/>
          </w:tcPr>
          <w:p w:rsidR="002405E3" w:rsidRPr="006875CB" w:rsidRDefault="002405E3" w:rsidP="0000183C">
            <w:pPr>
              <w:jc w:val="center"/>
              <w:rPr>
                <w:rFonts w:ascii="Bookman Old Style" w:hAnsi="Bookman Old Style"/>
              </w:rPr>
            </w:pPr>
            <w:r w:rsidRPr="006875CB">
              <w:rPr>
                <w:rFonts w:ascii="Bookman Old Style" w:hAnsi="Bookman Old Style"/>
              </w:rPr>
              <w:t>Director Ejecutivo</w:t>
            </w:r>
          </w:p>
        </w:tc>
      </w:tr>
      <w:tr w:rsidR="00CC5CE1" w:rsidRPr="006875CB" w:rsidTr="00220D15">
        <w:trPr>
          <w:jc w:val="center"/>
        </w:trPr>
        <w:tc>
          <w:tcPr>
            <w:tcW w:w="4624" w:type="dxa"/>
            <w:hideMark/>
          </w:tcPr>
          <w:p w:rsidR="00CC5CE1" w:rsidRPr="006875CB" w:rsidRDefault="00DF728E" w:rsidP="005056C1">
            <w:pPr>
              <w:ind w:left="18"/>
              <w:jc w:val="center"/>
              <w:rPr>
                <w:rFonts w:ascii="Bookman Old Style" w:hAnsi="Bookman Old Style"/>
              </w:rPr>
            </w:pPr>
            <w:r>
              <w:rPr>
                <w:rFonts w:ascii="Bookman Old Style" w:hAnsi="Bookman Old Style"/>
              </w:rPr>
              <w:t>Presidente</w:t>
            </w:r>
          </w:p>
        </w:tc>
        <w:tc>
          <w:tcPr>
            <w:tcW w:w="4624" w:type="dxa"/>
          </w:tcPr>
          <w:p w:rsidR="00CC5CE1" w:rsidRPr="006875CB" w:rsidRDefault="00CC5CE1" w:rsidP="0000183C">
            <w:pPr>
              <w:rPr>
                <w:rFonts w:ascii="Bookman Old Style" w:hAnsi="Bookman Old Style"/>
              </w:rPr>
            </w:pPr>
          </w:p>
        </w:tc>
      </w:tr>
    </w:tbl>
    <w:p w:rsidR="006B579F" w:rsidRPr="006875CB" w:rsidRDefault="006B579F" w:rsidP="00DF728E">
      <w:pPr>
        <w:ind w:left="0" w:firstLine="709"/>
        <w:rPr>
          <w:rFonts w:ascii="Bookman Old Style" w:hAnsi="Bookman Old Style"/>
          <w:b/>
        </w:rPr>
      </w:pPr>
    </w:p>
    <w:sectPr w:rsidR="006B579F" w:rsidRPr="006875CB" w:rsidSect="00ED1181">
      <w:headerReference w:type="default" r:id="rId11"/>
      <w:headerReference w:type="first" r:id="rId12"/>
      <w:type w:val="continuous"/>
      <w:pgSz w:w="12247" w:h="18705" w:code="121"/>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E35" w:rsidRDefault="004C7E35">
      <w:r>
        <w:separator/>
      </w:r>
    </w:p>
  </w:endnote>
  <w:endnote w:type="continuationSeparator" w:id="0">
    <w:p w:rsidR="004C7E35" w:rsidRDefault="004C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E35" w:rsidRDefault="004C7E35">
      <w:r>
        <w:separator/>
      </w:r>
    </w:p>
  </w:footnote>
  <w:footnote w:type="continuationSeparator" w:id="0">
    <w:p w:rsidR="004C7E35" w:rsidRDefault="004C7E35">
      <w:r>
        <w:continuationSeparator/>
      </w:r>
    </w:p>
  </w:footnote>
  <w:footnote w:id="1">
    <w:p w:rsidR="004C7E35" w:rsidRPr="00A65EA2" w:rsidRDefault="004C7E35" w:rsidP="007F03D7">
      <w:pPr>
        <w:pStyle w:val="Textonotapie"/>
        <w:rPr>
          <w:rFonts w:ascii="Bookman Old Style" w:hAnsi="Bookman Old Style"/>
          <w:i/>
          <w:sz w:val="18"/>
        </w:rPr>
      </w:pPr>
      <w:r w:rsidRPr="00A65EA2">
        <w:rPr>
          <w:rStyle w:val="Refdenotaalpie"/>
          <w:rFonts w:ascii="Bookman Old Style" w:hAnsi="Bookman Old Style"/>
          <w:sz w:val="16"/>
        </w:rPr>
        <w:footnoteRef/>
      </w:r>
      <w:r w:rsidRPr="00A65EA2">
        <w:rPr>
          <w:rFonts w:ascii="Bookman Old Style" w:hAnsi="Bookman Old Style"/>
          <w:sz w:val="16"/>
        </w:rPr>
        <w:t xml:space="preserve"> Resolución CREG 110 de 2011 </w:t>
      </w:r>
      <w:r w:rsidRPr="00A65EA2">
        <w:rPr>
          <w:rFonts w:ascii="Bookman Old Style" w:hAnsi="Bookman Old Style"/>
          <w:i/>
          <w:sz w:val="16"/>
        </w:rPr>
        <w:t>“Por la cual se establecen los cargos regulados para el sistema de transporte de la Transportadora de Gas Internacional S.A. ESP., TGI S.A. ESP”</w:t>
      </w:r>
      <w:r w:rsidRPr="00A65EA2">
        <w:rPr>
          <w:rFonts w:ascii="Bookman Old Style" w:hAnsi="Bookman Old Style"/>
          <w:sz w:val="16"/>
        </w:rPr>
        <w:t xml:space="preserve">. Los recursos de reposición interpuestos contra la misma fueron resueltos en la Resolución CREG 121 de 2012 </w:t>
      </w:r>
      <w:r w:rsidRPr="00A65EA2">
        <w:rPr>
          <w:rFonts w:ascii="Bookman Old Style" w:hAnsi="Bookman Old Style"/>
          <w:i/>
          <w:sz w:val="16"/>
        </w:rPr>
        <w:t>“Por la cual se resuelven los recursos de reposición interpuestos contra la Resolución CREG 110 de 2011, por la cual se establecieron los cargos regulados para el sistema de transporte de la Transportadora de Gas Internacional S.A. E.S.P., TGI S.A. E.S.P.”</w:t>
      </w:r>
    </w:p>
  </w:footnote>
  <w:footnote w:id="2">
    <w:p w:rsidR="004C7E35" w:rsidRPr="00A65EA2" w:rsidRDefault="004C7E35" w:rsidP="00CC5CE1">
      <w:pPr>
        <w:pStyle w:val="Textonotapie"/>
        <w:ind w:left="86"/>
        <w:rPr>
          <w:rFonts w:ascii="Bookman Old Style" w:hAnsi="Bookman Old Style"/>
          <w:sz w:val="16"/>
          <w:szCs w:val="18"/>
        </w:rPr>
      </w:pPr>
      <w:r w:rsidRPr="00A65EA2">
        <w:rPr>
          <w:rStyle w:val="Refdenotaalpie"/>
          <w:rFonts w:ascii="Bookman Old Style" w:hAnsi="Bookman Old Style"/>
          <w:sz w:val="16"/>
          <w:szCs w:val="18"/>
        </w:rPr>
        <w:footnoteRef/>
      </w:r>
      <w:r w:rsidRPr="00A65EA2">
        <w:rPr>
          <w:rFonts w:ascii="Bookman Old Style" w:hAnsi="Bookman Old Style"/>
          <w:sz w:val="16"/>
          <w:szCs w:val="18"/>
        </w:rPr>
        <w:t xml:space="preserve"> Desarrollada, entre otras, en las sentencias T-464/1992; T-473/1992; T-306/1993; T-605/1996; T-074/1997; T-424/1998; T-842/2002; C-891/2002; C-872/2003; T-527/2005</w:t>
      </w:r>
    </w:p>
  </w:footnote>
  <w:footnote w:id="3">
    <w:p w:rsidR="004C7E35" w:rsidRPr="00A65EA2" w:rsidRDefault="004C7E35" w:rsidP="00CC5CE1">
      <w:pPr>
        <w:pStyle w:val="Textonotapie"/>
        <w:ind w:left="86"/>
        <w:rPr>
          <w:rFonts w:ascii="Bookman Old Style" w:hAnsi="Bookman Old Style"/>
          <w:sz w:val="16"/>
          <w:szCs w:val="18"/>
        </w:rPr>
      </w:pPr>
      <w:r w:rsidRPr="00D70C78">
        <w:rPr>
          <w:rFonts w:ascii="Bookman Old Style" w:hAnsi="Bookman Old Style"/>
          <w:sz w:val="12"/>
          <w:szCs w:val="18"/>
        </w:rPr>
        <w:footnoteRef/>
      </w:r>
      <w:r w:rsidRPr="0011775E">
        <w:rPr>
          <w:rFonts w:ascii="Bookman Old Style" w:hAnsi="Bookman Old Style"/>
          <w:sz w:val="14"/>
          <w:szCs w:val="18"/>
        </w:rPr>
        <w:t xml:space="preserve"> </w:t>
      </w:r>
      <w:r w:rsidRPr="00A65EA2">
        <w:rPr>
          <w:rFonts w:ascii="Bookman Old Style" w:hAnsi="Bookman Old Style"/>
          <w:sz w:val="16"/>
          <w:szCs w:val="18"/>
        </w:rPr>
        <w:t>Sobre la relación entre ambos derechos cfr. sentencias T-462/1992; T-473/1992; T-527/2005, entre otras</w:t>
      </w:r>
    </w:p>
  </w:footnote>
  <w:footnote w:id="4">
    <w:p w:rsidR="004C7E35" w:rsidRPr="00A65EA2" w:rsidRDefault="004C7E35" w:rsidP="00CC5CE1">
      <w:pPr>
        <w:pStyle w:val="Textonotapie"/>
        <w:ind w:left="86"/>
        <w:rPr>
          <w:rFonts w:ascii="Bookman Old Style" w:hAnsi="Bookman Old Style"/>
          <w:sz w:val="16"/>
          <w:szCs w:val="18"/>
        </w:rPr>
      </w:pPr>
      <w:r w:rsidRPr="00A65EA2">
        <w:rPr>
          <w:rStyle w:val="Refdenotaalpie"/>
          <w:rFonts w:ascii="Bookman Old Style" w:hAnsi="Bookman Old Style"/>
          <w:sz w:val="16"/>
          <w:szCs w:val="18"/>
        </w:rPr>
        <w:footnoteRef/>
      </w:r>
      <w:r w:rsidRPr="00A65EA2">
        <w:rPr>
          <w:rFonts w:ascii="Bookman Old Style" w:hAnsi="Bookman Old Style"/>
          <w:sz w:val="16"/>
          <w:szCs w:val="18"/>
        </w:rPr>
        <w:t xml:space="preserve"> Al respecto se afirma en la sentencia C-038/1996 que: “(s)</w:t>
      </w:r>
      <w:r w:rsidRPr="00A65EA2">
        <w:rPr>
          <w:rFonts w:ascii="Bookman Old Style" w:hAnsi="Bookman Old Style"/>
          <w:i/>
          <w:iCs/>
          <w:sz w:val="16"/>
          <w:szCs w:val="18"/>
        </w:rPr>
        <w:t xml:space="preserve">i el desempeño del poder, en los distintos ámbitos del Estado, fuera clandestino y secreto, no sería posible que el ciudadano pudiera </w:t>
      </w:r>
      <w:r>
        <w:rPr>
          <w:rFonts w:ascii="Bookman Old Style" w:hAnsi="Bookman Old Style"/>
          <w:i/>
          <w:iCs/>
          <w:sz w:val="16"/>
          <w:szCs w:val="18"/>
        </w:rPr>
        <w:t>‘</w:t>
      </w:r>
      <w:r w:rsidRPr="00A65EA2">
        <w:rPr>
          <w:rFonts w:ascii="Bookman Old Style" w:hAnsi="Bookman Old Style"/>
          <w:i/>
          <w:iCs/>
          <w:sz w:val="16"/>
          <w:szCs w:val="18"/>
        </w:rPr>
        <w:t>participar en la conformación, ejercicio y control del poder político</w:t>
      </w:r>
      <w:r>
        <w:rPr>
          <w:rFonts w:ascii="Bookman Old Style" w:hAnsi="Bookman Old Style"/>
          <w:i/>
          <w:iCs/>
          <w:sz w:val="16"/>
          <w:szCs w:val="18"/>
        </w:rPr>
        <w:t>’</w:t>
      </w:r>
      <w:r w:rsidRPr="00A65EA2">
        <w:rPr>
          <w:rFonts w:ascii="Bookman Old Style" w:hAnsi="Bookman Old Style"/>
          <w:i/>
          <w:iCs/>
          <w:sz w:val="16"/>
          <w:szCs w:val="18"/>
        </w:rPr>
        <w:t xml:space="preserve"> (C.P. art. 40). La publicidad de las funciones públicas (C.P. art. 209), es la condición esencial del funcionamiento adecuado de la democracia y del Estado de derecho; sin ella, sus instituciones mutan de naturaleza y dejan de existir como tales”</w:t>
      </w:r>
      <w:r>
        <w:rPr>
          <w:rFonts w:ascii="Bookman Old Style" w:hAnsi="Bookman Old Style"/>
          <w:i/>
          <w:iCs/>
          <w:sz w:val="16"/>
          <w:szCs w:val="18"/>
        </w:rPr>
        <w:t>.</w:t>
      </w:r>
    </w:p>
  </w:footnote>
  <w:footnote w:id="5">
    <w:p w:rsidR="004C7E35" w:rsidRPr="00A65EA2" w:rsidRDefault="004C7E35" w:rsidP="00CC5CE1">
      <w:pPr>
        <w:pStyle w:val="Textonotapie"/>
        <w:ind w:left="86"/>
        <w:rPr>
          <w:rFonts w:ascii="Bookman Old Style" w:hAnsi="Bookman Old Style"/>
          <w:sz w:val="16"/>
          <w:szCs w:val="18"/>
        </w:rPr>
      </w:pPr>
      <w:r w:rsidRPr="00A65EA2">
        <w:rPr>
          <w:rStyle w:val="Refdenotaalpie"/>
          <w:rFonts w:ascii="Bookman Old Style" w:hAnsi="Bookman Old Style"/>
          <w:sz w:val="16"/>
          <w:szCs w:val="18"/>
        </w:rPr>
        <w:footnoteRef/>
      </w:r>
      <w:r w:rsidRPr="00A65EA2">
        <w:rPr>
          <w:rFonts w:ascii="Bookman Old Style" w:hAnsi="Bookman Old Style"/>
          <w:sz w:val="16"/>
          <w:szCs w:val="18"/>
        </w:rPr>
        <w:t xml:space="preserve"> Cfr. sentencia C-872/2003</w:t>
      </w:r>
    </w:p>
    <w:p w:rsidR="004C7E35" w:rsidRPr="00A65EA2" w:rsidRDefault="004C7E35" w:rsidP="00CC5CE1">
      <w:pPr>
        <w:pStyle w:val="Textonotapie"/>
        <w:rPr>
          <w:rFonts w:ascii="Bookman Old Style" w:hAnsi="Bookman Old Style"/>
          <w:sz w:val="18"/>
        </w:rPr>
      </w:pPr>
    </w:p>
  </w:footnote>
  <w:footnote w:id="6">
    <w:p w:rsidR="004C7E35" w:rsidRPr="00A65EA2" w:rsidRDefault="004C7E35" w:rsidP="008F3DE4">
      <w:pPr>
        <w:pStyle w:val="Textonotapie"/>
        <w:rPr>
          <w:rFonts w:ascii="Bookman Old Style" w:hAnsi="Bookman Old Style"/>
          <w:sz w:val="16"/>
        </w:rPr>
      </w:pPr>
      <w:r w:rsidRPr="00A65EA2">
        <w:rPr>
          <w:rStyle w:val="Refdenotaalpie"/>
          <w:rFonts w:ascii="Bookman Old Style" w:hAnsi="Bookman Old Style"/>
          <w:sz w:val="16"/>
        </w:rPr>
        <w:footnoteRef/>
      </w:r>
      <w:r w:rsidRPr="00A65EA2">
        <w:rPr>
          <w:rFonts w:ascii="Bookman Old Style" w:hAnsi="Bookman Old Style"/>
          <w:sz w:val="16"/>
        </w:rPr>
        <w:t xml:space="preserve"> </w:t>
      </w:r>
      <w:r w:rsidRPr="00A65EA2">
        <w:rPr>
          <w:rFonts w:ascii="Bookman Old Style" w:hAnsi="Bookman Old Style"/>
          <w:sz w:val="16"/>
          <w:lang w:val="es-CO"/>
        </w:rPr>
        <w:t>Sentencia C-640 de 2002. M.P.</w:t>
      </w:r>
      <w:r w:rsidRPr="00A65EA2">
        <w:rPr>
          <w:rFonts w:ascii="Bookman Old Style" w:hAnsi="Bookman Old Style"/>
          <w:sz w:val="16"/>
        </w:rPr>
        <w:t> Marco Gerardo Monroy Cabra.</w:t>
      </w:r>
    </w:p>
  </w:footnote>
  <w:footnote w:id="7">
    <w:p w:rsidR="004C7E35" w:rsidRPr="00A65EA2" w:rsidRDefault="004C7E35" w:rsidP="008F3DE4">
      <w:pPr>
        <w:pStyle w:val="Textonotapie"/>
        <w:rPr>
          <w:rFonts w:ascii="Bookman Old Style" w:hAnsi="Bookman Old Style"/>
          <w:sz w:val="16"/>
        </w:rPr>
      </w:pPr>
      <w:r w:rsidRPr="00A65EA2">
        <w:rPr>
          <w:rStyle w:val="Refdenotaalpie"/>
          <w:rFonts w:ascii="Bookman Old Style" w:hAnsi="Bookman Old Style"/>
          <w:sz w:val="16"/>
        </w:rPr>
        <w:footnoteRef/>
      </w:r>
      <w:r w:rsidRPr="00A65EA2">
        <w:rPr>
          <w:rFonts w:ascii="Bookman Old Style" w:hAnsi="Bookman Old Style"/>
          <w:sz w:val="16"/>
        </w:rPr>
        <w:t xml:space="preserve"> Sentencia T-068 de 1998, M.P. Fabio Morón Díaz.</w:t>
      </w:r>
    </w:p>
  </w:footnote>
  <w:footnote w:id="8">
    <w:p w:rsidR="004C7E35" w:rsidRPr="00A65EA2" w:rsidRDefault="004C7E35" w:rsidP="008F3DE4">
      <w:pPr>
        <w:pStyle w:val="Textonotapie"/>
        <w:rPr>
          <w:rFonts w:ascii="Bookman Old Style" w:hAnsi="Bookman Old Style"/>
          <w:sz w:val="18"/>
        </w:rPr>
      </w:pPr>
      <w:r w:rsidRPr="00A65EA2">
        <w:rPr>
          <w:rStyle w:val="Refdenotaalpie"/>
          <w:rFonts w:ascii="Bookman Old Style" w:hAnsi="Bookman Old Style"/>
          <w:sz w:val="16"/>
        </w:rPr>
        <w:footnoteRef/>
      </w:r>
      <w:r w:rsidRPr="00A65EA2">
        <w:rPr>
          <w:rFonts w:ascii="Bookman Old Style" w:hAnsi="Bookman Old Style"/>
          <w:sz w:val="16"/>
        </w:rPr>
        <w:t xml:space="preserve"> Corte Constitucional. Sentencia C-282 de 2007. M.P. Álvaro Tafur Galvis.</w:t>
      </w:r>
    </w:p>
  </w:footnote>
  <w:footnote w:id="9">
    <w:p w:rsidR="004C7E35" w:rsidRPr="00DE054E" w:rsidRDefault="004C7E35" w:rsidP="00B379EB">
      <w:pPr>
        <w:pStyle w:val="Textonotapie"/>
        <w:rPr>
          <w:rFonts w:ascii="Bookman Old Style" w:hAnsi="Bookman Old Style"/>
          <w:sz w:val="16"/>
          <w:szCs w:val="16"/>
        </w:rPr>
      </w:pPr>
      <w:r w:rsidRPr="00DE054E">
        <w:rPr>
          <w:rStyle w:val="Refdenotaalpie"/>
          <w:rFonts w:ascii="Bookman Old Style" w:hAnsi="Bookman Old Style"/>
          <w:sz w:val="16"/>
          <w:szCs w:val="16"/>
        </w:rPr>
        <w:footnoteRef/>
      </w:r>
      <w:r w:rsidRPr="00B379EB">
        <w:rPr>
          <w:rStyle w:val="Refdenotaalpie"/>
          <w:rFonts w:ascii="Bookman Old Style" w:hAnsi="Bookman Old Style"/>
        </w:rPr>
        <w:t xml:space="preserve"> </w:t>
      </w:r>
      <w:r w:rsidRPr="00DE054E">
        <w:rPr>
          <w:rFonts w:ascii="Bookman Old Style" w:hAnsi="Bookman Old Style"/>
          <w:sz w:val="16"/>
          <w:szCs w:val="16"/>
        </w:rPr>
        <w:t xml:space="preserve">En el artículo 10 de la Resolución CREG 126 de 2010 se establece una tasa de 15,02%, real antes de impuestos, para el cargo fijo y 17,70%, real antes de impuestos, para el cargo variable. En metodologías de ingreso regulado, como la aplicable en la actividad de transmisión de energía eléctrica en Colombia, la tasa es de 11,5% real antes de impuestos.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E35" w:rsidRDefault="004C7E35" w:rsidP="00951F79">
    <w:pPr>
      <w:pStyle w:val="Ttulo1"/>
      <w:ind w:right="6"/>
      <w:jc w:val="left"/>
      <w:rPr>
        <w:rFonts w:ascii="Bookman Old Style" w:hAnsi="Bookman Old Style" w:cs="Arial"/>
        <w:b w:val="0"/>
        <w:sz w:val="22"/>
        <w:szCs w:val="22"/>
      </w:rPr>
    </w:pPr>
  </w:p>
  <w:p w:rsidR="004C7E35" w:rsidRPr="00951F79" w:rsidRDefault="004C7E35"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71189">
      <w:rPr>
        <w:rFonts w:ascii="Bookman Old Style" w:hAnsi="Bookman Old Style" w:cs="Arial"/>
        <w:b w:val="0"/>
        <w:noProof/>
        <w:sz w:val="22"/>
        <w:szCs w:val="22"/>
      </w:rPr>
      <w:t>16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C71189" w:rsidRPr="00C71189">
        <w:rPr>
          <w:rFonts w:ascii="Bookman Old Style" w:hAnsi="Bookman Old Style" w:cs="Arial"/>
          <w:b w:val="0"/>
          <w:noProof/>
          <w:sz w:val="22"/>
          <w:szCs w:val="22"/>
        </w:rPr>
        <w:t>16</w:t>
      </w:r>
    </w:fldSimple>
  </w:p>
  <w:p w:rsidR="004C7E35" w:rsidRDefault="00C71189"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-174625</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75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" filled="f" strokeweight="1.5pt"/>
          </w:pict>
        </mc:Fallback>
      </mc:AlternateContent>
    </w:r>
  </w:p>
  <w:p w:rsidR="004C7E35" w:rsidRPr="00EA4DDB" w:rsidRDefault="004C7E35" w:rsidP="00EA4DDB">
    <w:pPr>
      <w:pBdr>
        <w:bottom w:val="single" w:sz="4" w:space="11" w:color="auto"/>
      </w:pBdr>
      <w:spacing w:before="120" w:after="360"/>
      <w:ind w:left="142" w:right="147"/>
      <w:jc w:val="both"/>
      <w:rPr>
        <w:rFonts w:ascii="Bookman Old Style" w:hAnsi="Bookman Old Style" w:cs="Arial"/>
        <w:i/>
        <w:color w:val="000000" w:themeColor="text1"/>
        <w:sz w:val="22"/>
        <w:szCs w:val="22"/>
        <w:lang w:eastAsia="es-CO"/>
      </w:rPr>
    </w:pPr>
    <w:r w:rsidRPr="00EA4DDB">
      <w:rPr>
        <w:rFonts w:ascii="Bookman Old Style" w:hAnsi="Bookman Old Style" w:cs="Arial"/>
        <w:i/>
        <w:color w:val="000000" w:themeColor="text1"/>
        <w:sz w:val="22"/>
        <w:szCs w:val="22"/>
        <w:lang w:eastAsia="es-CO"/>
      </w:rPr>
      <w:t>Por la cual se resuelve el recurso de reposición interpuesto contra la Resolución CREG 14</w:t>
    </w:r>
    <w:r>
      <w:rPr>
        <w:rFonts w:ascii="Bookman Old Style" w:hAnsi="Bookman Old Style" w:cs="Arial"/>
        <w:i/>
        <w:color w:val="000000" w:themeColor="text1"/>
        <w:sz w:val="22"/>
        <w:szCs w:val="22"/>
        <w:lang w:eastAsia="es-CO"/>
      </w:rPr>
      <w:t>2</w:t>
    </w:r>
    <w:r w:rsidRPr="00EA4DDB">
      <w:rPr>
        <w:rFonts w:ascii="Bookman Old Style" w:hAnsi="Bookman Old Style" w:cs="Arial"/>
        <w:i/>
        <w:color w:val="000000" w:themeColor="text1"/>
        <w:sz w:val="22"/>
        <w:szCs w:val="22"/>
        <w:lang w:eastAsia="es-CO"/>
      </w:rPr>
      <w:t xml:space="preserve"> de 2012, “Por la cual se establecen los cargos regulados para el sistema regional de transporte </w:t>
    </w:r>
    <w:r>
      <w:rPr>
        <w:rFonts w:ascii="Bookman Old Style" w:hAnsi="Bookman Old Style" w:cs="Arial"/>
        <w:i/>
        <w:color w:val="000000" w:themeColor="text1"/>
        <w:sz w:val="22"/>
        <w:szCs w:val="22"/>
        <w:lang w:eastAsia="es-CO"/>
      </w:rPr>
      <w:t>Cundi Suroccidental</w:t>
    </w:r>
    <w:r w:rsidRPr="00EA4DDB">
      <w:rPr>
        <w:rFonts w:ascii="Bookman Old Style" w:hAnsi="Bookman Old Style" w:cs="Arial"/>
        <w:i/>
        <w:color w:val="000000" w:themeColor="text1"/>
        <w:sz w:val="22"/>
        <w:szCs w:val="22"/>
        <w:lang w:eastAsia="es-CO"/>
      </w:rPr>
      <w:t>, según solicitud de la Transportadora de Gas Internacional S.A. E.S.P., TGI S.A. E.S.P.”</w:t>
    </w:r>
    <w:r>
      <w:rPr>
        <w:rFonts w:ascii="Bookman Old Style" w:hAnsi="Bookman Old Style" w:cs="Arial"/>
        <w:i/>
        <w:color w:val="000000" w:themeColor="text1"/>
        <w:sz w:val="22"/>
        <w:szCs w:val="22"/>
        <w:lang w:eastAsia="es-C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E35" w:rsidRDefault="004C7E35" w:rsidP="002A677D">
    <w:pPr>
      <w:pStyle w:val="Encabezado"/>
      <w:jc w:val="both"/>
      <w:rPr>
        <w:rFonts w:ascii="Arial" w:hAnsi="Arial" w:cs="Arial"/>
        <w:spacing w:val="20"/>
        <w:sz w:val="20"/>
      </w:rPr>
    </w:pPr>
    <w:r>
      <w:rPr>
        <w:rFonts w:ascii="Arial" w:hAnsi="Arial" w:cs="Arial"/>
        <w:spacing w:val="20"/>
        <w:sz w:val="20"/>
      </w:rPr>
      <w:t xml:space="preserve">                                   República de Colombia</w:t>
    </w:r>
  </w:p>
  <w:p w:rsidR="004C7E35" w:rsidRDefault="004C7E35">
    <w:pPr>
      <w:pStyle w:val="Encabezado"/>
      <w:jc w:val="center"/>
      <w:rPr>
        <w:rFonts w:ascii="Arial" w:hAnsi="Arial" w:cs="Arial"/>
        <w:spacing w:val="20"/>
        <w:sz w:val="20"/>
      </w:rPr>
    </w:pPr>
  </w:p>
  <w:p w:rsidR="004C7E35" w:rsidRDefault="00C71189" w:rsidP="00CA77FB">
    <w:pPr>
      <w:pStyle w:val="Encabezado"/>
      <w:jc w:val="center"/>
    </w:pPr>
    <w:r>
      <w:rPr>
        <w:noProof/>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6E1FF9"/>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0B1C5795"/>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CB11DAB"/>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E017D7A"/>
    <w:multiLevelType w:val="hybridMultilevel"/>
    <w:tmpl w:val="2EB40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EE2331E"/>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11CE4180"/>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15F6250D"/>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C2740DC"/>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1DB30709"/>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21D05B0C"/>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21EC0501"/>
    <w:multiLevelType w:val="hybridMultilevel"/>
    <w:tmpl w:val="3F68C982"/>
    <w:lvl w:ilvl="0" w:tplc="62B6354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447747A"/>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28CA1AC6"/>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2A083A58"/>
    <w:multiLevelType w:val="hybridMultilevel"/>
    <w:tmpl w:val="8ADED7EE"/>
    <w:lvl w:ilvl="0" w:tplc="5DDAE2DA">
      <w:start w:val="1"/>
      <w:numFmt w:val="lowerRoman"/>
      <w:lvlText w:val="%1)"/>
      <w:lvlJc w:val="left"/>
      <w:pPr>
        <w:ind w:left="1080" w:hanging="72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F2F6827"/>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301E2343"/>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nsid w:val="3213303F"/>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40BF1C67"/>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nsid w:val="422D6B82"/>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nsid w:val="42DA5DEE"/>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nsid w:val="463F3243"/>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nsid w:val="46C95E1B"/>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nsid w:val="475D0741"/>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3D820DC"/>
    <w:multiLevelType w:val="hybridMultilevel"/>
    <w:tmpl w:val="127A1A24"/>
    <w:lvl w:ilvl="0" w:tplc="0ED8C4B0">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6">
    <w:nsid w:val="684142E0"/>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nsid w:val="6A7A0E04"/>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nsid w:val="6CE27A40"/>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nsid w:val="6FB65618"/>
    <w:multiLevelType w:val="hybridMultilevel"/>
    <w:tmpl w:val="6D749118"/>
    <w:lvl w:ilvl="0" w:tplc="76AC2FD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3432BD8"/>
    <w:multiLevelType w:val="hybridMultilevel"/>
    <w:tmpl w:val="FFFCEB46"/>
    <w:lvl w:ilvl="0" w:tplc="6E4CF9B8">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31">
    <w:nsid w:val="75D94929"/>
    <w:multiLevelType w:val="hybridMultilevel"/>
    <w:tmpl w:val="1AFEDE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79436B9"/>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nsid w:val="7D3E74E3"/>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30"/>
  </w:num>
  <w:num w:numId="2">
    <w:abstractNumId w:val="24"/>
  </w:num>
  <w:num w:numId="3">
    <w:abstractNumId w:val="0"/>
  </w:num>
  <w:num w:numId="4">
    <w:abstractNumId w:val="16"/>
  </w:num>
  <w:num w:numId="5">
    <w:abstractNumId w:val="9"/>
  </w:num>
  <w:num w:numId="6">
    <w:abstractNumId w:val="19"/>
  </w:num>
  <w:num w:numId="7">
    <w:abstractNumId w:val="8"/>
  </w:num>
  <w:num w:numId="8">
    <w:abstractNumId w:val="20"/>
  </w:num>
  <w:num w:numId="9">
    <w:abstractNumId w:val="32"/>
  </w:num>
  <w:num w:numId="10">
    <w:abstractNumId w:val="23"/>
  </w:num>
  <w:num w:numId="11">
    <w:abstractNumId w:val="15"/>
  </w:num>
  <w:num w:numId="12">
    <w:abstractNumId w:val="3"/>
  </w:num>
  <w:num w:numId="13">
    <w:abstractNumId w:val="10"/>
  </w:num>
  <w:num w:numId="14">
    <w:abstractNumId w:val="6"/>
  </w:num>
  <w:num w:numId="15">
    <w:abstractNumId w:val="2"/>
  </w:num>
  <w:num w:numId="16">
    <w:abstractNumId w:val="33"/>
  </w:num>
  <w:num w:numId="17">
    <w:abstractNumId w:val="26"/>
  </w:num>
  <w:num w:numId="18">
    <w:abstractNumId w:val="17"/>
  </w:num>
  <w:num w:numId="19">
    <w:abstractNumId w:val="13"/>
  </w:num>
  <w:num w:numId="20">
    <w:abstractNumId w:val="5"/>
  </w:num>
  <w:num w:numId="21">
    <w:abstractNumId w:val="7"/>
  </w:num>
  <w:num w:numId="22">
    <w:abstractNumId w:val="12"/>
  </w:num>
  <w:num w:numId="23">
    <w:abstractNumId w:val="21"/>
  </w:num>
  <w:num w:numId="24">
    <w:abstractNumId w:val="28"/>
  </w:num>
  <w:num w:numId="25">
    <w:abstractNumId w:val="1"/>
  </w:num>
  <w:num w:numId="26">
    <w:abstractNumId w:val="27"/>
  </w:num>
  <w:num w:numId="27">
    <w:abstractNumId w:val="22"/>
  </w:num>
  <w:num w:numId="28">
    <w:abstractNumId w:val="18"/>
  </w:num>
  <w:num w:numId="29">
    <w:abstractNumId w:val="11"/>
  </w:num>
  <w:num w:numId="30">
    <w:abstractNumId w:val="31"/>
  </w:num>
  <w:num w:numId="31">
    <w:abstractNumId w:val="29"/>
  </w:num>
  <w:num w:numId="32">
    <w:abstractNumId w:val="4"/>
  </w:num>
  <w:num w:numId="33">
    <w:abstractNumId w:val="25"/>
  </w:num>
  <w:num w:numId="34">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306"/>
    <w:rsid w:val="00000850"/>
    <w:rsid w:val="00000CF9"/>
    <w:rsid w:val="00000FCB"/>
    <w:rsid w:val="0000183C"/>
    <w:rsid w:val="00001A61"/>
    <w:rsid w:val="000034E8"/>
    <w:rsid w:val="000037CF"/>
    <w:rsid w:val="00004D83"/>
    <w:rsid w:val="00006AE2"/>
    <w:rsid w:val="00006E06"/>
    <w:rsid w:val="00006F95"/>
    <w:rsid w:val="000076A1"/>
    <w:rsid w:val="00007F69"/>
    <w:rsid w:val="00010B1D"/>
    <w:rsid w:val="00012259"/>
    <w:rsid w:val="00013DEA"/>
    <w:rsid w:val="0001551B"/>
    <w:rsid w:val="00015C89"/>
    <w:rsid w:val="0001631E"/>
    <w:rsid w:val="00016A46"/>
    <w:rsid w:val="00017983"/>
    <w:rsid w:val="00023A14"/>
    <w:rsid w:val="000252D3"/>
    <w:rsid w:val="00025383"/>
    <w:rsid w:val="00025E09"/>
    <w:rsid w:val="00025F94"/>
    <w:rsid w:val="0003016E"/>
    <w:rsid w:val="00030595"/>
    <w:rsid w:val="00030C8A"/>
    <w:rsid w:val="00033795"/>
    <w:rsid w:val="00035268"/>
    <w:rsid w:val="00035CE1"/>
    <w:rsid w:val="00036072"/>
    <w:rsid w:val="00037BB4"/>
    <w:rsid w:val="00037F75"/>
    <w:rsid w:val="00043BFB"/>
    <w:rsid w:val="00044247"/>
    <w:rsid w:val="00044C64"/>
    <w:rsid w:val="0004566B"/>
    <w:rsid w:val="0004642B"/>
    <w:rsid w:val="00046E7F"/>
    <w:rsid w:val="0004777C"/>
    <w:rsid w:val="00047D40"/>
    <w:rsid w:val="000500E1"/>
    <w:rsid w:val="00052267"/>
    <w:rsid w:val="00053EBD"/>
    <w:rsid w:val="0005424A"/>
    <w:rsid w:val="00054833"/>
    <w:rsid w:val="00054F7D"/>
    <w:rsid w:val="00055386"/>
    <w:rsid w:val="000572D1"/>
    <w:rsid w:val="000579E3"/>
    <w:rsid w:val="00057DD5"/>
    <w:rsid w:val="0006018C"/>
    <w:rsid w:val="00063657"/>
    <w:rsid w:val="00063E0C"/>
    <w:rsid w:val="00064B58"/>
    <w:rsid w:val="00065424"/>
    <w:rsid w:val="00065CA6"/>
    <w:rsid w:val="00066A4D"/>
    <w:rsid w:val="00067207"/>
    <w:rsid w:val="00067583"/>
    <w:rsid w:val="00067F10"/>
    <w:rsid w:val="0007035C"/>
    <w:rsid w:val="00071928"/>
    <w:rsid w:val="00074F03"/>
    <w:rsid w:val="0007624F"/>
    <w:rsid w:val="00076407"/>
    <w:rsid w:val="00076680"/>
    <w:rsid w:val="00076A1D"/>
    <w:rsid w:val="00077437"/>
    <w:rsid w:val="000804FD"/>
    <w:rsid w:val="0008073E"/>
    <w:rsid w:val="0008081B"/>
    <w:rsid w:val="00081ECC"/>
    <w:rsid w:val="000820DE"/>
    <w:rsid w:val="00082535"/>
    <w:rsid w:val="00082B44"/>
    <w:rsid w:val="00082BCD"/>
    <w:rsid w:val="0008407A"/>
    <w:rsid w:val="00087095"/>
    <w:rsid w:val="00087591"/>
    <w:rsid w:val="00090F11"/>
    <w:rsid w:val="00091CDB"/>
    <w:rsid w:val="00091FFE"/>
    <w:rsid w:val="000924E9"/>
    <w:rsid w:val="00092660"/>
    <w:rsid w:val="0009270C"/>
    <w:rsid w:val="000928B4"/>
    <w:rsid w:val="000937B4"/>
    <w:rsid w:val="00096E65"/>
    <w:rsid w:val="0009746D"/>
    <w:rsid w:val="000A19AC"/>
    <w:rsid w:val="000A21C6"/>
    <w:rsid w:val="000A2253"/>
    <w:rsid w:val="000A2261"/>
    <w:rsid w:val="000A3461"/>
    <w:rsid w:val="000A3583"/>
    <w:rsid w:val="000A3BBE"/>
    <w:rsid w:val="000A4DC1"/>
    <w:rsid w:val="000A6122"/>
    <w:rsid w:val="000A61D3"/>
    <w:rsid w:val="000A734C"/>
    <w:rsid w:val="000A77BF"/>
    <w:rsid w:val="000A7BEE"/>
    <w:rsid w:val="000B0415"/>
    <w:rsid w:val="000B0674"/>
    <w:rsid w:val="000B082C"/>
    <w:rsid w:val="000B1E7A"/>
    <w:rsid w:val="000B2053"/>
    <w:rsid w:val="000B3169"/>
    <w:rsid w:val="000B6E6F"/>
    <w:rsid w:val="000C06F6"/>
    <w:rsid w:val="000C0F6A"/>
    <w:rsid w:val="000C2F8E"/>
    <w:rsid w:val="000C317C"/>
    <w:rsid w:val="000C34C1"/>
    <w:rsid w:val="000C3A94"/>
    <w:rsid w:val="000C4489"/>
    <w:rsid w:val="000C488E"/>
    <w:rsid w:val="000C5A83"/>
    <w:rsid w:val="000C6851"/>
    <w:rsid w:val="000C6FA5"/>
    <w:rsid w:val="000C7280"/>
    <w:rsid w:val="000C7621"/>
    <w:rsid w:val="000C76A4"/>
    <w:rsid w:val="000D1456"/>
    <w:rsid w:val="000D166D"/>
    <w:rsid w:val="000D26F8"/>
    <w:rsid w:val="000D2EF2"/>
    <w:rsid w:val="000D2FC3"/>
    <w:rsid w:val="000D3209"/>
    <w:rsid w:val="000D3633"/>
    <w:rsid w:val="000D45B1"/>
    <w:rsid w:val="000D52BA"/>
    <w:rsid w:val="000D5B92"/>
    <w:rsid w:val="000D63C3"/>
    <w:rsid w:val="000D70C6"/>
    <w:rsid w:val="000D77FA"/>
    <w:rsid w:val="000E008F"/>
    <w:rsid w:val="000E0A0E"/>
    <w:rsid w:val="000E0DA4"/>
    <w:rsid w:val="000E1B71"/>
    <w:rsid w:val="000E1DD8"/>
    <w:rsid w:val="000E28C9"/>
    <w:rsid w:val="000E47D5"/>
    <w:rsid w:val="000E4990"/>
    <w:rsid w:val="000E5806"/>
    <w:rsid w:val="000E78C7"/>
    <w:rsid w:val="000F1A7E"/>
    <w:rsid w:val="000F1E21"/>
    <w:rsid w:val="000F2EB3"/>
    <w:rsid w:val="000F40D6"/>
    <w:rsid w:val="000F706A"/>
    <w:rsid w:val="000F7938"/>
    <w:rsid w:val="00103232"/>
    <w:rsid w:val="0010373E"/>
    <w:rsid w:val="00104E62"/>
    <w:rsid w:val="00105093"/>
    <w:rsid w:val="0010546E"/>
    <w:rsid w:val="00106B1A"/>
    <w:rsid w:val="00107A62"/>
    <w:rsid w:val="0011064E"/>
    <w:rsid w:val="0011089E"/>
    <w:rsid w:val="00112B37"/>
    <w:rsid w:val="00114704"/>
    <w:rsid w:val="001148DF"/>
    <w:rsid w:val="001151F3"/>
    <w:rsid w:val="001159F1"/>
    <w:rsid w:val="00116126"/>
    <w:rsid w:val="00116BF8"/>
    <w:rsid w:val="00116C33"/>
    <w:rsid w:val="001170D2"/>
    <w:rsid w:val="0011775E"/>
    <w:rsid w:val="00121211"/>
    <w:rsid w:val="0012269D"/>
    <w:rsid w:val="00123B5C"/>
    <w:rsid w:val="00124F81"/>
    <w:rsid w:val="00125218"/>
    <w:rsid w:val="00125731"/>
    <w:rsid w:val="00126C83"/>
    <w:rsid w:val="001324AB"/>
    <w:rsid w:val="001354D9"/>
    <w:rsid w:val="00135CA0"/>
    <w:rsid w:val="00136108"/>
    <w:rsid w:val="00136D5A"/>
    <w:rsid w:val="00137A4C"/>
    <w:rsid w:val="001405C6"/>
    <w:rsid w:val="00140832"/>
    <w:rsid w:val="00141013"/>
    <w:rsid w:val="00141A71"/>
    <w:rsid w:val="00145B0F"/>
    <w:rsid w:val="00146CC4"/>
    <w:rsid w:val="001473CE"/>
    <w:rsid w:val="00147C22"/>
    <w:rsid w:val="00150D46"/>
    <w:rsid w:val="001549CA"/>
    <w:rsid w:val="00154D0F"/>
    <w:rsid w:val="001579B6"/>
    <w:rsid w:val="00160FB1"/>
    <w:rsid w:val="0016196C"/>
    <w:rsid w:val="00161F54"/>
    <w:rsid w:val="0016207A"/>
    <w:rsid w:val="00162362"/>
    <w:rsid w:val="00162D48"/>
    <w:rsid w:val="00163363"/>
    <w:rsid w:val="00163747"/>
    <w:rsid w:val="00163CB1"/>
    <w:rsid w:val="0016484E"/>
    <w:rsid w:val="0016562D"/>
    <w:rsid w:val="00167871"/>
    <w:rsid w:val="0017065F"/>
    <w:rsid w:val="0017302C"/>
    <w:rsid w:val="001731FA"/>
    <w:rsid w:val="001732D9"/>
    <w:rsid w:val="001733E9"/>
    <w:rsid w:val="0017392D"/>
    <w:rsid w:val="00173ADC"/>
    <w:rsid w:val="001743A6"/>
    <w:rsid w:val="00174DC5"/>
    <w:rsid w:val="00175E65"/>
    <w:rsid w:val="001776E2"/>
    <w:rsid w:val="00180432"/>
    <w:rsid w:val="00180DD5"/>
    <w:rsid w:val="00182B14"/>
    <w:rsid w:val="00183DA2"/>
    <w:rsid w:val="00184E7C"/>
    <w:rsid w:val="00185B11"/>
    <w:rsid w:val="00185C24"/>
    <w:rsid w:val="0018733B"/>
    <w:rsid w:val="00187C0F"/>
    <w:rsid w:val="0019085C"/>
    <w:rsid w:val="0019169B"/>
    <w:rsid w:val="0019256B"/>
    <w:rsid w:val="001927F6"/>
    <w:rsid w:val="00192CBF"/>
    <w:rsid w:val="00192FF1"/>
    <w:rsid w:val="00194044"/>
    <w:rsid w:val="001947F7"/>
    <w:rsid w:val="00194FD4"/>
    <w:rsid w:val="00195A39"/>
    <w:rsid w:val="0019740A"/>
    <w:rsid w:val="00197D44"/>
    <w:rsid w:val="001A1359"/>
    <w:rsid w:val="001A1AF4"/>
    <w:rsid w:val="001A3997"/>
    <w:rsid w:val="001A5B11"/>
    <w:rsid w:val="001A5F1B"/>
    <w:rsid w:val="001A71EE"/>
    <w:rsid w:val="001A754C"/>
    <w:rsid w:val="001A7EE0"/>
    <w:rsid w:val="001B124E"/>
    <w:rsid w:val="001B1C22"/>
    <w:rsid w:val="001B31DC"/>
    <w:rsid w:val="001B32F6"/>
    <w:rsid w:val="001B34C6"/>
    <w:rsid w:val="001B45E5"/>
    <w:rsid w:val="001B7C29"/>
    <w:rsid w:val="001B7C41"/>
    <w:rsid w:val="001C0466"/>
    <w:rsid w:val="001C321E"/>
    <w:rsid w:val="001C333A"/>
    <w:rsid w:val="001C42E6"/>
    <w:rsid w:val="001C4452"/>
    <w:rsid w:val="001C534F"/>
    <w:rsid w:val="001C6764"/>
    <w:rsid w:val="001C6B76"/>
    <w:rsid w:val="001C6C45"/>
    <w:rsid w:val="001C7346"/>
    <w:rsid w:val="001C76D5"/>
    <w:rsid w:val="001D026A"/>
    <w:rsid w:val="001D0277"/>
    <w:rsid w:val="001D142C"/>
    <w:rsid w:val="001D1DBE"/>
    <w:rsid w:val="001D3786"/>
    <w:rsid w:val="001D3CE4"/>
    <w:rsid w:val="001D40AF"/>
    <w:rsid w:val="001D5629"/>
    <w:rsid w:val="001D5678"/>
    <w:rsid w:val="001D7832"/>
    <w:rsid w:val="001D7AA6"/>
    <w:rsid w:val="001E0967"/>
    <w:rsid w:val="001E2064"/>
    <w:rsid w:val="001E229D"/>
    <w:rsid w:val="001E4863"/>
    <w:rsid w:val="001E4CD1"/>
    <w:rsid w:val="001E4CE7"/>
    <w:rsid w:val="001E5BAA"/>
    <w:rsid w:val="001E644F"/>
    <w:rsid w:val="001E6826"/>
    <w:rsid w:val="001F0A15"/>
    <w:rsid w:val="001F0EB9"/>
    <w:rsid w:val="001F262B"/>
    <w:rsid w:val="001F3511"/>
    <w:rsid w:val="001F4930"/>
    <w:rsid w:val="001F5450"/>
    <w:rsid w:val="001F5941"/>
    <w:rsid w:val="001F733A"/>
    <w:rsid w:val="0020089E"/>
    <w:rsid w:val="00200A20"/>
    <w:rsid w:val="00200E30"/>
    <w:rsid w:val="00200EDD"/>
    <w:rsid w:val="00204634"/>
    <w:rsid w:val="00205253"/>
    <w:rsid w:val="0021000F"/>
    <w:rsid w:val="002109F1"/>
    <w:rsid w:val="00211D34"/>
    <w:rsid w:val="0021209C"/>
    <w:rsid w:val="002124A3"/>
    <w:rsid w:val="00212CEF"/>
    <w:rsid w:val="002138E4"/>
    <w:rsid w:val="00214116"/>
    <w:rsid w:val="0021438D"/>
    <w:rsid w:val="002145F3"/>
    <w:rsid w:val="002149EB"/>
    <w:rsid w:val="00214DAF"/>
    <w:rsid w:val="00214F04"/>
    <w:rsid w:val="00216F2F"/>
    <w:rsid w:val="002203BC"/>
    <w:rsid w:val="00220892"/>
    <w:rsid w:val="00220957"/>
    <w:rsid w:val="00220D15"/>
    <w:rsid w:val="002210A7"/>
    <w:rsid w:val="00221447"/>
    <w:rsid w:val="00221515"/>
    <w:rsid w:val="00221EEE"/>
    <w:rsid w:val="00222D03"/>
    <w:rsid w:val="00223247"/>
    <w:rsid w:val="0022583F"/>
    <w:rsid w:val="002318B6"/>
    <w:rsid w:val="002358B9"/>
    <w:rsid w:val="00235B05"/>
    <w:rsid w:val="00236264"/>
    <w:rsid w:val="00236C85"/>
    <w:rsid w:val="002375C3"/>
    <w:rsid w:val="00237650"/>
    <w:rsid w:val="00237D8B"/>
    <w:rsid w:val="002405E3"/>
    <w:rsid w:val="00241CA1"/>
    <w:rsid w:val="00241D77"/>
    <w:rsid w:val="002425C3"/>
    <w:rsid w:val="00243C1C"/>
    <w:rsid w:val="002446FD"/>
    <w:rsid w:val="00244761"/>
    <w:rsid w:val="00244B7E"/>
    <w:rsid w:val="00244EA3"/>
    <w:rsid w:val="00245E18"/>
    <w:rsid w:val="002465C1"/>
    <w:rsid w:val="002510FC"/>
    <w:rsid w:val="00251C06"/>
    <w:rsid w:val="002536BB"/>
    <w:rsid w:val="00253985"/>
    <w:rsid w:val="00254057"/>
    <w:rsid w:val="002541A2"/>
    <w:rsid w:val="002542EF"/>
    <w:rsid w:val="002550A4"/>
    <w:rsid w:val="002557A1"/>
    <w:rsid w:val="002606E5"/>
    <w:rsid w:val="00260C6C"/>
    <w:rsid w:val="00260FA2"/>
    <w:rsid w:val="002615BC"/>
    <w:rsid w:val="00261A49"/>
    <w:rsid w:val="0026238B"/>
    <w:rsid w:val="00262E20"/>
    <w:rsid w:val="0026301C"/>
    <w:rsid w:val="00263A62"/>
    <w:rsid w:val="0026544D"/>
    <w:rsid w:val="00266696"/>
    <w:rsid w:val="00266CD6"/>
    <w:rsid w:val="00267F1F"/>
    <w:rsid w:val="002705BE"/>
    <w:rsid w:val="0027094B"/>
    <w:rsid w:val="00272E35"/>
    <w:rsid w:val="00274195"/>
    <w:rsid w:val="00274ABB"/>
    <w:rsid w:val="00275234"/>
    <w:rsid w:val="00275844"/>
    <w:rsid w:val="00275DAB"/>
    <w:rsid w:val="00277007"/>
    <w:rsid w:val="00280439"/>
    <w:rsid w:val="00280809"/>
    <w:rsid w:val="00280C5A"/>
    <w:rsid w:val="00280C96"/>
    <w:rsid w:val="00285AB7"/>
    <w:rsid w:val="00286C43"/>
    <w:rsid w:val="002870CA"/>
    <w:rsid w:val="0028750E"/>
    <w:rsid w:val="00287F5C"/>
    <w:rsid w:val="00290209"/>
    <w:rsid w:val="00290DF9"/>
    <w:rsid w:val="00291DC7"/>
    <w:rsid w:val="002927A1"/>
    <w:rsid w:val="0029542F"/>
    <w:rsid w:val="002A355B"/>
    <w:rsid w:val="002A677D"/>
    <w:rsid w:val="002A782A"/>
    <w:rsid w:val="002A7A47"/>
    <w:rsid w:val="002B1063"/>
    <w:rsid w:val="002B10AF"/>
    <w:rsid w:val="002B11E2"/>
    <w:rsid w:val="002B231D"/>
    <w:rsid w:val="002B24B8"/>
    <w:rsid w:val="002B272E"/>
    <w:rsid w:val="002B31C3"/>
    <w:rsid w:val="002B356B"/>
    <w:rsid w:val="002B4647"/>
    <w:rsid w:val="002B6178"/>
    <w:rsid w:val="002C12E1"/>
    <w:rsid w:val="002C1C94"/>
    <w:rsid w:val="002C1F64"/>
    <w:rsid w:val="002C2043"/>
    <w:rsid w:val="002C3ADF"/>
    <w:rsid w:val="002C41EA"/>
    <w:rsid w:val="002C4918"/>
    <w:rsid w:val="002C4C14"/>
    <w:rsid w:val="002C61FB"/>
    <w:rsid w:val="002C6D5B"/>
    <w:rsid w:val="002D14D6"/>
    <w:rsid w:val="002D2900"/>
    <w:rsid w:val="002D3936"/>
    <w:rsid w:val="002D3AE9"/>
    <w:rsid w:val="002D4510"/>
    <w:rsid w:val="002D5983"/>
    <w:rsid w:val="002D5F5F"/>
    <w:rsid w:val="002D694E"/>
    <w:rsid w:val="002D7417"/>
    <w:rsid w:val="002E0B6A"/>
    <w:rsid w:val="002E0D69"/>
    <w:rsid w:val="002E13D6"/>
    <w:rsid w:val="002E2200"/>
    <w:rsid w:val="002E3BE2"/>
    <w:rsid w:val="002E3F34"/>
    <w:rsid w:val="002E45FB"/>
    <w:rsid w:val="002E4A7B"/>
    <w:rsid w:val="002E52A2"/>
    <w:rsid w:val="002E7161"/>
    <w:rsid w:val="002E7392"/>
    <w:rsid w:val="002E7C97"/>
    <w:rsid w:val="002F0734"/>
    <w:rsid w:val="002F1C15"/>
    <w:rsid w:val="002F1F22"/>
    <w:rsid w:val="002F2230"/>
    <w:rsid w:val="002F2CAE"/>
    <w:rsid w:val="002F38C7"/>
    <w:rsid w:val="002F46E7"/>
    <w:rsid w:val="002F4B5A"/>
    <w:rsid w:val="002F598F"/>
    <w:rsid w:val="002F5DE0"/>
    <w:rsid w:val="002F69E2"/>
    <w:rsid w:val="002F6B2D"/>
    <w:rsid w:val="002F6FA4"/>
    <w:rsid w:val="003002CF"/>
    <w:rsid w:val="00300658"/>
    <w:rsid w:val="00303680"/>
    <w:rsid w:val="00303B0C"/>
    <w:rsid w:val="003050F2"/>
    <w:rsid w:val="00306892"/>
    <w:rsid w:val="0030740A"/>
    <w:rsid w:val="00307E78"/>
    <w:rsid w:val="003101DA"/>
    <w:rsid w:val="003104E6"/>
    <w:rsid w:val="003112F3"/>
    <w:rsid w:val="00311727"/>
    <w:rsid w:val="003140F6"/>
    <w:rsid w:val="00314757"/>
    <w:rsid w:val="00315CB2"/>
    <w:rsid w:val="00315D1E"/>
    <w:rsid w:val="00315D7A"/>
    <w:rsid w:val="00316494"/>
    <w:rsid w:val="003167A7"/>
    <w:rsid w:val="0031692B"/>
    <w:rsid w:val="003172F2"/>
    <w:rsid w:val="00317AAB"/>
    <w:rsid w:val="00321005"/>
    <w:rsid w:val="003211CE"/>
    <w:rsid w:val="00321514"/>
    <w:rsid w:val="00321A5C"/>
    <w:rsid w:val="003225CF"/>
    <w:rsid w:val="00322725"/>
    <w:rsid w:val="00325DC9"/>
    <w:rsid w:val="00326EC9"/>
    <w:rsid w:val="003277CA"/>
    <w:rsid w:val="00330664"/>
    <w:rsid w:val="00330F48"/>
    <w:rsid w:val="00330FC7"/>
    <w:rsid w:val="00331519"/>
    <w:rsid w:val="00331776"/>
    <w:rsid w:val="00332889"/>
    <w:rsid w:val="003339A3"/>
    <w:rsid w:val="0033586A"/>
    <w:rsid w:val="00336511"/>
    <w:rsid w:val="003368B9"/>
    <w:rsid w:val="00340036"/>
    <w:rsid w:val="003405EE"/>
    <w:rsid w:val="0034339A"/>
    <w:rsid w:val="00343AAF"/>
    <w:rsid w:val="00344A2D"/>
    <w:rsid w:val="003457B0"/>
    <w:rsid w:val="003458C2"/>
    <w:rsid w:val="003458D5"/>
    <w:rsid w:val="00345F9C"/>
    <w:rsid w:val="0034634C"/>
    <w:rsid w:val="00346ACD"/>
    <w:rsid w:val="003510EA"/>
    <w:rsid w:val="0035131F"/>
    <w:rsid w:val="003514BA"/>
    <w:rsid w:val="003522D8"/>
    <w:rsid w:val="003532CD"/>
    <w:rsid w:val="0035403A"/>
    <w:rsid w:val="00354CB2"/>
    <w:rsid w:val="00355BB8"/>
    <w:rsid w:val="00355CFA"/>
    <w:rsid w:val="00355F9C"/>
    <w:rsid w:val="003567D1"/>
    <w:rsid w:val="00356A4F"/>
    <w:rsid w:val="00360266"/>
    <w:rsid w:val="003615C0"/>
    <w:rsid w:val="0036296C"/>
    <w:rsid w:val="0036394B"/>
    <w:rsid w:val="00363FEF"/>
    <w:rsid w:val="00365054"/>
    <w:rsid w:val="003666DE"/>
    <w:rsid w:val="00367EDD"/>
    <w:rsid w:val="0037046B"/>
    <w:rsid w:val="003709B5"/>
    <w:rsid w:val="00371444"/>
    <w:rsid w:val="00371FF1"/>
    <w:rsid w:val="00372B00"/>
    <w:rsid w:val="00373972"/>
    <w:rsid w:val="00374459"/>
    <w:rsid w:val="003759C2"/>
    <w:rsid w:val="00377FBE"/>
    <w:rsid w:val="00380469"/>
    <w:rsid w:val="0038159C"/>
    <w:rsid w:val="00382819"/>
    <w:rsid w:val="00383743"/>
    <w:rsid w:val="00384598"/>
    <w:rsid w:val="00385074"/>
    <w:rsid w:val="00385747"/>
    <w:rsid w:val="00385B46"/>
    <w:rsid w:val="00386762"/>
    <w:rsid w:val="00386DCA"/>
    <w:rsid w:val="00390AA6"/>
    <w:rsid w:val="00391305"/>
    <w:rsid w:val="00391695"/>
    <w:rsid w:val="00391F2E"/>
    <w:rsid w:val="00392134"/>
    <w:rsid w:val="003921C5"/>
    <w:rsid w:val="00392839"/>
    <w:rsid w:val="003932A0"/>
    <w:rsid w:val="00394758"/>
    <w:rsid w:val="00395F15"/>
    <w:rsid w:val="0039633E"/>
    <w:rsid w:val="00397365"/>
    <w:rsid w:val="003A026A"/>
    <w:rsid w:val="003A0442"/>
    <w:rsid w:val="003A0A73"/>
    <w:rsid w:val="003A122D"/>
    <w:rsid w:val="003A2012"/>
    <w:rsid w:val="003A2364"/>
    <w:rsid w:val="003A2585"/>
    <w:rsid w:val="003A2ECD"/>
    <w:rsid w:val="003A31F6"/>
    <w:rsid w:val="003A433A"/>
    <w:rsid w:val="003A4A5A"/>
    <w:rsid w:val="003A6E0A"/>
    <w:rsid w:val="003B0249"/>
    <w:rsid w:val="003B0F4A"/>
    <w:rsid w:val="003B42E3"/>
    <w:rsid w:val="003B59D6"/>
    <w:rsid w:val="003B5BC2"/>
    <w:rsid w:val="003B610A"/>
    <w:rsid w:val="003C0A0E"/>
    <w:rsid w:val="003C1345"/>
    <w:rsid w:val="003C2BEF"/>
    <w:rsid w:val="003C3447"/>
    <w:rsid w:val="003C4444"/>
    <w:rsid w:val="003C484E"/>
    <w:rsid w:val="003C7827"/>
    <w:rsid w:val="003C7F70"/>
    <w:rsid w:val="003D076C"/>
    <w:rsid w:val="003D0B4F"/>
    <w:rsid w:val="003D11F9"/>
    <w:rsid w:val="003D220A"/>
    <w:rsid w:val="003D23A3"/>
    <w:rsid w:val="003D3478"/>
    <w:rsid w:val="003D3B96"/>
    <w:rsid w:val="003D5179"/>
    <w:rsid w:val="003D73DE"/>
    <w:rsid w:val="003D7C1A"/>
    <w:rsid w:val="003E03A5"/>
    <w:rsid w:val="003E368A"/>
    <w:rsid w:val="003E3723"/>
    <w:rsid w:val="003E609F"/>
    <w:rsid w:val="003E6C86"/>
    <w:rsid w:val="003E78B5"/>
    <w:rsid w:val="003F1B9C"/>
    <w:rsid w:val="003F2C68"/>
    <w:rsid w:val="003F42F5"/>
    <w:rsid w:val="003F47D3"/>
    <w:rsid w:val="003F537E"/>
    <w:rsid w:val="003F5F69"/>
    <w:rsid w:val="003F67F8"/>
    <w:rsid w:val="003F6C56"/>
    <w:rsid w:val="003F6CB9"/>
    <w:rsid w:val="003F6D82"/>
    <w:rsid w:val="003F759E"/>
    <w:rsid w:val="00401931"/>
    <w:rsid w:val="004021C1"/>
    <w:rsid w:val="004030B3"/>
    <w:rsid w:val="0040453C"/>
    <w:rsid w:val="00404AD5"/>
    <w:rsid w:val="00406786"/>
    <w:rsid w:val="0040689E"/>
    <w:rsid w:val="004104BA"/>
    <w:rsid w:val="0041140D"/>
    <w:rsid w:val="00411EB4"/>
    <w:rsid w:val="00412818"/>
    <w:rsid w:val="00412A46"/>
    <w:rsid w:val="00412C33"/>
    <w:rsid w:val="00413231"/>
    <w:rsid w:val="0041368E"/>
    <w:rsid w:val="004137A7"/>
    <w:rsid w:val="00415BAB"/>
    <w:rsid w:val="00415ED2"/>
    <w:rsid w:val="004161D2"/>
    <w:rsid w:val="0041726A"/>
    <w:rsid w:val="0041751A"/>
    <w:rsid w:val="004177BD"/>
    <w:rsid w:val="0042068C"/>
    <w:rsid w:val="0042108D"/>
    <w:rsid w:val="004219C2"/>
    <w:rsid w:val="00423178"/>
    <w:rsid w:val="004232B6"/>
    <w:rsid w:val="00424B00"/>
    <w:rsid w:val="00425439"/>
    <w:rsid w:val="00425B71"/>
    <w:rsid w:val="004265AD"/>
    <w:rsid w:val="00430421"/>
    <w:rsid w:val="00430F5F"/>
    <w:rsid w:val="00432929"/>
    <w:rsid w:val="004340D7"/>
    <w:rsid w:val="004346F8"/>
    <w:rsid w:val="00434814"/>
    <w:rsid w:val="00434F58"/>
    <w:rsid w:val="0043597F"/>
    <w:rsid w:val="0043700A"/>
    <w:rsid w:val="00437B6A"/>
    <w:rsid w:val="00437E09"/>
    <w:rsid w:val="00442775"/>
    <w:rsid w:val="00442B7B"/>
    <w:rsid w:val="00442F78"/>
    <w:rsid w:val="00443358"/>
    <w:rsid w:val="00443830"/>
    <w:rsid w:val="00443CCC"/>
    <w:rsid w:val="0044462D"/>
    <w:rsid w:val="0044478B"/>
    <w:rsid w:val="0044547A"/>
    <w:rsid w:val="00445BC0"/>
    <w:rsid w:val="00446E47"/>
    <w:rsid w:val="00447904"/>
    <w:rsid w:val="00452703"/>
    <w:rsid w:val="004542CA"/>
    <w:rsid w:val="00454F05"/>
    <w:rsid w:val="004558D0"/>
    <w:rsid w:val="004574D4"/>
    <w:rsid w:val="00457EFA"/>
    <w:rsid w:val="00460B88"/>
    <w:rsid w:val="004623ED"/>
    <w:rsid w:val="00462CA2"/>
    <w:rsid w:val="00463F64"/>
    <w:rsid w:val="00464B25"/>
    <w:rsid w:val="00464F48"/>
    <w:rsid w:val="00465D4A"/>
    <w:rsid w:val="00466375"/>
    <w:rsid w:val="00467598"/>
    <w:rsid w:val="0047122B"/>
    <w:rsid w:val="0047177D"/>
    <w:rsid w:val="0047247B"/>
    <w:rsid w:val="00473AE4"/>
    <w:rsid w:val="00473B7A"/>
    <w:rsid w:val="004740A6"/>
    <w:rsid w:val="004747F8"/>
    <w:rsid w:val="00477940"/>
    <w:rsid w:val="00477FA8"/>
    <w:rsid w:val="004804DB"/>
    <w:rsid w:val="00483216"/>
    <w:rsid w:val="00483379"/>
    <w:rsid w:val="00483902"/>
    <w:rsid w:val="00486073"/>
    <w:rsid w:val="0048630F"/>
    <w:rsid w:val="004875EF"/>
    <w:rsid w:val="004902C7"/>
    <w:rsid w:val="00490DEF"/>
    <w:rsid w:val="004912F0"/>
    <w:rsid w:val="00491E4D"/>
    <w:rsid w:val="004920DE"/>
    <w:rsid w:val="00493A87"/>
    <w:rsid w:val="00494A95"/>
    <w:rsid w:val="00494E3F"/>
    <w:rsid w:val="00495379"/>
    <w:rsid w:val="004960E9"/>
    <w:rsid w:val="00496414"/>
    <w:rsid w:val="004971D3"/>
    <w:rsid w:val="0049798C"/>
    <w:rsid w:val="004A0449"/>
    <w:rsid w:val="004A0A85"/>
    <w:rsid w:val="004A0DC6"/>
    <w:rsid w:val="004A0FD2"/>
    <w:rsid w:val="004A1269"/>
    <w:rsid w:val="004A17C1"/>
    <w:rsid w:val="004A2856"/>
    <w:rsid w:val="004A2D00"/>
    <w:rsid w:val="004A2E88"/>
    <w:rsid w:val="004A326A"/>
    <w:rsid w:val="004A33B8"/>
    <w:rsid w:val="004A4B23"/>
    <w:rsid w:val="004A51E0"/>
    <w:rsid w:val="004A5305"/>
    <w:rsid w:val="004A57FA"/>
    <w:rsid w:val="004B0FC4"/>
    <w:rsid w:val="004B1676"/>
    <w:rsid w:val="004B25B0"/>
    <w:rsid w:val="004B2EB0"/>
    <w:rsid w:val="004B47B2"/>
    <w:rsid w:val="004B5442"/>
    <w:rsid w:val="004B5F87"/>
    <w:rsid w:val="004B620E"/>
    <w:rsid w:val="004B7529"/>
    <w:rsid w:val="004C1D1A"/>
    <w:rsid w:val="004C2B06"/>
    <w:rsid w:val="004C2E60"/>
    <w:rsid w:val="004C3DBD"/>
    <w:rsid w:val="004C5987"/>
    <w:rsid w:val="004C7024"/>
    <w:rsid w:val="004C7E35"/>
    <w:rsid w:val="004D31B3"/>
    <w:rsid w:val="004D3EB6"/>
    <w:rsid w:val="004D49E3"/>
    <w:rsid w:val="004D4FB5"/>
    <w:rsid w:val="004D5600"/>
    <w:rsid w:val="004D7634"/>
    <w:rsid w:val="004E210A"/>
    <w:rsid w:val="004E21B3"/>
    <w:rsid w:val="004E2CC2"/>
    <w:rsid w:val="004E3275"/>
    <w:rsid w:val="004E4982"/>
    <w:rsid w:val="004E5893"/>
    <w:rsid w:val="004E5EDD"/>
    <w:rsid w:val="004E74C8"/>
    <w:rsid w:val="004E74DF"/>
    <w:rsid w:val="004F19FB"/>
    <w:rsid w:val="004F569D"/>
    <w:rsid w:val="004F5DD3"/>
    <w:rsid w:val="004F6419"/>
    <w:rsid w:val="004F68C4"/>
    <w:rsid w:val="00500A28"/>
    <w:rsid w:val="00501C96"/>
    <w:rsid w:val="0050269F"/>
    <w:rsid w:val="00503BA2"/>
    <w:rsid w:val="00504DE2"/>
    <w:rsid w:val="005056C1"/>
    <w:rsid w:val="00507C8B"/>
    <w:rsid w:val="00510831"/>
    <w:rsid w:val="005110AB"/>
    <w:rsid w:val="00511E92"/>
    <w:rsid w:val="005132E1"/>
    <w:rsid w:val="00513F86"/>
    <w:rsid w:val="0051435F"/>
    <w:rsid w:val="00515246"/>
    <w:rsid w:val="00515C6C"/>
    <w:rsid w:val="00515F11"/>
    <w:rsid w:val="0051737B"/>
    <w:rsid w:val="00517DBC"/>
    <w:rsid w:val="00517E73"/>
    <w:rsid w:val="005206E2"/>
    <w:rsid w:val="00521378"/>
    <w:rsid w:val="00522E32"/>
    <w:rsid w:val="005236DB"/>
    <w:rsid w:val="00524EFD"/>
    <w:rsid w:val="005276CE"/>
    <w:rsid w:val="005300B2"/>
    <w:rsid w:val="005300D3"/>
    <w:rsid w:val="00530202"/>
    <w:rsid w:val="00530569"/>
    <w:rsid w:val="005307C3"/>
    <w:rsid w:val="00530A8E"/>
    <w:rsid w:val="0053131E"/>
    <w:rsid w:val="00532FD2"/>
    <w:rsid w:val="00533B44"/>
    <w:rsid w:val="00533B5B"/>
    <w:rsid w:val="00535622"/>
    <w:rsid w:val="00535BE9"/>
    <w:rsid w:val="0053648C"/>
    <w:rsid w:val="005367E5"/>
    <w:rsid w:val="005371C5"/>
    <w:rsid w:val="00537674"/>
    <w:rsid w:val="00537735"/>
    <w:rsid w:val="0054060C"/>
    <w:rsid w:val="0054090B"/>
    <w:rsid w:val="00541222"/>
    <w:rsid w:val="00541724"/>
    <w:rsid w:val="00544019"/>
    <w:rsid w:val="00544F82"/>
    <w:rsid w:val="00545484"/>
    <w:rsid w:val="00546550"/>
    <w:rsid w:val="00547653"/>
    <w:rsid w:val="0055024D"/>
    <w:rsid w:val="005539CD"/>
    <w:rsid w:val="00554536"/>
    <w:rsid w:val="00554BC1"/>
    <w:rsid w:val="00554E0F"/>
    <w:rsid w:val="005575A4"/>
    <w:rsid w:val="005626E0"/>
    <w:rsid w:val="005638B0"/>
    <w:rsid w:val="00564527"/>
    <w:rsid w:val="005672F4"/>
    <w:rsid w:val="0057046A"/>
    <w:rsid w:val="0057063C"/>
    <w:rsid w:val="005745EF"/>
    <w:rsid w:val="0057472E"/>
    <w:rsid w:val="00574FB3"/>
    <w:rsid w:val="005758E2"/>
    <w:rsid w:val="00576862"/>
    <w:rsid w:val="00577EC1"/>
    <w:rsid w:val="00581C4D"/>
    <w:rsid w:val="005820C6"/>
    <w:rsid w:val="00582420"/>
    <w:rsid w:val="00582B8C"/>
    <w:rsid w:val="005841EE"/>
    <w:rsid w:val="00584F27"/>
    <w:rsid w:val="00586538"/>
    <w:rsid w:val="005879B0"/>
    <w:rsid w:val="00591425"/>
    <w:rsid w:val="0059207B"/>
    <w:rsid w:val="00592F45"/>
    <w:rsid w:val="0059314A"/>
    <w:rsid w:val="00593853"/>
    <w:rsid w:val="00593C4F"/>
    <w:rsid w:val="005946A8"/>
    <w:rsid w:val="005959BB"/>
    <w:rsid w:val="005966A9"/>
    <w:rsid w:val="005967AC"/>
    <w:rsid w:val="00596C97"/>
    <w:rsid w:val="005973CE"/>
    <w:rsid w:val="005A0536"/>
    <w:rsid w:val="005A158B"/>
    <w:rsid w:val="005A1AD2"/>
    <w:rsid w:val="005A2829"/>
    <w:rsid w:val="005A38F3"/>
    <w:rsid w:val="005A3B54"/>
    <w:rsid w:val="005A4114"/>
    <w:rsid w:val="005A4191"/>
    <w:rsid w:val="005A4407"/>
    <w:rsid w:val="005A59EF"/>
    <w:rsid w:val="005A5C18"/>
    <w:rsid w:val="005A5DD8"/>
    <w:rsid w:val="005A624E"/>
    <w:rsid w:val="005A7139"/>
    <w:rsid w:val="005A7891"/>
    <w:rsid w:val="005B0AEB"/>
    <w:rsid w:val="005B0E4C"/>
    <w:rsid w:val="005B2A18"/>
    <w:rsid w:val="005B2B95"/>
    <w:rsid w:val="005B3B6C"/>
    <w:rsid w:val="005B424B"/>
    <w:rsid w:val="005C0F04"/>
    <w:rsid w:val="005C14B4"/>
    <w:rsid w:val="005C2383"/>
    <w:rsid w:val="005C35D1"/>
    <w:rsid w:val="005C63A8"/>
    <w:rsid w:val="005D0DED"/>
    <w:rsid w:val="005D215E"/>
    <w:rsid w:val="005D3739"/>
    <w:rsid w:val="005D4A9B"/>
    <w:rsid w:val="005D51E4"/>
    <w:rsid w:val="005D539E"/>
    <w:rsid w:val="005D6910"/>
    <w:rsid w:val="005D790C"/>
    <w:rsid w:val="005D7D9B"/>
    <w:rsid w:val="005E189C"/>
    <w:rsid w:val="005E20A3"/>
    <w:rsid w:val="005E3CAA"/>
    <w:rsid w:val="005E438D"/>
    <w:rsid w:val="005E4D01"/>
    <w:rsid w:val="005E54E9"/>
    <w:rsid w:val="005E5705"/>
    <w:rsid w:val="005E654A"/>
    <w:rsid w:val="005E6D07"/>
    <w:rsid w:val="005E7111"/>
    <w:rsid w:val="005E7908"/>
    <w:rsid w:val="005E7991"/>
    <w:rsid w:val="005F1F82"/>
    <w:rsid w:val="005F26F3"/>
    <w:rsid w:val="005F3318"/>
    <w:rsid w:val="005F3710"/>
    <w:rsid w:val="005F562F"/>
    <w:rsid w:val="005F65B1"/>
    <w:rsid w:val="005F6F41"/>
    <w:rsid w:val="005F7A7E"/>
    <w:rsid w:val="00600176"/>
    <w:rsid w:val="006015FB"/>
    <w:rsid w:val="00602A51"/>
    <w:rsid w:val="00602D64"/>
    <w:rsid w:val="006038CC"/>
    <w:rsid w:val="00603AF2"/>
    <w:rsid w:val="006043B8"/>
    <w:rsid w:val="00604D50"/>
    <w:rsid w:val="0060659D"/>
    <w:rsid w:val="00606DB2"/>
    <w:rsid w:val="00606F6A"/>
    <w:rsid w:val="00610258"/>
    <w:rsid w:val="0061061E"/>
    <w:rsid w:val="006110B0"/>
    <w:rsid w:val="00611BAF"/>
    <w:rsid w:val="006132E4"/>
    <w:rsid w:val="006173C7"/>
    <w:rsid w:val="0061769C"/>
    <w:rsid w:val="006205BB"/>
    <w:rsid w:val="00621520"/>
    <w:rsid w:val="006218F4"/>
    <w:rsid w:val="00621A12"/>
    <w:rsid w:val="00621ABE"/>
    <w:rsid w:val="006229FA"/>
    <w:rsid w:val="0062342E"/>
    <w:rsid w:val="006235E2"/>
    <w:rsid w:val="00624952"/>
    <w:rsid w:val="00624C1E"/>
    <w:rsid w:val="00625DC6"/>
    <w:rsid w:val="0063084B"/>
    <w:rsid w:val="00631181"/>
    <w:rsid w:val="006328E6"/>
    <w:rsid w:val="00632C3D"/>
    <w:rsid w:val="0063353C"/>
    <w:rsid w:val="006338D6"/>
    <w:rsid w:val="00635A91"/>
    <w:rsid w:val="006363D0"/>
    <w:rsid w:val="006401EE"/>
    <w:rsid w:val="0064117E"/>
    <w:rsid w:val="0064391D"/>
    <w:rsid w:val="006444D4"/>
    <w:rsid w:val="00644D44"/>
    <w:rsid w:val="00645C15"/>
    <w:rsid w:val="00646040"/>
    <w:rsid w:val="006460B4"/>
    <w:rsid w:val="00646950"/>
    <w:rsid w:val="00647C1D"/>
    <w:rsid w:val="006500A8"/>
    <w:rsid w:val="00651821"/>
    <w:rsid w:val="00652548"/>
    <w:rsid w:val="00652DB2"/>
    <w:rsid w:val="0065393F"/>
    <w:rsid w:val="00653C26"/>
    <w:rsid w:val="00654117"/>
    <w:rsid w:val="00654384"/>
    <w:rsid w:val="00654B37"/>
    <w:rsid w:val="00654F3E"/>
    <w:rsid w:val="00654FC6"/>
    <w:rsid w:val="00655782"/>
    <w:rsid w:val="00656E22"/>
    <w:rsid w:val="00657695"/>
    <w:rsid w:val="00661234"/>
    <w:rsid w:val="0066454F"/>
    <w:rsid w:val="00666FC9"/>
    <w:rsid w:val="00667020"/>
    <w:rsid w:val="006675CD"/>
    <w:rsid w:val="00667F2A"/>
    <w:rsid w:val="006706EF"/>
    <w:rsid w:val="006725A2"/>
    <w:rsid w:val="00672A65"/>
    <w:rsid w:val="00672AA9"/>
    <w:rsid w:val="0067366A"/>
    <w:rsid w:val="00674C62"/>
    <w:rsid w:val="00674D4E"/>
    <w:rsid w:val="0067726F"/>
    <w:rsid w:val="00684C9E"/>
    <w:rsid w:val="00684D9B"/>
    <w:rsid w:val="006861EF"/>
    <w:rsid w:val="00686C91"/>
    <w:rsid w:val="006875CB"/>
    <w:rsid w:val="00690AC9"/>
    <w:rsid w:val="00690AFD"/>
    <w:rsid w:val="00690FA7"/>
    <w:rsid w:val="00691D21"/>
    <w:rsid w:val="00691EFE"/>
    <w:rsid w:val="00692D63"/>
    <w:rsid w:val="0069352A"/>
    <w:rsid w:val="00693EDB"/>
    <w:rsid w:val="00694885"/>
    <w:rsid w:val="00696592"/>
    <w:rsid w:val="00696CF4"/>
    <w:rsid w:val="006970CF"/>
    <w:rsid w:val="00697556"/>
    <w:rsid w:val="006A0671"/>
    <w:rsid w:val="006A14B5"/>
    <w:rsid w:val="006A2161"/>
    <w:rsid w:val="006A42F9"/>
    <w:rsid w:val="006A4DA4"/>
    <w:rsid w:val="006A5BD7"/>
    <w:rsid w:val="006A71B1"/>
    <w:rsid w:val="006A7392"/>
    <w:rsid w:val="006A79DE"/>
    <w:rsid w:val="006A7A16"/>
    <w:rsid w:val="006B12CB"/>
    <w:rsid w:val="006B23A9"/>
    <w:rsid w:val="006B2C70"/>
    <w:rsid w:val="006B2CA2"/>
    <w:rsid w:val="006B3540"/>
    <w:rsid w:val="006B438E"/>
    <w:rsid w:val="006B4647"/>
    <w:rsid w:val="006B481B"/>
    <w:rsid w:val="006B491B"/>
    <w:rsid w:val="006B4C2B"/>
    <w:rsid w:val="006B579F"/>
    <w:rsid w:val="006B6D47"/>
    <w:rsid w:val="006B7101"/>
    <w:rsid w:val="006C0ED5"/>
    <w:rsid w:val="006C4E7C"/>
    <w:rsid w:val="006C51CA"/>
    <w:rsid w:val="006C5AFE"/>
    <w:rsid w:val="006D0453"/>
    <w:rsid w:val="006D0550"/>
    <w:rsid w:val="006D0E7F"/>
    <w:rsid w:val="006D203D"/>
    <w:rsid w:val="006D2557"/>
    <w:rsid w:val="006D2817"/>
    <w:rsid w:val="006D35E1"/>
    <w:rsid w:val="006D4C16"/>
    <w:rsid w:val="006D643D"/>
    <w:rsid w:val="006D757F"/>
    <w:rsid w:val="006D7EF7"/>
    <w:rsid w:val="006E033E"/>
    <w:rsid w:val="006E22B6"/>
    <w:rsid w:val="006E24AF"/>
    <w:rsid w:val="006E3238"/>
    <w:rsid w:val="006E36D6"/>
    <w:rsid w:val="006E42CE"/>
    <w:rsid w:val="006F2052"/>
    <w:rsid w:val="006F2F91"/>
    <w:rsid w:val="006F55A6"/>
    <w:rsid w:val="006F56A9"/>
    <w:rsid w:val="006F60E8"/>
    <w:rsid w:val="006F65EE"/>
    <w:rsid w:val="006F6D95"/>
    <w:rsid w:val="006F7B4F"/>
    <w:rsid w:val="006F7EA2"/>
    <w:rsid w:val="0070130A"/>
    <w:rsid w:val="0070131F"/>
    <w:rsid w:val="0070157F"/>
    <w:rsid w:val="00701F4A"/>
    <w:rsid w:val="00701FB5"/>
    <w:rsid w:val="00702CC9"/>
    <w:rsid w:val="00702DFD"/>
    <w:rsid w:val="00703123"/>
    <w:rsid w:val="0070524E"/>
    <w:rsid w:val="00706048"/>
    <w:rsid w:val="00706F13"/>
    <w:rsid w:val="00706FFA"/>
    <w:rsid w:val="007072E8"/>
    <w:rsid w:val="0071081E"/>
    <w:rsid w:val="00711C30"/>
    <w:rsid w:val="00711C67"/>
    <w:rsid w:val="00714EB2"/>
    <w:rsid w:val="0071552A"/>
    <w:rsid w:val="0071618D"/>
    <w:rsid w:val="0072154E"/>
    <w:rsid w:val="00722204"/>
    <w:rsid w:val="00722463"/>
    <w:rsid w:val="007234AF"/>
    <w:rsid w:val="00723806"/>
    <w:rsid w:val="007242D4"/>
    <w:rsid w:val="0072447A"/>
    <w:rsid w:val="00725FA4"/>
    <w:rsid w:val="00726EEB"/>
    <w:rsid w:val="0072749E"/>
    <w:rsid w:val="00730845"/>
    <w:rsid w:val="00730B6C"/>
    <w:rsid w:val="007313E8"/>
    <w:rsid w:val="00734856"/>
    <w:rsid w:val="007356C0"/>
    <w:rsid w:val="00736377"/>
    <w:rsid w:val="00736F10"/>
    <w:rsid w:val="00737268"/>
    <w:rsid w:val="00740446"/>
    <w:rsid w:val="00741712"/>
    <w:rsid w:val="00742030"/>
    <w:rsid w:val="0074250E"/>
    <w:rsid w:val="00743809"/>
    <w:rsid w:val="007438A9"/>
    <w:rsid w:val="0074491E"/>
    <w:rsid w:val="00746D28"/>
    <w:rsid w:val="00751970"/>
    <w:rsid w:val="00751E8F"/>
    <w:rsid w:val="00753C4B"/>
    <w:rsid w:val="007546D0"/>
    <w:rsid w:val="00754AE0"/>
    <w:rsid w:val="00757341"/>
    <w:rsid w:val="00760160"/>
    <w:rsid w:val="007616CD"/>
    <w:rsid w:val="00761A28"/>
    <w:rsid w:val="00761D50"/>
    <w:rsid w:val="00761EDD"/>
    <w:rsid w:val="0076247A"/>
    <w:rsid w:val="007624BB"/>
    <w:rsid w:val="00762E7E"/>
    <w:rsid w:val="00763136"/>
    <w:rsid w:val="007636CA"/>
    <w:rsid w:val="00763E5B"/>
    <w:rsid w:val="00764FC5"/>
    <w:rsid w:val="00765081"/>
    <w:rsid w:val="007667A8"/>
    <w:rsid w:val="00770391"/>
    <w:rsid w:val="00770ED9"/>
    <w:rsid w:val="00772CB0"/>
    <w:rsid w:val="00772D54"/>
    <w:rsid w:val="00773386"/>
    <w:rsid w:val="00775609"/>
    <w:rsid w:val="00775964"/>
    <w:rsid w:val="00775C47"/>
    <w:rsid w:val="007765FE"/>
    <w:rsid w:val="00776775"/>
    <w:rsid w:val="00776BD0"/>
    <w:rsid w:val="007818F2"/>
    <w:rsid w:val="0078281C"/>
    <w:rsid w:val="00782BA7"/>
    <w:rsid w:val="007838D1"/>
    <w:rsid w:val="00785D0B"/>
    <w:rsid w:val="00786458"/>
    <w:rsid w:val="00787219"/>
    <w:rsid w:val="00787FFA"/>
    <w:rsid w:val="00790034"/>
    <w:rsid w:val="0079027D"/>
    <w:rsid w:val="007905F7"/>
    <w:rsid w:val="0079070B"/>
    <w:rsid w:val="00792487"/>
    <w:rsid w:val="007951A8"/>
    <w:rsid w:val="00795BFB"/>
    <w:rsid w:val="00797934"/>
    <w:rsid w:val="007A0CF3"/>
    <w:rsid w:val="007A10D6"/>
    <w:rsid w:val="007A299D"/>
    <w:rsid w:val="007A59A0"/>
    <w:rsid w:val="007A5A0A"/>
    <w:rsid w:val="007A6139"/>
    <w:rsid w:val="007A6F7F"/>
    <w:rsid w:val="007B0989"/>
    <w:rsid w:val="007B2424"/>
    <w:rsid w:val="007B2760"/>
    <w:rsid w:val="007B361C"/>
    <w:rsid w:val="007B3FCE"/>
    <w:rsid w:val="007B4F3D"/>
    <w:rsid w:val="007B5E9A"/>
    <w:rsid w:val="007B6A62"/>
    <w:rsid w:val="007B71A2"/>
    <w:rsid w:val="007B796D"/>
    <w:rsid w:val="007C0FAE"/>
    <w:rsid w:val="007C3D92"/>
    <w:rsid w:val="007C5866"/>
    <w:rsid w:val="007C6311"/>
    <w:rsid w:val="007D0F59"/>
    <w:rsid w:val="007D15B2"/>
    <w:rsid w:val="007D2144"/>
    <w:rsid w:val="007D2BF0"/>
    <w:rsid w:val="007D32FC"/>
    <w:rsid w:val="007D39F7"/>
    <w:rsid w:val="007D400B"/>
    <w:rsid w:val="007D5B60"/>
    <w:rsid w:val="007D793F"/>
    <w:rsid w:val="007E015A"/>
    <w:rsid w:val="007E13C5"/>
    <w:rsid w:val="007E2E1B"/>
    <w:rsid w:val="007E34CC"/>
    <w:rsid w:val="007E3914"/>
    <w:rsid w:val="007E4A18"/>
    <w:rsid w:val="007E4A19"/>
    <w:rsid w:val="007E6094"/>
    <w:rsid w:val="007E6E4C"/>
    <w:rsid w:val="007F03D7"/>
    <w:rsid w:val="007F0C9C"/>
    <w:rsid w:val="007F0D30"/>
    <w:rsid w:val="007F1029"/>
    <w:rsid w:val="007F1234"/>
    <w:rsid w:val="007F18A8"/>
    <w:rsid w:val="007F20DF"/>
    <w:rsid w:val="007F3306"/>
    <w:rsid w:val="007F4EDE"/>
    <w:rsid w:val="007F657D"/>
    <w:rsid w:val="007F7E38"/>
    <w:rsid w:val="0080016A"/>
    <w:rsid w:val="0080025F"/>
    <w:rsid w:val="00800BD9"/>
    <w:rsid w:val="00800E64"/>
    <w:rsid w:val="008024FC"/>
    <w:rsid w:val="0080425C"/>
    <w:rsid w:val="00805874"/>
    <w:rsid w:val="00806C01"/>
    <w:rsid w:val="0081041F"/>
    <w:rsid w:val="00810BE0"/>
    <w:rsid w:val="00813839"/>
    <w:rsid w:val="00813908"/>
    <w:rsid w:val="00813C04"/>
    <w:rsid w:val="008148CC"/>
    <w:rsid w:val="00814EE0"/>
    <w:rsid w:val="0081630D"/>
    <w:rsid w:val="00820794"/>
    <w:rsid w:val="008211A4"/>
    <w:rsid w:val="00821A08"/>
    <w:rsid w:val="00822BE6"/>
    <w:rsid w:val="00822D51"/>
    <w:rsid w:val="0082340B"/>
    <w:rsid w:val="0082417E"/>
    <w:rsid w:val="00826045"/>
    <w:rsid w:val="00827893"/>
    <w:rsid w:val="00830DFB"/>
    <w:rsid w:val="00831BF5"/>
    <w:rsid w:val="0083274D"/>
    <w:rsid w:val="008334AE"/>
    <w:rsid w:val="00835290"/>
    <w:rsid w:val="008364D5"/>
    <w:rsid w:val="00836609"/>
    <w:rsid w:val="00836977"/>
    <w:rsid w:val="00836AEB"/>
    <w:rsid w:val="00836C7B"/>
    <w:rsid w:val="0083734E"/>
    <w:rsid w:val="00840029"/>
    <w:rsid w:val="00841436"/>
    <w:rsid w:val="00844C07"/>
    <w:rsid w:val="00846011"/>
    <w:rsid w:val="00846EBD"/>
    <w:rsid w:val="0084730E"/>
    <w:rsid w:val="008479FF"/>
    <w:rsid w:val="00847B74"/>
    <w:rsid w:val="00851C34"/>
    <w:rsid w:val="0085317C"/>
    <w:rsid w:val="00853915"/>
    <w:rsid w:val="00854910"/>
    <w:rsid w:val="00854A95"/>
    <w:rsid w:val="00855971"/>
    <w:rsid w:val="008570D6"/>
    <w:rsid w:val="0086092D"/>
    <w:rsid w:val="00862C82"/>
    <w:rsid w:val="00863B7D"/>
    <w:rsid w:val="008657E9"/>
    <w:rsid w:val="00865C81"/>
    <w:rsid w:val="00865F1E"/>
    <w:rsid w:val="0087054E"/>
    <w:rsid w:val="0087071F"/>
    <w:rsid w:val="0087105D"/>
    <w:rsid w:val="00871127"/>
    <w:rsid w:val="00871381"/>
    <w:rsid w:val="00871538"/>
    <w:rsid w:val="008720ED"/>
    <w:rsid w:val="00872A86"/>
    <w:rsid w:val="00873150"/>
    <w:rsid w:val="00874ADA"/>
    <w:rsid w:val="00874E4A"/>
    <w:rsid w:val="0087657D"/>
    <w:rsid w:val="00876CC1"/>
    <w:rsid w:val="008803F3"/>
    <w:rsid w:val="008807D5"/>
    <w:rsid w:val="00880832"/>
    <w:rsid w:val="008817DA"/>
    <w:rsid w:val="00881968"/>
    <w:rsid w:val="008820F2"/>
    <w:rsid w:val="00884344"/>
    <w:rsid w:val="00885816"/>
    <w:rsid w:val="008864AA"/>
    <w:rsid w:val="008864FF"/>
    <w:rsid w:val="00886EE1"/>
    <w:rsid w:val="0088727D"/>
    <w:rsid w:val="00892933"/>
    <w:rsid w:val="00892FBA"/>
    <w:rsid w:val="00892FE7"/>
    <w:rsid w:val="0089375B"/>
    <w:rsid w:val="00896DC1"/>
    <w:rsid w:val="00896FA9"/>
    <w:rsid w:val="008970D2"/>
    <w:rsid w:val="00897C0B"/>
    <w:rsid w:val="00897C75"/>
    <w:rsid w:val="008A0B31"/>
    <w:rsid w:val="008A0E92"/>
    <w:rsid w:val="008A43AC"/>
    <w:rsid w:val="008A4F0C"/>
    <w:rsid w:val="008A58C5"/>
    <w:rsid w:val="008B016A"/>
    <w:rsid w:val="008B0C20"/>
    <w:rsid w:val="008B1543"/>
    <w:rsid w:val="008B1B22"/>
    <w:rsid w:val="008B2589"/>
    <w:rsid w:val="008B2885"/>
    <w:rsid w:val="008B370B"/>
    <w:rsid w:val="008B374A"/>
    <w:rsid w:val="008B385E"/>
    <w:rsid w:val="008B3B03"/>
    <w:rsid w:val="008B4844"/>
    <w:rsid w:val="008B49A0"/>
    <w:rsid w:val="008B4BAD"/>
    <w:rsid w:val="008B79DB"/>
    <w:rsid w:val="008B7F2D"/>
    <w:rsid w:val="008C0852"/>
    <w:rsid w:val="008C1130"/>
    <w:rsid w:val="008C4BAE"/>
    <w:rsid w:val="008C571F"/>
    <w:rsid w:val="008C66ED"/>
    <w:rsid w:val="008C7804"/>
    <w:rsid w:val="008D037A"/>
    <w:rsid w:val="008D09B3"/>
    <w:rsid w:val="008D18E6"/>
    <w:rsid w:val="008D1CA0"/>
    <w:rsid w:val="008D1F6B"/>
    <w:rsid w:val="008D2F15"/>
    <w:rsid w:val="008D31DE"/>
    <w:rsid w:val="008D34C6"/>
    <w:rsid w:val="008D4513"/>
    <w:rsid w:val="008D462E"/>
    <w:rsid w:val="008D4BCA"/>
    <w:rsid w:val="008D6A65"/>
    <w:rsid w:val="008D7A9B"/>
    <w:rsid w:val="008E1C05"/>
    <w:rsid w:val="008E20F4"/>
    <w:rsid w:val="008E2F4A"/>
    <w:rsid w:val="008E64DD"/>
    <w:rsid w:val="008E70DD"/>
    <w:rsid w:val="008E76AC"/>
    <w:rsid w:val="008F057E"/>
    <w:rsid w:val="008F18D2"/>
    <w:rsid w:val="008F1B6C"/>
    <w:rsid w:val="008F209A"/>
    <w:rsid w:val="008F20FD"/>
    <w:rsid w:val="008F21F6"/>
    <w:rsid w:val="008F2823"/>
    <w:rsid w:val="008F3DE4"/>
    <w:rsid w:val="008F493C"/>
    <w:rsid w:val="008F4D05"/>
    <w:rsid w:val="008F52C3"/>
    <w:rsid w:val="008F53A4"/>
    <w:rsid w:val="008F59D8"/>
    <w:rsid w:val="008F6C16"/>
    <w:rsid w:val="008F7434"/>
    <w:rsid w:val="008F7F7E"/>
    <w:rsid w:val="009000A9"/>
    <w:rsid w:val="00900FAF"/>
    <w:rsid w:val="00901E63"/>
    <w:rsid w:val="009033FA"/>
    <w:rsid w:val="00903CE0"/>
    <w:rsid w:val="00903E1A"/>
    <w:rsid w:val="00904021"/>
    <w:rsid w:val="009042EB"/>
    <w:rsid w:val="0090471A"/>
    <w:rsid w:val="00904F1D"/>
    <w:rsid w:val="00905366"/>
    <w:rsid w:val="00906938"/>
    <w:rsid w:val="00906E99"/>
    <w:rsid w:val="009115EE"/>
    <w:rsid w:val="00912537"/>
    <w:rsid w:val="00912E33"/>
    <w:rsid w:val="009148E0"/>
    <w:rsid w:val="009153B5"/>
    <w:rsid w:val="00915A63"/>
    <w:rsid w:val="00916365"/>
    <w:rsid w:val="009164EC"/>
    <w:rsid w:val="00916751"/>
    <w:rsid w:val="0091743C"/>
    <w:rsid w:val="00917A4B"/>
    <w:rsid w:val="009202E4"/>
    <w:rsid w:val="00920E83"/>
    <w:rsid w:val="00922328"/>
    <w:rsid w:val="00922A42"/>
    <w:rsid w:val="009253DC"/>
    <w:rsid w:val="0092653C"/>
    <w:rsid w:val="00926D0E"/>
    <w:rsid w:val="00926EEB"/>
    <w:rsid w:val="009306AF"/>
    <w:rsid w:val="00930A65"/>
    <w:rsid w:val="009311FB"/>
    <w:rsid w:val="009312B2"/>
    <w:rsid w:val="009317D5"/>
    <w:rsid w:val="0093195E"/>
    <w:rsid w:val="00931FC2"/>
    <w:rsid w:val="00935BDA"/>
    <w:rsid w:val="009369C1"/>
    <w:rsid w:val="00940779"/>
    <w:rsid w:val="0094240E"/>
    <w:rsid w:val="009424E6"/>
    <w:rsid w:val="00942862"/>
    <w:rsid w:val="0094293E"/>
    <w:rsid w:val="0094390A"/>
    <w:rsid w:val="00943A49"/>
    <w:rsid w:val="00943C28"/>
    <w:rsid w:val="009443B2"/>
    <w:rsid w:val="009451AE"/>
    <w:rsid w:val="009472DD"/>
    <w:rsid w:val="00947A45"/>
    <w:rsid w:val="00947E01"/>
    <w:rsid w:val="009500B9"/>
    <w:rsid w:val="00951F79"/>
    <w:rsid w:val="00952DC9"/>
    <w:rsid w:val="00952E6F"/>
    <w:rsid w:val="00953D94"/>
    <w:rsid w:val="009548BF"/>
    <w:rsid w:val="009556A3"/>
    <w:rsid w:val="00955E1B"/>
    <w:rsid w:val="009608BF"/>
    <w:rsid w:val="009617BA"/>
    <w:rsid w:val="00961E52"/>
    <w:rsid w:val="00962F94"/>
    <w:rsid w:val="009630CB"/>
    <w:rsid w:val="00963AB5"/>
    <w:rsid w:val="00964837"/>
    <w:rsid w:val="00966AE3"/>
    <w:rsid w:val="00967714"/>
    <w:rsid w:val="00967818"/>
    <w:rsid w:val="00970AB5"/>
    <w:rsid w:val="00974AB5"/>
    <w:rsid w:val="00974CCA"/>
    <w:rsid w:val="00975304"/>
    <w:rsid w:val="00975668"/>
    <w:rsid w:val="00975FE2"/>
    <w:rsid w:val="009770B8"/>
    <w:rsid w:val="0097762F"/>
    <w:rsid w:val="00977B56"/>
    <w:rsid w:val="00982133"/>
    <w:rsid w:val="009838BB"/>
    <w:rsid w:val="009840B9"/>
    <w:rsid w:val="009849DF"/>
    <w:rsid w:val="009856DC"/>
    <w:rsid w:val="00985E0A"/>
    <w:rsid w:val="009868C9"/>
    <w:rsid w:val="0098706D"/>
    <w:rsid w:val="00987A78"/>
    <w:rsid w:val="009906B3"/>
    <w:rsid w:val="00991A8F"/>
    <w:rsid w:val="00993101"/>
    <w:rsid w:val="009935FB"/>
    <w:rsid w:val="0099455C"/>
    <w:rsid w:val="009962F5"/>
    <w:rsid w:val="009967EA"/>
    <w:rsid w:val="00996FBB"/>
    <w:rsid w:val="009A0BE3"/>
    <w:rsid w:val="009A118F"/>
    <w:rsid w:val="009A1546"/>
    <w:rsid w:val="009A40CB"/>
    <w:rsid w:val="009A4937"/>
    <w:rsid w:val="009A718C"/>
    <w:rsid w:val="009B0DB1"/>
    <w:rsid w:val="009B2AE1"/>
    <w:rsid w:val="009B2CD0"/>
    <w:rsid w:val="009B2E29"/>
    <w:rsid w:val="009B5BF0"/>
    <w:rsid w:val="009B7A1D"/>
    <w:rsid w:val="009C1D00"/>
    <w:rsid w:val="009C1F98"/>
    <w:rsid w:val="009C29E0"/>
    <w:rsid w:val="009C2CDC"/>
    <w:rsid w:val="009C2FE7"/>
    <w:rsid w:val="009C3122"/>
    <w:rsid w:val="009C39E9"/>
    <w:rsid w:val="009C4611"/>
    <w:rsid w:val="009C4E15"/>
    <w:rsid w:val="009C5638"/>
    <w:rsid w:val="009C5753"/>
    <w:rsid w:val="009C6336"/>
    <w:rsid w:val="009C6D1B"/>
    <w:rsid w:val="009C726E"/>
    <w:rsid w:val="009C7377"/>
    <w:rsid w:val="009C7834"/>
    <w:rsid w:val="009C7C72"/>
    <w:rsid w:val="009D228A"/>
    <w:rsid w:val="009D26E4"/>
    <w:rsid w:val="009D2CAD"/>
    <w:rsid w:val="009D3F90"/>
    <w:rsid w:val="009D53AA"/>
    <w:rsid w:val="009E01CC"/>
    <w:rsid w:val="009E040C"/>
    <w:rsid w:val="009E2358"/>
    <w:rsid w:val="009E2C2B"/>
    <w:rsid w:val="009E3519"/>
    <w:rsid w:val="009E5FE5"/>
    <w:rsid w:val="009E66DF"/>
    <w:rsid w:val="009E6F76"/>
    <w:rsid w:val="009E7833"/>
    <w:rsid w:val="009F00F4"/>
    <w:rsid w:val="009F03EC"/>
    <w:rsid w:val="009F0EA9"/>
    <w:rsid w:val="009F1067"/>
    <w:rsid w:val="009F2008"/>
    <w:rsid w:val="009F271D"/>
    <w:rsid w:val="009F27EF"/>
    <w:rsid w:val="009F3502"/>
    <w:rsid w:val="009F4A54"/>
    <w:rsid w:val="009F4BEC"/>
    <w:rsid w:val="009F4F9A"/>
    <w:rsid w:val="009F575B"/>
    <w:rsid w:val="009F5E1A"/>
    <w:rsid w:val="009F629E"/>
    <w:rsid w:val="00A00412"/>
    <w:rsid w:val="00A035D1"/>
    <w:rsid w:val="00A0383E"/>
    <w:rsid w:val="00A03E5C"/>
    <w:rsid w:val="00A04891"/>
    <w:rsid w:val="00A05E91"/>
    <w:rsid w:val="00A06524"/>
    <w:rsid w:val="00A0773B"/>
    <w:rsid w:val="00A10266"/>
    <w:rsid w:val="00A1092F"/>
    <w:rsid w:val="00A1129E"/>
    <w:rsid w:val="00A12BEB"/>
    <w:rsid w:val="00A16111"/>
    <w:rsid w:val="00A169CF"/>
    <w:rsid w:val="00A17232"/>
    <w:rsid w:val="00A22055"/>
    <w:rsid w:val="00A253A8"/>
    <w:rsid w:val="00A25548"/>
    <w:rsid w:val="00A25FD7"/>
    <w:rsid w:val="00A271CB"/>
    <w:rsid w:val="00A27E9B"/>
    <w:rsid w:val="00A30253"/>
    <w:rsid w:val="00A303C8"/>
    <w:rsid w:val="00A31C48"/>
    <w:rsid w:val="00A32F10"/>
    <w:rsid w:val="00A33A56"/>
    <w:rsid w:val="00A351C4"/>
    <w:rsid w:val="00A3581D"/>
    <w:rsid w:val="00A361EC"/>
    <w:rsid w:val="00A36D39"/>
    <w:rsid w:val="00A377D8"/>
    <w:rsid w:val="00A417AB"/>
    <w:rsid w:val="00A4385A"/>
    <w:rsid w:val="00A43AFF"/>
    <w:rsid w:val="00A44AEF"/>
    <w:rsid w:val="00A46251"/>
    <w:rsid w:val="00A508EB"/>
    <w:rsid w:val="00A54264"/>
    <w:rsid w:val="00A56BB3"/>
    <w:rsid w:val="00A5745F"/>
    <w:rsid w:val="00A60AF5"/>
    <w:rsid w:val="00A62E4D"/>
    <w:rsid w:val="00A631F2"/>
    <w:rsid w:val="00A63753"/>
    <w:rsid w:val="00A63850"/>
    <w:rsid w:val="00A656DE"/>
    <w:rsid w:val="00A65EA2"/>
    <w:rsid w:val="00A65FC4"/>
    <w:rsid w:val="00A6732D"/>
    <w:rsid w:val="00A7005F"/>
    <w:rsid w:val="00A70A1B"/>
    <w:rsid w:val="00A70ED0"/>
    <w:rsid w:val="00A712C5"/>
    <w:rsid w:val="00A71844"/>
    <w:rsid w:val="00A71ACE"/>
    <w:rsid w:val="00A72250"/>
    <w:rsid w:val="00A743FA"/>
    <w:rsid w:val="00A74774"/>
    <w:rsid w:val="00A75927"/>
    <w:rsid w:val="00A76208"/>
    <w:rsid w:val="00A76EA1"/>
    <w:rsid w:val="00A77088"/>
    <w:rsid w:val="00A77273"/>
    <w:rsid w:val="00A7793A"/>
    <w:rsid w:val="00A77FB0"/>
    <w:rsid w:val="00A838A1"/>
    <w:rsid w:val="00A8433E"/>
    <w:rsid w:val="00A84444"/>
    <w:rsid w:val="00A84A77"/>
    <w:rsid w:val="00A8593A"/>
    <w:rsid w:val="00A86003"/>
    <w:rsid w:val="00A873D0"/>
    <w:rsid w:val="00A9028D"/>
    <w:rsid w:val="00A909B9"/>
    <w:rsid w:val="00A91068"/>
    <w:rsid w:val="00A91462"/>
    <w:rsid w:val="00A918EB"/>
    <w:rsid w:val="00A94166"/>
    <w:rsid w:val="00A94392"/>
    <w:rsid w:val="00A94D54"/>
    <w:rsid w:val="00A963D2"/>
    <w:rsid w:val="00AA0A5C"/>
    <w:rsid w:val="00AA1657"/>
    <w:rsid w:val="00AA1F72"/>
    <w:rsid w:val="00AA2E87"/>
    <w:rsid w:val="00AA4CC7"/>
    <w:rsid w:val="00AA555B"/>
    <w:rsid w:val="00AA5B59"/>
    <w:rsid w:val="00AA5BDF"/>
    <w:rsid w:val="00AA5E8E"/>
    <w:rsid w:val="00AA6264"/>
    <w:rsid w:val="00AA678B"/>
    <w:rsid w:val="00AB07C8"/>
    <w:rsid w:val="00AB103D"/>
    <w:rsid w:val="00AB6147"/>
    <w:rsid w:val="00AB6CA7"/>
    <w:rsid w:val="00AB6CE4"/>
    <w:rsid w:val="00AB7666"/>
    <w:rsid w:val="00AC2065"/>
    <w:rsid w:val="00AC2827"/>
    <w:rsid w:val="00AC2CDE"/>
    <w:rsid w:val="00AC3500"/>
    <w:rsid w:val="00AC4338"/>
    <w:rsid w:val="00AC5633"/>
    <w:rsid w:val="00AC756E"/>
    <w:rsid w:val="00AC7C41"/>
    <w:rsid w:val="00AD01E4"/>
    <w:rsid w:val="00AD0858"/>
    <w:rsid w:val="00AD0CBB"/>
    <w:rsid w:val="00AD0D6E"/>
    <w:rsid w:val="00AD1077"/>
    <w:rsid w:val="00AD14A1"/>
    <w:rsid w:val="00AD17DB"/>
    <w:rsid w:val="00AD1A5B"/>
    <w:rsid w:val="00AD4E76"/>
    <w:rsid w:val="00AD4F16"/>
    <w:rsid w:val="00AD50FF"/>
    <w:rsid w:val="00AD6AEC"/>
    <w:rsid w:val="00AD7DE6"/>
    <w:rsid w:val="00AE0FB8"/>
    <w:rsid w:val="00AE1487"/>
    <w:rsid w:val="00AE1FDC"/>
    <w:rsid w:val="00AE33EC"/>
    <w:rsid w:val="00AE6237"/>
    <w:rsid w:val="00AE6E4A"/>
    <w:rsid w:val="00AE71B0"/>
    <w:rsid w:val="00AE7340"/>
    <w:rsid w:val="00AF15E2"/>
    <w:rsid w:val="00AF1B7C"/>
    <w:rsid w:val="00AF1BBD"/>
    <w:rsid w:val="00AF3067"/>
    <w:rsid w:val="00AF4340"/>
    <w:rsid w:val="00B00376"/>
    <w:rsid w:val="00B006A8"/>
    <w:rsid w:val="00B00BF0"/>
    <w:rsid w:val="00B00EAC"/>
    <w:rsid w:val="00B0289C"/>
    <w:rsid w:val="00B0295C"/>
    <w:rsid w:val="00B04E55"/>
    <w:rsid w:val="00B05BEA"/>
    <w:rsid w:val="00B06798"/>
    <w:rsid w:val="00B07649"/>
    <w:rsid w:val="00B07E5C"/>
    <w:rsid w:val="00B07E93"/>
    <w:rsid w:val="00B10207"/>
    <w:rsid w:val="00B107E0"/>
    <w:rsid w:val="00B10CE6"/>
    <w:rsid w:val="00B10DCE"/>
    <w:rsid w:val="00B11CE0"/>
    <w:rsid w:val="00B141E7"/>
    <w:rsid w:val="00B150B9"/>
    <w:rsid w:val="00B1579A"/>
    <w:rsid w:val="00B21DAA"/>
    <w:rsid w:val="00B32E54"/>
    <w:rsid w:val="00B33AEF"/>
    <w:rsid w:val="00B351B4"/>
    <w:rsid w:val="00B3577F"/>
    <w:rsid w:val="00B362BF"/>
    <w:rsid w:val="00B36D51"/>
    <w:rsid w:val="00B37429"/>
    <w:rsid w:val="00B379EB"/>
    <w:rsid w:val="00B420A5"/>
    <w:rsid w:val="00B4395A"/>
    <w:rsid w:val="00B4418C"/>
    <w:rsid w:val="00B45095"/>
    <w:rsid w:val="00B467FA"/>
    <w:rsid w:val="00B468A3"/>
    <w:rsid w:val="00B46BCA"/>
    <w:rsid w:val="00B50591"/>
    <w:rsid w:val="00B510DE"/>
    <w:rsid w:val="00B51F50"/>
    <w:rsid w:val="00B52B6B"/>
    <w:rsid w:val="00B52E04"/>
    <w:rsid w:val="00B558BB"/>
    <w:rsid w:val="00B579BE"/>
    <w:rsid w:val="00B61182"/>
    <w:rsid w:val="00B6175D"/>
    <w:rsid w:val="00B64135"/>
    <w:rsid w:val="00B65917"/>
    <w:rsid w:val="00B661C6"/>
    <w:rsid w:val="00B67D38"/>
    <w:rsid w:val="00B67EA2"/>
    <w:rsid w:val="00B7004F"/>
    <w:rsid w:val="00B70231"/>
    <w:rsid w:val="00B72B46"/>
    <w:rsid w:val="00B73524"/>
    <w:rsid w:val="00B7387A"/>
    <w:rsid w:val="00B74422"/>
    <w:rsid w:val="00B744B4"/>
    <w:rsid w:val="00B74C9B"/>
    <w:rsid w:val="00B7731B"/>
    <w:rsid w:val="00B80A7F"/>
    <w:rsid w:val="00B8164C"/>
    <w:rsid w:val="00B82452"/>
    <w:rsid w:val="00B837CE"/>
    <w:rsid w:val="00B84135"/>
    <w:rsid w:val="00B86736"/>
    <w:rsid w:val="00B87266"/>
    <w:rsid w:val="00B87806"/>
    <w:rsid w:val="00B87BC1"/>
    <w:rsid w:val="00B87EC9"/>
    <w:rsid w:val="00B9156A"/>
    <w:rsid w:val="00B9176F"/>
    <w:rsid w:val="00B92352"/>
    <w:rsid w:val="00B93CCC"/>
    <w:rsid w:val="00B94475"/>
    <w:rsid w:val="00B94A56"/>
    <w:rsid w:val="00B94A92"/>
    <w:rsid w:val="00B94D02"/>
    <w:rsid w:val="00B94F9D"/>
    <w:rsid w:val="00B955E9"/>
    <w:rsid w:val="00B96A5E"/>
    <w:rsid w:val="00B970F9"/>
    <w:rsid w:val="00B97F91"/>
    <w:rsid w:val="00B97FD3"/>
    <w:rsid w:val="00BA06FD"/>
    <w:rsid w:val="00BA1CF6"/>
    <w:rsid w:val="00BA657B"/>
    <w:rsid w:val="00BA6B17"/>
    <w:rsid w:val="00BB07F3"/>
    <w:rsid w:val="00BB0D0D"/>
    <w:rsid w:val="00BB2AF2"/>
    <w:rsid w:val="00BC1012"/>
    <w:rsid w:val="00BC38FD"/>
    <w:rsid w:val="00BC5C8E"/>
    <w:rsid w:val="00BC789D"/>
    <w:rsid w:val="00BD10CF"/>
    <w:rsid w:val="00BD17B8"/>
    <w:rsid w:val="00BD2615"/>
    <w:rsid w:val="00BD368F"/>
    <w:rsid w:val="00BD5E99"/>
    <w:rsid w:val="00BD692E"/>
    <w:rsid w:val="00BD736A"/>
    <w:rsid w:val="00BE10E0"/>
    <w:rsid w:val="00BE1884"/>
    <w:rsid w:val="00BE2258"/>
    <w:rsid w:val="00BE22ED"/>
    <w:rsid w:val="00BE312F"/>
    <w:rsid w:val="00BE3F19"/>
    <w:rsid w:val="00BE5F03"/>
    <w:rsid w:val="00BF1CC0"/>
    <w:rsid w:val="00BF413D"/>
    <w:rsid w:val="00BF47E9"/>
    <w:rsid w:val="00BF4A84"/>
    <w:rsid w:val="00BF4AF3"/>
    <w:rsid w:val="00BF4CA5"/>
    <w:rsid w:val="00BF4E81"/>
    <w:rsid w:val="00BF5537"/>
    <w:rsid w:val="00BF691B"/>
    <w:rsid w:val="00BF7154"/>
    <w:rsid w:val="00BF7A6A"/>
    <w:rsid w:val="00C005D9"/>
    <w:rsid w:val="00C01296"/>
    <w:rsid w:val="00C0176C"/>
    <w:rsid w:val="00C01A8E"/>
    <w:rsid w:val="00C02E99"/>
    <w:rsid w:val="00C034CB"/>
    <w:rsid w:val="00C05140"/>
    <w:rsid w:val="00C051A8"/>
    <w:rsid w:val="00C05360"/>
    <w:rsid w:val="00C054BC"/>
    <w:rsid w:val="00C067D9"/>
    <w:rsid w:val="00C068B4"/>
    <w:rsid w:val="00C072D4"/>
    <w:rsid w:val="00C104A6"/>
    <w:rsid w:val="00C10580"/>
    <w:rsid w:val="00C10AEA"/>
    <w:rsid w:val="00C114C5"/>
    <w:rsid w:val="00C12451"/>
    <w:rsid w:val="00C13329"/>
    <w:rsid w:val="00C14081"/>
    <w:rsid w:val="00C15AD7"/>
    <w:rsid w:val="00C17185"/>
    <w:rsid w:val="00C17208"/>
    <w:rsid w:val="00C17897"/>
    <w:rsid w:val="00C20575"/>
    <w:rsid w:val="00C24F09"/>
    <w:rsid w:val="00C25325"/>
    <w:rsid w:val="00C25425"/>
    <w:rsid w:val="00C255BD"/>
    <w:rsid w:val="00C30416"/>
    <w:rsid w:val="00C320BC"/>
    <w:rsid w:val="00C328B9"/>
    <w:rsid w:val="00C3321F"/>
    <w:rsid w:val="00C335F6"/>
    <w:rsid w:val="00C340A7"/>
    <w:rsid w:val="00C3532F"/>
    <w:rsid w:val="00C35531"/>
    <w:rsid w:val="00C35FD7"/>
    <w:rsid w:val="00C36437"/>
    <w:rsid w:val="00C36AC7"/>
    <w:rsid w:val="00C409D5"/>
    <w:rsid w:val="00C42308"/>
    <w:rsid w:val="00C43538"/>
    <w:rsid w:val="00C435C3"/>
    <w:rsid w:val="00C43E46"/>
    <w:rsid w:val="00C4564A"/>
    <w:rsid w:val="00C45C07"/>
    <w:rsid w:val="00C461F9"/>
    <w:rsid w:val="00C46D70"/>
    <w:rsid w:val="00C47AAC"/>
    <w:rsid w:val="00C47E68"/>
    <w:rsid w:val="00C503C9"/>
    <w:rsid w:val="00C505AE"/>
    <w:rsid w:val="00C50C61"/>
    <w:rsid w:val="00C50CB6"/>
    <w:rsid w:val="00C511A0"/>
    <w:rsid w:val="00C529A0"/>
    <w:rsid w:val="00C53ACA"/>
    <w:rsid w:val="00C5513B"/>
    <w:rsid w:val="00C56C13"/>
    <w:rsid w:val="00C57329"/>
    <w:rsid w:val="00C57545"/>
    <w:rsid w:val="00C61B39"/>
    <w:rsid w:val="00C621EA"/>
    <w:rsid w:val="00C6234B"/>
    <w:rsid w:val="00C623F9"/>
    <w:rsid w:val="00C63295"/>
    <w:rsid w:val="00C63EAE"/>
    <w:rsid w:val="00C64A05"/>
    <w:rsid w:val="00C64EBD"/>
    <w:rsid w:val="00C65BC7"/>
    <w:rsid w:val="00C66288"/>
    <w:rsid w:val="00C669A5"/>
    <w:rsid w:val="00C671B3"/>
    <w:rsid w:val="00C67449"/>
    <w:rsid w:val="00C70CED"/>
    <w:rsid w:val="00C71189"/>
    <w:rsid w:val="00C7177D"/>
    <w:rsid w:val="00C71918"/>
    <w:rsid w:val="00C722B7"/>
    <w:rsid w:val="00C738B6"/>
    <w:rsid w:val="00C74BCD"/>
    <w:rsid w:val="00C74CD6"/>
    <w:rsid w:val="00C756B3"/>
    <w:rsid w:val="00C7593E"/>
    <w:rsid w:val="00C75964"/>
    <w:rsid w:val="00C75DB5"/>
    <w:rsid w:val="00C7629F"/>
    <w:rsid w:val="00C76C96"/>
    <w:rsid w:val="00C7740C"/>
    <w:rsid w:val="00C77B4F"/>
    <w:rsid w:val="00C77E93"/>
    <w:rsid w:val="00C80EC1"/>
    <w:rsid w:val="00C834FD"/>
    <w:rsid w:val="00C856C4"/>
    <w:rsid w:val="00C857FB"/>
    <w:rsid w:val="00C865D4"/>
    <w:rsid w:val="00C8661B"/>
    <w:rsid w:val="00C878A7"/>
    <w:rsid w:val="00C900C6"/>
    <w:rsid w:val="00C9275E"/>
    <w:rsid w:val="00C9430C"/>
    <w:rsid w:val="00C966FA"/>
    <w:rsid w:val="00CA0C9B"/>
    <w:rsid w:val="00CA139A"/>
    <w:rsid w:val="00CA256C"/>
    <w:rsid w:val="00CA2899"/>
    <w:rsid w:val="00CA3A3D"/>
    <w:rsid w:val="00CA3A49"/>
    <w:rsid w:val="00CA3CBA"/>
    <w:rsid w:val="00CA3D0F"/>
    <w:rsid w:val="00CA4AD9"/>
    <w:rsid w:val="00CA572E"/>
    <w:rsid w:val="00CA58B9"/>
    <w:rsid w:val="00CA5EF6"/>
    <w:rsid w:val="00CA6E86"/>
    <w:rsid w:val="00CA70C6"/>
    <w:rsid w:val="00CA77FB"/>
    <w:rsid w:val="00CB0726"/>
    <w:rsid w:val="00CB090E"/>
    <w:rsid w:val="00CB1869"/>
    <w:rsid w:val="00CB1903"/>
    <w:rsid w:val="00CB2566"/>
    <w:rsid w:val="00CB2692"/>
    <w:rsid w:val="00CB2BDB"/>
    <w:rsid w:val="00CB2C9C"/>
    <w:rsid w:val="00CB379B"/>
    <w:rsid w:val="00CB5964"/>
    <w:rsid w:val="00CB5DD0"/>
    <w:rsid w:val="00CB680C"/>
    <w:rsid w:val="00CB6B77"/>
    <w:rsid w:val="00CB6E0E"/>
    <w:rsid w:val="00CB73DF"/>
    <w:rsid w:val="00CC2747"/>
    <w:rsid w:val="00CC31F9"/>
    <w:rsid w:val="00CC457E"/>
    <w:rsid w:val="00CC497B"/>
    <w:rsid w:val="00CC51D4"/>
    <w:rsid w:val="00CC5275"/>
    <w:rsid w:val="00CC598E"/>
    <w:rsid w:val="00CC5CE1"/>
    <w:rsid w:val="00CC6296"/>
    <w:rsid w:val="00CC65DA"/>
    <w:rsid w:val="00CC6DF7"/>
    <w:rsid w:val="00CC735A"/>
    <w:rsid w:val="00CD16F9"/>
    <w:rsid w:val="00CD1C22"/>
    <w:rsid w:val="00CD237A"/>
    <w:rsid w:val="00CD36CE"/>
    <w:rsid w:val="00CD403F"/>
    <w:rsid w:val="00CD449F"/>
    <w:rsid w:val="00CD5508"/>
    <w:rsid w:val="00CD5DB7"/>
    <w:rsid w:val="00CD5F81"/>
    <w:rsid w:val="00CD6E3D"/>
    <w:rsid w:val="00CD7C1A"/>
    <w:rsid w:val="00CE11D2"/>
    <w:rsid w:val="00CE2499"/>
    <w:rsid w:val="00CE40A5"/>
    <w:rsid w:val="00CE4778"/>
    <w:rsid w:val="00CE4F14"/>
    <w:rsid w:val="00CE5BA5"/>
    <w:rsid w:val="00CE60AC"/>
    <w:rsid w:val="00CE6AA8"/>
    <w:rsid w:val="00CF006B"/>
    <w:rsid w:val="00CF0C8D"/>
    <w:rsid w:val="00CF0D12"/>
    <w:rsid w:val="00CF0FA6"/>
    <w:rsid w:val="00CF1707"/>
    <w:rsid w:val="00CF1CB1"/>
    <w:rsid w:val="00CF21B9"/>
    <w:rsid w:val="00CF2F4F"/>
    <w:rsid w:val="00CF37F6"/>
    <w:rsid w:val="00CF4843"/>
    <w:rsid w:val="00CF5E27"/>
    <w:rsid w:val="00CF6BF9"/>
    <w:rsid w:val="00D0106E"/>
    <w:rsid w:val="00D03800"/>
    <w:rsid w:val="00D0404E"/>
    <w:rsid w:val="00D041E4"/>
    <w:rsid w:val="00D050C7"/>
    <w:rsid w:val="00D05197"/>
    <w:rsid w:val="00D06264"/>
    <w:rsid w:val="00D065D3"/>
    <w:rsid w:val="00D10A6F"/>
    <w:rsid w:val="00D10EB1"/>
    <w:rsid w:val="00D117B2"/>
    <w:rsid w:val="00D13F0F"/>
    <w:rsid w:val="00D14249"/>
    <w:rsid w:val="00D14C94"/>
    <w:rsid w:val="00D150D8"/>
    <w:rsid w:val="00D15B8D"/>
    <w:rsid w:val="00D17099"/>
    <w:rsid w:val="00D20EBA"/>
    <w:rsid w:val="00D21AA4"/>
    <w:rsid w:val="00D224D3"/>
    <w:rsid w:val="00D23CEA"/>
    <w:rsid w:val="00D26388"/>
    <w:rsid w:val="00D267C4"/>
    <w:rsid w:val="00D30136"/>
    <w:rsid w:val="00D312DE"/>
    <w:rsid w:val="00D31ACF"/>
    <w:rsid w:val="00D31CDE"/>
    <w:rsid w:val="00D31E37"/>
    <w:rsid w:val="00D31FE7"/>
    <w:rsid w:val="00D330CC"/>
    <w:rsid w:val="00D330DB"/>
    <w:rsid w:val="00D33FEE"/>
    <w:rsid w:val="00D342A6"/>
    <w:rsid w:val="00D34465"/>
    <w:rsid w:val="00D349AB"/>
    <w:rsid w:val="00D34B67"/>
    <w:rsid w:val="00D352C5"/>
    <w:rsid w:val="00D36E76"/>
    <w:rsid w:val="00D3759C"/>
    <w:rsid w:val="00D37CBB"/>
    <w:rsid w:val="00D40739"/>
    <w:rsid w:val="00D40804"/>
    <w:rsid w:val="00D418EA"/>
    <w:rsid w:val="00D435DF"/>
    <w:rsid w:val="00D4363E"/>
    <w:rsid w:val="00D45783"/>
    <w:rsid w:val="00D464BF"/>
    <w:rsid w:val="00D47B51"/>
    <w:rsid w:val="00D47F76"/>
    <w:rsid w:val="00D50480"/>
    <w:rsid w:val="00D50999"/>
    <w:rsid w:val="00D5176D"/>
    <w:rsid w:val="00D524A1"/>
    <w:rsid w:val="00D52C8C"/>
    <w:rsid w:val="00D538BA"/>
    <w:rsid w:val="00D53E26"/>
    <w:rsid w:val="00D56179"/>
    <w:rsid w:val="00D56E81"/>
    <w:rsid w:val="00D57BB1"/>
    <w:rsid w:val="00D57C3F"/>
    <w:rsid w:val="00D60731"/>
    <w:rsid w:val="00D60852"/>
    <w:rsid w:val="00D60BB1"/>
    <w:rsid w:val="00D6109E"/>
    <w:rsid w:val="00D62287"/>
    <w:rsid w:val="00D628EA"/>
    <w:rsid w:val="00D62AC6"/>
    <w:rsid w:val="00D631A6"/>
    <w:rsid w:val="00D63932"/>
    <w:rsid w:val="00D63F85"/>
    <w:rsid w:val="00D6623E"/>
    <w:rsid w:val="00D665AD"/>
    <w:rsid w:val="00D67482"/>
    <w:rsid w:val="00D678A0"/>
    <w:rsid w:val="00D67E4F"/>
    <w:rsid w:val="00D70C78"/>
    <w:rsid w:val="00D7178C"/>
    <w:rsid w:val="00D727AA"/>
    <w:rsid w:val="00D7393B"/>
    <w:rsid w:val="00D73A17"/>
    <w:rsid w:val="00D76739"/>
    <w:rsid w:val="00D771CC"/>
    <w:rsid w:val="00D775D8"/>
    <w:rsid w:val="00D777B8"/>
    <w:rsid w:val="00D77923"/>
    <w:rsid w:val="00D77FA6"/>
    <w:rsid w:val="00D8105C"/>
    <w:rsid w:val="00D85ED7"/>
    <w:rsid w:val="00D86518"/>
    <w:rsid w:val="00D86DCD"/>
    <w:rsid w:val="00D90648"/>
    <w:rsid w:val="00D9070A"/>
    <w:rsid w:val="00D914DE"/>
    <w:rsid w:val="00D9368D"/>
    <w:rsid w:val="00D93788"/>
    <w:rsid w:val="00D969CA"/>
    <w:rsid w:val="00D96E4B"/>
    <w:rsid w:val="00DA051D"/>
    <w:rsid w:val="00DA2C4C"/>
    <w:rsid w:val="00DA3295"/>
    <w:rsid w:val="00DA3A60"/>
    <w:rsid w:val="00DA3F6D"/>
    <w:rsid w:val="00DA4157"/>
    <w:rsid w:val="00DA4359"/>
    <w:rsid w:val="00DA466C"/>
    <w:rsid w:val="00DA4DD7"/>
    <w:rsid w:val="00DA52BD"/>
    <w:rsid w:val="00DB065C"/>
    <w:rsid w:val="00DB41A2"/>
    <w:rsid w:val="00DB4B10"/>
    <w:rsid w:val="00DB612E"/>
    <w:rsid w:val="00DB6789"/>
    <w:rsid w:val="00DB73EC"/>
    <w:rsid w:val="00DC1438"/>
    <w:rsid w:val="00DC180F"/>
    <w:rsid w:val="00DC2181"/>
    <w:rsid w:val="00DC353F"/>
    <w:rsid w:val="00DC364A"/>
    <w:rsid w:val="00DC383C"/>
    <w:rsid w:val="00DC5C29"/>
    <w:rsid w:val="00DC6B5C"/>
    <w:rsid w:val="00DD13E0"/>
    <w:rsid w:val="00DD1471"/>
    <w:rsid w:val="00DD3BC4"/>
    <w:rsid w:val="00DD486D"/>
    <w:rsid w:val="00DD4BFF"/>
    <w:rsid w:val="00DD4C3C"/>
    <w:rsid w:val="00DD4F0E"/>
    <w:rsid w:val="00DD6D1E"/>
    <w:rsid w:val="00DE037D"/>
    <w:rsid w:val="00DE054E"/>
    <w:rsid w:val="00DE07E0"/>
    <w:rsid w:val="00DE596A"/>
    <w:rsid w:val="00DF04E3"/>
    <w:rsid w:val="00DF05F1"/>
    <w:rsid w:val="00DF0BF0"/>
    <w:rsid w:val="00DF1B36"/>
    <w:rsid w:val="00DF1FED"/>
    <w:rsid w:val="00DF22C2"/>
    <w:rsid w:val="00DF27EA"/>
    <w:rsid w:val="00DF378F"/>
    <w:rsid w:val="00DF39E6"/>
    <w:rsid w:val="00DF5684"/>
    <w:rsid w:val="00DF5FAD"/>
    <w:rsid w:val="00DF6033"/>
    <w:rsid w:val="00DF728E"/>
    <w:rsid w:val="00E00A9E"/>
    <w:rsid w:val="00E00C50"/>
    <w:rsid w:val="00E01408"/>
    <w:rsid w:val="00E01F0B"/>
    <w:rsid w:val="00E027AA"/>
    <w:rsid w:val="00E036D9"/>
    <w:rsid w:val="00E03F73"/>
    <w:rsid w:val="00E05B53"/>
    <w:rsid w:val="00E05E0A"/>
    <w:rsid w:val="00E05FB4"/>
    <w:rsid w:val="00E0680F"/>
    <w:rsid w:val="00E119DD"/>
    <w:rsid w:val="00E12083"/>
    <w:rsid w:val="00E13B60"/>
    <w:rsid w:val="00E15284"/>
    <w:rsid w:val="00E15FD8"/>
    <w:rsid w:val="00E164E4"/>
    <w:rsid w:val="00E17B31"/>
    <w:rsid w:val="00E2018B"/>
    <w:rsid w:val="00E20BDC"/>
    <w:rsid w:val="00E21EBB"/>
    <w:rsid w:val="00E221A2"/>
    <w:rsid w:val="00E22328"/>
    <w:rsid w:val="00E22E65"/>
    <w:rsid w:val="00E238B4"/>
    <w:rsid w:val="00E23BEE"/>
    <w:rsid w:val="00E3085D"/>
    <w:rsid w:val="00E32E51"/>
    <w:rsid w:val="00E3507C"/>
    <w:rsid w:val="00E35D5A"/>
    <w:rsid w:val="00E40F00"/>
    <w:rsid w:val="00E41ADE"/>
    <w:rsid w:val="00E41C43"/>
    <w:rsid w:val="00E42B55"/>
    <w:rsid w:val="00E42CB6"/>
    <w:rsid w:val="00E43DFB"/>
    <w:rsid w:val="00E447F8"/>
    <w:rsid w:val="00E44BDE"/>
    <w:rsid w:val="00E4644E"/>
    <w:rsid w:val="00E467DC"/>
    <w:rsid w:val="00E479F5"/>
    <w:rsid w:val="00E507B9"/>
    <w:rsid w:val="00E511C1"/>
    <w:rsid w:val="00E516BB"/>
    <w:rsid w:val="00E534CF"/>
    <w:rsid w:val="00E53B82"/>
    <w:rsid w:val="00E53C15"/>
    <w:rsid w:val="00E55041"/>
    <w:rsid w:val="00E562AA"/>
    <w:rsid w:val="00E563FA"/>
    <w:rsid w:val="00E57D92"/>
    <w:rsid w:val="00E604EC"/>
    <w:rsid w:val="00E618AC"/>
    <w:rsid w:val="00E6234C"/>
    <w:rsid w:val="00E63061"/>
    <w:rsid w:val="00E635AC"/>
    <w:rsid w:val="00E637F6"/>
    <w:rsid w:val="00E63CB9"/>
    <w:rsid w:val="00E66C3E"/>
    <w:rsid w:val="00E711DB"/>
    <w:rsid w:val="00E71E5C"/>
    <w:rsid w:val="00E71EB4"/>
    <w:rsid w:val="00E7258C"/>
    <w:rsid w:val="00E72F46"/>
    <w:rsid w:val="00E73114"/>
    <w:rsid w:val="00E73633"/>
    <w:rsid w:val="00E7424A"/>
    <w:rsid w:val="00E74844"/>
    <w:rsid w:val="00E7509E"/>
    <w:rsid w:val="00E75220"/>
    <w:rsid w:val="00E7538E"/>
    <w:rsid w:val="00E75463"/>
    <w:rsid w:val="00E76CDC"/>
    <w:rsid w:val="00E80927"/>
    <w:rsid w:val="00E81CB4"/>
    <w:rsid w:val="00E83B86"/>
    <w:rsid w:val="00E851AD"/>
    <w:rsid w:val="00E85679"/>
    <w:rsid w:val="00E8585B"/>
    <w:rsid w:val="00E85E59"/>
    <w:rsid w:val="00E915CA"/>
    <w:rsid w:val="00E91880"/>
    <w:rsid w:val="00E9264A"/>
    <w:rsid w:val="00E93A08"/>
    <w:rsid w:val="00E93EB3"/>
    <w:rsid w:val="00E95C1F"/>
    <w:rsid w:val="00E95F5C"/>
    <w:rsid w:val="00E96874"/>
    <w:rsid w:val="00E97CB0"/>
    <w:rsid w:val="00EA0E44"/>
    <w:rsid w:val="00EA12C2"/>
    <w:rsid w:val="00EA1599"/>
    <w:rsid w:val="00EA30EB"/>
    <w:rsid w:val="00EA372B"/>
    <w:rsid w:val="00EA3F15"/>
    <w:rsid w:val="00EA3F81"/>
    <w:rsid w:val="00EA464D"/>
    <w:rsid w:val="00EA4DDB"/>
    <w:rsid w:val="00EA5FBC"/>
    <w:rsid w:val="00EA6384"/>
    <w:rsid w:val="00EA6385"/>
    <w:rsid w:val="00EA7847"/>
    <w:rsid w:val="00EA7FB7"/>
    <w:rsid w:val="00EB0F2E"/>
    <w:rsid w:val="00EB180D"/>
    <w:rsid w:val="00EB2359"/>
    <w:rsid w:val="00EB2884"/>
    <w:rsid w:val="00EB2F1D"/>
    <w:rsid w:val="00EB449D"/>
    <w:rsid w:val="00EB5904"/>
    <w:rsid w:val="00EB623F"/>
    <w:rsid w:val="00EB6B3E"/>
    <w:rsid w:val="00EB6EC3"/>
    <w:rsid w:val="00EB7237"/>
    <w:rsid w:val="00EC0893"/>
    <w:rsid w:val="00EC0D38"/>
    <w:rsid w:val="00EC2796"/>
    <w:rsid w:val="00EC3714"/>
    <w:rsid w:val="00EC4B96"/>
    <w:rsid w:val="00EC7775"/>
    <w:rsid w:val="00ED1181"/>
    <w:rsid w:val="00ED1ABF"/>
    <w:rsid w:val="00ED1DFF"/>
    <w:rsid w:val="00ED2A1C"/>
    <w:rsid w:val="00ED4147"/>
    <w:rsid w:val="00ED45AC"/>
    <w:rsid w:val="00ED4874"/>
    <w:rsid w:val="00ED68C4"/>
    <w:rsid w:val="00EE014D"/>
    <w:rsid w:val="00EE0E6E"/>
    <w:rsid w:val="00EE1002"/>
    <w:rsid w:val="00EE2E6D"/>
    <w:rsid w:val="00EE2E6E"/>
    <w:rsid w:val="00EE2F3A"/>
    <w:rsid w:val="00EE3B42"/>
    <w:rsid w:val="00EE3EA2"/>
    <w:rsid w:val="00EE3F32"/>
    <w:rsid w:val="00EE5298"/>
    <w:rsid w:val="00EE5994"/>
    <w:rsid w:val="00EE5AB7"/>
    <w:rsid w:val="00EE5CB9"/>
    <w:rsid w:val="00EE5F7D"/>
    <w:rsid w:val="00EE64A6"/>
    <w:rsid w:val="00EE6C8A"/>
    <w:rsid w:val="00EE71CE"/>
    <w:rsid w:val="00EE7AC9"/>
    <w:rsid w:val="00EE7BF4"/>
    <w:rsid w:val="00EE7DD3"/>
    <w:rsid w:val="00EF00C3"/>
    <w:rsid w:val="00EF0E52"/>
    <w:rsid w:val="00EF2031"/>
    <w:rsid w:val="00EF2A9E"/>
    <w:rsid w:val="00EF2BFF"/>
    <w:rsid w:val="00EF3038"/>
    <w:rsid w:val="00EF32C0"/>
    <w:rsid w:val="00EF3921"/>
    <w:rsid w:val="00EF486A"/>
    <w:rsid w:val="00EF4B93"/>
    <w:rsid w:val="00EF63CE"/>
    <w:rsid w:val="00EF6D4B"/>
    <w:rsid w:val="00EF7019"/>
    <w:rsid w:val="00EF773E"/>
    <w:rsid w:val="00EF785A"/>
    <w:rsid w:val="00F01068"/>
    <w:rsid w:val="00F01806"/>
    <w:rsid w:val="00F01B61"/>
    <w:rsid w:val="00F044EB"/>
    <w:rsid w:val="00F0501D"/>
    <w:rsid w:val="00F0631F"/>
    <w:rsid w:val="00F066E9"/>
    <w:rsid w:val="00F0759E"/>
    <w:rsid w:val="00F07E4D"/>
    <w:rsid w:val="00F10157"/>
    <w:rsid w:val="00F10644"/>
    <w:rsid w:val="00F10B17"/>
    <w:rsid w:val="00F13554"/>
    <w:rsid w:val="00F13B94"/>
    <w:rsid w:val="00F13EB6"/>
    <w:rsid w:val="00F14C6D"/>
    <w:rsid w:val="00F158EE"/>
    <w:rsid w:val="00F158F4"/>
    <w:rsid w:val="00F1649D"/>
    <w:rsid w:val="00F16E1A"/>
    <w:rsid w:val="00F1720B"/>
    <w:rsid w:val="00F2103E"/>
    <w:rsid w:val="00F221BC"/>
    <w:rsid w:val="00F22540"/>
    <w:rsid w:val="00F2274A"/>
    <w:rsid w:val="00F23351"/>
    <w:rsid w:val="00F263F8"/>
    <w:rsid w:val="00F27665"/>
    <w:rsid w:val="00F27F24"/>
    <w:rsid w:val="00F306A1"/>
    <w:rsid w:val="00F30B18"/>
    <w:rsid w:val="00F31642"/>
    <w:rsid w:val="00F31679"/>
    <w:rsid w:val="00F33430"/>
    <w:rsid w:val="00F337D9"/>
    <w:rsid w:val="00F34E34"/>
    <w:rsid w:val="00F358D1"/>
    <w:rsid w:val="00F37B32"/>
    <w:rsid w:val="00F4050A"/>
    <w:rsid w:val="00F41373"/>
    <w:rsid w:val="00F42CBD"/>
    <w:rsid w:val="00F432E6"/>
    <w:rsid w:val="00F43CA8"/>
    <w:rsid w:val="00F44C2D"/>
    <w:rsid w:val="00F4540C"/>
    <w:rsid w:val="00F479D3"/>
    <w:rsid w:val="00F50683"/>
    <w:rsid w:val="00F50FAE"/>
    <w:rsid w:val="00F51E2E"/>
    <w:rsid w:val="00F52009"/>
    <w:rsid w:val="00F53D77"/>
    <w:rsid w:val="00F55DA9"/>
    <w:rsid w:val="00F5619A"/>
    <w:rsid w:val="00F569FD"/>
    <w:rsid w:val="00F56EE9"/>
    <w:rsid w:val="00F571D2"/>
    <w:rsid w:val="00F57245"/>
    <w:rsid w:val="00F572C5"/>
    <w:rsid w:val="00F62105"/>
    <w:rsid w:val="00F62459"/>
    <w:rsid w:val="00F6286A"/>
    <w:rsid w:val="00F634AC"/>
    <w:rsid w:val="00F652B9"/>
    <w:rsid w:val="00F66696"/>
    <w:rsid w:val="00F669AB"/>
    <w:rsid w:val="00F66B49"/>
    <w:rsid w:val="00F712A7"/>
    <w:rsid w:val="00F71CBA"/>
    <w:rsid w:val="00F71E33"/>
    <w:rsid w:val="00F72311"/>
    <w:rsid w:val="00F72BA7"/>
    <w:rsid w:val="00F736B6"/>
    <w:rsid w:val="00F76D02"/>
    <w:rsid w:val="00F76F67"/>
    <w:rsid w:val="00F778C7"/>
    <w:rsid w:val="00F77BED"/>
    <w:rsid w:val="00F8145D"/>
    <w:rsid w:val="00F81D80"/>
    <w:rsid w:val="00F821A3"/>
    <w:rsid w:val="00F84267"/>
    <w:rsid w:val="00F84401"/>
    <w:rsid w:val="00F84898"/>
    <w:rsid w:val="00F854E0"/>
    <w:rsid w:val="00F85DD5"/>
    <w:rsid w:val="00F865FC"/>
    <w:rsid w:val="00F86627"/>
    <w:rsid w:val="00F913DF"/>
    <w:rsid w:val="00F9314A"/>
    <w:rsid w:val="00F93221"/>
    <w:rsid w:val="00F95F39"/>
    <w:rsid w:val="00F97F25"/>
    <w:rsid w:val="00FA0D14"/>
    <w:rsid w:val="00FA15A0"/>
    <w:rsid w:val="00FA1676"/>
    <w:rsid w:val="00FA31C4"/>
    <w:rsid w:val="00FA7A83"/>
    <w:rsid w:val="00FB0478"/>
    <w:rsid w:val="00FB0C1A"/>
    <w:rsid w:val="00FB0EE9"/>
    <w:rsid w:val="00FB1546"/>
    <w:rsid w:val="00FB2E67"/>
    <w:rsid w:val="00FB4BD0"/>
    <w:rsid w:val="00FB4C16"/>
    <w:rsid w:val="00FB5666"/>
    <w:rsid w:val="00FB57F3"/>
    <w:rsid w:val="00FB5F17"/>
    <w:rsid w:val="00FB605E"/>
    <w:rsid w:val="00FB63CC"/>
    <w:rsid w:val="00FC04C8"/>
    <w:rsid w:val="00FC1AB3"/>
    <w:rsid w:val="00FC1ED8"/>
    <w:rsid w:val="00FC2B2B"/>
    <w:rsid w:val="00FC33A7"/>
    <w:rsid w:val="00FC3985"/>
    <w:rsid w:val="00FC58EF"/>
    <w:rsid w:val="00FC6B86"/>
    <w:rsid w:val="00FC7F4F"/>
    <w:rsid w:val="00FD0766"/>
    <w:rsid w:val="00FD1C22"/>
    <w:rsid w:val="00FD2E7C"/>
    <w:rsid w:val="00FD2F55"/>
    <w:rsid w:val="00FD33DF"/>
    <w:rsid w:val="00FD4319"/>
    <w:rsid w:val="00FD43AF"/>
    <w:rsid w:val="00FD4644"/>
    <w:rsid w:val="00FD4BD8"/>
    <w:rsid w:val="00FD5B78"/>
    <w:rsid w:val="00FD68B0"/>
    <w:rsid w:val="00FD6FD5"/>
    <w:rsid w:val="00FE0DC5"/>
    <w:rsid w:val="00FE1FE5"/>
    <w:rsid w:val="00FE277E"/>
    <w:rsid w:val="00FE2A63"/>
    <w:rsid w:val="00FE39D7"/>
    <w:rsid w:val="00FE3C9C"/>
    <w:rsid w:val="00FE42DA"/>
    <w:rsid w:val="00FE467A"/>
    <w:rsid w:val="00FE48A9"/>
    <w:rsid w:val="00FE5037"/>
    <w:rsid w:val="00FE59E2"/>
    <w:rsid w:val="00FE657B"/>
    <w:rsid w:val="00FE6E46"/>
    <w:rsid w:val="00FF03A0"/>
    <w:rsid w:val="00FF0EB7"/>
    <w:rsid w:val="00FF158F"/>
    <w:rsid w:val="00FF19B6"/>
    <w:rsid w:val="00FF3651"/>
    <w:rsid w:val="00FF3EAD"/>
    <w:rsid w:val="00FF4C7F"/>
    <w:rsid w:val="00FF4F3F"/>
    <w:rsid w:val="00FF6855"/>
    <w:rsid w:val="00FF795D"/>
    <w:rsid w:val="00FF7F3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link w:val="Textonotapie"/>
    <w:rsid w:val="00C505AE"/>
    <w:rPr>
      <w:rFonts w:ascii="Arial" w:hAnsi="Arial"/>
      <w:lang w:val="es-ES_tradnl"/>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styleId="NormalWeb">
    <w:name w:val="Normal (Web)"/>
    <w:basedOn w:val="Normal"/>
    <w:rsid w:val="00FA7A83"/>
    <w:pPr>
      <w:spacing w:before="100" w:beforeAutospacing="1" w:after="100" w:afterAutospacing="1"/>
      <w:ind w:left="0"/>
    </w:pPr>
    <w:rPr>
      <w:rFonts w:ascii="Arial Unicode MS" w:hAnsi="Arial Unicode MS"/>
      <w:lang w:val="it-IT" w:eastAsia="it-IT"/>
    </w:rPr>
  </w:style>
  <w:style w:type="paragraph" w:styleId="Sangra3detindependiente">
    <w:name w:val="Body Text Indent 3"/>
    <w:basedOn w:val="Normal"/>
    <w:link w:val="Sangra3detindependienteCar"/>
    <w:uiPriority w:val="99"/>
    <w:semiHidden/>
    <w:unhideWhenUsed/>
    <w:rsid w:val="0074250E"/>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74250E"/>
    <w:rPr>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link w:val="Textonotapie"/>
    <w:rsid w:val="00C505AE"/>
    <w:rPr>
      <w:rFonts w:ascii="Arial" w:hAnsi="Arial"/>
      <w:lang w:val="es-ES_tradnl"/>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styleId="NormalWeb">
    <w:name w:val="Normal (Web)"/>
    <w:basedOn w:val="Normal"/>
    <w:rsid w:val="00FA7A83"/>
    <w:pPr>
      <w:spacing w:before="100" w:beforeAutospacing="1" w:after="100" w:afterAutospacing="1"/>
      <w:ind w:left="0"/>
    </w:pPr>
    <w:rPr>
      <w:rFonts w:ascii="Arial Unicode MS" w:hAnsi="Arial Unicode MS"/>
      <w:lang w:val="it-IT" w:eastAsia="it-IT"/>
    </w:rPr>
  </w:style>
  <w:style w:type="paragraph" w:styleId="Sangra3detindependiente">
    <w:name w:val="Body Text Indent 3"/>
    <w:basedOn w:val="Normal"/>
    <w:link w:val="Sangra3detindependienteCar"/>
    <w:uiPriority w:val="99"/>
    <w:semiHidden/>
    <w:unhideWhenUsed/>
    <w:rsid w:val="0074250E"/>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74250E"/>
    <w:rPr>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86">
      <w:bodyDiv w:val="1"/>
      <w:marLeft w:val="0"/>
      <w:marRight w:val="0"/>
      <w:marTop w:val="0"/>
      <w:marBottom w:val="0"/>
      <w:divBdr>
        <w:top w:val="none" w:sz="0" w:space="0" w:color="auto"/>
        <w:left w:val="none" w:sz="0" w:space="0" w:color="auto"/>
        <w:bottom w:val="none" w:sz="0" w:space="0" w:color="auto"/>
        <w:right w:val="none" w:sz="0" w:space="0" w:color="auto"/>
      </w:divBdr>
    </w:div>
    <w:div w:id="72435222">
      <w:bodyDiv w:val="1"/>
      <w:marLeft w:val="0"/>
      <w:marRight w:val="0"/>
      <w:marTop w:val="0"/>
      <w:marBottom w:val="0"/>
      <w:divBdr>
        <w:top w:val="none" w:sz="0" w:space="0" w:color="auto"/>
        <w:left w:val="none" w:sz="0" w:space="0" w:color="auto"/>
        <w:bottom w:val="none" w:sz="0" w:space="0" w:color="auto"/>
        <w:right w:val="none" w:sz="0" w:space="0" w:color="auto"/>
      </w:divBdr>
    </w:div>
    <w:div w:id="123624735">
      <w:bodyDiv w:val="1"/>
      <w:marLeft w:val="0"/>
      <w:marRight w:val="0"/>
      <w:marTop w:val="0"/>
      <w:marBottom w:val="0"/>
      <w:divBdr>
        <w:top w:val="none" w:sz="0" w:space="0" w:color="auto"/>
        <w:left w:val="none" w:sz="0" w:space="0" w:color="auto"/>
        <w:bottom w:val="none" w:sz="0" w:space="0" w:color="auto"/>
        <w:right w:val="none" w:sz="0" w:space="0" w:color="auto"/>
      </w:divBdr>
    </w:div>
    <w:div w:id="1635901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2574">
          <w:marLeft w:val="0"/>
          <w:marRight w:val="0"/>
          <w:marTop w:val="0"/>
          <w:marBottom w:val="0"/>
          <w:divBdr>
            <w:top w:val="none" w:sz="0" w:space="0" w:color="auto"/>
            <w:left w:val="none" w:sz="0" w:space="0" w:color="auto"/>
            <w:bottom w:val="none" w:sz="0" w:space="0" w:color="auto"/>
            <w:right w:val="none" w:sz="0" w:space="0" w:color="auto"/>
          </w:divBdr>
        </w:div>
        <w:div w:id="646544565">
          <w:marLeft w:val="0"/>
          <w:marRight w:val="0"/>
          <w:marTop w:val="0"/>
          <w:marBottom w:val="0"/>
          <w:divBdr>
            <w:top w:val="none" w:sz="0" w:space="0" w:color="auto"/>
            <w:left w:val="none" w:sz="0" w:space="0" w:color="auto"/>
            <w:bottom w:val="none" w:sz="0" w:space="0" w:color="auto"/>
            <w:right w:val="none" w:sz="0" w:space="0" w:color="auto"/>
          </w:divBdr>
        </w:div>
        <w:div w:id="1769346128">
          <w:marLeft w:val="0"/>
          <w:marRight w:val="0"/>
          <w:marTop w:val="0"/>
          <w:marBottom w:val="0"/>
          <w:divBdr>
            <w:top w:val="none" w:sz="0" w:space="0" w:color="auto"/>
            <w:left w:val="none" w:sz="0" w:space="0" w:color="auto"/>
            <w:bottom w:val="none" w:sz="0" w:space="0" w:color="auto"/>
            <w:right w:val="none" w:sz="0" w:space="0" w:color="auto"/>
          </w:divBdr>
        </w:div>
      </w:divsChild>
    </w:div>
    <w:div w:id="18483483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30482826">
          <w:marLeft w:val="0"/>
          <w:marRight w:val="0"/>
          <w:marTop w:val="0"/>
          <w:marBottom w:val="0"/>
          <w:divBdr>
            <w:top w:val="none" w:sz="0" w:space="0" w:color="auto"/>
            <w:left w:val="none" w:sz="0" w:space="0" w:color="auto"/>
            <w:bottom w:val="none" w:sz="0" w:space="0" w:color="auto"/>
            <w:right w:val="none" w:sz="0" w:space="0" w:color="auto"/>
          </w:divBdr>
        </w:div>
        <w:div w:id="1390767639">
          <w:marLeft w:val="0"/>
          <w:marRight w:val="0"/>
          <w:marTop w:val="0"/>
          <w:marBottom w:val="0"/>
          <w:divBdr>
            <w:top w:val="none" w:sz="0" w:space="0" w:color="auto"/>
            <w:left w:val="none" w:sz="0" w:space="0" w:color="auto"/>
            <w:bottom w:val="none" w:sz="0" w:space="0" w:color="auto"/>
            <w:right w:val="none" w:sz="0" w:space="0" w:color="auto"/>
          </w:divBdr>
        </w:div>
      </w:divsChild>
    </w:div>
    <w:div w:id="297994726">
      <w:bodyDiv w:val="1"/>
      <w:marLeft w:val="0"/>
      <w:marRight w:val="0"/>
      <w:marTop w:val="0"/>
      <w:marBottom w:val="0"/>
      <w:divBdr>
        <w:top w:val="none" w:sz="0" w:space="0" w:color="auto"/>
        <w:left w:val="none" w:sz="0" w:space="0" w:color="auto"/>
        <w:bottom w:val="none" w:sz="0" w:space="0" w:color="auto"/>
        <w:right w:val="none" w:sz="0" w:space="0" w:color="auto"/>
      </w:divBdr>
    </w:div>
    <w:div w:id="308361449">
      <w:bodyDiv w:val="1"/>
      <w:marLeft w:val="0"/>
      <w:marRight w:val="0"/>
      <w:marTop w:val="0"/>
      <w:marBottom w:val="0"/>
      <w:divBdr>
        <w:top w:val="none" w:sz="0" w:space="0" w:color="auto"/>
        <w:left w:val="none" w:sz="0" w:space="0" w:color="auto"/>
        <w:bottom w:val="none" w:sz="0" w:space="0" w:color="auto"/>
        <w:right w:val="none" w:sz="0" w:space="0" w:color="auto"/>
      </w:divBdr>
    </w:div>
    <w:div w:id="402995217">
      <w:bodyDiv w:val="1"/>
      <w:marLeft w:val="0"/>
      <w:marRight w:val="0"/>
      <w:marTop w:val="0"/>
      <w:marBottom w:val="0"/>
      <w:divBdr>
        <w:top w:val="none" w:sz="0" w:space="0" w:color="auto"/>
        <w:left w:val="none" w:sz="0" w:space="0" w:color="auto"/>
        <w:bottom w:val="none" w:sz="0" w:space="0" w:color="auto"/>
        <w:right w:val="none" w:sz="0" w:space="0" w:color="auto"/>
      </w:divBdr>
    </w:div>
    <w:div w:id="443812568">
      <w:bodyDiv w:val="1"/>
      <w:marLeft w:val="0"/>
      <w:marRight w:val="0"/>
      <w:marTop w:val="0"/>
      <w:marBottom w:val="0"/>
      <w:divBdr>
        <w:top w:val="none" w:sz="0" w:space="0" w:color="auto"/>
        <w:left w:val="none" w:sz="0" w:space="0" w:color="auto"/>
        <w:bottom w:val="none" w:sz="0" w:space="0" w:color="auto"/>
        <w:right w:val="none" w:sz="0" w:space="0" w:color="auto"/>
      </w:divBdr>
    </w:div>
    <w:div w:id="484012671">
      <w:bodyDiv w:val="1"/>
      <w:marLeft w:val="0"/>
      <w:marRight w:val="0"/>
      <w:marTop w:val="0"/>
      <w:marBottom w:val="0"/>
      <w:divBdr>
        <w:top w:val="none" w:sz="0" w:space="0" w:color="auto"/>
        <w:left w:val="none" w:sz="0" w:space="0" w:color="auto"/>
        <w:bottom w:val="none" w:sz="0" w:space="0" w:color="auto"/>
        <w:right w:val="none" w:sz="0" w:space="0" w:color="auto"/>
      </w:divBdr>
    </w:div>
    <w:div w:id="755369227">
      <w:bodyDiv w:val="1"/>
      <w:marLeft w:val="0"/>
      <w:marRight w:val="0"/>
      <w:marTop w:val="0"/>
      <w:marBottom w:val="0"/>
      <w:divBdr>
        <w:top w:val="none" w:sz="0" w:space="0" w:color="auto"/>
        <w:left w:val="none" w:sz="0" w:space="0" w:color="auto"/>
        <w:bottom w:val="none" w:sz="0" w:space="0" w:color="auto"/>
        <w:right w:val="none" w:sz="0" w:space="0" w:color="auto"/>
      </w:divBdr>
    </w:div>
    <w:div w:id="1061635169">
      <w:bodyDiv w:val="1"/>
      <w:marLeft w:val="0"/>
      <w:marRight w:val="0"/>
      <w:marTop w:val="0"/>
      <w:marBottom w:val="0"/>
      <w:divBdr>
        <w:top w:val="none" w:sz="0" w:space="0" w:color="auto"/>
        <w:left w:val="none" w:sz="0" w:space="0" w:color="auto"/>
        <w:bottom w:val="none" w:sz="0" w:space="0" w:color="auto"/>
        <w:right w:val="none" w:sz="0" w:space="0" w:color="auto"/>
      </w:divBdr>
    </w:div>
    <w:div w:id="1085762812">
      <w:bodyDiv w:val="1"/>
      <w:marLeft w:val="0"/>
      <w:marRight w:val="0"/>
      <w:marTop w:val="0"/>
      <w:marBottom w:val="0"/>
      <w:divBdr>
        <w:top w:val="none" w:sz="0" w:space="0" w:color="auto"/>
        <w:left w:val="none" w:sz="0" w:space="0" w:color="auto"/>
        <w:bottom w:val="none" w:sz="0" w:space="0" w:color="auto"/>
        <w:right w:val="none" w:sz="0" w:space="0" w:color="auto"/>
      </w:divBdr>
    </w:div>
    <w:div w:id="1210075443">
      <w:bodyDiv w:val="1"/>
      <w:marLeft w:val="0"/>
      <w:marRight w:val="0"/>
      <w:marTop w:val="0"/>
      <w:marBottom w:val="0"/>
      <w:divBdr>
        <w:top w:val="none" w:sz="0" w:space="0" w:color="auto"/>
        <w:left w:val="none" w:sz="0" w:space="0" w:color="auto"/>
        <w:bottom w:val="none" w:sz="0" w:space="0" w:color="auto"/>
        <w:right w:val="none" w:sz="0" w:space="0" w:color="auto"/>
      </w:divBdr>
    </w:div>
    <w:div w:id="1311903377">
      <w:bodyDiv w:val="1"/>
      <w:marLeft w:val="0"/>
      <w:marRight w:val="0"/>
      <w:marTop w:val="0"/>
      <w:marBottom w:val="0"/>
      <w:divBdr>
        <w:top w:val="none" w:sz="0" w:space="0" w:color="auto"/>
        <w:left w:val="none" w:sz="0" w:space="0" w:color="auto"/>
        <w:bottom w:val="none" w:sz="0" w:space="0" w:color="auto"/>
        <w:right w:val="none" w:sz="0" w:space="0" w:color="auto"/>
      </w:divBdr>
    </w:div>
    <w:div w:id="1410729380">
      <w:bodyDiv w:val="1"/>
      <w:marLeft w:val="0"/>
      <w:marRight w:val="0"/>
      <w:marTop w:val="0"/>
      <w:marBottom w:val="0"/>
      <w:divBdr>
        <w:top w:val="none" w:sz="0" w:space="0" w:color="auto"/>
        <w:left w:val="none" w:sz="0" w:space="0" w:color="auto"/>
        <w:bottom w:val="none" w:sz="0" w:space="0" w:color="auto"/>
        <w:right w:val="none" w:sz="0" w:space="0" w:color="auto"/>
      </w:divBdr>
    </w:div>
    <w:div w:id="1484928138">
      <w:bodyDiv w:val="1"/>
      <w:marLeft w:val="0"/>
      <w:marRight w:val="0"/>
      <w:marTop w:val="0"/>
      <w:marBottom w:val="0"/>
      <w:divBdr>
        <w:top w:val="none" w:sz="0" w:space="0" w:color="auto"/>
        <w:left w:val="none" w:sz="0" w:space="0" w:color="auto"/>
        <w:bottom w:val="none" w:sz="0" w:space="0" w:color="auto"/>
        <w:right w:val="none" w:sz="0" w:space="0" w:color="auto"/>
      </w:divBdr>
    </w:div>
    <w:div w:id="1504129833">
      <w:bodyDiv w:val="1"/>
      <w:marLeft w:val="0"/>
      <w:marRight w:val="0"/>
      <w:marTop w:val="0"/>
      <w:marBottom w:val="0"/>
      <w:divBdr>
        <w:top w:val="none" w:sz="0" w:space="0" w:color="auto"/>
        <w:left w:val="none" w:sz="0" w:space="0" w:color="auto"/>
        <w:bottom w:val="none" w:sz="0" w:space="0" w:color="auto"/>
        <w:right w:val="none" w:sz="0" w:space="0" w:color="auto"/>
      </w:divBdr>
    </w:div>
    <w:div w:id="1560900185">
      <w:bodyDiv w:val="1"/>
      <w:marLeft w:val="0"/>
      <w:marRight w:val="0"/>
      <w:marTop w:val="0"/>
      <w:marBottom w:val="0"/>
      <w:divBdr>
        <w:top w:val="none" w:sz="0" w:space="0" w:color="auto"/>
        <w:left w:val="none" w:sz="0" w:space="0" w:color="auto"/>
        <w:bottom w:val="none" w:sz="0" w:space="0" w:color="auto"/>
        <w:right w:val="none" w:sz="0" w:space="0" w:color="auto"/>
      </w:divBdr>
    </w:div>
    <w:div w:id="1808082276">
      <w:bodyDiv w:val="1"/>
      <w:marLeft w:val="0"/>
      <w:marRight w:val="0"/>
      <w:marTop w:val="0"/>
      <w:marBottom w:val="0"/>
      <w:divBdr>
        <w:top w:val="none" w:sz="0" w:space="0" w:color="auto"/>
        <w:left w:val="none" w:sz="0" w:space="0" w:color="auto"/>
        <w:bottom w:val="none" w:sz="0" w:space="0" w:color="auto"/>
        <w:right w:val="none" w:sz="0" w:space="0" w:color="auto"/>
      </w:divBdr>
    </w:div>
    <w:div w:id="1831822020">
      <w:bodyDiv w:val="1"/>
      <w:marLeft w:val="0"/>
      <w:marRight w:val="0"/>
      <w:marTop w:val="0"/>
      <w:marBottom w:val="0"/>
      <w:divBdr>
        <w:top w:val="none" w:sz="0" w:space="0" w:color="auto"/>
        <w:left w:val="none" w:sz="0" w:space="0" w:color="auto"/>
        <w:bottom w:val="none" w:sz="0" w:space="0" w:color="auto"/>
        <w:right w:val="none" w:sz="0" w:space="0" w:color="auto"/>
      </w:divBdr>
    </w:div>
    <w:div w:id="1861431806">
      <w:bodyDiv w:val="1"/>
      <w:marLeft w:val="0"/>
      <w:marRight w:val="0"/>
      <w:marTop w:val="0"/>
      <w:marBottom w:val="0"/>
      <w:divBdr>
        <w:top w:val="none" w:sz="0" w:space="0" w:color="auto"/>
        <w:left w:val="none" w:sz="0" w:space="0" w:color="auto"/>
        <w:bottom w:val="none" w:sz="0" w:space="0" w:color="auto"/>
        <w:right w:val="none" w:sz="0" w:space="0" w:color="auto"/>
      </w:divBdr>
    </w:div>
    <w:div w:id="1899975495">
      <w:bodyDiv w:val="1"/>
      <w:marLeft w:val="0"/>
      <w:marRight w:val="0"/>
      <w:marTop w:val="0"/>
      <w:marBottom w:val="0"/>
      <w:divBdr>
        <w:top w:val="none" w:sz="0" w:space="0" w:color="auto"/>
        <w:left w:val="none" w:sz="0" w:space="0" w:color="auto"/>
        <w:bottom w:val="none" w:sz="0" w:space="0" w:color="auto"/>
        <w:right w:val="none" w:sz="0" w:space="0" w:color="auto"/>
      </w:divBdr>
      <w:divsChild>
        <w:div w:id="2112966397">
          <w:marLeft w:val="0"/>
          <w:marRight w:val="0"/>
          <w:marTop w:val="0"/>
          <w:marBottom w:val="0"/>
          <w:divBdr>
            <w:top w:val="none" w:sz="0" w:space="0" w:color="auto"/>
            <w:left w:val="none" w:sz="0" w:space="0" w:color="auto"/>
            <w:bottom w:val="none" w:sz="0" w:space="0" w:color="auto"/>
            <w:right w:val="none" w:sz="0" w:space="0" w:color="auto"/>
          </w:divBdr>
          <w:divsChild>
            <w:div w:id="1323461663">
              <w:marLeft w:val="0"/>
              <w:marRight w:val="0"/>
              <w:marTop w:val="0"/>
              <w:marBottom w:val="0"/>
              <w:divBdr>
                <w:top w:val="none" w:sz="0" w:space="0" w:color="auto"/>
                <w:left w:val="none" w:sz="0" w:space="0" w:color="auto"/>
                <w:bottom w:val="none" w:sz="0" w:space="0" w:color="auto"/>
                <w:right w:val="none" w:sz="0" w:space="0" w:color="auto"/>
              </w:divBdr>
              <w:divsChild>
                <w:div w:id="1891767563">
                  <w:marLeft w:val="0"/>
                  <w:marRight w:val="0"/>
                  <w:marTop w:val="0"/>
                  <w:marBottom w:val="0"/>
                  <w:divBdr>
                    <w:top w:val="none" w:sz="0" w:space="0" w:color="auto"/>
                    <w:left w:val="none" w:sz="0" w:space="0" w:color="auto"/>
                    <w:bottom w:val="none" w:sz="0" w:space="0" w:color="auto"/>
                    <w:right w:val="none" w:sz="0" w:space="0" w:color="auto"/>
                  </w:divBdr>
                  <w:divsChild>
                    <w:div w:id="2071612828">
                      <w:marLeft w:val="0"/>
                      <w:marRight w:val="0"/>
                      <w:marTop w:val="0"/>
                      <w:marBottom w:val="0"/>
                      <w:divBdr>
                        <w:top w:val="none" w:sz="0" w:space="0" w:color="auto"/>
                        <w:left w:val="none" w:sz="0" w:space="0" w:color="auto"/>
                        <w:bottom w:val="none" w:sz="0" w:space="0" w:color="auto"/>
                        <w:right w:val="none" w:sz="0" w:space="0" w:color="auto"/>
                      </w:divBdr>
                      <w:divsChild>
                        <w:div w:id="456532420">
                          <w:marLeft w:val="0"/>
                          <w:marRight w:val="0"/>
                          <w:marTop w:val="0"/>
                          <w:marBottom w:val="0"/>
                          <w:divBdr>
                            <w:top w:val="none" w:sz="0" w:space="0" w:color="auto"/>
                            <w:left w:val="none" w:sz="0" w:space="0" w:color="auto"/>
                            <w:bottom w:val="none" w:sz="0" w:space="0" w:color="auto"/>
                            <w:right w:val="none" w:sz="0" w:space="0" w:color="auto"/>
                          </w:divBdr>
                          <w:divsChild>
                            <w:div w:id="2107118457">
                              <w:marLeft w:val="0"/>
                              <w:marRight w:val="0"/>
                              <w:marTop w:val="0"/>
                              <w:marBottom w:val="0"/>
                              <w:divBdr>
                                <w:top w:val="none" w:sz="0" w:space="0" w:color="auto"/>
                                <w:left w:val="none" w:sz="0" w:space="0" w:color="auto"/>
                                <w:bottom w:val="none" w:sz="0" w:space="0" w:color="auto"/>
                                <w:right w:val="none" w:sz="0" w:space="0" w:color="auto"/>
                              </w:divBdr>
                              <w:divsChild>
                                <w:div w:id="1650598387">
                                  <w:marLeft w:val="0"/>
                                  <w:marRight w:val="0"/>
                                  <w:marTop w:val="0"/>
                                  <w:marBottom w:val="0"/>
                                  <w:divBdr>
                                    <w:top w:val="none" w:sz="0" w:space="0" w:color="auto"/>
                                    <w:left w:val="none" w:sz="0" w:space="0" w:color="auto"/>
                                    <w:bottom w:val="none" w:sz="0" w:space="0" w:color="auto"/>
                                    <w:right w:val="none" w:sz="0" w:space="0" w:color="auto"/>
                                  </w:divBdr>
                                  <w:divsChild>
                                    <w:div w:id="614795040">
                                      <w:marLeft w:val="0"/>
                                      <w:marRight w:val="0"/>
                                      <w:marTop w:val="0"/>
                                      <w:marBottom w:val="0"/>
                                      <w:divBdr>
                                        <w:top w:val="none" w:sz="0" w:space="0" w:color="auto"/>
                                        <w:left w:val="none" w:sz="0" w:space="0" w:color="auto"/>
                                        <w:bottom w:val="none" w:sz="0" w:space="0" w:color="auto"/>
                                        <w:right w:val="none" w:sz="0" w:space="0" w:color="auto"/>
                                      </w:divBdr>
                                      <w:divsChild>
                                        <w:div w:id="1484152432">
                                          <w:marLeft w:val="0"/>
                                          <w:marRight w:val="0"/>
                                          <w:marTop w:val="0"/>
                                          <w:marBottom w:val="0"/>
                                          <w:divBdr>
                                            <w:top w:val="none" w:sz="0" w:space="0" w:color="auto"/>
                                            <w:left w:val="none" w:sz="0" w:space="0" w:color="auto"/>
                                            <w:bottom w:val="none" w:sz="0" w:space="0" w:color="auto"/>
                                            <w:right w:val="none" w:sz="0" w:space="0" w:color="auto"/>
                                          </w:divBdr>
                                          <w:divsChild>
                                            <w:div w:id="268778282">
                                              <w:marLeft w:val="0"/>
                                              <w:marRight w:val="0"/>
                                              <w:marTop w:val="0"/>
                                              <w:marBottom w:val="0"/>
                                              <w:divBdr>
                                                <w:top w:val="none" w:sz="0" w:space="0" w:color="auto"/>
                                                <w:left w:val="none" w:sz="0" w:space="0" w:color="auto"/>
                                                <w:bottom w:val="none" w:sz="0" w:space="0" w:color="auto"/>
                                                <w:right w:val="none" w:sz="0" w:space="0" w:color="auto"/>
                                              </w:divBdr>
                                              <w:divsChild>
                                                <w:div w:id="2087847430">
                                                  <w:marLeft w:val="0"/>
                                                  <w:marRight w:val="0"/>
                                                  <w:marTop w:val="0"/>
                                                  <w:marBottom w:val="0"/>
                                                  <w:divBdr>
                                                    <w:top w:val="none" w:sz="0" w:space="0" w:color="auto"/>
                                                    <w:left w:val="none" w:sz="0" w:space="0" w:color="auto"/>
                                                    <w:bottom w:val="none" w:sz="0" w:space="0" w:color="auto"/>
                                                    <w:right w:val="none" w:sz="0" w:space="0" w:color="auto"/>
                                                  </w:divBdr>
                                                  <w:divsChild>
                                                    <w:div w:id="1419055348">
                                                      <w:marLeft w:val="0"/>
                                                      <w:marRight w:val="0"/>
                                                      <w:marTop w:val="0"/>
                                                      <w:marBottom w:val="0"/>
                                                      <w:divBdr>
                                                        <w:top w:val="none" w:sz="0" w:space="0" w:color="auto"/>
                                                        <w:left w:val="none" w:sz="0" w:space="0" w:color="auto"/>
                                                        <w:bottom w:val="none" w:sz="0" w:space="0" w:color="auto"/>
                                                        <w:right w:val="none" w:sz="0" w:space="0" w:color="auto"/>
                                                      </w:divBdr>
                                                      <w:divsChild>
                                                        <w:div w:id="1106848316">
                                                          <w:marLeft w:val="0"/>
                                                          <w:marRight w:val="0"/>
                                                          <w:marTop w:val="0"/>
                                                          <w:marBottom w:val="0"/>
                                                          <w:divBdr>
                                                            <w:top w:val="none" w:sz="0" w:space="0" w:color="auto"/>
                                                            <w:left w:val="none" w:sz="0" w:space="0" w:color="auto"/>
                                                            <w:bottom w:val="none" w:sz="0" w:space="0" w:color="auto"/>
                                                            <w:right w:val="none" w:sz="0" w:space="0" w:color="auto"/>
                                                          </w:divBdr>
                                                          <w:divsChild>
                                                            <w:div w:id="1223177725">
                                                              <w:marLeft w:val="0"/>
                                                              <w:marRight w:val="0"/>
                                                              <w:marTop w:val="0"/>
                                                              <w:marBottom w:val="0"/>
                                                              <w:divBdr>
                                                                <w:top w:val="none" w:sz="0" w:space="0" w:color="auto"/>
                                                                <w:left w:val="none" w:sz="0" w:space="0" w:color="auto"/>
                                                                <w:bottom w:val="none" w:sz="0" w:space="0" w:color="auto"/>
                                                                <w:right w:val="none" w:sz="0" w:space="0" w:color="auto"/>
                                                              </w:divBdr>
                                                              <w:divsChild>
                                                                <w:div w:id="1668287797">
                                                                  <w:marLeft w:val="0"/>
                                                                  <w:marRight w:val="0"/>
                                                                  <w:marTop w:val="0"/>
                                                                  <w:marBottom w:val="0"/>
                                                                  <w:divBdr>
                                                                    <w:top w:val="none" w:sz="0" w:space="0" w:color="auto"/>
                                                                    <w:left w:val="none" w:sz="0" w:space="0" w:color="auto"/>
                                                                    <w:bottom w:val="none" w:sz="0" w:space="0" w:color="auto"/>
                                                                    <w:right w:val="none" w:sz="0" w:space="0" w:color="auto"/>
                                                                  </w:divBdr>
                                                                  <w:divsChild>
                                                                    <w:div w:id="1532957590">
                                                                      <w:marLeft w:val="0"/>
                                                                      <w:marRight w:val="0"/>
                                                                      <w:marTop w:val="0"/>
                                                                      <w:marBottom w:val="0"/>
                                                                      <w:divBdr>
                                                                        <w:top w:val="none" w:sz="0" w:space="0" w:color="auto"/>
                                                                        <w:left w:val="none" w:sz="0" w:space="0" w:color="auto"/>
                                                                        <w:bottom w:val="none" w:sz="0" w:space="0" w:color="auto"/>
                                                                        <w:right w:val="none" w:sz="0" w:space="0" w:color="auto"/>
                                                                      </w:divBdr>
                                                                      <w:divsChild>
                                                                        <w:div w:id="1693610515">
                                                                          <w:marLeft w:val="0"/>
                                                                          <w:marRight w:val="0"/>
                                                                          <w:marTop w:val="0"/>
                                                                          <w:marBottom w:val="0"/>
                                                                          <w:divBdr>
                                                                            <w:top w:val="none" w:sz="0" w:space="0" w:color="auto"/>
                                                                            <w:left w:val="none" w:sz="0" w:space="0" w:color="auto"/>
                                                                            <w:bottom w:val="none" w:sz="0" w:space="0" w:color="auto"/>
                                                                            <w:right w:val="none" w:sz="0" w:space="0" w:color="auto"/>
                                                                          </w:divBdr>
                                                                          <w:divsChild>
                                                                            <w:div w:id="2049259660">
                                                                              <w:marLeft w:val="0"/>
                                                                              <w:marRight w:val="0"/>
                                                                              <w:marTop w:val="0"/>
                                                                              <w:marBottom w:val="0"/>
                                                                              <w:divBdr>
                                                                                <w:top w:val="none" w:sz="0" w:space="0" w:color="auto"/>
                                                                                <w:left w:val="none" w:sz="0" w:space="0" w:color="auto"/>
                                                                                <w:bottom w:val="none" w:sz="0" w:space="0" w:color="auto"/>
                                                                                <w:right w:val="none" w:sz="0" w:space="0" w:color="auto"/>
                                                                              </w:divBdr>
                                                                              <w:divsChild>
                                                                                <w:div w:id="467864290">
                                                                                  <w:marLeft w:val="0"/>
                                                                                  <w:marRight w:val="0"/>
                                                                                  <w:marTop w:val="0"/>
                                                                                  <w:marBottom w:val="0"/>
                                                                                  <w:divBdr>
                                                                                    <w:top w:val="none" w:sz="0" w:space="0" w:color="auto"/>
                                                                                    <w:left w:val="none" w:sz="0" w:space="0" w:color="auto"/>
                                                                                    <w:bottom w:val="none" w:sz="0" w:space="0" w:color="auto"/>
                                                                                    <w:right w:val="none" w:sz="0" w:space="0" w:color="auto"/>
                                                                                  </w:divBdr>
                                                                                  <w:divsChild>
                                                                                    <w:div w:id="1052853777">
                                                                                      <w:marLeft w:val="0"/>
                                                                                      <w:marRight w:val="0"/>
                                                                                      <w:marTop w:val="0"/>
                                                                                      <w:marBottom w:val="0"/>
                                                                                      <w:divBdr>
                                                                                        <w:top w:val="none" w:sz="0" w:space="0" w:color="auto"/>
                                                                                        <w:left w:val="none" w:sz="0" w:space="0" w:color="auto"/>
                                                                                        <w:bottom w:val="none" w:sz="0" w:space="0" w:color="auto"/>
                                                                                        <w:right w:val="none" w:sz="0" w:space="0" w:color="auto"/>
                                                                                      </w:divBdr>
                                                                                      <w:divsChild>
                                                                                        <w:div w:id="905408738">
                                                                                          <w:marLeft w:val="0"/>
                                                                                          <w:marRight w:val="0"/>
                                                                                          <w:marTop w:val="0"/>
                                                                                          <w:marBottom w:val="0"/>
                                                                                          <w:divBdr>
                                                                                            <w:top w:val="none" w:sz="0" w:space="0" w:color="auto"/>
                                                                                            <w:left w:val="none" w:sz="0" w:space="0" w:color="auto"/>
                                                                                            <w:bottom w:val="none" w:sz="0" w:space="0" w:color="auto"/>
                                                                                            <w:right w:val="none" w:sz="0" w:space="0" w:color="auto"/>
                                                                                          </w:divBdr>
                                                                                          <w:divsChild>
                                                                                            <w:div w:id="347291510">
                                                                                              <w:marLeft w:val="0"/>
                                                                                              <w:marRight w:val="0"/>
                                                                                              <w:marTop w:val="0"/>
                                                                                              <w:marBottom w:val="0"/>
                                                                                              <w:divBdr>
                                                                                                <w:top w:val="none" w:sz="0" w:space="0" w:color="auto"/>
                                                                                                <w:left w:val="none" w:sz="0" w:space="0" w:color="auto"/>
                                                                                                <w:bottom w:val="none" w:sz="0" w:space="0" w:color="auto"/>
                                                                                                <w:right w:val="none" w:sz="0" w:space="0" w:color="auto"/>
                                                                                              </w:divBdr>
                                                                                              <w:divsChild>
                                                                                                <w:div w:id="687414691">
                                                                                                  <w:marLeft w:val="0"/>
                                                                                                  <w:marRight w:val="0"/>
                                                                                                  <w:marTop w:val="0"/>
                                                                                                  <w:marBottom w:val="0"/>
                                                                                                  <w:divBdr>
                                                                                                    <w:top w:val="none" w:sz="0" w:space="0" w:color="auto"/>
                                                                                                    <w:left w:val="none" w:sz="0" w:space="0" w:color="auto"/>
                                                                                                    <w:bottom w:val="none" w:sz="0" w:space="0" w:color="auto"/>
                                                                                                    <w:right w:val="none" w:sz="0" w:space="0" w:color="auto"/>
                                                                                                  </w:divBdr>
                                                                                                  <w:divsChild>
                                                                                                    <w:div w:id="1018193631">
                                                                                                      <w:marLeft w:val="0"/>
                                                                                                      <w:marRight w:val="0"/>
                                                                                                      <w:marTop w:val="0"/>
                                                                                                      <w:marBottom w:val="0"/>
                                                                                                      <w:divBdr>
                                                                                                        <w:top w:val="none" w:sz="0" w:space="0" w:color="auto"/>
                                                                                                        <w:left w:val="none" w:sz="0" w:space="0" w:color="auto"/>
                                                                                                        <w:bottom w:val="none" w:sz="0" w:space="0" w:color="auto"/>
                                                                                                        <w:right w:val="none" w:sz="0" w:space="0" w:color="auto"/>
                                                                                                      </w:divBdr>
                                                                                                      <w:divsChild>
                                                                                                        <w:div w:id="1432162153">
                                                                                                          <w:marLeft w:val="0"/>
                                                                                                          <w:marRight w:val="0"/>
                                                                                                          <w:marTop w:val="0"/>
                                                                                                          <w:marBottom w:val="0"/>
                                                                                                          <w:divBdr>
                                                                                                            <w:top w:val="none" w:sz="0" w:space="0" w:color="auto"/>
                                                                                                            <w:left w:val="none" w:sz="0" w:space="0" w:color="auto"/>
                                                                                                            <w:bottom w:val="none" w:sz="0" w:space="0" w:color="auto"/>
                                                                                                            <w:right w:val="none" w:sz="0" w:space="0" w:color="auto"/>
                                                                                                          </w:divBdr>
                                                                                                          <w:divsChild>
                                                                                                            <w:div w:id="1123571206">
                                                                                                              <w:marLeft w:val="0"/>
                                                                                                              <w:marRight w:val="0"/>
                                                                                                              <w:marTop w:val="0"/>
                                                                                                              <w:marBottom w:val="0"/>
                                                                                                              <w:divBdr>
                                                                                                                <w:top w:val="none" w:sz="0" w:space="0" w:color="auto"/>
                                                                                                                <w:left w:val="none" w:sz="0" w:space="0" w:color="auto"/>
                                                                                                                <w:bottom w:val="none" w:sz="0" w:space="0" w:color="auto"/>
                                                                                                                <w:right w:val="none" w:sz="0" w:space="0" w:color="auto"/>
                                                                                                              </w:divBdr>
                                                                                                              <w:divsChild>
                                                                                                                <w:div w:id="545063467">
                                                                                                                  <w:marLeft w:val="0"/>
                                                                                                                  <w:marRight w:val="0"/>
                                                                                                                  <w:marTop w:val="0"/>
                                                                                                                  <w:marBottom w:val="0"/>
                                                                                                                  <w:divBdr>
                                                                                                                    <w:top w:val="none" w:sz="0" w:space="0" w:color="auto"/>
                                                                                                                    <w:left w:val="none" w:sz="0" w:space="0" w:color="auto"/>
                                                                                                                    <w:bottom w:val="none" w:sz="0" w:space="0" w:color="auto"/>
                                                                                                                    <w:right w:val="none" w:sz="0" w:space="0" w:color="auto"/>
                                                                                                                  </w:divBdr>
                                                                                                                  <w:divsChild>
                                                                                                                    <w:div w:id="1611935221">
                                                                                                                      <w:marLeft w:val="0"/>
                                                                                                                      <w:marRight w:val="0"/>
                                                                                                                      <w:marTop w:val="0"/>
                                                                                                                      <w:marBottom w:val="0"/>
                                                                                                                      <w:divBdr>
                                                                                                                        <w:top w:val="none" w:sz="0" w:space="0" w:color="auto"/>
                                                                                                                        <w:left w:val="none" w:sz="0" w:space="0" w:color="auto"/>
                                                                                                                        <w:bottom w:val="none" w:sz="0" w:space="0" w:color="auto"/>
                                                                                                                        <w:right w:val="none" w:sz="0" w:space="0" w:color="auto"/>
                                                                                                                      </w:divBdr>
                                                                                                                      <w:divsChild>
                                                                                                                        <w:div w:id="1371952123">
                                                                                                                          <w:marLeft w:val="0"/>
                                                                                                                          <w:marRight w:val="0"/>
                                                                                                                          <w:marTop w:val="0"/>
                                                                                                                          <w:marBottom w:val="0"/>
                                                                                                                          <w:divBdr>
                                                                                                                            <w:top w:val="none" w:sz="0" w:space="0" w:color="auto"/>
                                                                                                                            <w:left w:val="none" w:sz="0" w:space="0" w:color="auto"/>
                                                                                                                            <w:bottom w:val="none" w:sz="0" w:space="0" w:color="auto"/>
                                                                                                                            <w:right w:val="none" w:sz="0" w:space="0" w:color="auto"/>
                                                                                                                          </w:divBdr>
                                                                                                                          <w:divsChild>
                                                                                                                            <w:div w:id="955991093">
                                                                                                                              <w:marLeft w:val="0"/>
                                                                                                                              <w:marRight w:val="0"/>
                                                                                                                              <w:marTop w:val="0"/>
                                                                                                                              <w:marBottom w:val="0"/>
                                                                                                                              <w:divBdr>
                                                                                                                                <w:top w:val="none" w:sz="0" w:space="0" w:color="auto"/>
                                                                                                                                <w:left w:val="none" w:sz="0" w:space="0" w:color="auto"/>
                                                                                                                                <w:bottom w:val="none" w:sz="0" w:space="0" w:color="auto"/>
                                                                                                                                <w:right w:val="none" w:sz="0" w:space="0" w:color="auto"/>
                                                                                                                              </w:divBdr>
                                                                                                                              <w:divsChild>
                                                                                                                                <w:div w:id="1547258863">
                                                                                                                                  <w:marLeft w:val="0"/>
                                                                                                                                  <w:marRight w:val="0"/>
                                                                                                                                  <w:marTop w:val="0"/>
                                                                                                                                  <w:marBottom w:val="0"/>
                                                                                                                                  <w:divBdr>
                                                                                                                                    <w:top w:val="none" w:sz="0" w:space="0" w:color="auto"/>
                                                                                                                                    <w:left w:val="none" w:sz="0" w:space="0" w:color="auto"/>
                                                                                                                                    <w:bottom w:val="none" w:sz="0" w:space="0" w:color="auto"/>
                                                                                                                                    <w:right w:val="none" w:sz="0" w:space="0" w:color="auto"/>
                                                                                                                                  </w:divBdr>
                                                                                                                                  <w:divsChild>
                                                                                                                                    <w:div w:id="2002655506">
                                                                                                                                      <w:marLeft w:val="0"/>
                                                                                                                                      <w:marRight w:val="0"/>
                                                                                                                                      <w:marTop w:val="0"/>
                                                                                                                                      <w:marBottom w:val="0"/>
                                                                                                                                      <w:divBdr>
                                                                                                                                        <w:top w:val="none" w:sz="0" w:space="0" w:color="auto"/>
                                                                                                                                        <w:left w:val="none" w:sz="0" w:space="0" w:color="auto"/>
                                                                                                                                        <w:bottom w:val="none" w:sz="0" w:space="0" w:color="auto"/>
                                                                                                                                        <w:right w:val="none" w:sz="0" w:space="0" w:color="auto"/>
                                                                                                                                      </w:divBdr>
                                                                                                                                      <w:divsChild>
                                                                                                                                        <w:div w:id="725108601">
                                                                                                                                          <w:marLeft w:val="0"/>
                                                                                                                                          <w:marRight w:val="0"/>
                                                                                                                                          <w:marTop w:val="0"/>
                                                                                                                                          <w:marBottom w:val="0"/>
                                                                                                                                          <w:divBdr>
                                                                                                                                            <w:top w:val="none" w:sz="0" w:space="0" w:color="auto"/>
                                                                                                                                            <w:left w:val="none" w:sz="0" w:space="0" w:color="auto"/>
                                                                                                                                            <w:bottom w:val="none" w:sz="0" w:space="0" w:color="auto"/>
                                                                                                                                            <w:right w:val="none" w:sz="0" w:space="0" w:color="auto"/>
                                                                                                                                          </w:divBdr>
                                                                                                                                          <w:divsChild>
                                                                                                                                            <w:div w:id="1920745324">
                                                                                                                                              <w:marLeft w:val="0"/>
                                                                                                                                              <w:marRight w:val="0"/>
                                                                                                                                              <w:marTop w:val="0"/>
                                                                                                                                              <w:marBottom w:val="0"/>
                                                                                                                                              <w:divBdr>
                                                                                                                                                <w:top w:val="none" w:sz="0" w:space="0" w:color="auto"/>
                                                                                                                                                <w:left w:val="none" w:sz="0" w:space="0" w:color="auto"/>
                                                                                                                                                <w:bottom w:val="none" w:sz="0" w:space="0" w:color="auto"/>
                                                                                                                                                <w:right w:val="none" w:sz="0" w:space="0" w:color="auto"/>
                                                                                                                                              </w:divBdr>
                                                                                                                                              <w:divsChild>
                                                                                                                                                <w:div w:id="807749346">
                                                                                                                                                  <w:marLeft w:val="0"/>
                                                                                                                                                  <w:marRight w:val="0"/>
                                                                                                                                                  <w:marTop w:val="0"/>
                                                                                                                                                  <w:marBottom w:val="0"/>
                                                                                                                                                  <w:divBdr>
                                                                                                                                                    <w:top w:val="none" w:sz="0" w:space="0" w:color="auto"/>
                                                                                                                                                    <w:left w:val="none" w:sz="0" w:space="0" w:color="auto"/>
                                                                                                                                                    <w:bottom w:val="none" w:sz="0" w:space="0" w:color="auto"/>
                                                                                                                                                    <w:right w:val="none" w:sz="0" w:space="0" w:color="auto"/>
                                                                                                                                                  </w:divBdr>
                                                                                                                                                  <w:divsChild>
                                                                                                                                                    <w:div w:id="685862450">
                                                                                                                                                      <w:marLeft w:val="0"/>
                                                                                                                                                      <w:marRight w:val="0"/>
                                                                                                                                                      <w:marTop w:val="0"/>
                                                                                                                                                      <w:marBottom w:val="0"/>
                                                                                                                                                      <w:divBdr>
                                                                                                                                                        <w:top w:val="none" w:sz="0" w:space="0" w:color="auto"/>
                                                                                                                                                        <w:left w:val="none" w:sz="0" w:space="0" w:color="auto"/>
                                                                                                                                                        <w:bottom w:val="none" w:sz="0" w:space="0" w:color="auto"/>
                                                                                                                                                        <w:right w:val="none" w:sz="0" w:space="0" w:color="auto"/>
                                                                                                                                                      </w:divBdr>
                                                                                                                                                      <w:divsChild>
                                                                                                                                                        <w:div w:id="103691902">
                                                                                                                                                          <w:marLeft w:val="0"/>
                                                                                                                                                          <w:marRight w:val="0"/>
                                                                                                                                                          <w:marTop w:val="0"/>
                                                                                                                                                          <w:marBottom w:val="0"/>
                                                                                                                                                          <w:divBdr>
                                                                                                                                                            <w:top w:val="none" w:sz="0" w:space="0" w:color="auto"/>
                                                                                                                                                            <w:left w:val="none" w:sz="0" w:space="0" w:color="auto"/>
                                                                                                                                                            <w:bottom w:val="none" w:sz="0" w:space="0" w:color="auto"/>
                                                                                                                                                            <w:right w:val="none" w:sz="0" w:space="0" w:color="auto"/>
                                                                                                                                                          </w:divBdr>
                                                                                                                                                          <w:divsChild>
                                                                                                                                                            <w:div w:id="2050296459">
                                                                                                                                                              <w:marLeft w:val="0"/>
                                                                                                                                                              <w:marRight w:val="0"/>
                                                                                                                                                              <w:marTop w:val="0"/>
                                                                                                                                                              <w:marBottom w:val="0"/>
                                                                                                                                                              <w:divBdr>
                                                                                                                                                                <w:top w:val="none" w:sz="0" w:space="0" w:color="auto"/>
                                                                                                                                                                <w:left w:val="none" w:sz="0" w:space="0" w:color="auto"/>
                                                                                                                                                                <w:bottom w:val="none" w:sz="0" w:space="0" w:color="auto"/>
                                                                                                                                                                <w:right w:val="none" w:sz="0" w:space="0" w:color="auto"/>
                                                                                                                                                              </w:divBdr>
                                                                                                                                                              <w:divsChild>
                                                                                                                                                                <w:div w:id="39091752">
                                                                                                                                                                  <w:marLeft w:val="0"/>
                                                                                                                                                                  <w:marRight w:val="0"/>
                                                                                                                                                                  <w:marTop w:val="0"/>
                                                                                                                                                                  <w:marBottom w:val="0"/>
                                                                                                                                                                  <w:divBdr>
                                                                                                                                                                    <w:top w:val="none" w:sz="0" w:space="0" w:color="auto"/>
                                                                                                                                                                    <w:left w:val="none" w:sz="0" w:space="0" w:color="auto"/>
                                                                                                                                                                    <w:bottom w:val="none" w:sz="0" w:space="0" w:color="auto"/>
                                                                                                                                                                    <w:right w:val="none" w:sz="0" w:space="0" w:color="auto"/>
                                                                                                                                                                  </w:divBdr>
                                                                                                                                                                  <w:divsChild>
                                                                                                                                                                    <w:div w:id="432360370">
                                                                                                                                                                      <w:marLeft w:val="0"/>
                                                                                                                                                                      <w:marRight w:val="0"/>
                                                                                                                                                                      <w:marTop w:val="0"/>
                                                                                                                                                                      <w:marBottom w:val="0"/>
                                                                                                                                                                      <w:divBdr>
                                                                                                                                                                        <w:top w:val="none" w:sz="0" w:space="0" w:color="auto"/>
                                                                                                                                                                        <w:left w:val="none" w:sz="0" w:space="0" w:color="auto"/>
                                                                                                                                                                        <w:bottom w:val="none" w:sz="0" w:space="0" w:color="auto"/>
                                                                                                                                                                        <w:right w:val="none" w:sz="0" w:space="0" w:color="auto"/>
                                                                                                                                                                      </w:divBdr>
                                                                                                                                                                      <w:divsChild>
                                                                                                                                                                        <w:div w:id="130485953">
                                                                                                                                                                          <w:marLeft w:val="567"/>
                                                                                                                                                                          <w:marRight w:val="0"/>
                                                                                                                                                                          <w:marTop w:val="0"/>
                                                                                                                                                                          <w:marBottom w:val="0"/>
                                                                                                                                                                          <w:divBdr>
                                                                                                                                                                            <w:top w:val="none" w:sz="0" w:space="0" w:color="auto"/>
                                                                                                                                                                            <w:left w:val="none" w:sz="0" w:space="0" w:color="auto"/>
                                                                                                                                                                            <w:bottom w:val="none" w:sz="0" w:space="0" w:color="auto"/>
                                                                                                                                                                            <w:right w:val="none" w:sz="0" w:space="0" w:color="auto"/>
                                                                                                                                                                          </w:divBdr>
                                                                                                                                                                        </w:div>
                                                                                                                                                                        <w:div w:id="245724213">
                                                                                                                                                                          <w:marLeft w:val="0"/>
                                                                                                                                                                          <w:marRight w:val="0"/>
                                                                                                                                                                          <w:marTop w:val="0"/>
                                                                                                                                                                          <w:marBottom w:val="0"/>
                                                                                                                                                                          <w:divBdr>
                                                                                                                                                                            <w:top w:val="none" w:sz="0" w:space="0" w:color="auto"/>
                                                                                                                                                                            <w:left w:val="none" w:sz="0" w:space="0" w:color="auto"/>
                                                                                                                                                                            <w:bottom w:val="none" w:sz="0" w:space="0" w:color="auto"/>
                                                                                                                                                                            <w:right w:val="none" w:sz="0" w:space="0" w:color="auto"/>
                                                                                                                                                                          </w:divBdr>
                                                                                                                                                                        </w:div>
                                                                                                                                                                        <w:div w:id="308750697">
                                                                                                                                                                          <w:marLeft w:val="567"/>
                                                                                                                                                                          <w:marRight w:val="0"/>
                                                                                                                                                                          <w:marTop w:val="0"/>
                                                                                                                                                                          <w:marBottom w:val="0"/>
                                                                                                                                                                          <w:divBdr>
                                                                                                                                                                            <w:top w:val="none" w:sz="0" w:space="0" w:color="auto"/>
                                                                                                                                                                            <w:left w:val="none" w:sz="0" w:space="0" w:color="auto"/>
                                                                                                                                                                            <w:bottom w:val="none" w:sz="0" w:space="0" w:color="auto"/>
                                                                                                                                                                            <w:right w:val="none" w:sz="0" w:space="0" w:color="auto"/>
                                                                                                                                                                          </w:divBdr>
                                                                                                                                                                        </w:div>
                                                                                                                                                                        <w:div w:id="439033549">
                                                                                                                                                                          <w:marLeft w:val="567"/>
                                                                                                                                                                          <w:marRight w:val="0"/>
                                                                                                                                                                          <w:marTop w:val="0"/>
                                                                                                                                                                          <w:marBottom w:val="0"/>
                                                                                                                                                                          <w:divBdr>
                                                                                                                                                                            <w:top w:val="none" w:sz="0" w:space="0" w:color="auto"/>
                                                                                                                                                                            <w:left w:val="none" w:sz="0" w:space="0" w:color="auto"/>
                                                                                                                                                                            <w:bottom w:val="none" w:sz="0" w:space="0" w:color="auto"/>
                                                                                                                                                                            <w:right w:val="none" w:sz="0" w:space="0" w:color="auto"/>
                                                                                                                                                                          </w:divBdr>
                                                                                                                                                                        </w:div>
                                                                                                                                                                        <w:div w:id="486166411">
                                                                                                                                                                          <w:marLeft w:val="720"/>
                                                                                                                                                                          <w:marRight w:val="0"/>
                                                                                                                                                                          <w:marTop w:val="0"/>
                                                                                                                                                                          <w:marBottom w:val="0"/>
                                                                                                                                                                          <w:divBdr>
                                                                                                                                                                            <w:top w:val="none" w:sz="0" w:space="0" w:color="auto"/>
                                                                                                                                                                            <w:left w:val="none" w:sz="0" w:space="0" w:color="auto"/>
                                                                                                                                                                            <w:bottom w:val="none" w:sz="0" w:space="0" w:color="auto"/>
                                                                                                                                                                            <w:right w:val="none" w:sz="0" w:space="0" w:color="auto"/>
                                                                                                                                                                          </w:divBdr>
                                                                                                                                                                        </w:div>
                                                                                                                                                                        <w:div w:id="576475855">
                                                                                                                                                                          <w:marLeft w:val="567"/>
                                                                                                                                                                          <w:marRight w:val="0"/>
                                                                                                                                                                          <w:marTop w:val="0"/>
                                                                                                                                                                          <w:marBottom w:val="0"/>
                                                                                                                                                                          <w:divBdr>
                                                                                                                                                                            <w:top w:val="none" w:sz="0" w:space="0" w:color="auto"/>
                                                                                                                                                                            <w:left w:val="none" w:sz="0" w:space="0" w:color="auto"/>
                                                                                                                                                                            <w:bottom w:val="none" w:sz="0" w:space="0" w:color="auto"/>
                                                                                                                                                                            <w:right w:val="none" w:sz="0" w:space="0" w:color="auto"/>
                                                                                                                                                                          </w:divBdr>
                                                                                                                                                                        </w:div>
                                                                                                                                                                        <w:div w:id="613750131">
                                                                                                                                                                          <w:marLeft w:val="567"/>
                                                                                                                                                                          <w:marRight w:val="0"/>
                                                                                                                                                                          <w:marTop w:val="0"/>
                                                                                                                                                                          <w:marBottom w:val="0"/>
                                                                                                                                                                          <w:divBdr>
                                                                                                                                                                            <w:top w:val="none" w:sz="0" w:space="0" w:color="auto"/>
                                                                                                                                                                            <w:left w:val="none" w:sz="0" w:space="0" w:color="auto"/>
                                                                                                                                                                            <w:bottom w:val="none" w:sz="0" w:space="0" w:color="auto"/>
                                                                                                                                                                            <w:right w:val="none" w:sz="0" w:space="0" w:color="auto"/>
                                                                                                                                                                          </w:divBdr>
                                                                                                                                                                        </w:div>
                                                                                                                                                                        <w:div w:id="831531223">
                                                                                                                                                                          <w:marLeft w:val="720"/>
                                                                                                                                                                          <w:marRight w:val="0"/>
                                                                                                                                                                          <w:marTop w:val="0"/>
                                                                                                                                                                          <w:marBottom w:val="0"/>
                                                                                                                                                                          <w:divBdr>
                                                                                                                                                                            <w:top w:val="none" w:sz="0" w:space="0" w:color="auto"/>
                                                                                                                                                                            <w:left w:val="none" w:sz="0" w:space="0" w:color="auto"/>
                                                                                                                                                                            <w:bottom w:val="none" w:sz="0" w:space="0" w:color="auto"/>
                                                                                                                                                                            <w:right w:val="none" w:sz="0" w:space="0" w:color="auto"/>
                                                                                                                                                                          </w:divBdr>
                                                                                                                                                                        </w:div>
                                                                                                                                                                        <w:div w:id="1091469180">
                                                                                                                                                                          <w:marLeft w:val="0"/>
                                                                                                                                                                          <w:marRight w:val="0"/>
                                                                                                                                                                          <w:marTop w:val="0"/>
                                                                                                                                                                          <w:marBottom w:val="0"/>
                                                                                                                                                                          <w:divBdr>
                                                                                                                                                                            <w:top w:val="none" w:sz="0" w:space="0" w:color="auto"/>
                                                                                                                                                                            <w:left w:val="none" w:sz="0" w:space="0" w:color="auto"/>
                                                                                                                                                                            <w:bottom w:val="none" w:sz="0" w:space="0" w:color="auto"/>
                                                                                                                                                                            <w:right w:val="none" w:sz="0" w:space="0" w:color="auto"/>
                                                                                                                                                                          </w:divBdr>
                                                                                                                                                                        </w:div>
                                                                                                                                                                        <w:div w:id="1110932392">
                                                                                                                                                                          <w:marLeft w:val="567"/>
                                                                                                                                                                          <w:marRight w:val="0"/>
                                                                                                                                                                          <w:marTop w:val="0"/>
                                                                                                                                                                          <w:marBottom w:val="0"/>
                                                                                                                                                                          <w:divBdr>
                                                                                                                                                                            <w:top w:val="none" w:sz="0" w:space="0" w:color="auto"/>
                                                                                                                                                                            <w:left w:val="none" w:sz="0" w:space="0" w:color="auto"/>
                                                                                                                                                                            <w:bottom w:val="none" w:sz="0" w:space="0" w:color="auto"/>
                                                                                                                                                                            <w:right w:val="none" w:sz="0" w:space="0" w:color="auto"/>
                                                                                                                                                                          </w:divBdr>
                                                                                                                                                                        </w:div>
                                                                                                                                                                        <w:div w:id="1294947871">
                                                                                                                                                                          <w:marLeft w:val="567"/>
                                                                                                                                                                          <w:marRight w:val="0"/>
                                                                                                                                                                          <w:marTop w:val="0"/>
                                                                                                                                                                          <w:marBottom w:val="0"/>
                                                                                                                                                                          <w:divBdr>
                                                                                                                                                                            <w:top w:val="none" w:sz="0" w:space="0" w:color="auto"/>
                                                                                                                                                                            <w:left w:val="none" w:sz="0" w:space="0" w:color="auto"/>
                                                                                                                                                                            <w:bottom w:val="none" w:sz="0" w:space="0" w:color="auto"/>
                                                                                                                                                                            <w:right w:val="none" w:sz="0" w:space="0" w:color="auto"/>
                                                                                                                                                                          </w:divBdr>
                                                                                                                                                                        </w:div>
                                                                                                                                                                        <w:div w:id="1621839111">
                                                                                                                                                                          <w:marLeft w:val="0"/>
                                                                                                                                                                          <w:marRight w:val="0"/>
                                                                                                                                                                          <w:marTop w:val="0"/>
                                                                                                                                                                          <w:marBottom w:val="0"/>
                                                                                                                                                                          <w:divBdr>
                                                                                                                                                                            <w:top w:val="none" w:sz="0" w:space="0" w:color="auto"/>
                                                                                                                                                                            <w:left w:val="none" w:sz="0" w:space="0" w:color="auto"/>
                                                                                                                                                                            <w:bottom w:val="none" w:sz="0" w:space="0" w:color="auto"/>
                                                                                                                                                                            <w:right w:val="none" w:sz="0" w:space="0" w:color="auto"/>
                                                                                                                                                                          </w:divBdr>
                                                                                                                                                                        </w:div>
                                                                                                                                                                        <w:div w:id="1644701322">
                                                                                                                                                                          <w:marLeft w:val="0"/>
                                                                                                                                                                          <w:marRight w:val="0"/>
                                                                                                                                                                          <w:marTop w:val="0"/>
                                                                                                                                                                          <w:marBottom w:val="0"/>
                                                                                                                                                                          <w:divBdr>
                                                                                                                                                                            <w:top w:val="none" w:sz="0" w:space="0" w:color="auto"/>
                                                                                                                                                                            <w:left w:val="none" w:sz="0" w:space="0" w:color="auto"/>
                                                                                                                                                                            <w:bottom w:val="none" w:sz="0" w:space="0" w:color="auto"/>
                                                                                                                                                                            <w:right w:val="none" w:sz="0" w:space="0" w:color="auto"/>
                                                                                                                                                                          </w:divBdr>
                                                                                                                                                                        </w:div>
                                                                                                                                                                        <w:div w:id="1844513028">
                                                                                                                                                                          <w:marLeft w:val="567"/>
                                                                                                                                                                          <w:marRight w:val="0"/>
                                                                                                                                                                          <w:marTop w:val="0"/>
                                                                                                                                                                          <w:marBottom w:val="0"/>
                                                                                                                                                                          <w:divBdr>
                                                                                                                                                                            <w:top w:val="none" w:sz="0" w:space="0" w:color="auto"/>
                                                                                                                                                                            <w:left w:val="none" w:sz="0" w:space="0" w:color="auto"/>
                                                                                                                                                                            <w:bottom w:val="none" w:sz="0" w:space="0" w:color="auto"/>
                                                                                                                                                                            <w:right w:val="none" w:sz="0" w:space="0" w:color="auto"/>
                                                                                                                                                                          </w:divBdr>
                                                                                                                                                                        </w:div>
                                                                                                                                                                        <w:div w:id="1897737359">
                                                                                                                                                                          <w:marLeft w:val="567"/>
                                                                                                                                                                          <w:marRight w:val="0"/>
                                                                                                                                                                          <w:marTop w:val="0"/>
                                                                                                                                                                          <w:marBottom w:val="0"/>
                                                                                                                                                                          <w:divBdr>
                                                                                                                                                                            <w:top w:val="none" w:sz="0" w:space="0" w:color="auto"/>
                                                                                                                                                                            <w:left w:val="none" w:sz="0" w:space="0" w:color="auto"/>
                                                                                                                                                                            <w:bottom w:val="none" w:sz="0" w:space="0" w:color="auto"/>
                                                                                                                                                                            <w:right w:val="none" w:sz="0" w:space="0" w:color="auto"/>
                                                                                                                                                                          </w:divBdr>
                                                                                                                                                                        </w:div>
                                                                                                                                                                        <w:div w:id="2060129783">
                                                                                                                                                                          <w:marLeft w:val="567"/>
                                                                                                                                                                          <w:marRight w:val="0"/>
                                                                                                                                                                          <w:marTop w:val="0"/>
                                                                                                                                                                          <w:marBottom w:val="0"/>
                                                                                                                                                                          <w:divBdr>
                                                                                                                                                                            <w:top w:val="none" w:sz="0" w:space="0" w:color="auto"/>
                                                                                                                                                                            <w:left w:val="none" w:sz="0" w:space="0" w:color="auto"/>
                                                                                                                                                                            <w:bottom w:val="none" w:sz="0" w:space="0" w:color="auto"/>
                                                                                                                                                                            <w:right w:val="none" w:sz="0" w:space="0" w:color="auto"/>
                                                                                                                                                                          </w:divBdr>
                                                                                                                                                                        </w:div>
                                                                                                                                                                        <w:div w:id="213517575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993058">
      <w:bodyDiv w:val="1"/>
      <w:marLeft w:val="0"/>
      <w:marRight w:val="0"/>
      <w:marTop w:val="0"/>
      <w:marBottom w:val="0"/>
      <w:divBdr>
        <w:top w:val="none" w:sz="0" w:space="0" w:color="auto"/>
        <w:left w:val="none" w:sz="0" w:space="0" w:color="auto"/>
        <w:bottom w:val="none" w:sz="0" w:space="0" w:color="auto"/>
        <w:right w:val="none" w:sz="0" w:space="0" w:color="auto"/>
      </w:divBdr>
    </w:div>
    <w:div w:id="1958027150">
      <w:bodyDiv w:val="1"/>
      <w:marLeft w:val="0"/>
      <w:marRight w:val="0"/>
      <w:marTop w:val="0"/>
      <w:marBottom w:val="0"/>
      <w:divBdr>
        <w:top w:val="none" w:sz="0" w:space="0" w:color="auto"/>
        <w:left w:val="none" w:sz="0" w:space="0" w:color="auto"/>
        <w:bottom w:val="none" w:sz="0" w:space="0" w:color="auto"/>
        <w:right w:val="none" w:sz="0" w:space="0" w:color="auto"/>
      </w:divBdr>
    </w:div>
    <w:div w:id="20035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216C0-0436-41B8-B1EB-372EEB06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16</Pages>
  <Words>6794</Words>
  <Characters>37373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2013-03-22T16:24:00Z</cp:lastPrinted>
  <dcterms:created xsi:type="dcterms:W3CDTF">2013-05-06T15:05:00Z</dcterms:created>
  <dcterms:modified xsi:type="dcterms:W3CDTF">2013-05-06T15:05:00Z</dcterms:modified>
</cp:coreProperties>
</file>