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0D1BD7" w:rsidP="000A0E2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29687943" r:id="rId12"/>
        </w:object>
      </w:r>
    </w:p>
    <w:p w14:paraId="05D4A61F" w14:textId="77777777" w:rsidR="00CA77FB" w:rsidRPr="00E060BE" w:rsidRDefault="00CA77FB" w:rsidP="000A0E2C">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0A0E2C">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A0E2C">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58AD5DA4" w14:textId="105B66A5" w:rsidR="00CA77FB" w:rsidRPr="00576927" w:rsidRDefault="00E44E72" w:rsidP="00576927">
      <w:pPr>
        <w:pStyle w:val="Ttulo3"/>
        <w:tabs>
          <w:tab w:val="left" w:pos="0"/>
          <w:tab w:val="right" w:pos="9356"/>
        </w:tabs>
        <w:ind w:left="0"/>
        <w:rPr>
          <w:rFonts w:ascii="Bookman Old Style" w:hAnsi="Bookman Old Style" w:cs="Arial"/>
          <w:spacing w:val="20"/>
          <w:szCs w:val="24"/>
        </w:rPr>
      </w:pPr>
      <w:r w:rsidRPr="00576927">
        <w:rPr>
          <w:rFonts w:ascii="Bookman Old Style" w:hAnsi="Bookman Old Style" w:cs="Arial"/>
          <w:spacing w:val="20"/>
          <w:szCs w:val="24"/>
        </w:rPr>
        <w:t xml:space="preserve">PROYECTO DER </w:t>
      </w:r>
      <w:r w:rsidR="00CA77FB" w:rsidRPr="00576927">
        <w:rPr>
          <w:rFonts w:ascii="Bookman Old Style" w:hAnsi="Bookman Old Style" w:cs="Arial"/>
          <w:spacing w:val="20"/>
          <w:szCs w:val="24"/>
        </w:rPr>
        <w:t>RESOLUCIÓN N</w:t>
      </w:r>
      <w:r w:rsidR="00591856" w:rsidRPr="00576927">
        <w:rPr>
          <w:rFonts w:ascii="Bookman Old Style" w:hAnsi="Bookman Old Style" w:cs="Arial"/>
          <w:spacing w:val="20"/>
          <w:szCs w:val="24"/>
        </w:rPr>
        <w:t xml:space="preserve">° </w:t>
      </w:r>
      <w:r w:rsidR="00727915" w:rsidRPr="000D1BD7">
        <w:rPr>
          <w:rFonts w:ascii="Bookman Old Style" w:hAnsi="Bookman Old Style" w:cs="Arial"/>
          <w:spacing w:val="20"/>
          <w:sz w:val="32"/>
          <w:szCs w:val="32"/>
        </w:rPr>
        <w:t xml:space="preserve">705 </w:t>
      </w:r>
      <w:r w:rsidR="00232159" w:rsidRPr="000D1BD7">
        <w:rPr>
          <w:rFonts w:ascii="Bookman Old Style" w:hAnsi="Bookman Old Style" w:cs="Arial"/>
          <w:spacing w:val="20"/>
          <w:sz w:val="32"/>
          <w:szCs w:val="32"/>
        </w:rPr>
        <w:t>0</w:t>
      </w:r>
      <w:r w:rsidR="001D0CCC" w:rsidRPr="000D1BD7">
        <w:rPr>
          <w:rFonts w:ascii="Bookman Old Style" w:hAnsi="Bookman Old Style" w:cs="Arial"/>
          <w:spacing w:val="20"/>
          <w:sz w:val="32"/>
          <w:szCs w:val="32"/>
        </w:rPr>
        <w:t>0</w:t>
      </w:r>
      <w:r w:rsidR="00232159" w:rsidRPr="000D1BD7">
        <w:rPr>
          <w:rFonts w:ascii="Bookman Old Style" w:hAnsi="Bookman Old Style" w:cs="Arial"/>
          <w:spacing w:val="20"/>
          <w:sz w:val="32"/>
          <w:szCs w:val="32"/>
        </w:rPr>
        <w:t>4</w:t>
      </w:r>
      <w:r w:rsidR="00093AE3" w:rsidRPr="00576927">
        <w:rPr>
          <w:rFonts w:ascii="Bookman Old Style" w:hAnsi="Bookman Old Style" w:cs="Arial"/>
          <w:spacing w:val="20"/>
          <w:szCs w:val="24"/>
        </w:rPr>
        <w:t xml:space="preserve"> </w:t>
      </w:r>
      <w:r w:rsidR="00CA77FB" w:rsidRPr="00576927">
        <w:rPr>
          <w:rFonts w:ascii="Bookman Old Style" w:hAnsi="Bookman Old Style" w:cs="Arial"/>
          <w:spacing w:val="20"/>
          <w:szCs w:val="24"/>
        </w:rPr>
        <w:t>DE 20</w:t>
      </w:r>
      <w:r w:rsidR="00591856" w:rsidRPr="00576927">
        <w:rPr>
          <w:rFonts w:ascii="Bookman Old Style" w:hAnsi="Bookman Old Style" w:cs="Arial"/>
          <w:spacing w:val="20"/>
          <w:szCs w:val="24"/>
        </w:rPr>
        <w:t>22</w:t>
      </w:r>
    </w:p>
    <w:p w14:paraId="0DEE40C3" w14:textId="77777777" w:rsidR="00CA77FB" w:rsidRPr="00E060BE" w:rsidRDefault="00CA77FB" w:rsidP="000A0E2C">
      <w:pPr>
        <w:tabs>
          <w:tab w:val="left" w:pos="0"/>
          <w:tab w:val="right" w:pos="9356"/>
        </w:tabs>
        <w:ind w:left="0"/>
        <w:jc w:val="center"/>
        <w:rPr>
          <w:rFonts w:ascii="Bookman Old Style" w:hAnsi="Bookman Old Style" w:cs="Arial"/>
          <w:b/>
          <w:snapToGrid w:val="0"/>
          <w:color w:val="000000"/>
          <w:lang w:val="es-ES_tradnl"/>
        </w:rPr>
      </w:pPr>
    </w:p>
    <w:p w14:paraId="083726B3" w14:textId="4E4BEB55" w:rsidR="00CA77FB" w:rsidRPr="00E060BE" w:rsidRDefault="00CA77FB" w:rsidP="000A0E2C">
      <w:pPr>
        <w:pStyle w:val="Ttulo3"/>
        <w:tabs>
          <w:tab w:val="left" w:pos="0"/>
          <w:tab w:val="right" w:pos="9356"/>
        </w:tabs>
        <w:ind w:left="0"/>
        <w:rPr>
          <w:rFonts w:ascii="Bookman Old Style" w:hAnsi="Bookman Old Style"/>
          <w:b w:val="0"/>
          <w:szCs w:val="24"/>
        </w:rPr>
      </w:pPr>
      <w:proofErr w:type="gramStart"/>
      <w:r w:rsidRPr="001E4A38">
        <w:rPr>
          <w:rFonts w:ascii="Bookman Old Style" w:hAnsi="Bookman Old Style"/>
          <w:b w:val="0"/>
          <w:sz w:val="32"/>
          <w:szCs w:val="32"/>
        </w:rPr>
        <w:t>(</w:t>
      </w:r>
      <w:r w:rsidR="00576927">
        <w:rPr>
          <w:rFonts w:ascii="Bookman Old Style" w:hAnsi="Bookman Old Style"/>
          <w:b w:val="0"/>
          <w:sz w:val="32"/>
          <w:szCs w:val="32"/>
        </w:rPr>
        <w:t xml:space="preserve"> </w:t>
      </w:r>
      <w:r w:rsidR="004F648A" w:rsidRPr="000D1BD7">
        <w:rPr>
          <w:rFonts w:ascii="Bookman Old Style" w:hAnsi="Bookman Old Style"/>
          <w:bCs/>
          <w:sz w:val="32"/>
          <w:szCs w:val="32"/>
        </w:rPr>
        <w:t>9</w:t>
      </w:r>
      <w:proofErr w:type="gramEnd"/>
      <w:r w:rsidR="00093AE3" w:rsidRPr="000D1BD7">
        <w:rPr>
          <w:rFonts w:ascii="Bookman Old Style" w:hAnsi="Bookman Old Style"/>
          <w:bCs/>
          <w:sz w:val="32"/>
          <w:szCs w:val="32"/>
        </w:rPr>
        <w:t xml:space="preserve"> </w:t>
      </w:r>
      <w:r w:rsidR="00E44E72" w:rsidRPr="000D1BD7">
        <w:rPr>
          <w:rFonts w:ascii="Bookman Old Style" w:hAnsi="Bookman Old Style"/>
          <w:bCs/>
          <w:sz w:val="32"/>
          <w:szCs w:val="32"/>
        </w:rPr>
        <w:t>NOV</w:t>
      </w:r>
      <w:r w:rsidR="00591856" w:rsidRPr="000D1BD7">
        <w:rPr>
          <w:rFonts w:ascii="Bookman Old Style" w:hAnsi="Bookman Old Style"/>
          <w:bCs/>
          <w:sz w:val="32"/>
          <w:szCs w:val="32"/>
        </w:rPr>
        <w:t>. 2022</w:t>
      </w:r>
      <w:r w:rsidRPr="00E060BE">
        <w:rPr>
          <w:rFonts w:ascii="Bookman Old Style" w:hAnsi="Bookman Old Style"/>
          <w:b w:val="0"/>
          <w:szCs w:val="24"/>
        </w:rPr>
        <w:t xml:space="preserve">  )</w:t>
      </w:r>
    </w:p>
    <w:p w14:paraId="46D45ACC" w14:textId="2B9ED7FA" w:rsidR="00CA77FB" w:rsidRDefault="00CA77FB" w:rsidP="000A0E2C">
      <w:pPr>
        <w:tabs>
          <w:tab w:val="left" w:pos="0"/>
          <w:tab w:val="right" w:pos="9356"/>
        </w:tabs>
        <w:ind w:left="0"/>
        <w:jc w:val="center"/>
        <w:rPr>
          <w:rFonts w:ascii="Bookman Old Style" w:hAnsi="Bookman Old Style"/>
          <w:lang w:val="es-ES_tradnl"/>
        </w:rPr>
      </w:pPr>
    </w:p>
    <w:p w14:paraId="0AEB051C" w14:textId="77777777" w:rsidR="001E4A38" w:rsidRDefault="001E4A38" w:rsidP="000A0E2C">
      <w:pPr>
        <w:ind w:left="0"/>
        <w:jc w:val="center"/>
        <w:rPr>
          <w:rFonts w:ascii="Bookman Old Style" w:hAnsi="Bookman Old Style"/>
        </w:rPr>
      </w:pPr>
    </w:p>
    <w:p w14:paraId="77C87D2B" w14:textId="08650A24" w:rsidR="002D54FD" w:rsidRPr="00D924C4" w:rsidRDefault="002D54FD" w:rsidP="00D924C4">
      <w:pPr>
        <w:ind w:left="0"/>
        <w:jc w:val="both"/>
        <w:rPr>
          <w:rFonts w:ascii="Bookman Old Style" w:hAnsi="Bookman Old Style"/>
        </w:rPr>
      </w:pPr>
      <w:r w:rsidRPr="00D924C4">
        <w:rPr>
          <w:rFonts w:ascii="Bookman Old Style" w:hAnsi="Bookman Old Style"/>
        </w:rPr>
        <w:t>La Comisión de Regulación de Energía y Gas, en su sesión No.</w:t>
      </w:r>
      <w:r w:rsidR="00F061B1">
        <w:rPr>
          <w:rFonts w:ascii="Bookman Old Style" w:hAnsi="Bookman Old Style"/>
        </w:rPr>
        <w:t xml:space="preserve"> </w:t>
      </w:r>
      <w:r w:rsidR="004F648A">
        <w:rPr>
          <w:rFonts w:ascii="Bookman Old Style" w:hAnsi="Bookman Old Style"/>
        </w:rPr>
        <w:t>1208</w:t>
      </w:r>
      <w:r w:rsidRPr="00D924C4">
        <w:rPr>
          <w:rFonts w:ascii="Bookman Old Style" w:hAnsi="Bookman Old Style"/>
        </w:rPr>
        <w:t xml:space="preserve"> del </w:t>
      </w:r>
      <w:r w:rsidR="004F648A">
        <w:rPr>
          <w:rFonts w:ascii="Bookman Old Style" w:hAnsi="Bookman Old Style"/>
        </w:rPr>
        <w:t>9</w:t>
      </w:r>
      <w:r w:rsidRPr="00D924C4">
        <w:rPr>
          <w:rFonts w:ascii="Bookman Old Style" w:hAnsi="Bookman Old Style"/>
        </w:rPr>
        <w:t xml:space="preserve"> de noviembre de 2022, aprobó someter a consulta pública el presente proyecto de resolución por el término de diez (10) días hábiles, contados a partir del día siguiente a su publicación en el portal web de la CREG.</w:t>
      </w:r>
    </w:p>
    <w:p w14:paraId="6176CA56" w14:textId="77777777" w:rsidR="002D54FD" w:rsidRPr="00D924C4" w:rsidRDefault="002D54FD" w:rsidP="00D924C4">
      <w:pPr>
        <w:ind w:left="0"/>
        <w:jc w:val="both"/>
        <w:rPr>
          <w:rFonts w:ascii="Bookman Old Style" w:hAnsi="Bookman Old Style"/>
        </w:rPr>
      </w:pPr>
    </w:p>
    <w:p w14:paraId="30731567" w14:textId="506F878F" w:rsidR="00C034CB" w:rsidRPr="00D924C4" w:rsidRDefault="002D54FD" w:rsidP="00D924C4">
      <w:pPr>
        <w:ind w:left="0"/>
        <w:jc w:val="both"/>
        <w:rPr>
          <w:rFonts w:ascii="Bookman Old Style" w:hAnsi="Bookman Old Style"/>
        </w:rPr>
      </w:pPr>
      <w:r w:rsidRPr="00D924C4">
        <w:rPr>
          <w:rFonts w:ascii="Bookman Old Style" w:hAnsi="Bookman Old Style"/>
        </w:rPr>
        <w:t xml:space="preserve">Se invita a los prestadores de los servicios públicos </w:t>
      </w:r>
      <w:r w:rsidR="00670D02" w:rsidRPr="00D924C4">
        <w:rPr>
          <w:rFonts w:ascii="Bookman Old Style" w:hAnsi="Bookman Old Style"/>
        </w:rPr>
        <w:t>domiciliarios</w:t>
      </w:r>
      <w:r w:rsidRPr="00D924C4">
        <w:rPr>
          <w:rFonts w:ascii="Bookman Old Style" w:hAnsi="Bookman Old Style"/>
        </w:rPr>
        <w:t xml:space="preserve"> suje</w:t>
      </w:r>
      <w:r w:rsidR="00670D02" w:rsidRPr="00D924C4">
        <w:rPr>
          <w:rFonts w:ascii="Bookman Old Style" w:hAnsi="Bookman Old Style"/>
        </w:rPr>
        <w:t>tos a la regulación de la CREG y</w:t>
      </w:r>
      <w:r w:rsidRPr="00D924C4">
        <w:rPr>
          <w:rFonts w:ascii="Bookman Old Style" w:hAnsi="Bookman Old Style"/>
        </w:rPr>
        <w:t xml:space="preserve"> a los demás interesados, para que remitan sus observaciones o sugerencias sobre la propuesta</w:t>
      </w:r>
      <w:r w:rsidR="003E3FB3" w:rsidRPr="00D924C4">
        <w:rPr>
          <w:rFonts w:ascii="Bookman Old Style" w:hAnsi="Bookman Old Style"/>
        </w:rPr>
        <w:t xml:space="preserve"> </w:t>
      </w:r>
      <w:r w:rsidRPr="00D924C4">
        <w:rPr>
          <w:rFonts w:ascii="Bookman Old Style" w:hAnsi="Bookman Old Style"/>
        </w:rPr>
        <w:t xml:space="preserve">al </w:t>
      </w:r>
      <w:r w:rsidR="00D924C4" w:rsidRPr="00D924C4">
        <w:rPr>
          <w:rFonts w:ascii="Bookman Old Style" w:hAnsi="Bookman Old Style"/>
        </w:rPr>
        <w:t>director ejecutivo</w:t>
      </w:r>
      <w:r w:rsidRPr="00D924C4">
        <w:rPr>
          <w:rFonts w:ascii="Bookman Old Style" w:hAnsi="Bookman Old Style"/>
        </w:rPr>
        <w:t xml:space="preserve"> de la Comisión de Regulación de Energía y Gas, al correo electrónico </w:t>
      </w:r>
      <w:r w:rsidRPr="00D924C4">
        <w:rPr>
          <w:rFonts w:ascii="Bookman Old Style" w:hAnsi="Bookman Old Style"/>
          <w:b/>
          <w:bCs/>
        </w:rPr>
        <w:t>creg@creg.gov.co</w:t>
      </w:r>
      <w:r w:rsidRPr="00D924C4">
        <w:rPr>
          <w:rFonts w:ascii="Bookman Old Style" w:hAnsi="Bookman Old Style"/>
        </w:rPr>
        <w:t xml:space="preserve">, </w:t>
      </w:r>
      <w:r w:rsidR="00DE3380" w:rsidRPr="00D924C4">
        <w:rPr>
          <w:rFonts w:ascii="Bookman Old Style" w:hAnsi="Bookman Old Style"/>
        </w:rPr>
        <w:t xml:space="preserve">dentro del plazo establecido, </w:t>
      </w:r>
      <w:r w:rsidRPr="00D924C4">
        <w:rPr>
          <w:rFonts w:ascii="Bookman Old Style" w:hAnsi="Bookman Old Style"/>
        </w:rPr>
        <w:t>identificando el mensaje con el siguiente asunto</w:t>
      </w:r>
      <w:r w:rsidR="00DE3380" w:rsidRPr="00D924C4">
        <w:rPr>
          <w:rFonts w:ascii="Bookman Old Style" w:hAnsi="Bookman Old Style"/>
        </w:rPr>
        <w:t>: Contribución especial 2022.</w:t>
      </w:r>
    </w:p>
    <w:p w14:paraId="7E40D64B" w14:textId="77777777" w:rsidR="002D54FD" w:rsidRDefault="002D54FD" w:rsidP="002D54FD">
      <w:pPr>
        <w:ind w:left="0"/>
        <w:rPr>
          <w:rFonts w:ascii="Bookman Old Style" w:hAnsi="Bookman Old Style"/>
          <w:bCs/>
          <w:color w:val="FF0000"/>
          <w:lang w:val="es-CO"/>
        </w:rPr>
      </w:pPr>
    </w:p>
    <w:p w14:paraId="51270DA2" w14:textId="5A5DC018" w:rsidR="00A72BBD" w:rsidRDefault="00FF601F" w:rsidP="001E4A38">
      <w:pPr>
        <w:ind w:left="0"/>
        <w:jc w:val="both"/>
        <w:rPr>
          <w:rFonts w:ascii="Bookman Old Style" w:hAnsi="Bookman Old Style"/>
        </w:rPr>
      </w:pPr>
      <w:r w:rsidRPr="00FF601F">
        <w:rPr>
          <w:rFonts w:ascii="Bookman Old Style" w:hAnsi="Bookman Old Style"/>
        </w:rPr>
        <w:t>Por la cual se señala el porcentaje de la contribución especial que deben pagar las personas prestadoras del servicio de energía eléctrica, gas natural y gas licuado de petróleo (GLP), sometidas a</w:t>
      </w:r>
      <w:r w:rsidR="00C74F02">
        <w:rPr>
          <w:rFonts w:ascii="Bookman Old Style" w:hAnsi="Bookman Old Style"/>
        </w:rPr>
        <w:t xml:space="preserve">l ámbito de </w:t>
      </w:r>
      <w:r w:rsidRPr="00FF601F">
        <w:rPr>
          <w:rFonts w:ascii="Bookman Old Style" w:hAnsi="Bookman Old Style"/>
        </w:rPr>
        <w:t>regulación de la Comisión de Regulación</w:t>
      </w:r>
      <w:r w:rsidR="0062044A">
        <w:rPr>
          <w:rFonts w:ascii="Bookman Old Style" w:hAnsi="Bookman Old Style"/>
        </w:rPr>
        <w:t xml:space="preserve"> de Energía y Gas en el año 2022</w:t>
      </w:r>
      <w:r w:rsidRPr="00FF601F">
        <w:rPr>
          <w:rFonts w:ascii="Bookman Old Style" w:hAnsi="Bookman Old Style"/>
        </w:rPr>
        <w:t xml:space="preserve"> y se dictan otras disposiciones</w:t>
      </w:r>
      <w:r w:rsidR="00C74F02">
        <w:rPr>
          <w:rFonts w:ascii="Bookman Old Style" w:hAnsi="Bookman Old Style"/>
        </w:rPr>
        <w:t>.</w:t>
      </w:r>
    </w:p>
    <w:p w14:paraId="430523DF" w14:textId="6F01CC9D" w:rsidR="000A0E2C" w:rsidRDefault="000A0E2C" w:rsidP="000A0E2C">
      <w:pPr>
        <w:ind w:left="0"/>
        <w:jc w:val="center"/>
        <w:rPr>
          <w:rFonts w:ascii="Bookman Old Style" w:hAnsi="Bookman Old Style"/>
        </w:rPr>
      </w:pPr>
    </w:p>
    <w:p w14:paraId="33139A06" w14:textId="77777777" w:rsidR="00B33435" w:rsidRPr="00A72BBD" w:rsidRDefault="00B33435" w:rsidP="000A0E2C">
      <w:pPr>
        <w:ind w:left="0"/>
        <w:jc w:val="center"/>
        <w:rPr>
          <w:rFonts w:ascii="Bookman Old Style" w:hAnsi="Bookman Old Style"/>
        </w:rPr>
      </w:pPr>
    </w:p>
    <w:p w14:paraId="6242E348" w14:textId="5F1A9B0C" w:rsidR="00A72BBD" w:rsidRDefault="00A72BBD" w:rsidP="000A0E2C">
      <w:pPr>
        <w:ind w:left="0"/>
        <w:jc w:val="center"/>
        <w:rPr>
          <w:rFonts w:ascii="Bookman Old Style" w:hAnsi="Bookman Old Style"/>
          <w:b/>
        </w:rPr>
      </w:pPr>
      <w:r w:rsidRPr="00A72BBD">
        <w:rPr>
          <w:rFonts w:ascii="Bookman Old Style" w:hAnsi="Bookman Old Style"/>
          <w:b/>
        </w:rPr>
        <w:t>LA COMISIÓN DE REGULACIÓN DE ENERGÍA Y GAS</w:t>
      </w:r>
    </w:p>
    <w:p w14:paraId="1ABB1412" w14:textId="5EDE28A3" w:rsidR="000A0E2C" w:rsidRDefault="000A0E2C" w:rsidP="000A0E2C">
      <w:pPr>
        <w:ind w:left="0"/>
        <w:jc w:val="center"/>
        <w:rPr>
          <w:rFonts w:ascii="Bookman Old Style" w:hAnsi="Bookman Old Style"/>
          <w:b/>
        </w:rPr>
      </w:pPr>
    </w:p>
    <w:p w14:paraId="69A63B02" w14:textId="2204A5E9" w:rsidR="00337053" w:rsidRDefault="00337053" w:rsidP="000A0E2C">
      <w:pPr>
        <w:ind w:left="0"/>
        <w:jc w:val="center"/>
        <w:rPr>
          <w:rFonts w:ascii="Bookman Old Style" w:hAnsi="Bookman Old Style"/>
        </w:rPr>
      </w:pPr>
      <w:r w:rsidRPr="00337053">
        <w:rPr>
          <w:rFonts w:ascii="Bookman Old Style" w:hAnsi="Bookman Old Style"/>
        </w:rPr>
        <w:t xml:space="preserve">En ejercicio de sus atribuciones constitucionales y legales, en especial las conferidas por </w:t>
      </w:r>
      <w:r w:rsidR="00533D9D">
        <w:rPr>
          <w:rFonts w:ascii="Bookman Old Style" w:hAnsi="Bookman Old Style"/>
        </w:rPr>
        <w:t>el artículo 85 de la Ley</w:t>
      </w:r>
      <w:r w:rsidRPr="00337053">
        <w:rPr>
          <w:rFonts w:ascii="Bookman Old Style" w:hAnsi="Bookman Old Style"/>
        </w:rPr>
        <w:t xml:space="preserve"> 142 </w:t>
      </w:r>
      <w:r w:rsidR="002E7996">
        <w:rPr>
          <w:rFonts w:ascii="Bookman Old Style" w:hAnsi="Bookman Old Style"/>
        </w:rPr>
        <w:t>de 1994</w:t>
      </w:r>
      <w:r w:rsidR="00622F7B">
        <w:rPr>
          <w:rFonts w:ascii="Bookman Old Style" w:hAnsi="Bookman Old Style"/>
        </w:rPr>
        <w:t xml:space="preserve"> y</w:t>
      </w:r>
      <w:r w:rsidR="002E7996">
        <w:rPr>
          <w:rFonts w:ascii="Bookman Old Style" w:hAnsi="Bookman Old Style"/>
        </w:rPr>
        <w:t xml:space="preserve"> el artículo 22 </w:t>
      </w:r>
      <w:r w:rsidR="00352D17">
        <w:rPr>
          <w:rFonts w:ascii="Bookman Old Style" w:hAnsi="Bookman Old Style"/>
        </w:rPr>
        <w:t>de la Ley</w:t>
      </w:r>
      <w:r w:rsidRPr="00337053">
        <w:rPr>
          <w:rFonts w:ascii="Bookman Old Style" w:hAnsi="Bookman Old Style"/>
        </w:rPr>
        <w:t xml:space="preserve"> 143 de 1994, </w:t>
      </w:r>
      <w:r w:rsidR="00475D73">
        <w:rPr>
          <w:rFonts w:ascii="Bookman Old Style" w:hAnsi="Bookman Old Style"/>
        </w:rPr>
        <w:t>y</w:t>
      </w:r>
    </w:p>
    <w:p w14:paraId="4221D6F4" w14:textId="12089CBE" w:rsidR="000A0E2C" w:rsidRDefault="000A0E2C" w:rsidP="000A0E2C">
      <w:pPr>
        <w:ind w:left="0"/>
        <w:jc w:val="center"/>
        <w:rPr>
          <w:rFonts w:ascii="Bookman Old Style" w:hAnsi="Bookman Old Style"/>
        </w:rPr>
      </w:pPr>
    </w:p>
    <w:p w14:paraId="6C4A5404" w14:textId="4D9BE377" w:rsidR="00045D3D" w:rsidRPr="000D1BD7" w:rsidRDefault="00045D3D" w:rsidP="000A0E2C">
      <w:pPr>
        <w:ind w:right="51"/>
        <w:jc w:val="center"/>
        <w:rPr>
          <w:rFonts w:ascii="Bookman Old Style" w:hAnsi="Bookman Old Style"/>
          <w:b/>
          <w:lang w:val="pt-PT"/>
        </w:rPr>
      </w:pPr>
      <w:r w:rsidRPr="000D1BD7">
        <w:rPr>
          <w:rFonts w:ascii="Bookman Old Style" w:hAnsi="Bookman Old Style"/>
          <w:b/>
          <w:lang w:val="pt-PT"/>
        </w:rPr>
        <w:t xml:space="preserve">C O N S I D E R A N D </w:t>
      </w:r>
      <w:r w:rsidR="00337053" w:rsidRPr="000D1BD7">
        <w:rPr>
          <w:rFonts w:ascii="Bookman Old Style" w:hAnsi="Bookman Old Style"/>
          <w:b/>
          <w:lang w:val="pt-PT"/>
        </w:rPr>
        <w:t>O   Q</w:t>
      </w:r>
      <w:r w:rsidRPr="000D1BD7">
        <w:rPr>
          <w:rFonts w:ascii="Bookman Old Style" w:hAnsi="Bookman Old Style"/>
          <w:b/>
          <w:lang w:val="pt-PT"/>
        </w:rPr>
        <w:t xml:space="preserve"> U E:</w:t>
      </w:r>
    </w:p>
    <w:p w14:paraId="70721881" w14:textId="15014671" w:rsidR="000A0E2C" w:rsidRPr="000D1BD7" w:rsidRDefault="000A0E2C" w:rsidP="000A0E2C">
      <w:pPr>
        <w:ind w:right="51"/>
        <w:rPr>
          <w:rFonts w:ascii="Bookman Old Style" w:hAnsi="Bookman Old Style"/>
          <w:b/>
          <w:lang w:val="pt-PT"/>
        </w:rPr>
      </w:pPr>
    </w:p>
    <w:p w14:paraId="073A6E36" w14:textId="291BF37F" w:rsidR="00FE744A" w:rsidRPr="00EC6CE6" w:rsidRDefault="000A7931" w:rsidP="00FE744A">
      <w:pPr>
        <w:ind w:left="0"/>
        <w:jc w:val="both"/>
        <w:rPr>
          <w:rFonts w:ascii="Bookman Old Style" w:hAnsi="Bookman Old Style" w:cs="Arial"/>
          <w:lang w:val="es-CO"/>
        </w:rPr>
      </w:pPr>
      <w:r>
        <w:rPr>
          <w:rFonts w:ascii="Bookman Old Style" w:hAnsi="Bookman Old Style" w:cs="Arial"/>
          <w:lang w:val="es-CO"/>
        </w:rPr>
        <w:t>E</w:t>
      </w:r>
      <w:r w:rsidR="00FE744A" w:rsidRPr="00FE744A">
        <w:rPr>
          <w:rFonts w:ascii="Bookman Old Style" w:hAnsi="Bookman Old Style" w:cs="Arial"/>
          <w:lang w:val="es-CO"/>
        </w:rPr>
        <w:t>l artículo 365 de la Constitución Política establece que los servicios públicos son inherentes</w:t>
      </w:r>
      <w:r w:rsidR="00FE744A">
        <w:rPr>
          <w:rFonts w:ascii="Bookman Old Style" w:hAnsi="Bookman Old Style" w:cs="Arial"/>
          <w:lang w:val="es-CO"/>
        </w:rPr>
        <w:t xml:space="preserve"> </w:t>
      </w:r>
      <w:r w:rsidR="00FE744A" w:rsidRPr="00FE744A">
        <w:rPr>
          <w:rFonts w:ascii="Bookman Old Style" w:hAnsi="Bookman Old Style" w:cs="Arial"/>
          <w:lang w:val="es-CO"/>
        </w:rPr>
        <w:t>a la finalidad social del Estado, quien debe garantizar su prestación eficiente a todos los habitantes</w:t>
      </w:r>
      <w:r w:rsidR="00FE744A">
        <w:rPr>
          <w:rFonts w:ascii="Bookman Old Style" w:hAnsi="Bookman Old Style" w:cs="Arial"/>
          <w:lang w:val="es-CO"/>
        </w:rPr>
        <w:t xml:space="preserve"> </w:t>
      </w:r>
      <w:r w:rsidR="00FE744A" w:rsidRPr="00FE744A">
        <w:rPr>
          <w:rFonts w:ascii="Bookman Old Style" w:hAnsi="Bookman Old Style" w:cs="Arial"/>
          <w:lang w:val="es-CO"/>
        </w:rPr>
        <w:t>del territorio nacional.</w:t>
      </w:r>
    </w:p>
    <w:p w14:paraId="785A8D54" w14:textId="77777777" w:rsidR="00EC6CE6" w:rsidRDefault="00EC6CE6" w:rsidP="000A0E2C">
      <w:pPr>
        <w:ind w:left="0"/>
        <w:jc w:val="both"/>
        <w:rPr>
          <w:rFonts w:ascii="Bookman Old Style" w:hAnsi="Bookman Old Style" w:cs="Arial"/>
          <w:lang w:val="es-CO"/>
        </w:rPr>
      </w:pPr>
    </w:p>
    <w:p w14:paraId="4ADE43B1" w14:textId="0108372B" w:rsidR="00EC6CE6" w:rsidRDefault="000A7931" w:rsidP="00EC6CE6">
      <w:pPr>
        <w:ind w:left="0"/>
        <w:jc w:val="both"/>
        <w:rPr>
          <w:rFonts w:ascii="Bookman Old Style" w:hAnsi="Bookman Old Style" w:cs="Arial"/>
          <w:lang w:val="es-CO"/>
        </w:rPr>
      </w:pPr>
      <w:r>
        <w:rPr>
          <w:rFonts w:ascii="Bookman Old Style" w:hAnsi="Bookman Old Style" w:cs="Arial"/>
          <w:lang w:val="es-CO"/>
        </w:rPr>
        <w:t>E</w:t>
      </w:r>
      <w:r w:rsidR="00EC6CE6" w:rsidRPr="00EC6CE6">
        <w:rPr>
          <w:rFonts w:ascii="Bookman Old Style" w:hAnsi="Bookman Old Style" w:cs="Arial"/>
          <w:lang w:val="es-CO"/>
        </w:rPr>
        <w:t>l artículo 370 ibidem, dispone que “</w:t>
      </w:r>
      <w:r w:rsidR="00EC6CE6" w:rsidRPr="00280F45">
        <w:rPr>
          <w:rFonts w:ascii="Bookman Old Style" w:hAnsi="Bookman Old Style" w:cs="Arial"/>
          <w:i/>
          <w:iCs/>
          <w:lang w:val="es-CO"/>
        </w:rPr>
        <w:t xml:space="preserve">Corresponde al </w:t>
      </w:r>
      <w:proofErr w:type="gramStart"/>
      <w:r w:rsidR="00EC6CE6" w:rsidRPr="00280F45">
        <w:rPr>
          <w:rFonts w:ascii="Bookman Old Style" w:hAnsi="Bookman Old Style" w:cs="Arial"/>
          <w:i/>
          <w:iCs/>
          <w:lang w:val="es-CO"/>
        </w:rPr>
        <w:t>Presidente</w:t>
      </w:r>
      <w:proofErr w:type="gramEnd"/>
      <w:r w:rsidR="00EC6CE6" w:rsidRPr="00280F45">
        <w:rPr>
          <w:rFonts w:ascii="Bookman Old Style" w:hAnsi="Bookman Old Style" w:cs="Arial"/>
          <w:i/>
          <w:iCs/>
          <w:lang w:val="es-CO"/>
        </w:rPr>
        <w:t xml:space="preserve"> de la República señalar, con sujeción a la ley, las políticas generales de administración y control de eficiencia de los servicios públicos domiciliarios y ejercer por medio de la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uperintendencia de </w:t>
      </w:r>
      <w:r w:rsidR="00947AA8" w:rsidRPr="00280F45">
        <w:rPr>
          <w:rFonts w:ascii="Bookman Old Style" w:hAnsi="Bookman Old Style" w:cs="Arial"/>
          <w:i/>
          <w:iCs/>
          <w:lang w:val="es-CO"/>
        </w:rPr>
        <w:t>S</w:t>
      </w:r>
      <w:r w:rsidR="00EC6CE6" w:rsidRPr="00280F45">
        <w:rPr>
          <w:rFonts w:ascii="Bookman Old Style" w:hAnsi="Bookman Old Style" w:cs="Arial"/>
          <w:i/>
          <w:iCs/>
          <w:lang w:val="es-CO"/>
        </w:rPr>
        <w:t xml:space="preserve">ervicios </w:t>
      </w:r>
      <w:r w:rsidR="00947AA8" w:rsidRPr="00280F45">
        <w:rPr>
          <w:rFonts w:ascii="Bookman Old Style" w:hAnsi="Bookman Old Style" w:cs="Arial"/>
          <w:i/>
          <w:iCs/>
          <w:lang w:val="es-CO"/>
        </w:rPr>
        <w:t>P</w:t>
      </w:r>
      <w:r w:rsidR="00EC6CE6" w:rsidRPr="00280F45">
        <w:rPr>
          <w:rFonts w:ascii="Bookman Old Style" w:hAnsi="Bookman Old Style" w:cs="Arial"/>
          <w:i/>
          <w:iCs/>
          <w:lang w:val="es-CO"/>
        </w:rPr>
        <w:t xml:space="preserve">úblicos </w:t>
      </w:r>
      <w:r w:rsidR="00947AA8" w:rsidRPr="00280F45">
        <w:rPr>
          <w:rFonts w:ascii="Bookman Old Style" w:hAnsi="Bookman Old Style" w:cs="Arial"/>
          <w:i/>
          <w:iCs/>
          <w:lang w:val="es-CO"/>
        </w:rPr>
        <w:t>D</w:t>
      </w:r>
      <w:r w:rsidR="00EC6CE6" w:rsidRPr="00280F45">
        <w:rPr>
          <w:rFonts w:ascii="Bookman Old Style" w:hAnsi="Bookman Old Style" w:cs="Arial"/>
          <w:i/>
          <w:iCs/>
          <w:lang w:val="es-CO"/>
        </w:rPr>
        <w:t>omiciliarios</w:t>
      </w:r>
      <w:r w:rsidR="00947AA8" w:rsidRPr="00280F45">
        <w:rPr>
          <w:rFonts w:ascii="Bookman Old Style" w:hAnsi="Bookman Old Style" w:cs="Arial"/>
          <w:i/>
          <w:iCs/>
          <w:lang w:val="es-CO"/>
        </w:rPr>
        <w:t xml:space="preserve"> (SSPD)</w:t>
      </w:r>
      <w:r w:rsidR="00EC6CE6" w:rsidRPr="00280F45">
        <w:rPr>
          <w:rFonts w:ascii="Bookman Old Style" w:hAnsi="Bookman Old Style" w:cs="Arial"/>
          <w:i/>
          <w:iCs/>
          <w:lang w:val="es-CO"/>
        </w:rPr>
        <w:t>, el control, la inspección y vigilancia de las entidades que los presten</w:t>
      </w:r>
      <w:r w:rsidR="00EC6CE6" w:rsidRPr="00EC6CE6">
        <w:rPr>
          <w:rFonts w:ascii="Bookman Old Style" w:hAnsi="Bookman Old Style" w:cs="Arial"/>
          <w:lang w:val="es-CO"/>
        </w:rPr>
        <w:t>”</w:t>
      </w:r>
      <w:r w:rsidR="00EC6CE6">
        <w:rPr>
          <w:rFonts w:ascii="Bookman Old Style" w:hAnsi="Bookman Old Style" w:cs="Arial"/>
          <w:lang w:val="es-CO"/>
        </w:rPr>
        <w:t>.</w:t>
      </w:r>
    </w:p>
    <w:p w14:paraId="33391010" w14:textId="2F2A0C6F" w:rsidR="00F91BDF" w:rsidRDefault="00F91BDF" w:rsidP="00EC6CE6">
      <w:pPr>
        <w:ind w:left="0"/>
        <w:jc w:val="both"/>
        <w:rPr>
          <w:rFonts w:ascii="Bookman Old Style" w:hAnsi="Bookman Old Style" w:cs="Arial"/>
          <w:lang w:val="es-CO"/>
        </w:rPr>
      </w:pPr>
    </w:p>
    <w:p w14:paraId="4C17E980" w14:textId="762C6B67" w:rsidR="00EF23EC" w:rsidRDefault="00EF23EC" w:rsidP="00EC6CE6">
      <w:pPr>
        <w:ind w:left="0"/>
        <w:jc w:val="both"/>
        <w:rPr>
          <w:rFonts w:ascii="Bookman Old Style" w:hAnsi="Bookman Old Style" w:cs="Arial"/>
          <w:lang w:val="es-CO"/>
        </w:rPr>
      </w:pPr>
      <w:r w:rsidRPr="00EF23EC">
        <w:rPr>
          <w:rFonts w:ascii="Bookman Old Style" w:hAnsi="Bookman Old Style" w:cs="Arial"/>
          <w:lang w:val="es-CO"/>
        </w:rPr>
        <w:t xml:space="preserve">El inciso 2 del artículo 338 de la Constitución Política de Colombia </w:t>
      </w:r>
      <w:r w:rsidR="00E24187">
        <w:rPr>
          <w:rFonts w:ascii="Bookman Old Style" w:hAnsi="Bookman Old Style" w:cs="Arial"/>
          <w:lang w:val="es-CO"/>
        </w:rPr>
        <w:t xml:space="preserve">dispone </w:t>
      </w:r>
      <w:r w:rsidRPr="00EF23EC">
        <w:rPr>
          <w:rFonts w:ascii="Bookman Old Style" w:hAnsi="Bookman Old Style" w:cs="Arial"/>
          <w:lang w:val="es-CO"/>
        </w:rPr>
        <w:t xml:space="preserve">que “… La ley, las ordenanzas y los acuerdos pueden permitir que las autoridades fijen la tarifa de las tasas y contribuciones que cobren a los contribuyentes, como recuperación de los costos de los servicios que les presten o participación en los </w:t>
      </w:r>
      <w:r w:rsidRPr="00EF23EC">
        <w:rPr>
          <w:rFonts w:ascii="Bookman Old Style" w:hAnsi="Bookman Old Style" w:cs="Arial"/>
          <w:lang w:val="es-CO"/>
        </w:rPr>
        <w:lastRenderedPageBreak/>
        <w:t>beneficios que les proporcionen; pero el sistema, y el método para definir tales costos y beneficios, y la forma de hacer su reparto, debe ser fijados por la ley, las ordenanzas o los acuerdos”.</w:t>
      </w:r>
    </w:p>
    <w:p w14:paraId="00593CEC" w14:textId="7A82DDCE" w:rsidR="00947AA8" w:rsidRDefault="00947AA8" w:rsidP="00EC6CE6">
      <w:pPr>
        <w:ind w:left="0"/>
        <w:jc w:val="both"/>
        <w:rPr>
          <w:rFonts w:ascii="Bookman Old Style" w:hAnsi="Bookman Old Style" w:cs="Arial"/>
          <w:lang w:val="es-CO"/>
        </w:rPr>
      </w:pPr>
    </w:p>
    <w:p w14:paraId="43A25A79" w14:textId="78005CAA" w:rsidR="00F54E01" w:rsidRDefault="000A7931" w:rsidP="000A0E2C">
      <w:pPr>
        <w:ind w:left="0"/>
        <w:jc w:val="both"/>
        <w:rPr>
          <w:rFonts w:ascii="Bookman Old Style" w:hAnsi="Bookman Old Style" w:cs="Arial"/>
          <w:lang w:val="es-CO"/>
        </w:rPr>
      </w:pPr>
      <w:r w:rsidRPr="000A7931">
        <w:rPr>
          <w:rFonts w:ascii="Bookman Old Style" w:hAnsi="Bookman Old Style" w:cs="Arial"/>
          <w:lang w:val="es-CO"/>
        </w:rPr>
        <w:t xml:space="preserve">Los artículos 85 de la Ley 142 de 1994 y el </w:t>
      </w:r>
      <w:r w:rsidR="00F249DB">
        <w:rPr>
          <w:rFonts w:ascii="Bookman Old Style" w:hAnsi="Bookman Old Style" w:cs="Arial"/>
          <w:lang w:val="es-CO"/>
        </w:rPr>
        <w:t>artículo 22 de la ley 143 de 1994</w:t>
      </w:r>
      <w:r w:rsidRPr="000A7931">
        <w:rPr>
          <w:rFonts w:ascii="Bookman Old Style" w:hAnsi="Bookman Old Style" w:cs="Arial"/>
          <w:lang w:val="es-CO"/>
        </w:rPr>
        <w:t xml:space="preserve">, facultan a la CREG para liquidar y cobrar anualmente una </w:t>
      </w:r>
      <w:r>
        <w:rPr>
          <w:rFonts w:ascii="Bookman Old Style" w:hAnsi="Bookman Old Style" w:cs="Arial"/>
          <w:lang w:val="es-CO"/>
        </w:rPr>
        <w:t>tasa parafiscal de c</w:t>
      </w:r>
      <w:r w:rsidRPr="000A7931">
        <w:rPr>
          <w:rFonts w:ascii="Bookman Old Style" w:hAnsi="Bookman Old Style" w:cs="Arial"/>
          <w:lang w:val="es-CO"/>
        </w:rPr>
        <w:t xml:space="preserve">ontribución </w:t>
      </w:r>
      <w:r>
        <w:rPr>
          <w:rFonts w:ascii="Bookman Old Style" w:hAnsi="Bookman Old Style" w:cs="Arial"/>
          <w:lang w:val="es-CO"/>
        </w:rPr>
        <w:t>e</w:t>
      </w:r>
      <w:r w:rsidRPr="000A7931">
        <w:rPr>
          <w:rFonts w:ascii="Bookman Old Style" w:hAnsi="Bookman Old Style" w:cs="Arial"/>
          <w:lang w:val="es-CO"/>
        </w:rPr>
        <w:t>special a l</w:t>
      </w:r>
      <w:r w:rsidR="00DE6C6F">
        <w:rPr>
          <w:rFonts w:ascii="Bookman Old Style" w:hAnsi="Bookman Old Style" w:cs="Arial"/>
          <w:lang w:val="es-CO"/>
        </w:rPr>
        <w:t xml:space="preserve">os prestadores </w:t>
      </w:r>
      <w:r>
        <w:rPr>
          <w:rFonts w:ascii="Bookman Old Style" w:hAnsi="Bookman Old Style" w:cs="Arial"/>
          <w:lang w:val="es-CO"/>
        </w:rPr>
        <w:t>de</w:t>
      </w:r>
      <w:r w:rsidR="00DE6C6F">
        <w:rPr>
          <w:rFonts w:ascii="Bookman Old Style" w:hAnsi="Bookman Old Style" w:cs="Arial"/>
          <w:lang w:val="es-CO"/>
        </w:rPr>
        <w:t xml:space="preserve"> los</w:t>
      </w:r>
      <w:r>
        <w:rPr>
          <w:rFonts w:ascii="Bookman Old Style" w:hAnsi="Bookman Old Style" w:cs="Arial"/>
          <w:lang w:val="es-CO"/>
        </w:rPr>
        <w:t xml:space="preserve"> servicio</w:t>
      </w:r>
      <w:r w:rsidR="00DE6C6F">
        <w:rPr>
          <w:rFonts w:ascii="Bookman Old Style" w:hAnsi="Bookman Old Style" w:cs="Arial"/>
          <w:lang w:val="es-CO"/>
        </w:rPr>
        <w:t>s</w:t>
      </w:r>
      <w:r>
        <w:rPr>
          <w:rFonts w:ascii="Bookman Old Style" w:hAnsi="Bookman Old Style" w:cs="Arial"/>
          <w:lang w:val="es-CO"/>
        </w:rPr>
        <w:t xml:space="preserve"> público</w:t>
      </w:r>
      <w:r w:rsidR="00DE6C6F">
        <w:rPr>
          <w:rFonts w:ascii="Bookman Old Style" w:hAnsi="Bookman Old Style" w:cs="Arial"/>
          <w:lang w:val="es-CO"/>
        </w:rPr>
        <w:t>s</w:t>
      </w:r>
      <w:r>
        <w:rPr>
          <w:rFonts w:ascii="Bookman Old Style" w:hAnsi="Bookman Old Style" w:cs="Arial"/>
          <w:lang w:val="es-CO"/>
        </w:rPr>
        <w:t xml:space="preserve"> domiciliarios</w:t>
      </w:r>
      <w:r w:rsidR="00DE6C6F">
        <w:rPr>
          <w:rFonts w:ascii="Bookman Old Style" w:hAnsi="Bookman Old Style" w:cs="Arial"/>
          <w:lang w:val="es-CO"/>
        </w:rPr>
        <w:t xml:space="preserve"> de energía eléctrica</w:t>
      </w:r>
      <w:r w:rsidR="00C70165">
        <w:rPr>
          <w:rFonts w:ascii="Bookman Old Style" w:hAnsi="Bookman Old Style" w:cs="Arial"/>
          <w:lang w:val="es-CO"/>
        </w:rPr>
        <w:t xml:space="preserve"> y gas combustible</w:t>
      </w:r>
      <w:r w:rsidR="00E60491">
        <w:rPr>
          <w:rFonts w:ascii="Bookman Old Style" w:hAnsi="Bookman Old Style" w:cs="Arial"/>
          <w:lang w:val="es-CO"/>
        </w:rPr>
        <w:t>,</w:t>
      </w:r>
      <w:r>
        <w:rPr>
          <w:rFonts w:ascii="Bookman Old Style" w:hAnsi="Bookman Old Style" w:cs="Arial"/>
          <w:lang w:val="es-CO"/>
        </w:rPr>
        <w:t xml:space="preserve"> </w:t>
      </w:r>
      <w:r w:rsidRPr="00947AA8">
        <w:rPr>
          <w:rFonts w:ascii="Bookman Old Style" w:hAnsi="Bookman Old Style" w:cs="Arial"/>
          <w:lang w:val="es-CO"/>
        </w:rPr>
        <w:t xml:space="preserve">y </w:t>
      </w:r>
      <w:r w:rsidR="00E60491">
        <w:rPr>
          <w:rFonts w:ascii="Bookman Old Style" w:hAnsi="Bookman Old Style" w:cs="Arial"/>
          <w:lang w:val="es-CO"/>
        </w:rPr>
        <w:t xml:space="preserve">a </w:t>
      </w:r>
      <w:r w:rsidRPr="00947AA8">
        <w:rPr>
          <w:rFonts w:ascii="Bookman Old Style" w:hAnsi="Bookman Old Style" w:cs="Arial"/>
          <w:lang w:val="es-CO"/>
        </w:rPr>
        <w:t>aquellas que en general realicen actividades complementarias</w:t>
      </w:r>
      <w:r>
        <w:rPr>
          <w:rFonts w:ascii="Bookman Old Style" w:hAnsi="Bookman Old Style" w:cs="Arial"/>
          <w:lang w:val="es-CO"/>
        </w:rPr>
        <w:t xml:space="preserve">, </w:t>
      </w:r>
      <w:r w:rsidRPr="000A7931">
        <w:rPr>
          <w:rFonts w:ascii="Bookman Old Style" w:hAnsi="Bookman Old Style" w:cs="Arial"/>
          <w:lang w:val="es-CO"/>
        </w:rPr>
        <w:t>sometidas a su ámbito de regulación</w:t>
      </w:r>
      <w:r w:rsidR="00E60491">
        <w:rPr>
          <w:rFonts w:ascii="Bookman Old Style" w:hAnsi="Bookman Old Style" w:cs="Arial"/>
          <w:lang w:val="es-CO"/>
        </w:rPr>
        <w:t>,</w:t>
      </w:r>
      <w:r w:rsidRPr="000A7931">
        <w:rPr>
          <w:rFonts w:ascii="Bookman Old Style" w:hAnsi="Bookman Old Style" w:cs="Arial"/>
          <w:lang w:val="es-CO"/>
        </w:rPr>
        <w:t xml:space="preserve"> para recuperar los costos en que incurre, con una tarifa que no puede ser superior al uno por ciento (1%) del valor de los gastos de funcionamiento asociados al servicio </w:t>
      </w:r>
      <w:r w:rsidR="00E95862">
        <w:rPr>
          <w:rFonts w:ascii="Bookman Old Style" w:hAnsi="Bookman Old Style" w:cs="Arial"/>
          <w:lang w:val="es-CO"/>
        </w:rPr>
        <w:t>sometido a regulación</w:t>
      </w:r>
      <w:r w:rsidR="00B77BF7">
        <w:rPr>
          <w:rFonts w:ascii="Bookman Old Style" w:hAnsi="Bookman Old Style" w:cs="Arial"/>
          <w:lang w:val="es-CO"/>
        </w:rPr>
        <w:t>,</w:t>
      </w:r>
      <w:r w:rsidR="00B77BF7" w:rsidRPr="00B77BF7">
        <w:t xml:space="preserve"> </w:t>
      </w:r>
      <w:r w:rsidR="00B77BF7" w:rsidRPr="00B77BF7">
        <w:rPr>
          <w:rFonts w:ascii="Bookman Old Style" w:hAnsi="Bookman Old Style" w:cs="Arial"/>
          <w:lang w:val="es-CO"/>
        </w:rPr>
        <w:t>de la entidad contribuyente en el año anterior a aquel en el que se haga el cobro, de acuerdo con los estados financieros puestos a disposición de la Comisi</w:t>
      </w:r>
      <w:r w:rsidR="00502482">
        <w:rPr>
          <w:rFonts w:ascii="Bookman Old Style" w:hAnsi="Bookman Old Style" w:cs="Arial"/>
          <w:lang w:val="es-CO"/>
        </w:rPr>
        <w:t>ón.</w:t>
      </w:r>
    </w:p>
    <w:p w14:paraId="2DAA24FD" w14:textId="77777777" w:rsidR="00F54E01" w:rsidRDefault="00F54E01" w:rsidP="000A0E2C">
      <w:pPr>
        <w:ind w:left="0"/>
        <w:jc w:val="both"/>
        <w:rPr>
          <w:rFonts w:ascii="Bookman Old Style" w:hAnsi="Bookman Old Style" w:cs="Arial"/>
          <w:lang w:val="es-CO"/>
        </w:rPr>
      </w:pPr>
    </w:p>
    <w:p w14:paraId="3517F74A" w14:textId="2C7E9A03" w:rsidR="00E95862" w:rsidRDefault="00333832" w:rsidP="000A0E2C">
      <w:pPr>
        <w:ind w:left="0"/>
        <w:jc w:val="both"/>
        <w:rPr>
          <w:rFonts w:ascii="Bookman Old Style" w:hAnsi="Bookman Old Style" w:cs="Arial"/>
          <w:lang w:val="es-CO"/>
        </w:rPr>
      </w:pPr>
      <w:r>
        <w:rPr>
          <w:rFonts w:ascii="Bookman Old Style" w:hAnsi="Bookman Old Style" w:cs="Arial"/>
          <w:lang w:val="es-CO"/>
        </w:rPr>
        <w:t>De</w:t>
      </w:r>
      <w:r w:rsidR="000A7931" w:rsidRPr="000A7931">
        <w:rPr>
          <w:rFonts w:ascii="Bookman Old Style" w:hAnsi="Bookman Old Style" w:cs="Arial"/>
          <w:lang w:val="es-CO"/>
        </w:rPr>
        <w:t xml:space="preserve"> conformidad con el parágrafo 2 del artículo 85 de la Ley 142 de 1994</w:t>
      </w:r>
      <w:r>
        <w:rPr>
          <w:rFonts w:ascii="Bookman Old Style" w:hAnsi="Bookman Old Style" w:cs="Arial"/>
          <w:lang w:val="es-CO"/>
        </w:rPr>
        <w:t xml:space="preserve">, </w:t>
      </w:r>
      <w:r w:rsidR="004D77D1">
        <w:rPr>
          <w:rFonts w:ascii="Bookman Old Style" w:hAnsi="Bookman Old Style" w:cs="Arial"/>
          <w:lang w:val="es-CO"/>
        </w:rPr>
        <w:t xml:space="preserve">la </w:t>
      </w:r>
      <w:r w:rsidRPr="00333832">
        <w:rPr>
          <w:rFonts w:ascii="Bookman Old Style" w:hAnsi="Bookman Old Style" w:cs="Arial"/>
          <w:lang w:val="es-CO"/>
        </w:rPr>
        <w:t xml:space="preserve">base gravable </w:t>
      </w:r>
      <w:r>
        <w:rPr>
          <w:rFonts w:ascii="Bookman Old Style" w:hAnsi="Bookman Old Style" w:cs="Arial"/>
          <w:lang w:val="es-CO"/>
        </w:rPr>
        <w:t xml:space="preserve">sobre la cual se aplica la tarifa </w:t>
      </w:r>
      <w:r w:rsidRPr="00333832">
        <w:rPr>
          <w:rFonts w:ascii="Bookman Old Style" w:hAnsi="Bookman Old Style" w:cs="Arial"/>
          <w:lang w:val="es-CO"/>
        </w:rPr>
        <w:t>puede ser adicionada, con los gastos operativos, en la proporción en que sean indispensables para cubrir faltantes presupuestales de la Comisi</w:t>
      </w:r>
      <w:r w:rsidR="004D77D1">
        <w:rPr>
          <w:rFonts w:ascii="Bookman Old Style" w:hAnsi="Bookman Old Style" w:cs="Arial"/>
          <w:lang w:val="es-CO"/>
        </w:rPr>
        <w:t>ón.</w:t>
      </w:r>
    </w:p>
    <w:p w14:paraId="1750E27C" w14:textId="77777777" w:rsidR="004D77D1" w:rsidRDefault="004D77D1" w:rsidP="000A0E2C">
      <w:pPr>
        <w:ind w:left="0"/>
        <w:jc w:val="both"/>
        <w:rPr>
          <w:rFonts w:ascii="Bookman Old Style" w:hAnsi="Bookman Old Style" w:cs="Arial"/>
          <w:lang w:val="es-CO"/>
        </w:rPr>
      </w:pPr>
    </w:p>
    <w:p w14:paraId="2C132916" w14:textId="042AE107" w:rsidR="004408A1" w:rsidRDefault="004408A1" w:rsidP="004408A1">
      <w:pPr>
        <w:ind w:left="0"/>
        <w:jc w:val="both"/>
        <w:rPr>
          <w:rFonts w:ascii="Bookman Old Style" w:hAnsi="Bookman Old Style" w:cs="Arial"/>
        </w:rPr>
      </w:pPr>
      <w:r w:rsidRPr="004408A1">
        <w:rPr>
          <w:rFonts w:ascii="Bookman Old Style" w:hAnsi="Bookman Old Style" w:cs="Arial"/>
        </w:rPr>
        <w:t>Que de conformidad con lo dispuesto en el numeral 8 del artículo 11 de la Ley 142 de 1994, los</w:t>
      </w:r>
      <w:r>
        <w:rPr>
          <w:rFonts w:ascii="Bookman Old Style" w:hAnsi="Bookman Old Style" w:cs="Arial"/>
        </w:rPr>
        <w:t xml:space="preserve"> </w:t>
      </w:r>
      <w:r w:rsidRPr="004408A1">
        <w:rPr>
          <w:rFonts w:ascii="Bookman Old Style" w:hAnsi="Bookman Old Style" w:cs="Arial"/>
        </w:rPr>
        <w:t xml:space="preserve">prestadores de servicios públicos domiciliarios deben informar a la </w:t>
      </w:r>
      <w:r>
        <w:rPr>
          <w:rFonts w:ascii="Bookman Old Style" w:hAnsi="Bookman Old Style" w:cs="Arial"/>
        </w:rPr>
        <w:t>S</w:t>
      </w:r>
      <w:r w:rsidR="00090DDA">
        <w:rPr>
          <w:rFonts w:ascii="Bookman Old Style" w:hAnsi="Bookman Old Style" w:cs="Arial"/>
        </w:rPr>
        <w:t xml:space="preserve">uperintendencia de </w:t>
      </w:r>
      <w:r w:rsidR="004A7B36">
        <w:rPr>
          <w:rFonts w:ascii="Bookman Old Style" w:hAnsi="Bookman Old Style" w:cs="Arial"/>
        </w:rPr>
        <w:t xml:space="preserve">Servicios Públicos </w:t>
      </w:r>
      <w:r>
        <w:rPr>
          <w:rFonts w:ascii="Bookman Old Style" w:hAnsi="Bookman Old Style" w:cs="Arial"/>
        </w:rPr>
        <w:t>D</w:t>
      </w:r>
      <w:r w:rsidR="004A7B36">
        <w:rPr>
          <w:rFonts w:ascii="Bookman Old Style" w:hAnsi="Bookman Old Style" w:cs="Arial"/>
        </w:rPr>
        <w:t>omiciliarios</w:t>
      </w:r>
      <w:r w:rsidRPr="004408A1">
        <w:rPr>
          <w:rFonts w:ascii="Bookman Old Style" w:hAnsi="Bookman Old Style" w:cs="Arial"/>
        </w:rPr>
        <w:t xml:space="preserve"> y a las Comisiones</w:t>
      </w:r>
      <w:r>
        <w:rPr>
          <w:rFonts w:ascii="Bookman Old Style" w:hAnsi="Bookman Old Style" w:cs="Arial"/>
        </w:rPr>
        <w:t xml:space="preserve"> </w:t>
      </w:r>
      <w:r w:rsidRPr="004408A1">
        <w:rPr>
          <w:rFonts w:ascii="Bookman Old Style" w:hAnsi="Bookman Old Style" w:cs="Arial"/>
        </w:rPr>
        <w:t>de Regulación el inicio de sus actividades para que puedan cumplir con sus funciones de</w:t>
      </w:r>
      <w:r>
        <w:rPr>
          <w:rFonts w:ascii="Bookman Old Style" w:hAnsi="Bookman Old Style" w:cs="Arial"/>
        </w:rPr>
        <w:t xml:space="preserve"> </w:t>
      </w:r>
      <w:r w:rsidRPr="004408A1">
        <w:rPr>
          <w:rFonts w:ascii="Bookman Old Style" w:hAnsi="Bookman Old Style" w:cs="Arial"/>
        </w:rPr>
        <w:t>regulación, inspección, vigilancia y control.</w:t>
      </w:r>
    </w:p>
    <w:p w14:paraId="7A9E4BB3" w14:textId="77777777" w:rsidR="004408A1" w:rsidRPr="004408A1" w:rsidRDefault="004408A1" w:rsidP="004408A1">
      <w:pPr>
        <w:ind w:left="0"/>
        <w:jc w:val="both"/>
        <w:rPr>
          <w:rFonts w:ascii="Bookman Old Style" w:hAnsi="Bookman Old Style" w:cs="Arial"/>
        </w:rPr>
      </w:pPr>
    </w:p>
    <w:p w14:paraId="447E2C83" w14:textId="3FDAA18C" w:rsidR="004408A1" w:rsidRDefault="004408A1" w:rsidP="001A0907">
      <w:pPr>
        <w:ind w:left="0"/>
        <w:jc w:val="both"/>
        <w:rPr>
          <w:rFonts w:ascii="Bookman Old Style" w:hAnsi="Bookman Old Style" w:cs="Arial"/>
        </w:rPr>
      </w:pPr>
      <w:r w:rsidRPr="004408A1">
        <w:rPr>
          <w:rFonts w:ascii="Bookman Old Style" w:hAnsi="Bookman Old Style" w:cs="Arial"/>
        </w:rPr>
        <w:t xml:space="preserve">Que la </w:t>
      </w:r>
      <w:r>
        <w:rPr>
          <w:rFonts w:ascii="Bookman Old Style" w:hAnsi="Bookman Old Style" w:cs="Arial"/>
        </w:rPr>
        <w:t>S</w:t>
      </w:r>
      <w:r w:rsidR="00F44751">
        <w:rPr>
          <w:rFonts w:ascii="Bookman Old Style" w:hAnsi="Bookman Old Style" w:cs="Arial"/>
        </w:rPr>
        <w:t>uperintendencia de Servicios Públicos D</w:t>
      </w:r>
      <w:r w:rsidR="00566C9C">
        <w:rPr>
          <w:rFonts w:ascii="Bookman Old Style" w:hAnsi="Bookman Old Style" w:cs="Arial"/>
        </w:rPr>
        <w:t xml:space="preserve">omiciliarios </w:t>
      </w:r>
      <w:r w:rsidR="002D19BD">
        <w:rPr>
          <w:rFonts w:ascii="Bookman Old Style" w:hAnsi="Bookman Old Style" w:cs="Arial"/>
        </w:rPr>
        <w:t>creó</w:t>
      </w:r>
      <w:r w:rsidRPr="004408A1">
        <w:rPr>
          <w:rFonts w:ascii="Bookman Old Style" w:hAnsi="Bookman Old Style" w:cs="Arial"/>
        </w:rPr>
        <w:t xml:space="preserve"> el Registro Único de Prestadores </w:t>
      </w:r>
      <w:r>
        <w:rPr>
          <w:rFonts w:ascii="Bookman Old Style" w:hAnsi="Bookman Old Style" w:cs="Arial"/>
        </w:rPr>
        <w:t>(</w:t>
      </w:r>
      <w:r w:rsidRPr="004408A1">
        <w:rPr>
          <w:rFonts w:ascii="Bookman Old Style" w:hAnsi="Bookman Old Style" w:cs="Arial"/>
        </w:rPr>
        <w:t>RUPS</w:t>
      </w:r>
      <w:r>
        <w:rPr>
          <w:rFonts w:ascii="Bookman Old Style" w:hAnsi="Bookman Old Style" w:cs="Arial"/>
        </w:rPr>
        <w:t>)</w:t>
      </w:r>
      <w:r w:rsidRPr="004408A1">
        <w:rPr>
          <w:rFonts w:ascii="Bookman Old Style" w:hAnsi="Bookman Old Style" w:cs="Arial"/>
        </w:rPr>
        <w:t xml:space="preserve"> para llevar el registro</w:t>
      </w:r>
      <w:r>
        <w:rPr>
          <w:rFonts w:ascii="Bookman Old Style" w:hAnsi="Bookman Old Style" w:cs="Arial"/>
        </w:rPr>
        <w:t xml:space="preserve"> </w:t>
      </w:r>
      <w:r w:rsidRPr="004408A1">
        <w:rPr>
          <w:rFonts w:ascii="Bookman Old Style" w:hAnsi="Bookman Old Style" w:cs="Arial"/>
        </w:rPr>
        <w:t>de los prestadores de servicios públicos domiciliarios que han puesto en conocimiento de la entidad</w:t>
      </w:r>
      <w:r>
        <w:rPr>
          <w:rFonts w:ascii="Bookman Old Style" w:hAnsi="Bookman Old Style" w:cs="Arial"/>
        </w:rPr>
        <w:t xml:space="preserve"> </w:t>
      </w:r>
      <w:r w:rsidRPr="004408A1">
        <w:rPr>
          <w:rFonts w:ascii="Bookman Old Style" w:hAnsi="Bookman Old Style" w:cs="Arial"/>
        </w:rPr>
        <w:t>el inicio de sus operaciones, así como de aquellos que se han identificado en el ejercicio</w:t>
      </w:r>
      <w:r>
        <w:rPr>
          <w:rFonts w:ascii="Bookman Old Style" w:hAnsi="Bookman Old Style" w:cs="Arial"/>
        </w:rPr>
        <w:t xml:space="preserve"> </w:t>
      </w:r>
      <w:r w:rsidRPr="004408A1">
        <w:rPr>
          <w:rFonts w:ascii="Bookman Old Style" w:hAnsi="Bookman Old Style" w:cs="Arial"/>
        </w:rPr>
        <w:t>de las funciones de inspección, vigilancia y control</w:t>
      </w:r>
      <w:r w:rsidR="001A0907">
        <w:rPr>
          <w:rFonts w:ascii="Bookman Old Style" w:hAnsi="Bookman Old Style" w:cs="Arial"/>
        </w:rPr>
        <w:t xml:space="preserve">, a través de la Resolución SSPD N° </w:t>
      </w:r>
      <w:r w:rsidR="001A0907" w:rsidRPr="001A0907">
        <w:rPr>
          <w:rFonts w:ascii="Bookman Old Style" w:hAnsi="Bookman Old Style" w:cs="Arial"/>
        </w:rPr>
        <w:t xml:space="preserve">20151300047005 </w:t>
      </w:r>
      <w:r w:rsidR="001A0907">
        <w:rPr>
          <w:rFonts w:ascii="Bookman Old Style" w:hAnsi="Bookman Old Style" w:cs="Arial"/>
        </w:rPr>
        <w:t>“</w:t>
      </w:r>
      <w:r w:rsidR="001A0907" w:rsidRPr="00280F45">
        <w:rPr>
          <w:rFonts w:ascii="Bookman Old Style" w:hAnsi="Bookman Old Style" w:cs="Arial"/>
          <w:i/>
          <w:iCs/>
        </w:rPr>
        <w:t>Por la cual se establecen los requerimientos que  deben surtir los  prestadores ante la  SSPD, en relación con el  Registro Único de  Prestadores (RUPS) para  su inscripción,  actualización y  cancelación</w:t>
      </w:r>
      <w:r w:rsidR="001A0907">
        <w:rPr>
          <w:rFonts w:ascii="Bookman Old Style" w:hAnsi="Bookman Old Style" w:cs="Arial"/>
        </w:rPr>
        <w:t>”.</w:t>
      </w:r>
    </w:p>
    <w:p w14:paraId="50F9858C" w14:textId="57C90087" w:rsidR="001A0907" w:rsidRDefault="001A0907" w:rsidP="000A0E2C">
      <w:pPr>
        <w:ind w:left="0"/>
        <w:jc w:val="both"/>
        <w:rPr>
          <w:rFonts w:ascii="Bookman Old Style" w:hAnsi="Bookman Old Style" w:cs="Arial"/>
        </w:rPr>
      </w:pPr>
    </w:p>
    <w:p w14:paraId="0997A44F" w14:textId="30613BE2" w:rsidR="00CE057C" w:rsidRDefault="000A0E2C" w:rsidP="000A0E2C">
      <w:pPr>
        <w:ind w:left="0"/>
        <w:jc w:val="both"/>
        <w:rPr>
          <w:rFonts w:ascii="Bookman Old Style" w:hAnsi="Bookman Old Style" w:cs="Arial"/>
        </w:rPr>
      </w:pPr>
      <w:r>
        <w:rPr>
          <w:rFonts w:ascii="Bookman Old Style" w:hAnsi="Bookman Old Style" w:cs="Arial"/>
        </w:rPr>
        <w:t xml:space="preserve">De conformidad con </w:t>
      </w:r>
      <w:r w:rsidR="00CE057C">
        <w:rPr>
          <w:rFonts w:ascii="Bookman Old Style" w:hAnsi="Bookman Old Style" w:cs="Arial"/>
        </w:rPr>
        <w:t xml:space="preserve">el Artículo 79, numeral </w:t>
      </w:r>
      <w:r>
        <w:rPr>
          <w:rFonts w:ascii="Bookman Old Style" w:hAnsi="Bookman Old Style" w:cs="Arial"/>
        </w:rPr>
        <w:t>79.4 de la Ley 142 de 1994</w:t>
      </w:r>
      <w:r w:rsidR="00CE057C" w:rsidRPr="002B706D">
        <w:rPr>
          <w:rFonts w:ascii="Bookman Old Style" w:hAnsi="Bookman Old Style" w:cs="Arial"/>
        </w:rPr>
        <w:t xml:space="preserve"> corresponde a la Superinten</w:t>
      </w:r>
      <w:r w:rsidR="002B706D" w:rsidRPr="002B706D">
        <w:rPr>
          <w:rFonts w:ascii="Bookman Old Style" w:hAnsi="Bookman Old Style" w:cs="Arial"/>
        </w:rPr>
        <w:t>dencia de Servicios Públicos Domiciliarios “</w:t>
      </w:r>
      <w:r w:rsidR="00CE057C" w:rsidRPr="00CE057C">
        <w:rPr>
          <w:rFonts w:ascii="Bookman Old Style" w:hAnsi="Bookman Old Style" w:cs="Arial"/>
        </w:rPr>
        <w:t>Establecer los sistemas uniformes de información y contabilidad que deben aplicar quienes presten servicios públicos, según la naturaleza del servicio y el monto de sus activos, y con sujeción siempre a los principios de contabilidad generalmente aceptados</w:t>
      </w:r>
      <w:r w:rsidR="002B706D">
        <w:rPr>
          <w:rFonts w:ascii="Bookman Old Style" w:hAnsi="Bookman Old Style" w:cs="Arial"/>
        </w:rPr>
        <w:t>”</w:t>
      </w:r>
      <w:r w:rsidR="00641DAC">
        <w:rPr>
          <w:rFonts w:ascii="Bookman Old Style" w:hAnsi="Bookman Old Style" w:cs="Arial"/>
        </w:rPr>
        <w:t>.</w:t>
      </w:r>
    </w:p>
    <w:p w14:paraId="6EA64124" w14:textId="77777777" w:rsidR="00CE057C" w:rsidRDefault="00CE057C" w:rsidP="000A0E2C">
      <w:pPr>
        <w:ind w:left="0"/>
        <w:jc w:val="both"/>
        <w:rPr>
          <w:rFonts w:ascii="Bookman Old Style" w:hAnsi="Bookman Old Style" w:cs="Arial"/>
        </w:rPr>
      </w:pPr>
    </w:p>
    <w:p w14:paraId="07FAC8A1" w14:textId="1D431EDA" w:rsidR="000A0E2C" w:rsidRDefault="0060329F" w:rsidP="000A0E2C">
      <w:pPr>
        <w:ind w:left="0"/>
        <w:jc w:val="both"/>
        <w:rPr>
          <w:rFonts w:ascii="Bookman Old Style" w:hAnsi="Bookman Old Style" w:cs="Arial"/>
        </w:rPr>
      </w:pPr>
      <w:r>
        <w:rPr>
          <w:rFonts w:ascii="Bookman Old Style" w:hAnsi="Bookman Old Style" w:cs="Arial"/>
        </w:rPr>
        <w:t xml:space="preserve">Conforme al </w:t>
      </w:r>
      <w:r w:rsidR="000A0E2C">
        <w:rPr>
          <w:rFonts w:ascii="Bookman Old Style" w:hAnsi="Bookman Old Style" w:cs="Arial"/>
        </w:rPr>
        <w:t>artículo 14 de la Ley 689 de 2001, corresponde a la SSPD establecer, administrar, mantener y operar el SUI, como s</w:t>
      </w:r>
      <w:r w:rsidR="000A0E2C" w:rsidRPr="0072159E">
        <w:rPr>
          <w:rFonts w:ascii="Bookman Old Style" w:hAnsi="Bookman Old Style" w:cs="Arial"/>
        </w:rPr>
        <w:t xml:space="preserve">istema oficial del sector de servicios públicos domiciliarios del país que recoge, almacena, procesa y publica información reportada por parte de las empresas </w:t>
      </w:r>
      <w:r w:rsidR="000A0E2C">
        <w:rPr>
          <w:rFonts w:ascii="Bookman Old Style" w:hAnsi="Bookman Old Style" w:cs="Arial"/>
        </w:rPr>
        <w:t xml:space="preserve">y entidades territoriales </w:t>
      </w:r>
      <w:r w:rsidR="000A0E2C" w:rsidRPr="0072159E">
        <w:rPr>
          <w:rFonts w:ascii="Bookman Old Style" w:hAnsi="Bookman Old Style" w:cs="Arial"/>
        </w:rPr>
        <w:t xml:space="preserve">prestadoras </w:t>
      </w:r>
      <w:r w:rsidR="000A0E2C">
        <w:rPr>
          <w:rFonts w:ascii="Bookman Old Style" w:hAnsi="Bookman Old Style" w:cs="Arial"/>
        </w:rPr>
        <w:t>de servicios públicos</w:t>
      </w:r>
      <w:r w:rsidR="000A0E2C" w:rsidRPr="0072159E">
        <w:rPr>
          <w:rFonts w:ascii="Bookman Old Style" w:hAnsi="Bookman Old Style" w:cs="Arial"/>
        </w:rPr>
        <w:t>.</w:t>
      </w:r>
    </w:p>
    <w:p w14:paraId="02E22F18" w14:textId="77777777" w:rsidR="000A0E2C" w:rsidRDefault="000A0E2C" w:rsidP="000A0E2C">
      <w:pPr>
        <w:ind w:left="0"/>
        <w:jc w:val="both"/>
        <w:rPr>
          <w:rFonts w:ascii="Bookman Old Style" w:hAnsi="Bookman Old Style" w:cs="Arial"/>
        </w:rPr>
      </w:pPr>
    </w:p>
    <w:p w14:paraId="3AEF7658" w14:textId="14E9E24A" w:rsidR="000A0E2C" w:rsidRDefault="000A0E2C" w:rsidP="000A0E2C">
      <w:pPr>
        <w:ind w:left="0"/>
        <w:jc w:val="both"/>
        <w:rPr>
          <w:rFonts w:ascii="Bookman Old Style" w:hAnsi="Bookman Old Style" w:cs="Arial"/>
        </w:rPr>
      </w:pPr>
      <w:r>
        <w:rPr>
          <w:rFonts w:ascii="Bookman Old Style" w:hAnsi="Bookman Old Style" w:cs="Arial"/>
        </w:rPr>
        <w:lastRenderedPageBreak/>
        <w:t>El SUI</w:t>
      </w:r>
      <w:r w:rsidR="007A6A69">
        <w:rPr>
          <w:rFonts w:ascii="Bookman Old Style" w:hAnsi="Bookman Old Style" w:cs="Arial"/>
        </w:rPr>
        <w:t>,</w:t>
      </w:r>
      <w:r>
        <w:rPr>
          <w:rFonts w:ascii="Bookman Old Style" w:hAnsi="Bookman Old Style" w:cs="Arial"/>
        </w:rPr>
        <w:t xml:space="preserve"> como plataforma digital</w:t>
      </w:r>
      <w:r w:rsidR="007A6A69">
        <w:rPr>
          <w:rFonts w:ascii="Bookman Old Style" w:hAnsi="Bookman Old Style" w:cs="Arial"/>
        </w:rPr>
        <w:t>,</w:t>
      </w:r>
      <w:r>
        <w:rPr>
          <w:rFonts w:ascii="Bookman Old Style" w:hAnsi="Bookman Old Style" w:cs="Arial"/>
        </w:rPr>
        <w:t xml:space="preserve"> almacena la información proveniente de los prestadores de servicios públicos sujetos a su inspección, vigilancia y control, la cual se debe reportar de forma independiente para cada servicio, actividad inherente y/o complementaria, y cuyos fines son los de evitar la duplicidad de información relativa a estos servicios; servir de base a la SSPD para el cumplimiento de sus funciones; y apoyar las funciones de las Comisiones de Regulación, y demás autoridades y agentes del sector de los servicios públicos domiciliarios que requieran de la misma, entre otros.</w:t>
      </w:r>
    </w:p>
    <w:p w14:paraId="6B9AF836" w14:textId="77777777" w:rsidR="002652D6" w:rsidRDefault="002652D6" w:rsidP="000A0E2C">
      <w:pPr>
        <w:ind w:left="0"/>
        <w:jc w:val="both"/>
        <w:rPr>
          <w:rFonts w:ascii="Bookman Old Style" w:hAnsi="Bookman Old Style" w:cs="Arial"/>
        </w:rPr>
      </w:pPr>
    </w:p>
    <w:p w14:paraId="6C0A3701" w14:textId="43248C0D" w:rsidR="000A0E2C" w:rsidRDefault="000A0E2C" w:rsidP="000A0E2C">
      <w:pPr>
        <w:ind w:left="0"/>
        <w:jc w:val="both"/>
        <w:rPr>
          <w:rFonts w:ascii="Bookman Old Style" w:hAnsi="Bookman Old Style" w:cs="Arial"/>
        </w:rPr>
      </w:pPr>
      <w:r>
        <w:rPr>
          <w:rFonts w:ascii="Bookman Old Style" w:hAnsi="Bookman Old Style" w:cs="Arial"/>
        </w:rPr>
        <w:t>El d</w:t>
      </w:r>
      <w:r w:rsidRPr="0065221D">
        <w:rPr>
          <w:rFonts w:ascii="Bookman Old Style" w:hAnsi="Bookman Old Style" w:cs="Arial"/>
        </w:rPr>
        <w:t xml:space="preserve">ocumento CONPES </w:t>
      </w:r>
      <w:r>
        <w:rPr>
          <w:rFonts w:ascii="Bookman Old Style" w:hAnsi="Bookman Old Style" w:cs="Arial"/>
        </w:rPr>
        <w:t xml:space="preserve">N° </w:t>
      </w:r>
      <w:r w:rsidRPr="0065221D">
        <w:rPr>
          <w:rFonts w:ascii="Bookman Old Style" w:hAnsi="Bookman Old Style" w:cs="Arial"/>
        </w:rPr>
        <w:t xml:space="preserve">3168 de 2002 </w:t>
      </w:r>
      <w:r>
        <w:rPr>
          <w:rFonts w:ascii="Bookman Old Style" w:hAnsi="Bookman Old Style" w:cs="Arial"/>
        </w:rPr>
        <w:t>estableció</w:t>
      </w:r>
      <w:r w:rsidRPr="0065221D">
        <w:rPr>
          <w:rFonts w:ascii="Bookman Old Style" w:hAnsi="Bookman Old Style" w:cs="Arial"/>
        </w:rPr>
        <w:t xml:space="preserve"> las estrategias para el diseño y adopción del SUI</w:t>
      </w:r>
      <w:r>
        <w:rPr>
          <w:rFonts w:ascii="Bookman Old Style" w:hAnsi="Bookman Old Style" w:cs="Arial"/>
        </w:rPr>
        <w:t>, el cual b</w:t>
      </w:r>
      <w:r w:rsidRPr="0065221D">
        <w:rPr>
          <w:rFonts w:ascii="Bookman Old Style" w:hAnsi="Bookman Old Style" w:cs="Arial"/>
        </w:rPr>
        <w:t>usca estandarizar requerimientos de información y aportar datos que permita a las entidades del Gobierno evaluar la prest</w:t>
      </w:r>
      <w:r>
        <w:rPr>
          <w:rFonts w:ascii="Bookman Old Style" w:hAnsi="Bookman Old Style" w:cs="Arial"/>
        </w:rPr>
        <w:t xml:space="preserve">ación de los servicios públicos, siendo </w:t>
      </w:r>
      <w:r w:rsidRPr="0065221D">
        <w:rPr>
          <w:rFonts w:ascii="Bookman Old Style" w:hAnsi="Bookman Old Style" w:cs="Arial"/>
        </w:rPr>
        <w:t>un sistema suprainstitucional que busca eliminar asimetrías de informació</w:t>
      </w:r>
      <w:r>
        <w:rPr>
          <w:rFonts w:ascii="Bookman Old Style" w:hAnsi="Bookman Old Style" w:cs="Arial"/>
        </w:rPr>
        <w:t xml:space="preserve">n y la duplicidad de esfuerzos, </w:t>
      </w:r>
      <w:r w:rsidRPr="0065221D">
        <w:rPr>
          <w:rFonts w:ascii="Bookman Old Style" w:hAnsi="Bookman Old Style" w:cs="Arial"/>
        </w:rPr>
        <w:t>garantiza</w:t>
      </w:r>
      <w:r>
        <w:rPr>
          <w:rFonts w:ascii="Bookman Old Style" w:hAnsi="Bookman Old Style" w:cs="Arial"/>
        </w:rPr>
        <w:t>ndo</w:t>
      </w:r>
      <w:r w:rsidRPr="0065221D">
        <w:rPr>
          <w:rFonts w:ascii="Bookman Old Style" w:hAnsi="Bookman Old Style" w:cs="Arial"/>
        </w:rPr>
        <w:t xml:space="preserve"> la consecución de datos completos, confiables y oportunos, permitiendo el cumplimiento de las funciones misionales, en beneficio de la comunidad.</w:t>
      </w:r>
    </w:p>
    <w:p w14:paraId="5EED2037" w14:textId="77777777" w:rsidR="000A0E2C" w:rsidRDefault="000A0E2C" w:rsidP="000A0E2C">
      <w:pPr>
        <w:ind w:left="0"/>
        <w:jc w:val="both"/>
        <w:rPr>
          <w:rFonts w:ascii="Bookman Old Style" w:hAnsi="Bookman Old Style" w:cs="Arial"/>
        </w:rPr>
      </w:pPr>
    </w:p>
    <w:p w14:paraId="49F9CBC0" w14:textId="15D59CAE" w:rsidR="000A0E2C" w:rsidRDefault="0060329F" w:rsidP="000A0E2C">
      <w:pPr>
        <w:ind w:left="0"/>
        <w:jc w:val="both"/>
        <w:rPr>
          <w:rFonts w:ascii="Bookman Old Style" w:hAnsi="Bookman Old Style" w:cs="Arial"/>
        </w:rPr>
      </w:pPr>
      <w:r>
        <w:rPr>
          <w:rFonts w:ascii="Bookman Old Style" w:hAnsi="Bookman Old Style" w:cs="Arial"/>
        </w:rPr>
        <w:t xml:space="preserve">Mediante </w:t>
      </w:r>
      <w:r w:rsidR="000A0E2C">
        <w:rPr>
          <w:rFonts w:ascii="Bookman Old Style" w:hAnsi="Bookman Old Style" w:cs="Arial"/>
        </w:rPr>
        <w:t xml:space="preserve">la </w:t>
      </w:r>
      <w:r w:rsidR="000A0E2C" w:rsidRPr="00460949">
        <w:rPr>
          <w:rFonts w:ascii="Bookman Old Style" w:hAnsi="Bookman Old Style" w:cs="Arial"/>
        </w:rPr>
        <w:t xml:space="preserve">Resolución </w:t>
      </w:r>
      <w:r w:rsidR="000A0E2C">
        <w:rPr>
          <w:rFonts w:ascii="Bookman Old Style" w:hAnsi="Bookman Old Style" w:cs="Arial"/>
        </w:rPr>
        <w:t>SSPD N°</w:t>
      </w:r>
      <w:r w:rsidR="000A0E2C" w:rsidRPr="00460949">
        <w:rPr>
          <w:rFonts w:ascii="Bookman Old Style" w:hAnsi="Bookman Old Style" w:cs="Arial"/>
        </w:rPr>
        <w:t xml:space="preserve"> 013092 de Octubre 30 de 2002</w:t>
      </w:r>
      <w:r w:rsidR="000A0E2C">
        <w:rPr>
          <w:rFonts w:ascii="Bookman Old Style" w:hAnsi="Bookman Old Style" w:cs="Arial"/>
        </w:rPr>
        <w:t xml:space="preserve">, </w:t>
      </w:r>
      <w:r>
        <w:rPr>
          <w:rFonts w:ascii="Bookman Old Style" w:hAnsi="Bookman Old Style" w:cs="Arial"/>
        </w:rPr>
        <w:t xml:space="preserve">la Superintendencia de Servicios Públicos Domiciliarios </w:t>
      </w:r>
      <w:r w:rsidR="000A0E2C">
        <w:rPr>
          <w:rFonts w:ascii="Bookman Old Style" w:hAnsi="Bookman Old Style" w:cs="Arial"/>
        </w:rPr>
        <w:t>estableció</w:t>
      </w:r>
      <w:r w:rsidR="000A0E2C" w:rsidRPr="00460949">
        <w:rPr>
          <w:rFonts w:ascii="Bookman Old Style" w:hAnsi="Bookman Old Style" w:cs="Arial"/>
        </w:rPr>
        <w:t xml:space="preserve"> el Formato Único de Información para las Empresas de Servicios Públicos previo concepto del Ministerio de Ambiente y Desarrollo Sostenible, Ministerio de Vivienda, Ciudad y Territorio de Colombia, Ministerio de Minas y Energía, Ministerios de Tecnologías de la Información y las Comunicaciones y de las Comisiones de Regulación de Agua Potable y Saneamiento Básico (CRA), Comisión de Regulación de Energía y Gas (CREG), Comisión de Regulación de Comunicaciones (CRC) y Departamento Nacional de Planeación (DNP).</w:t>
      </w:r>
    </w:p>
    <w:p w14:paraId="0F0A6290" w14:textId="77777777" w:rsidR="000A0E2C" w:rsidRDefault="000A0E2C" w:rsidP="000A0E2C">
      <w:pPr>
        <w:ind w:left="0"/>
        <w:jc w:val="both"/>
        <w:rPr>
          <w:rFonts w:ascii="Bookman Old Style" w:hAnsi="Bookman Old Style" w:cs="Arial"/>
        </w:rPr>
      </w:pPr>
    </w:p>
    <w:p w14:paraId="1C73F1AD" w14:textId="77777777" w:rsidR="000A0E2C" w:rsidRDefault="000A0E2C" w:rsidP="000A0E2C">
      <w:pPr>
        <w:ind w:left="0"/>
        <w:jc w:val="both"/>
        <w:rPr>
          <w:rFonts w:ascii="Bookman Old Style" w:hAnsi="Bookman Old Style" w:cs="Arial"/>
          <w:lang w:val="es-CO"/>
        </w:rPr>
      </w:pPr>
      <w:r>
        <w:rPr>
          <w:rFonts w:ascii="Bookman Old Style" w:hAnsi="Bookman Old Style" w:cs="Arial"/>
          <w:lang w:val="es-CO"/>
        </w:rPr>
        <w:t xml:space="preserve">En la </w:t>
      </w:r>
      <w:r w:rsidRPr="00842BD2">
        <w:rPr>
          <w:rFonts w:ascii="Bookman Old Style" w:hAnsi="Bookman Old Style" w:cs="Arial"/>
          <w:lang w:val="es-CO"/>
        </w:rPr>
        <w:t xml:space="preserve">Circular </w:t>
      </w:r>
      <w:r>
        <w:rPr>
          <w:rFonts w:ascii="Bookman Old Style" w:hAnsi="Bookman Old Style" w:cs="Arial"/>
          <w:lang w:val="es-CO"/>
        </w:rPr>
        <w:t>e</w:t>
      </w:r>
      <w:r w:rsidRPr="00842BD2">
        <w:rPr>
          <w:rFonts w:ascii="Bookman Old Style" w:hAnsi="Bookman Old Style" w:cs="Arial"/>
          <w:lang w:val="es-CO"/>
        </w:rPr>
        <w:t xml:space="preserve">xterna </w:t>
      </w:r>
      <w:r>
        <w:rPr>
          <w:rFonts w:ascii="Bookman Old Style" w:hAnsi="Bookman Old Style" w:cs="Arial"/>
          <w:lang w:val="es-CO"/>
        </w:rPr>
        <w:t xml:space="preserve">SSPD-CREG N° </w:t>
      </w:r>
      <w:r w:rsidRPr="00842BD2">
        <w:rPr>
          <w:rFonts w:ascii="Bookman Old Style" w:hAnsi="Bookman Old Style" w:cs="Arial"/>
          <w:lang w:val="es-CO"/>
        </w:rPr>
        <w:t xml:space="preserve">000009 </w:t>
      </w:r>
      <w:r>
        <w:rPr>
          <w:rFonts w:ascii="Bookman Old Style" w:hAnsi="Bookman Old Style" w:cs="Arial"/>
          <w:lang w:val="es-CO"/>
        </w:rPr>
        <w:t>del 14 de agosto de 2003 se imparten instrucciones con respecto a la información financiera y el catálogo de cuentas a los prestadores de servicios públicos domiciliarios.</w:t>
      </w:r>
    </w:p>
    <w:p w14:paraId="270B38A4" w14:textId="77777777" w:rsidR="000A0E2C" w:rsidRDefault="000A0E2C" w:rsidP="000A0E2C">
      <w:pPr>
        <w:ind w:left="0"/>
        <w:jc w:val="both"/>
        <w:rPr>
          <w:rFonts w:ascii="Bookman Old Style" w:hAnsi="Bookman Old Style" w:cs="Arial"/>
          <w:lang w:val="es-CO"/>
        </w:rPr>
      </w:pPr>
    </w:p>
    <w:p w14:paraId="7488A74B" w14:textId="126E79A9" w:rsidR="000A0E2C" w:rsidRPr="000B2934" w:rsidRDefault="00283FA5" w:rsidP="000A0E2C">
      <w:pPr>
        <w:ind w:left="0"/>
        <w:jc w:val="both"/>
        <w:rPr>
          <w:rFonts w:ascii="Bookman Old Style" w:hAnsi="Bookman Old Style" w:cs="Arial"/>
          <w:lang w:val="es-CO"/>
        </w:rPr>
      </w:pPr>
      <w:r>
        <w:rPr>
          <w:rFonts w:ascii="Bookman Old Style" w:hAnsi="Bookman Old Style" w:cs="Arial"/>
          <w:lang w:val="es-CO"/>
        </w:rPr>
        <w:t>Mediante l</w:t>
      </w:r>
      <w:r w:rsidR="007F4298">
        <w:rPr>
          <w:rFonts w:ascii="Bookman Old Style" w:hAnsi="Bookman Old Style" w:cs="Arial"/>
          <w:lang w:val="es-CO"/>
        </w:rPr>
        <w:t xml:space="preserve">a </w:t>
      </w:r>
      <w:r w:rsidR="000A0E2C" w:rsidRPr="000B2934">
        <w:rPr>
          <w:rFonts w:ascii="Bookman Old Style" w:hAnsi="Bookman Old Style" w:cs="Arial"/>
          <w:lang w:val="es-CO"/>
        </w:rPr>
        <w:t xml:space="preserve">Resolución SSPD N° 000321 de 2003, </w:t>
      </w:r>
      <w:r w:rsidR="007F4298">
        <w:rPr>
          <w:rFonts w:ascii="Bookman Old Style" w:hAnsi="Bookman Old Style" w:cs="Arial"/>
          <w:lang w:val="es-CO"/>
        </w:rPr>
        <w:t xml:space="preserve">la Superintendencia de Servicios Públicos Domiciliarios </w:t>
      </w:r>
      <w:r w:rsidR="000A0E2C" w:rsidRPr="000B2934">
        <w:rPr>
          <w:rFonts w:ascii="Bookman Old Style" w:hAnsi="Bookman Old Style" w:cs="Arial"/>
          <w:lang w:val="es-CO"/>
        </w:rPr>
        <w:t xml:space="preserve">determinó que la información reportada al SUI por parte de los prestadores de estos servicios, se considera oficial para todos los fines previstos en la ley. </w:t>
      </w:r>
    </w:p>
    <w:p w14:paraId="3986DF88" w14:textId="77777777" w:rsidR="000A0E2C" w:rsidRPr="000B2934" w:rsidRDefault="000A0E2C" w:rsidP="000A0E2C">
      <w:pPr>
        <w:ind w:left="0"/>
        <w:jc w:val="both"/>
        <w:rPr>
          <w:rFonts w:ascii="Bookman Old Style" w:hAnsi="Bookman Old Style" w:cs="Arial"/>
          <w:lang w:val="es-CO"/>
        </w:rPr>
      </w:pPr>
    </w:p>
    <w:p w14:paraId="4DB955B7" w14:textId="61BE4616" w:rsidR="000A0E2C" w:rsidRDefault="000A0E2C" w:rsidP="000A0E2C">
      <w:pPr>
        <w:ind w:left="0"/>
        <w:jc w:val="both"/>
        <w:rPr>
          <w:rFonts w:ascii="Bookman Old Style" w:hAnsi="Bookman Old Style" w:cs="Arial"/>
        </w:rPr>
      </w:pPr>
      <w:r w:rsidRPr="000B2934">
        <w:rPr>
          <w:rFonts w:ascii="Bookman Old Style" w:hAnsi="Bookman Old Style" w:cs="Arial"/>
          <w:lang w:val="es-CO"/>
        </w:rPr>
        <w:t>La información que certifiquen los prestadores de servicios públicos a través del SUI, debe cumplir con los requisitos de calidad y oportunidad, señalados por la Superservicios en la Circular Externa SSPD N° 00001 del 25 de enero de 2006, “Vigilancia y control de la consistencia y calidad de Información reportada al Sistema Único de Información – SUI”</w:t>
      </w:r>
      <w:r w:rsidR="00227605">
        <w:rPr>
          <w:rFonts w:ascii="Bookman Old Style" w:hAnsi="Bookman Old Style" w:cs="Arial"/>
          <w:lang w:val="es-CO"/>
        </w:rPr>
        <w:t xml:space="preserve">, siendo </w:t>
      </w:r>
      <w:r w:rsidR="00585C3D">
        <w:rPr>
          <w:rFonts w:ascii="Bookman Old Style" w:hAnsi="Bookman Old Style" w:cs="Arial"/>
        </w:rPr>
        <w:t>esta</w:t>
      </w:r>
      <w:r>
        <w:rPr>
          <w:rFonts w:ascii="Bookman Old Style" w:hAnsi="Bookman Old Style" w:cs="Arial"/>
        </w:rPr>
        <w:t xml:space="preserve"> plataforma digital fuente de información financiera de carácter oficial para establecer la contribución especial de la CREG.</w:t>
      </w:r>
    </w:p>
    <w:p w14:paraId="5B93A151" w14:textId="77777777" w:rsidR="002A1A59" w:rsidRDefault="002A1A59" w:rsidP="000A0E2C">
      <w:pPr>
        <w:ind w:left="0"/>
        <w:jc w:val="both"/>
        <w:rPr>
          <w:rFonts w:ascii="Bookman Old Style" w:hAnsi="Bookman Old Style" w:cs="Arial"/>
        </w:rPr>
      </w:pPr>
    </w:p>
    <w:p w14:paraId="3B96819B" w14:textId="62C9C438"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 xml:space="preserve">on ocasión de </w:t>
      </w:r>
      <w:r>
        <w:rPr>
          <w:rFonts w:ascii="Bookman Old Style" w:hAnsi="Bookman Old Style" w:cs="Arial"/>
        </w:rPr>
        <w:t>la adopción por parte de Colombia de</w:t>
      </w:r>
      <w:r w:rsidRPr="00E42BC0">
        <w:rPr>
          <w:rFonts w:ascii="Bookman Old Style" w:hAnsi="Bookman Old Style" w:cs="Arial"/>
        </w:rPr>
        <w:t xml:space="preserve"> </w:t>
      </w:r>
      <w:r>
        <w:rPr>
          <w:rFonts w:ascii="Bookman Old Style" w:hAnsi="Bookman Old Style" w:cs="Arial"/>
        </w:rPr>
        <w:t xml:space="preserve">las </w:t>
      </w:r>
      <w:r w:rsidRPr="00E42BC0">
        <w:rPr>
          <w:rFonts w:ascii="Bookman Old Style" w:hAnsi="Bookman Old Style" w:cs="Arial"/>
        </w:rPr>
        <w:t xml:space="preserve">Normas </w:t>
      </w:r>
      <w:r>
        <w:rPr>
          <w:rFonts w:ascii="Bookman Old Style" w:hAnsi="Bookman Old Style" w:cs="Arial"/>
        </w:rPr>
        <w:t xml:space="preserve">Internacionales </w:t>
      </w:r>
      <w:r w:rsidRPr="00E42BC0">
        <w:rPr>
          <w:rFonts w:ascii="Bookman Old Style" w:hAnsi="Bookman Old Style" w:cs="Arial"/>
        </w:rPr>
        <w:t xml:space="preserve">de Información Financiera </w:t>
      </w:r>
      <w:r>
        <w:rPr>
          <w:rFonts w:ascii="Bookman Old Style" w:hAnsi="Bookman Old Style" w:cs="Arial"/>
        </w:rPr>
        <w:t>(NIIF) para el sector privado y las Normas Internacionales de Contabilidad para el sector público (NICSP)</w:t>
      </w:r>
      <w:r w:rsidR="00172CC4">
        <w:rPr>
          <w:rFonts w:ascii="Bookman Old Style" w:hAnsi="Bookman Old Style" w:cs="Arial"/>
        </w:rPr>
        <w:t>,</w:t>
      </w:r>
      <w:r w:rsidRPr="00E42BC0">
        <w:rPr>
          <w:rFonts w:ascii="Bookman Old Style" w:hAnsi="Bookman Old Style" w:cs="Arial"/>
        </w:rPr>
        <w:t xml:space="preserve"> </w:t>
      </w:r>
      <w:r>
        <w:rPr>
          <w:rFonts w:ascii="Bookman Old Style" w:hAnsi="Bookman Old Style" w:cs="Arial"/>
        </w:rPr>
        <w:t>éstas fueron incorporadas</w:t>
      </w:r>
      <w:r w:rsidRPr="00E42BC0">
        <w:rPr>
          <w:rFonts w:ascii="Bookman Old Style" w:hAnsi="Bookman Old Style" w:cs="Arial"/>
        </w:rPr>
        <w:t xml:space="preserve"> en </w:t>
      </w:r>
      <w:r>
        <w:rPr>
          <w:rFonts w:ascii="Bookman Old Style" w:hAnsi="Bookman Old Style" w:cs="Arial"/>
        </w:rPr>
        <w:t xml:space="preserve">la legislación colombiana y </w:t>
      </w:r>
      <w:r w:rsidRPr="00E42BC0">
        <w:rPr>
          <w:rFonts w:ascii="Bookman Old Style" w:hAnsi="Bookman Old Style" w:cs="Arial"/>
        </w:rPr>
        <w:t>constituyen</w:t>
      </w:r>
      <w:r w:rsidR="00641DAC">
        <w:rPr>
          <w:rFonts w:ascii="Bookman Old Style" w:hAnsi="Bookman Old Style" w:cs="Arial"/>
        </w:rPr>
        <w:t>,</w:t>
      </w:r>
      <w:r w:rsidRPr="00E42BC0">
        <w:rPr>
          <w:rFonts w:ascii="Bookman Old Style" w:hAnsi="Bookman Old Style" w:cs="Arial"/>
        </w:rPr>
        <w:t xml:space="preserve"> </w:t>
      </w:r>
      <w:r>
        <w:rPr>
          <w:rFonts w:ascii="Bookman Old Style" w:hAnsi="Bookman Old Style" w:cs="Arial"/>
        </w:rPr>
        <w:t>por tanto</w:t>
      </w:r>
      <w:r w:rsidR="00641DAC">
        <w:rPr>
          <w:rFonts w:ascii="Bookman Old Style" w:hAnsi="Bookman Old Style" w:cs="Arial"/>
        </w:rPr>
        <w:t>,</w:t>
      </w:r>
      <w:r>
        <w:rPr>
          <w:rFonts w:ascii="Bookman Old Style" w:hAnsi="Bookman Old Style" w:cs="Arial"/>
        </w:rPr>
        <w:t xml:space="preserve"> el marco normativo contable vigente</w:t>
      </w:r>
      <w:r w:rsidRPr="00E42BC0">
        <w:rPr>
          <w:rFonts w:ascii="Bookman Old Style" w:hAnsi="Bookman Old Style" w:cs="Arial"/>
        </w:rPr>
        <w:t>.</w:t>
      </w:r>
    </w:p>
    <w:p w14:paraId="73F359FD" w14:textId="4C0E112E" w:rsidR="000A0E2C" w:rsidRDefault="000A0E2C" w:rsidP="000A0E2C">
      <w:pPr>
        <w:ind w:left="0"/>
        <w:jc w:val="both"/>
        <w:rPr>
          <w:rFonts w:ascii="Bookman Old Style" w:hAnsi="Bookman Old Style" w:cs="Arial"/>
        </w:rPr>
      </w:pPr>
      <w:r>
        <w:rPr>
          <w:rFonts w:ascii="Bookman Old Style" w:hAnsi="Bookman Old Style" w:cs="Arial"/>
        </w:rPr>
        <w:lastRenderedPageBreak/>
        <w:t>E</w:t>
      </w:r>
      <w:r w:rsidRPr="00B43967">
        <w:rPr>
          <w:rFonts w:ascii="Bookman Old Style" w:hAnsi="Bookman Old Style" w:cs="Arial"/>
        </w:rPr>
        <w:t>l Congreso de la República expidió la Ley 1314 de 2009</w:t>
      </w:r>
      <w:r>
        <w:rPr>
          <w:rStyle w:val="Refdenotaalpie"/>
          <w:rFonts w:ascii="Bookman Old Style" w:hAnsi="Bookman Old Style"/>
        </w:rPr>
        <w:footnoteReference w:id="2"/>
      </w:r>
      <w:r w:rsidRPr="00B43967">
        <w:rPr>
          <w:rFonts w:ascii="Bookman Old Style" w:hAnsi="Bookman Old Style" w:cs="Arial"/>
        </w:rPr>
        <w:t>, y con fundamento en ella, el Gobierno Na</w:t>
      </w:r>
      <w:r>
        <w:rPr>
          <w:rFonts w:ascii="Bookman Old Style" w:hAnsi="Bookman Old Style" w:cs="Arial"/>
        </w:rPr>
        <w:t>cional</w:t>
      </w:r>
      <w:r w:rsidR="00172CC4">
        <w:rPr>
          <w:rFonts w:ascii="Bookman Old Style" w:hAnsi="Bookman Old Style" w:cs="Arial"/>
        </w:rPr>
        <w:t>,</w:t>
      </w:r>
      <w:r>
        <w:rPr>
          <w:rFonts w:ascii="Bookman Old Style" w:hAnsi="Bookman Old Style" w:cs="Arial"/>
        </w:rPr>
        <w:t xml:space="preserve"> mediante el DUR N° 2420</w:t>
      </w:r>
      <w:r w:rsidRPr="00B43967">
        <w:rPr>
          <w:rFonts w:ascii="Bookman Old Style" w:hAnsi="Bookman Old Style" w:cs="Arial"/>
        </w:rPr>
        <w:t xml:space="preserve"> del 14 de diciembre de 2015</w:t>
      </w:r>
      <w:r>
        <w:rPr>
          <w:rStyle w:val="Refdenotaalpie"/>
          <w:rFonts w:ascii="Bookman Old Style" w:hAnsi="Bookman Old Style"/>
        </w:rPr>
        <w:footnoteReference w:id="3"/>
      </w:r>
      <w:r w:rsidRPr="00B43967">
        <w:rPr>
          <w:rFonts w:ascii="Bookman Old Style" w:hAnsi="Bookman Old Style" w:cs="Arial"/>
        </w:rPr>
        <w:t xml:space="preserve"> y demás normas que los modifiquen, compilado en el Decreto 2483 del 28 de diciembre de 2018</w:t>
      </w:r>
      <w:r>
        <w:rPr>
          <w:rStyle w:val="Refdenotaalpie"/>
          <w:rFonts w:ascii="Bookman Old Style" w:hAnsi="Bookman Old Style"/>
        </w:rPr>
        <w:footnoteReference w:id="4"/>
      </w:r>
      <w:r w:rsidRPr="00B43967">
        <w:rPr>
          <w:rFonts w:ascii="Bookman Old Style" w:hAnsi="Bookman Old Style" w:cs="Arial"/>
        </w:rPr>
        <w:t>, estableció los criterios para que los preparadores de información financiera se clasificaran en diferentes grupos</w:t>
      </w:r>
      <w:r>
        <w:rPr>
          <w:rFonts w:ascii="Bookman Old Style" w:hAnsi="Bookman Old Style" w:cs="Arial"/>
        </w:rPr>
        <w:t xml:space="preserve"> </w:t>
      </w:r>
      <w:r w:rsidRPr="009D17F2">
        <w:rPr>
          <w:rFonts w:ascii="Bookman Old Style" w:hAnsi="Bookman Old Style" w:cs="Arial"/>
        </w:rPr>
        <w:t>de acuerdo con sus características</w:t>
      </w:r>
      <w:r w:rsidR="00172CC4">
        <w:rPr>
          <w:rFonts w:ascii="Bookman Old Style" w:hAnsi="Bookman Old Style" w:cs="Arial"/>
        </w:rPr>
        <w:t>,</w:t>
      </w:r>
      <w:r w:rsidRPr="009D17F2">
        <w:rPr>
          <w:rFonts w:ascii="Bookman Old Style" w:hAnsi="Bookman Old Style" w:cs="Arial"/>
        </w:rPr>
        <w:t xml:space="preserve"> e igualmente se adoptaron los marcos técnicos normativos para cada grupo.</w:t>
      </w:r>
    </w:p>
    <w:p w14:paraId="59D02ACE" w14:textId="77777777" w:rsidR="000A0E2C" w:rsidRDefault="000A0E2C" w:rsidP="000A0E2C">
      <w:pPr>
        <w:ind w:left="0"/>
        <w:jc w:val="both"/>
        <w:rPr>
          <w:rFonts w:ascii="Bookman Old Style" w:hAnsi="Bookman Old Style" w:cs="Arial"/>
        </w:rPr>
      </w:pPr>
    </w:p>
    <w:p w14:paraId="0A3F2763" w14:textId="52B5E003" w:rsidR="00227605" w:rsidRDefault="000A0E2C" w:rsidP="00227605">
      <w:pPr>
        <w:ind w:left="0"/>
        <w:jc w:val="both"/>
        <w:rPr>
          <w:rFonts w:ascii="Bookman Old Style" w:hAnsi="Bookman Old Style" w:cs="Arial"/>
        </w:rPr>
      </w:pPr>
      <w:r>
        <w:rPr>
          <w:rFonts w:ascii="Bookman Old Style" w:hAnsi="Bookman Old Style" w:cs="Arial"/>
        </w:rPr>
        <w:t>E</w:t>
      </w:r>
      <w:r w:rsidRPr="009D17F2">
        <w:rPr>
          <w:rFonts w:ascii="Bookman Old Style" w:hAnsi="Bookman Old Style" w:cs="Arial"/>
        </w:rPr>
        <w:t>l artículo 10 de la Ley 1314 de 2009 señaló que corresponde a las autoridades de supervisión, vigilar que los entes económicos sujetos a su inspección, vigilancia y control, así como sus administradores, funcionarios y profesionales de aseguramiento de información</w:t>
      </w:r>
      <w:r w:rsidR="00172CC4">
        <w:rPr>
          <w:rFonts w:ascii="Bookman Old Style" w:hAnsi="Bookman Old Style" w:cs="Arial"/>
        </w:rPr>
        <w:t>,</w:t>
      </w:r>
      <w:r w:rsidRPr="009D17F2">
        <w:rPr>
          <w:rFonts w:ascii="Bookman Old Style" w:hAnsi="Bookman Old Style" w:cs="Arial"/>
        </w:rPr>
        <w:t xml:space="preserve"> cumplan con las normas en materia de contabilidad, de información financiera y de aseguramiento</w:t>
      </w:r>
      <w:r w:rsidR="00227605">
        <w:rPr>
          <w:rFonts w:ascii="Bookman Old Style" w:hAnsi="Bookman Old Style" w:cs="Arial"/>
        </w:rPr>
        <w:t xml:space="preserve"> </w:t>
      </w:r>
      <w:r w:rsidRPr="009D17F2">
        <w:rPr>
          <w:rFonts w:ascii="Bookman Old Style" w:hAnsi="Bookman Old Style" w:cs="Arial"/>
        </w:rPr>
        <w:t>de información.</w:t>
      </w:r>
      <w:r w:rsidR="00227605">
        <w:rPr>
          <w:rFonts w:ascii="Bookman Old Style" w:hAnsi="Bookman Old Style" w:cs="Arial"/>
        </w:rPr>
        <w:t xml:space="preserve"> E</w:t>
      </w:r>
      <w:r w:rsidR="00227605" w:rsidRPr="00127AB5">
        <w:rPr>
          <w:rFonts w:ascii="Bookman Old Style" w:hAnsi="Bookman Old Style" w:cs="Arial"/>
        </w:rPr>
        <w:t xml:space="preserve">l marco de la mencionada </w:t>
      </w:r>
      <w:r w:rsidR="00FD3E0D" w:rsidRPr="00127AB5">
        <w:rPr>
          <w:rFonts w:ascii="Bookman Old Style" w:hAnsi="Bookman Old Style" w:cs="Arial"/>
        </w:rPr>
        <w:t>ley</w:t>
      </w:r>
      <w:r w:rsidR="00227605" w:rsidRPr="00127AB5">
        <w:rPr>
          <w:rFonts w:ascii="Bookman Old Style" w:hAnsi="Bookman Old Style" w:cs="Arial"/>
        </w:rPr>
        <w:t xml:space="preserve"> inició el proceso de convergencia a las nuevas normas de forma escalonada, con el propósito de que las empresas de todo el país se clasificaran en cada grupo de acuerdo con sus características, atendiendo para ello todos los requisitos exigidos para el efecto.</w:t>
      </w:r>
    </w:p>
    <w:p w14:paraId="2BAB3838" w14:textId="77777777" w:rsidR="000A0E2C" w:rsidRDefault="000A0E2C" w:rsidP="000A0E2C">
      <w:pPr>
        <w:ind w:left="0"/>
        <w:jc w:val="both"/>
        <w:rPr>
          <w:rFonts w:ascii="Bookman Old Style" w:hAnsi="Bookman Old Style" w:cs="Arial"/>
        </w:rPr>
      </w:pPr>
    </w:p>
    <w:p w14:paraId="3F8A5838" w14:textId="6AE70BEE" w:rsidR="000A0E2C" w:rsidRDefault="000A0E2C" w:rsidP="000A0E2C">
      <w:pPr>
        <w:ind w:left="0"/>
        <w:jc w:val="both"/>
        <w:rPr>
          <w:rFonts w:ascii="Bookman Old Style" w:hAnsi="Bookman Old Style" w:cs="Arial"/>
        </w:rPr>
      </w:pPr>
      <w:r>
        <w:rPr>
          <w:rFonts w:ascii="Bookman Old Style" w:hAnsi="Bookman Old Style" w:cs="Arial"/>
        </w:rPr>
        <w:t>L</w:t>
      </w:r>
      <w:r w:rsidRPr="00CB0396">
        <w:rPr>
          <w:rFonts w:ascii="Bookman Old Style" w:hAnsi="Bookman Old Style" w:cs="Arial"/>
        </w:rPr>
        <w:t>a Contaduría General de la Nación</w:t>
      </w:r>
      <w:r>
        <w:rPr>
          <w:rFonts w:ascii="Bookman Old Style" w:hAnsi="Bookman Old Style" w:cs="Arial"/>
        </w:rPr>
        <w:t xml:space="preserve"> (CGN)</w:t>
      </w:r>
      <w:r w:rsidRPr="00CB0396">
        <w:rPr>
          <w:rFonts w:ascii="Bookman Old Style" w:hAnsi="Bookman Old Style" w:cs="Arial"/>
        </w:rPr>
        <w:t xml:space="preserve">, expidió las Resoluciones </w:t>
      </w:r>
      <w:r>
        <w:rPr>
          <w:rFonts w:ascii="Bookman Old Style" w:hAnsi="Bookman Old Style" w:cs="Arial"/>
        </w:rPr>
        <w:t>N° 414 de 2014</w:t>
      </w:r>
      <w:r>
        <w:rPr>
          <w:rStyle w:val="Refdenotaalpie"/>
          <w:rFonts w:ascii="Bookman Old Style" w:hAnsi="Bookman Old Style"/>
        </w:rPr>
        <w:footnoteReference w:id="5"/>
      </w:r>
      <w:r>
        <w:rPr>
          <w:rFonts w:ascii="Bookman Old Style" w:hAnsi="Bookman Old Style" w:cs="Arial"/>
        </w:rPr>
        <w:t xml:space="preserve"> </w:t>
      </w:r>
      <w:r w:rsidRPr="00CB0396">
        <w:rPr>
          <w:rFonts w:ascii="Bookman Old Style" w:hAnsi="Bookman Old Style" w:cs="Arial"/>
        </w:rPr>
        <w:t xml:space="preserve">y </w:t>
      </w:r>
      <w:r>
        <w:rPr>
          <w:rFonts w:ascii="Bookman Old Style" w:hAnsi="Bookman Old Style" w:cs="Arial"/>
        </w:rPr>
        <w:t>N° 533 de 2015</w:t>
      </w:r>
      <w:r>
        <w:rPr>
          <w:rStyle w:val="Refdenotaalpie"/>
          <w:rFonts w:ascii="Bookman Old Style" w:hAnsi="Bookman Old Style"/>
        </w:rPr>
        <w:footnoteReference w:id="6"/>
      </w:r>
      <w:r w:rsidRPr="00CB0396">
        <w:rPr>
          <w:rFonts w:ascii="Bookman Old Style" w:hAnsi="Bookman Old Style" w:cs="Arial"/>
        </w:rPr>
        <w:t xml:space="preserve">, aplicables a las empresas sujetas al ámbito de su competencia y a las entidades del gobierno. Posteriormente </w:t>
      </w:r>
      <w:r>
        <w:rPr>
          <w:rFonts w:ascii="Bookman Old Style" w:hAnsi="Bookman Old Style" w:cs="Arial"/>
        </w:rPr>
        <w:t xml:space="preserve">la CGN </w:t>
      </w:r>
      <w:r w:rsidRPr="00CB0396">
        <w:rPr>
          <w:rFonts w:ascii="Bookman Old Style" w:hAnsi="Bookman Old Style" w:cs="Arial"/>
        </w:rPr>
        <w:t xml:space="preserve">emitió la Resolución </w:t>
      </w:r>
      <w:r>
        <w:rPr>
          <w:rFonts w:ascii="Bookman Old Style" w:hAnsi="Bookman Old Style" w:cs="Arial"/>
        </w:rPr>
        <w:t xml:space="preserve">N° </w:t>
      </w:r>
      <w:r w:rsidRPr="00CB0396">
        <w:rPr>
          <w:rFonts w:ascii="Bookman Old Style" w:hAnsi="Bookman Old Style" w:cs="Arial"/>
        </w:rPr>
        <w:t>037 de 2017</w:t>
      </w:r>
      <w:r>
        <w:rPr>
          <w:rStyle w:val="Refdenotaalpie"/>
          <w:rFonts w:ascii="Bookman Old Style" w:hAnsi="Bookman Old Style"/>
        </w:rPr>
        <w:footnoteReference w:id="7"/>
      </w:r>
      <w:r w:rsidR="00227605">
        <w:rPr>
          <w:rFonts w:ascii="Bookman Old Style" w:hAnsi="Bookman Old Style" w:cs="Arial"/>
        </w:rPr>
        <w:t xml:space="preserve"> </w:t>
      </w:r>
    </w:p>
    <w:p w14:paraId="3CC19668" w14:textId="77777777" w:rsidR="00BA43E8" w:rsidRDefault="00BA43E8" w:rsidP="000A0E2C">
      <w:pPr>
        <w:ind w:left="0"/>
        <w:jc w:val="both"/>
        <w:rPr>
          <w:rFonts w:ascii="Bookman Old Style" w:hAnsi="Bookman Old Style" w:cs="Arial"/>
        </w:rPr>
      </w:pPr>
    </w:p>
    <w:p w14:paraId="0421278C" w14:textId="0F129F98" w:rsidR="00685D35" w:rsidRDefault="000A0E2C" w:rsidP="000A0E2C">
      <w:pPr>
        <w:ind w:left="0"/>
        <w:jc w:val="both"/>
        <w:rPr>
          <w:rFonts w:ascii="Bookman Old Style" w:hAnsi="Bookman Old Style" w:cs="Arial"/>
        </w:rPr>
      </w:pPr>
      <w:r>
        <w:rPr>
          <w:rFonts w:ascii="Bookman Old Style" w:hAnsi="Bookman Old Style" w:cs="Arial"/>
        </w:rPr>
        <w:t>E</w:t>
      </w:r>
      <w:r w:rsidRPr="00702D59">
        <w:rPr>
          <w:rFonts w:ascii="Bookman Old Style" w:hAnsi="Bookman Old Style" w:cs="Arial"/>
        </w:rPr>
        <w:t>l lenguaje informático XBRL</w:t>
      </w:r>
      <w:r>
        <w:rPr>
          <w:rStyle w:val="Refdenotaalpie"/>
          <w:rFonts w:ascii="Bookman Old Style" w:hAnsi="Bookman Old Style"/>
        </w:rPr>
        <w:footnoteReference w:id="8"/>
      </w:r>
      <w:r w:rsidRPr="00702D59">
        <w:rPr>
          <w:rFonts w:ascii="Bookman Old Style" w:hAnsi="Bookman Old Style" w:cs="Arial"/>
        </w:rPr>
        <w:t xml:space="preserve"> permite el reporte de información financiera de forma estandarizada, facilitando la comparabilidad, transparencia y fiabilidad</w:t>
      </w:r>
      <w:r w:rsidR="00F01C5E">
        <w:rPr>
          <w:rFonts w:ascii="Bookman Old Style" w:hAnsi="Bookman Old Style" w:cs="Arial"/>
        </w:rPr>
        <w:t>,</w:t>
      </w:r>
      <w:r w:rsidRPr="00702D59">
        <w:rPr>
          <w:rFonts w:ascii="Bookman Old Style" w:hAnsi="Bookman Old Style" w:cs="Arial"/>
        </w:rPr>
        <w:t xml:space="preserve"> e incorporando las reglas de negocio en su implementación.</w:t>
      </w:r>
    </w:p>
    <w:p w14:paraId="5881366D" w14:textId="77777777" w:rsidR="00830A8D" w:rsidRDefault="00830A8D" w:rsidP="000A0E2C">
      <w:pPr>
        <w:ind w:left="0"/>
        <w:jc w:val="both"/>
        <w:rPr>
          <w:rFonts w:ascii="Bookman Old Style" w:hAnsi="Bookman Old Style" w:cs="Arial"/>
        </w:rPr>
      </w:pPr>
    </w:p>
    <w:p w14:paraId="13D27C12" w14:textId="058A5F2A" w:rsidR="000A0E2C" w:rsidRDefault="000A0E2C" w:rsidP="000A0E2C">
      <w:pPr>
        <w:ind w:left="0"/>
        <w:jc w:val="both"/>
        <w:rPr>
          <w:rFonts w:ascii="Bookman Old Style" w:hAnsi="Bookman Old Style" w:cs="Arial"/>
        </w:rPr>
      </w:pPr>
      <w:r>
        <w:rPr>
          <w:rFonts w:ascii="Bookman Old Style" w:hAnsi="Bookman Old Style" w:cs="Arial"/>
        </w:rPr>
        <w:lastRenderedPageBreak/>
        <w:t xml:space="preserve">Para </w:t>
      </w:r>
      <w:r w:rsidR="00227605">
        <w:rPr>
          <w:rFonts w:ascii="Bookman Old Style" w:hAnsi="Bookman Old Style" w:cs="Arial"/>
        </w:rPr>
        <w:t xml:space="preserve">estos </w:t>
      </w:r>
      <w:r>
        <w:rPr>
          <w:rFonts w:ascii="Bookman Old Style" w:hAnsi="Bookman Old Style" w:cs="Arial"/>
        </w:rPr>
        <w:t>efectos</w:t>
      </w:r>
      <w:r w:rsidR="00F01C5E">
        <w:rPr>
          <w:rFonts w:ascii="Bookman Old Style" w:hAnsi="Bookman Old Style" w:cs="Arial"/>
        </w:rPr>
        <w:t>,</w:t>
      </w:r>
      <w:r>
        <w:rPr>
          <w:rFonts w:ascii="Bookman Old Style" w:hAnsi="Bookman Old Style" w:cs="Arial"/>
        </w:rPr>
        <w:t xml:space="preserve"> </w:t>
      </w:r>
      <w:r w:rsidRPr="00E42BC0">
        <w:rPr>
          <w:rFonts w:ascii="Bookman Old Style" w:hAnsi="Bookman Old Style" w:cs="Arial"/>
        </w:rPr>
        <w:t xml:space="preserve">la </w:t>
      </w:r>
      <w:r>
        <w:rPr>
          <w:rFonts w:ascii="Bookman Old Style" w:hAnsi="Bookman Old Style" w:cs="Arial"/>
        </w:rPr>
        <w:t xml:space="preserve">SSPD </w:t>
      </w:r>
      <w:r w:rsidRPr="00E42BC0">
        <w:rPr>
          <w:rFonts w:ascii="Bookman Old Style" w:hAnsi="Bookman Old Style" w:cs="Arial"/>
        </w:rPr>
        <w:t>exp</w:t>
      </w:r>
      <w:r>
        <w:rPr>
          <w:rFonts w:ascii="Bookman Old Style" w:hAnsi="Bookman Old Style" w:cs="Arial"/>
        </w:rPr>
        <w:t>idió la Resolución N°</w:t>
      </w:r>
      <w:r w:rsidRPr="006873EF">
        <w:rPr>
          <w:rFonts w:ascii="Bookman Old Style" w:hAnsi="Bookman Old Style" w:cs="Arial"/>
        </w:rPr>
        <w:t xml:space="preserve"> SSPD -201613</w:t>
      </w:r>
      <w:r>
        <w:rPr>
          <w:rFonts w:ascii="Bookman Old Style" w:hAnsi="Bookman Old Style" w:cs="Arial"/>
        </w:rPr>
        <w:t xml:space="preserve">00013475 del 19 de mayo de 2016, por la cual se establecen los requerimientos de información financiera para las personas </w:t>
      </w:r>
      <w:r w:rsidR="00013EC3">
        <w:rPr>
          <w:rFonts w:ascii="Bookman Old Style" w:hAnsi="Bookman Old Style" w:cs="Arial"/>
        </w:rPr>
        <w:t>prestadoras</w:t>
      </w:r>
      <w:r>
        <w:rPr>
          <w:rFonts w:ascii="Bookman Old Style" w:hAnsi="Bookman Old Style" w:cs="Arial"/>
        </w:rPr>
        <w:t xml:space="preserve"> de servicios públicos domiciliarios, mediante una estructura para reportar</w:t>
      </w:r>
      <w:r w:rsidRPr="00E42BC0">
        <w:rPr>
          <w:rFonts w:ascii="Bookman Old Style" w:hAnsi="Bookman Old Style" w:cs="Arial"/>
        </w:rPr>
        <w:t xml:space="preserve"> </w:t>
      </w:r>
      <w:r>
        <w:rPr>
          <w:rFonts w:ascii="Bookman Old Style" w:hAnsi="Bookman Old Style" w:cs="Arial"/>
        </w:rPr>
        <w:t>la</w:t>
      </w:r>
      <w:r w:rsidRPr="00E42BC0">
        <w:rPr>
          <w:rFonts w:ascii="Bookman Old Style" w:hAnsi="Bookman Old Style" w:cs="Arial"/>
        </w:rPr>
        <w:t xml:space="preserve"> información financiera en el lenguaje informático XBRL, fundamentado en las estructuras de taxonomía</w:t>
      </w:r>
      <w:r>
        <w:rPr>
          <w:rFonts w:ascii="Bookman Old Style" w:hAnsi="Bookman Old Style" w:cs="Arial"/>
        </w:rPr>
        <w:t>s</w:t>
      </w:r>
      <w:r w:rsidRPr="00E42BC0">
        <w:rPr>
          <w:rFonts w:ascii="Bookman Old Style" w:hAnsi="Bookman Old Style" w:cs="Arial"/>
        </w:rPr>
        <w:t xml:space="preserve"> </w:t>
      </w:r>
      <w:r>
        <w:rPr>
          <w:rFonts w:ascii="Bookman Old Style" w:hAnsi="Bookman Old Style" w:cs="Arial"/>
        </w:rPr>
        <w:t xml:space="preserve">XML </w:t>
      </w:r>
      <w:r w:rsidRPr="00E42BC0">
        <w:rPr>
          <w:rFonts w:ascii="Bookman Old Style" w:hAnsi="Bookman Old Style" w:cs="Arial"/>
        </w:rPr>
        <w:t xml:space="preserve">expedidas por </w:t>
      </w:r>
      <w:r>
        <w:rPr>
          <w:rFonts w:ascii="Bookman Old Style" w:hAnsi="Bookman Old Style" w:cs="Arial"/>
        </w:rPr>
        <w:t>la</w:t>
      </w:r>
      <w:r w:rsidRPr="00E42BC0">
        <w:rPr>
          <w:rFonts w:ascii="Bookman Old Style" w:hAnsi="Bookman Old Style" w:cs="Arial"/>
        </w:rPr>
        <w:t xml:space="preserve"> IASB que emite las Normas Internaciona</w:t>
      </w:r>
      <w:r>
        <w:rPr>
          <w:rFonts w:ascii="Bookman Old Style" w:hAnsi="Bookman Old Style" w:cs="Arial"/>
        </w:rPr>
        <w:t>les de Información Financiera.</w:t>
      </w:r>
    </w:p>
    <w:p w14:paraId="0CEE7491" w14:textId="77777777" w:rsidR="000A0E2C" w:rsidRDefault="000A0E2C" w:rsidP="000A0E2C">
      <w:pPr>
        <w:ind w:left="0"/>
        <w:jc w:val="both"/>
        <w:rPr>
          <w:rFonts w:ascii="Bookman Old Style" w:hAnsi="Bookman Old Style" w:cs="Arial"/>
        </w:rPr>
      </w:pPr>
    </w:p>
    <w:p w14:paraId="32FA90BB" w14:textId="1CF293C8" w:rsidR="000A0E2C" w:rsidRDefault="000A0E2C" w:rsidP="000A0E2C">
      <w:pPr>
        <w:ind w:left="0"/>
        <w:jc w:val="both"/>
        <w:rPr>
          <w:rFonts w:ascii="Bookman Old Style" w:hAnsi="Bookman Old Style" w:cs="Arial"/>
        </w:rPr>
      </w:pPr>
      <w:r w:rsidRPr="00127AB5">
        <w:rPr>
          <w:rFonts w:ascii="Bookman Old Style" w:hAnsi="Bookman Old Style" w:cs="Arial"/>
        </w:rPr>
        <w:t xml:space="preserve">La </w:t>
      </w:r>
      <w:bookmarkStart w:id="0" w:name="_Hlk118205116"/>
      <w:r w:rsidRPr="00127AB5">
        <w:rPr>
          <w:rFonts w:ascii="Bookman Old Style" w:hAnsi="Bookman Old Style" w:cs="Arial"/>
        </w:rPr>
        <w:t>S</w:t>
      </w:r>
      <w:r w:rsidR="007B2FB9">
        <w:rPr>
          <w:rFonts w:ascii="Bookman Old Style" w:hAnsi="Bookman Old Style" w:cs="Arial"/>
        </w:rPr>
        <w:t xml:space="preserve">uperintendencia de </w:t>
      </w:r>
      <w:r w:rsidRPr="00127AB5">
        <w:rPr>
          <w:rFonts w:ascii="Bookman Old Style" w:hAnsi="Bookman Old Style" w:cs="Arial"/>
        </w:rPr>
        <w:t>S</w:t>
      </w:r>
      <w:r w:rsidR="007B2FB9">
        <w:rPr>
          <w:rFonts w:ascii="Bookman Old Style" w:hAnsi="Bookman Old Style" w:cs="Arial"/>
        </w:rPr>
        <w:t xml:space="preserve">ervicios </w:t>
      </w:r>
      <w:r w:rsidRPr="00127AB5">
        <w:rPr>
          <w:rFonts w:ascii="Bookman Old Style" w:hAnsi="Bookman Old Style" w:cs="Arial"/>
        </w:rPr>
        <w:t>P</w:t>
      </w:r>
      <w:r w:rsidR="007B2FB9">
        <w:rPr>
          <w:rFonts w:ascii="Bookman Old Style" w:hAnsi="Bookman Old Style" w:cs="Arial"/>
        </w:rPr>
        <w:t>úbli</w:t>
      </w:r>
      <w:r w:rsidR="00BE4B96">
        <w:rPr>
          <w:rFonts w:ascii="Bookman Old Style" w:hAnsi="Bookman Old Style" w:cs="Arial"/>
        </w:rPr>
        <w:t xml:space="preserve">cos </w:t>
      </w:r>
      <w:r w:rsidRPr="00127AB5">
        <w:rPr>
          <w:rFonts w:ascii="Bookman Old Style" w:hAnsi="Bookman Old Style" w:cs="Arial"/>
        </w:rPr>
        <w:t>D</w:t>
      </w:r>
      <w:r w:rsidR="00BE4B96">
        <w:rPr>
          <w:rFonts w:ascii="Bookman Old Style" w:hAnsi="Bookman Old Style" w:cs="Arial"/>
        </w:rPr>
        <w:t>omiciliarios</w:t>
      </w:r>
      <w:r w:rsidRPr="00127AB5">
        <w:rPr>
          <w:rFonts w:ascii="Bookman Old Style" w:hAnsi="Bookman Old Style" w:cs="Arial"/>
        </w:rPr>
        <w:t xml:space="preserve"> </w:t>
      </w:r>
      <w:bookmarkEnd w:id="0"/>
      <w:r w:rsidRPr="00127AB5">
        <w:rPr>
          <w:rFonts w:ascii="Bookman Old Style" w:hAnsi="Bookman Old Style" w:cs="Arial"/>
        </w:rPr>
        <w:t>modificó la estructura, lenguaje de reporte y periodicidad de la certificación de la información financiera a taxonomías en XBRL, con tipo de informe individual o consolidado y periodicidad anual, y que permite el reporte de información financiera de forma estandarizada, lo cual facilita la comparabilidad, transparencia y fiabilidad, e incorpora las reglas de negocio en su implementación. Para el efecto, la SSPD, dispuso de una nueva taxonomía para la recepción de la información financiera en el SUI según resolución N° 20171300042935 de 2017.</w:t>
      </w:r>
    </w:p>
    <w:p w14:paraId="518F164C" w14:textId="77777777" w:rsidR="000A0E2C" w:rsidRDefault="000A0E2C" w:rsidP="000A0E2C">
      <w:pPr>
        <w:ind w:left="0"/>
        <w:jc w:val="both"/>
        <w:rPr>
          <w:rFonts w:ascii="Bookman Old Style" w:hAnsi="Bookman Old Style" w:cs="Arial"/>
        </w:rPr>
      </w:pPr>
    </w:p>
    <w:p w14:paraId="79573C92" w14:textId="1ADD40A1" w:rsidR="000A0E2C" w:rsidRDefault="000A0E2C" w:rsidP="000A0E2C">
      <w:pPr>
        <w:ind w:left="0"/>
        <w:jc w:val="both"/>
        <w:rPr>
          <w:rFonts w:ascii="Bookman Old Style" w:hAnsi="Bookman Old Style" w:cs="Arial"/>
        </w:rPr>
      </w:pPr>
      <w:r>
        <w:rPr>
          <w:rFonts w:ascii="Bookman Old Style" w:hAnsi="Bookman Old Style" w:cs="Arial"/>
        </w:rPr>
        <w:t>En la Resolución SSPD N° 20192000034975 del 10 de septiembre de 2019 se complementó la Resolución N° 20192200020155 del 25 de junio de 2019 y se establecen los lineamientos de cargue de información al SUI para los formatos contenidos en</w:t>
      </w:r>
      <w:r w:rsidR="00C74F02">
        <w:rPr>
          <w:rFonts w:ascii="Bookman Old Style" w:hAnsi="Bookman Old Style" w:cs="Arial"/>
        </w:rPr>
        <w:t xml:space="preserve"> la Resolución N° </w:t>
      </w:r>
      <w:r w:rsidR="00C74F02" w:rsidRPr="00C74F02">
        <w:rPr>
          <w:rFonts w:ascii="Bookman Old Style" w:hAnsi="Bookman Old Style" w:cs="Arial"/>
        </w:rPr>
        <w:t xml:space="preserve">SSPD 20102400008055 </w:t>
      </w:r>
      <w:r w:rsidR="00C74F02">
        <w:rPr>
          <w:rFonts w:ascii="Bookman Old Style" w:hAnsi="Bookman Old Style" w:cs="Arial"/>
        </w:rPr>
        <w:t>del 16 de marzo de</w:t>
      </w:r>
      <w:r w:rsidR="00C74F02" w:rsidRPr="00C74F02">
        <w:rPr>
          <w:rFonts w:ascii="Bookman Old Style" w:hAnsi="Bookman Old Style" w:cs="Arial"/>
        </w:rPr>
        <w:t xml:space="preserve"> 2010</w:t>
      </w:r>
      <w:r w:rsidR="00C74F02">
        <w:rPr>
          <w:rFonts w:ascii="Bookman Old Style" w:hAnsi="Bookman Old Style" w:cs="Arial"/>
        </w:rPr>
        <w:t>,</w:t>
      </w:r>
      <w:r>
        <w:rPr>
          <w:rFonts w:ascii="Bookman Old Style" w:hAnsi="Bookman Old Style" w:cs="Arial"/>
        </w:rPr>
        <w:t xml:space="preserve"> las circulares SSPD-CREG N° 006 del 30 de diciembre de 2003, modificada por la Circular SSPD-CREG N° 003 del 19 de diciembre de 2005</w:t>
      </w:r>
      <w:r w:rsidR="004C4748">
        <w:rPr>
          <w:rFonts w:ascii="Bookman Old Style" w:hAnsi="Bookman Old Style" w:cs="Arial"/>
        </w:rPr>
        <w:t>, Circular SSPD-CREG N° 002 del 02 de junio de 2005</w:t>
      </w:r>
      <w:r>
        <w:rPr>
          <w:rFonts w:ascii="Bookman Old Style" w:hAnsi="Bookman Old Style" w:cs="Arial"/>
        </w:rPr>
        <w:t xml:space="preserve"> y la Circular SSPD-CREG N° 001 del 05 de abril de 2005</w:t>
      </w:r>
      <w:r w:rsidR="004C4748">
        <w:rPr>
          <w:rFonts w:ascii="Bookman Old Style" w:hAnsi="Bookman Old Style" w:cs="Arial"/>
        </w:rPr>
        <w:t>.</w:t>
      </w:r>
    </w:p>
    <w:p w14:paraId="1E6B5125" w14:textId="1614AA1F" w:rsidR="001A0907" w:rsidRDefault="001A0907" w:rsidP="000A0E2C">
      <w:pPr>
        <w:ind w:left="0"/>
        <w:jc w:val="both"/>
        <w:rPr>
          <w:rFonts w:ascii="Bookman Old Style" w:hAnsi="Bookman Old Style" w:cs="Arial"/>
        </w:rPr>
      </w:pPr>
    </w:p>
    <w:p w14:paraId="65A645C3" w14:textId="4D163B3F" w:rsidR="004C4748" w:rsidRDefault="001A0907" w:rsidP="001A0907">
      <w:pPr>
        <w:ind w:left="0"/>
        <w:jc w:val="both"/>
        <w:rPr>
          <w:rFonts w:ascii="Bookman Old Style" w:hAnsi="Bookman Old Style" w:cs="Arial"/>
        </w:rPr>
      </w:pPr>
      <w:r>
        <w:rPr>
          <w:rFonts w:ascii="Bookman Old Style" w:hAnsi="Bookman Old Style" w:cs="Arial"/>
        </w:rPr>
        <w:t xml:space="preserve">La </w:t>
      </w:r>
      <w:r w:rsidR="00BE4B96" w:rsidRPr="00BE4B96">
        <w:rPr>
          <w:rFonts w:ascii="Bookman Old Style" w:hAnsi="Bookman Old Style" w:cs="Arial"/>
        </w:rPr>
        <w:t>Superintendencia de Servicios Públicos Domiciliarios</w:t>
      </w:r>
      <w:r>
        <w:rPr>
          <w:rFonts w:ascii="Bookman Old Style" w:hAnsi="Bookman Old Style" w:cs="Arial"/>
        </w:rPr>
        <w:t xml:space="preserve"> expidió para las empresas prestadoras de energía eléctrica la </w:t>
      </w:r>
      <w:r w:rsidRPr="001A0907">
        <w:rPr>
          <w:rFonts w:ascii="Bookman Old Style" w:hAnsi="Bookman Old Style" w:cs="Arial"/>
        </w:rPr>
        <w:t xml:space="preserve">Resolución </w:t>
      </w:r>
      <w:r>
        <w:rPr>
          <w:rFonts w:ascii="Bookman Old Style" w:hAnsi="Bookman Old Style" w:cs="Arial"/>
        </w:rPr>
        <w:t>N°</w:t>
      </w:r>
      <w:r w:rsidRPr="001A0907">
        <w:rPr>
          <w:rFonts w:ascii="Bookman Old Style" w:hAnsi="Bookman Old Style" w:cs="Arial"/>
        </w:rPr>
        <w:t xml:space="preserve"> 20102400008055 de</w:t>
      </w:r>
      <w:r w:rsidR="00C74F02">
        <w:rPr>
          <w:rFonts w:ascii="Bookman Old Style" w:hAnsi="Bookman Old Style" w:cs="Arial"/>
        </w:rPr>
        <w:t>l 16 de marzo de</w:t>
      </w:r>
      <w:r>
        <w:rPr>
          <w:rFonts w:ascii="Bookman Old Style" w:hAnsi="Bookman Old Style" w:cs="Arial"/>
        </w:rPr>
        <w:t xml:space="preserve"> </w:t>
      </w:r>
      <w:r w:rsidRPr="001A0907">
        <w:rPr>
          <w:rFonts w:ascii="Bookman Old Style" w:hAnsi="Bookman Old Style" w:cs="Arial"/>
        </w:rPr>
        <w:t>2010</w:t>
      </w:r>
      <w:r>
        <w:rPr>
          <w:rFonts w:ascii="Bookman Old Style" w:hAnsi="Bookman Old Style" w:cs="Arial"/>
        </w:rPr>
        <w:t xml:space="preserve"> “Por la cual se unifica en un solo acto administrativo la normatividad expedida en el sector de energía eléctrica para el cargue de </w:t>
      </w:r>
      <w:r w:rsidRPr="001A0907">
        <w:rPr>
          <w:rFonts w:ascii="Bookman Old Style" w:hAnsi="Bookman Old Style" w:cs="Arial"/>
        </w:rPr>
        <w:t>información al SUI</w:t>
      </w:r>
      <w:r>
        <w:rPr>
          <w:rFonts w:ascii="Bookman Old Style" w:hAnsi="Bookman Old Style" w:cs="Arial"/>
        </w:rPr>
        <w:t>” y sus resoluciones modificatorias</w:t>
      </w:r>
      <w:r w:rsidR="004C4748">
        <w:rPr>
          <w:rFonts w:ascii="Bookman Old Style" w:hAnsi="Bookman Old Style" w:cs="Arial"/>
        </w:rPr>
        <w:t xml:space="preserve">, vigente hasta que una vez </w:t>
      </w:r>
      <w:r w:rsidR="004C4748" w:rsidRPr="004C4748">
        <w:rPr>
          <w:rFonts w:ascii="Bookman Old Style" w:hAnsi="Bookman Old Style" w:cs="Arial"/>
        </w:rPr>
        <w:t xml:space="preserve">se cumpla lo dispuesto en el artículo 15 </w:t>
      </w:r>
      <w:r w:rsidR="004C4748">
        <w:rPr>
          <w:rFonts w:ascii="Bookman Old Style" w:hAnsi="Bookman Old Style" w:cs="Arial"/>
        </w:rPr>
        <w:t xml:space="preserve">de </w:t>
      </w:r>
      <w:r w:rsidR="004C4748" w:rsidRPr="004C4748">
        <w:rPr>
          <w:rFonts w:ascii="Bookman Old Style" w:hAnsi="Bookman Old Style" w:cs="Arial"/>
        </w:rPr>
        <w:t xml:space="preserve">la Resolución </w:t>
      </w:r>
      <w:r w:rsidR="004C4748">
        <w:rPr>
          <w:rFonts w:ascii="Bookman Old Style" w:hAnsi="Bookman Old Style" w:cs="Arial"/>
        </w:rPr>
        <w:t xml:space="preserve">SSPD N° </w:t>
      </w:r>
      <w:r w:rsidR="004C4748" w:rsidRPr="004C4748">
        <w:rPr>
          <w:rFonts w:ascii="Bookman Old Style" w:hAnsi="Bookman Old Style" w:cs="Arial"/>
        </w:rPr>
        <w:t>20212200012515</w:t>
      </w:r>
      <w:r w:rsidR="004C4748">
        <w:rPr>
          <w:rFonts w:ascii="Bookman Old Style" w:hAnsi="Bookman Old Style" w:cs="Arial"/>
        </w:rPr>
        <w:t xml:space="preserve"> del 26 de marzo de 2021.</w:t>
      </w:r>
    </w:p>
    <w:p w14:paraId="26EDF439" w14:textId="77777777" w:rsidR="004C4748" w:rsidRDefault="004C4748" w:rsidP="001A0907">
      <w:pPr>
        <w:ind w:left="0"/>
        <w:jc w:val="both"/>
        <w:rPr>
          <w:rFonts w:ascii="Bookman Old Style" w:hAnsi="Bookman Old Style" w:cs="Arial"/>
        </w:rPr>
      </w:pPr>
    </w:p>
    <w:p w14:paraId="5A1B5B27" w14:textId="6D4D2959" w:rsidR="00227605" w:rsidRDefault="004C4748" w:rsidP="001A0907">
      <w:pPr>
        <w:ind w:left="0"/>
        <w:jc w:val="both"/>
        <w:rPr>
          <w:rFonts w:ascii="Bookman Old Style" w:hAnsi="Bookman Old Style" w:cs="Arial"/>
        </w:rPr>
      </w:pPr>
      <w:r>
        <w:rPr>
          <w:rFonts w:ascii="Bookman Old Style" w:hAnsi="Bookman Old Style" w:cs="Arial"/>
        </w:rPr>
        <w:t xml:space="preserve">La </w:t>
      </w:r>
      <w:r w:rsidR="00BE4B96" w:rsidRPr="00127AB5">
        <w:rPr>
          <w:rFonts w:ascii="Bookman Old Style" w:hAnsi="Bookman Old Style" w:cs="Arial"/>
        </w:rPr>
        <w:t>S</w:t>
      </w:r>
      <w:r w:rsidR="00BE4B96">
        <w:rPr>
          <w:rFonts w:ascii="Bookman Old Style" w:hAnsi="Bookman Old Style" w:cs="Arial"/>
        </w:rPr>
        <w:t xml:space="preserve">uperintendencia de </w:t>
      </w:r>
      <w:r w:rsidR="00BE4B96" w:rsidRPr="00127AB5">
        <w:rPr>
          <w:rFonts w:ascii="Bookman Old Style" w:hAnsi="Bookman Old Style" w:cs="Arial"/>
        </w:rPr>
        <w:t>S</w:t>
      </w:r>
      <w:r w:rsidR="00BE4B96">
        <w:rPr>
          <w:rFonts w:ascii="Bookman Old Style" w:hAnsi="Bookman Old Style" w:cs="Arial"/>
        </w:rPr>
        <w:t xml:space="preserve">ervicios </w:t>
      </w:r>
      <w:r w:rsidR="00BE4B96" w:rsidRPr="00127AB5">
        <w:rPr>
          <w:rFonts w:ascii="Bookman Old Style" w:hAnsi="Bookman Old Style" w:cs="Arial"/>
        </w:rPr>
        <w:t>P</w:t>
      </w:r>
      <w:r w:rsidR="00BE4B96">
        <w:rPr>
          <w:rFonts w:ascii="Bookman Old Style" w:hAnsi="Bookman Old Style" w:cs="Arial"/>
        </w:rPr>
        <w:t xml:space="preserve">úblicos </w:t>
      </w:r>
      <w:r w:rsidR="00BE4B96" w:rsidRPr="00127AB5">
        <w:rPr>
          <w:rFonts w:ascii="Bookman Old Style" w:hAnsi="Bookman Old Style" w:cs="Arial"/>
        </w:rPr>
        <w:t>D</w:t>
      </w:r>
      <w:r w:rsidR="00BE4B96">
        <w:rPr>
          <w:rFonts w:ascii="Bookman Old Style" w:hAnsi="Bookman Old Style" w:cs="Arial"/>
        </w:rPr>
        <w:t>omiciliarios</w:t>
      </w:r>
      <w:r>
        <w:rPr>
          <w:rFonts w:ascii="Bookman Old Style" w:hAnsi="Bookman Old Style" w:cs="Arial"/>
        </w:rPr>
        <w:t xml:space="preserve"> expidió la Resolución N° </w:t>
      </w:r>
      <w:r w:rsidRPr="004C4748">
        <w:rPr>
          <w:rFonts w:ascii="Bookman Old Style" w:hAnsi="Bookman Old Style" w:cs="Arial"/>
        </w:rPr>
        <w:t>20212200012515</w:t>
      </w:r>
      <w:r>
        <w:rPr>
          <w:rFonts w:ascii="Bookman Old Style" w:hAnsi="Bookman Old Style" w:cs="Arial"/>
        </w:rPr>
        <w:t xml:space="preserve"> del 26 de marzo de 2021 “</w:t>
      </w:r>
      <w:r w:rsidRPr="00280F45">
        <w:rPr>
          <w:rFonts w:ascii="Bookman Old Style" w:hAnsi="Bookman Old Style" w:cs="Arial"/>
          <w:i/>
          <w:iCs/>
        </w:rPr>
        <w:t>Por la cual se expiden los lineamientos para el cargue de información al Sistema Único de Información (SUI) aplicable a los prestadores del servicio público de energía eléctrica del Sistema Interconectado Nacional (SIN</w:t>
      </w:r>
      <w:r w:rsidRPr="004C4748">
        <w:rPr>
          <w:rFonts w:ascii="Bookman Old Style" w:hAnsi="Bookman Old Style" w:cs="Arial"/>
        </w:rPr>
        <w:t>)</w:t>
      </w:r>
      <w:r>
        <w:rPr>
          <w:rFonts w:ascii="Bookman Old Style" w:hAnsi="Bookman Old Style" w:cs="Arial"/>
        </w:rPr>
        <w:t>”</w:t>
      </w:r>
      <w:r w:rsidR="00C74F02">
        <w:rPr>
          <w:rFonts w:ascii="Bookman Old Style" w:hAnsi="Bookman Old Style" w:cs="Arial"/>
        </w:rPr>
        <w:t xml:space="preserve"> y deroga el artículo primero de la Resolución SSPD N° </w:t>
      </w:r>
      <w:r w:rsidR="00C74F02" w:rsidRPr="00C74F02">
        <w:rPr>
          <w:rFonts w:ascii="Bookman Old Style" w:hAnsi="Bookman Old Style" w:cs="Arial"/>
        </w:rPr>
        <w:t>20192000034975 de 2019</w:t>
      </w:r>
      <w:r w:rsidR="00C74F02">
        <w:rPr>
          <w:rFonts w:ascii="Bookman Old Style" w:hAnsi="Bookman Old Style" w:cs="Arial"/>
        </w:rPr>
        <w:t xml:space="preserve">, la Resolución SSPD N° </w:t>
      </w:r>
      <w:r w:rsidR="00C74F02" w:rsidRPr="00C74F02">
        <w:rPr>
          <w:rFonts w:ascii="Bookman Old Style" w:hAnsi="Bookman Old Style" w:cs="Arial"/>
        </w:rPr>
        <w:t>20192200020155 de 2019</w:t>
      </w:r>
      <w:r w:rsidR="00C74F02">
        <w:rPr>
          <w:rFonts w:ascii="Bookman Old Style" w:hAnsi="Bookman Old Style" w:cs="Arial"/>
        </w:rPr>
        <w:t xml:space="preserve"> y la Resolución SSPD N° </w:t>
      </w:r>
      <w:r w:rsidR="00C74F02" w:rsidRPr="00C74F02">
        <w:rPr>
          <w:rFonts w:ascii="Bookman Old Style" w:hAnsi="Bookman Old Style" w:cs="Arial"/>
        </w:rPr>
        <w:t>20102400008055 de 2010</w:t>
      </w:r>
      <w:r w:rsidR="00227605">
        <w:rPr>
          <w:rFonts w:ascii="Bookman Old Style" w:hAnsi="Bookman Old Style" w:cs="Arial"/>
        </w:rPr>
        <w:t>.</w:t>
      </w:r>
    </w:p>
    <w:p w14:paraId="7D70754F" w14:textId="77777777" w:rsidR="00D47F93" w:rsidRDefault="00D47F93" w:rsidP="001A0907">
      <w:pPr>
        <w:ind w:left="0"/>
        <w:jc w:val="both"/>
        <w:rPr>
          <w:rFonts w:ascii="Bookman Old Style" w:hAnsi="Bookman Old Style" w:cs="Arial"/>
        </w:rPr>
      </w:pPr>
    </w:p>
    <w:p w14:paraId="740E6505" w14:textId="75D7AF54" w:rsidR="00A26EAE" w:rsidRDefault="00A26EAE" w:rsidP="00A26EAE">
      <w:pPr>
        <w:ind w:left="0"/>
        <w:jc w:val="both"/>
        <w:rPr>
          <w:rFonts w:ascii="Bookman Old Style" w:hAnsi="Bookman Old Style" w:cs="Arial"/>
        </w:rPr>
      </w:pPr>
      <w:r>
        <w:rPr>
          <w:rFonts w:ascii="Bookman Old Style" w:hAnsi="Bookman Old Style" w:cs="Arial"/>
        </w:rPr>
        <w:t xml:space="preserve">La </w:t>
      </w:r>
      <w:r w:rsidR="00BE4B96" w:rsidRPr="00BE4B96">
        <w:rPr>
          <w:rFonts w:ascii="Bookman Old Style" w:hAnsi="Bookman Old Style" w:cs="Arial"/>
        </w:rPr>
        <w:t>Superintendencia de Servicios Públicos Domiciliarios</w:t>
      </w:r>
      <w:r>
        <w:rPr>
          <w:rFonts w:ascii="Bookman Old Style" w:hAnsi="Bookman Old Style" w:cs="Arial"/>
        </w:rPr>
        <w:t xml:space="preserve"> expidió la Resolución N° </w:t>
      </w:r>
      <w:r w:rsidRPr="00A26EAE">
        <w:rPr>
          <w:rFonts w:ascii="Bookman Old Style" w:hAnsi="Bookman Old Style" w:cs="Arial"/>
        </w:rPr>
        <w:t>20221000665435</w:t>
      </w:r>
      <w:r>
        <w:rPr>
          <w:rFonts w:ascii="Bookman Old Style" w:hAnsi="Bookman Old Style" w:cs="Arial"/>
        </w:rPr>
        <w:t xml:space="preserve"> del 18 de julio de 2022 “</w:t>
      </w:r>
      <w:r w:rsidR="00671C5E" w:rsidRPr="00671C5E">
        <w:rPr>
          <w:rFonts w:ascii="Bookman Old Style" w:hAnsi="Bookman Old Style" w:cs="Arial"/>
          <w:i/>
          <w:iCs/>
        </w:rPr>
        <w:t>Por la cual unifican los lineamientos para el cargue de información al Sistema Único de Información – SUI aplicable a los prestadores del servicio público de gas combustible por redes de tubería</w:t>
      </w:r>
      <w:r w:rsidR="00671C5E">
        <w:rPr>
          <w:rFonts w:ascii="Bookman Old Style" w:hAnsi="Bookman Old Style" w:cs="Arial"/>
          <w:i/>
          <w:iCs/>
        </w:rPr>
        <w:t>”</w:t>
      </w:r>
      <w:r>
        <w:rPr>
          <w:rFonts w:ascii="Bookman Old Style" w:hAnsi="Bookman Old Style" w:cs="Arial"/>
        </w:rPr>
        <w:t>.</w:t>
      </w:r>
    </w:p>
    <w:p w14:paraId="08FDCADC" w14:textId="77777777" w:rsidR="00671C5E" w:rsidRDefault="00671C5E" w:rsidP="001A0907">
      <w:pPr>
        <w:ind w:left="0"/>
        <w:jc w:val="both"/>
        <w:rPr>
          <w:rFonts w:ascii="Bookman Old Style" w:hAnsi="Bookman Old Style" w:cs="Arial"/>
        </w:rPr>
      </w:pPr>
    </w:p>
    <w:p w14:paraId="7CACAA47" w14:textId="7D17EA89" w:rsidR="00685D35" w:rsidRDefault="000D4034" w:rsidP="000A0E2C">
      <w:pPr>
        <w:ind w:left="0"/>
        <w:jc w:val="both"/>
        <w:rPr>
          <w:rFonts w:ascii="Bookman Old Style" w:hAnsi="Bookman Old Style" w:cs="Arial"/>
        </w:rPr>
      </w:pPr>
      <w:r>
        <w:rPr>
          <w:rFonts w:ascii="Bookman Old Style" w:hAnsi="Bookman Old Style" w:cs="Arial"/>
        </w:rPr>
        <w:t>Mediante</w:t>
      </w:r>
      <w:r w:rsidR="00C74F02" w:rsidRPr="00585C3D">
        <w:rPr>
          <w:rFonts w:ascii="Bookman Old Style" w:hAnsi="Bookman Old Style" w:cs="Arial"/>
        </w:rPr>
        <w:t xml:space="preserve"> Resolución N° </w:t>
      </w:r>
      <w:r w:rsidRPr="000D4034">
        <w:rPr>
          <w:rFonts w:ascii="Bookman Old Style" w:hAnsi="Bookman Old Style" w:cs="Arial"/>
        </w:rPr>
        <w:t>20221000154665</w:t>
      </w:r>
      <w:r w:rsidR="00C74F02" w:rsidRPr="00585C3D">
        <w:rPr>
          <w:rFonts w:ascii="Bookman Old Style" w:hAnsi="Bookman Old Style" w:cs="Arial"/>
        </w:rPr>
        <w:t xml:space="preserve"> de</w:t>
      </w:r>
      <w:r w:rsidR="00C74F02">
        <w:rPr>
          <w:rFonts w:ascii="Bookman Old Style" w:hAnsi="Bookman Old Style" w:cs="Arial"/>
        </w:rPr>
        <w:t xml:space="preserve">l </w:t>
      </w:r>
      <w:r>
        <w:rPr>
          <w:rFonts w:ascii="Bookman Old Style" w:hAnsi="Bookman Old Style" w:cs="Arial"/>
        </w:rPr>
        <w:t>4</w:t>
      </w:r>
      <w:r w:rsidR="00C74F02">
        <w:rPr>
          <w:rFonts w:ascii="Bookman Old Style" w:hAnsi="Bookman Old Style" w:cs="Arial"/>
        </w:rPr>
        <w:t xml:space="preserve"> de </w:t>
      </w:r>
      <w:r>
        <w:rPr>
          <w:rFonts w:ascii="Bookman Old Style" w:hAnsi="Bookman Old Style" w:cs="Arial"/>
        </w:rPr>
        <w:t>marzo</w:t>
      </w:r>
      <w:r w:rsidR="00C74F02">
        <w:rPr>
          <w:rFonts w:ascii="Bookman Old Style" w:hAnsi="Bookman Old Style" w:cs="Arial"/>
        </w:rPr>
        <w:t xml:space="preserve"> de</w:t>
      </w:r>
      <w:r w:rsidR="00C74F02" w:rsidRPr="00585C3D">
        <w:rPr>
          <w:rFonts w:ascii="Bookman Old Style" w:hAnsi="Bookman Old Style" w:cs="Arial"/>
        </w:rPr>
        <w:t xml:space="preserve"> 202</w:t>
      </w:r>
      <w:r>
        <w:rPr>
          <w:rFonts w:ascii="Bookman Old Style" w:hAnsi="Bookman Old Style" w:cs="Arial"/>
        </w:rPr>
        <w:t>2</w:t>
      </w:r>
      <w:r w:rsidR="00FD3E0D">
        <w:rPr>
          <w:rFonts w:ascii="Bookman Old Style" w:hAnsi="Bookman Old Style" w:cs="Arial"/>
        </w:rPr>
        <w:t>,</w:t>
      </w:r>
      <w:r w:rsidR="00C74F02" w:rsidRPr="00585C3D">
        <w:rPr>
          <w:rFonts w:ascii="Bookman Old Style" w:hAnsi="Bookman Old Style" w:cs="Arial"/>
        </w:rPr>
        <w:t xml:space="preserve"> </w:t>
      </w:r>
      <w:r>
        <w:rPr>
          <w:rFonts w:ascii="Bookman Old Style" w:hAnsi="Bookman Old Style" w:cs="Arial"/>
        </w:rPr>
        <w:t xml:space="preserve">la </w:t>
      </w:r>
      <w:r w:rsidR="00BE4B96" w:rsidRPr="00BE4B96">
        <w:rPr>
          <w:rFonts w:ascii="Bookman Old Style" w:hAnsi="Bookman Old Style" w:cs="Arial"/>
        </w:rPr>
        <w:t>Superintendencia de Servicios Públicos Domiciliarios</w:t>
      </w:r>
      <w:r>
        <w:rPr>
          <w:rFonts w:ascii="Bookman Old Style" w:hAnsi="Bookman Old Style" w:cs="Arial"/>
        </w:rPr>
        <w:t xml:space="preserve"> </w:t>
      </w:r>
      <w:r w:rsidR="00C74F02" w:rsidRPr="00585C3D">
        <w:rPr>
          <w:rFonts w:ascii="Bookman Old Style" w:hAnsi="Bookman Old Style" w:cs="Arial"/>
        </w:rPr>
        <w:t xml:space="preserve">estableció los plazos para </w:t>
      </w:r>
      <w:r w:rsidR="00C74F02" w:rsidRPr="00585C3D">
        <w:rPr>
          <w:rFonts w:ascii="Bookman Old Style" w:hAnsi="Bookman Old Style" w:cs="Arial"/>
        </w:rPr>
        <w:lastRenderedPageBreak/>
        <w:t>el cargue de la información financiera con corte a 31 de diciembre de 20</w:t>
      </w:r>
      <w:r>
        <w:rPr>
          <w:rFonts w:ascii="Bookman Old Style" w:hAnsi="Bookman Old Style" w:cs="Arial"/>
        </w:rPr>
        <w:t>21</w:t>
      </w:r>
      <w:r w:rsidR="00C74F02" w:rsidRPr="00585C3D">
        <w:rPr>
          <w:rFonts w:ascii="Bookman Old Style" w:hAnsi="Bookman Old Style" w:cs="Arial"/>
        </w:rPr>
        <w:t>, la cual es la base para liquidar la contribución especial 202</w:t>
      </w:r>
      <w:r>
        <w:rPr>
          <w:rFonts w:ascii="Bookman Old Style" w:hAnsi="Bookman Old Style" w:cs="Arial"/>
        </w:rPr>
        <w:t>2</w:t>
      </w:r>
      <w:r w:rsidR="00C74F02" w:rsidRPr="00585C3D">
        <w:rPr>
          <w:rFonts w:ascii="Bookman Old Style" w:hAnsi="Bookman Old Style" w:cs="Arial"/>
        </w:rPr>
        <w:t>, determinada en el artículo 85 de la Ley 142 de 1994</w:t>
      </w:r>
      <w:r w:rsidR="00A71C1D">
        <w:rPr>
          <w:rFonts w:ascii="Bookman Old Style" w:hAnsi="Bookman Old Style" w:cs="Arial"/>
        </w:rPr>
        <w:t xml:space="preserve">, con fecha </w:t>
      </w:r>
      <w:r>
        <w:rPr>
          <w:rFonts w:ascii="Bookman Old Style" w:hAnsi="Bookman Old Style" w:cs="Arial"/>
        </w:rPr>
        <w:t>del 18 al 22 de abril de 2022, conforme al último dígito de ID del RUPS.</w:t>
      </w:r>
    </w:p>
    <w:p w14:paraId="5A9FCA16" w14:textId="6966E769" w:rsidR="000D4034" w:rsidRDefault="000D4034" w:rsidP="000A0E2C">
      <w:pPr>
        <w:ind w:left="0"/>
        <w:jc w:val="both"/>
        <w:rPr>
          <w:rFonts w:ascii="Bookman Old Style" w:hAnsi="Bookman Old Style" w:cs="Arial"/>
        </w:rPr>
      </w:pPr>
    </w:p>
    <w:p w14:paraId="2BC88E79" w14:textId="347E00C4" w:rsidR="000D4034" w:rsidRDefault="000D4034" w:rsidP="000D4034">
      <w:pPr>
        <w:ind w:left="0"/>
        <w:jc w:val="both"/>
        <w:rPr>
          <w:rFonts w:ascii="Bookman Old Style" w:hAnsi="Bookman Old Style" w:cs="Arial"/>
        </w:rPr>
      </w:pPr>
      <w:r>
        <w:rPr>
          <w:rFonts w:ascii="Bookman Old Style" w:hAnsi="Bookman Old Style" w:cs="Arial"/>
        </w:rPr>
        <w:t>M</w:t>
      </w:r>
      <w:r w:rsidRPr="000D4034">
        <w:rPr>
          <w:rFonts w:ascii="Bookman Old Style" w:hAnsi="Bookman Old Style" w:cs="Arial"/>
        </w:rPr>
        <w:t>ediante Resolución No. SSPD - 20221000362095 del 22 de abril de 2022, se modificó el</w:t>
      </w:r>
      <w:r>
        <w:rPr>
          <w:rFonts w:ascii="Bookman Old Style" w:hAnsi="Bookman Old Style" w:cs="Arial"/>
        </w:rPr>
        <w:t xml:space="preserve"> </w:t>
      </w:r>
      <w:r w:rsidRPr="000D4034">
        <w:rPr>
          <w:rFonts w:ascii="Bookman Old Style" w:hAnsi="Bookman Old Style" w:cs="Arial"/>
        </w:rPr>
        <w:t>artículo 2 de la Resolución SSSPD 20221000154665 del 4 de marzo de 2022, en el sentido de</w:t>
      </w:r>
      <w:r>
        <w:rPr>
          <w:rFonts w:ascii="Bookman Old Style" w:hAnsi="Bookman Old Style" w:cs="Arial"/>
        </w:rPr>
        <w:t xml:space="preserve"> </w:t>
      </w:r>
      <w:r w:rsidRPr="000D4034">
        <w:rPr>
          <w:rFonts w:ascii="Bookman Old Style" w:hAnsi="Bookman Old Style" w:cs="Arial"/>
        </w:rPr>
        <w:t xml:space="preserve">ampliar el plazo para </w:t>
      </w:r>
      <w:r>
        <w:rPr>
          <w:rFonts w:ascii="Bookman Old Style" w:hAnsi="Bookman Old Style" w:cs="Arial"/>
        </w:rPr>
        <w:t>todas las empresas hasta el 6 de mayo de 2022.</w:t>
      </w:r>
    </w:p>
    <w:p w14:paraId="25F251B3" w14:textId="035E3487" w:rsidR="00685D35" w:rsidRDefault="00685D35" w:rsidP="000A0E2C">
      <w:pPr>
        <w:ind w:left="0"/>
        <w:jc w:val="both"/>
        <w:rPr>
          <w:rFonts w:ascii="Bookman Old Style" w:hAnsi="Bookman Old Style" w:cs="Arial"/>
        </w:rPr>
      </w:pPr>
    </w:p>
    <w:p w14:paraId="4DC3E14C" w14:textId="42C05C1A" w:rsidR="00FA674B" w:rsidRDefault="00FA674B" w:rsidP="00FA674B">
      <w:pPr>
        <w:ind w:left="0"/>
        <w:jc w:val="both"/>
        <w:rPr>
          <w:rFonts w:ascii="Bookman Old Style" w:hAnsi="Bookman Old Style" w:cs="Arial"/>
        </w:rPr>
      </w:pPr>
      <w:r>
        <w:rPr>
          <w:rFonts w:ascii="Bookman Old Style" w:hAnsi="Bookman Old Style" w:cs="Arial"/>
        </w:rPr>
        <w:t xml:space="preserve">La </w:t>
      </w:r>
      <w:r w:rsidR="003D3170" w:rsidRPr="003D3170">
        <w:rPr>
          <w:rFonts w:ascii="Bookman Old Style" w:hAnsi="Bookman Old Style" w:cs="Arial"/>
        </w:rPr>
        <w:t>Superintendencia de Servicios Públicos Domiciliarios</w:t>
      </w:r>
      <w:r w:rsidR="003D3170">
        <w:rPr>
          <w:rFonts w:ascii="Bookman Old Style" w:hAnsi="Bookman Old Style" w:cs="Arial"/>
        </w:rPr>
        <w:t>,</w:t>
      </w:r>
      <w:r>
        <w:rPr>
          <w:rFonts w:ascii="Bookman Old Style" w:hAnsi="Bookman Old Style" w:cs="Arial"/>
        </w:rPr>
        <w:t xml:space="preserve"> a</w:t>
      </w:r>
      <w:r w:rsidRPr="000E72EB">
        <w:rPr>
          <w:rFonts w:ascii="Bookman Old Style" w:hAnsi="Bookman Old Style" w:cs="Arial"/>
        </w:rPr>
        <w:t xml:space="preserve"> través de la Resolución N° </w:t>
      </w:r>
      <w:r w:rsidRPr="00484BB1">
        <w:rPr>
          <w:rFonts w:ascii="Bookman Old Style" w:hAnsi="Bookman Old Style" w:cs="Arial"/>
        </w:rPr>
        <w:t>20221000627655</w:t>
      </w:r>
      <w:r w:rsidRPr="000E72EB">
        <w:rPr>
          <w:rFonts w:ascii="Bookman Old Style" w:hAnsi="Bookman Old Style" w:cs="Arial"/>
        </w:rPr>
        <w:t xml:space="preserve"> del </w:t>
      </w:r>
      <w:r>
        <w:rPr>
          <w:rFonts w:ascii="Bookman Old Style" w:hAnsi="Bookman Old Style" w:cs="Arial"/>
        </w:rPr>
        <w:t>16</w:t>
      </w:r>
      <w:r w:rsidRPr="000E72EB">
        <w:rPr>
          <w:rFonts w:ascii="Bookman Old Style" w:hAnsi="Bookman Old Style" w:cs="Arial"/>
        </w:rPr>
        <w:t xml:space="preserve"> de </w:t>
      </w:r>
      <w:r>
        <w:rPr>
          <w:rFonts w:ascii="Bookman Old Style" w:hAnsi="Bookman Old Style" w:cs="Arial"/>
        </w:rPr>
        <w:t>junio</w:t>
      </w:r>
      <w:r w:rsidRPr="000E72EB">
        <w:rPr>
          <w:rFonts w:ascii="Bookman Old Style" w:hAnsi="Bookman Old Style" w:cs="Arial"/>
        </w:rPr>
        <w:t xml:space="preserve"> de 202</w:t>
      </w:r>
      <w:r>
        <w:rPr>
          <w:rFonts w:ascii="Bookman Old Style" w:hAnsi="Bookman Old Style" w:cs="Arial"/>
        </w:rPr>
        <w:t>2</w:t>
      </w:r>
      <w:r w:rsidRPr="000E72EB">
        <w:rPr>
          <w:rFonts w:ascii="Bookman Old Style" w:hAnsi="Bookman Old Style" w:cs="Arial"/>
        </w:rPr>
        <w:t xml:space="preserve"> “</w:t>
      </w:r>
      <w:r w:rsidRPr="00280F45">
        <w:rPr>
          <w:rFonts w:ascii="Bookman Old Style" w:hAnsi="Bookman Old Style" w:cs="Arial"/>
          <w:i/>
          <w:iCs/>
        </w:rPr>
        <w:t>Por la cual se establece el número de prestadores que servirá como base para liquidar la contribución especial para el año 202</w:t>
      </w:r>
      <w:r>
        <w:rPr>
          <w:rFonts w:ascii="Bookman Old Style" w:hAnsi="Bookman Old Style" w:cs="Arial"/>
          <w:i/>
          <w:iCs/>
        </w:rPr>
        <w:t>2</w:t>
      </w:r>
      <w:r w:rsidRPr="000E72EB">
        <w:rPr>
          <w:rFonts w:ascii="Bookman Old Style" w:hAnsi="Bookman Old Style" w:cs="Arial"/>
        </w:rPr>
        <w:t>”,</w:t>
      </w:r>
      <w:r>
        <w:rPr>
          <w:rFonts w:ascii="Bookman Old Style" w:hAnsi="Bookman Old Style" w:cs="Arial"/>
        </w:rPr>
        <w:t xml:space="preserve"> </w:t>
      </w:r>
      <w:r w:rsidRPr="000E72EB">
        <w:rPr>
          <w:rFonts w:ascii="Bookman Old Style" w:hAnsi="Bookman Old Style" w:cs="Arial"/>
        </w:rPr>
        <w:t>determinó el número de prestadores de servicios públicos domiciliarios</w:t>
      </w:r>
      <w:r>
        <w:rPr>
          <w:rFonts w:ascii="Bookman Old Style" w:hAnsi="Bookman Old Style" w:cs="Arial"/>
        </w:rPr>
        <w:t>, los cuales son</w:t>
      </w:r>
      <w:r w:rsidRPr="000E72EB">
        <w:rPr>
          <w:rFonts w:ascii="Bookman Old Style" w:hAnsi="Bookman Old Style" w:cs="Arial"/>
        </w:rPr>
        <w:t xml:space="preserve"> del ámbito de </w:t>
      </w:r>
      <w:r>
        <w:rPr>
          <w:rFonts w:ascii="Bookman Old Style" w:hAnsi="Bookman Old Style" w:cs="Arial"/>
        </w:rPr>
        <w:t xml:space="preserve">regulación de </w:t>
      </w:r>
      <w:r w:rsidRPr="000E72EB">
        <w:rPr>
          <w:rFonts w:ascii="Bookman Old Style" w:hAnsi="Bookman Old Style" w:cs="Arial"/>
        </w:rPr>
        <w:t>la CREG</w:t>
      </w:r>
      <w:r>
        <w:rPr>
          <w:rFonts w:ascii="Bookman Old Style" w:hAnsi="Bookman Old Style" w:cs="Arial"/>
        </w:rPr>
        <w:t>;</w:t>
      </w:r>
      <w:r w:rsidRPr="000E72EB">
        <w:rPr>
          <w:rFonts w:ascii="Bookman Old Style" w:hAnsi="Bookman Old Style" w:cs="Arial"/>
        </w:rPr>
        <w:t xml:space="preserve"> censo que servirá de base para la CREG </w:t>
      </w:r>
      <w:r w:rsidR="00B45A4E">
        <w:rPr>
          <w:rFonts w:ascii="Bookman Old Style" w:hAnsi="Bookman Old Style" w:cs="Arial"/>
        </w:rPr>
        <w:t>establecer la base de contribuyentes de la vigencia 2022</w:t>
      </w:r>
      <w:r>
        <w:rPr>
          <w:rStyle w:val="Refdenotaalpie"/>
          <w:rFonts w:ascii="Bookman Old Style" w:hAnsi="Bookman Old Style" w:cs="Arial"/>
        </w:rPr>
        <w:footnoteReference w:id="9"/>
      </w:r>
      <w:r w:rsidRPr="000E72EB">
        <w:rPr>
          <w:rFonts w:ascii="Bookman Old Style" w:hAnsi="Bookman Old Style" w:cs="Arial"/>
        </w:rPr>
        <w:t>.</w:t>
      </w:r>
    </w:p>
    <w:p w14:paraId="01E2FFD1" w14:textId="77777777" w:rsidR="00FA674B" w:rsidRDefault="00FA674B" w:rsidP="000A0E2C">
      <w:pPr>
        <w:ind w:left="0"/>
        <w:jc w:val="both"/>
        <w:rPr>
          <w:rFonts w:ascii="Bookman Old Style" w:hAnsi="Bookman Old Style" w:cs="Arial"/>
        </w:rPr>
      </w:pPr>
    </w:p>
    <w:p w14:paraId="1223559B" w14:textId="6A05EC29" w:rsidR="000A0E2C" w:rsidRDefault="000A0E2C" w:rsidP="000A0E2C">
      <w:pPr>
        <w:ind w:left="0"/>
        <w:jc w:val="both"/>
        <w:rPr>
          <w:rFonts w:ascii="Bookman Old Style" w:hAnsi="Bookman Old Style" w:cs="Arial"/>
        </w:rPr>
      </w:pPr>
      <w:r>
        <w:rPr>
          <w:rFonts w:ascii="Bookman Old Style" w:hAnsi="Bookman Old Style" w:cs="Arial"/>
        </w:rPr>
        <w:t>C</w:t>
      </w:r>
      <w:r w:rsidRPr="00E42BC0">
        <w:rPr>
          <w:rFonts w:ascii="Bookman Old Style" w:hAnsi="Bookman Old Style" w:cs="Arial"/>
        </w:rPr>
        <w:t xml:space="preserve">ada reporte basado en una taxonomía por grupo y tipo de </w:t>
      </w:r>
      <w:r w:rsidR="00CA30CE" w:rsidRPr="00E42BC0">
        <w:rPr>
          <w:rFonts w:ascii="Bookman Old Style" w:hAnsi="Bookman Old Style" w:cs="Arial"/>
        </w:rPr>
        <w:t>reporte</w:t>
      </w:r>
      <w:r w:rsidRPr="00E42BC0">
        <w:rPr>
          <w:rFonts w:ascii="Bookman Old Style" w:hAnsi="Bookman Old Style" w:cs="Arial"/>
        </w:rPr>
        <w:t xml:space="preserve"> permite reflejar los requerimientos de reconocimiento, medición (inicial y posterior), presentación y revelación de cada uno de los marcos normativos</w:t>
      </w:r>
      <w:r w:rsidR="00050EF7">
        <w:rPr>
          <w:rFonts w:ascii="Bookman Old Style" w:hAnsi="Bookman Old Style" w:cs="Arial"/>
        </w:rPr>
        <w:t>. E</w:t>
      </w:r>
      <w:r w:rsidRPr="00E42BC0">
        <w:rPr>
          <w:rFonts w:ascii="Bookman Old Style" w:hAnsi="Bookman Old Style" w:cs="Arial"/>
        </w:rPr>
        <w:t>s así</w:t>
      </w:r>
      <w:r w:rsidR="00926FC1">
        <w:rPr>
          <w:rFonts w:ascii="Bookman Old Style" w:hAnsi="Bookman Old Style" w:cs="Arial"/>
        </w:rPr>
        <w:t>,</w:t>
      </w:r>
      <w:r w:rsidRPr="00E42BC0">
        <w:rPr>
          <w:rFonts w:ascii="Bookman Old Style" w:hAnsi="Bookman Old Style" w:cs="Arial"/>
        </w:rPr>
        <w:t xml:space="preserve"> que cada preparador de información, vigilado por esta superintendencia, podrá utilizar los mecanismos que considere más fiables y pertinentes para el registro de los hechos económicos en cumplimiento de los objetivos de la información contable, sin que estos sufran una modificación en su naturaleza.</w:t>
      </w:r>
    </w:p>
    <w:p w14:paraId="22EE020E" w14:textId="1FD19001" w:rsidR="00585C3D" w:rsidRDefault="00585C3D" w:rsidP="000A0E2C">
      <w:pPr>
        <w:ind w:left="0"/>
        <w:jc w:val="both"/>
        <w:rPr>
          <w:rFonts w:ascii="Bookman Old Style" w:hAnsi="Bookman Old Style" w:cs="Arial"/>
        </w:rPr>
      </w:pPr>
    </w:p>
    <w:p w14:paraId="458E43B0" w14:textId="6BD319C7" w:rsidR="00585C3D" w:rsidRDefault="00B33435" w:rsidP="00585C3D">
      <w:pPr>
        <w:ind w:left="0"/>
        <w:jc w:val="both"/>
        <w:rPr>
          <w:rFonts w:ascii="Bookman Old Style" w:hAnsi="Bookman Old Style" w:cs="Arial"/>
        </w:rPr>
      </w:pPr>
      <w:r>
        <w:rPr>
          <w:rFonts w:ascii="Bookman Old Style" w:hAnsi="Bookman Old Style" w:cs="Arial"/>
        </w:rPr>
        <w:t>E</w:t>
      </w:r>
      <w:r w:rsidR="00585C3D" w:rsidRPr="00585C3D">
        <w:rPr>
          <w:rFonts w:ascii="Bookman Old Style" w:hAnsi="Bookman Old Style" w:cs="Arial"/>
        </w:rPr>
        <w:t xml:space="preserve">l artículo 18 de la Ley 142 de 1994 señala que </w:t>
      </w:r>
      <w:r w:rsidR="00585C3D" w:rsidRPr="00280F45">
        <w:rPr>
          <w:rFonts w:ascii="Bookman Old Style" w:hAnsi="Bookman Old Style" w:cs="Arial"/>
          <w:i/>
          <w:iCs/>
        </w:rPr>
        <w:t>“[e]n todo caso, las empresas de servicios públicos que tengan objeto social múltiple deberán llevar contabilidad separada para cada uno de los servicios que presten; y el costo y la modalidad de las operaciones entre cada servicio deben registrarse de manera explícita (...)”</w:t>
      </w:r>
      <w:r w:rsidR="00C74F02" w:rsidRPr="00280F45">
        <w:rPr>
          <w:rFonts w:ascii="Bookman Old Style" w:hAnsi="Bookman Old Style" w:cs="Arial"/>
          <w:i/>
          <w:iCs/>
        </w:rPr>
        <w:t>.</w:t>
      </w:r>
    </w:p>
    <w:p w14:paraId="4A2AD2BB" w14:textId="67E33695" w:rsidR="00C74F02" w:rsidRDefault="00C74F02" w:rsidP="00585C3D">
      <w:pPr>
        <w:ind w:left="0"/>
        <w:jc w:val="both"/>
        <w:rPr>
          <w:rFonts w:ascii="Bookman Old Style" w:hAnsi="Bookman Old Style" w:cs="Arial"/>
        </w:rPr>
      </w:pPr>
    </w:p>
    <w:p w14:paraId="12B1EC7D" w14:textId="26892C72" w:rsidR="00C74F02" w:rsidRDefault="00C74F02" w:rsidP="00585C3D">
      <w:pPr>
        <w:ind w:left="0"/>
        <w:jc w:val="both"/>
        <w:rPr>
          <w:rFonts w:ascii="Bookman Old Style" w:hAnsi="Bookman Old Style" w:cs="Arial"/>
        </w:rPr>
      </w:pPr>
      <w:r w:rsidRPr="00C74F02">
        <w:rPr>
          <w:rFonts w:ascii="Bookman Old Style" w:hAnsi="Bookman Old Style" w:cs="Arial"/>
        </w:rPr>
        <w:t>El artículo 85 de la Ley 142 de 1994, aplicable a la liquidación de la contribución especial para la vigencia 202</w:t>
      </w:r>
      <w:r w:rsidR="00395F30">
        <w:rPr>
          <w:rFonts w:ascii="Bookman Old Style" w:hAnsi="Bookman Old Style" w:cs="Arial"/>
        </w:rPr>
        <w:t>2</w:t>
      </w:r>
      <w:r w:rsidRPr="00C74F02">
        <w:rPr>
          <w:rFonts w:ascii="Bookman Old Style" w:hAnsi="Bookman Old Style" w:cs="Arial"/>
        </w:rPr>
        <w:t xml:space="preserve">, </w:t>
      </w:r>
      <w:r w:rsidR="003628A6">
        <w:rPr>
          <w:rFonts w:ascii="Bookman Old Style" w:hAnsi="Bookman Old Style" w:cs="Arial"/>
        </w:rPr>
        <w:t>determina</w:t>
      </w:r>
      <w:r w:rsidRPr="00C74F02">
        <w:rPr>
          <w:rFonts w:ascii="Bookman Old Style" w:hAnsi="Bookman Old Style" w:cs="Arial"/>
        </w:rPr>
        <w:t>:</w:t>
      </w:r>
    </w:p>
    <w:p w14:paraId="77D26900" w14:textId="5FD0221E" w:rsidR="003628A6" w:rsidRDefault="003628A6" w:rsidP="00B33435">
      <w:pPr>
        <w:ind w:left="0"/>
        <w:jc w:val="both"/>
        <w:rPr>
          <w:rFonts w:ascii="Bookman Old Style" w:hAnsi="Bookman Old Style" w:cs="Arial"/>
        </w:rPr>
      </w:pPr>
    </w:p>
    <w:p w14:paraId="5E130B0D"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ARTICULO 85.-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 </w:t>
      </w:r>
    </w:p>
    <w:p w14:paraId="1B9BDAD9" w14:textId="77777777" w:rsidR="003628A6" w:rsidRPr="00685D35" w:rsidRDefault="003628A6" w:rsidP="00050EF7">
      <w:pPr>
        <w:ind w:left="284"/>
        <w:jc w:val="both"/>
        <w:rPr>
          <w:rFonts w:ascii="Bookman Old Style" w:hAnsi="Bookman Old Style" w:cs="Arial"/>
          <w:i/>
        </w:rPr>
      </w:pPr>
    </w:p>
    <w:p w14:paraId="45278A9A"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85.1.- Para definir los costos de los servicios que presten las comisiones y la Superintendencia, se tendrán en cuenta todos los gastos de funcionamiento, y la depreciación, amortización u obsolescencia de sus activos, en el período anual respectivo.</w:t>
      </w:r>
    </w:p>
    <w:p w14:paraId="18FD12A2" w14:textId="77777777" w:rsidR="003628A6" w:rsidRPr="00685D35" w:rsidRDefault="003628A6" w:rsidP="00050EF7">
      <w:pPr>
        <w:ind w:left="284"/>
        <w:jc w:val="both"/>
        <w:rPr>
          <w:rFonts w:ascii="Bookman Old Style" w:hAnsi="Bookman Old Style" w:cs="Arial"/>
          <w:i/>
        </w:rPr>
      </w:pPr>
    </w:p>
    <w:p w14:paraId="3FC09EC7"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lastRenderedPageBreak/>
        <w:t xml:space="preserve">85.2.- La superintendencia y las comisiones presupuestarán sus gastos cada año y cobrarán dentro de los límites que enseguida se señalan, solamente la tarifa que arroje el valor necesario para cubrir su presupuesto anual. </w:t>
      </w:r>
    </w:p>
    <w:p w14:paraId="65E02479" w14:textId="55A55404" w:rsidR="00227605" w:rsidRDefault="003628A6" w:rsidP="00050EF7">
      <w:pPr>
        <w:ind w:left="284"/>
        <w:jc w:val="both"/>
        <w:rPr>
          <w:rFonts w:ascii="Bookman Old Style" w:hAnsi="Bookman Old Style" w:cs="Arial"/>
          <w:i/>
          <w:sz w:val="16"/>
          <w:szCs w:val="16"/>
        </w:rPr>
      </w:pPr>
      <w:r w:rsidRPr="00B33435">
        <w:rPr>
          <w:rFonts w:ascii="Bookman Old Style" w:hAnsi="Bookman Old Style" w:cs="Arial"/>
          <w:i/>
          <w:sz w:val="16"/>
          <w:szCs w:val="16"/>
        </w:rPr>
        <w:tab/>
      </w:r>
    </w:p>
    <w:p w14:paraId="26672FB8" w14:textId="5F9E61A3" w:rsidR="00685D35" w:rsidRDefault="00685D35" w:rsidP="00050EF7">
      <w:pPr>
        <w:ind w:left="284"/>
        <w:jc w:val="both"/>
        <w:rPr>
          <w:rFonts w:ascii="Bookman Old Style" w:hAnsi="Bookman Old Style" w:cs="Arial"/>
          <w:i/>
          <w:sz w:val="16"/>
          <w:szCs w:val="16"/>
        </w:rPr>
      </w:pPr>
    </w:p>
    <w:p w14:paraId="73727A3A" w14:textId="4875B266"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14:paraId="6649C998" w14:textId="77777777" w:rsidR="00685D35" w:rsidRPr="00685D35" w:rsidRDefault="00685D35" w:rsidP="00050EF7">
      <w:pPr>
        <w:ind w:left="284"/>
        <w:jc w:val="both"/>
        <w:rPr>
          <w:rFonts w:ascii="Bookman Old Style" w:hAnsi="Bookman Old Style" w:cs="Arial"/>
          <w:i/>
          <w:sz w:val="28"/>
          <w:szCs w:val="28"/>
        </w:rPr>
      </w:pPr>
    </w:p>
    <w:p w14:paraId="5A071C9B"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85.3.- Si en algún momento las comisiones o la Superintendencia tuvieren excedentes, deberán reembolsarlos a los contribuyentes, o abonarlos a las contribuciones del siguiente período, o transferirlos a la Nación, si las otras medidas no fueran posibles.</w:t>
      </w:r>
    </w:p>
    <w:p w14:paraId="5DE1489D" w14:textId="77777777" w:rsidR="003628A6" w:rsidRPr="00685D35" w:rsidRDefault="003628A6" w:rsidP="00050EF7">
      <w:pPr>
        <w:ind w:left="284"/>
        <w:jc w:val="both"/>
        <w:rPr>
          <w:rFonts w:ascii="Bookman Old Style" w:hAnsi="Bookman Old Style" w:cs="Arial"/>
          <w:i/>
          <w:sz w:val="28"/>
          <w:szCs w:val="28"/>
        </w:rPr>
      </w:pPr>
    </w:p>
    <w:p w14:paraId="26AB94DD"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85.4.- El cálculo de la suma a cargo de cada contribuyente, en cuanto a los costos de regulación, se hará teniendo en cuenta los costos de la comisión que regula el sector en el cual se desempeña; y el de los costos de vigilancia, atendiendo a los de la Superintendencia.</w:t>
      </w:r>
    </w:p>
    <w:p w14:paraId="1F7AB65B" w14:textId="77777777" w:rsidR="003628A6" w:rsidRPr="00685D35" w:rsidRDefault="003628A6" w:rsidP="00050EF7">
      <w:pPr>
        <w:ind w:left="284"/>
        <w:jc w:val="both"/>
        <w:rPr>
          <w:rFonts w:ascii="Bookman Old Style" w:hAnsi="Bookman Old Style" w:cs="Arial"/>
          <w:i/>
          <w:sz w:val="28"/>
          <w:szCs w:val="28"/>
        </w:rPr>
      </w:pPr>
    </w:p>
    <w:p w14:paraId="41B29341"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 xml:space="preserve">85.5.- La liquidación y recaudo de las contribuciones correspondientes al servicio de regulación se efectuará por las comisiones respectivas y las correspondientes al servicio de inspección, control y vigilancia estarán a cargo de la Superintendencia. </w:t>
      </w:r>
    </w:p>
    <w:p w14:paraId="7AC8086A" w14:textId="77777777" w:rsidR="003628A6" w:rsidRPr="00685D35" w:rsidRDefault="003628A6" w:rsidP="00050EF7">
      <w:pPr>
        <w:ind w:left="284"/>
        <w:jc w:val="both"/>
        <w:rPr>
          <w:rFonts w:ascii="Bookman Old Style" w:hAnsi="Bookman Old Style" w:cs="Arial"/>
          <w:i/>
          <w:sz w:val="28"/>
          <w:szCs w:val="28"/>
        </w:rPr>
      </w:pPr>
    </w:p>
    <w:p w14:paraId="66F7C89C"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85.6.- Una vez en firme las liquidaciones deberán ser canceladas dentro del mes siguiente. Se aplicará el mismo régimen de sanción por mora aplicable al impuesto sobre la renta y complementarios, sin perjuicio de las demás sanciones de que trata esta ley.</w:t>
      </w:r>
    </w:p>
    <w:p w14:paraId="4AD7FD7C" w14:textId="77777777" w:rsidR="003628A6" w:rsidRPr="00685D35" w:rsidRDefault="003628A6" w:rsidP="00050EF7">
      <w:pPr>
        <w:ind w:left="284"/>
        <w:jc w:val="both"/>
        <w:rPr>
          <w:rFonts w:ascii="Bookman Old Style" w:hAnsi="Bookman Old Style" w:cs="Arial"/>
          <w:i/>
          <w:sz w:val="28"/>
          <w:szCs w:val="28"/>
        </w:rPr>
      </w:pPr>
    </w:p>
    <w:p w14:paraId="5B245EB4"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PARAGRAFO 1. Las comisiones y la Superintendencia se financiarán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w:t>
      </w:r>
    </w:p>
    <w:p w14:paraId="1D52055F" w14:textId="77777777" w:rsidR="003628A6" w:rsidRPr="00685D35" w:rsidRDefault="003628A6" w:rsidP="00050EF7">
      <w:pPr>
        <w:ind w:left="284"/>
        <w:jc w:val="both"/>
        <w:rPr>
          <w:rFonts w:ascii="Bookman Old Style" w:hAnsi="Bookman Old Style" w:cs="Arial"/>
          <w:i/>
          <w:sz w:val="28"/>
          <w:szCs w:val="28"/>
        </w:rPr>
      </w:pPr>
    </w:p>
    <w:p w14:paraId="6EA4C927" w14:textId="77777777" w:rsidR="003628A6" w:rsidRPr="00685D35" w:rsidRDefault="003628A6" w:rsidP="00050EF7">
      <w:pPr>
        <w:ind w:left="284"/>
        <w:jc w:val="both"/>
        <w:rPr>
          <w:rFonts w:ascii="Bookman Old Style" w:hAnsi="Bookman Old Style" w:cs="Arial"/>
          <w:i/>
        </w:rPr>
      </w:pPr>
      <w:r w:rsidRPr="00685D35">
        <w:rPr>
          <w:rFonts w:ascii="Bookman Old Style" w:hAnsi="Bookman Old Style" w:cs="Arial"/>
          <w:i/>
        </w:rPr>
        <w:t>PARAGRAFO 2. 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14:paraId="7BAA530F" w14:textId="085CDCF3" w:rsidR="003628A6" w:rsidRDefault="003628A6" w:rsidP="00B33435">
      <w:pPr>
        <w:ind w:left="0" w:right="454"/>
        <w:jc w:val="both"/>
        <w:rPr>
          <w:rFonts w:ascii="Bookman Old Style" w:hAnsi="Bookman Old Style" w:cs="Arial"/>
          <w:sz w:val="16"/>
          <w:szCs w:val="16"/>
        </w:rPr>
      </w:pPr>
    </w:p>
    <w:p w14:paraId="4D9C7932" w14:textId="267B3B3A" w:rsidR="003628A6" w:rsidRDefault="00B33435" w:rsidP="003628A6">
      <w:pPr>
        <w:ind w:left="0"/>
        <w:jc w:val="both"/>
        <w:rPr>
          <w:rFonts w:ascii="Bookman Old Style" w:hAnsi="Bookman Old Style" w:cs="Arial"/>
        </w:rPr>
      </w:pPr>
      <w:r w:rsidRPr="002F6F0F">
        <w:rPr>
          <w:rFonts w:ascii="Bookman Old Style" w:hAnsi="Bookman Old Style" w:cs="Arial"/>
        </w:rPr>
        <w:t>P</w:t>
      </w:r>
      <w:r w:rsidR="003628A6" w:rsidRPr="002F6F0F">
        <w:rPr>
          <w:rFonts w:ascii="Bookman Old Style" w:hAnsi="Bookman Old Style" w:cs="Arial"/>
        </w:rPr>
        <w:t>ara efectos de la presente resolución se ha aceptado la definición jurisprudencial del término “</w:t>
      </w:r>
      <w:r w:rsidR="003628A6" w:rsidRPr="002F6F0F">
        <w:rPr>
          <w:rFonts w:ascii="Bookman Old Style" w:hAnsi="Bookman Old Style" w:cs="Arial"/>
          <w:i/>
          <w:iCs/>
        </w:rPr>
        <w:t>gastos de funcionamiento</w:t>
      </w:r>
      <w:r w:rsidR="003628A6" w:rsidRPr="002F6F0F">
        <w:rPr>
          <w:rFonts w:ascii="Bookman Old Style" w:hAnsi="Bookman Old Style" w:cs="Arial"/>
        </w:rPr>
        <w:t>”, adoptada por el Consejo de Estado Sección Cuarta. C.P.: Martha Teresa Briceño de Valencia, Rad. 11001-</w:t>
      </w:r>
      <w:r w:rsidR="003628A6" w:rsidRPr="002F6F0F">
        <w:rPr>
          <w:rFonts w:ascii="Bookman Old Style" w:hAnsi="Bookman Old Style" w:cs="Arial"/>
        </w:rPr>
        <w:lastRenderedPageBreak/>
        <w:t xml:space="preserve">03-27-000-2007-00049-00 (16874) del 23 de septiembre de 2010 y Rad.  25000-23-27-000-2012-00362-01 (20253) del 17 de septiembre de 2014, </w:t>
      </w:r>
      <w:r w:rsidR="00E05206">
        <w:rPr>
          <w:rFonts w:ascii="Bookman Old Style" w:hAnsi="Bookman Old Style" w:cs="Arial"/>
        </w:rPr>
        <w:t xml:space="preserve">en la que se expone que </w:t>
      </w:r>
      <w:r w:rsidR="003628A6" w:rsidRPr="002F6F0F">
        <w:rPr>
          <w:rFonts w:ascii="Bookman Old Style" w:hAnsi="Bookman Old Style" w:cs="Arial"/>
        </w:rPr>
        <w:t>los Gastos de Funcionamiento son los que están relacionados con la prestación del servicio sujeto a inspección, vigilancia y control y</w:t>
      </w:r>
      <w:r w:rsidR="00050EF7" w:rsidRPr="002F6F0F">
        <w:rPr>
          <w:rFonts w:ascii="Bookman Old Style" w:hAnsi="Bookman Old Style" w:cs="Arial"/>
        </w:rPr>
        <w:t>,</w:t>
      </w:r>
      <w:r w:rsidR="003628A6" w:rsidRPr="002F6F0F">
        <w:rPr>
          <w:rFonts w:ascii="Bookman Old Style" w:hAnsi="Bookman Old Style" w:cs="Arial"/>
        </w:rPr>
        <w:t xml:space="preserve"> en consecuencia</w:t>
      </w:r>
      <w:r w:rsidR="00E05206">
        <w:rPr>
          <w:rFonts w:ascii="Bookman Old Style" w:hAnsi="Bookman Old Style" w:cs="Arial"/>
        </w:rPr>
        <w:t>.</w:t>
      </w:r>
    </w:p>
    <w:p w14:paraId="12FD2C85" w14:textId="77777777" w:rsidR="00A71C1D" w:rsidRPr="00E42BC0" w:rsidRDefault="00A71C1D" w:rsidP="003628A6">
      <w:pPr>
        <w:ind w:left="0"/>
        <w:jc w:val="both"/>
        <w:rPr>
          <w:rFonts w:ascii="Bookman Old Style" w:hAnsi="Bookman Old Style" w:cs="Arial"/>
        </w:rPr>
      </w:pPr>
    </w:p>
    <w:p w14:paraId="336BC8A1" w14:textId="622930C3" w:rsidR="003628A6" w:rsidRPr="00DE4534" w:rsidRDefault="00B33435" w:rsidP="003628A6">
      <w:pPr>
        <w:ind w:left="0"/>
        <w:jc w:val="both"/>
        <w:rPr>
          <w:rFonts w:ascii="Bookman Old Style" w:hAnsi="Bookman Old Style" w:cs="Arial"/>
        </w:rPr>
      </w:pPr>
      <w:r>
        <w:rPr>
          <w:rFonts w:ascii="Bookman Old Style" w:hAnsi="Bookman Old Style" w:cs="Arial"/>
        </w:rPr>
        <w:t>Conforme</w:t>
      </w:r>
      <w:r w:rsidR="003628A6" w:rsidRPr="00E42BC0">
        <w:rPr>
          <w:rFonts w:ascii="Bookman Old Style" w:hAnsi="Bookman Old Style" w:cs="Arial"/>
        </w:rPr>
        <w:t xml:space="preserve"> con el numeral 85.1 del artículo 85 de la Ley 142 de 1994, para definir los costos de los servicios que presta la </w:t>
      </w:r>
      <w:r w:rsidR="003628A6">
        <w:rPr>
          <w:rFonts w:ascii="Bookman Old Style" w:hAnsi="Bookman Old Style" w:cs="Arial"/>
        </w:rPr>
        <w:t>CREG</w:t>
      </w:r>
      <w:r w:rsidR="003628A6" w:rsidRPr="00E42BC0">
        <w:rPr>
          <w:rFonts w:ascii="Bookman Old Style" w:hAnsi="Bookman Old Style" w:cs="Arial"/>
        </w:rPr>
        <w:t xml:space="preserve">, se tomó el presupuesto anual de gastos aprobado a la entidad para </w:t>
      </w:r>
      <w:r>
        <w:rPr>
          <w:rFonts w:ascii="Bookman Old Style" w:hAnsi="Bookman Old Style" w:cs="Arial"/>
        </w:rPr>
        <w:t>la vigencia</w:t>
      </w:r>
      <w:r w:rsidR="003628A6" w:rsidRPr="00E42BC0">
        <w:rPr>
          <w:rFonts w:ascii="Bookman Old Style" w:hAnsi="Bookman Old Style" w:cs="Arial"/>
        </w:rPr>
        <w:t xml:space="preserve"> </w:t>
      </w:r>
      <w:r w:rsidR="0062044A">
        <w:rPr>
          <w:rFonts w:ascii="Bookman Old Style" w:hAnsi="Bookman Old Style" w:cs="Arial"/>
        </w:rPr>
        <w:t>2022</w:t>
      </w:r>
      <w:r w:rsidR="003628A6">
        <w:rPr>
          <w:rFonts w:ascii="Bookman Old Style" w:hAnsi="Bookman Old Style" w:cs="Arial"/>
        </w:rPr>
        <w:t>,</w:t>
      </w:r>
      <w:r w:rsidR="003628A6" w:rsidRPr="00FE55BD">
        <w:rPr>
          <w:rFonts w:ascii="Bookman Old Style" w:hAnsi="Bookman Old Style" w:cs="Arial"/>
        </w:rPr>
        <w:t xml:space="preserve"> el cual está integrado por los gastos de funcionamiento</w:t>
      </w:r>
      <w:r w:rsidR="00FA674B">
        <w:rPr>
          <w:rFonts w:ascii="Bookman Old Style" w:hAnsi="Bookman Old Style" w:cs="Arial"/>
        </w:rPr>
        <w:t>, servicio de la deuda</w:t>
      </w:r>
      <w:r w:rsidR="003628A6" w:rsidRPr="00FE55BD">
        <w:rPr>
          <w:rFonts w:ascii="Bookman Old Style" w:hAnsi="Bookman Old Style" w:cs="Arial"/>
        </w:rPr>
        <w:t xml:space="preserve"> </w:t>
      </w:r>
      <w:r w:rsidR="00FA674B">
        <w:rPr>
          <w:rFonts w:ascii="Bookman Old Style" w:hAnsi="Bookman Old Style" w:cs="Arial"/>
        </w:rPr>
        <w:t>pública e</w:t>
      </w:r>
      <w:r w:rsidR="003628A6" w:rsidRPr="00FE55BD">
        <w:rPr>
          <w:rFonts w:ascii="Bookman Old Style" w:hAnsi="Bookman Old Style" w:cs="Arial"/>
        </w:rPr>
        <w:t xml:space="preserve"> inversión, a la luz de lo dispuesto en el artículo 36 del Estatuto </w:t>
      </w:r>
      <w:r w:rsidR="003628A6" w:rsidRPr="00DE4534">
        <w:rPr>
          <w:rFonts w:ascii="Bookman Old Style" w:hAnsi="Bookman Old Style" w:cs="Arial"/>
        </w:rPr>
        <w:t>Orgánico del Presupuesto</w:t>
      </w:r>
      <w:r w:rsidR="008667FC">
        <w:rPr>
          <w:rStyle w:val="Refdenotaalpie"/>
          <w:rFonts w:ascii="Bookman Old Style" w:hAnsi="Bookman Old Style" w:cs="Arial"/>
        </w:rPr>
        <w:footnoteReference w:id="10"/>
      </w:r>
      <w:r w:rsidR="008667FC">
        <w:rPr>
          <w:rFonts w:ascii="Bookman Old Style" w:hAnsi="Bookman Old Style" w:cs="Arial"/>
        </w:rPr>
        <w:t xml:space="preserve"> y el artículo </w:t>
      </w:r>
      <w:r w:rsidR="008667FC" w:rsidRPr="008667FC">
        <w:rPr>
          <w:rFonts w:ascii="Bookman Old Style" w:hAnsi="Bookman Old Style" w:cs="Arial"/>
        </w:rPr>
        <w:t>2.8.3.1.2</w:t>
      </w:r>
      <w:r w:rsidR="008667FC">
        <w:rPr>
          <w:rFonts w:ascii="Bookman Old Style" w:hAnsi="Bookman Old Style" w:cs="Arial"/>
        </w:rPr>
        <w:t xml:space="preserve"> del Decreto </w:t>
      </w:r>
      <w:r>
        <w:rPr>
          <w:rFonts w:ascii="Bookman Old Style" w:hAnsi="Bookman Old Style" w:cs="Arial"/>
        </w:rPr>
        <w:t>1068 de 2015</w:t>
      </w:r>
      <w:r w:rsidR="008667FC">
        <w:rPr>
          <w:rStyle w:val="Refdenotaalpie"/>
          <w:rFonts w:ascii="Bookman Old Style" w:hAnsi="Bookman Old Style" w:cs="Arial"/>
        </w:rPr>
        <w:footnoteReference w:id="11"/>
      </w:r>
    </w:p>
    <w:p w14:paraId="48FCA28D" w14:textId="77777777" w:rsidR="003628A6" w:rsidRDefault="003628A6" w:rsidP="003628A6">
      <w:pPr>
        <w:ind w:left="0"/>
        <w:jc w:val="both"/>
        <w:rPr>
          <w:rFonts w:ascii="Bookman Old Style" w:hAnsi="Bookman Old Style" w:cs="Arial"/>
        </w:rPr>
      </w:pPr>
    </w:p>
    <w:p w14:paraId="1EF4E1CD" w14:textId="6880C8F3" w:rsidR="003628A6" w:rsidRPr="00DE4534" w:rsidRDefault="00685D35" w:rsidP="003628A6">
      <w:pPr>
        <w:ind w:left="0"/>
        <w:jc w:val="both"/>
        <w:rPr>
          <w:rFonts w:ascii="Bookman Old Style" w:hAnsi="Bookman Old Style" w:cs="Arial"/>
        </w:rPr>
      </w:pPr>
      <w:r>
        <w:rPr>
          <w:rFonts w:ascii="Bookman Old Style" w:hAnsi="Bookman Old Style" w:cs="Arial"/>
        </w:rPr>
        <w:t>D</w:t>
      </w:r>
      <w:r w:rsidR="003628A6" w:rsidRPr="00DE4534">
        <w:rPr>
          <w:rFonts w:ascii="Bookman Old Style" w:hAnsi="Bookman Old Style" w:cs="Arial"/>
        </w:rPr>
        <w:t>e acuerdo con lo anterior</w:t>
      </w:r>
      <w:r w:rsidR="00050EF7">
        <w:rPr>
          <w:rFonts w:ascii="Bookman Old Style" w:hAnsi="Bookman Old Style" w:cs="Arial"/>
        </w:rPr>
        <w:t>,</w:t>
      </w:r>
      <w:r w:rsidR="003628A6" w:rsidRPr="00DE4534">
        <w:rPr>
          <w:rFonts w:ascii="Bookman Old Style" w:hAnsi="Bookman Old Style" w:cs="Arial"/>
        </w:rPr>
        <w:t xml:space="preserve"> y con el fin de proyectar la tarifa para la liquidación de la contribución especial del año 20</w:t>
      </w:r>
      <w:r w:rsidR="0062044A">
        <w:rPr>
          <w:rFonts w:ascii="Bookman Old Style" w:hAnsi="Bookman Old Style" w:cs="Arial"/>
        </w:rPr>
        <w:t>22</w:t>
      </w:r>
      <w:r w:rsidR="003628A6" w:rsidRPr="00DE4534">
        <w:rPr>
          <w:rFonts w:ascii="Bookman Old Style" w:hAnsi="Bookman Old Style" w:cs="Arial"/>
        </w:rPr>
        <w:t>, se tomó la información financiera reportada y certificada con corte a 31 de diciembre de 20</w:t>
      </w:r>
      <w:r w:rsidR="003628A6">
        <w:rPr>
          <w:rFonts w:ascii="Bookman Old Style" w:hAnsi="Bookman Old Style" w:cs="Arial"/>
        </w:rPr>
        <w:t>2</w:t>
      </w:r>
      <w:r w:rsidR="00484BB1">
        <w:rPr>
          <w:rFonts w:ascii="Bookman Old Style" w:hAnsi="Bookman Old Style" w:cs="Arial"/>
        </w:rPr>
        <w:t>1</w:t>
      </w:r>
      <w:r w:rsidR="003628A6" w:rsidRPr="00DE4534">
        <w:rPr>
          <w:rFonts w:ascii="Bookman Old Style" w:hAnsi="Bookman Old Style" w:cs="Arial"/>
        </w:rPr>
        <w:t xml:space="preserve"> por las entidades sometidas </w:t>
      </w:r>
      <w:r w:rsidR="003628A6">
        <w:rPr>
          <w:rFonts w:ascii="Bookman Old Style" w:hAnsi="Bookman Old Style" w:cs="Arial"/>
        </w:rPr>
        <w:t>al ámbito de regulación</w:t>
      </w:r>
      <w:r w:rsidR="00572B53">
        <w:rPr>
          <w:rFonts w:ascii="Bookman Old Style" w:hAnsi="Bookman Old Style" w:cs="Arial"/>
        </w:rPr>
        <w:t xml:space="preserve"> de la CREG</w:t>
      </w:r>
      <w:r w:rsidR="00050EF7">
        <w:rPr>
          <w:rFonts w:ascii="Bookman Old Style" w:hAnsi="Bookman Old Style" w:cs="Arial"/>
        </w:rPr>
        <w:t>,</w:t>
      </w:r>
      <w:r w:rsidR="003628A6" w:rsidRPr="00DE4534">
        <w:rPr>
          <w:rFonts w:ascii="Bookman Old Style" w:hAnsi="Bookman Old Style" w:cs="Arial"/>
        </w:rPr>
        <w:t xml:space="preserve"> y el valor del presupuesto por concepto de ingresos corrientes "tasas, multas y contribuciones” para el año 20</w:t>
      </w:r>
      <w:r w:rsidR="003628A6">
        <w:rPr>
          <w:rFonts w:ascii="Bookman Old Style" w:hAnsi="Bookman Old Style" w:cs="Arial"/>
        </w:rPr>
        <w:t>20</w:t>
      </w:r>
      <w:r w:rsidR="003628A6" w:rsidRPr="00DE4534">
        <w:rPr>
          <w:rFonts w:ascii="Bookman Old Style" w:hAnsi="Bookman Old Style" w:cs="Arial"/>
        </w:rPr>
        <w:t xml:space="preserve"> antes indicado.</w:t>
      </w:r>
    </w:p>
    <w:p w14:paraId="33874280" w14:textId="77777777" w:rsidR="003628A6" w:rsidRPr="00DE4534" w:rsidRDefault="003628A6" w:rsidP="003628A6">
      <w:pPr>
        <w:ind w:left="0"/>
        <w:jc w:val="both"/>
        <w:rPr>
          <w:rFonts w:ascii="Bookman Old Style" w:hAnsi="Bookman Old Style" w:cs="Arial"/>
        </w:rPr>
      </w:pPr>
    </w:p>
    <w:p w14:paraId="670EF7D9" w14:textId="63E45F08" w:rsidR="003628A6" w:rsidRDefault="00685D35" w:rsidP="003628A6">
      <w:pPr>
        <w:ind w:left="0"/>
        <w:jc w:val="both"/>
        <w:rPr>
          <w:rFonts w:ascii="Bookman Old Style" w:hAnsi="Bookman Old Style" w:cs="Arial"/>
          <w:i/>
          <w:iCs/>
          <w:lang w:val="es-CO"/>
        </w:rPr>
      </w:pPr>
      <w:r>
        <w:rPr>
          <w:rFonts w:ascii="Bookman Old Style" w:hAnsi="Bookman Old Style" w:cs="Arial"/>
          <w:lang w:val="es-CO"/>
        </w:rPr>
        <w:t>L</w:t>
      </w:r>
      <w:r w:rsidR="003628A6" w:rsidRPr="00DE4534">
        <w:rPr>
          <w:rFonts w:ascii="Bookman Old Style" w:hAnsi="Bookman Old Style" w:cs="Arial"/>
          <w:lang w:val="es-CO"/>
        </w:rPr>
        <w:t>a Ley 142 de 1994 Artículo N° 85. PARÁGRAFO 2°</w:t>
      </w:r>
      <w:r w:rsidR="003628A6">
        <w:rPr>
          <w:rFonts w:ascii="Bookman Old Style" w:hAnsi="Bookman Old Style" w:cs="Arial"/>
          <w:lang w:val="es-CO"/>
        </w:rPr>
        <w:t xml:space="preserve"> determina que: </w:t>
      </w:r>
      <w:r w:rsidR="00CD3D76">
        <w:rPr>
          <w:rFonts w:ascii="Bookman Old Style" w:hAnsi="Bookman Old Style" w:cs="Arial"/>
          <w:lang w:val="es-CO"/>
        </w:rPr>
        <w:t>“</w:t>
      </w:r>
      <w:r w:rsidR="003628A6" w:rsidRPr="00280F45">
        <w:rPr>
          <w:rFonts w:ascii="Bookman Old Style" w:hAnsi="Bookman Old Style" w:cs="Arial"/>
          <w:i/>
          <w:iCs/>
          <w:lang w:val="es-CO"/>
        </w:rPr>
        <w:t xml:space="preserve">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w:t>
      </w:r>
    </w:p>
    <w:p w14:paraId="4B1EAB52" w14:textId="77777777" w:rsidR="00050EF7" w:rsidRPr="00280F45" w:rsidRDefault="00050EF7" w:rsidP="003628A6">
      <w:pPr>
        <w:ind w:left="0"/>
        <w:jc w:val="both"/>
        <w:rPr>
          <w:rFonts w:ascii="Bookman Old Style" w:hAnsi="Bookman Old Style" w:cs="Arial"/>
          <w:i/>
          <w:iCs/>
          <w:lang w:val="es-CO"/>
        </w:rPr>
      </w:pPr>
    </w:p>
    <w:p w14:paraId="78BEB57D" w14:textId="08297D4E" w:rsidR="003628A6" w:rsidRPr="00DE4534" w:rsidRDefault="003628A6" w:rsidP="003628A6">
      <w:pPr>
        <w:ind w:left="0"/>
        <w:jc w:val="both"/>
        <w:rPr>
          <w:rFonts w:ascii="Bookman Old Style" w:hAnsi="Bookman Old Style" w:cs="Arial"/>
          <w:lang w:val="es-CO"/>
        </w:rPr>
      </w:pPr>
      <w:r w:rsidRPr="00280F45">
        <w:rPr>
          <w:rFonts w:ascii="Bookman Old Style" w:hAnsi="Bookman Old Style" w:cs="Arial"/>
          <w:i/>
          <w:iCs/>
          <w:lang w:val="es-CO"/>
        </w:rPr>
        <w:t>Estos rubros podrán ser adicionados en la misma proporción en que sean indispensables para cubrir faltantes presupuestales de las comisiones y la superintendencia</w:t>
      </w:r>
      <w:r w:rsidR="00CD3D76">
        <w:rPr>
          <w:rFonts w:ascii="Bookman Old Style" w:hAnsi="Bookman Old Style" w:cs="Arial"/>
          <w:i/>
          <w:iCs/>
          <w:lang w:val="es-CO"/>
        </w:rPr>
        <w:t>”</w:t>
      </w:r>
      <w:r w:rsidRPr="00DE4534">
        <w:rPr>
          <w:rFonts w:ascii="Bookman Old Style" w:hAnsi="Bookman Old Style" w:cs="Arial"/>
          <w:lang w:val="es-CO"/>
        </w:rPr>
        <w:t>.</w:t>
      </w:r>
    </w:p>
    <w:p w14:paraId="474562E9" w14:textId="77777777" w:rsidR="003628A6" w:rsidRPr="00482643" w:rsidRDefault="003628A6" w:rsidP="003628A6">
      <w:pPr>
        <w:ind w:left="0"/>
        <w:jc w:val="both"/>
        <w:rPr>
          <w:rFonts w:ascii="Bookman Old Style" w:hAnsi="Bookman Old Style" w:cs="Arial"/>
          <w:lang w:val="es-CO"/>
        </w:rPr>
      </w:pPr>
    </w:p>
    <w:p w14:paraId="4BF07111" w14:textId="7B9AD2DF" w:rsidR="003628A6" w:rsidRDefault="00685D35" w:rsidP="003628A6">
      <w:pPr>
        <w:ind w:left="0"/>
        <w:jc w:val="both"/>
        <w:rPr>
          <w:rFonts w:ascii="Bookman Old Style" w:hAnsi="Bookman Old Style" w:cs="Arial"/>
          <w:lang w:val="es-ES_tradnl"/>
        </w:rPr>
      </w:pPr>
      <w:r>
        <w:rPr>
          <w:rFonts w:ascii="Bookman Old Style" w:hAnsi="Bookman Old Style" w:cs="Arial"/>
          <w:lang w:val="es-CO"/>
        </w:rPr>
        <w:t>A</w:t>
      </w:r>
      <w:r w:rsidR="003628A6">
        <w:rPr>
          <w:rFonts w:ascii="Bookman Old Style" w:hAnsi="Bookman Old Style" w:cs="Arial"/>
          <w:lang w:val="es-CO"/>
        </w:rPr>
        <w:t>l respecto</w:t>
      </w:r>
      <w:r w:rsidR="004C181B">
        <w:rPr>
          <w:rFonts w:ascii="Bookman Old Style" w:hAnsi="Bookman Old Style" w:cs="Arial"/>
          <w:lang w:val="es-CO"/>
        </w:rPr>
        <w:t>,</w:t>
      </w:r>
      <w:r w:rsidR="003628A6">
        <w:rPr>
          <w:rFonts w:ascii="Bookman Old Style" w:hAnsi="Bookman Old Style" w:cs="Arial"/>
          <w:lang w:val="es-CO"/>
        </w:rPr>
        <w:t xml:space="preserve"> e</w:t>
      </w:r>
      <w:r w:rsidR="003628A6" w:rsidRPr="00482643">
        <w:rPr>
          <w:rFonts w:ascii="Bookman Old Style" w:hAnsi="Bookman Old Style" w:cs="Arial"/>
          <w:lang w:val="es-CO"/>
        </w:rPr>
        <w:t xml:space="preserve">l Consejo </w:t>
      </w:r>
      <w:r w:rsidR="00050EF7">
        <w:rPr>
          <w:rFonts w:ascii="Bookman Old Style" w:hAnsi="Bookman Old Style" w:cs="Arial"/>
          <w:lang w:val="es-CO"/>
        </w:rPr>
        <w:t>d</w:t>
      </w:r>
      <w:r w:rsidR="003628A6" w:rsidRPr="00482643">
        <w:rPr>
          <w:rFonts w:ascii="Bookman Old Style" w:hAnsi="Bookman Old Style" w:cs="Arial"/>
          <w:lang w:val="es-CO"/>
        </w:rPr>
        <w:t xml:space="preserve">e Estado, </w:t>
      </w:r>
      <w:r w:rsidR="003628A6" w:rsidRPr="008667FC">
        <w:rPr>
          <w:rFonts w:ascii="Bookman Old Style" w:hAnsi="Bookman Old Style" w:cs="Arial"/>
          <w:lang w:val="es-CO"/>
        </w:rPr>
        <w:t xml:space="preserve">Sala </w:t>
      </w:r>
      <w:r w:rsidR="008667FC">
        <w:rPr>
          <w:rFonts w:ascii="Bookman Old Style" w:hAnsi="Bookman Old Style" w:cs="Arial"/>
          <w:lang w:val="es-CO"/>
        </w:rPr>
        <w:t>d</w:t>
      </w:r>
      <w:r w:rsidR="003628A6" w:rsidRPr="008667FC">
        <w:rPr>
          <w:rFonts w:ascii="Bookman Old Style" w:hAnsi="Bookman Old Style" w:cs="Arial"/>
          <w:lang w:val="es-CO"/>
        </w:rPr>
        <w:t xml:space="preserve">e </w:t>
      </w:r>
      <w:r w:rsidR="008667FC">
        <w:rPr>
          <w:rFonts w:ascii="Bookman Old Style" w:hAnsi="Bookman Old Style" w:cs="Arial"/>
          <w:lang w:val="es-CO"/>
        </w:rPr>
        <w:t>l</w:t>
      </w:r>
      <w:r w:rsidR="003628A6" w:rsidRPr="008667FC">
        <w:rPr>
          <w:rFonts w:ascii="Bookman Old Style" w:hAnsi="Bookman Old Style" w:cs="Arial"/>
          <w:lang w:val="es-CO"/>
        </w:rPr>
        <w:t>o Contencioso Administrativo Sección Cuarta</w:t>
      </w:r>
      <w:r w:rsidR="008667FC">
        <w:rPr>
          <w:rFonts w:ascii="Bookman Old Style" w:hAnsi="Bookman Old Style" w:cs="Arial"/>
          <w:lang w:val="es-CO"/>
        </w:rPr>
        <w:t>,</w:t>
      </w:r>
      <w:r w:rsidR="003628A6" w:rsidRPr="00482643">
        <w:rPr>
          <w:rFonts w:ascii="Bookman Old Style" w:hAnsi="Bookman Old Style" w:cs="Arial"/>
          <w:b/>
          <w:bCs/>
          <w:lang w:val="es-CO"/>
        </w:rPr>
        <w:t xml:space="preserve"> </w:t>
      </w:r>
      <w:r w:rsidR="003628A6" w:rsidRPr="00482643">
        <w:rPr>
          <w:rFonts w:ascii="Bookman Old Style" w:hAnsi="Bookman Old Style" w:cs="Arial"/>
          <w:lang w:val="es-CO"/>
        </w:rPr>
        <w:t xml:space="preserve">en sentencia dentro del proceso de </w:t>
      </w:r>
      <w:r w:rsidR="003628A6" w:rsidRPr="00482643">
        <w:rPr>
          <w:rFonts w:ascii="Bookman Old Style" w:hAnsi="Bookman Old Style" w:cs="Arial"/>
          <w:lang w:val="es-ES_tradnl"/>
        </w:rPr>
        <w:t xml:space="preserve">NULIDAD y NULIDAD Y RESTABLECIMIENTO DEL DERECHO 11001-03-27-000-2017-00012-00 (22972) GESTIÓN ENERGÉTICA 5.A. E.S.P. "GENSA S.A. E.S.P. contra SUPERINTENDENCIA DE SERVICIOS PÚBLICOS DOMICILIARIOS por la CONTRIBUCIÓN ESPECIAL SSPD 2016 manifestó: </w:t>
      </w:r>
    </w:p>
    <w:p w14:paraId="622E6CA5" w14:textId="77777777" w:rsidR="003628A6" w:rsidRPr="00685D35" w:rsidRDefault="003628A6" w:rsidP="003628A6">
      <w:pPr>
        <w:ind w:left="0"/>
        <w:jc w:val="both"/>
        <w:rPr>
          <w:rFonts w:ascii="Bookman Old Style" w:hAnsi="Bookman Old Style" w:cs="Arial"/>
          <w:sz w:val="16"/>
          <w:szCs w:val="16"/>
          <w:lang w:val="es-CO"/>
        </w:rPr>
      </w:pPr>
    </w:p>
    <w:p w14:paraId="2A0ADD1F" w14:textId="77777777" w:rsidR="003628A6" w:rsidRDefault="003628A6" w:rsidP="00050EF7">
      <w:pPr>
        <w:jc w:val="both"/>
        <w:rPr>
          <w:rFonts w:ascii="Bookman Old Style" w:hAnsi="Bookman Old Style" w:cs="Arial"/>
          <w:i/>
          <w:iCs/>
          <w:lang w:val="es-CO"/>
        </w:rPr>
      </w:pPr>
      <w:r w:rsidRPr="00482643">
        <w:rPr>
          <w:rFonts w:ascii="Bookman Old Style" w:hAnsi="Bookman Old Style" w:cs="Arial"/>
          <w:i/>
          <w:iCs/>
          <w:lang w:val="es-CO"/>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14:paraId="7DD1A64E" w14:textId="77777777" w:rsidR="003628A6" w:rsidRPr="00685D35" w:rsidRDefault="003628A6" w:rsidP="00050EF7">
      <w:pPr>
        <w:jc w:val="both"/>
        <w:rPr>
          <w:rFonts w:ascii="Bookman Old Style" w:hAnsi="Bookman Old Style" w:cs="Arial"/>
          <w:i/>
          <w:iCs/>
          <w:sz w:val="16"/>
          <w:szCs w:val="16"/>
          <w:lang w:val="es-CO"/>
        </w:rPr>
      </w:pPr>
    </w:p>
    <w:p w14:paraId="6EE5F971" w14:textId="37C7C48E" w:rsidR="003628A6" w:rsidRDefault="003628A6" w:rsidP="00050EF7">
      <w:pPr>
        <w:jc w:val="both"/>
        <w:rPr>
          <w:rFonts w:ascii="Bookman Old Style" w:hAnsi="Bookman Old Style" w:cs="Arial"/>
          <w:i/>
          <w:iCs/>
          <w:u w:val="single"/>
          <w:lang w:val="es-CO"/>
        </w:rPr>
      </w:pPr>
      <w:r w:rsidRPr="00482643">
        <w:rPr>
          <w:rFonts w:ascii="Bookman Old Style" w:hAnsi="Bookman Old Style" w:cs="Arial"/>
          <w:i/>
          <w:iCs/>
          <w:lang w:val="es-CO"/>
        </w:rPr>
        <w:lastRenderedPageBreak/>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 (ii) conforme a la regla exceptiva, configurado el supuesto de hecho -el faltante presupuestal- </w:t>
      </w:r>
      <w:r w:rsidRPr="00482643">
        <w:rPr>
          <w:rFonts w:ascii="Bookman Old Style" w:hAnsi="Bookman Old Style" w:cs="Arial"/>
          <w:i/>
          <w:iCs/>
          <w:u w:val="single"/>
          <w:lang w:val="es-CO"/>
        </w:rPr>
        <w:t>la ley permite adicionar a esos rubros los gastos operativos en la misma proporción en que sean indispensables para cubrir el faltante presupuestal de la superintendencia.</w:t>
      </w:r>
      <w:r>
        <w:rPr>
          <w:rFonts w:ascii="Bookman Old Style" w:hAnsi="Bookman Old Style" w:cs="Arial"/>
          <w:i/>
          <w:iCs/>
          <w:u w:val="single"/>
          <w:lang w:val="es-CO"/>
        </w:rPr>
        <w:t xml:space="preserve"> (Subrayado fuera del texto original).</w:t>
      </w:r>
    </w:p>
    <w:p w14:paraId="05CC4A7D" w14:textId="77777777" w:rsidR="00685D35" w:rsidRDefault="00685D35" w:rsidP="00050EF7">
      <w:pPr>
        <w:jc w:val="both"/>
        <w:rPr>
          <w:rFonts w:ascii="Bookman Old Style" w:hAnsi="Bookman Old Style" w:cs="Arial"/>
          <w:i/>
          <w:iCs/>
          <w:u w:val="single"/>
          <w:lang w:val="es-CO"/>
        </w:rPr>
      </w:pPr>
    </w:p>
    <w:p w14:paraId="059A089C" w14:textId="77777777" w:rsidR="003628A6" w:rsidRDefault="003628A6" w:rsidP="00050EF7">
      <w:pPr>
        <w:jc w:val="both"/>
        <w:rPr>
          <w:rFonts w:ascii="Bookman Old Style" w:hAnsi="Bookman Old Style" w:cs="Arial"/>
          <w:lang w:val="es-CO"/>
        </w:rPr>
      </w:pPr>
      <w:r w:rsidRPr="00482643">
        <w:rPr>
          <w:rFonts w:ascii="Bookman Old Style" w:hAnsi="Bookman Old Style" w:cs="Arial"/>
          <w:i/>
          <w:iCs/>
          <w:lang w:val="es-CO"/>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 …-</w:t>
      </w:r>
    </w:p>
    <w:p w14:paraId="13688584" w14:textId="324F1EF6" w:rsidR="00C74F02" w:rsidRDefault="00C74F02" w:rsidP="00050EF7">
      <w:pPr>
        <w:ind w:left="0"/>
        <w:jc w:val="both"/>
        <w:rPr>
          <w:rFonts w:ascii="Bookman Old Style" w:hAnsi="Bookman Old Style" w:cs="Arial"/>
        </w:rPr>
      </w:pPr>
    </w:p>
    <w:p w14:paraId="24FAF550" w14:textId="52323222" w:rsidR="003628A6" w:rsidRDefault="00D81F8B" w:rsidP="00050EF7">
      <w:pPr>
        <w:jc w:val="both"/>
        <w:rPr>
          <w:rFonts w:ascii="Bookman Old Style" w:hAnsi="Bookman Old Style" w:cs="Arial"/>
          <w:lang w:val="es-CO"/>
        </w:rPr>
      </w:pPr>
      <w:r>
        <w:rPr>
          <w:rFonts w:ascii="Bookman Old Style" w:hAnsi="Bookman Old Style" w:cs="Arial"/>
          <w:lang w:val="es-CO"/>
        </w:rPr>
        <w:t xml:space="preserve"> </w:t>
      </w:r>
      <w:r w:rsidR="003628A6">
        <w:rPr>
          <w:rFonts w:ascii="Bookman Old Style" w:hAnsi="Bookman Old Style" w:cs="Arial"/>
          <w:lang w:val="es-CO"/>
        </w:rPr>
        <w:t>Que, aunado a lo anterior, el p</w:t>
      </w:r>
      <w:r w:rsidR="003628A6" w:rsidRPr="00E5224D">
        <w:rPr>
          <w:rFonts w:ascii="Bookman Old Style" w:hAnsi="Bookman Old Style" w:cs="Arial"/>
          <w:lang w:val="es-CO"/>
        </w:rPr>
        <w:t>arágrafo 2</w:t>
      </w:r>
      <w:r w:rsidR="003628A6">
        <w:rPr>
          <w:rFonts w:ascii="Bookman Old Style" w:hAnsi="Bookman Old Style" w:cs="Arial"/>
          <w:lang w:val="es-CO"/>
        </w:rPr>
        <w:t>°</w:t>
      </w:r>
      <w:r w:rsidR="003628A6" w:rsidRPr="00E5224D">
        <w:rPr>
          <w:rFonts w:ascii="Bookman Old Style" w:hAnsi="Bookman Old Style" w:cs="Arial"/>
          <w:lang w:val="es-CO"/>
        </w:rPr>
        <w:t xml:space="preserve"> </w:t>
      </w:r>
      <w:r w:rsidR="003628A6">
        <w:rPr>
          <w:rFonts w:ascii="Bookman Old Style" w:hAnsi="Bookman Old Style" w:cs="Arial"/>
          <w:lang w:val="es-CO"/>
        </w:rPr>
        <w:t>del artículo 85 de la Ley 142 de 1994 estableció que “</w:t>
      </w:r>
      <w:r w:rsidR="003628A6" w:rsidRPr="00E5224D">
        <w:rPr>
          <w:rFonts w:ascii="Bookman Old Style" w:hAnsi="Bookman Old Style" w:cs="Arial"/>
          <w:i/>
          <w:lang w:val="es-CO"/>
        </w:rPr>
        <w:t xml:space="preserve">Al fijar las contribuciones especiales se eliminarán, de los gastos de funcionamiento, </w:t>
      </w:r>
      <w:r w:rsidR="003628A6" w:rsidRPr="003628A6">
        <w:rPr>
          <w:rFonts w:ascii="Bookman Old Style" w:hAnsi="Bookman Old Style" w:cs="Arial"/>
          <w:i/>
          <w:u w:val="single"/>
          <w:lang w:val="es-CO"/>
        </w:rPr>
        <w:t>los gastos operativos</w:t>
      </w:r>
      <w:r w:rsidR="003628A6" w:rsidRPr="00E5224D">
        <w:rPr>
          <w:rFonts w:ascii="Bookman Old Style" w:hAnsi="Bookman Old Style" w:cs="Arial"/>
          <w:i/>
          <w:lang w:val="es-CO"/>
        </w:rPr>
        <w:t xml:space="preserve">; en las empresas del sector eléctrico, </w:t>
      </w:r>
      <w:r w:rsidR="003628A6" w:rsidRPr="003628A6">
        <w:rPr>
          <w:rFonts w:ascii="Bookman Old Style" w:hAnsi="Bookman Old Style" w:cs="Arial"/>
          <w:i/>
          <w:u w:val="single"/>
          <w:lang w:val="es-CO"/>
        </w:rPr>
        <w:t>las compras de electricidad, las compras de combustibles y los peajes</w:t>
      </w:r>
      <w:r w:rsidR="003628A6" w:rsidRPr="00E5224D">
        <w:rPr>
          <w:rFonts w:ascii="Bookman Old Style" w:hAnsi="Bookman Old Style" w:cs="Arial"/>
          <w:i/>
          <w:lang w:val="es-CO"/>
        </w:rPr>
        <w:t xml:space="preserve">, cuando hubiere lugar a ello; y en las empresas de otros sectores los </w:t>
      </w:r>
      <w:r w:rsidR="003628A6" w:rsidRPr="003628A6">
        <w:rPr>
          <w:rFonts w:ascii="Bookman Old Style" w:hAnsi="Bookman Old Style" w:cs="Arial"/>
          <w:i/>
          <w:u w:val="single"/>
          <w:lang w:val="es-CO"/>
        </w:rPr>
        <w:t>gastos de naturaleza similar</w:t>
      </w:r>
      <w:r w:rsidR="003628A6" w:rsidRPr="00E5224D">
        <w:rPr>
          <w:rFonts w:ascii="Bookman Old Style" w:hAnsi="Bookman Old Style" w:cs="Arial"/>
          <w:i/>
          <w:lang w:val="es-CO"/>
        </w:rPr>
        <w:t xml:space="preserve"> a éstos. </w:t>
      </w:r>
      <w:r w:rsidR="003628A6" w:rsidRPr="00E5224D">
        <w:rPr>
          <w:rFonts w:ascii="Bookman Old Style" w:hAnsi="Bookman Old Style" w:cs="Arial"/>
          <w:i/>
          <w:u w:val="single"/>
          <w:lang w:val="es-CO"/>
        </w:rPr>
        <w:t>Estos rubros podrán ser adicionados en la misma proporción en que sean indispensables para cubrir faltantes presupuestales de las comisiones y la superintendencia</w:t>
      </w:r>
      <w:r w:rsidR="003628A6">
        <w:rPr>
          <w:rFonts w:ascii="Bookman Old Style" w:hAnsi="Bookman Old Style" w:cs="Arial"/>
          <w:i/>
          <w:lang w:val="es-CO"/>
        </w:rPr>
        <w:t>”</w:t>
      </w:r>
      <w:r w:rsidR="003628A6" w:rsidRPr="00E5224D">
        <w:rPr>
          <w:rFonts w:ascii="Bookman Old Style" w:hAnsi="Bookman Old Style" w:cs="Arial"/>
          <w:lang w:val="es-CO"/>
        </w:rPr>
        <w:t xml:space="preserve"> (subrayado fuera del texto original)</w:t>
      </w:r>
      <w:r w:rsidR="003628A6">
        <w:rPr>
          <w:rFonts w:ascii="Bookman Old Style" w:hAnsi="Bookman Old Style" w:cs="Arial"/>
          <w:lang w:val="es-CO"/>
        </w:rPr>
        <w:t>.</w:t>
      </w:r>
    </w:p>
    <w:p w14:paraId="6ABA330B" w14:textId="04450E08" w:rsidR="00324CB4" w:rsidRDefault="00324CB4" w:rsidP="00050EF7">
      <w:pPr>
        <w:jc w:val="both"/>
        <w:rPr>
          <w:rFonts w:ascii="Bookman Old Style" w:hAnsi="Bookman Old Style" w:cs="Arial"/>
          <w:lang w:val="es-CO"/>
        </w:rPr>
      </w:pPr>
    </w:p>
    <w:p w14:paraId="683804FF" w14:textId="0041C36E" w:rsidR="00324CB4" w:rsidRPr="00C919D9" w:rsidRDefault="00324CB4" w:rsidP="00324CB4">
      <w:pPr>
        <w:ind w:left="0"/>
        <w:jc w:val="both"/>
        <w:rPr>
          <w:rFonts w:ascii="Bookman Old Style" w:hAnsi="Bookman Old Style" w:cs="Arial"/>
          <w:lang w:val="es-CO"/>
        </w:rPr>
      </w:pPr>
      <w:r w:rsidRPr="00C919D9">
        <w:rPr>
          <w:rFonts w:ascii="Bookman Old Style" w:hAnsi="Bookman Old Style" w:cs="Arial"/>
          <w:lang w:val="es-CO"/>
        </w:rPr>
        <w:t xml:space="preserve">En similar sentido dicha corporación se ha pronunciado en varias ocasiones, entre estas, a través de la Sentencia del 10 de octubre de 2019, CP. Dr. Jorge Octavio Ramírez </w:t>
      </w:r>
      <w:proofErr w:type="spellStart"/>
      <w:r w:rsidRPr="00C919D9">
        <w:rPr>
          <w:rFonts w:ascii="Bookman Old Style" w:hAnsi="Bookman Old Style" w:cs="Arial"/>
          <w:lang w:val="es-CO"/>
        </w:rPr>
        <w:t>Ramírez</w:t>
      </w:r>
      <w:proofErr w:type="spellEnd"/>
      <w:r w:rsidRPr="00C919D9">
        <w:rPr>
          <w:rFonts w:ascii="Bookman Old Style" w:hAnsi="Bookman Old Style" w:cs="Arial"/>
          <w:lang w:val="es-CO"/>
        </w:rPr>
        <w:t xml:space="preserve">, </w:t>
      </w:r>
      <w:proofErr w:type="spellStart"/>
      <w:r w:rsidRPr="00C919D9">
        <w:rPr>
          <w:rFonts w:ascii="Bookman Old Style" w:hAnsi="Bookman Old Style" w:cs="Arial"/>
          <w:lang w:val="es-CO"/>
        </w:rPr>
        <w:t>Exp</w:t>
      </w:r>
      <w:proofErr w:type="spellEnd"/>
      <w:r w:rsidRPr="00C919D9">
        <w:rPr>
          <w:rFonts w:ascii="Bookman Old Style" w:hAnsi="Bookman Old Style" w:cs="Arial"/>
          <w:lang w:val="es-CO"/>
        </w:rPr>
        <w:t>. 11001-03-27-000-2016-00016-00 (22394) ACUM: 22575, 22998, 23383 y 23499., explicando la regla general contenida en el artículo 85 de la Ley 142 de 1994 sobre la determinación de la base gravable, la excepción aplicable cuando existe faltante presupuestal</w:t>
      </w:r>
      <w:r w:rsidR="00926FC1">
        <w:rPr>
          <w:rFonts w:ascii="Bookman Old Style" w:hAnsi="Bookman Old Style" w:cs="Arial"/>
          <w:lang w:val="es-CO"/>
        </w:rPr>
        <w:t>,</w:t>
      </w:r>
      <w:r w:rsidRPr="00C919D9">
        <w:rPr>
          <w:rFonts w:ascii="Bookman Old Style" w:hAnsi="Bookman Old Style" w:cs="Arial"/>
          <w:lang w:val="es-CO"/>
        </w:rPr>
        <w:t xml:space="preserve"> y las cuentas que pueden o no incluirse en la base gravable al hacer uso de la excepción, postura acogida por la CREG, y que señala lo siguiente: </w:t>
      </w:r>
    </w:p>
    <w:p w14:paraId="28784A1B" w14:textId="77777777" w:rsidR="00324CB4" w:rsidRPr="00C919D9" w:rsidRDefault="00324CB4" w:rsidP="00324CB4">
      <w:pPr>
        <w:ind w:left="0"/>
        <w:jc w:val="both"/>
        <w:rPr>
          <w:rFonts w:ascii="Bookman Old Style" w:hAnsi="Bookman Old Style" w:cs="Arial"/>
          <w:lang w:val="es-CO"/>
        </w:rPr>
      </w:pPr>
    </w:p>
    <w:p w14:paraId="3FDDA13F" w14:textId="18F45CD6" w:rsidR="00324CB4" w:rsidRPr="00C919D9" w:rsidRDefault="00324CB4" w:rsidP="00050EF7">
      <w:pPr>
        <w:jc w:val="both"/>
        <w:rPr>
          <w:rFonts w:ascii="Bookman Old Style" w:hAnsi="Bookman Old Style" w:cs="Arial"/>
          <w:i/>
          <w:iCs/>
        </w:rPr>
      </w:pPr>
      <w:r w:rsidRPr="00C919D9">
        <w:rPr>
          <w:rFonts w:ascii="Bookman Old Style" w:hAnsi="Bookman Old Style" w:cs="Arial"/>
          <w:i/>
          <w:iCs/>
        </w:rPr>
        <w:t>“3.4.8. En ese contexto, se concluye que en el artículo 85 de la Ley 142 de 1994, en la determinación de la base gravable de la contribución especial, contempla una regla general y una excepción: </w:t>
      </w:r>
      <w:r w:rsidRPr="00C919D9">
        <w:rPr>
          <w:rFonts w:ascii="Bookman Old Style" w:hAnsi="Bookman Old Style" w:cs="Arial"/>
          <w:b/>
          <w:bCs/>
          <w:i/>
          <w:iCs/>
        </w:rPr>
        <w:t>Regla general:</w:t>
      </w:r>
      <w:r w:rsidRPr="00C919D9">
        <w:rPr>
          <w:rFonts w:ascii="Bookman Old Style" w:hAnsi="Bookman Old Style" w:cs="Arial"/>
          <w:i/>
          <w:iCs/>
        </w:rPr>
        <w:t> la base gravable está conformada por los gastos de funcionamiento asociados al servicio regulado, detrayendo los gastos operativos y, en el caso de las empresas de energía las compras de electricidad, las compras de combustibles y los peajes, cuando hubiere lugar a ello. Igual ocurre en las empresas de otros sectores. </w:t>
      </w:r>
      <w:r w:rsidRPr="00C919D9">
        <w:rPr>
          <w:rFonts w:ascii="Bookman Old Style" w:hAnsi="Bookman Old Style" w:cs="Arial"/>
          <w:b/>
          <w:bCs/>
          <w:i/>
          <w:iCs/>
        </w:rPr>
        <w:t>Excepción:</w:t>
      </w:r>
      <w:r w:rsidRPr="00C919D9">
        <w:rPr>
          <w:rFonts w:ascii="Bookman Old Style" w:hAnsi="Bookman Old Style" w:cs="Arial"/>
          <w:i/>
          <w:iCs/>
        </w:rPr>
        <w:t xml:space="preserve"> solo en los casos de faltantes presupuestales de la SSPD, la base del tributo podrá conformarse con los gastos de funcionamiento, y con la proporción necesaria para cubrir tales faltantes, de los rubros por gastos operativos. En el caso de las empresas de energía se podrá tener en cuenta la compra de electricidad, la compra de combustibles y los peajes, cuando hubiere lugar a ello. En las empresas de otros sectores los gastos de naturaleza similar a éstos, en el respectivo año </w:t>
      </w:r>
      <w:r w:rsidRPr="00C919D9">
        <w:rPr>
          <w:rFonts w:ascii="Bookman Old Style" w:hAnsi="Bookman Old Style" w:cs="Arial"/>
          <w:i/>
          <w:iCs/>
        </w:rPr>
        <w:lastRenderedPageBreak/>
        <w:t>gravable. 3.4.9. </w:t>
      </w:r>
      <w:r w:rsidRPr="00C919D9">
        <w:rPr>
          <w:rFonts w:ascii="Bookman Old Style" w:hAnsi="Bookman Old Style" w:cs="Arial"/>
          <w:i/>
          <w:iCs/>
          <w:lang w:val="es-ES_tradnl"/>
        </w:rPr>
        <w:t>Conforme con lo anterior, es claro que </w:t>
      </w:r>
      <w:r w:rsidRPr="00C919D9">
        <w:rPr>
          <w:rFonts w:ascii="Bookman Old Style" w:hAnsi="Bookman Old Style" w:cs="Arial"/>
          <w:b/>
          <w:bCs/>
          <w:i/>
          <w:iCs/>
          <w:lang w:val="es-ES_tradnl"/>
        </w:rPr>
        <w:t>la finalidad de la norma es que la contribución especial grave los gastos de funcionamiento cuando estos resulten suficientes para cubrir el presupuesto de la SSPD y, en los casos de faltantes presupuestales, además recaiga sobre los conceptos señalados en el parágrafo 2 del artículo </w:t>
      </w:r>
      <w:r w:rsidRPr="00C919D9">
        <w:rPr>
          <w:rFonts w:ascii="Bookman Old Style" w:hAnsi="Bookman Old Style" w:cs="Arial"/>
          <w:b/>
          <w:bCs/>
          <w:i/>
          <w:iCs/>
        </w:rPr>
        <w:t>85 de la Ley 142 de 1994</w:t>
      </w:r>
      <w:r w:rsidRPr="00C919D9">
        <w:rPr>
          <w:rFonts w:ascii="Bookman Old Style" w:hAnsi="Bookman Old Style" w:cs="Arial"/>
          <w:i/>
          <w:iCs/>
        </w:rPr>
        <w:t>. 3.4.10. El Despacho aclara que la aplicación del </w:t>
      </w:r>
      <w:r w:rsidRPr="00C919D9">
        <w:rPr>
          <w:rFonts w:ascii="Bookman Old Style" w:hAnsi="Bookman Old Style" w:cs="Arial"/>
          <w:i/>
          <w:iCs/>
          <w:lang w:val="es-ES_tradnl"/>
        </w:rPr>
        <w:t>parágrafo 2 del artículo </w:t>
      </w:r>
      <w:r w:rsidRPr="00C919D9">
        <w:rPr>
          <w:rFonts w:ascii="Bookman Old Style" w:hAnsi="Bookman Old Style" w:cs="Arial"/>
          <w:i/>
          <w:iCs/>
        </w:rPr>
        <w:t>85 de la Ley 142 de 1994 no faculta a la SSPD para que incluya cualquier costo o gasto en la base de liquidación de la contribución especial, porque el legislador, de manera expresa, señaló cuáles rubros podrán ser incluidos para efectos de cubrir el faltante presupuestal.  (…)</w:t>
      </w:r>
    </w:p>
    <w:p w14:paraId="2308AEB0" w14:textId="1F224931" w:rsidR="00324CB4" w:rsidRPr="00C919D9" w:rsidRDefault="00324CB4" w:rsidP="00050EF7">
      <w:pPr>
        <w:jc w:val="both"/>
        <w:rPr>
          <w:rFonts w:ascii="Bookman Old Style" w:hAnsi="Bookman Old Style" w:cs="Arial"/>
          <w:i/>
          <w:iCs/>
        </w:rPr>
      </w:pPr>
    </w:p>
    <w:p w14:paraId="24158824" w14:textId="7FF197F0" w:rsidR="00324CB4" w:rsidRPr="00C919D9" w:rsidRDefault="00324CB4" w:rsidP="00050EF7">
      <w:pPr>
        <w:jc w:val="both"/>
        <w:rPr>
          <w:rFonts w:ascii="Bookman Old Style" w:hAnsi="Bookman Old Style" w:cs="Arial"/>
          <w:i/>
          <w:iCs/>
          <w:lang w:val="es-CO"/>
        </w:rPr>
      </w:pPr>
      <w:r w:rsidRPr="00C919D9">
        <w:rPr>
          <w:rFonts w:ascii="Bookman Old Style" w:hAnsi="Bookman Old Style" w:cs="Arial"/>
          <w:i/>
          <w:iCs/>
        </w:rPr>
        <w:t>De acuerdo con el criterio fijado por la Sala en la sentencia de 23 de septiembre de 2010, las cuentas del </w:t>
      </w:r>
      <w:r w:rsidRPr="00C919D9">
        <w:rPr>
          <w:rFonts w:ascii="Bookman Old Style" w:hAnsi="Bookman Old Style" w:cs="Arial"/>
          <w:b/>
          <w:bCs/>
          <w:i/>
          <w:iCs/>
        </w:rPr>
        <w:t>grupo 75-costos de producción</w:t>
      </w:r>
      <w:r w:rsidRPr="00C919D9">
        <w:rPr>
          <w:rFonts w:ascii="Bookman Old Style" w:hAnsi="Bookman Old Style" w:cs="Arial"/>
          <w:i/>
          <w:iCs/>
        </w:rPr>
        <w:t> del Plan de Contabilidad para Entes Prestadores de Servicios Públicos Domiciliarios no integran la base gravable de la contribución especial, fundamentalmente, porque “la noción de costos no se puede equiparar a la de gastos de funcionamiento por no haberlo previsto así la Ley 142 de 1994, ya que de haber sido esa la intención del legislador así lo hubiera contemplado legalmente, teniendo en cuenta el fundamento contable que tiene la base gravable comentada”. Sin embargo, excepcionalmente, como se expuso con anterioridad, se podrán incluir cuentas de este grupo, tales como la compra de electricidad, la compra de combustibles y los peajes [de distribución], en el caso de las empresas del sector eléctrico y, “en las empresas de otros sectores los gastos de naturaleza similar a éstos”, es decir, en el caso de las empresas de acueducto, la compra de agua, la energía y combustible usado para el bombeo del agua y los peajes o derechos de servidumbre de conducción de la red, etc., servicios personales (7505), generales (7510), arrendamientos (7517), costo de bienes y servicios públicos para la venta (7530), licencia de operación del servicio (753508), comité de estratificación (753513), consumo de insumos directos (7537), órdenes y contratos de mantenimiento y reparaciones (7540), honorarios (7542), materiales y otros costos de operación (7550), costos de pérdidas en la prestación del servicio de acueducto (7555), seguros (7560) y órdenes y contratos por otros servicios (7570). Porque su inclusión desconoce los lineamientos jurisprudenciales sobre el alcance de la expresión “gastos de funcionamiento”, que constituye la regla general de determinación de la base gravable de la contribución analizada, siendo del caso reiterar que las cuentas del Grupo 75 - costos de producción-, no hacen parte de la base gravable de la contribución especial, salvo que, aplique la excepción del parágrafo 2º del artículo 85 de la Ley 142 de 1994, dentro de la que no encaja ninguna de las señaladas con anterioridad. A su vez, se debe </w:t>
      </w:r>
      <w:r w:rsidRPr="00C919D9">
        <w:rPr>
          <w:rFonts w:ascii="Bookman Old Style" w:hAnsi="Bookman Old Style" w:cs="Arial"/>
          <w:b/>
          <w:bCs/>
          <w:i/>
          <w:iCs/>
        </w:rPr>
        <w:t>negar la suspensión provisional</w:t>
      </w:r>
      <w:r w:rsidRPr="00C919D9">
        <w:rPr>
          <w:rFonts w:ascii="Bookman Old Style" w:hAnsi="Bookman Old Style" w:cs="Arial"/>
          <w:i/>
          <w:iCs/>
        </w:rPr>
        <w:t> de las siguientes cuentas: gastos de administración (menos 5120), compras en bloque y/o a largo plazo (753001), compras en bolsa y/o a corto plazo (753002), uso de líneas, redes y ductos (753005), costo de distribución y/o comercialización de GN (753006) y costo de distribución y/o comercialización de GLP (753008), porque encajan en la excepción prevista en el parágrafo 2º del artículo 85 de la Ley 142 de 1994.” </w:t>
      </w:r>
    </w:p>
    <w:p w14:paraId="2063853B" w14:textId="0387465D" w:rsidR="003628A6" w:rsidRPr="00C919D9" w:rsidRDefault="003628A6" w:rsidP="00585C3D">
      <w:pPr>
        <w:ind w:left="0"/>
        <w:jc w:val="both"/>
        <w:rPr>
          <w:rFonts w:ascii="Bookman Old Style" w:hAnsi="Bookman Old Style" w:cs="Arial"/>
          <w:lang w:val="es-CO"/>
        </w:rPr>
      </w:pPr>
    </w:p>
    <w:p w14:paraId="34C81184" w14:textId="21B2ED5D" w:rsidR="006B0FC6" w:rsidRDefault="008D4BDA" w:rsidP="00692D39">
      <w:pPr>
        <w:ind w:left="0"/>
        <w:jc w:val="both"/>
        <w:rPr>
          <w:rFonts w:ascii="Bookman Old Style" w:hAnsi="Bookman Old Style" w:cs="Arial"/>
        </w:rPr>
      </w:pPr>
      <w:r w:rsidRPr="00C919D9">
        <w:rPr>
          <w:rFonts w:ascii="Bookman Old Style" w:hAnsi="Bookman Old Style" w:cs="Arial"/>
        </w:rPr>
        <w:lastRenderedPageBreak/>
        <w:t>En el anexo del Decreto d</w:t>
      </w:r>
      <w:r w:rsidRPr="00733B4E">
        <w:rPr>
          <w:rFonts w:ascii="Bookman Old Style" w:hAnsi="Bookman Old Style" w:cs="Arial"/>
        </w:rPr>
        <w:t xml:space="preserve">e liquidación del Presupuesto General de la Nación </w:t>
      </w:r>
      <w:r>
        <w:rPr>
          <w:rFonts w:ascii="Bookman Old Style" w:hAnsi="Bookman Old Style" w:cs="Arial"/>
        </w:rPr>
        <w:t xml:space="preserve">– PGN </w:t>
      </w:r>
      <w:r w:rsidRPr="00733B4E">
        <w:rPr>
          <w:rFonts w:ascii="Bookman Old Style" w:hAnsi="Bookman Old Style" w:cs="Arial"/>
        </w:rPr>
        <w:t xml:space="preserve">N° </w:t>
      </w:r>
      <w:r>
        <w:rPr>
          <w:rFonts w:ascii="Bookman Old Style" w:hAnsi="Bookman Old Style" w:cs="Arial"/>
        </w:rPr>
        <w:t>1793</w:t>
      </w:r>
      <w:r w:rsidRPr="00215B0C">
        <w:rPr>
          <w:rFonts w:ascii="Bookman Old Style" w:hAnsi="Bookman Old Style" w:cs="Arial"/>
        </w:rPr>
        <w:t xml:space="preserve"> de diciembre </w:t>
      </w:r>
      <w:r>
        <w:rPr>
          <w:rFonts w:ascii="Bookman Old Style" w:hAnsi="Bookman Old Style" w:cs="Arial"/>
        </w:rPr>
        <w:t>21</w:t>
      </w:r>
      <w:r w:rsidRPr="00215B0C">
        <w:rPr>
          <w:rFonts w:ascii="Bookman Old Style" w:hAnsi="Bookman Old Style" w:cs="Arial"/>
        </w:rPr>
        <w:t xml:space="preserve"> de 202</w:t>
      </w:r>
      <w:r>
        <w:rPr>
          <w:rFonts w:ascii="Bookman Old Style" w:hAnsi="Bookman Old Style" w:cs="Arial"/>
        </w:rPr>
        <w:t>1</w:t>
      </w:r>
      <w:r>
        <w:rPr>
          <w:rStyle w:val="Refdenotaalpie"/>
          <w:rFonts w:ascii="Bookman Old Style" w:hAnsi="Bookman Old Style" w:cs="Arial"/>
        </w:rPr>
        <w:footnoteReference w:id="12"/>
      </w:r>
      <w:r>
        <w:rPr>
          <w:rFonts w:ascii="Bookman Old Style" w:hAnsi="Bookman Old Style" w:cs="Arial"/>
        </w:rPr>
        <w:t xml:space="preserve"> l</w:t>
      </w:r>
      <w:r w:rsidR="00692D39" w:rsidRPr="00733B4E">
        <w:rPr>
          <w:rFonts w:ascii="Bookman Old Style" w:hAnsi="Bookman Old Style" w:cs="Arial"/>
        </w:rPr>
        <w:t xml:space="preserve">as apropiaciones presupuestales </w:t>
      </w:r>
      <w:r w:rsidR="008C1BB2">
        <w:rPr>
          <w:rFonts w:ascii="Bookman Old Style" w:hAnsi="Bookman Old Style" w:cs="Arial"/>
        </w:rPr>
        <w:t xml:space="preserve">aprobadas a favor de </w:t>
      </w:r>
      <w:r w:rsidR="00692D39" w:rsidRPr="00733B4E">
        <w:rPr>
          <w:rFonts w:ascii="Bookman Old Style" w:hAnsi="Bookman Old Style" w:cs="Arial"/>
        </w:rPr>
        <w:t xml:space="preserve">la CREG </w:t>
      </w:r>
      <w:r w:rsidR="008C1BB2">
        <w:rPr>
          <w:rFonts w:ascii="Bookman Old Style" w:hAnsi="Bookman Old Style" w:cs="Arial"/>
        </w:rPr>
        <w:t>para</w:t>
      </w:r>
      <w:r w:rsidR="00692D39" w:rsidRPr="00733B4E">
        <w:rPr>
          <w:rFonts w:ascii="Bookman Old Style" w:hAnsi="Bookman Old Style" w:cs="Arial"/>
        </w:rPr>
        <w:t xml:space="preserve"> la vigencia fiscal 20</w:t>
      </w:r>
      <w:r w:rsidR="007800E5">
        <w:rPr>
          <w:rFonts w:ascii="Bookman Old Style" w:hAnsi="Bookman Old Style" w:cs="Arial"/>
        </w:rPr>
        <w:t>2</w:t>
      </w:r>
      <w:r w:rsidR="00D47F93">
        <w:rPr>
          <w:rFonts w:ascii="Bookman Old Style" w:hAnsi="Bookman Old Style" w:cs="Arial"/>
        </w:rPr>
        <w:t>2</w:t>
      </w:r>
      <w:r w:rsidR="00692D39" w:rsidRPr="00733B4E">
        <w:rPr>
          <w:rFonts w:ascii="Bookman Old Style" w:hAnsi="Bookman Old Style" w:cs="Arial"/>
        </w:rPr>
        <w:t xml:space="preserve">, </w:t>
      </w:r>
      <w:r w:rsidR="008C1BB2">
        <w:rPr>
          <w:rFonts w:ascii="Bookman Old Style" w:hAnsi="Bookman Old Style" w:cs="Arial"/>
        </w:rPr>
        <w:t xml:space="preserve">ascendieron </w:t>
      </w:r>
      <w:r w:rsidR="00324CB4">
        <w:rPr>
          <w:rFonts w:ascii="Bookman Old Style" w:hAnsi="Bookman Old Style" w:cs="Arial"/>
        </w:rPr>
        <w:t>a la</w:t>
      </w:r>
      <w:r w:rsidR="00A00E64">
        <w:rPr>
          <w:rFonts w:ascii="Bookman Old Style" w:hAnsi="Bookman Old Style" w:cs="Arial"/>
        </w:rPr>
        <w:t xml:space="preserve"> suma de </w:t>
      </w:r>
      <w:r w:rsidR="00685D35">
        <w:rPr>
          <w:rFonts w:ascii="Bookman Old Style" w:hAnsi="Bookman Old Style" w:cs="Arial"/>
        </w:rPr>
        <w:t xml:space="preserve">TREINTA Y </w:t>
      </w:r>
      <w:r w:rsidR="008C1BB2">
        <w:rPr>
          <w:rFonts w:ascii="Bookman Old Style" w:hAnsi="Bookman Old Style" w:cs="Arial"/>
        </w:rPr>
        <w:t>NUEVE</w:t>
      </w:r>
      <w:r w:rsidR="00685D35">
        <w:rPr>
          <w:rFonts w:ascii="Bookman Old Style" w:hAnsi="Bookman Old Style" w:cs="Arial"/>
        </w:rPr>
        <w:t xml:space="preserve"> MIL </w:t>
      </w:r>
      <w:r w:rsidR="00157B16">
        <w:rPr>
          <w:rFonts w:ascii="Bookman Old Style" w:hAnsi="Bookman Old Style" w:cs="Arial"/>
        </w:rPr>
        <w:t>NOVECIENTOS SETENTA Y UN</w:t>
      </w:r>
      <w:r w:rsidR="00685D35">
        <w:rPr>
          <w:rFonts w:ascii="Bookman Old Style" w:hAnsi="Bookman Old Style" w:cs="Arial"/>
        </w:rPr>
        <w:t xml:space="preserve"> MILLONES </w:t>
      </w:r>
      <w:r w:rsidR="00157B16">
        <w:rPr>
          <w:rFonts w:ascii="Bookman Old Style" w:hAnsi="Bookman Old Style" w:cs="Arial"/>
        </w:rPr>
        <w:t>OCHOCIENTOS CINCUENTA</w:t>
      </w:r>
      <w:r w:rsidR="00685D35">
        <w:rPr>
          <w:rFonts w:ascii="Bookman Old Style" w:hAnsi="Bookman Old Style" w:cs="Arial"/>
        </w:rPr>
        <w:t xml:space="preserve"> MIL </w:t>
      </w:r>
      <w:r w:rsidR="00157B16">
        <w:rPr>
          <w:rFonts w:ascii="Bookman Old Style" w:hAnsi="Bookman Old Style" w:cs="Arial"/>
        </w:rPr>
        <w:t>CUATROCIENTOS DIEZ</w:t>
      </w:r>
      <w:r w:rsidR="00D47F93">
        <w:rPr>
          <w:rFonts w:ascii="Bookman Old Style" w:hAnsi="Bookman Old Style" w:cs="Arial"/>
        </w:rPr>
        <w:t xml:space="preserve"> </w:t>
      </w:r>
      <w:r w:rsidR="00685D35">
        <w:rPr>
          <w:rFonts w:ascii="Bookman Old Style" w:hAnsi="Bookman Old Style" w:cs="Arial"/>
        </w:rPr>
        <w:t xml:space="preserve">PESOS M/CTE </w:t>
      </w:r>
      <w:r w:rsidR="00F1340D">
        <w:rPr>
          <w:rFonts w:ascii="Bookman Old Style" w:hAnsi="Bookman Old Style" w:cs="Arial"/>
        </w:rPr>
        <w:t>(</w:t>
      </w:r>
      <w:r w:rsidR="00A00E64">
        <w:rPr>
          <w:rFonts w:ascii="Bookman Old Style" w:hAnsi="Bookman Old Style" w:cs="Arial"/>
        </w:rPr>
        <w:t>$</w:t>
      </w:r>
      <w:r w:rsidR="008C1BB2" w:rsidRPr="008C1BB2">
        <w:rPr>
          <w:rFonts w:ascii="Bookman Old Style" w:hAnsi="Bookman Old Style" w:cs="Arial"/>
        </w:rPr>
        <w:t>39.971.850.410</w:t>
      </w:r>
      <w:r w:rsidR="00F1340D">
        <w:rPr>
          <w:rFonts w:ascii="Bookman Old Style" w:hAnsi="Bookman Old Style" w:cs="Arial"/>
        </w:rPr>
        <w:t>)</w:t>
      </w:r>
      <w:r w:rsidR="00A00E64">
        <w:rPr>
          <w:rFonts w:ascii="Bookman Old Style" w:hAnsi="Bookman Old Style" w:cs="Arial"/>
        </w:rPr>
        <w:t xml:space="preserve">, </w:t>
      </w:r>
      <w:r w:rsidR="00157B16">
        <w:rPr>
          <w:rFonts w:ascii="Bookman Old Style" w:hAnsi="Bookman Old Style" w:cs="Arial"/>
        </w:rPr>
        <w:t>como se detalla a continuación:</w:t>
      </w:r>
    </w:p>
    <w:p w14:paraId="447643AA" w14:textId="16D42E24" w:rsidR="006B0FC6" w:rsidRDefault="006B0FC6" w:rsidP="00692D39">
      <w:pPr>
        <w:ind w:left="0"/>
        <w:jc w:val="both"/>
        <w:rPr>
          <w:rFonts w:ascii="Bookman Old Style" w:hAnsi="Bookman Old Style" w:cs="Arial"/>
        </w:rPr>
      </w:pPr>
    </w:p>
    <w:tbl>
      <w:tblPr>
        <w:tblW w:w="9209" w:type="dxa"/>
        <w:jc w:val="center"/>
        <w:tblLayout w:type="fixed"/>
        <w:tblLook w:val="04A0" w:firstRow="1" w:lastRow="0" w:firstColumn="1" w:lastColumn="0" w:noHBand="0" w:noVBand="1"/>
      </w:tblPr>
      <w:tblGrid>
        <w:gridCol w:w="709"/>
        <w:gridCol w:w="694"/>
        <w:gridCol w:w="497"/>
        <w:gridCol w:w="449"/>
        <w:gridCol w:w="2046"/>
        <w:gridCol w:w="1417"/>
        <w:gridCol w:w="1701"/>
        <w:gridCol w:w="1696"/>
      </w:tblGrid>
      <w:tr w:rsidR="00D81F8B" w:rsidRPr="00D81F8B" w14:paraId="20972242" w14:textId="77777777" w:rsidTr="00901023">
        <w:trPr>
          <w:trHeight w:val="614"/>
          <w:tblHeader/>
          <w:jc w:val="center"/>
        </w:trPr>
        <w:tc>
          <w:tcPr>
            <w:tcW w:w="709" w:type="dxa"/>
            <w:tcBorders>
              <w:top w:val="single" w:sz="4" w:space="0" w:color="FFFFFF"/>
              <w:left w:val="single" w:sz="4" w:space="0" w:color="FFFFFF"/>
              <w:bottom w:val="single" w:sz="4" w:space="0" w:color="FFFFFF"/>
              <w:right w:val="single" w:sz="4" w:space="0" w:color="FFFFFF"/>
            </w:tcBorders>
            <w:shd w:val="clear" w:color="2D77C2" w:fill="1F4E78"/>
            <w:vAlign w:val="center"/>
            <w:hideMark/>
          </w:tcPr>
          <w:p w14:paraId="47A273FF"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Tipo Gasto</w:t>
            </w:r>
          </w:p>
        </w:tc>
        <w:tc>
          <w:tcPr>
            <w:tcW w:w="694" w:type="dxa"/>
            <w:tcBorders>
              <w:top w:val="single" w:sz="4" w:space="0" w:color="FFFFFF"/>
              <w:left w:val="nil"/>
              <w:bottom w:val="single" w:sz="4" w:space="0" w:color="FFFFFF"/>
              <w:right w:val="single" w:sz="4" w:space="0" w:color="FFFFFF"/>
            </w:tcBorders>
            <w:shd w:val="clear" w:color="2D77C2" w:fill="1F4E78"/>
            <w:vAlign w:val="center"/>
            <w:hideMark/>
          </w:tcPr>
          <w:p w14:paraId="3E48C904" w14:textId="77777777" w:rsidR="00D81F8B" w:rsidRPr="00D81F8B" w:rsidRDefault="00D81F8B" w:rsidP="00D81F8B">
            <w:pPr>
              <w:ind w:left="0"/>
              <w:jc w:val="center"/>
              <w:rPr>
                <w:rFonts w:ascii="Calibri" w:hAnsi="Calibri" w:cs="Calibri"/>
                <w:b/>
                <w:bCs/>
                <w:color w:val="FFFFFF"/>
                <w:sz w:val="16"/>
                <w:szCs w:val="16"/>
                <w:lang w:val="en-US" w:eastAsia="en-US"/>
              </w:rPr>
            </w:pPr>
            <w:proofErr w:type="spellStart"/>
            <w:r w:rsidRPr="00D81F8B">
              <w:rPr>
                <w:rFonts w:ascii="Calibri" w:hAnsi="Calibri" w:cs="Calibri"/>
                <w:b/>
                <w:bCs/>
                <w:color w:val="FFFFFF"/>
                <w:sz w:val="16"/>
                <w:szCs w:val="16"/>
                <w:lang w:val="en-US" w:eastAsia="en-US"/>
              </w:rPr>
              <w:t>Cta</w:t>
            </w:r>
            <w:proofErr w:type="spellEnd"/>
            <w:r w:rsidRPr="00D81F8B">
              <w:rPr>
                <w:rFonts w:ascii="Calibri" w:hAnsi="Calibri" w:cs="Calibri"/>
                <w:b/>
                <w:bCs/>
                <w:color w:val="FFFFFF"/>
                <w:sz w:val="16"/>
                <w:szCs w:val="16"/>
                <w:lang w:val="en-US" w:eastAsia="en-US"/>
              </w:rPr>
              <w:t>. Prog.</w:t>
            </w:r>
          </w:p>
        </w:tc>
        <w:tc>
          <w:tcPr>
            <w:tcW w:w="497" w:type="dxa"/>
            <w:tcBorders>
              <w:top w:val="single" w:sz="4" w:space="0" w:color="FFFFFF"/>
              <w:left w:val="nil"/>
              <w:bottom w:val="single" w:sz="4" w:space="0" w:color="FFFFFF"/>
              <w:right w:val="single" w:sz="4" w:space="0" w:color="FFFFFF"/>
            </w:tcBorders>
            <w:shd w:val="clear" w:color="2D77C2" w:fill="1F4E78"/>
            <w:vAlign w:val="center"/>
            <w:hideMark/>
          </w:tcPr>
          <w:p w14:paraId="09546DF5"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Rec.</w:t>
            </w:r>
          </w:p>
        </w:tc>
        <w:tc>
          <w:tcPr>
            <w:tcW w:w="449" w:type="dxa"/>
            <w:tcBorders>
              <w:top w:val="single" w:sz="4" w:space="0" w:color="FFFFFF"/>
              <w:left w:val="nil"/>
              <w:bottom w:val="single" w:sz="4" w:space="0" w:color="FFFFFF"/>
              <w:right w:val="single" w:sz="4" w:space="0" w:color="FFFFFF"/>
            </w:tcBorders>
            <w:shd w:val="clear" w:color="2D77C2" w:fill="1F4E78"/>
            <w:vAlign w:val="center"/>
            <w:hideMark/>
          </w:tcPr>
          <w:p w14:paraId="070AF8C5"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Sit</w:t>
            </w:r>
          </w:p>
        </w:tc>
        <w:tc>
          <w:tcPr>
            <w:tcW w:w="2046" w:type="dxa"/>
            <w:tcBorders>
              <w:top w:val="single" w:sz="4" w:space="0" w:color="FFFFFF"/>
              <w:left w:val="nil"/>
              <w:bottom w:val="single" w:sz="4" w:space="0" w:color="FFFFFF"/>
              <w:right w:val="single" w:sz="4" w:space="0" w:color="FFFFFF"/>
            </w:tcBorders>
            <w:shd w:val="clear" w:color="2D77C2" w:fill="1F4E78"/>
            <w:vAlign w:val="center"/>
            <w:hideMark/>
          </w:tcPr>
          <w:p w14:paraId="4AF649D9" w14:textId="77777777" w:rsidR="00D81F8B" w:rsidRPr="00D81F8B" w:rsidRDefault="00D81F8B" w:rsidP="00D81F8B">
            <w:pPr>
              <w:ind w:left="0"/>
              <w:jc w:val="center"/>
              <w:rPr>
                <w:rFonts w:ascii="Calibri" w:hAnsi="Calibri" w:cs="Calibri"/>
                <w:b/>
                <w:bCs/>
                <w:color w:val="FFFFFF"/>
                <w:sz w:val="16"/>
                <w:szCs w:val="16"/>
                <w:lang w:val="en-US" w:eastAsia="en-US"/>
              </w:rPr>
            </w:pPr>
            <w:proofErr w:type="spellStart"/>
            <w:r w:rsidRPr="00D81F8B">
              <w:rPr>
                <w:rFonts w:ascii="Calibri" w:hAnsi="Calibri" w:cs="Calibri"/>
                <w:b/>
                <w:bCs/>
                <w:color w:val="FFFFFF"/>
                <w:sz w:val="16"/>
                <w:szCs w:val="16"/>
                <w:lang w:val="en-US" w:eastAsia="en-US"/>
              </w:rPr>
              <w:t>Nombre</w:t>
            </w:r>
            <w:proofErr w:type="spellEnd"/>
            <w:r w:rsidRPr="00D81F8B">
              <w:rPr>
                <w:rFonts w:ascii="Calibri" w:hAnsi="Calibri" w:cs="Calibri"/>
                <w:b/>
                <w:bCs/>
                <w:color w:val="FFFFFF"/>
                <w:sz w:val="16"/>
                <w:szCs w:val="16"/>
                <w:lang w:val="en-US" w:eastAsia="en-US"/>
              </w:rPr>
              <w:t xml:space="preserve"> del </w:t>
            </w:r>
            <w:proofErr w:type="spellStart"/>
            <w:r w:rsidRPr="00D81F8B">
              <w:rPr>
                <w:rFonts w:ascii="Calibri" w:hAnsi="Calibri" w:cs="Calibri"/>
                <w:b/>
                <w:bCs/>
                <w:color w:val="FFFFFF"/>
                <w:sz w:val="16"/>
                <w:szCs w:val="16"/>
                <w:lang w:val="en-US" w:eastAsia="en-US"/>
              </w:rPr>
              <w:t>rubro</w:t>
            </w:r>
            <w:proofErr w:type="spellEnd"/>
          </w:p>
        </w:tc>
        <w:tc>
          <w:tcPr>
            <w:tcW w:w="1417" w:type="dxa"/>
            <w:tcBorders>
              <w:top w:val="single" w:sz="4" w:space="0" w:color="FFFFFF"/>
              <w:left w:val="nil"/>
              <w:bottom w:val="single" w:sz="4" w:space="0" w:color="FFFFFF"/>
              <w:right w:val="single" w:sz="4" w:space="0" w:color="FFFFFF"/>
            </w:tcBorders>
            <w:shd w:val="clear" w:color="2D77C2" w:fill="1F4E78"/>
            <w:vAlign w:val="center"/>
            <w:hideMark/>
          </w:tcPr>
          <w:p w14:paraId="657BF115"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Total </w:t>
            </w:r>
            <w:proofErr w:type="spellStart"/>
            <w:r w:rsidRPr="00D81F8B">
              <w:rPr>
                <w:rFonts w:ascii="Calibri" w:hAnsi="Calibri" w:cs="Calibri"/>
                <w:b/>
                <w:bCs/>
                <w:color w:val="FFFFFF"/>
                <w:sz w:val="16"/>
                <w:szCs w:val="16"/>
                <w:lang w:val="en-US" w:eastAsia="en-US"/>
              </w:rPr>
              <w:t>presupuesto</w:t>
            </w:r>
            <w:proofErr w:type="spellEnd"/>
            <w:r w:rsidRPr="00D81F8B">
              <w:rPr>
                <w:rFonts w:ascii="Calibri" w:hAnsi="Calibri" w:cs="Calibri"/>
                <w:b/>
                <w:bCs/>
                <w:color w:val="FFFFFF"/>
                <w:sz w:val="16"/>
                <w:szCs w:val="16"/>
                <w:lang w:val="en-US" w:eastAsia="en-US"/>
              </w:rPr>
              <w:t xml:space="preserve"> </w:t>
            </w:r>
          </w:p>
        </w:tc>
        <w:tc>
          <w:tcPr>
            <w:tcW w:w="1701" w:type="dxa"/>
            <w:tcBorders>
              <w:top w:val="single" w:sz="4" w:space="0" w:color="FFFFFF"/>
              <w:left w:val="nil"/>
              <w:bottom w:val="single" w:sz="4" w:space="0" w:color="FFFFFF"/>
              <w:right w:val="single" w:sz="4" w:space="0" w:color="FFFFFF"/>
            </w:tcBorders>
            <w:shd w:val="clear" w:color="2D77C2" w:fill="1F4E78"/>
            <w:vAlign w:val="center"/>
            <w:hideMark/>
          </w:tcPr>
          <w:p w14:paraId="5EDC9801" w14:textId="77777777" w:rsidR="00D81F8B" w:rsidRPr="00D81F8B" w:rsidRDefault="00D81F8B" w:rsidP="00D81F8B">
            <w:pPr>
              <w:ind w:left="0"/>
              <w:jc w:val="center"/>
              <w:rPr>
                <w:rFonts w:ascii="Calibri" w:hAnsi="Calibri" w:cs="Calibri"/>
                <w:b/>
                <w:bCs/>
                <w:color w:val="FFFFFF"/>
                <w:sz w:val="16"/>
                <w:szCs w:val="16"/>
                <w:lang w:val="es-CO" w:eastAsia="en-US"/>
              </w:rPr>
            </w:pPr>
            <w:r w:rsidRPr="00D81F8B">
              <w:rPr>
                <w:rFonts w:ascii="Calibri" w:hAnsi="Calibri" w:cs="Calibri"/>
                <w:b/>
                <w:bCs/>
                <w:color w:val="FFFFFF"/>
                <w:sz w:val="16"/>
                <w:szCs w:val="16"/>
                <w:lang w:val="es-CO" w:eastAsia="en-US"/>
              </w:rPr>
              <w:t xml:space="preserve"> Subtotal </w:t>
            </w:r>
            <w:r w:rsidRPr="00D81F8B">
              <w:rPr>
                <w:rFonts w:ascii="Calibri" w:hAnsi="Calibri" w:cs="Calibri"/>
                <w:b/>
                <w:bCs/>
                <w:color w:val="FFFFFF"/>
                <w:sz w:val="16"/>
                <w:szCs w:val="16"/>
                <w:lang w:val="es-CO" w:eastAsia="en-US"/>
              </w:rPr>
              <w:br/>
              <w:t>Recurso 16 SSF</w:t>
            </w:r>
            <w:r w:rsidRPr="00D81F8B">
              <w:rPr>
                <w:rFonts w:ascii="Calibri" w:hAnsi="Calibri" w:cs="Calibri"/>
                <w:b/>
                <w:bCs/>
                <w:color w:val="FFFFFF"/>
                <w:sz w:val="16"/>
                <w:szCs w:val="16"/>
                <w:lang w:val="es-CO" w:eastAsia="en-US"/>
              </w:rPr>
              <w:br/>
              <w:t xml:space="preserve">Contribución Especial </w:t>
            </w:r>
          </w:p>
        </w:tc>
        <w:tc>
          <w:tcPr>
            <w:tcW w:w="1696" w:type="dxa"/>
            <w:tcBorders>
              <w:top w:val="single" w:sz="4" w:space="0" w:color="FFFFFF"/>
              <w:left w:val="nil"/>
              <w:bottom w:val="single" w:sz="4" w:space="0" w:color="FFFFFF"/>
              <w:right w:val="single" w:sz="4" w:space="0" w:color="FFFFFF"/>
            </w:tcBorders>
            <w:shd w:val="clear" w:color="2D77C2" w:fill="1F4E78"/>
            <w:vAlign w:val="center"/>
            <w:hideMark/>
          </w:tcPr>
          <w:p w14:paraId="4FC05559" w14:textId="77777777" w:rsidR="00D81F8B" w:rsidRPr="00D81F8B" w:rsidRDefault="00D81F8B" w:rsidP="00D81F8B">
            <w:pPr>
              <w:ind w:left="0"/>
              <w:jc w:val="center"/>
              <w:rPr>
                <w:rFonts w:ascii="Calibri" w:hAnsi="Calibri" w:cs="Calibri"/>
                <w:b/>
                <w:bCs/>
                <w:color w:val="FFFFFF"/>
                <w:sz w:val="16"/>
                <w:szCs w:val="16"/>
                <w:lang w:val="es-CO" w:eastAsia="en-US"/>
              </w:rPr>
            </w:pPr>
            <w:r w:rsidRPr="00D81F8B">
              <w:rPr>
                <w:rFonts w:ascii="Calibri" w:hAnsi="Calibri" w:cs="Calibri"/>
                <w:b/>
                <w:bCs/>
                <w:color w:val="FFFFFF"/>
                <w:sz w:val="16"/>
                <w:szCs w:val="16"/>
                <w:lang w:val="es-CO" w:eastAsia="en-US"/>
              </w:rPr>
              <w:t xml:space="preserve"> Subtotal </w:t>
            </w:r>
            <w:r w:rsidRPr="00D81F8B">
              <w:rPr>
                <w:rFonts w:ascii="Calibri" w:hAnsi="Calibri" w:cs="Calibri"/>
                <w:b/>
                <w:bCs/>
                <w:color w:val="FFFFFF"/>
                <w:sz w:val="16"/>
                <w:szCs w:val="16"/>
                <w:lang w:val="es-CO" w:eastAsia="en-US"/>
              </w:rPr>
              <w:br/>
              <w:t xml:space="preserve">Recurso 10 CSF </w:t>
            </w:r>
            <w:r w:rsidRPr="00D81F8B">
              <w:rPr>
                <w:rFonts w:ascii="Calibri" w:hAnsi="Calibri" w:cs="Calibri"/>
                <w:b/>
                <w:bCs/>
                <w:color w:val="FFFFFF"/>
                <w:sz w:val="16"/>
                <w:szCs w:val="16"/>
                <w:lang w:val="es-CO" w:eastAsia="en-US"/>
              </w:rPr>
              <w:br/>
              <w:t xml:space="preserve">DTN-MHCP </w:t>
            </w:r>
          </w:p>
        </w:tc>
      </w:tr>
      <w:tr w:rsidR="00050EDC" w:rsidRPr="00D81F8B" w14:paraId="32DE98C3" w14:textId="77777777" w:rsidTr="00050EDC">
        <w:trPr>
          <w:trHeight w:val="264"/>
          <w:jc w:val="center"/>
        </w:trPr>
        <w:tc>
          <w:tcPr>
            <w:tcW w:w="709" w:type="dxa"/>
            <w:tcBorders>
              <w:top w:val="nil"/>
              <w:left w:val="single" w:sz="4" w:space="0" w:color="FFFFFF"/>
              <w:bottom w:val="single" w:sz="4" w:space="0" w:color="FFFFFF"/>
              <w:right w:val="single" w:sz="4" w:space="0" w:color="FFFFFF"/>
            </w:tcBorders>
            <w:shd w:val="clear" w:color="000000" w:fill="2F75B5"/>
            <w:noWrap/>
            <w:vAlign w:val="center"/>
            <w:hideMark/>
          </w:tcPr>
          <w:p w14:paraId="6109F92B"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A</w:t>
            </w:r>
          </w:p>
        </w:tc>
        <w:tc>
          <w:tcPr>
            <w:tcW w:w="3686" w:type="dxa"/>
            <w:gridSpan w:val="4"/>
            <w:tcBorders>
              <w:top w:val="single" w:sz="4" w:space="0" w:color="FFFFFF"/>
              <w:left w:val="nil"/>
              <w:bottom w:val="single" w:sz="4" w:space="0" w:color="FFFFFF"/>
              <w:right w:val="single" w:sz="4" w:space="0" w:color="FFFFFF"/>
            </w:tcBorders>
            <w:shd w:val="clear" w:color="2D77C2" w:fill="2F75B5"/>
            <w:vAlign w:val="center"/>
            <w:hideMark/>
          </w:tcPr>
          <w:p w14:paraId="56A8D37E"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FUNCIONAMIENTO</w:t>
            </w:r>
          </w:p>
        </w:tc>
        <w:tc>
          <w:tcPr>
            <w:tcW w:w="1417" w:type="dxa"/>
            <w:tcBorders>
              <w:top w:val="nil"/>
              <w:left w:val="nil"/>
              <w:bottom w:val="single" w:sz="4" w:space="0" w:color="FFFFFF"/>
              <w:right w:val="single" w:sz="4" w:space="0" w:color="FFFFFF"/>
            </w:tcBorders>
            <w:shd w:val="clear" w:color="2D77C2" w:fill="2F75B5"/>
            <w:vAlign w:val="center"/>
            <w:hideMark/>
          </w:tcPr>
          <w:p w14:paraId="25C65FB1"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$ 25.306.396.400 </w:t>
            </w:r>
          </w:p>
        </w:tc>
        <w:tc>
          <w:tcPr>
            <w:tcW w:w="1701" w:type="dxa"/>
            <w:tcBorders>
              <w:top w:val="nil"/>
              <w:left w:val="nil"/>
              <w:bottom w:val="single" w:sz="4" w:space="0" w:color="FFFFFF"/>
              <w:right w:val="single" w:sz="4" w:space="0" w:color="FFFFFF"/>
            </w:tcBorders>
            <w:shd w:val="clear" w:color="2D77C2" w:fill="2F75B5"/>
            <w:vAlign w:val="center"/>
            <w:hideMark/>
          </w:tcPr>
          <w:p w14:paraId="4651D7C0"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19.944.772.592 </w:t>
            </w:r>
          </w:p>
        </w:tc>
        <w:tc>
          <w:tcPr>
            <w:tcW w:w="1696" w:type="dxa"/>
            <w:tcBorders>
              <w:top w:val="nil"/>
              <w:left w:val="nil"/>
              <w:bottom w:val="single" w:sz="4" w:space="0" w:color="FFFFFF"/>
              <w:right w:val="single" w:sz="4" w:space="0" w:color="FFFFFF"/>
            </w:tcBorders>
            <w:shd w:val="clear" w:color="2D77C2" w:fill="2F75B5"/>
            <w:vAlign w:val="center"/>
            <w:hideMark/>
          </w:tcPr>
          <w:p w14:paraId="4CCEC168"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5.361.623.808 </w:t>
            </w:r>
          </w:p>
        </w:tc>
      </w:tr>
      <w:tr w:rsidR="00050EDC" w:rsidRPr="00D81F8B" w14:paraId="4273CB67"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972C7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62925B0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23B9F38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2FC15F49"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28713F0D"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SALARIO</w:t>
            </w:r>
          </w:p>
        </w:tc>
        <w:tc>
          <w:tcPr>
            <w:tcW w:w="1417" w:type="dxa"/>
            <w:tcBorders>
              <w:top w:val="nil"/>
              <w:left w:val="nil"/>
              <w:bottom w:val="single" w:sz="4" w:space="0" w:color="auto"/>
              <w:right w:val="single" w:sz="4" w:space="0" w:color="auto"/>
            </w:tcBorders>
            <w:shd w:val="clear" w:color="auto" w:fill="auto"/>
            <w:noWrap/>
            <w:vAlign w:val="center"/>
            <w:hideMark/>
          </w:tcPr>
          <w:p w14:paraId="1B8C8CC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2.648.509.565 </w:t>
            </w:r>
          </w:p>
        </w:tc>
        <w:tc>
          <w:tcPr>
            <w:tcW w:w="1701" w:type="dxa"/>
            <w:tcBorders>
              <w:top w:val="nil"/>
              <w:left w:val="nil"/>
              <w:bottom w:val="single" w:sz="4" w:space="0" w:color="auto"/>
              <w:right w:val="single" w:sz="4" w:space="0" w:color="auto"/>
            </w:tcBorders>
            <w:shd w:val="clear" w:color="auto" w:fill="auto"/>
            <w:noWrap/>
            <w:vAlign w:val="center"/>
            <w:hideMark/>
          </w:tcPr>
          <w:p w14:paraId="7A0234F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41B7C7A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2.648.509.565 </w:t>
            </w:r>
          </w:p>
        </w:tc>
      </w:tr>
      <w:tr w:rsidR="00050EDC" w:rsidRPr="00D81F8B" w14:paraId="5997E1B4"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4F17EA"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855629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0EB535E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58E24F23"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7D02D897"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SALARIO</w:t>
            </w:r>
          </w:p>
        </w:tc>
        <w:tc>
          <w:tcPr>
            <w:tcW w:w="1417" w:type="dxa"/>
            <w:tcBorders>
              <w:top w:val="nil"/>
              <w:left w:val="nil"/>
              <w:bottom w:val="single" w:sz="4" w:space="0" w:color="auto"/>
              <w:right w:val="single" w:sz="4" w:space="0" w:color="auto"/>
            </w:tcBorders>
            <w:shd w:val="clear" w:color="auto" w:fill="auto"/>
            <w:noWrap/>
            <w:vAlign w:val="center"/>
            <w:hideMark/>
          </w:tcPr>
          <w:p w14:paraId="713C01C1"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$ 10.285.127.589 </w:t>
            </w:r>
          </w:p>
        </w:tc>
        <w:tc>
          <w:tcPr>
            <w:tcW w:w="1701" w:type="dxa"/>
            <w:tcBorders>
              <w:top w:val="nil"/>
              <w:left w:val="nil"/>
              <w:bottom w:val="single" w:sz="4" w:space="0" w:color="auto"/>
              <w:right w:val="single" w:sz="4" w:space="0" w:color="auto"/>
            </w:tcBorders>
            <w:shd w:val="clear" w:color="auto" w:fill="auto"/>
            <w:noWrap/>
            <w:vAlign w:val="center"/>
            <w:hideMark/>
          </w:tcPr>
          <w:p w14:paraId="261C2E5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10.285.127.589 </w:t>
            </w:r>
          </w:p>
        </w:tc>
        <w:tc>
          <w:tcPr>
            <w:tcW w:w="1696" w:type="dxa"/>
            <w:tcBorders>
              <w:top w:val="nil"/>
              <w:left w:val="nil"/>
              <w:bottom w:val="single" w:sz="4" w:space="0" w:color="auto"/>
              <w:right w:val="single" w:sz="4" w:space="0" w:color="auto"/>
            </w:tcBorders>
            <w:shd w:val="clear" w:color="auto" w:fill="auto"/>
            <w:noWrap/>
            <w:vAlign w:val="center"/>
            <w:hideMark/>
          </w:tcPr>
          <w:p w14:paraId="222AA8B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265E5E00"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BA931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3AA9343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0844120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36750C75"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436BC3E3"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CONTRIBUCIONES INHERENTES A LA NÓMINA</w:t>
            </w:r>
          </w:p>
        </w:tc>
        <w:tc>
          <w:tcPr>
            <w:tcW w:w="1417" w:type="dxa"/>
            <w:tcBorders>
              <w:top w:val="nil"/>
              <w:left w:val="nil"/>
              <w:bottom w:val="single" w:sz="4" w:space="0" w:color="auto"/>
              <w:right w:val="single" w:sz="4" w:space="0" w:color="auto"/>
            </w:tcBorders>
            <w:shd w:val="clear" w:color="auto" w:fill="auto"/>
            <w:noWrap/>
            <w:vAlign w:val="center"/>
            <w:hideMark/>
          </w:tcPr>
          <w:p w14:paraId="1846BE1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798.817.307 </w:t>
            </w:r>
          </w:p>
        </w:tc>
        <w:tc>
          <w:tcPr>
            <w:tcW w:w="1701" w:type="dxa"/>
            <w:tcBorders>
              <w:top w:val="nil"/>
              <w:left w:val="nil"/>
              <w:bottom w:val="single" w:sz="4" w:space="0" w:color="auto"/>
              <w:right w:val="single" w:sz="4" w:space="0" w:color="auto"/>
            </w:tcBorders>
            <w:shd w:val="clear" w:color="auto" w:fill="auto"/>
            <w:noWrap/>
            <w:vAlign w:val="center"/>
            <w:hideMark/>
          </w:tcPr>
          <w:p w14:paraId="6CF693E0"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4A93E25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798.817.307 </w:t>
            </w:r>
          </w:p>
        </w:tc>
      </w:tr>
      <w:tr w:rsidR="00050EDC" w:rsidRPr="00D81F8B" w14:paraId="194E1D22"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48E34B"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0447E0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1EA48F5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2A1BD58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8DC26A4"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CONTRIBUCIONES INHERENTES A LA NÓMINA</w:t>
            </w:r>
          </w:p>
        </w:tc>
        <w:tc>
          <w:tcPr>
            <w:tcW w:w="1417" w:type="dxa"/>
            <w:tcBorders>
              <w:top w:val="nil"/>
              <w:left w:val="nil"/>
              <w:bottom w:val="single" w:sz="4" w:space="0" w:color="auto"/>
              <w:right w:val="single" w:sz="4" w:space="0" w:color="auto"/>
            </w:tcBorders>
            <w:shd w:val="clear" w:color="auto" w:fill="auto"/>
            <w:noWrap/>
            <w:vAlign w:val="center"/>
            <w:hideMark/>
          </w:tcPr>
          <w:p w14:paraId="00C31FB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3.303.953.843 </w:t>
            </w:r>
          </w:p>
        </w:tc>
        <w:tc>
          <w:tcPr>
            <w:tcW w:w="1701" w:type="dxa"/>
            <w:tcBorders>
              <w:top w:val="nil"/>
              <w:left w:val="nil"/>
              <w:bottom w:val="single" w:sz="4" w:space="0" w:color="auto"/>
              <w:right w:val="single" w:sz="4" w:space="0" w:color="auto"/>
            </w:tcBorders>
            <w:shd w:val="clear" w:color="auto" w:fill="auto"/>
            <w:noWrap/>
            <w:vAlign w:val="center"/>
            <w:hideMark/>
          </w:tcPr>
          <w:p w14:paraId="58A3B96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3.303.953.843 </w:t>
            </w:r>
          </w:p>
        </w:tc>
        <w:tc>
          <w:tcPr>
            <w:tcW w:w="1696" w:type="dxa"/>
            <w:tcBorders>
              <w:top w:val="nil"/>
              <w:left w:val="nil"/>
              <w:bottom w:val="single" w:sz="4" w:space="0" w:color="auto"/>
              <w:right w:val="single" w:sz="4" w:space="0" w:color="auto"/>
            </w:tcBorders>
            <w:shd w:val="clear" w:color="auto" w:fill="auto"/>
            <w:noWrap/>
            <w:vAlign w:val="center"/>
            <w:hideMark/>
          </w:tcPr>
          <w:p w14:paraId="1C0C275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33164000" w14:textId="77777777" w:rsidTr="00050EDC">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C063B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3BF20F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165FFB9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7B42DC17"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4F024635"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REMUNERACIONES NO CONSTITUTIVAS DE FACTOR SALARIAL</w:t>
            </w:r>
          </w:p>
        </w:tc>
        <w:tc>
          <w:tcPr>
            <w:tcW w:w="1417" w:type="dxa"/>
            <w:tcBorders>
              <w:top w:val="nil"/>
              <w:left w:val="nil"/>
              <w:bottom w:val="single" w:sz="4" w:space="0" w:color="auto"/>
              <w:right w:val="single" w:sz="4" w:space="0" w:color="auto"/>
            </w:tcBorders>
            <w:shd w:val="clear" w:color="auto" w:fill="auto"/>
            <w:noWrap/>
            <w:vAlign w:val="center"/>
            <w:hideMark/>
          </w:tcPr>
          <w:p w14:paraId="254C2FC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789.768.435 </w:t>
            </w:r>
          </w:p>
        </w:tc>
        <w:tc>
          <w:tcPr>
            <w:tcW w:w="1701" w:type="dxa"/>
            <w:tcBorders>
              <w:top w:val="nil"/>
              <w:left w:val="nil"/>
              <w:bottom w:val="single" w:sz="4" w:space="0" w:color="auto"/>
              <w:right w:val="single" w:sz="4" w:space="0" w:color="auto"/>
            </w:tcBorders>
            <w:shd w:val="clear" w:color="auto" w:fill="auto"/>
            <w:noWrap/>
            <w:vAlign w:val="center"/>
            <w:hideMark/>
          </w:tcPr>
          <w:p w14:paraId="76D2AF6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0BA0CE4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789.768.435 </w:t>
            </w:r>
          </w:p>
        </w:tc>
      </w:tr>
      <w:tr w:rsidR="00050EDC" w:rsidRPr="00D81F8B" w14:paraId="1DD2D551" w14:textId="77777777" w:rsidTr="00050EDC">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A22167"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21E871B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01</w:t>
            </w:r>
          </w:p>
        </w:tc>
        <w:tc>
          <w:tcPr>
            <w:tcW w:w="497" w:type="dxa"/>
            <w:tcBorders>
              <w:top w:val="nil"/>
              <w:left w:val="nil"/>
              <w:bottom w:val="single" w:sz="4" w:space="0" w:color="auto"/>
              <w:right w:val="single" w:sz="4" w:space="0" w:color="auto"/>
            </w:tcBorders>
            <w:shd w:val="clear" w:color="auto" w:fill="auto"/>
            <w:noWrap/>
            <w:vAlign w:val="center"/>
            <w:hideMark/>
          </w:tcPr>
          <w:p w14:paraId="6D5F58B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7DDB3925"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5E2C4A88"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REMUNERACIONES NO CONSTITUTIVAS DE FACTOR SALARIAL</w:t>
            </w:r>
          </w:p>
        </w:tc>
        <w:tc>
          <w:tcPr>
            <w:tcW w:w="1417" w:type="dxa"/>
            <w:tcBorders>
              <w:top w:val="nil"/>
              <w:left w:val="nil"/>
              <w:bottom w:val="single" w:sz="4" w:space="0" w:color="auto"/>
              <w:right w:val="single" w:sz="4" w:space="0" w:color="auto"/>
            </w:tcBorders>
            <w:shd w:val="clear" w:color="auto" w:fill="auto"/>
            <w:noWrap/>
            <w:vAlign w:val="center"/>
            <w:hideMark/>
          </w:tcPr>
          <w:p w14:paraId="64343A9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1.973.610.533 </w:t>
            </w:r>
          </w:p>
        </w:tc>
        <w:tc>
          <w:tcPr>
            <w:tcW w:w="1701" w:type="dxa"/>
            <w:tcBorders>
              <w:top w:val="nil"/>
              <w:left w:val="nil"/>
              <w:bottom w:val="single" w:sz="4" w:space="0" w:color="auto"/>
              <w:right w:val="single" w:sz="4" w:space="0" w:color="auto"/>
            </w:tcBorders>
            <w:shd w:val="clear" w:color="auto" w:fill="auto"/>
            <w:noWrap/>
            <w:vAlign w:val="center"/>
            <w:hideMark/>
          </w:tcPr>
          <w:p w14:paraId="42B998D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1.973.610.533 </w:t>
            </w:r>
          </w:p>
        </w:tc>
        <w:tc>
          <w:tcPr>
            <w:tcW w:w="1696" w:type="dxa"/>
            <w:tcBorders>
              <w:top w:val="nil"/>
              <w:left w:val="nil"/>
              <w:bottom w:val="single" w:sz="4" w:space="0" w:color="auto"/>
              <w:right w:val="single" w:sz="4" w:space="0" w:color="auto"/>
            </w:tcBorders>
            <w:shd w:val="clear" w:color="auto" w:fill="auto"/>
            <w:noWrap/>
            <w:vAlign w:val="center"/>
            <w:hideMark/>
          </w:tcPr>
          <w:p w14:paraId="652A2B7A"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5B2FD994"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4E50C7"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237DBFA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02</w:t>
            </w:r>
          </w:p>
        </w:tc>
        <w:tc>
          <w:tcPr>
            <w:tcW w:w="497" w:type="dxa"/>
            <w:tcBorders>
              <w:top w:val="nil"/>
              <w:left w:val="nil"/>
              <w:bottom w:val="single" w:sz="4" w:space="0" w:color="auto"/>
              <w:right w:val="single" w:sz="4" w:space="0" w:color="auto"/>
            </w:tcBorders>
            <w:shd w:val="clear" w:color="auto" w:fill="auto"/>
            <w:noWrap/>
            <w:vAlign w:val="center"/>
            <w:hideMark/>
          </w:tcPr>
          <w:p w14:paraId="2A2E4FF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4DBDCE6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05A531CC"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 xml:space="preserve">ADQUISICIÓN DE </w:t>
            </w:r>
            <w:proofErr w:type="gramStart"/>
            <w:r w:rsidRPr="00D81F8B">
              <w:rPr>
                <w:rFonts w:ascii="Calibri" w:hAnsi="Calibri" w:cs="Calibri"/>
                <w:color w:val="000000"/>
                <w:sz w:val="16"/>
                <w:szCs w:val="16"/>
                <w:lang w:val="es-CO" w:eastAsia="en-US"/>
              </w:rPr>
              <w:t>BIENES  Y</w:t>
            </w:r>
            <w:proofErr w:type="gramEnd"/>
            <w:r w:rsidRPr="00D81F8B">
              <w:rPr>
                <w:rFonts w:ascii="Calibri" w:hAnsi="Calibri" w:cs="Calibri"/>
                <w:color w:val="000000"/>
                <w:sz w:val="16"/>
                <w:szCs w:val="16"/>
                <w:lang w:val="es-CO" w:eastAsia="en-US"/>
              </w:rPr>
              <w:t xml:space="preserve"> SERVICIOS</w:t>
            </w:r>
          </w:p>
        </w:tc>
        <w:tc>
          <w:tcPr>
            <w:tcW w:w="1417" w:type="dxa"/>
            <w:tcBorders>
              <w:top w:val="nil"/>
              <w:left w:val="nil"/>
              <w:bottom w:val="single" w:sz="4" w:space="0" w:color="auto"/>
              <w:right w:val="single" w:sz="4" w:space="0" w:color="auto"/>
            </w:tcBorders>
            <w:shd w:val="clear" w:color="auto" w:fill="auto"/>
            <w:noWrap/>
            <w:vAlign w:val="center"/>
            <w:hideMark/>
          </w:tcPr>
          <w:p w14:paraId="2D741EC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1.088.611.821 </w:t>
            </w:r>
          </w:p>
        </w:tc>
        <w:tc>
          <w:tcPr>
            <w:tcW w:w="1701" w:type="dxa"/>
            <w:tcBorders>
              <w:top w:val="nil"/>
              <w:left w:val="nil"/>
              <w:bottom w:val="single" w:sz="4" w:space="0" w:color="auto"/>
              <w:right w:val="single" w:sz="4" w:space="0" w:color="auto"/>
            </w:tcBorders>
            <w:shd w:val="clear" w:color="auto" w:fill="auto"/>
            <w:noWrap/>
            <w:vAlign w:val="center"/>
            <w:hideMark/>
          </w:tcPr>
          <w:p w14:paraId="5ACE6115"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3A6F4ED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1.088.611.821 </w:t>
            </w:r>
          </w:p>
        </w:tc>
      </w:tr>
      <w:tr w:rsidR="00050EDC" w:rsidRPr="00D81F8B" w14:paraId="5FE09130"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BAF64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0087EBA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02</w:t>
            </w:r>
          </w:p>
        </w:tc>
        <w:tc>
          <w:tcPr>
            <w:tcW w:w="497" w:type="dxa"/>
            <w:tcBorders>
              <w:top w:val="nil"/>
              <w:left w:val="nil"/>
              <w:bottom w:val="single" w:sz="4" w:space="0" w:color="auto"/>
              <w:right w:val="single" w:sz="4" w:space="0" w:color="auto"/>
            </w:tcBorders>
            <w:shd w:val="clear" w:color="auto" w:fill="auto"/>
            <w:noWrap/>
            <w:vAlign w:val="center"/>
            <w:hideMark/>
          </w:tcPr>
          <w:p w14:paraId="7967121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022D182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1705616C"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 xml:space="preserve">ADQUISICIÓN DE </w:t>
            </w:r>
            <w:proofErr w:type="gramStart"/>
            <w:r w:rsidRPr="00D81F8B">
              <w:rPr>
                <w:rFonts w:ascii="Calibri" w:hAnsi="Calibri" w:cs="Calibri"/>
                <w:color w:val="000000"/>
                <w:sz w:val="16"/>
                <w:szCs w:val="16"/>
                <w:lang w:val="es-CO" w:eastAsia="en-US"/>
              </w:rPr>
              <w:t>BIENES  Y</w:t>
            </w:r>
            <w:proofErr w:type="gramEnd"/>
            <w:r w:rsidRPr="00D81F8B">
              <w:rPr>
                <w:rFonts w:ascii="Calibri" w:hAnsi="Calibri" w:cs="Calibri"/>
                <w:color w:val="000000"/>
                <w:sz w:val="16"/>
                <w:szCs w:val="16"/>
                <w:lang w:val="es-CO" w:eastAsia="en-US"/>
              </w:rPr>
              <w:t xml:space="preserve"> SERVICIOS</w:t>
            </w:r>
          </w:p>
        </w:tc>
        <w:tc>
          <w:tcPr>
            <w:tcW w:w="1417" w:type="dxa"/>
            <w:tcBorders>
              <w:top w:val="nil"/>
              <w:left w:val="nil"/>
              <w:bottom w:val="single" w:sz="4" w:space="0" w:color="auto"/>
              <w:right w:val="single" w:sz="4" w:space="0" w:color="auto"/>
            </w:tcBorders>
            <w:shd w:val="clear" w:color="auto" w:fill="auto"/>
            <w:noWrap/>
            <w:vAlign w:val="center"/>
            <w:hideMark/>
          </w:tcPr>
          <w:p w14:paraId="4477355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2.428.288.178 </w:t>
            </w:r>
          </w:p>
        </w:tc>
        <w:tc>
          <w:tcPr>
            <w:tcW w:w="1701" w:type="dxa"/>
            <w:tcBorders>
              <w:top w:val="nil"/>
              <w:left w:val="nil"/>
              <w:bottom w:val="single" w:sz="4" w:space="0" w:color="auto"/>
              <w:right w:val="single" w:sz="4" w:space="0" w:color="auto"/>
            </w:tcBorders>
            <w:shd w:val="clear" w:color="auto" w:fill="auto"/>
            <w:noWrap/>
            <w:vAlign w:val="center"/>
            <w:hideMark/>
          </w:tcPr>
          <w:p w14:paraId="2C472C6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2.428.288.178 </w:t>
            </w:r>
          </w:p>
        </w:tc>
        <w:tc>
          <w:tcPr>
            <w:tcW w:w="1696" w:type="dxa"/>
            <w:tcBorders>
              <w:top w:val="nil"/>
              <w:left w:val="nil"/>
              <w:bottom w:val="single" w:sz="4" w:space="0" w:color="auto"/>
              <w:right w:val="single" w:sz="4" w:space="0" w:color="auto"/>
            </w:tcBorders>
            <w:shd w:val="clear" w:color="auto" w:fill="auto"/>
            <w:noWrap/>
            <w:vAlign w:val="center"/>
            <w:hideMark/>
          </w:tcPr>
          <w:p w14:paraId="417FD379"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78763E90"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2EBC2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2CF5C6B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03</w:t>
            </w:r>
          </w:p>
        </w:tc>
        <w:tc>
          <w:tcPr>
            <w:tcW w:w="497" w:type="dxa"/>
            <w:tcBorders>
              <w:top w:val="nil"/>
              <w:left w:val="nil"/>
              <w:bottom w:val="single" w:sz="4" w:space="0" w:color="auto"/>
              <w:right w:val="single" w:sz="4" w:space="0" w:color="auto"/>
            </w:tcBorders>
            <w:shd w:val="clear" w:color="auto" w:fill="auto"/>
            <w:noWrap/>
            <w:vAlign w:val="center"/>
            <w:hideMark/>
          </w:tcPr>
          <w:p w14:paraId="6BD629E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12139789"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14A910DA"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FONDO EMPRESARIAL - LEY 812 DE 2003</w:t>
            </w:r>
          </w:p>
        </w:tc>
        <w:tc>
          <w:tcPr>
            <w:tcW w:w="1417" w:type="dxa"/>
            <w:tcBorders>
              <w:top w:val="nil"/>
              <w:left w:val="nil"/>
              <w:bottom w:val="single" w:sz="4" w:space="0" w:color="auto"/>
              <w:right w:val="single" w:sz="4" w:space="0" w:color="auto"/>
            </w:tcBorders>
            <w:shd w:val="clear" w:color="auto" w:fill="auto"/>
            <w:noWrap/>
            <w:vAlign w:val="center"/>
            <w:hideMark/>
          </w:tcPr>
          <w:p w14:paraId="34F849DF"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1.706.221.728 </w:t>
            </w:r>
          </w:p>
        </w:tc>
        <w:tc>
          <w:tcPr>
            <w:tcW w:w="1701" w:type="dxa"/>
            <w:tcBorders>
              <w:top w:val="nil"/>
              <w:left w:val="nil"/>
              <w:bottom w:val="single" w:sz="4" w:space="0" w:color="auto"/>
              <w:right w:val="single" w:sz="4" w:space="0" w:color="auto"/>
            </w:tcBorders>
            <w:shd w:val="clear" w:color="auto" w:fill="auto"/>
            <w:noWrap/>
            <w:vAlign w:val="center"/>
            <w:hideMark/>
          </w:tcPr>
          <w:p w14:paraId="3436BF36"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1.706.221.728 </w:t>
            </w:r>
          </w:p>
        </w:tc>
        <w:tc>
          <w:tcPr>
            <w:tcW w:w="1696" w:type="dxa"/>
            <w:tcBorders>
              <w:top w:val="nil"/>
              <w:left w:val="nil"/>
              <w:bottom w:val="single" w:sz="4" w:space="0" w:color="auto"/>
              <w:right w:val="single" w:sz="4" w:space="0" w:color="auto"/>
            </w:tcBorders>
            <w:shd w:val="clear" w:color="auto" w:fill="auto"/>
            <w:noWrap/>
            <w:vAlign w:val="center"/>
            <w:hideMark/>
          </w:tcPr>
          <w:p w14:paraId="3352543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76F15D02" w14:textId="77777777" w:rsidTr="00050EDC">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4B001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374E596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03</w:t>
            </w:r>
          </w:p>
        </w:tc>
        <w:tc>
          <w:tcPr>
            <w:tcW w:w="497" w:type="dxa"/>
            <w:tcBorders>
              <w:top w:val="nil"/>
              <w:left w:val="nil"/>
              <w:bottom w:val="single" w:sz="4" w:space="0" w:color="auto"/>
              <w:right w:val="single" w:sz="4" w:space="0" w:color="auto"/>
            </w:tcBorders>
            <w:shd w:val="clear" w:color="auto" w:fill="auto"/>
            <w:noWrap/>
            <w:vAlign w:val="center"/>
            <w:hideMark/>
          </w:tcPr>
          <w:p w14:paraId="53C98EE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767CFC4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33E62181"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INCAPACIDADES Y LICENCIAS DE MATERNIDAD Y PATERNIDAD (NO DE PENSIONES)</w:t>
            </w:r>
          </w:p>
        </w:tc>
        <w:tc>
          <w:tcPr>
            <w:tcW w:w="1417" w:type="dxa"/>
            <w:tcBorders>
              <w:top w:val="nil"/>
              <w:left w:val="nil"/>
              <w:bottom w:val="single" w:sz="4" w:space="0" w:color="auto"/>
              <w:right w:val="single" w:sz="4" w:space="0" w:color="auto"/>
            </w:tcBorders>
            <w:shd w:val="clear" w:color="auto" w:fill="auto"/>
            <w:noWrap/>
            <w:vAlign w:val="center"/>
            <w:hideMark/>
          </w:tcPr>
          <w:p w14:paraId="1EA02E41"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35.616.680 </w:t>
            </w:r>
          </w:p>
        </w:tc>
        <w:tc>
          <w:tcPr>
            <w:tcW w:w="1701" w:type="dxa"/>
            <w:tcBorders>
              <w:top w:val="nil"/>
              <w:left w:val="nil"/>
              <w:bottom w:val="single" w:sz="4" w:space="0" w:color="auto"/>
              <w:right w:val="single" w:sz="4" w:space="0" w:color="auto"/>
            </w:tcBorders>
            <w:shd w:val="clear" w:color="auto" w:fill="auto"/>
            <w:noWrap/>
            <w:vAlign w:val="center"/>
            <w:hideMark/>
          </w:tcPr>
          <w:p w14:paraId="021B25A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6680D17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35.616.680 </w:t>
            </w:r>
          </w:p>
        </w:tc>
      </w:tr>
      <w:tr w:rsidR="00050EDC" w:rsidRPr="00D81F8B" w14:paraId="4D4301E0" w14:textId="77777777" w:rsidTr="00050EDC">
        <w:trPr>
          <w:trHeight w:val="408"/>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8A1A3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611BF5C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03</w:t>
            </w:r>
          </w:p>
        </w:tc>
        <w:tc>
          <w:tcPr>
            <w:tcW w:w="497" w:type="dxa"/>
            <w:tcBorders>
              <w:top w:val="nil"/>
              <w:left w:val="nil"/>
              <w:bottom w:val="single" w:sz="4" w:space="0" w:color="auto"/>
              <w:right w:val="single" w:sz="4" w:space="0" w:color="auto"/>
            </w:tcBorders>
            <w:shd w:val="clear" w:color="auto" w:fill="auto"/>
            <w:noWrap/>
            <w:vAlign w:val="center"/>
            <w:hideMark/>
          </w:tcPr>
          <w:p w14:paraId="08B00E83"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652974C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272EC0A"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INCAPACIDADES Y LICENCIAS DE MATERNIDAD Y PATERNIDAD (NO DE PENSIONES)</w:t>
            </w:r>
          </w:p>
        </w:tc>
        <w:tc>
          <w:tcPr>
            <w:tcW w:w="1417" w:type="dxa"/>
            <w:tcBorders>
              <w:top w:val="nil"/>
              <w:left w:val="nil"/>
              <w:bottom w:val="single" w:sz="4" w:space="0" w:color="auto"/>
              <w:right w:val="single" w:sz="4" w:space="0" w:color="auto"/>
            </w:tcBorders>
            <w:shd w:val="clear" w:color="auto" w:fill="auto"/>
            <w:noWrap/>
            <w:vAlign w:val="center"/>
            <w:hideMark/>
          </w:tcPr>
          <w:p w14:paraId="0DD5F00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55.083.319 </w:t>
            </w:r>
          </w:p>
        </w:tc>
        <w:tc>
          <w:tcPr>
            <w:tcW w:w="1701" w:type="dxa"/>
            <w:tcBorders>
              <w:top w:val="nil"/>
              <w:left w:val="nil"/>
              <w:bottom w:val="single" w:sz="4" w:space="0" w:color="auto"/>
              <w:right w:val="single" w:sz="4" w:space="0" w:color="auto"/>
            </w:tcBorders>
            <w:shd w:val="clear" w:color="auto" w:fill="auto"/>
            <w:noWrap/>
            <w:vAlign w:val="center"/>
            <w:hideMark/>
          </w:tcPr>
          <w:p w14:paraId="6365554B"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55.083.319 </w:t>
            </w:r>
          </w:p>
        </w:tc>
        <w:tc>
          <w:tcPr>
            <w:tcW w:w="1696" w:type="dxa"/>
            <w:tcBorders>
              <w:top w:val="nil"/>
              <w:left w:val="nil"/>
              <w:bottom w:val="single" w:sz="4" w:space="0" w:color="auto"/>
              <w:right w:val="single" w:sz="4" w:space="0" w:color="auto"/>
            </w:tcBorders>
            <w:shd w:val="clear" w:color="auto" w:fill="auto"/>
            <w:noWrap/>
            <w:vAlign w:val="center"/>
            <w:hideMark/>
          </w:tcPr>
          <w:p w14:paraId="4186038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5BD31FCC"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ABDD6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25A330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08</w:t>
            </w:r>
          </w:p>
        </w:tc>
        <w:tc>
          <w:tcPr>
            <w:tcW w:w="497" w:type="dxa"/>
            <w:tcBorders>
              <w:top w:val="nil"/>
              <w:left w:val="nil"/>
              <w:bottom w:val="single" w:sz="4" w:space="0" w:color="auto"/>
              <w:right w:val="single" w:sz="4" w:space="0" w:color="auto"/>
            </w:tcBorders>
            <w:shd w:val="clear" w:color="auto" w:fill="auto"/>
            <w:noWrap/>
            <w:vAlign w:val="center"/>
            <w:hideMark/>
          </w:tcPr>
          <w:p w14:paraId="19656A1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49" w:type="dxa"/>
            <w:tcBorders>
              <w:top w:val="nil"/>
              <w:left w:val="nil"/>
              <w:bottom w:val="single" w:sz="4" w:space="0" w:color="auto"/>
              <w:right w:val="single" w:sz="4" w:space="0" w:color="auto"/>
            </w:tcBorders>
            <w:shd w:val="clear" w:color="auto" w:fill="auto"/>
            <w:noWrap/>
            <w:vAlign w:val="center"/>
            <w:hideMark/>
          </w:tcPr>
          <w:p w14:paraId="62A4C60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CSF</w:t>
            </w:r>
          </w:p>
        </w:tc>
        <w:tc>
          <w:tcPr>
            <w:tcW w:w="2046" w:type="dxa"/>
            <w:tcBorders>
              <w:top w:val="nil"/>
              <w:left w:val="nil"/>
              <w:bottom w:val="single" w:sz="4" w:space="0" w:color="auto"/>
              <w:right w:val="single" w:sz="4" w:space="0" w:color="auto"/>
            </w:tcBorders>
            <w:shd w:val="clear" w:color="auto" w:fill="auto"/>
            <w:vAlign w:val="center"/>
            <w:hideMark/>
          </w:tcPr>
          <w:p w14:paraId="664EFA06"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IMPUESTOS</w:t>
            </w:r>
          </w:p>
        </w:tc>
        <w:tc>
          <w:tcPr>
            <w:tcW w:w="1417" w:type="dxa"/>
            <w:tcBorders>
              <w:top w:val="nil"/>
              <w:left w:val="nil"/>
              <w:bottom w:val="single" w:sz="4" w:space="0" w:color="auto"/>
              <w:right w:val="single" w:sz="4" w:space="0" w:color="auto"/>
            </w:tcBorders>
            <w:shd w:val="clear" w:color="auto" w:fill="auto"/>
            <w:noWrap/>
            <w:vAlign w:val="center"/>
            <w:hideMark/>
          </w:tcPr>
          <w:p w14:paraId="7EDAAA71"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300.000 </w:t>
            </w:r>
          </w:p>
        </w:tc>
        <w:tc>
          <w:tcPr>
            <w:tcW w:w="1701" w:type="dxa"/>
            <w:tcBorders>
              <w:top w:val="nil"/>
              <w:left w:val="nil"/>
              <w:bottom w:val="single" w:sz="4" w:space="0" w:color="auto"/>
              <w:right w:val="single" w:sz="4" w:space="0" w:color="auto"/>
            </w:tcBorders>
            <w:shd w:val="clear" w:color="auto" w:fill="auto"/>
            <w:noWrap/>
            <w:vAlign w:val="center"/>
            <w:hideMark/>
          </w:tcPr>
          <w:p w14:paraId="25C9B15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c>
          <w:tcPr>
            <w:tcW w:w="1696" w:type="dxa"/>
            <w:tcBorders>
              <w:top w:val="nil"/>
              <w:left w:val="nil"/>
              <w:bottom w:val="single" w:sz="4" w:space="0" w:color="auto"/>
              <w:right w:val="single" w:sz="4" w:space="0" w:color="auto"/>
            </w:tcBorders>
            <w:shd w:val="clear" w:color="auto" w:fill="auto"/>
            <w:noWrap/>
            <w:vAlign w:val="center"/>
            <w:hideMark/>
          </w:tcPr>
          <w:p w14:paraId="45A4BC2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300.000 </w:t>
            </w:r>
          </w:p>
        </w:tc>
      </w:tr>
      <w:tr w:rsidR="00050EDC" w:rsidRPr="00D81F8B" w14:paraId="54C7A5EF"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77CA1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07900323"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08</w:t>
            </w:r>
          </w:p>
        </w:tc>
        <w:tc>
          <w:tcPr>
            <w:tcW w:w="497" w:type="dxa"/>
            <w:tcBorders>
              <w:top w:val="nil"/>
              <w:left w:val="nil"/>
              <w:bottom w:val="single" w:sz="4" w:space="0" w:color="auto"/>
              <w:right w:val="single" w:sz="4" w:space="0" w:color="auto"/>
            </w:tcBorders>
            <w:shd w:val="clear" w:color="auto" w:fill="auto"/>
            <w:noWrap/>
            <w:vAlign w:val="center"/>
            <w:hideMark/>
          </w:tcPr>
          <w:p w14:paraId="3AD50D1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1A63E7C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5BE73AA" w14:textId="77777777" w:rsidR="00D81F8B" w:rsidRPr="00D81F8B" w:rsidRDefault="00D81F8B" w:rsidP="00D81F8B">
            <w:pPr>
              <w:ind w:left="0"/>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IMPUESTOS</w:t>
            </w:r>
          </w:p>
        </w:tc>
        <w:tc>
          <w:tcPr>
            <w:tcW w:w="1417" w:type="dxa"/>
            <w:tcBorders>
              <w:top w:val="nil"/>
              <w:left w:val="nil"/>
              <w:bottom w:val="single" w:sz="4" w:space="0" w:color="auto"/>
              <w:right w:val="single" w:sz="4" w:space="0" w:color="auto"/>
            </w:tcBorders>
            <w:shd w:val="clear" w:color="auto" w:fill="auto"/>
            <w:noWrap/>
            <w:vAlign w:val="center"/>
            <w:hideMark/>
          </w:tcPr>
          <w:p w14:paraId="7667FC19"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92.690.000 </w:t>
            </w:r>
          </w:p>
        </w:tc>
        <w:tc>
          <w:tcPr>
            <w:tcW w:w="1701" w:type="dxa"/>
            <w:tcBorders>
              <w:top w:val="nil"/>
              <w:left w:val="nil"/>
              <w:bottom w:val="single" w:sz="4" w:space="0" w:color="auto"/>
              <w:right w:val="single" w:sz="4" w:space="0" w:color="auto"/>
            </w:tcBorders>
            <w:shd w:val="clear" w:color="auto" w:fill="auto"/>
            <w:noWrap/>
            <w:vAlign w:val="center"/>
            <w:hideMark/>
          </w:tcPr>
          <w:p w14:paraId="0E3F45E5"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92.690.000 </w:t>
            </w:r>
          </w:p>
        </w:tc>
        <w:tc>
          <w:tcPr>
            <w:tcW w:w="1696" w:type="dxa"/>
            <w:tcBorders>
              <w:top w:val="nil"/>
              <w:left w:val="nil"/>
              <w:bottom w:val="single" w:sz="4" w:space="0" w:color="auto"/>
              <w:right w:val="single" w:sz="4" w:space="0" w:color="auto"/>
            </w:tcBorders>
            <w:shd w:val="clear" w:color="auto" w:fill="auto"/>
            <w:noWrap/>
            <w:vAlign w:val="center"/>
            <w:hideMark/>
          </w:tcPr>
          <w:p w14:paraId="2C690A9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47735A44" w14:textId="77777777" w:rsidTr="00050EDC">
        <w:trPr>
          <w:trHeight w:val="26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35975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A</w:t>
            </w:r>
          </w:p>
        </w:tc>
        <w:tc>
          <w:tcPr>
            <w:tcW w:w="694" w:type="dxa"/>
            <w:tcBorders>
              <w:top w:val="nil"/>
              <w:left w:val="nil"/>
              <w:bottom w:val="single" w:sz="4" w:space="0" w:color="auto"/>
              <w:right w:val="single" w:sz="4" w:space="0" w:color="auto"/>
            </w:tcBorders>
            <w:shd w:val="clear" w:color="auto" w:fill="auto"/>
            <w:noWrap/>
            <w:vAlign w:val="center"/>
            <w:hideMark/>
          </w:tcPr>
          <w:p w14:paraId="44FAE1E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08</w:t>
            </w:r>
          </w:p>
        </w:tc>
        <w:tc>
          <w:tcPr>
            <w:tcW w:w="497" w:type="dxa"/>
            <w:tcBorders>
              <w:top w:val="nil"/>
              <w:left w:val="nil"/>
              <w:bottom w:val="single" w:sz="4" w:space="0" w:color="auto"/>
              <w:right w:val="single" w:sz="4" w:space="0" w:color="auto"/>
            </w:tcBorders>
            <w:shd w:val="clear" w:color="auto" w:fill="auto"/>
            <w:noWrap/>
            <w:vAlign w:val="center"/>
            <w:hideMark/>
          </w:tcPr>
          <w:p w14:paraId="67BA49B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70A9EA2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4188FF16"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CUOTA DE FISCALIZACIÓN Y AUDITAJE</w:t>
            </w:r>
          </w:p>
        </w:tc>
        <w:tc>
          <w:tcPr>
            <w:tcW w:w="1417" w:type="dxa"/>
            <w:tcBorders>
              <w:top w:val="nil"/>
              <w:left w:val="nil"/>
              <w:bottom w:val="single" w:sz="4" w:space="0" w:color="auto"/>
              <w:right w:val="single" w:sz="4" w:space="0" w:color="auto"/>
            </w:tcBorders>
            <w:shd w:val="clear" w:color="auto" w:fill="auto"/>
            <w:noWrap/>
            <w:vAlign w:val="center"/>
            <w:hideMark/>
          </w:tcPr>
          <w:p w14:paraId="3FAEC0E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99.797.402 </w:t>
            </w:r>
          </w:p>
        </w:tc>
        <w:tc>
          <w:tcPr>
            <w:tcW w:w="1701" w:type="dxa"/>
            <w:tcBorders>
              <w:top w:val="nil"/>
              <w:left w:val="nil"/>
              <w:bottom w:val="single" w:sz="4" w:space="0" w:color="auto"/>
              <w:right w:val="single" w:sz="4" w:space="0" w:color="auto"/>
            </w:tcBorders>
            <w:shd w:val="clear" w:color="auto" w:fill="auto"/>
            <w:noWrap/>
            <w:vAlign w:val="center"/>
            <w:hideMark/>
          </w:tcPr>
          <w:p w14:paraId="2E2AB2C3"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99.797.402 </w:t>
            </w:r>
          </w:p>
        </w:tc>
        <w:tc>
          <w:tcPr>
            <w:tcW w:w="1696" w:type="dxa"/>
            <w:tcBorders>
              <w:top w:val="nil"/>
              <w:left w:val="nil"/>
              <w:bottom w:val="single" w:sz="4" w:space="0" w:color="auto"/>
              <w:right w:val="single" w:sz="4" w:space="0" w:color="auto"/>
            </w:tcBorders>
            <w:shd w:val="clear" w:color="auto" w:fill="auto"/>
            <w:noWrap/>
            <w:vAlign w:val="center"/>
            <w:hideMark/>
          </w:tcPr>
          <w:p w14:paraId="3718A4B4"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6299494A" w14:textId="77777777" w:rsidTr="00050EDC">
        <w:trPr>
          <w:trHeight w:val="264"/>
          <w:jc w:val="center"/>
        </w:trPr>
        <w:tc>
          <w:tcPr>
            <w:tcW w:w="709" w:type="dxa"/>
            <w:tcBorders>
              <w:top w:val="single" w:sz="4" w:space="0" w:color="FFFFFF"/>
              <w:left w:val="single" w:sz="4" w:space="0" w:color="FFFFFF"/>
              <w:bottom w:val="single" w:sz="4" w:space="0" w:color="FFFFFF"/>
              <w:right w:val="single" w:sz="4" w:space="0" w:color="FFFFFF"/>
            </w:tcBorders>
            <w:shd w:val="clear" w:color="000000" w:fill="2F75B5"/>
            <w:noWrap/>
            <w:vAlign w:val="center"/>
            <w:hideMark/>
          </w:tcPr>
          <w:p w14:paraId="2F5ACA7B"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B</w:t>
            </w:r>
          </w:p>
        </w:tc>
        <w:tc>
          <w:tcPr>
            <w:tcW w:w="3686" w:type="dxa"/>
            <w:gridSpan w:val="4"/>
            <w:tcBorders>
              <w:top w:val="single" w:sz="4" w:space="0" w:color="FFFFFF"/>
              <w:left w:val="nil"/>
              <w:bottom w:val="single" w:sz="4" w:space="0" w:color="FFFFFF"/>
              <w:right w:val="single" w:sz="4" w:space="0" w:color="FFFFFF"/>
            </w:tcBorders>
            <w:shd w:val="clear" w:color="2D77C2" w:fill="2F75B5"/>
            <w:vAlign w:val="center"/>
            <w:hideMark/>
          </w:tcPr>
          <w:p w14:paraId="49169A1D"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SERVICIO DE DEUDA PUBLICA</w:t>
            </w:r>
          </w:p>
        </w:tc>
        <w:tc>
          <w:tcPr>
            <w:tcW w:w="1417" w:type="dxa"/>
            <w:tcBorders>
              <w:top w:val="single" w:sz="4" w:space="0" w:color="FFFFFF"/>
              <w:left w:val="nil"/>
              <w:bottom w:val="single" w:sz="4" w:space="0" w:color="FFFFFF"/>
              <w:right w:val="single" w:sz="4" w:space="0" w:color="FFFFFF"/>
            </w:tcBorders>
            <w:shd w:val="clear" w:color="2D77C2" w:fill="2F75B5"/>
            <w:vAlign w:val="center"/>
            <w:hideMark/>
          </w:tcPr>
          <w:p w14:paraId="032324AE"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3.142.354.010 </w:t>
            </w:r>
          </w:p>
        </w:tc>
        <w:tc>
          <w:tcPr>
            <w:tcW w:w="1701" w:type="dxa"/>
            <w:tcBorders>
              <w:top w:val="single" w:sz="4" w:space="0" w:color="FFFFFF"/>
              <w:left w:val="nil"/>
              <w:bottom w:val="single" w:sz="4" w:space="0" w:color="FFFFFF"/>
              <w:right w:val="single" w:sz="4" w:space="0" w:color="FFFFFF"/>
            </w:tcBorders>
            <w:shd w:val="clear" w:color="2D77C2" w:fill="2F75B5"/>
            <w:vAlign w:val="center"/>
            <w:hideMark/>
          </w:tcPr>
          <w:p w14:paraId="7642C807"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3.142.354.010 </w:t>
            </w:r>
          </w:p>
        </w:tc>
        <w:tc>
          <w:tcPr>
            <w:tcW w:w="1696" w:type="dxa"/>
            <w:tcBorders>
              <w:top w:val="single" w:sz="4" w:space="0" w:color="FFFFFF"/>
              <w:left w:val="nil"/>
              <w:bottom w:val="single" w:sz="4" w:space="0" w:color="FFFFFF"/>
              <w:right w:val="single" w:sz="4" w:space="0" w:color="FFFFFF"/>
            </w:tcBorders>
            <w:shd w:val="clear" w:color="2D77C2" w:fill="2F75B5"/>
            <w:vAlign w:val="center"/>
            <w:hideMark/>
          </w:tcPr>
          <w:p w14:paraId="7B00A3CF"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   </w:t>
            </w:r>
          </w:p>
        </w:tc>
      </w:tr>
      <w:tr w:rsidR="00050EDC" w:rsidRPr="00D81F8B" w14:paraId="53854289" w14:textId="77777777" w:rsidTr="00050EDC">
        <w:trPr>
          <w:trHeight w:val="26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D76EC"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B</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0CE809D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10</w:t>
            </w:r>
          </w:p>
        </w:tc>
        <w:tc>
          <w:tcPr>
            <w:tcW w:w="497" w:type="dxa"/>
            <w:tcBorders>
              <w:top w:val="single" w:sz="4" w:space="0" w:color="auto"/>
              <w:left w:val="nil"/>
              <w:bottom w:val="single" w:sz="4" w:space="0" w:color="auto"/>
              <w:right w:val="single" w:sz="4" w:space="0" w:color="auto"/>
            </w:tcBorders>
            <w:shd w:val="clear" w:color="auto" w:fill="auto"/>
            <w:noWrap/>
            <w:vAlign w:val="center"/>
            <w:hideMark/>
          </w:tcPr>
          <w:p w14:paraId="3CCD2E61"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14:paraId="2679137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0DEC4FA4"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APORTES AL FONDO DE CONTINGENCIAS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DB7FBC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3.142.354.010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42D9C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3.142.354.010 </w:t>
            </w:r>
          </w:p>
        </w:tc>
        <w:tc>
          <w:tcPr>
            <w:tcW w:w="1696" w:type="dxa"/>
            <w:tcBorders>
              <w:top w:val="nil"/>
              <w:left w:val="nil"/>
              <w:bottom w:val="single" w:sz="4" w:space="0" w:color="auto"/>
              <w:right w:val="single" w:sz="4" w:space="0" w:color="auto"/>
            </w:tcBorders>
            <w:shd w:val="clear" w:color="auto" w:fill="auto"/>
            <w:noWrap/>
            <w:vAlign w:val="center"/>
            <w:hideMark/>
          </w:tcPr>
          <w:p w14:paraId="5DA9BB5A"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2D451C73" w14:textId="77777777" w:rsidTr="00050EDC">
        <w:trPr>
          <w:trHeight w:val="264"/>
          <w:jc w:val="center"/>
        </w:trPr>
        <w:tc>
          <w:tcPr>
            <w:tcW w:w="709" w:type="dxa"/>
            <w:tcBorders>
              <w:top w:val="single" w:sz="4" w:space="0" w:color="FFFFFF"/>
              <w:left w:val="single" w:sz="4" w:space="0" w:color="FFFFFF"/>
              <w:bottom w:val="single" w:sz="4" w:space="0" w:color="FFFFFF"/>
              <w:right w:val="single" w:sz="4" w:space="0" w:color="FFFFFF"/>
            </w:tcBorders>
            <w:shd w:val="clear" w:color="000000" w:fill="2F75B5"/>
            <w:noWrap/>
            <w:vAlign w:val="center"/>
            <w:hideMark/>
          </w:tcPr>
          <w:p w14:paraId="3A566F9D"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C</w:t>
            </w:r>
          </w:p>
        </w:tc>
        <w:tc>
          <w:tcPr>
            <w:tcW w:w="3686" w:type="dxa"/>
            <w:gridSpan w:val="4"/>
            <w:tcBorders>
              <w:top w:val="single" w:sz="4" w:space="0" w:color="FFFFFF"/>
              <w:left w:val="nil"/>
              <w:bottom w:val="single" w:sz="4" w:space="0" w:color="FFFFFF"/>
              <w:right w:val="single" w:sz="4" w:space="0" w:color="FFFFFF"/>
            </w:tcBorders>
            <w:shd w:val="clear" w:color="2D77C2" w:fill="2F75B5"/>
            <w:vAlign w:val="center"/>
            <w:hideMark/>
          </w:tcPr>
          <w:p w14:paraId="2104BED1" w14:textId="77777777" w:rsidR="00D81F8B" w:rsidRPr="00D81F8B" w:rsidRDefault="00D81F8B" w:rsidP="00D81F8B">
            <w:pPr>
              <w:ind w:left="0"/>
              <w:jc w:val="center"/>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INVERSION</w:t>
            </w:r>
          </w:p>
        </w:tc>
        <w:tc>
          <w:tcPr>
            <w:tcW w:w="1417" w:type="dxa"/>
            <w:tcBorders>
              <w:top w:val="single" w:sz="4" w:space="0" w:color="FFFFFF"/>
              <w:left w:val="nil"/>
              <w:bottom w:val="single" w:sz="4" w:space="0" w:color="FFFFFF"/>
              <w:right w:val="single" w:sz="4" w:space="0" w:color="FFFFFF"/>
            </w:tcBorders>
            <w:shd w:val="clear" w:color="2D77C2" w:fill="2F75B5"/>
            <w:vAlign w:val="center"/>
            <w:hideMark/>
          </w:tcPr>
          <w:p w14:paraId="4E19172A"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$ 11.523.100.000 </w:t>
            </w:r>
          </w:p>
        </w:tc>
        <w:tc>
          <w:tcPr>
            <w:tcW w:w="1701" w:type="dxa"/>
            <w:tcBorders>
              <w:top w:val="single" w:sz="4" w:space="0" w:color="FFFFFF"/>
              <w:left w:val="nil"/>
              <w:bottom w:val="single" w:sz="4" w:space="0" w:color="FFFFFF"/>
              <w:right w:val="single" w:sz="4" w:space="0" w:color="FFFFFF"/>
            </w:tcBorders>
            <w:shd w:val="clear" w:color="2D77C2" w:fill="2F75B5"/>
            <w:vAlign w:val="center"/>
            <w:hideMark/>
          </w:tcPr>
          <w:p w14:paraId="339A8BC9"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11.523.100.000 </w:t>
            </w:r>
          </w:p>
        </w:tc>
        <w:tc>
          <w:tcPr>
            <w:tcW w:w="1696" w:type="dxa"/>
            <w:tcBorders>
              <w:top w:val="single" w:sz="4" w:space="0" w:color="FFFFFF"/>
              <w:left w:val="nil"/>
              <w:bottom w:val="single" w:sz="4" w:space="0" w:color="FFFFFF"/>
              <w:right w:val="single" w:sz="4" w:space="0" w:color="FFFFFF"/>
            </w:tcBorders>
            <w:shd w:val="clear" w:color="2D77C2" w:fill="2F75B5"/>
            <w:vAlign w:val="center"/>
            <w:hideMark/>
          </w:tcPr>
          <w:p w14:paraId="4AF17C94" w14:textId="77777777" w:rsidR="00D81F8B" w:rsidRPr="00D81F8B" w:rsidRDefault="00D81F8B" w:rsidP="00D81F8B">
            <w:pPr>
              <w:ind w:left="0"/>
              <w:rPr>
                <w:rFonts w:ascii="Calibri" w:hAnsi="Calibri" w:cs="Calibri"/>
                <w:color w:val="FFFFFF"/>
                <w:sz w:val="16"/>
                <w:szCs w:val="16"/>
                <w:lang w:val="en-US" w:eastAsia="en-US"/>
              </w:rPr>
            </w:pPr>
            <w:r w:rsidRPr="00D81F8B">
              <w:rPr>
                <w:rFonts w:ascii="Calibri" w:hAnsi="Calibri" w:cs="Calibri"/>
                <w:color w:val="FFFFFF"/>
                <w:sz w:val="16"/>
                <w:szCs w:val="16"/>
                <w:lang w:val="en-US" w:eastAsia="en-US"/>
              </w:rPr>
              <w:t xml:space="preserve"> $                               -   </w:t>
            </w:r>
          </w:p>
        </w:tc>
      </w:tr>
      <w:tr w:rsidR="00050EDC" w:rsidRPr="00D81F8B" w14:paraId="62B62F75" w14:textId="77777777" w:rsidTr="00050EDC">
        <w:trPr>
          <w:trHeight w:val="408"/>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123B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5CA42FAB"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2106</w:t>
            </w:r>
          </w:p>
        </w:tc>
        <w:tc>
          <w:tcPr>
            <w:tcW w:w="497" w:type="dxa"/>
            <w:tcBorders>
              <w:top w:val="single" w:sz="4" w:space="0" w:color="auto"/>
              <w:left w:val="nil"/>
              <w:bottom w:val="single" w:sz="4" w:space="0" w:color="auto"/>
              <w:right w:val="single" w:sz="4" w:space="0" w:color="auto"/>
            </w:tcBorders>
            <w:shd w:val="clear" w:color="auto" w:fill="auto"/>
            <w:noWrap/>
            <w:vAlign w:val="center"/>
            <w:hideMark/>
          </w:tcPr>
          <w:p w14:paraId="21C5AD8E"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14:paraId="379FF2C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0E31C677" w14:textId="4A373ED4"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 xml:space="preserve">DIVULGACIÓN DE LA REGULACIÓN A LA CIUDADANÍA A </w:t>
            </w:r>
            <w:r w:rsidR="00324CB4" w:rsidRPr="00D81F8B">
              <w:rPr>
                <w:rFonts w:ascii="Calibri" w:hAnsi="Calibri" w:cs="Calibri"/>
                <w:color w:val="000000"/>
                <w:sz w:val="16"/>
                <w:szCs w:val="16"/>
                <w:lang w:val="es-CO" w:eastAsia="en-US"/>
              </w:rPr>
              <w:t>NIVEL NACIONAL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97749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504.000.000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61530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504.000.000 </w:t>
            </w:r>
          </w:p>
        </w:tc>
        <w:tc>
          <w:tcPr>
            <w:tcW w:w="1696" w:type="dxa"/>
            <w:tcBorders>
              <w:top w:val="nil"/>
              <w:left w:val="nil"/>
              <w:bottom w:val="single" w:sz="4" w:space="0" w:color="auto"/>
              <w:right w:val="single" w:sz="4" w:space="0" w:color="auto"/>
            </w:tcBorders>
            <w:shd w:val="clear" w:color="auto" w:fill="auto"/>
            <w:noWrap/>
            <w:vAlign w:val="center"/>
            <w:hideMark/>
          </w:tcPr>
          <w:p w14:paraId="7FBBCD0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0F0D2644" w14:textId="77777777" w:rsidTr="00050EDC">
        <w:trPr>
          <w:trHeight w:val="10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477D24"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w:t>
            </w:r>
          </w:p>
        </w:tc>
        <w:tc>
          <w:tcPr>
            <w:tcW w:w="694" w:type="dxa"/>
            <w:tcBorders>
              <w:top w:val="nil"/>
              <w:left w:val="nil"/>
              <w:bottom w:val="single" w:sz="4" w:space="0" w:color="auto"/>
              <w:right w:val="single" w:sz="4" w:space="0" w:color="auto"/>
            </w:tcBorders>
            <w:shd w:val="clear" w:color="auto" w:fill="auto"/>
            <w:noWrap/>
            <w:vAlign w:val="center"/>
            <w:hideMark/>
          </w:tcPr>
          <w:p w14:paraId="0B98753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2106</w:t>
            </w:r>
          </w:p>
        </w:tc>
        <w:tc>
          <w:tcPr>
            <w:tcW w:w="497" w:type="dxa"/>
            <w:tcBorders>
              <w:top w:val="nil"/>
              <w:left w:val="nil"/>
              <w:bottom w:val="single" w:sz="4" w:space="0" w:color="auto"/>
              <w:right w:val="single" w:sz="4" w:space="0" w:color="auto"/>
            </w:tcBorders>
            <w:shd w:val="clear" w:color="auto" w:fill="auto"/>
            <w:noWrap/>
            <w:vAlign w:val="center"/>
            <w:hideMark/>
          </w:tcPr>
          <w:p w14:paraId="72D4AB99"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63C7F26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08AB1E48" w14:textId="77777777"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ESTUDIOS Y ANÁLISIS PARA LA ADOPCIÓN DE MEDIDAS REGULATORIAS REQUERIDAS POR LOS SECTORES DE ENERGÍA ELÉCTRICA, GAS COMBUSTIBLE Y COMBUSTIBLES LÍQUIDOS A NIVEL NACIONAL</w:t>
            </w:r>
          </w:p>
        </w:tc>
        <w:tc>
          <w:tcPr>
            <w:tcW w:w="1417" w:type="dxa"/>
            <w:tcBorders>
              <w:top w:val="nil"/>
              <w:left w:val="nil"/>
              <w:bottom w:val="single" w:sz="4" w:space="0" w:color="auto"/>
              <w:right w:val="single" w:sz="4" w:space="0" w:color="auto"/>
            </w:tcBorders>
            <w:shd w:val="clear" w:color="auto" w:fill="auto"/>
            <w:noWrap/>
            <w:vAlign w:val="center"/>
            <w:hideMark/>
          </w:tcPr>
          <w:p w14:paraId="27B560DD"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8.921.300.000 </w:t>
            </w:r>
          </w:p>
        </w:tc>
        <w:tc>
          <w:tcPr>
            <w:tcW w:w="1701" w:type="dxa"/>
            <w:tcBorders>
              <w:top w:val="nil"/>
              <w:left w:val="nil"/>
              <w:bottom w:val="single" w:sz="4" w:space="0" w:color="auto"/>
              <w:right w:val="single" w:sz="4" w:space="0" w:color="auto"/>
            </w:tcBorders>
            <w:shd w:val="clear" w:color="auto" w:fill="auto"/>
            <w:noWrap/>
            <w:vAlign w:val="center"/>
            <w:hideMark/>
          </w:tcPr>
          <w:p w14:paraId="7451B44E"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8.921.300.000 </w:t>
            </w:r>
          </w:p>
        </w:tc>
        <w:tc>
          <w:tcPr>
            <w:tcW w:w="1696" w:type="dxa"/>
            <w:tcBorders>
              <w:top w:val="nil"/>
              <w:left w:val="nil"/>
              <w:bottom w:val="single" w:sz="4" w:space="0" w:color="auto"/>
              <w:right w:val="single" w:sz="4" w:space="0" w:color="auto"/>
            </w:tcBorders>
            <w:shd w:val="clear" w:color="auto" w:fill="auto"/>
            <w:noWrap/>
            <w:vAlign w:val="center"/>
            <w:hideMark/>
          </w:tcPr>
          <w:p w14:paraId="7D7F131C"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3C2FFC8E" w14:textId="77777777" w:rsidTr="00050EDC">
        <w:trPr>
          <w:trHeight w:val="612"/>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81B362"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lastRenderedPageBreak/>
              <w:t>C</w:t>
            </w:r>
          </w:p>
        </w:tc>
        <w:tc>
          <w:tcPr>
            <w:tcW w:w="694" w:type="dxa"/>
            <w:tcBorders>
              <w:top w:val="nil"/>
              <w:left w:val="nil"/>
              <w:bottom w:val="single" w:sz="4" w:space="0" w:color="auto"/>
              <w:right w:val="single" w:sz="4" w:space="0" w:color="auto"/>
            </w:tcBorders>
            <w:shd w:val="clear" w:color="auto" w:fill="auto"/>
            <w:noWrap/>
            <w:vAlign w:val="center"/>
            <w:hideMark/>
          </w:tcPr>
          <w:p w14:paraId="38CB5E50"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2199</w:t>
            </w:r>
          </w:p>
        </w:tc>
        <w:tc>
          <w:tcPr>
            <w:tcW w:w="497" w:type="dxa"/>
            <w:tcBorders>
              <w:top w:val="nil"/>
              <w:left w:val="nil"/>
              <w:bottom w:val="single" w:sz="4" w:space="0" w:color="auto"/>
              <w:right w:val="single" w:sz="4" w:space="0" w:color="auto"/>
            </w:tcBorders>
            <w:shd w:val="clear" w:color="auto" w:fill="auto"/>
            <w:noWrap/>
            <w:vAlign w:val="center"/>
            <w:hideMark/>
          </w:tcPr>
          <w:p w14:paraId="6CEE073D"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single" w:sz="4" w:space="0" w:color="auto"/>
              <w:right w:val="single" w:sz="4" w:space="0" w:color="auto"/>
            </w:tcBorders>
            <w:shd w:val="clear" w:color="auto" w:fill="auto"/>
            <w:noWrap/>
            <w:vAlign w:val="center"/>
            <w:hideMark/>
          </w:tcPr>
          <w:p w14:paraId="0298A9B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single" w:sz="4" w:space="0" w:color="auto"/>
              <w:right w:val="single" w:sz="4" w:space="0" w:color="auto"/>
            </w:tcBorders>
            <w:shd w:val="clear" w:color="auto" w:fill="auto"/>
            <w:vAlign w:val="center"/>
            <w:hideMark/>
          </w:tcPr>
          <w:p w14:paraId="35B4BE28" w14:textId="6C107F4E" w:rsidR="00D81F8B" w:rsidRPr="00D81F8B" w:rsidRDefault="00D81F8B"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 xml:space="preserve">FORTALECIMIENTO INSTITUCIONAL A PARTIR DEL APRENDIZAJE ORGANIZACIONAL A </w:t>
            </w:r>
            <w:r w:rsidR="00324CB4" w:rsidRPr="00D81F8B">
              <w:rPr>
                <w:rFonts w:ascii="Calibri" w:hAnsi="Calibri" w:cs="Calibri"/>
                <w:color w:val="000000"/>
                <w:sz w:val="16"/>
                <w:szCs w:val="16"/>
                <w:lang w:val="es-CO" w:eastAsia="en-US"/>
              </w:rPr>
              <w:t>NIVEL NACIONAL</w:t>
            </w:r>
          </w:p>
        </w:tc>
        <w:tc>
          <w:tcPr>
            <w:tcW w:w="1417" w:type="dxa"/>
            <w:tcBorders>
              <w:top w:val="nil"/>
              <w:left w:val="nil"/>
              <w:bottom w:val="single" w:sz="4" w:space="0" w:color="auto"/>
              <w:right w:val="single" w:sz="4" w:space="0" w:color="auto"/>
            </w:tcBorders>
            <w:shd w:val="clear" w:color="auto" w:fill="auto"/>
            <w:noWrap/>
            <w:vAlign w:val="center"/>
            <w:hideMark/>
          </w:tcPr>
          <w:p w14:paraId="71EFE018"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365.000.000 </w:t>
            </w:r>
          </w:p>
        </w:tc>
        <w:tc>
          <w:tcPr>
            <w:tcW w:w="1701" w:type="dxa"/>
            <w:tcBorders>
              <w:top w:val="nil"/>
              <w:left w:val="nil"/>
              <w:bottom w:val="single" w:sz="4" w:space="0" w:color="auto"/>
              <w:right w:val="single" w:sz="4" w:space="0" w:color="auto"/>
            </w:tcBorders>
            <w:shd w:val="clear" w:color="auto" w:fill="auto"/>
            <w:noWrap/>
            <w:vAlign w:val="center"/>
            <w:hideMark/>
          </w:tcPr>
          <w:p w14:paraId="1A74E83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365.000.000 </w:t>
            </w:r>
          </w:p>
        </w:tc>
        <w:tc>
          <w:tcPr>
            <w:tcW w:w="1696" w:type="dxa"/>
            <w:tcBorders>
              <w:top w:val="nil"/>
              <w:left w:val="nil"/>
              <w:bottom w:val="single" w:sz="4" w:space="0" w:color="auto"/>
              <w:right w:val="single" w:sz="4" w:space="0" w:color="auto"/>
            </w:tcBorders>
            <w:shd w:val="clear" w:color="auto" w:fill="auto"/>
            <w:noWrap/>
            <w:vAlign w:val="center"/>
            <w:hideMark/>
          </w:tcPr>
          <w:p w14:paraId="11FD4440"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050EDC" w:rsidRPr="00D81F8B" w14:paraId="59F6B5CD" w14:textId="77777777" w:rsidTr="00050EDC">
        <w:trPr>
          <w:trHeight w:val="408"/>
          <w:jc w:val="center"/>
        </w:trPr>
        <w:tc>
          <w:tcPr>
            <w:tcW w:w="709" w:type="dxa"/>
            <w:tcBorders>
              <w:top w:val="nil"/>
              <w:left w:val="single" w:sz="4" w:space="0" w:color="auto"/>
              <w:bottom w:val="nil"/>
              <w:right w:val="single" w:sz="4" w:space="0" w:color="auto"/>
            </w:tcBorders>
            <w:shd w:val="clear" w:color="auto" w:fill="auto"/>
            <w:noWrap/>
            <w:vAlign w:val="center"/>
            <w:hideMark/>
          </w:tcPr>
          <w:p w14:paraId="17F89AFF"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C</w:t>
            </w:r>
          </w:p>
        </w:tc>
        <w:tc>
          <w:tcPr>
            <w:tcW w:w="694" w:type="dxa"/>
            <w:tcBorders>
              <w:top w:val="nil"/>
              <w:left w:val="nil"/>
              <w:bottom w:val="nil"/>
              <w:right w:val="single" w:sz="4" w:space="0" w:color="auto"/>
            </w:tcBorders>
            <w:shd w:val="clear" w:color="auto" w:fill="auto"/>
            <w:noWrap/>
            <w:vAlign w:val="center"/>
            <w:hideMark/>
          </w:tcPr>
          <w:p w14:paraId="375EE016"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2199</w:t>
            </w:r>
          </w:p>
        </w:tc>
        <w:tc>
          <w:tcPr>
            <w:tcW w:w="497" w:type="dxa"/>
            <w:tcBorders>
              <w:top w:val="nil"/>
              <w:left w:val="nil"/>
              <w:bottom w:val="nil"/>
              <w:right w:val="single" w:sz="4" w:space="0" w:color="auto"/>
            </w:tcBorders>
            <w:shd w:val="clear" w:color="auto" w:fill="auto"/>
            <w:noWrap/>
            <w:vAlign w:val="center"/>
            <w:hideMark/>
          </w:tcPr>
          <w:p w14:paraId="4DC76F5A"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16</w:t>
            </w:r>
          </w:p>
        </w:tc>
        <w:tc>
          <w:tcPr>
            <w:tcW w:w="449" w:type="dxa"/>
            <w:tcBorders>
              <w:top w:val="nil"/>
              <w:left w:val="nil"/>
              <w:bottom w:val="nil"/>
              <w:right w:val="single" w:sz="4" w:space="0" w:color="auto"/>
            </w:tcBorders>
            <w:shd w:val="clear" w:color="auto" w:fill="auto"/>
            <w:noWrap/>
            <w:vAlign w:val="center"/>
            <w:hideMark/>
          </w:tcPr>
          <w:p w14:paraId="7707B4D8" w14:textId="77777777" w:rsidR="00D81F8B" w:rsidRPr="00D81F8B" w:rsidRDefault="00D81F8B" w:rsidP="00D81F8B">
            <w:pPr>
              <w:ind w:left="0"/>
              <w:jc w:val="center"/>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SSF</w:t>
            </w:r>
          </w:p>
        </w:tc>
        <w:tc>
          <w:tcPr>
            <w:tcW w:w="2046" w:type="dxa"/>
            <w:tcBorders>
              <w:top w:val="nil"/>
              <w:left w:val="nil"/>
              <w:bottom w:val="nil"/>
              <w:right w:val="single" w:sz="4" w:space="0" w:color="auto"/>
            </w:tcBorders>
            <w:shd w:val="clear" w:color="auto" w:fill="auto"/>
            <w:vAlign w:val="center"/>
            <w:hideMark/>
          </w:tcPr>
          <w:p w14:paraId="7DB1CAE9" w14:textId="5FDA018A" w:rsidR="00D81F8B" w:rsidRPr="00D81F8B" w:rsidRDefault="00324CB4" w:rsidP="00D81F8B">
            <w:pPr>
              <w:ind w:left="0"/>
              <w:rPr>
                <w:rFonts w:ascii="Calibri" w:hAnsi="Calibri" w:cs="Calibri"/>
                <w:color w:val="000000"/>
                <w:sz w:val="16"/>
                <w:szCs w:val="16"/>
                <w:lang w:val="es-CO" w:eastAsia="en-US"/>
              </w:rPr>
            </w:pPr>
            <w:r w:rsidRPr="00D81F8B">
              <w:rPr>
                <w:rFonts w:ascii="Calibri" w:hAnsi="Calibri" w:cs="Calibri"/>
                <w:color w:val="000000"/>
                <w:sz w:val="16"/>
                <w:szCs w:val="16"/>
                <w:lang w:val="es-CO" w:eastAsia="en-US"/>
              </w:rPr>
              <w:t>MEJORAMIENTO Y</w:t>
            </w:r>
            <w:r w:rsidR="00D81F8B" w:rsidRPr="00D81F8B">
              <w:rPr>
                <w:rFonts w:ascii="Calibri" w:hAnsi="Calibri" w:cs="Calibri"/>
                <w:color w:val="000000"/>
                <w:sz w:val="16"/>
                <w:szCs w:val="16"/>
                <w:lang w:val="es-CO" w:eastAsia="en-US"/>
              </w:rPr>
              <w:t xml:space="preserve"> MODERNIZACIÓN DE LAS TICS DE LA CREG A </w:t>
            </w:r>
            <w:proofErr w:type="gramStart"/>
            <w:r w:rsidR="00D81F8B" w:rsidRPr="00D81F8B">
              <w:rPr>
                <w:rFonts w:ascii="Calibri" w:hAnsi="Calibri" w:cs="Calibri"/>
                <w:color w:val="000000"/>
                <w:sz w:val="16"/>
                <w:szCs w:val="16"/>
                <w:lang w:val="es-CO" w:eastAsia="en-US"/>
              </w:rPr>
              <w:t>NIVEL  NACIONAL</w:t>
            </w:r>
            <w:proofErr w:type="gramEnd"/>
            <w:r w:rsidR="00D81F8B" w:rsidRPr="00D81F8B">
              <w:rPr>
                <w:rFonts w:ascii="Calibri" w:hAnsi="Calibri" w:cs="Calibri"/>
                <w:color w:val="000000"/>
                <w:sz w:val="16"/>
                <w:szCs w:val="16"/>
                <w:lang w:val="es-CO" w:eastAsia="en-US"/>
              </w:rPr>
              <w:t xml:space="preserve"> </w:t>
            </w:r>
          </w:p>
        </w:tc>
        <w:tc>
          <w:tcPr>
            <w:tcW w:w="1417" w:type="dxa"/>
            <w:tcBorders>
              <w:top w:val="nil"/>
              <w:left w:val="nil"/>
              <w:bottom w:val="nil"/>
              <w:right w:val="single" w:sz="4" w:space="0" w:color="auto"/>
            </w:tcBorders>
            <w:shd w:val="clear" w:color="auto" w:fill="auto"/>
            <w:noWrap/>
            <w:vAlign w:val="center"/>
            <w:hideMark/>
          </w:tcPr>
          <w:p w14:paraId="28C24402"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s-CO" w:eastAsia="en-US"/>
              </w:rPr>
              <w:t xml:space="preserve"> </w:t>
            </w:r>
            <w:r w:rsidRPr="00D81F8B">
              <w:rPr>
                <w:rFonts w:ascii="Calibri" w:hAnsi="Calibri" w:cs="Calibri"/>
                <w:color w:val="000000"/>
                <w:sz w:val="16"/>
                <w:szCs w:val="16"/>
                <w:lang w:val="en-US" w:eastAsia="en-US"/>
              </w:rPr>
              <w:t xml:space="preserve">$   1.732.800.000 </w:t>
            </w:r>
          </w:p>
        </w:tc>
        <w:tc>
          <w:tcPr>
            <w:tcW w:w="1701" w:type="dxa"/>
            <w:tcBorders>
              <w:top w:val="nil"/>
              <w:left w:val="nil"/>
              <w:bottom w:val="nil"/>
              <w:right w:val="single" w:sz="4" w:space="0" w:color="auto"/>
            </w:tcBorders>
            <w:shd w:val="clear" w:color="auto" w:fill="auto"/>
            <w:noWrap/>
            <w:vAlign w:val="center"/>
            <w:hideMark/>
          </w:tcPr>
          <w:p w14:paraId="3FB7C1D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1.732.800.000 </w:t>
            </w:r>
          </w:p>
        </w:tc>
        <w:tc>
          <w:tcPr>
            <w:tcW w:w="1696" w:type="dxa"/>
            <w:tcBorders>
              <w:top w:val="nil"/>
              <w:left w:val="nil"/>
              <w:bottom w:val="nil"/>
              <w:right w:val="single" w:sz="4" w:space="0" w:color="auto"/>
            </w:tcBorders>
            <w:shd w:val="clear" w:color="auto" w:fill="auto"/>
            <w:noWrap/>
            <w:vAlign w:val="center"/>
            <w:hideMark/>
          </w:tcPr>
          <w:p w14:paraId="07942907" w14:textId="77777777" w:rsidR="00D81F8B" w:rsidRPr="00D81F8B" w:rsidRDefault="00D81F8B" w:rsidP="00D81F8B">
            <w:pPr>
              <w:ind w:left="0"/>
              <w:jc w:val="right"/>
              <w:rPr>
                <w:rFonts w:ascii="Calibri" w:hAnsi="Calibri" w:cs="Calibri"/>
                <w:color w:val="000000"/>
                <w:sz w:val="16"/>
                <w:szCs w:val="16"/>
                <w:lang w:val="en-US" w:eastAsia="en-US"/>
              </w:rPr>
            </w:pPr>
            <w:r w:rsidRPr="00D81F8B">
              <w:rPr>
                <w:rFonts w:ascii="Calibri" w:hAnsi="Calibri" w:cs="Calibri"/>
                <w:color w:val="000000"/>
                <w:sz w:val="16"/>
                <w:szCs w:val="16"/>
                <w:lang w:val="en-US" w:eastAsia="en-US"/>
              </w:rPr>
              <w:t xml:space="preserve"> $                               -   </w:t>
            </w:r>
          </w:p>
        </w:tc>
      </w:tr>
      <w:tr w:rsidR="00D81F8B" w:rsidRPr="00D81F8B" w14:paraId="0FC2F1C1" w14:textId="77777777" w:rsidTr="00050EDC">
        <w:trPr>
          <w:trHeight w:val="264"/>
          <w:jc w:val="center"/>
        </w:trPr>
        <w:tc>
          <w:tcPr>
            <w:tcW w:w="4395" w:type="dxa"/>
            <w:gridSpan w:val="5"/>
            <w:tcBorders>
              <w:top w:val="single" w:sz="4" w:space="0" w:color="FFFFFF"/>
              <w:left w:val="single" w:sz="4" w:space="0" w:color="FFFFFF"/>
              <w:bottom w:val="single" w:sz="4" w:space="0" w:color="FFFFFF"/>
              <w:right w:val="single" w:sz="4" w:space="0" w:color="FFFFFF"/>
            </w:tcBorders>
            <w:shd w:val="clear" w:color="2D77C2" w:fill="1F4E78"/>
            <w:vAlign w:val="center"/>
            <w:hideMark/>
          </w:tcPr>
          <w:p w14:paraId="68A96584" w14:textId="77777777" w:rsidR="00D81F8B" w:rsidRPr="00D81F8B" w:rsidRDefault="00D81F8B" w:rsidP="00D81F8B">
            <w:pPr>
              <w:ind w:left="0"/>
              <w:jc w:val="center"/>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TOTAL PRESUPUESTO</w:t>
            </w:r>
          </w:p>
        </w:tc>
        <w:tc>
          <w:tcPr>
            <w:tcW w:w="1417" w:type="dxa"/>
            <w:tcBorders>
              <w:top w:val="single" w:sz="4" w:space="0" w:color="FFFFFF"/>
              <w:left w:val="nil"/>
              <w:bottom w:val="single" w:sz="4" w:space="0" w:color="FFFFFF"/>
              <w:right w:val="single" w:sz="4" w:space="0" w:color="FFFFFF"/>
            </w:tcBorders>
            <w:shd w:val="clear" w:color="000000" w:fill="1F4E78"/>
            <w:noWrap/>
            <w:vAlign w:val="center"/>
            <w:hideMark/>
          </w:tcPr>
          <w:p w14:paraId="45A8764F" w14:textId="77777777" w:rsidR="00D81F8B" w:rsidRPr="00D81F8B" w:rsidRDefault="00D81F8B" w:rsidP="00D81F8B">
            <w:pPr>
              <w:ind w:left="0"/>
              <w:jc w:val="right"/>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$ 39.971.850.410 </w:t>
            </w:r>
          </w:p>
        </w:tc>
        <w:tc>
          <w:tcPr>
            <w:tcW w:w="1701" w:type="dxa"/>
            <w:tcBorders>
              <w:top w:val="single" w:sz="4" w:space="0" w:color="FFFFFF"/>
              <w:left w:val="nil"/>
              <w:bottom w:val="single" w:sz="4" w:space="0" w:color="FFFFFF"/>
              <w:right w:val="single" w:sz="4" w:space="0" w:color="FFFFFF"/>
            </w:tcBorders>
            <w:shd w:val="clear" w:color="000000" w:fill="1F4E78"/>
            <w:noWrap/>
            <w:vAlign w:val="center"/>
            <w:hideMark/>
          </w:tcPr>
          <w:p w14:paraId="6ACF8A1D" w14:textId="77777777" w:rsidR="00D81F8B" w:rsidRPr="00D81F8B" w:rsidRDefault="00D81F8B" w:rsidP="00D81F8B">
            <w:pPr>
              <w:ind w:left="0"/>
              <w:jc w:val="right"/>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      34.610.226.602 </w:t>
            </w:r>
          </w:p>
        </w:tc>
        <w:tc>
          <w:tcPr>
            <w:tcW w:w="1696" w:type="dxa"/>
            <w:tcBorders>
              <w:top w:val="single" w:sz="4" w:space="0" w:color="FFFFFF"/>
              <w:left w:val="nil"/>
              <w:bottom w:val="single" w:sz="4" w:space="0" w:color="FFFFFF"/>
              <w:right w:val="single" w:sz="4" w:space="0" w:color="FFFFFF"/>
            </w:tcBorders>
            <w:shd w:val="clear" w:color="000000" w:fill="1F4E78"/>
            <w:noWrap/>
            <w:vAlign w:val="center"/>
            <w:hideMark/>
          </w:tcPr>
          <w:p w14:paraId="36F27D70" w14:textId="77777777" w:rsidR="00D81F8B" w:rsidRPr="00D81F8B" w:rsidRDefault="00D81F8B" w:rsidP="00D81F8B">
            <w:pPr>
              <w:ind w:left="0"/>
              <w:jc w:val="right"/>
              <w:rPr>
                <w:rFonts w:ascii="Calibri" w:hAnsi="Calibri" w:cs="Calibri"/>
                <w:b/>
                <w:bCs/>
                <w:color w:val="FFFFFF"/>
                <w:sz w:val="16"/>
                <w:szCs w:val="16"/>
                <w:lang w:val="en-US" w:eastAsia="en-US"/>
              </w:rPr>
            </w:pPr>
            <w:r w:rsidRPr="00D81F8B">
              <w:rPr>
                <w:rFonts w:ascii="Calibri" w:hAnsi="Calibri" w:cs="Calibri"/>
                <w:b/>
                <w:bCs/>
                <w:color w:val="FFFFFF"/>
                <w:sz w:val="16"/>
                <w:szCs w:val="16"/>
                <w:lang w:val="en-US" w:eastAsia="en-US"/>
              </w:rPr>
              <w:t xml:space="preserve"> $        5.361.623.808 </w:t>
            </w:r>
          </w:p>
        </w:tc>
      </w:tr>
    </w:tbl>
    <w:p w14:paraId="64FAD9CB" w14:textId="77777777" w:rsidR="00D81F8B" w:rsidRDefault="00D81F8B" w:rsidP="00692D39">
      <w:pPr>
        <w:ind w:left="0"/>
        <w:jc w:val="both"/>
        <w:rPr>
          <w:rFonts w:ascii="Bookman Old Style" w:hAnsi="Bookman Old Style" w:cs="Arial"/>
        </w:rPr>
      </w:pPr>
    </w:p>
    <w:p w14:paraId="640FE948" w14:textId="1AE00825" w:rsidR="00692D39" w:rsidRDefault="006B0FC6" w:rsidP="00692D39">
      <w:pPr>
        <w:ind w:left="0"/>
        <w:jc w:val="both"/>
        <w:rPr>
          <w:rFonts w:ascii="Bookman Old Style" w:hAnsi="Bookman Old Style" w:cs="Arial"/>
        </w:rPr>
      </w:pPr>
      <w:r>
        <w:rPr>
          <w:rFonts w:ascii="Bookman Old Style" w:hAnsi="Bookman Old Style" w:cs="Arial"/>
        </w:rPr>
        <w:t xml:space="preserve">De la anterior apropiación presupuestal </w:t>
      </w:r>
      <w:r w:rsidR="00157B16">
        <w:rPr>
          <w:rFonts w:ascii="Bookman Old Style" w:hAnsi="Bookman Old Style" w:cs="Arial"/>
        </w:rPr>
        <w:t xml:space="preserve">aprobada </w:t>
      </w:r>
      <w:r>
        <w:rPr>
          <w:rFonts w:ascii="Bookman Old Style" w:hAnsi="Bookman Old Style" w:cs="Arial"/>
        </w:rPr>
        <w:t xml:space="preserve">para la vigencia 2022, el </w:t>
      </w:r>
      <w:r w:rsidR="00A00E64">
        <w:rPr>
          <w:rFonts w:ascii="Bookman Old Style" w:hAnsi="Bookman Old Style" w:cs="Arial"/>
        </w:rPr>
        <w:t xml:space="preserve">valor que </w:t>
      </w:r>
      <w:r w:rsidR="00A00E64" w:rsidRPr="00A00E64">
        <w:rPr>
          <w:rFonts w:ascii="Bookman Old Style" w:hAnsi="Bookman Old Style" w:cs="Arial"/>
        </w:rPr>
        <w:t xml:space="preserve">debe ser cubierto </w:t>
      </w:r>
      <w:r w:rsidR="00A00E64" w:rsidRPr="00733B4E">
        <w:rPr>
          <w:rFonts w:ascii="Bookman Old Style" w:hAnsi="Bookman Old Style" w:cs="Arial"/>
        </w:rPr>
        <w:t>con el recaudo de la contribución especial de que trata el artículo 85 de la Ley 142 de 1994</w:t>
      </w:r>
      <w:r w:rsidR="00A00E64">
        <w:rPr>
          <w:rFonts w:ascii="Bookman Old Style" w:hAnsi="Bookman Old Style" w:cs="Arial"/>
        </w:rPr>
        <w:t xml:space="preserve">, </w:t>
      </w:r>
      <w:r>
        <w:rPr>
          <w:rFonts w:ascii="Bookman Old Style" w:hAnsi="Bookman Old Style" w:cs="Arial"/>
        </w:rPr>
        <w:t xml:space="preserve">son los aforados como recursos 16 – Fondos Especiales, Sin Situación de Fondos – SSF, </w:t>
      </w:r>
      <w:r w:rsidR="00901023">
        <w:rPr>
          <w:rFonts w:ascii="Bookman Old Style" w:hAnsi="Bookman Old Style" w:cs="Arial"/>
        </w:rPr>
        <w:t xml:space="preserve">que ascienden a la suma </w:t>
      </w:r>
      <w:r w:rsidR="00157B16">
        <w:rPr>
          <w:rFonts w:ascii="Bookman Old Style" w:hAnsi="Bookman Old Style" w:cs="Arial"/>
        </w:rPr>
        <w:t>de $</w:t>
      </w:r>
      <w:r w:rsidR="00901023">
        <w:rPr>
          <w:rFonts w:ascii="Bookman Old Style" w:hAnsi="Bookman Old Style" w:cs="Arial"/>
        </w:rPr>
        <w:t xml:space="preserve">34.610.226.602, </w:t>
      </w:r>
      <w:r w:rsidR="008D4BDA">
        <w:rPr>
          <w:rFonts w:ascii="Bookman Old Style" w:hAnsi="Bookman Old Style" w:cs="Arial"/>
        </w:rPr>
        <w:t xml:space="preserve">que restando las transferencias de excedentes al Fondo Empresarial, da como resultado </w:t>
      </w:r>
      <w:r w:rsidR="00A00E64">
        <w:rPr>
          <w:rFonts w:ascii="Bookman Old Style" w:hAnsi="Bookman Old Style" w:cs="Arial"/>
        </w:rPr>
        <w:t xml:space="preserve">un </w:t>
      </w:r>
      <w:r w:rsidR="00692D39" w:rsidRPr="00733B4E">
        <w:rPr>
          <w:rFonts w:ascii="Bookman Old Style" w:hAnsi="Bookman Old Style" w:cs="Arial"/>
        </w:rPr>
        <w:t xml:space="preserve">valor neto </w:t>
      </w:r>
      <w:r w:rsidR="008D4BDA">
        <w:rPr>
          <w:rFonts w:ascii="Bookman Old Style" w:hAnsi="Bookman Old Style" w:cs="Arial"/>
        </w:rPr>
        <w:t xml:space="preserve">presupuestal </w:t>
      </w:r>
      <w:r w:rsidR="00172DB8">
        <w:rPr>
          <w:rFonts w:ascii="Bookman Old Style" w:hAnsi="Bookman Old Style" w:cs="Arial"/>
        </w:rPr>
        <w:t xml:space="preserve">base </w:t>
      </w:r>
      <w:r w:rsidR="008D4BDA">
        <w:rPr>
          <w:rFonts w:ascii="Bookman Old Style" w:hAnsi="Bookman Old Style" w:cs="Arial"/>
        </w:rPr>
        <w:t xml:space="preserve">para la </w:t>
      </w:r>
      <w:r w:rsidR="00172DB8">
        <w:rPr>
          <w:rFonts w:ascii="Bookman Old Style" w:hAnsi="Bookman Old Style" w:cs="Arial"/>
        </w:rPr>
        <w:t xml:space="preserve"> contribución especial</w:t>
      </w:r>
      <w:r w:rsidR="00395F30">
        <w:rPr>
          <w:rFonts w:ascii="Bookman Old Style" w:hAnsi="Bookman Old Style" w:cs="Arial"/>
        </w:rPr>
        <w:t xml:space="preserve"> 2022</w:t>
      </w:r>
      <w:r w:rsidR="00172DB8">
        <w:rPr>
          <w:rFonts w:ascii="Bookman Old Style" w:hAnsi="Bookman Old Style" w:cs="Arial"/>
        </w:rPr>
        <w:t xml:space="preserve"> por </w:t>
      </w:r>
      <w:r w:rsidR="008D4BDA">
        <w:rPr>
          <w:rFonts w:ascii="Bookman Old Style" w:hAnsi="Bookman Old Style" w:cs="Arial"/>
        </w:rPr>
        <w:t xml:space="preserve">el </w:t>
      </w:r>
      <w:r w:rsidR="00172DB8">
        <w:rPr>
          <w:rFonts w:ascii="Bookman Old Style" w:hAnsi="Bookman Old Style" w:cs="Arial"/>
        </w:rPr>
        <w:t xml:space="preserve">valor </w:t>
      </w:r>
      <w:r w:rsidR="00692D39" w:rsidRPr="00733B4E">
        <w:rPr>
          <w:rFonts w:ascii="Bookman Old Style" w:hAnsi="Bookman Old Style" w:cs="Arial"/>
        </w:rPr>
        <w:t>de</w:t>
      </w:r>
      <w:r w:rsidR="00172DB8">
        <w:rPr>
          <w:rFonts w:ascii="Bookman Old Style" w:hAnsi="Bookman Old Style" w:cs="Arial"/>
        </w:rPr>
        <w:t>:</w:t>
      </w:r>
      <w:r w:rsidR="00692D39" w:rsidRPr="00733B4E">
        <w:rPr>
          <w:rFonts w:ascii="Bookman Old Style" w:hAnsi="Bookman Old Style" w:cs="Arial"/>
        </w:rPr>
        <w:t xml:space="preserve"> </w:t>
      </w:r>
      <w:r w:rsidR="00A00E64">
        <w:rPr>
          <w:rFonts w:ascii="Bookman Old Style" w:hAnsi="Bookman Old Style" w:cs="Arial"/>
        </w:rPr>
        <w:t>TREINTA Y DOS</w:t>
      </w:r>
      <w:r w:rsidR="00692D39" w:rsidRPr="00733B4E">
        <w:rPr>
          <w:rFonts w:ascii="Bookman Old Style" w:hAnsi="Bookman Old Style" w:cs="Arial"/>
        </w:rPr>
        <w:t xml:space="preserve"> MIL </w:t>
      </w:r>
      <w:r w:rsidR="00AF6401">
        <w:rPr>
          <w:rFonts w:ascii="Bookman Old Style" w:hAnsi="Bookman Old Style" w:cs="Arial"/>
        </w:rPr>
        <w:t>NOVECIENTOS CUATRO</w:t>
      </w:r>
      <w:r w:rsidR="00692D39" w:rsidRPr="00733B4E">
        <w:rPr>
          <w:rFonts w:ascii="Bookman Old Style" w:hAnsi="Bookman Old Style" w:cs="Arial"/>
        </w:rPr>
        <w:t xml:space="preserve"> MILLONES </w:t>
      </w:r>
      <w:r w:rsidR="00C61372">
        <w:rPr>
          <w:rFonts w:ascii="Bookman Old Style" w:hAnsi="Bookman Old Style" w:cs="Arial"/>
        </w:rPr>
        <w:t>CUATRO</w:t>
      </w:r>
      <w:r w:rsidR="00A00E64">
        <w:rPr>
          <w:rFonts w:ascii="Bookman Old Style" w:hAnsi="Bookman Old Style" w:cs="Arial"/>
        </w:rPr>
        <w:t xml:space="preserve"> </w:t>
      </w:r>
      <w:r w:rsidR="00692D39" w:rsidRPr="00733B4E">
        <w:rPr>
          <w:rFonts w:ascii="Bookman Old Style" w:hAnsi="Bookman Old Style" w:cs="Arial"/>
        </w:rPr>
        <w:t xml:space="preserve">MIL </w:t>
      </w:r>
      <w:r w:rsidR="002D0212">
        <w:rPr>
          <w:rFonts w:ascii="Bookman Old Style" w:hAnsi="Bookman Old Style" w:cs="Arial"/>
        </w:rPr>
        <w:t xml:space="preserve">OCHOCIENTOS </w:t>
      </w:r>
      <w:r w:rsidR="00C61372">
        <w:rPr>
          <w:rFonts w:ascii="Bookman Old Style" w:hAnsi="Bookman Old Style" w:cs="Arial"/>
        </w:rPr>
        <w:t>OCHENTA Y CUATRO</w:t>
      </w:r>
      <w:r w:rsidR="00692D39" w:rsidRPr="00733B4E">
        <w:rPr>
          <w:rFonts w:ascii="Bookman Old Style" w:hAnsi="Bookman Old Style" w:cs="Arial"/>
        </w:rPr>
        <w:t xml:space="preserve"> PESOS M/CTE</w:t>
      </w:r>
      <w:r w:rsidR="00A00E64">
        <w:rPr>
          <w:rFonts w:ascii="Bookman Old Style" w:hAnsi="Bookman Old Style" w:cs="Arial"/>
        </w:rPr>
        <w:t xml:space="preserve">. </w:t>
      </w:r>
      <w:r w:rsidR="00692D39" w:rsidRPr="00733B4E">
        <w:rPr>
          <w:rFonts w:ascii="Bookman Old Style" w:hAnsi="Bookman Old Style" w:cs="Arial"/>
        </w:rPr>
        <w:t>($</w:t>
      </w:r>
      <w:r w:rsidR="00A00E64">
        <w:rPr>
          <w:rFonts w:ascii="Bookman Old Style" w:hAnsi="Bookman Old Style" w:cs="Arial"/>
        </w:rPr>
        <w:t>32</w:t>
      </w:r>
      <w:r w:rsidR="00AF6401">
        <w:rPr>
          <w:rFonts w:ascii="Bookman Old Style" w:hAnsi="Bookman Old Style" w:cs="Arial"/>
        </w:rPr>
        <w:t>.904.004.</w:t>
      </w:r>
      <w:r w:rsidR="00C61372">
        <w:rPr>
          <w:rFonts w:ascii="Bookman Old Style" w:hAnsi="Bookman Old Style" w:cs="Arial"/>
        </w:rPr>
        <w:t>87</w:t>
      </w:r>
      <w:r w:rsidR="005E06E5">
        <w:rPr>
          <w:rFonts w:ascii="Bookman Old Style" w:hAnsi="Bookman Old Style" w:cs="Arial"/>
        </w:rPr>
        <w:t>4</w:t>
      </w:r>
      <w:r w:rsidR="00692D39" w:rsidRPr="00733B4E">
        <w:rPr>
          <w:rFonts w:ascii="Bookman Old Style" w:hAnsi="Bookman Old Style" w:cs="Arial"/>
        </w:rPr>
        <w:t xml:space="preserve">), </w:t>
      </w:r>
      <w:r w:rsidR="00901023">
        <w:rPr>
          <w:rFonts w:ascii="Bookman Old Style" w:hAnsi="Bookman Old Style" w:cs="Arial"/>
        </w:rPr>
        <w:t>como se detalla</w:t>
      </w:r>
      <w:r w:rsidR="00A00E64">
        <w:rPr>
          <w:rFonts w:ascii="Bookman Old Style" w:hAnsi="Bookman Old Style" w:cs="Arial"/>
        </w:rPr>
        <w:t xml:space="preserve"> a continuación:</w:t>
      </w:r>
    </w:p>
    <w:p w14:paraId="29326038" w14:textId="77777777" w:rsidR="00514A68" w:rsidRDefault="00514A68" w:rsidP="00692D39">
      <w:pPr>
        <w:ind w:left="0"/>
        <w:jc w:val="both"/>
        <w:rPr>
          <w:rFonts w:ascii="Bookman Old Style" w:hAnsi="Bookman Old Style" w:cs="Arial"/>
        </w:rPr>
      </w:pPr>
    </w:p>
    <w:tbl>
      <w:tblPr>
        <w:tblW w:w="9351" w:type="dxa"/>
        <w:tblLook w:val="04A0" w:firstRow="1" w:lastRow="0" w:firstColumn="1" w:lastColumn="0" w:noHBand="0" w:noVBand="1"/>
      </w:tblPr>
      <w:tblGrid>
        <w:gridCol w:w="1000"/>
        <w:gridCol w:w="980"/>
        <w:gridCol w:w="6237"/>
        <w:gridCol w:w="1134"/>
      </w:tblGrid>
      <w:tr w:rsidR="00AF6401" w:rsidRPr="00AF6401" w14:paraId="1FFAADA8" w14:textId="77777777" w:rsidTr="00AF6401">
        <w:trPr>
          <w:trHeight w:val="288"/>
        </w:trPr>
        <w:tc>
          <w:tcPr>
            <w:tcW w:w="1000" w:type="dxa"/>
            <w:tcBorders>
              <w:top w:val="single" w:sz="4" w:space="0" w:color="0070C0"/>
              <w:left w:val="single" w:sz="4" w:space="0" w:color="0070C0"/>
              <w:bottom w:val="single" w:sz="4" w:space="0" w:color="0070C0"/>
              <w:right w:val="single" w:sz="4" w:space="0" w:color="0070C0"/>
            </w:tcBorders>
            <w:shd w:val="clear" w:color="000000" w:fill="002060"/>
            <w:noWrap/>
            <w:vAlign w:val="center"/>
            <w:hideMark/>
          </w:tcPr>
          <w:p w14:paraId="2E27D9FE"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RUBRO</w:t>
            </w:r>
          </w:p>
        </w:tc>
        <w:tc>
          <w:tcPr>
            <w:tcW w:w="980" w:type="dxa"/>
            <w:tcBorders>
              <w:top w:val="single" w:sz="4" w:space="0" w:color="0070C0"/>
              <w:left w:val="nil"/>
              <w:bottom w:val="single" w:sz="4" w:space="0" w:color="0070C0"/>
              <w:right w:val="single" w:sz="4" w:space="0" w:color="0070C0"/>
            </w:tcBorders>
            <w:shd w:val="clear" w:color="000000" w:fill="002060"/>
            <w:noWrap/>
            <w:vAlign w:val="center"/>
            <w:hideMark/>
          </w:tcPr>
          <w:p w14:paraId="49E2A0FE"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RECURSO </w:t>
            </w:r>
          </w:p>
        </w:tc>
        <w:tc>
          <w:tcPr>
            <w:tcW w:w="6237" w:type="dxa"/>
            <w:tcBorders>
              <w:top w:val="single" w:sz="4" w:space="0" w:color="0070C0"/>
              <w:left w:val="nil"/>
              <w:bottom w:val="single" w:sz="4" w:space="0" w:color="0070C0"/>
              <w:right w:val="single" w:sz="4" w:space="0" w:color="0070C0"/>
            </w:tcBorders>
            <w:shd w:val="clear" w:color="000000" w:fill="002060"/>
            <w:noWrap/>
            <w:vAlign w:val="center"/>
            <w:hideMark/>
          </w:tcPr>
          <w:p w14:paraId="16470133"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CONCEPTO </w:t>
            </w:r>
          </w:p>
        </w:tc>
        <w:tc>
          <w:tcPr>
            <w:tcW w:w="1134" w:type="dxa"/>
            <w:tcBorders>
              <w:top w:val="single" w:sz="4" w:space="0" w:color="0070C0"/>
              <w:left w:val="nil"/>
              <w:bottom w:val="single" w:sz="4" w:space="0" w:color="0070C0"/>
              <w:right w:val="single" w:sz="4" w:space="0" w:color="0070C0"/>
            </w:tcBorders>
            <w:shd w:val="clear" w:color="000000" w:fill="002060"/>
            <w:noWrap/>
            <w:vAlign w:val="center"/>
            <w:hideMark/>
          </w:tcPr>
          <w:p w14:paraId="3D05BB99" w14:textId="2EF79E7D" w:rsidR="00AF6401" w:rsidRPr="00AF6401" w:rsidRDefault="00901023" w:rsidP="00AF6401">
            <w:pPr>
              <w:ind w:left="0"/>
              <w:jc w:val="center"/>
              <w:rPr>
                <w:rFonts w:ascii="Arial Narrow" w:hAnsi="Arial Narrow" w:cs="Arial"/>
                <w:b/>
                <w:bCs/>
                <w:color w:val="FFFFFF"/>
                <w:sz w:val="14"/>
                <w:szCs w:val="14"/>
                <w:lang w:val="es-CO" w:eastAsia="en-US"/>
              </w:rPr>
            </w:pPr>
            <w:r>
              <w:rPr>
                <w:rFonts w:ascii="Arial Narrow" w:hAnsi="Arial Narrow" w:cs="Arial"/>
                <w:b/>
                <w:bCs/>
                <w:color w:val="FFFFFF"/>
                <w:sz w:val="14"/>
                <w:szCs w:val="14"/>
                <w:lang w:val="es-CO" w:eastAsia="en-US"/>
              </w:rPr>
              <w:t>Recurso 16 SSF</w:t>
            </w:r>
          </w:p>
        </w:tc>
      </w:tr>
      <w:tr w:rsidR="00AF6401" w:rsidRPr="00AF6401" w14:paraId="691992EF"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000000" w:fill="8497B0"/>
            <w:noWrap/>
            <w:vAlign w:val="center"/>
            <w:hideMark/>
          </w:tcPr>
          <w:p w14:paraId="6EE4CE09"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A</w:t>
            </w:r>
          </w:p>
        </w:tc>
        <w:tc>
          <w:tcPr>
            <w:tcW w:w="980" w:type="dxa"/>
            <w:tcBorders>
              <w:top w:val="nil"/>
              <w:left w:val="nil"/>
              <w:bottom w:val="single" w:sz="4" w:space="0" w:color="0070C0"/>
              <w:right w:val="single" w:sz="4" w:space="0" w:color="0070C0"/>
            </w:tcBorders>
            <w:shd w:val="clear" w:color="000000" w:fill="8497B0"/>
            <w:noWrap/>
            <w:vAlign w:val="center"/>
            <w:hideMark/>
          </w:tcPr>
          <w:p w14:paraId="5AC11E76" w14:textId="03B4E9B6"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w:t>
            </w:r>
            <w:r w:rsidR="00C61372">
              <w:rPr>
                <w:rFonts w:ascii="Arial Narrow" w:hAnsi="Arial Narrow" w:cs="Arial"/>
                <w:b/>
                <w:bCs/>
                <w:color w:val="FFFFFF"/>
                <w:sz w:val="14"/>
                <w:szCs w:val="14"/>
                <w:lang w:val="es-CO" w:eastAsia="en-US"/>
              </w:rPr>
              <w:t>SSF</w:t>
            </w:r>
          </w:p>
        </w:tc>
        <w:tc>
          <w:tcPr>
            <w:tcW w:w="6237" w:type="dxa"/>
            <w:tcBorders>
              <w:top w:val="nil"/>
              <w:left w:val="nil"/>
              <w:bottom w:val="single" w:sz="4" w:space="0" w:color="0070C0"/>
              <w:right w:val="single" w:sz="4" w:space="0" w:color="0070C0"/>
            </w:tcBorders>
            <w:shd w:val="clear" w:color="000000" w:fill="8497B0"/>
            <w:noWrap/>
            <w:vAlign w:val="center"/>
            <w:hideMark/>
          </w:tcPr>
          <w:p w14:paraId="3DBA83FC" w14:textId="77777777" w:rsidR="00AF6401" w:rsidRPr="00AF6401" w:rsidRDefault="00AF6401" w:rsidP="00AF6401">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GASTOS DE FUNCIONAMIENTO </w:t>
            </w:r>
          </w:p>
        </w:tc>
        <w:tc>
          <w:tcPr>
            <w:tcW w:w="1134" w:type="dxa"/>
            <w:tcBorders>
              <w:top w:val="nil"/>
              <w:left w:val="nil"/>
              <w:bottom w:val="single" w:sz="4" w:space="0" w:color="0070C0"/>
              <w:right w:val="single" w:sz="4" w:space="0" w:color="0070C0"/>
            </w:tcBorders>
            <w:shd w:val="clear" w:color="000000" w:fill="8497B0"/>
            <w:noWrap/>
            <w:vAlign w:val="center"/>
            <w:hideMark/>
          </w:tcPr>
          <w:p w14:paraId="376642B3" w14:textId="77777777" w:rsidR="00AF6401" w:rsidRPr="00AF6401" w:rsidRDefault="00AF6401" w:rsidP="00AF6401">
            <w:pPr>
              <w:ind w:left="0"/>
              <w:jc w:val="right"/>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$19.944.772.592</w:t>
            </w:r>
          </w:p>
        </w:tc>
      </w:tr>
      <w:tr w:rsidR="00AF6401" w:rsidRPr="00AF6401" w14:paraId="0F48F37E"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1526C6B9" w14:textId="77777777" w:rsidR="00AF6401" w:rsidRPr="00AF6401" w:rsidRDefault="00AF6401" w:rsidP="00AF6401">
            <w:pPr>
              <w:ind w:left="0"/>
              <w:jc w:val="center"/>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A-01</w:t>
            </w:r>
          </w:p>
        </w:tc>
        <w:tc>
          <w:tcPr>
            <w:tcW w:w="980" w:type="dxa"/>
            <w:tcBorders>
              <w:top w:val="nil"/>
              <w:left w:val="nil"/>
              <w:bottom w:val="single" w:sz="4" w:space="0" w:color="0070C0"/>
              <w:right w:val="single" w:sz="4" w:space="0" w:color="0070C0"/>
            </w:tcBorders>
            <w:shd w:val="clear" w:color="auto" w:fill="auto"/>
            <w:noWrap/>
            <w:vAlign w:val="center"/>
            <w:hideMark/>
          </w:tcPr>
          <w:p w14:paraId="0BA27044" w14:textId="77777777" w:rsidR="00AF6401" w:rsidRPr="00AF6401" w:rsidRDefault="00AF6401" w:rsidP="00AF6401">
            <w:pPr>
              <w:ind w:left="0"/>
              <w:jc w:val="center"/>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16</w:t>
            </w:r>
          </w:p>
        </w:tc>
        <w:tc>
          <w:tcPr>
            <w:tcW w:w="6237" w:type="dxa"/>
            <w:tcBorders>
              <w:top w:val="nil"/>
              <w:left w:val="nil"/>
              <w:bottom w:val="single" w:sz="4" w:space="0" w:color="0070C0"/>
              <w:right w:val="single" w:sz="4" w:space="0" w:color="0070C0"/>
            </w:tcBorders>
            <w:shd w:val="clear" w:color="auto" w:fill="auto"/>
            <w:noWrap/>
            <w:vAlign w:val="center"/>
            <w:hideMark/>
          </w:tcPr>
          <w:p w14:paraId="71B997FF"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 xml:space="preserve">GASTOS DE PERSONAL </w:t>
            </w:r>
          </w:p>
        </w:tc>
        <w:tc>
          <w:tcPr>
            <w:tcW w:w="1134" w:type="dxa"/>
            <w:tcBorders>
              <w:top w:val="nil"/>
              <w:left w:val="nil"/>
              <w:bottom w:val="single" w:sz="4" w:space="0" w:color="0070C0"/>
              <w:right w:val="single" w:sz="4" w:space="0" w:color="0070C0"/>
            </w:tcBorders>
            <w:shd w:val="clear" w:color="auto" w:fill="auto"/>
            <w:noWrap/>
            <w:vAlign w:val="center"/>
            <w:hideMark/>
          </w:tcPr>
          <w:p w14:paraId="780913C9" w14:textId="77777777" w:rsidR="00AF6401" w:rsidRPr="00AF6401" w:rsidRDefault="00AF6401" w:rsidP="00AF6401">
            <w:pPr>
              <w:ind w:left="0"/>
              <w:jc w:val="right"/>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$15.562.691.965</w:t>
            </w:r>
          </w:p>
        </w:tc>
      </w:tr>
      <w:tr w:rsidR="00AF6401" w:rsidRPr="00AF6401" w14:paraId="2B0A1489"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7CB1EAC8"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A-02</w:t>
            </w:r>
          </w:p>
        </w:tc>
        <w:tc>
          <w:tcPr>
            <w:tcW w:w="980" w:type="dxa"/>
            <w:tcBorders>
              <w:top w:val="nil"/>
              <w:left w:val="nil"/>
              <w:bottom w:val="single" w:sz="4" w:space="0" w:color="0070C0"/>
              <w:right w:val="single" w:sz="4" w:space="0" w:color="0070C0"/>
            </w:tcBorders>
            <w:shd w:val="clear" w:color="auto" w:fill="auto"/>
            <w:noWrap/>
            <w:vAlign w:val="center"/>
            <w:hideMark/>
          </w:tcPr>
          <w:p w14:paraId="5088FBD5"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noWrap/>
            <w:vAlign w:val="center"/>
            <w:hideMark/>
          </w:tcPr>
          <w:p w14:paraId="3231F9EA"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ADQUISICION DE BIENES Y SERVICIOS</w:t>
            </w:r>
          </w:p>
        </w:tc>
        <w:tc>
          <w:tcPr>
            <w:tcW w:w="1134" w:type="dxa"/>
            <w:tcBorders>
              <w:top w:val="nil"/>
              <w:left w:val="nil"/>
              <w:bottom w:val="single" w:sz="4" w:space="0" w:color="0070C0"/>
              <w:right w:val="single" w:sz="4" w:space="0" w:color="0070C0"/>
            </w:tcBorders>
            <w:shd w:val="clear" w:color="auto" w:fill="auto"/>
            <w:noWrap/>
            <w:vAlign w:val="center"/>
            <w:hideMark/>
          </w:tcPr>
          <w:p w14:paraId="424D5030"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$2.428.288.178</w:t>
            </w:r>
          </w:p>
        </w:tc>
      </w:tr>
      <w:tr w:rsidR="00AF6401" w:rsidRPr="00AF6401" w14:paraId="3F0DD42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3CC2901B"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A-03</w:t>
            </w:r>
          </w:p>
        </w:tc>
        <w:tc>
          <w:tcPr>
            <w:tcW w:w="980" w:type="dxa"/>
            <w:tcBorders>
              <w:top w:val="nil"/>
              <w:left w:val="nil"/>
              <w:bottom w:val="single" w:sz="4" w:space="0" w:color="0070C0"/>
              <w:right w:val="single" w:sz="4" w:space="0" w:color="0070C0"/>
            </w:tcBorders>
            <w:shd w:val="clear" w:color="auto" w:fill="auto"/>
            <w:noWrap/>
            <w:vAlign w:val="center"/>
            <w:hideMark/>
          </w:tcPr>
          <w:p w14:paraId="0F1F287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noWrap/>
            <w:vAlign w:val="center"/>
            <w:hideMark/>
          </w:tcPr>
          <w:p w14:paraId="396009BD" w14:textId="77777777" w:rsidR="00AF6401" w:rsidRPr="00AF6401" w:rsidRDefault="00AF6401" w:rsidP="00AF6401">
            <w:pPr>
              <w:ind w:left="0"/>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 xml:space="preserve">TRANSFERENCIAS CORRIENTES </w:t>
            </w:r>
          </w:p>
        </w:tc>
        <w:tc>
          <w:tcPr>
            <w:tcW w:w="1134" w:type="dxa"/>
            <w:tcBorders>
              <w:top w:val="nil"/>
              <w:left w:val="nil"/>
              <w:bottom w:val="single" w:sz="4" w:space="0" w:color="0070C0"/>
              <w:right w:val="single" w:sz="4" w:space="0" w:color="0070C0"/>
            </w:tcBorders>
            <w:shd w:val="clear" w:color="auto" w:fill="auto"/>
            <w:noWrap/>
            <w:vAlign w:val="center"/>
            <w:hideMark/>
          </w:tcPr>
          <w:p w14:paraId="34626D74"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$1.761.305.047</w:t>
            </w:r>
          </w:p>
        </w:tc>
      </w:tr>
      <w:tr w:rsidR="00AF6401" w:rsidRPr="00AF6401" w14:paraId="46C7956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1090D448"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A-08</w:t>
            </w:r>
          </w:p>
        </w:tc>
        <w:tc>
          <w:tcPr>
            <w:tcW w:w="980" w:type="dxa"/>
            <w:tcBorders>
              <w:top w:val="nil"/>
              <w:left w:val="nil"/>
              <w:bottom w:val="single" w:sz="4" w:space="0" w:color="0070C0"/>
              <w:right w:val="single" w:sz="4" w:space="0" w:color="0070C0"/>
            </w:tcBorders>
            <w:shd w:val="clear" w:color="auto" w:fill="auto"/>
            <w:noWrap/>
            <w:vAlign w:val="center"/>
            <w:hideMark/>
          </w:tcPr>
          <w:p w14:paraId="1F2C882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0A700A47"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 xml:space="preserve">GASTOS POR </w:t>
            </w:r>
            <w:proofErr w:type="gramStart"/>
            <w:r w:rsidRPr="00AF6401">
              <w:rPr>
                <w:rFonts w:ascii="Arial Narrow" w:hAnsi="Arial Narrow" w:cs="Arial"/>
                <w:color w:val="000000"/>
                <w:sz w:val="14"/>
                <w:szCs w:val="14"/>
                <w:lang w:val="es-CO" w:eastAsia="en-US"/>
              </w:rPr>
              <w:t>TRIBUTOS,MULTAS</w:t>
            </w:r>
            <w:proofErr w:type="gramEnd"/>
            <w:r w:rsidRPr="00AF6401">
              <w:rPr>
                <w:rFonts w:ascii="Arial Narrow" w:hAnsi="Arial Narrow" w:cs="Arial"/>
                <w:color w:val="000000"/>
                <w:sz w:val="14"/>
                <w:szCs w:val="14"/>
                <w:lang w:val="es-CO" w:eastAsia="en-US"/>
              </w:rPr>
              <w:t xml:space="preserve">, SANCIONES E INTERESES DE MORA </w:t>
            </w:r>
          </w:p>
        </w:tc>
        <w:tc>
          <w:tcPr>
            <w:tcW w:w="1134" w:type="dxa"/>
            <w:tcBorders>
              <w:top w:val="nil"/>
              <w:left w:val="nil"/>
              <w:bottom w:val="single" w:sz="4" w:space="0" w:color="0070C0"/>
              <w:right w:val="single" w:sz="4" w:space="0" w:color="0070C0"/>
            </w:tcBorders>
            <w:shd w:val="clear" w:color="auto" w:fill="auto"/>
            <w:noWrap/>
            <w:vAlign w:val="center"/>
            <w:hideMark/>
          </w:tcPr>
          <w:p w14:paraId="0746EB90"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$192.487.402</w:t>
            </w:r>
          </w:p>
        </w:tc>
      </w:tr>
      <w:tr w:rsidR="00AF6401" w:rsidRPr="00AF6401" w14:paraId="7B937D9B"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000000" w:fill="8497B0"/>
            <w:noWrap/>
            <w:vAlign w:val="center"/>
            <w:hideMark/>
          </w:tcPr>
          <w:p w14:paraId="71BB830E"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B</w:t>
            </w:r>
          </w:p>
        </w:tc>
        <w:tc>
          <w:tcPr>
            <w:tcW w:w="980" w:type="dxa"/>
            <w:tcBorders>
              <w:top w:val="nil"/>
              <w:left w:val="nil"/>
              <w:bottom w:val="single" w:sz="4" w:space="0" w:color="0070C0"/>
              <w:right w:val="single" w:sz="4" w:space="0" w:color="0070C0"/>
            </w:tcBorders>
            <w:shd w:val="clear" w:color="000000" w:fill="8497B0"/>
            <w:noWrap/>
            <w:vAlign w:val="center"/>
            <w:hideMark/>
          </w:tcPr>
          <w:p w14:paraId="419FACD7"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 </w:t>
            </w:r>
          </w:p>
        </w:tc>
        <w:tc>
          <w:tcPr>
            <w:tcW w:w="6237" w:type="dxa"/>
            <w:tcBorders>
              <w:top w:val="nil"/>
              <w:left w:val="nil"/>
              <w:bottom w:val="single" w:sz="4" w:space="0" w:color="0070C0"/>
              <w:right w:val="single" w:sz="4" w:space="0" w:color="0070C0"/>
            </w:tcBorders>
            <w:shd w:val="clear" w:color="000000" w:fill="8497B0"/>
            <w:noWrap/>
            <w:vAlign w:val="center"/>
            <w:hideMark/>
          </w:tcPr>
          <w:p w14:paraId="25B69E95" w14:textId="07B5ACC9" w:rsidR="00AF6401" w:rsidRPr="00AF6401" w:rsidRDefault="00AF6401" w:rsidP="009C54FB">
            <w:pPr>
              <w:ind w:left="0"/>
              <w:jc w:val="center"/>
              <w:rPr>
                <w:rFonts w:ascii="Arial Narrow" w:hAnsi="Arial Narrow" w:cs="Arial"/>
                <w:b/>
                <w:bCs/>
                <w:color w:val="FFFFFF"/>
                <w:sz w:val="14"/>
                <w:szCs w:val="14"/>
                <w:lang w:val="es-CO" w:eastAsia="en-US"/>
              </w:rPr>
            </w:pPr>
            <w:r w:rsidRPr="00AF6401">
              <w:rPr>
                <w:rFonts w:ascii="Arial Narrow" w:hAnsi="Arial Narrow" w:cs="Arial"/>
                <w:b/>
                <w:bCs/>
                <w:color w:val="FFFFFF"/>
                <w:sz w:val="14"/>
                <w:szCs w:val="14"/>
                <w:lang w:val="es-CO" w:eastAsia="en-US"/>
              </w:rPr>
              <w:t xml:space="preserve">SERVICIO </w:t>
            </w:r>
            <w:r w:rsidR="009C54FB" w:rsidRPr="009C54FB">
              <w:rPr>
                <w:rFonts w:ascii="Arial Narrow" w:hAnsi="Arial Narrow" w:cs="Arial"/>
                <w:b/>
                <w:bCs/>
                <w:color w:val="FFFFFF"/>
                <w:sz w:val="14"/>
                <w:szCs w:val="14"/>
                <w:lang w:val="es-CO" w:eastAsia="en-US"/>
              </w:rPr>
              <w:t xml:space="preserve">DE </w:t>
            </w:r>
            <w:r w:rsidRPr="00AF6401">
              <w:rPr>
                <w:rFonts w:ascii="Arial Narrow" w:hAnsi="Arial Narrow" w:cs="Arial"/>
                <w:b/>
                <w:bCs/>
                <w:color w:val="FFFFFF"/>
                <w:sz w:val="14"/>
                <w:szCs w:val="14"/>
                <w:lang w:val="es-CO" w:eastAsia="en-US"/>
              </w:rPr>
              <w:t>LA DEUDA</w:t>
            </w:r>
            <w:r w:rsidR="009C54FB" w:rsidRPr="009C54FB">
              <w:rPr>
                <w:rFonts w:ascii="Arial Narrow" w:hAnsi="Arial Narrow" w:cs="Arial"/>
                <w:b/>
                <w:bCs/>
                <w:color w:val="FFFFFF"/>
                <w:sz w:val="14"/>
                <w:szCs w:val="14"/>
                <w:lang w:val="es-CO" w:eastAsia="en-US"/>
              </w:rPr>
              <w:t xml:space="preserve"> PÚBLICA</w:t>
            </w:r>
          </w:p>
        </w:tc>
        <w:tc>
          <w:tcPr>
            <w:tcW w:w="1134" w:type="dxa"/>
            <w:tcBorders>
              <w:top w:val="nil"/>
              <w:left w:val="nil"/>
              <w:bottom w:val="single" w:sz="4" w:space="0" w:color="0070C0"/>
              <w:right w:val="single" w:sz="4" w:space="0" w:color="0070C0"/>
            </w:tcBorders>
            <w:shd w:val="clear" w:color="000000" w:fill="8497B0"/>
            <w:noWrap/>
            <w:vAlign w:val="center"/>
            <w:hideMark/>
          </w:tcPr>
          <w:p w14:paraId="69EE71E0" w14:textId="77777777" w:rsidR="00AF6401" w:rsidRPr="00AF6401" w:rsidRDefault="00AF6401" w:rsidP="00AF6401">
            <w:pPr>
              <w:ind w:left="0"/>
              <w:jc w:val="right"/>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$3.142.354.010</w:t>
            </w:r>
          </w:p>
        </w:tc>
      </w:tr>
      <w:tr w:rsidR="00AF6401" w:rsidRPr="00AF6401" w14:paraId="20E8159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64469E5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B-10</w:t>
            </w:r>
          </w:p>
        </w:tc>
        <w:tc>
          <w:tcPr>
            <w:tcW w:w="980" w:type="dxa"/>
            <w:tcBorders>
              <w:top w:val="nil"/>
              <w:left w:val="nil"/>
              <w:bottom w:val="single" w:sz="4" w:space="0" w:color="0070C0"/>
              <w:right w:val="single" w:sz="4" w:space="0" w:color="0070C0"/>
            </w:tcBorders>
            <w:shd w:val="clear" w:color="auto" w:fill="auto"/>
            <w:noWrap/>
            <w:vAlign w:val="center"/>
            <w:hideMark/>
          </w:tcPr>
          <w:p w14:paraId="0435535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0CCADB05"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APORTES AL FONDO DE CONTINGENCIAS</w:t>
            </w:r>
          </w:p>
        </w:tc>
        <w:tc>
          <w:tcPr>
            <w:tcW w:w="1134" w:type="dxa"/>
            <w:tcBorders>
              <w:top w:val="nil"/>
              <w:left w:val="nil"/>
              <w:bottom w:val="single" w:sz="4" w:space="0" w:color="0070C0"/>
              <w:right w:val="single" w:sz="4" w:space="0" w:color="0070C0"/>
            </w:tcBorders>
            <w:shd w:val="clear" w:color="auto" w:fill="auto"/>
            <w:noWrap/>
            <w:vAlign w:val="center"/>
            <w:hideMark/>
          </w:tcPr>
          <w:p w14:paraId="5D40FAF3"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$3.142.354.010</w:t>
            </w:r>
          </w:p>
        </w:tc>
      </w:tr>
      <w:tr w:rsidR="00AF6401" w:rsidRPr="00AF6401" w14:paraId="73811ABA"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000000" w:fill="8497B0"/>
            <w:noWrap/>
            <w:vAlign w:val="center"/>
            <w:hideMark/>
          </w:tcPr>
          <w:p w14:paraId="02912F7B"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C</w:t>
            </w:r>
          </w:p>
        </w:tc>
        <w:tc>
          <w:tcPr>
            <w:tcW w:w="980" w:type="dxa"/>
            <w:tcBorders>
              <w:top w:val="nil"/>
              <w:left w:val="nil"/>
              <w:bottom w:val="single" w:sz="4" w:space="0" w:color="0070C0"/>
              <w:right w:val="single" w:sz="4" w:space="0" w:color="0070C0"/>
            </w:tcBorders>
            <w:shd w:val="clear" w:color="000000" w:fill="8497B0"/>
            <w:noWrap/>
            <w:vAlign w:val="center"/>
            <w:hideMark/>
          </w:tcPr>
          <w:p w14:paraId="16D72B32"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 </w:t>
            </w:r>
          </w:p>
        </w:tc>
        <w:tc>
          <w:tcPr>
            <w:tcW w:w="6237" w:type="dxa"/>
            <w:tcBorders>
              <w:top w:val="nil"/>
              <w:left w:val="nil"/>
              <w:bottom w:val="single" w:sz="4" w:space="0" w:color="0070C0"/>
              <w:right w:val="single" w:sz="4" w:space="0" w:color="0070C0"/>
            </w:tcBorders>
            <w:shd w:val="clear" w:color="000000" w:fill="8497B0"/>
            <w:noWrap/>
            <w:vAlign w:val="center"/>
            <w:hideMark/>
          </w:tcPr>
          <w:p w14:paraId="57A0E8C5" w14:textId="77777777" w:rsidR="00AF6401" w:rsidRPr="00AF6401" w:rsidRDefault="00AF6401" w:rsidP="00AF6401">
            <w:pPr>
              <w:ind w:left="0"/>
              <w:jc w:val="center"/>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 xml:space="preserve">INVERSION </w:t>
            </w:r>
          </w:p>
        </w:tc>
        <w:tc>
          <w:tcPr>
            <w:tcW w:w="1134" w:type="dxa"/>
            <w:tcBorders>
              <w:top w:val="nil"/>
              <w:left w:val="nil"/>
              <w:bottom w:val="single" w:sz="4" w:space="0" w:color="0070C0"/>
              <w:right w:val="single" w:sz="4" w:space="0" w:color="0070C0"/>
            </w:tcBorders>
            <w:shd w:val="clear" w:color="000000" w:fill="8497B0"/>
            <w:noWrap/>
            <w:vAlign w:val="center"/>
            <w:hideMark/>
          </w:tcPr>
          <w:p w14:paraId="530EA29C" w14:textId="77777777" w:rsidR="00AF6401" w:rsidRPr="00AF6401" w:rsidRDefault="00AF6401" w:rsidP="00AF6401">
            <w:pPr>
              <w:ind w:left="0"/>
              <w:jc w:val="right"/>
              <w:rPr>
                <w:rFonts w:ascii="Arial Narrow" w:hAnsi="Arial Narrow" w:cs="Arial"/>
                <w:b/>
                <w:bCs/>
                <w:color w:val="FFFFFF"/>
                <w:sz w:val="14"/>
                <w:szCs w:val="14"/>
                <w:lang w:val="en-US" w:eastAsia="en-US"/>
              </w:rPr>
            </w:pPr>
            <w:r w:rsidRPr="00AF6401">
              <w:rPr>
                <w:rFonts w:ascii="Arial Narrow" w:hAnsi="Arial Narrow" w:cs="Arial"/>
                <w:b/>
                <w:bCs/>
                <w:color w:val="FFFFFF"/>
                <w:sz w:val="14"/>
                <w:szCs w:val="14"/>
                <w:lang w:val="en-US" w:eastAsia="en-US"/>
              </w:rPr>
              <w:t>$11.523.100.000</w:t>
            </w:r>
          </w:p>
        </w:tc>
      </w:tr>
      <w:tr w:rsidR="00AF6401" w:rsidRPr="00AF6401" w14:paraId="476A27B8"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3AEB4C8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2199-1900-4</w:t>
            </w:r>
          </w:p>
        </w:tc>
        <w:tc>
          <w:tcPr>
            <w:tcW w:w="980" w:type="dxa"/>
            <w:tcBorders>
              <w:top w:val="nil"/>
              <w:left w:val="nil"/>
              <w:bottom w:val="single" w:sz="4" w:space="0" w:color="0070C0"/>
              <w:right w:val="single" w:sz="4" w:space="0" w:color="0070C0"/>
            </w:tcBorders>
            <w:shd w:val="clear" w:color="auto" w:fill="auto"/>
            <w:noWrap/>
            <w:vAlign w:val="center"/>
            <w:hideMark/>
          </w:tcPr>
          <w:p w14:paraId="6FE3B3BA"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0D72DADD"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MEJORAMIENTO Y MODERNIZACION DE LAS TIC´S DE LA CREG A NIVEL NACIONAL.</w:t>
            </w:r>
          </w:p>
        </w:tc>
        <w:tc>
          <w:tcPr>
            <w:tcW w:w="1134" w:type="dxa"/>
            <w:tcBorders>
              <w:top w:val="nil"/>
              <w:left w:val="nil"/>
              <w:bottom w:val="single" w:sz="4" w:space="0" w:color="0070C0"/>
              <w:right w:val="single" w:sz="4" w:space="0" w:color="0070C0"/>
            </w:tcBorders>
            <w:shd w:val="clear" w:color="auto" w:fill="auto"/>
            <w:noWrap/>
            <w:vAlign w:val="center"/>
            <w:hideMark/>
          </w:tcPr>
          <w:p w14:paraId="0A43002B"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$1.732.800.000</w:t>
            </w:r>
          </w:p>
        </w:tc>
      </w:tr>
      <w:tr w:rsidR="00AF6401" w:rsidRPr="00AF6401" w14:paraId="63D7CEDF" w14:textId="77777777" w:rsidTr="00AF6401">
        <w:trPr>
          <w:trHeight w:val="312"/>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4E829D3A"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2199-1900-3</w:t>
            </w:r>
          </w:p>
        </w:tc>
        <w:tc>
          <w:tcPr>
            <w:tcW w:w="980" w:type="dxa"/>
            <w:tcBorders>
              <w:top w:val="nil"/>
              <w:left w:val="nil"/>
              <w:bottom w:val="single" w:sz="4" w:space="0" w:color="0070C0"/>
              <w:right w:val="single" w:sz="4" w:space="0" w:color="0070C0"/>
            </w:tcBorders>
            <w:shd w:val="clear" w:color="auto" w:fill="auto"/>
            <w:noWrap/>
            <w:vAlign w:val="center"/>
            <w:hideMark/>
          </w:tcPr>
          <w:p w14:paraId="03D69CAE"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5B45742F"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 xml:space="preserve">FORTALECIMIENTO INSTITUCIONAL A PARTIR DEL APRENDIZAJE ORGANIZACIONAL A NIVEL NACIONAL. </w:t>
            </w:r>
          </w:p>
        </w:tc>
        <w:tc>
          <w:tcPr>
            <w:tcW w:w="1134" w:type="dxa"/>
            <w:tcBorders>
              <w:top w:val="nil"/>
              <w:left w:val="nil"/>
              <w:bottom w:val="single" w:sz="4" w:space="0" w:color="0070C0"/>
              <w:right w:val="single" w:sz="4" w:space="0" w:color="0070C0"/>
            </w:tcBorders>
            <w:shd w:val="clear" w:color="auto" w:fill="auto"/>
            <w:noWrap/>
            <w:vAlign w:val="center"/>
            <w:hideMark/>
          </w:tcPr>
          <w:p w14:paraId="12871907"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$365.000.000</w:t>
            </w:r>
          </w:p>
        </w:tc>
      </w:tr>
      <w:tr w:rsidR="00AF6401" w:rsidRPr="00AF6401" w14:paraId="2A40684F" w14:textId="77777777" w:rsidTr="00AF6401">
        <w:trPr>
          <w:trHeight w:val="422"/>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69283D17"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2106-1900-6</w:t>
            </w:r>
          </w:p>
        </w:tc>
        <w:tc>
          <w:tcPr>
            <w:tcW w:w="980" w:type="dxa"/>
            <w:tcBorders>
              <w:top w:val="nil"/>
              <w:left w:val="nil"/>
              <w:bottom w:val="single" w:sz="4" w:space="0" w:color="0070C0"/>
              <w:right w:val="single" w:sz="4" w:space="0" w:color="0070C0"/>
            </w:tcBorders>
            <w:shd w:val="clear" w:color="auto" w:fill="auto"/>
            <w:noWrap/>
            <w:vAlign w:val="center"/>
            <w:hideMark/>
          </w:tcPr>
          <w:p w14:paraId="47BC93C4"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287D9C13"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ESTUDIOS Y ANÁLISIS PARA LA ADOPCIÓN DE MEDIDAS REGULATORIAS REQUERIDAS POR LOS SECTORES DE ENERGÍA ELÉCTRICA, GAS COMBUSTIBLE Y COMBUSTIBLES LÍQUIDOS A NIVEL NACIONAL</w:t>
            </w:r>
          </w:p>
        </w:tc>
        <w:tc>
          <w:tcPr>
            <w:tcW w:w="1134" w:type="dxa"/>
            <w:tcBorders>
              <w:top w:val="nil"/>
              <w:left w:val="nil"/>
              <w:bottom w:val="single" w:sz="4" w:space="0" w:color="0070C0"/>
              <w:right w:val="single" w:sz="4" w:space="0" w:color="0070C0"/>
            </w:tcBorders>
            <w:shd w:val="clear" w:color="auto" w:fill="auto"/>
            <w:noWrap/>
            <w:vAlign w:val="center"/>
            <w:hideMark/>
          </w:tcPr>
          <w:p w14:paraId="75D93E85"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$8.921.300.000</w:t>
            </w:r>
          </w:p>
        </w:tc>
      </w:tr>
      <w:tr w:rsidR="00AF6401" w:rsidRPr="00AF6401" w14:paraId="2EE2E663" w14:textId="77777777" w:rsidTr="00AF6401">
        <w:trPr>
          <w:trHeight w:val="288"/>
        </w:trPr>
        <w:tc>
          <w:tcPr>
            <w:tcW w:w="1000" w:type="dxa"/>
            <w:tcBorders>
              <w:top w:val="nil"/>
              <w:left w:val="single" w:sz="4" w:space="0" w:color="0070C0"/>
              <w:bottom w:val="single" w:sz="4" w:space="0" w:color="0070C0"/>
              <w:right w:val="single" w:sz="4" w:space="0" w:color="0070C0"/>
            </w:tcBorders>
            <w:shd w:val="clear" w:color="auto" w:fill="auto"/>
            <w:noWrap/>
            <w:vAlign w:val="center"/>
            <w:hideMark/>
          </w:tcPr>
          <w:p w14:paraId="03EE5913"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2106-1900-4</w:t>
            </w:r>
          </w:p>
        </w:tc>
        <w:tc>
          <w:tcPr>
            <w:tcW w:w="980" w:type="dxa"/>
            <w:tcBorders>
              <w:top w:val="nil"/>
              <w:left w:val="nil"/>
              <w:bottom w:val="single" w:sz="4" w:space="0" w:color="0070C0"/>
              <w:right w:val="single" w:sz="4" w:space="0" w:color="0070C0"/>
            </w:tcBorders>
            <w:shd w:val="clear" w:color="auto" w:fill="auto"/>
            <w:noWrap/>
            <w:vAlign w:val="center"/>
            <w:hideMark/>
          </w:tcPr>
          <w:p w14:paraId="69DBCE1F" w14:textId="77777777" w:rsidR="00AF6401" w:rsidRPr="00AF6401" w:rsidRDefault="00AF6401" w:rsidP="00AF6401">
            <w:pPr>
              <w:ind w:left="0"/>
              <w:jc w:val="center"/>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16</w:t>
            </w:r>
          </w:p>
        </w:tc>
        <w:tc>
          <w:tcPr>
            <w:tcW w:w="6237" w:type="dxa"/>
            <w:tcBorders>
              <w:top w:val="nil"/>
              <w:left w:val="nil"/>
              <w:bottom w:val="single" w:sz="4" w:space="0" w:color="0070C0"/>
              <w:right w:val="single" w:sz="4" w:space="0" w:color="0070C0"/>
            </w:tcBorders>
            <w:shd w:val="clear" w:color="auto" w:fill="auto"/>
            <w:vAlign w:val="center"/>
            <w:hideMark/>
          </w:tcPr>
          <w:p w14:paraId="307F5926" w14:textId="77777777" w:rsidR="00AF6401" w:rsidRPr="00AF6401" w:rsidRDefault="00AF6401" w:rsidP="00AF6401">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DIVULGACION DE LA REGULACION A LA CIUDADANIA A NIVEL NACIONAL.</w:t>
            </w:r>
          </w:p>
        </w:tc>
        <w:tc>
          <w:tcPr>
            <w:tcW w:w="1134" w:type="dxa"/>
            <w:tcBorders>
              <w:top w:val="nil"/>
              <w:left w:val="nil"/>
              <w:bottom w:val="single" w:sz="4" w:space="0" w:color="0070C0"/>
              <w:right w:val="single" w:sz="4" w:space="0" w:color="0070C0"/>
            </w:tcBorders>
            <w:shd w:val="clear" w:color="auto" w:fill="auto"/>
            <w:noWrap/>
            <w:vAlign w:val="center"/>
            <w:hideMark/>
          </w:tcPr>
          <w:p w14:paraId="208BD123"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$504.000.000</w:t>
            </w:r>
          </w:p>
        </w:tc>
      </w:tr>
      <w:tr w:rsidR="00AF6401" w:rsidRPr="00AF6401" w14:paraId="7CFAF305" w14:textId="77777777" w:rsidTr="00AF6401">
        <w:trPr>
          <w:trHeight w:val="288"/>
        </w:trPr>
        <w:tc>
          <w:tcPr>
            <w:tcW w:w="8217" w:type="dxa"/>
            <w:gridSpan w:val="3"/>
            <w:tcBorders>
              <w:top w:val="nil"/>
              <w:left w:val="single" w:sz="4" w:space="0" w:color="auto"/>
              <w:bottom w:val="single" w:sz="4" w:space="0" w:color="auto"/>
              <w:right w:val="single" w:sz="4" w:space="0" w:color="000000"/>
            </w:tcBorders>
            <w:shd w:val="clear" w:color="000000" w:fill="DBDBDB"/>
            <w:noWrap/>
            <w:vAlign w:val="center"/>
            <w:hideMark/>
          </w:tcPr>
          <w:p w14:paraId="51AD200E" w14:textId="558A19B0" w:rsidR="00AF6401" w:rsidRPr="00AF6401" w:rsidRDefault="00AF6401" w:rsidP="00AF6401">
            <w:pPr>
              <w:ind w:left="0"/>
              <w:jc w:val="center"/>
              <w:rPr>
                <w:rFonts w:ascii="Arial Narrow" w:hAnsi="Arial Narrow" w:cs="Arial"/>
                <w:b/>
                <w:bCs/>
                <w:sz w:val="14"/>
                <w:szCs w:val="14"/>
                <w:lang w:val="es-CO" w:eastAsia="en-US"/>
              </w:rPr>
            </w:pPr>
            <w:proofErr w:type="gramStart"/>
            <w:r w:rsidRPr="00AF6401">
              <w:rPr>
                <w:rFonts w:ascii="Arial Narrow" w:hAnsi="Arial Narrow" w:cs="Arial"/>
                <w:b/>
                <w:bCs/>
                <w:sz w:val="14"/>
                <w:szCs w:val="14"/>
                <w:lang w:val="es-CO" w:eastAsia="en-US"/>
              </w:rPr>
              <w:t>TOTAL</w:t>
            </w:r>
            <w:proofErr w:type="gramEnd"/>
            <w:r w:rsidRPr="00AF6401">
              <w:rPr>
                <w:rFonts w:ascii="Arial Narrow" w:hAnsi="Arial Narrow" w:cs="Arial"/>
                <w:b/>
                <w:bCs/>
                <w:sz w:val="14"/>
                <w:szCs w:val="14"/>
                <w:lang w:val="es-CO" w:eastAsia="en-US"/>
              </w:rPr>
              <w:t xml:space="preserve"> PRESUPUESTO</w:t>
            </w:r>
            <w:r w:rsidR="002614EE" w:rsidRPr="002614EE">
              <w:rPr>
                <w:rFonts w:ascii="Arial Narrow" w:hAnsi="Arial Narrow" w:cs="Arial"/>
                <w:b/>
                <w:bCs/>
                <w:sz w:val="14"/>
                <w:szCs w:val="14"/>
                <w:lang w:val="es-CO" w:eastAsia="en-US"/>
              </w:rPr>
              <w:t xml:space="preserve"> RECURSO 16 SSF VIGENCIA</w:t>
            </w:r>
            <w:r w:rsidRPr="00AF6401">
              <w:rPr>
                <w:rFonts w:ascii="Arial Narrow" w:hAnsi="Arial Narrow" w:cs="Arial"/>
                <w:b/>
                <w:bCs/>
                <w:sz w:val="14"/>
                <w:szCs w:val="14"/>
                <w:lang w:val="es-CO" w:eastAsia="en-US"/>
              </w:rPr>
              <w:t xml:space="preserve"> 2022</w:t>
            </w:r>
          </w:p>
        </w:tc>
        <w:tc>
          <w:tcPr>
            <w:tcW w:w="1134" w:type="dxa"/>
            <w:tcBorders>
              <w:top w:val="nil"/>
              <w:left w:val="nil"/>
              <w:bottom w:val="single" w:sz="4" w:space="0" w:color="auto"/>
              <w:right w:val="single" w:sz="4" w:space="0" w:color="auto"/>
            </w:tcBorders>
            <w:shd w:val="clear" w:color="000000" w:fill="DBDBDB"/>
            <w:noWrap/>
            <w:vAlign w:val="center"/>
            <w:hideMark/>
          </w:tcPr>
          <w:p w14:paraId="79B3ACD9" w14:textId="77777777" w:rsidR="00AF6401" w:rsidRPr="00AF6401" w:rsidRDefault="00AF6401" w:rsidP="00AF6401">
            <w:pPr>
              <w:ind w:left="0"/>
              <w:jc w:val="right"/>
              <w:rPr>
                <w:rFonts w:ascii="Arial Narrow" w:hAnsi="Arial Narrow" w:cs="Arial"/>
                <w:b/>
                <w:bCs/>
                <w:sz w:val="14"/>
                <w:szCs w:val="14"/>
                <w:lang w:val="en-US" w:eastAsia="en-US"/>
              </w:rPr>
            </w:pPr>
            <w:r w:rsidRPr="00AF6401">
              <w:rPr>
                <w:rFonts w:ascii="Arial Narrow" w:hAnsi="Arial Narrow" w:cs="Arial"/>
                <w:b/>
                <w:bCs/>
                <w:sz w:val="14"/>
                <w:szCs w:val="14"/>
                <w:lang w:val="en-US" w:eastAsia="en-US"/>
              </w:rPr>
              <w:t>$34.610.226.602</w:t>
            </w:r>
          </w:p>
        </w:tc>
      </w:tr>
      <w:tr w:rsidR="00AF6401" w:rsidRPr="00AF6401" w14:paraId="0435F70A" w14:textId="77777777" w:rsidTr="00AF6401">
        <w:trPr>
          <w:trHeight w:val="288"/>
        </w:trPr>
        <w:tc>
          <w:tcPr>
            <w:tcW w:w="1000" w:type="dxa"/>
            <w:tcBorders>
              <w:top w:val="nil"/>
              <w:left w:val="nil"/>
              <w:bottom w:val="nil"/>
              <w:right w:val="nil"/>
            </w:tcBorders>
            <w:shd w:val="clear" w:color="auto" w:fill="auto"/>
            <w:noWrap/>
            <w:vAlign w:val="center"/>
            <w:hideMark/>
          </w:tcPr>
          <w:p w14:paraId="424A0020" w14:textId="77777777" w:rsidR="00AF6401" w:rsidRPr="00AF6401" w:rsidRDefault="00AF6401" w:rsidP="00AF6401">
            <w:pPr>
              <w:ind w:left="0"/>
              <w:jc w:val="right"/>
              <w:rPr>
                <w:rFonts w:ascii="Arial Narrow" w:hAnsi="Arial Narrow" w:cs="Arial"/>
                <w:b/>
                <w:bCs/>
                <w:sz w:val="14"/>
                <w:szCs w:val="14"/>
                <w:lang w:val="en-US" w:eastAsia="en-US"/>
              </w:rPr>
            </w:pPr>
          </w:p>
        </w:tc>
        <w:tc>
          <w:tcPr>
            <w:tcW w:w="980" w:type="dxa"/>
            <w:tcBorders>
              <w:top w:val="nil"/>
              <w:left w:val="nil"/>
              <w:bottom w:val="nil"/>
              <w:right w:val="nil"/>
            </w:tcBorders>
            <w:shd w:val="clear" w:color="auto" w:fill="auto"/>
            <w:noWrap/>
            <w:vAlign w:val="center"/>
            <w:hideMark/>
          </w:tcPr>
          <w:p w14:paraId="2BF3A876" w14:textId="77777777" w:rsidR="00AF6401" w:rsidRPr="00AF6401" w:rsidRDefault="00AF6401" w:rsidP="00AF6401">
            <w:pPr>
              <w:ind w:left="0"/>
              <w:rPr>
                <w:sz w:val="20"/>
                <w:szCs w:val="20"/>
                <w:lang w:val="en-US" w:eastAsia="en-US"/>
              </w:rPr>
            </w:pPr>
          </w:p>
        </w:tc>
        <w:tc>
          <w:tcPr>
            <w:tcW w:w="6237" w:type="dxa"/>
            <w:tcBorders>
              <w:top w:val="single" w:sz="4" w:space="0" w:color="0070C0"/>
              <w:left w:val="single" w:sz="4" w:space="0" w:color="0070C0"/>
              <w:bottom w:val="nil"/>
              <w:right w:val="single" w:sz="4" w:space="0" w:color="0070C0"/>
            </w:tcBorders>
            <w:shd w:val="clear" w:color="auto" w:fill="auto"/>
            <w:vAlign w:val="center"/>
            <w:hideMark/>
          </w:tcPr>
          <w:p w14:paraId="3D9292BB" w14:textId="6F763B5F" w:rsidR="00AF6401" w:rsidRPr="00AF6401" w:rsidRDefault="00AF6401" w:rsidP="008D4BDA">
            <w:pPr>
              <w:ind w:left="0"/>
              <w:rPr>
                <w:rFonts w:ascii="Arial Narrow" w:hAnsi="Arial Narrow" w:cs="Arial"/>
                <w:color w:val="000000"/>
                <w:sz w:val="14"/>
                <w:szCs w:val="14"/>
                <w:lang w:val="es-CO" w:eastAsia="en-US"/>
              </w:rPr>
            </w:pPr>
            <w:r w:rsidRPr="00AF6401">
              <w:rPr>
                <w:rFonts w:ascii="Arial Narrow" w:hAnsi="Arial Narrow" w:cs="Arial"/>
                <w:color w:val="000000"/>
                <w:sz w:val="14"/>
                <w:szCs w:val="14"/>
                <w:lang w:val="es-CO" w:eastAsia="en-US"/>
              </w:rPr>
              <w:t>MENOS TRANSFERENCIA</w:t>
            </w:r>
            <w:r w:rsidR="008D4BDA">
              <w:rPr>
                <w:rFonts w:ascii="Arial Narrow" w:hAnsi="Arial Narrow" w:cs="Arial"/>
                <w:color w:val="000000"/>
                <w:sz w:val="14"/>
                <w:szCs w:val="14"/>
                <w:lang w:val="es-CO" w:eastAsia="en-US"/>
              </w:rPr>
              <w:t xml:space="preserve"> DE </w:t>
            </w:r>
            <w:r w:rsidRPr="00AF6401">
              <w:rPr>
                <w:rFonts w:ascii="Arial Narrow" w:hAnsi="Arial Narrow" w:cs="Arial"/>
                <w:color w:val="000000"/>
                <w:sz w:val="14"/>
                <w:szCs w:val="14"/>
                <w:lang w:val="es-CO" w:eastAsia="en-US"/>
              </w:rPr>
              <w:t>EXCEDENTES AL FONDO EMPRESARIAL</w:t>
            </w:r>
          </w:p>
        </w:tc>
        <w:tc>
          <w:tcPr>
            <w:tcW w:w="1134" w:type="dxa"/>
            <w:tcBorders>
              <w:top w:val="single" w:sz="4" w:space="0" w:color="0070C0"/>
              <w:left w:val="nil"/>
              <w:bottom w:val="nil"/>
              <w:right w:val="single" w:sz="4" w:space="0" w:color="0070C0"/>
            </w:tcBorders>
            <w:shd w:val="clear" w:color="auto" w:fill="auto"/>
            <w:noWrap/>
            <w:vAlign w:val="center"/>
            <w:hideMark/>
          </w:tcPr>
          <w:p w14:paraId="3B13DDEF"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FF0000"/>
                <w:sz w:val="14"/>
                <w:szCs w:val="14"/>
                <w:lang w:val="en-US" w:eastAsia="en-US"/>
              </w:rPr>
              <w:t>($1.706.221.728)</w:t>
            </w:r>
          </w:p>
        </w:tc>
      </w:tr>
      <w:tr w:rsidR="00AF6401" w:rsidRPr="00AF6401" w14:paraId="731FE70B" w14:textId="77777777" w:rsidTr="00AF6401">
        <w:trPr>
          <w:trHeight w:val="288"/>
        </w:trPr>
        <w:tc>
          <w:tcPr>
            <w:tcW w:w="8217" w:type="dxa"/>
            <w:gridSpan w:val="3"/>
            <w:tcBorders>
              <w:top w:val="single" w:sz="4" w:space="0" w:color="auto"/>
              <w:left w:val="single" w:sz="4" w:space="0" w:color="auto"/>
              <w:bottom w:val="single" w:sz="4" w:space="0" w:color="auto"/>
              <w:right w:val="single" w:sz="4" w:space="0" w:color="000000"/>
            </w:tcBorders>
            <w:shd w:val="clear" w:color="000000" w:fill="DBDBDB"/>
            <w:noWrap/>
            <w:vAlign w:val="center"/>
            <w:hideMark/>
          </w:tcPr>
          <w:p w14:paraId="2552EC9D" w14:textId="4A9A3DAD" w:rsidR="00AF6401" w:rsidRPr="00AF6401" w:rsidRDefault="002614EE" w:rsidP="002614EE">
            <w:pPr>
              <w:ind w:left="0"/>
              <w:jc w:val="center"/>
              <w:rPr>
                <w:rFonts w:ascii="Arial Narrow" w:hAnsi="Arial Narrow" w:cs="Arial"/>
                <w:b/>
                <w:bCs/>
                <w:sz w:val="14"/>
                <w:szCs w:val="14"/>
                <w:lang w:val="es-CO" w:eastAsia="en-US"/>
              </w:rPr>
            </w:pPr>
            <w:r w:rsidRPr="002614EE">
              <w:rPr>
                <w:rFonts w:ascii="Arial Narrow" w:hAnsi="Arial Narrow" w:cs="Arial"/>
                <w:b/>
                <w:bCs/>
                <w:sz w:val="14"/>
                <w:szCs w:val="14"/>
                <w:lang w:val="es-CO" w:eastAsia="en-US"/>
              </w:rPr>
              <w:t xml:space="preserve">SUBTOTAL RECURSOS 16 SSF CON </w:t>
            </w:r>
            <w:r w:rsidR="00AF6401" w:rsidRPr="00AF6401">
              <w:rPr>
                <w:rFonts w:ascii="Arial Narrow" w:hAnsi="Arial Narrow" w:cs="Arial"/>
                <w:b/>
                <w:bCs/>
                <w:sz w:val="14"/>
                <w:szCs w:val="14"/>
                <w:lang w:val="es-CO" w:eastAsia="en-US"/>
              </w:rPr>
              <w:t>CONTRIBUCIÓN ESPECIAL 2022</w:t>
            </w:r>
          </w:p>
        </w:tc>
        <w:tc>
          <w:tcPr>
            <w:tcW w:w="1134" w:type="dxa"/>
            <w:tcBorders>
              <w:top w:val="single" w:sz="4" w:space="0" w:color="auto"/>
              <w:left w:val="nil"/>
              <w:bottom w:val="single" w:sz="4" w:space="0" w:color="auto"/>
              <w:right w:val="single" w:sz="4" w:space="0" w:color="auto"/>
            </w:tcBorders>
            <w:shd w:val="clear" w:color="000000" w:fill="DBDBDB"/>
            <w:noWrap/>
            <w:vAlign w:val="center"/>
            <w:hideMark/>
          </w:tcPr>
          <w:p w14:paraId="794BFC6D" w14:textId="77777777" w:rsidR="00AF6401" w:rsidRPr="00AF6401" w:rsidRDefault="00AF6401" w:rsidP="00AF6401">
            <w:pPr>
              <w:ind w:left="0"/>
              <w:jc w:val="right"/>
              <w:rPr>
                <w:rFonts w:ascii="Arial Narrow" w:hAnsi="Arial Narrow" w:cs="Arial"/>
                <w:b/>
                <w:bCs/>
                <w:sz w:val="14"/>
                <w:szCs w:val="14"/>
                <w:lang w:val="en-US" w:eastAsia="en-US"/>
              </w:rPr>
            </w:pPr>
            <w:r w:rsidRPr="00AF6401">
              <w:rPr>
                <w:rFonts w:ascii="Arial Narrow" w:hAnsi="Arial Narrow" w:cs="Arial"/>
                <w:b/>
                <w:bCs/>
                <w:sz w:val="14"/>
                <w:szCs w:val="14"/>
                <w:lang w:val="en-US" w:eastAsia="en-US"/>
              </w:rPr>
              <w:t>$32.904.004.874</w:t>
            </w:r>
          </w:p>
        </w:tc>
      </w:tr>
      <w:tr w:rsidR="00AF6401" w:rsidRPr="00AF6401" w14:paraId="37EBFED0" w14:textId="77777777" w:rsidTr="00AF6401">
        <w:trPr>
          <w:trHeight w:val="288"/>
        </w:trPr>
        <w:tc>
          <w:tcPr>
            <w:tcW w:w="1000" w:type="dxa"/>
            <w:tcBorders>
              <w:top w:val="nil"/>
              <w:left w:val="nil"/>
              <w:bottom w:val="nil"/>
              <w:right w:val="nil"/>
            </w:tcBorders>
            <w:shd w:val="clear" w:color="auto" w:fill="auto"/>
            <w:noWrap/>
            <w:vAlign w:val="center"/>
            <w:hideMark/>
          </w:tcPr>
          <w:p w14:paraId="29EF7E2B" w14:textId="77777777" w:rsidR="00AF6401" w:rsidRPr="00AF6401" w:rsidRDefault="00AF6401" w:rsidP="00AF6401">
            <w:pPr>
              <w:ind w:left="0"/>
              <w:jc w:val="right"/>
              <w:rPr>
                <w:rFonts w:ascii="Arial Narrow" w:hAnsi="Arial Narrow" w:cs="Arial"/>
                <w:b/>
                <w:bCs/>
                <w:sz w:val="14"/>
                <w:szCs w:val="14"/>
                <w:lang w:val="en-US" w:eastAsia="en-US"/>
              </w:rPr>
            </w:pPr>
          </w:p>
        </w:tc>
        <w:tc>
          <w:tcPr>
            <w:tcW w:w="980" w:type="dxa"/>
            <w:tcBorders>
              <w:top w:val="nil"/>
              <w:left w:val="nil"/>
              <w:bottom w:val="nil"/>
              <w:right w:val="nil"/>
            </w:tcBorders>
            <w:shd w:val="clear" w:color="auto" w:fill="auto"/>
            <w:noWrap/>
            <w:vAlign w:val="center"/>
            <w:hideMark/>
          </w:tcPr>
          <w:p w14:paraId="63C8041F" w14:textId="77777777" w:rsidR="00AF6401" w:rsidRPr="00AF6401" w:rsidRDefault="00AF6401" w:rsidP="00AF6401">
            <w:pPr>
              <w:ind w:left="0"/>
              <w:rPr>
                <w:sz w:val="20"/>
                <w:szCs w:val="20"/>
                <w:lang w:val="en-US" w:eastAsia="en-US"/>
              </w:rPr>
            </w:pPr>
          </w:p>
        </w:tc>
        <w:tc>
          <w:tcPr>
            <w:tcW w:w="6237" w:type="dxa"/>
            <w:tcBorders>
              <w:top w:val="single" w:sz="4" w:space="0" w:color="0070C0"/>
              <w:left w:val="single" w:sz="4" w:space="0" w:color="0070C0"/>
              <w:bottom w:val="nil"/>
              <w:right w:val="single" w:sz="4" w:space="0" w:color="0070C0"/>
            </w:tcBorders>
            <w:shd w:val="clear" w:color="auto" w:fill="auto"/>
            <w:vAlign w:val="center"/>
            <w:hideMark/>
          </w:tcPr>
          <w:p w14:paraId="0B530490" w14:textId="353A5812" w:rsidR="00AF6401" w:rsidRPr="00AF6401" w:rsidRDefault="00C61372" w:rsidP="00C61372">
            <w:pPr>
              <w:ind w:left="0"/>
              <w:rPr>
                <w:rFonts w:ascii="Arial Narrow" w:hAnsi="Arial Narrow" w:cs="Arial"/>
                <w:color w:val="000000"/>
                <w:sz w:val="14"/>
                <w:szCs w:val="14"/>
                <w:lang w:val="es-CO" w:eastAsia="en-US"/>
              </w:rPr>
            </w:pPr>
            <w:r w:rsidRPr="00C61372">
              <w:rPr>
                <w:rFonts w:ascii="Arial Narrow" w:hAnsi="Arial Narrow" w:cs="Arial"/>
                <w:color w:val="000000"/>
                <w:sz w:val="14"/>
                <w:szCs w:val="14"/>
                <w:lang w:val="es-CO" w:eastAsia="en-US"/>
              </w:rPr>
              <w:t>RECURSOS APORTADOS POR</w:t>
            </w:r>
            <w:r>
              <w:rPr>
                <w:rFonts w:ascii="Arial Narrow" w:hAnsi="Arial Narrow" w:cs="Arial"/>
                <w:color w:val="000000"/>
                <w:sz w:val="14"/>
                <w:szCs w:val="14"/>
                <w:lang w:val="es-CO" w:eastAsia="en-US"/>
              </w:rPr>
              <w:t xml:space="preserve"> LA DTN-MHCP PARA FONDOS ESPECIALES REC-16 SSF</w:t>
            </w:r>
          </w:p>
        </w:tc>
        <w:tc>
          <w:tcPr>
            <w:tcW w:w="1134" w:type="dxa"/>
            <w:tcBorders>
              <w:top w:val="single" w:sz="4" w:space="0" w:color="0070C0"/>
              <w:left w:val="nil"/>
              <w:bottom w:val="nil"/>
              <w:right w:val="single" w:sz="4" w:space="0" w:color="0070C0"/>
            </w:tcBorders>
            <w:shd w:val="clear" w:color="auto" w:fill="auto"/>
            <w:noWrap/>
            <w:vAlign w:val="center"/>
            <w:hideMark/>
          </w:tcPr>
          <w:p w14:paraId="0AE2BFFD" w14:textId="77777777" w:rsidR="00AF6401" w:rsidRPr="00AF6401" w:rsidRDefault="00AF6401" w:rsidP="00AF6401">
            <w:pPr>
              <w:ind w:left="0"/>
              <w:jc w:val="right"/>
              <w:rPr>
                <w:rFonts w:ascii="Arial Narrow" w:hAnsi="Arial Narrow" w:cs="Arial"/>
                <w:color w:val="000000"/>
                <w:sz w:val="14"/>
                <w:szCs w:val="14"/>
                <w:lang w:val="en-US" w:eastAsia="en-US"/>
              </w:rPr>
            </w:pPr>
            <w:r w:rsidRPr="00AF6401">
              <w:rPr>
                <w:rFonts w:ascii="Arial Narrow" w:hAnsi="Arial Narrow" w:cs="Arial"/>
                <w:color w:val="000000"/>
                <w:sz w:val="14"/>
                <w:szCs w:val="14"/>
                <w:lang w:val="en-US" w:eastAsia="en-US"/>
              </w:rPr>
              <w:t>$0</w:t>
            </w:r>
          </w:p>
        </w:tc>
      </w:tr>
      <w:tr w:rsidR="00AF6401" w:rsidRPr="00AF6401" w14:paraId="7E6D0146" w14:textId="77777777" w:rsidTr="00AF6401">
        <w:trPr>
          <w:trHeight w:val="288"/>
        </w:trPr>
        <w:tc>
          <w:tcPr>
            <w:tcW w:w="8217" w:type="dxa"/>
            <w:gridSpan w:val="3"/>
            <w:tcBorders>
              <w:top w:val="single" w:sz="4" w:space="0" w:color="auto"/>
              <w:left w:val="single" w:sz="4" w:space="0" w:color="auto"/>
              <w:bottom w:val="single" w:sz="4" w:space="0" w:color="auto"/>
              <w:right w:val="single" w:sz="4" w:space="0" w:color="000000"/>
            </w:tcBorders>
            <w:shd w:val="clear" w:color="000000" w:fill="DBDBDB"/>
            <w:noWrap/>
            <w:vAlign w:val="center"/>
            <w:hideMark/>
          </w:tcPr>
          <w:p w14:paraId="739B4A5A" w14:textId="6FFD18F5" w:rsidR="00AF6401" w:rsidRPr="00AF6401" w:rsidRDefault="00AF6401" w:rsidP="00AF6401">
            <w:pPr>
              <w:ind w:left="0"/>
              <w:jc w:val="center"/>
              <w:rPr>
                <w:rFonts w:ascii="Arial Narrow" w:hAnsi="Arial Narrow" w:cs="Arial"/>
                <w:b/>
                <w:bCs/>
                <w:sz w:val="14"/>
                <w:szCs w:val="14"/>
                <w:lang w:val="es-CO" w:eastAsia="en-US"/>
              </w:rPr>
            </w:pPr>
            <w:r w:rsidRPr="00AF6401">
              <w:rPr>
                <w:rFonts w:ascii="Arial Narrow" w:hAnsi="Arial Narrow" w:cs="Arial"/>
                <w:b/>
                <w:bCs/>
                <w:sz w:val="14"/>
                <w:szCs w:val="14"/>
                <w:lang w:val="es-CO" w:eastAsia="en-US"/>
              </w:rPr>
              <w:t xml:space="preserve">NETO </w:t>
            </w:r>
            <w:r w:rsidR="002614EE">
              <w:rPr>
                <w:rFonts w:ascii="Arial Narrow" w:hAnsi="Arial Narrow" w:cs="Arial"/>
                <w:b/>
                <w:bCs/>
                <w:sz w:val="14"/>
                <w:szCs w:val="14"/>
                <w:lang w:val="es-CO" w:eastAsia="en-US"/>
              </w:rPr>
              <w:t xml:space="preserve">DE RECURSOS </w:t>
            </w:r>
            <w:r w:rsidRPr="00AF6401">
              <w:rPr>
                <w:rFonts w:ascii="Arial Narrow" w:hAnsi="Arial Narrow" w:cs="Arial"/>
                <w:b/>
                <w:bCs/>
                <w:sz w:val="14"/>
                <w:szCs w:val="14"/>
                <w:lang w:val="es-CO" w:eastAsia="en-US"/>
              </w:rPr>
              <w:t xml:space="preserve">A RECAUDAR </w:t>
            </w:r>
            <w:r w:rsidR="002614EE">
              <w:rPr>
                <w:rFonts w:ascii="Arial Narrow" w:hAnsi="Arial Narrow" w:cs="Arial"/>
                <w:b/>
                <w:bCs/>
                <w:sz w:val="14"/>
                <w:szCs w:val="14"/>
                <w:lang w:val="es-CO" w:eastAsia="en-US"/>
              </w:rPr>
              <w:t xml:space="preserve">CON LA </w:t>
            </w:r>
            <w:r w:rsidRPr="00AF6401">
              <w:rPr>
                <w:rFonts w:ascii="Arial Narrow" w:hAnsi="Arial Narrow" w:cs="Arial"/>
                <w:b/>
                <w:bCs/>
                <w:sz w:val="14"/>
                <w:szCs w:val="14"/>
                <w:lang w:val="es-CO" w:eastAsia="en-US"/>
              </w:rPr>
              <w:t>CONTRIBUCIÓN ESPECIAL 2022</w:t>
            </w:r>
          </w:p>
        </w:tc>
        <w:tc>
          <w:tcPr>
            <w:tcW w:w="1134" w:type="dxa"/>
            <w:tcBorders>
              <w:top w:val="single" w:sz="4" w:space="0" w:color="auto"/>
              <w:left w:val="nil"/>
              <w:bottom w:val="single" w:sz="4" w:space="0" w:color="auto"/>
              <w:right w:val="single" w:sz="4" w:space="0" w:color="auto"/>
            </w:tcBorders>
            <w:shd w:val="clear" w:color="000000" w:fill="DBDBDB"/>
            <w:noWrap/>
            <w:vAlign w:val="center"/>
            <w:hideMark/>
          </w:tcPr>
          <w:p w14:paraId="278041E7" w14:textId="77777777" w:rsidR="00AF6401" w:rsidRPr="00AF6401" w:rsidRDefault="00AF6401" w:rsidP="00AF6401">
            <w:pPr>
              <w:ind w:left="0"/>
              <w:jc w:val="right"/>
              <w:rPr>
                <w:rFonts w:ascii="Arial Narrow" w:hAnsi="Arial Narrow" w:cs="Arial"/>
                <w:b/>
                <w:bCs/>
                <w:sz w:val="14"/>
                <w:szCs w:val="14"/>
                <w:lang w:val="en-US" w:eastAsia="en-US"/>
              </w:rPr>
            </w:pPr>
            <w:r w:rsidRPr="00AF6401">
              <w:rPr>
                <w:rFonts w:ascii="Arial Narrow" w:hAnsi="Arial Narrow" w:cs="Arial"/>
                <w:b/>
                <w:bCs/>
                <w:sz w:val="14"/>
                <w:szCs w:val="14"/>
                <w:lang w:val="en-US" w:eastAsia="en-US"/>
              </w:rPr>
              <w:t>$32.904.004.874</w:t>
            </w:r>
          </w:p>
        </w:tc>
      </w:tr>
    </w:tbl>
    <w:p w14:paraId="0C51625C" w14:textId="0A1045CB" w:rsidR="00AF6401" w:rsidRDefault="00AF6401" w:rsidP="00692D39">
      <w:pPr>
        <w:ind w:left="0"/>
        <w:jc w:val="both"/>
        <w:rPr>
          <w:rFonts w:ascii="Bookman Old Style" w:hAnsi="Bookman Old Style" w:cs="Arial"/>
        </w:rPr>
      </w:pPr>
    </w:p>
    <w:p w14:paraId="00320138" w14:textId="5787A62B" w:rsidR="009E3D45" w:rsidRPr="00FB7D45" w:rsidRDefault="009E3D45" w:rsidP="00692D39">
      <w:pPr>
        <w:ind w:left="0"/>
        <w:jc w:val="both"/>
        <w:rPr>
          <w:rFonts w:ascii="Bookman Old Style" w:hAnsi="Bookman Old Style" w:cs="Arial"/>
        </w:rPr>
      </w:pPr>
      <w:r>
        <w:rPr>
          <w:rFonts w:ascii="Bookman Old Style" w:hAnsi="Bookman Old Style" w:cs="Arial"/>
        </w:rPr>
        <w:t>E</w:t>
      </w:r>
      <w:r w:rsidRPr="009E3D45">
        <w:rPr>
          <w:rFonts w:ascii="Bookman Old Style" w:hAnsi="Bookman Old Style" w:cs="Arial"/>
        </w:rPr>
        <w:t>l presupuesto de la CREG está integrado por gastos de funcionamiento</w:t>
      </w:r>
      <w:r w:rsidR="00FA674B">
        <w:rPr>
          <w:rFonts w:ascii="Bookman Old Style" w:hAnsi="Bookman Old Style" w:cs="Arial"/>
        </w:rPr>
        <w:t>, servicio de la deuda</w:t>
      </w:r>
      <w:r w:rsidR="009C54FB">
        <w:rPr>
          <w:rFonts w:ascii="Bookman Old Style" w:hAnsi="Bookman Old Style" w:cs="Arial"/>
        </w:rPr>
        <w:t xml:space="preserve"> pública</w:t>
      </w:r>
      <w:r w:rsidRPr="009E3D45">
        <w:rPr>
          <w:rFonts w:ascii="Bookman Old Style" w:hAnsi="Bookman Old Style" w:cs="Arial"/>
        </w:rPr>
        <w:t xml:space="preserve"> </w:t>
      </w:r>
      <w:r w:rsidR="009C54FB">
        <w:rPr>
          <w:rFonts w:ascii="Bookman Old Style" w:hAnsi="Bookman Old Style" w:cs="Arial"/>
        </w:rPr>
        <w:t>e</w:t>
      </w:r>
      <w:r w:rsidRPr="009E3D45">
        <w:rPr>
          <w:rFonts w:ascii="Bookman Old Style" w:hAnsi="Bookman Old Style" w:cs="Arial"/>
        </w:rPr>
        <w:t xml:space="preserve"> inversión, </w:t>
      </w:r>
      <w:r>
        <w:rPr>
          <w:rFonts w:ascii="Bookman Old Style" w:hAnsi="Bookman Old Style" w:cs="Arial"/>
        </w:rPr>
        <w:t>en cumplimiento de</w:t>
      </w:r>
      <w:r w:rsidRPr="009E3D45">
        <w:rPr>
          <w:rFonts w:ascii="Bookman Old Style" w:hAnsi="Bookman Old Style" w:cs="Arial"/>
        </w:rPr>
        <w:t xml:space="preserve"> la nomenclatura que debe cumplirse conforme a lo dispuesto en los artículos 1 y 2 del Decreto 111 de 1996 - Estatuto orgánico del presupuesto general de la Nación, que obliga a que todas las disposiciones en materia presupuestal, la programación, elaboración, presentación, aprobación, modificación y ejecución del presupuesto entre otras, deben ceñirse a las prescrip</w:t>
      </w:r>
      <w:r w:rsidR="00FB7D45">
        <w:rPr>
          <w:rFonts w:ascii="Bookman Old Style" w:hAnsi="Bookman Old Style" w:cs="Arial"/>
        </w:rPr>
        <w:t>ciones contenidas en el mismo.</w:t>
      </w:r>
    </w:p>
    <w:p w14:paraId="2962894B" w14:textId="6C57E4D5" w:rsidR="00FB7D45" w:rsidRDefault="00FB7D45" w:rsidP="00692D39">
      <w:pPr>
        <w:ind w:left="0"/>
        <w:jc w:val="both"/>
        <w:rPr>
          <w:rFonts w:ascii="Bookman Old Style" w:hAnsi="Bookman Old Style" w:cs="Arial"/>
        </w:rPr>
      </w:pPr>
    </w:p>
    <w:p w14:paraId="018655F5" w14:textId="77777777" w:rsidR="00A052F3" w:rsidRDefault="00A052F3" w:rsidP="00A052F3">
      <w:pPr>
        <w:ind w:left="0"/>
        <w:jc w:val="both"/>
        <w:rPr>
          <w:rFonts w:ascii="Bookman Old Style" w:hAnsi="Bookman Old Style" w:cs="Arial"/>
        </w:rPr>
      </w:pPr>
      <w:r>
        <w:rPr>
          <w:rFonts w:ascii="Bookman Old Style" w:hAnsi="Bookman Old Style" w:cs="Arial"/>
        </w:rPr>
        <w:lastRenderedPageBreak/>
        <w:t>E</w:t>
      </w:r>
      <w:r w:rsidRPr="00514A68">
        <w:rPr>
          <w:rFonts w:ascii="Bookman Old Style" w:hAnsi="Bookman Old Style" w:cs="Arial"/>
        </w:rPr>
        <w:t>l artículo 85 de la Ley 142 de 1994, señala que el fin de la contribución especial a favor de las comisiones reguladoras y de la SSPD, es para el caso de las primeras “recuperar los costos del servicio de regulación que preste cada comisión”, los proyectos de inversión que componen el presupuesto de gastos de regulación de la CREG se ajustan a la finalidad de la contribución especial.</w:t>
      </w:r>
    </w:p>
    <w:p w14:paraId="02F2A5A9" w14:textId="77777777" w:rsidR="00A052F3" w:rsidRPr="00FB7D45" w:rsidRDefault="00A052F3" w:rsidP="00692D39">
      <w:pPr>
        <w:ind w:left="0"/>
        <w:jc w:val="both"/>
        <w:rPr>
          <w:rFonts w:ascii="Bookman Old Style" w:hAnsi="Bookman Old Style" w:cs="Arial"/>
        </w:rPr>
      </w:pPr>
    </w:p>
    <w:p w14:paraId="4EC8C492" w14:textId="485B6347" w:rsidR="00FB7D45" w:rsidRPr="00FB7D45" w:rsidRDefault="00FB7D45" w:rsidP="00FB7D45">
      <w:pPr>
        <w:ind w:left="0"/>
        <w:contextualSpacing/>
        <w:jc w:val="both"/>
        <w:rPr>
          <w:rFonts w:ascii="Bookman Old Style" w:eastAsia="Arial Unicode MS" w:hAnsi="Bookman Old Style" w:cs="Arial"/>
          <w:iCs/>
          <w:spacing w:val="-5"/>
        </w:rPr>
      </w:pPr>
      <w:r w:rsidRPr="00FB7D45">
        <w:rPr>
          <w:rFonts w:ascii="Bookman Old Style" w:eastAsia="Arial Unicode MS" w:hAnsi="Bookman Old Style" w:cs="Arial"/>
          <w:iCs/>
          <w:spacing w:val="-5"/>
        </w:rPr>
        <w:t xml:space="preserve">Esta disposición se reitera en </w:t>
      </w:r>
      <w:r w:rsidR="00514A68">
        <w:rPr>
          <w:rFonts w:ascii="Bookman Old Style" w:eastAsia="Arial Unicode MS" w:hAnsi="Bookman Old Style" w:cs="Arial"/>
          <w:iCs/>
          <w:spacing w:val="-5"/>
        </w:rPr>
        <w:t xml:space="preserve">la misma norma, en </w:t>
      </w:r>
      <w:r w:rsidRPr="00FB7D45">
        <w:rPr>
          <w:rFonts w:ascii="Bookman Old Style" w:eastAsia="Arial Unicode MS" w:hAnsi="Bookman Old Style" w:cs="Arial"/>
          <w:iCs/>
          <w:spacing w:val="-5"/>
        </w:rPr>
        <w:t xml:space="preserve">el </w:t>
      </w:r>
      <w:r w:rsidR="00514A68">
        <w:rPr>
          <w:rFonts w:ascii="Bookman Old Style" w:eastAsia="Arial Unicode MS" w:hAnsi="Bookman Old Style" w:cs="Arial"/>
          <w:iCs/>
          <w:spacing w:val="-5"/>
        </w:rPr>
        <w:t>C</w:t>
      </w:r>
      <w:r w:rsidR="00514A68" w:rsidRPr="00FB7D45">
        <w:rPr>
          <w:rFonts w:ascii="Bookman Old Style" w:eastAsia="Arial Unicode MS" w:hAnsi="Bookman Old Style" w:cs="Arial"/>
          <w:iCs/>
          <w:spacing w:val="-5"/>
        </w:rPr>
        <w:t>apítulo</w:t>
      </w:r>
      <w:r w:rsidRPr="00FB7D45">
        <w:rPr>
          <w:rFonts w:ascii="Bookman Old Style" w:eastAsia="Arial Unicode MS" w:hAnsi="Bookman Old Style" w:cs="Arial"/>
          <w:iCs/>
          <w:spacing w:val="-5"/>
        </w:rPr>
        <w:t xml:space="preserve"> </w:t>
      </w:r>
      <w:r w:rsidRPr="00FB7D45">
        <w:rPr>
          <w:rFonts w:ascii="Bookman Old Style" w:eastAsia="Arial Unicode MS" w:hAnsi="Bookman Old Style" w:cs="Arial"/>
          <w:i/>
          <w:spacing w:val="-5"/>
        </w:rPr>
        <w:t>V. El presupuesto de gastos o ley de apropiaciones</w:t>
      </w:r>
      <w:r w:rsidRPr="00FB7D45">
        <w:rPr>
          <w:rFonts w:ascii="Bookman Old Style" w:eastAsia="Arial Unicode MS" w:hAnsi="Bookman Old Style" w:cs="Arial"/>
          <w:iCs/>
          <w:spacing w:val="-5"/>
        </w:rPr>
        <w:t>, cuando discrimina cómo está compuesto el presupuesto de gastos, así:</w:t>
      </w:r>
    </w:p>
    <w:p w14:paraId="0729F2B4" w14:textId="77777777" w:rsidR="00FB7D45" w:rsidRPr="00FB7D45" w:rsidRDefault="00FB7D45" w:rsidP="00FB7D45">
      <w:pPr>
        <w:contextualSpacing/>
        <w:jc w:val="both"/>
        <w:rPr>
          <w:rFonts w:ascii="Bookman Old Style" w:eastAsia="Arial Unicode MS" w:hAnsi="Bookman Old Style" w:cs="Arial"/>
          <w:iCs/>
          <w:spacing w:val="-5"/>
        </w:rPr>
      </w:pPr>
    </w:p>
    <w:p w14:paraId="6F5098D0" w14:textId="77777777" w:rsidR="00FB7D45" w:rsidRPr="00FB7D45" w:rsidRDefault="00FB7D45" w:rsidP="00FB7D45">
      <w:pPr>
        <w:contextualSpacing/>
        <w:jc w:val="both"/>
        <w:rPr>
          <w:rFonts w:ascii="Bookman Old Style" w:eastAsia="Arial Unicode MS" w:hAnsi="Bookman Old Style" w:cs="Arial"/>
          <w:i/>
          <w:spacing w:val="-5"/>
        </w:rPr>
      </w:pPr>
      <w:r w:rsidRPr="00FB7D45">
        <w:rPr>
          <w:rFonts w:ascii="Bookman Old Style" w:eastAsia="Arial Unicode MS" w:hAnsi="Bookman Old Style" w:cs="Arial"/>
          <w:i/>
          <w:spacing w:val="-5"/>
        </w:rPr>
        <w:t>“ARTÍCULO 36. El presupuesto de gastos se compondrá de los gastos de funcionamiento, del servicio de la deuda pública y de los gastos de inversión.”</w:t>
      </w:r>
    </w:p>
    <w:p w14:paraId="5DFAB985" w14:textId="77777777" w:rsidR="00F416AC" w:rsidRDefault="00F416AC" w:rsidP="00FB7D45">
      <w:pPr>
        <w:ind w:left="0"/>
        <w:contextualSpacing/>
        <w:jc w:val="both"/>
        <w:rPr>
          <w:rFonts w:ascii="Bookman Old Style" w:eastAsia="Arial Unicode MS" w:hAnsi="Bookman Old Style" w:cs="Arial"/>
          <w:iCs/>
          <w:spacing w:val="-5"/>
        </w:rPr>
      </w:pPr>
    </w:p>
    <w:p w14:paraId="5445A856" w14:textId="08527261" w:rsidR="00FB7D45" w:rsidRPr="00FB7D45" w:rsidRDefault="00FB7D45" w:rsidP="00FB7D45">
      <w:pPr>
        <w:ind w:left="0"/>
        <w:contextualSpacing/>
        <w:jc w:val="both"/>
        <w:rPr>
          <w:rFonts w:ascii="Bookman Old Style" w:eastAsia="Arial Unicode MS" w:hAnsi="Bookman Old Style" w:cs="Arial"/>
          <w:spacing w:val="-5"/>
        </w:rPr>
      </w:pPr>
      <w:r w:rsidRPr="00FB7D45">
        <w:rPr>
          <w:rFonts w:ascii="Bookman Old Style" w:eastAsia="Arial Unicode MS" w:hAnsi="Bookman Old Style" w:cs="Arial"/>
          <w:iCs/>
          <w:spacing w:val="-5"/>
        </w:rPr>
        <w:t xml:space="preserve">En la misma línea, el Decreto 1068 DE 2015 - </w:t>
      </w:r>
      <w:r w:rsidRPr="00FB7D45">
        <w:rPr>
          <w:rFonts w:ascii="Bookman Old Style" w:eastAsia="Arial Unicode MS" w:hAnsi="Bookman Old Style" w:cs="Arial"/>
          <w:spacing w:val="-5"/>
        </w:rPr>
        <w:t xml:space="preserve">Decreto Único Reglamentario del Sector Hacienda y Crédito Público, </w:t>
      </w:r>
      <w:r>
        <w:rPr>
          <w:rFonts w:ascii="Bookman Old Style" w:eastAsia="Arial Unicode MS" w:hAnsi="Bookman Old Style" w:cs="Arial"/>
          <w:spacing w:val="-5"/>
        </w:rPr>
        <w:t>re</w:t>
      </w:r>
      <w:r w:rsidRPr="00FB7D45">
        <w:rPr>
          <w:rFonts w:ascii="Bookman Old Style" w:eastAsia="Arial Unicode MS" w:hAnsi="Bookman Old Style" w:cs="Arial"/>
          <w:spacing w:val="-5"/>
        </w:rPr>
        <w:t>itera dicha definición de gastos, así:</w:t>
      </w:r>
    </w:p>
    <w:p w14:paraId="0F57C337" w14:textId="77777777" w:rsidR="00FB7D45" w:rsidRPr="00FB7D45" w:rsidRDefault="00FB7D45" w:rsidP="00FB7D45">
      <w:pPr>
        <w:contextualSpacing/>
        <w:jc w:val="both"/>
        <w:rPr>
          <w:rFonts w:ascii="Bookman Old Style" w:eastAsia="Arial Unicode MS" w:hAnsi="Bookman Old Style" w:cs="Arial"/>
          <w:spacing w:val="-5"/>
        </w:rPr>
      </w:pPr>
    </w:p>
    <w:p w14:paraId="34E8C28A" w14:textId="77777777" w:rsidR="00FB7D45" w:rsidRPr="00FB7D45" w:rsidRDefault="00FB7D45" w:rsidP="00FB7D45">
      <w:pPr>
        <w:ind w:left="708"/>
        <w:contextualSpacing/>
        <w:jc w:val="both"/>
        <w:rPr>
          <w:rFonts w:ascii="Bookman Old Style" w:eastAsia="Arial Unicode MS" w:hAnsi="Bookman Old Style" w:cs="Arial"/>
          <w:i/>
          <w:spacing w:val="-5"/>
        </w:rPr>
      </w:pPr>
      <w:r w:rsidRPr="00FB7D45">
        <w:rPr>
          <w:rFonts w:ascii="Bookman Old Style" w:eastAsia="Arial Unicode MS" w:hAnsi="Bookman Old Style" w:cs="Arial"/>
          <w:iCs/>
          <w:spacing w:val="-5"/>
        </w:rPr>
        <w:t>“</w:t>
      </w:r>
      <w:r w:rsidRPr="00514A68">
        <w:rPr>
          <w:rFonts w:ascii="Bookman Old Style" w:eastAsia="Arial Unicode MS" w:hAnsi="Bookman Old Style" w:cs="Arial"/>
          <w:bCs/>
          <w:i/>
          <w:spacing w:val="-5"/>
        </w:rPr>
        <w:t>ARTÍCULO </w:t>
      </w:r>
      <w:bookmarkStart w:id="1" w:name="2.8.3.1.2"/>
      <w:bookmarkEnd w:id="1"/>
      <w:r w:rsidRPr="00514A68">
        <w:rPr>
          <w:rFonts w:ascii="Bookman Old Style" w:eastAsia="Arial Unicode MS" w:hAnsi="Bookman Old Style" w:cs="Arial"/>
          <w:bCs/>
          <w:i/>
          <w:spacing w:val="-5"/>
        </w:rPr>
        <w:t>2.8.3.1.2. Presupuesto de Gastos</w:t>
      </w:r>
      <w:r w:rsidRPr="00514A68">
        <w:rPr>
          <w:rFonts w:ascii="Bookman Old Style" w:eastAsia="Arial Unicode MS" w:hAnsi="Bookman Old Style" w:cs="Arial"/>
          <w:i/>
          <w:spacing w:val="-5"/>
        </w:rPr>
        <w:t>.</w:t>
      </w:r>
      <w:r w:rsidRPr="00FB7D45">
        <w:rPr>
          <w:rFonts w:ascii="Bookman Old Style" w:eastAsia="Arial Unicode MS" w:hAnsi="Bookman Old Style" w:cs="Arial"/>
          <w:i/>
          <w:spacing w:val="-5"/>
        </w:rPr>
        <w:t> El presupuesto de gastos comprende las apropiaciones para gastos de funcionamiento, gastos de operación comercial, servicio de la deuda y gastos de inversión que se causen durante la vigencia fiscal respectiva.</w:t>
      </w:r>
    </w:p>
    <w:p w14:paraId="0D28A461" w14:textId="74860064" w:rsidR="00FB7D45" w:rsidRDefault="00FB7D45" w:rsidP="00FB7D45">
      <w:pPr>
        <w:ind w:left="708"/>
        <w:contextualSpacing/>
        <w:jc w:val="both"/>
        <w:rPr>
          <w:rFonts w:ascii="Bookman Old Style" w:eastAsia="Arial Unicode MS" w:hAnsi="Bookman Old Style" w:cs="Arial"/>
          <w:i/>
          <w:spacing w:val="-5"/>
        </w:rPr>
      </w:pPr>
      <w:r w:rsidRPr="00FB7D45">
        <w:rPr>
          <w:rFonts w:ascii="Bookman Old Style" w:eastAsia="Arial Unicode MS" w:hAnsi="Bookman Old Style" w:cs="Arial"/>
          <w:i/>
          <w:spacing w:val="-5"/>
        </w:rPr>
        <w:t xml:space="preserve">La </w:t>
      </w:r>
      <w:proofErr w:type="spellStart"/>
      <w:r w:rsidRPr="00FB7D45">
        <w:rPr>
          <w:rFonts w:ascii="Bookman Old Style" w:eastAsia="Arial Unicode MS" w:hAnsi="Bookman Old Style" w:cs="Arial"/>
          <w:i/>
          <w:spacing w:val="-5"/>
        </w:rPr>
        <w:t>causación</w:t>
      </w:r>
      <w:proofErr w:type="spellEnd"/>
      <w:r w:rsidRPr="00FB7D45">
        <w:rPr>
          <w:rFonts w:ascii="Bookman Old Style" w:eastAsia="Arial Unicode MS" w:hAnsi="Bookman Old Style" w:cs="Arial"/>
          <w:i/>
          <w:spacing w:val="-5"/>
        </w:rPr>
        <w:t xml:space="preserve"> del gasto debe contar con la apropiación presupuestal correspondiente.</w:t>
      </w:r>
    </w:p>
    <w:p w14:paraId="53C9E2AE" w14:textId="77777777" w:rsidR="00514A68" w:rsidRPr="00FB7D45" w:rsidRDefault="00514A68" w:rsidP="00FB7D45">
      <w:pPr>
        <w:ind w:left="708"/>
        <w:contextualSpacing/>
        <w:jc w:val="both"/>
        <w:rPr>
          <w:rFonts w:ascii="Bookman Old Style" w:eastAsia="Arial Unicode MS" w:hAnsi="Bookman Old Style" w:cs="Arial"/>
          <w:i/>
          <w:spacing w:val="-5"/>
        </w:rPr>
      </w:pPr>
    </w:p>
    <w:p w14:paraId="6B36CDDD" w14:textId="77777777" w:rsidR="00FB7D45" w:rsidRPr="00FB7D45" w:rsidRDefault="00FB7D45" w:rsidP="00FB7D45">
      <w:pPr>
        <w:ind w:left="708"/>
        <w:contextualSpacing/>
        <w:jc w:val="both"/>
        <w:rPr>
          <w:rFonts w:ascii="Bookman Old Style" w:eastAsia="Arial Unicode MS" w:hAnsi="Bookman Old Style" w:cs="Arial"/>
          <w:i/>
          <w:spacing w:val="-5"/>
        </w:rPr>
      </w:pPr>
      <w:r w:rsidRPr="00FB7D45">
        <w:rPr>
          <w:rFonts w:ascii="Bookman Old Style" w:eastAsia="Arial Unicode MS" w:hAnsi="Bookman Old Style" w:cs="Arial"/>
          <w:i/>
          <w:spacing w:val="-5"/>
        </w:rPr>
        <w:t xml:space="preserve">Los compromisos y obligaciones pendientes de pago a 31 de </w:t>
      </w:r>
      <w:proofErr w:type="gramStart"/>
      <w:r w:rsidRPr="00FB7D45">
        <w:rPr>
          <w:rFonts w:ascii="Bookman Old Style" w:eastAsia="Arial Unicode MS" w:hAnsi="Bookman Old Style" w:cs="Arial"/>
          <w:i/>
          <w:spacing w:val="-5"/>
        </w:rPr>
        <w:t>diciembre,</w:t>
      </w:r>
      <w:proofErr w:type="gramEnd"/>
      <w:r w:rsidRPr="00FB7D45">
        <w:rPr>
          <w:rFonts w:ascii="Bookman Old Style" w:eastAsia="Arial Unicode MS" w:hAnsi="Bookman Old Style" w:cs="Arial"/>
          <w:i/>
          <w:spacing w:val="-5"/>
        </w:rPr>
        <w:t xml:space="preserve"> deberán incluirse en el presupuesto del año siguiente como una cuenta por pagar y su pago deberá realizarse en dicha vigencia fiscal.</w:t>
      </w:r>
    </w:p>
    <w:p w14:paraId="30849311" w14:textId="77777777" w:rsidR="00FB7D45" w:rsidRPr="00FB7D45" w:rsidRDefault="00FB7D45" w:rsidP="00FB7D45">
      <w:pPr>
        <w:ind w:left="709"/>
        <w:contextualSpacing/>
        <w:jc w:val="both"/>
        <w:rPr>
          <w:rFonts w:ascii="Bookman Old Style" w:eastAsia="Arial Unicode MS" w:hAnsi="Bookman Old Style" w:cs="Arial"/>
          <w:i/>
          <w:spacing w:val="-5"/>
        </w:rPr>
      </w:pPr>
    </w:p>
    <w:p w14:paraId="690ACFB6" w14:textId="77777777" w:rsidR="00FB7D45" w:rsidRPr="00FB7D45" w:rsidRDefault="00FB7D45" w:rsidP="00FB7D45">
      <w:pPr>
        <w:contextualSpacing/>
        <w:jc w:val="both"/>
        <w:rPr>
          <w:rFonts w:ascii="Bookman Old Style" w:eastAsia="Arial Unicode MS" w:hAnsi="Bookman Old Style" w:cs="Arial"/>
          <w:i/>
          <w:spacing w:val="-5"/>
        </w:rPr>
      </w:pPr>
      <w:r w:rsidRPr="00FB7D45">
        <w:rPr>
          <w:rFonts w:ascii="Bookman Old Style" w:eastAsia="Arial Unicode MS" w:hAnsi="Bookman Old Style" w:cs="Arial"/>
          <w:i/>
          <w:spacing w:val="-5"/>
        </w:rPr>
        <w:t>(Art. </w:t>
      </w:r>
      <w:hyperlink r:id="rId13" w:anchor="13" w:history="1">
        <w:r w:rsidRPr="00FB7D45">
          <w:rPr>
            <w:rFonts w:ascii="Bookman Old Style" w:hAnsi="Bookman Old Style"/>
          </w:rPr>
          <w:t>13</w:t>
        </w:r>
      </w:hyperlink>
      <w:r w:rsidRPr="00FB7D45">
        <w:rPr>
          <w:rFonts w:ascii="Bookman Old Style" w:eastAsia="Arial Unicode MS" w:hAnsi="Bookman Old Style" w:cs="Arial"/>
          <w:i/>
          <w:spacing w:val="-5"/>
        </w:rPr>
        <w:t> Decreto 115 de 1996, modificado por el Art. </w:t>
      </w:r>
      <w:hyperlink r:id="rId14" w:anchor="10" w:history="1">
        <w:r w:rsidRPr="00FB7D45">
          <w:rPr>
            <w:rFonts w:ascii="Bookman Old Style" w:hAnsi="Bookman Old Style"/>
          </w:rPr>
          <w:t>10</w:t>
        </w:r>
      </w:hyperlink>
      <w:r w:rsidRPr="00FB7D45">
        <w:rPr>
          <w:rFonts w:ascii="Bookman Old Style" w:eastAsia="Arial Unicode MS" w:hAnsi="Bookman Old Style" w:cs="Arial"/>
          <w:i/>
          <w:spacing w:val="-5"/>
        </w:rPr>
        <w:t> del Decreto 4836 de 2011)</w:t>
      </w:r>
    </w:p>
    <w:p w14:paraId="5ECF5F78" w14:textId="77777777" w:rsidR="00FB7D45" w:rsidRPr="00FB7D45" w:rsidRDefault="00FB7D45" w:rsidP="00FB7D45">
      <w:pPr>
        <w:contextualSpacing/>
        <w:jc w:val="both"/>
        <w:rPr>
          <w:rFonts w:ascii="Bookman Old Style" w:eastAsia="Arial Unicode MS" w:hAnsi="Bookman Old Style" w:cs="Arial"/>
          <w:iCs/>
          <w:spacing w:val="-5"/>
        </w:rPr>
      </w:pPr>
    </w:p>
    <w:p w14:paraId="548E5D14" w14:textId="37282099" w:rsidR="00FB7D45" w:rsidRDefault="00FB7D45" w:rsidP="00FB7D45">
      <w:pPr>
        <w:ind w:left="0"/>
        <w:contextualSpacing/>
        <w:jc w:val="both"/>
        <w:rPr>
          <w:rFonts w:ascii="Bookman Old Style" w:eastAsia="Arial Unicode MS" w:hAnsi="Bookman Old Style" w:cs="Arial"/>
          <w:iCs/>
          <w:spacing w:val="-5"/>
        </w:rPr>
      </w:pPr>
      <w:r w:rsidRPr="00FB7D45">
        <w:rPr>
          <w:rFonts w:ascii="Bookman Old Style" w:eastAsia="Arial Unicode MS" w:hAnsi="Bookman Old Style" w:cs="Arial"/>
          <w:iCs/>
          <w:spacing w:val="-5"/>
        </w:rPr>
        <w:t>Las anteriores normas son de obligatorio cumplimiento para la CREG y en el ejercicio de su función reguladora debe conciliar lo establecido en estas y en la Ley 142 de 1994 referente al cobro de la contribución especial de la cual es beneficiaria, sin que las mismas sean excluyentes por cuanto no se contraponen entre sí.</w:t>
      </w:r>
    </w:p>
    <w:p w14:paraId="197756F1" w14:textId="4CD351FA" w:rsidR="00514A68" w:rsidRDefault="00514A68" w:rsidP="00FB7D45">
      <w:pPr>
        <w:ind w:left="0"/>
        <w:contextualSpacing/>
        <w:jc w:val="both"/>
        <w:rPr>
          <w:rFonts w:ascii="Bookman Old Style" w:eastAsia="Arial Unicode MS" w:hAnsi="Bookman Old Style" w:cs="Arial"/>
          <w:iCs/>
          <w:spacing w:val="-5"/>
        </w:rPr>
      </w:pPr>
    </w:p>
    <w:p w14:paraId="61FCB078" w14:textId="62657878" w:rsidR="006F52F1" w:rsidRDefault="006F52F1" w:rsidP="00FB7D45">
      <w:pPr>
        <w:ind w:left="0"/>
        <w:contextualSpacing/>
        <w:jc w:val="both"/>
        <w:rPr>
          <w:rFonts w:ascii="Bookman Old Style" w:eastAsia="Arial Unicode MS" w:hAnsi="Bookman Old Style" w:cs="Arial"/>
          <w:iCs/>
          <w:spacing w:val="-5"/>
        </w:rPr>
      </w:pPr>
      <w:r>
        <w:rPr>
          <w:rFonts w:ascii="Bookman Old Style" w:eastAsia="Arial Unicode MS" w:hAnsi="Bookman Old Style" w:cs="Arial"/>
          <w:iCs/>
          <w:spacing w:val="-5"/>
        </w:rPr>
        <w:t>L</w:t>
      </w:r>
      <w:r w:rsidRPr="006F52F1">
        <w:rPr>
          <w:rFonts w:ascii="Bookman Old Style" w:eastAsia="Arial Unicode MS" w:hAnsi="Bookman Old Style" w:cs="Arial"/>
          <w:iCs/>
          <w:spacing w:val="-5"/>
        </w:rPr>
        <w:t>a Comisión incurre en sus costos (gastos de funcionamiento</w:t>
      </w:r>
      <w:r w:rsidR="009C54FB">
        <w:rPr>
          <w:rFonts w:ascii="Bookman Old Style" w:eastAsia="Arial Unicode MS" w:hAnsi="Bookman Old Style" w:cs="Arial"/>
          <w:iCs/>
          <w:spacing w:val="-5"/>
        </w:rPr>
        <w:t>, servicio de la deuda pública</w:t>
      </w:r>
      <w:r w:rsidRPr="006F52F1">
        <w:rPr>
          <w:rFonts w:ascii="Bookman Old Style" w:eastAsia="Arial Unicode MS" w:hAnsi="Bookman Old Style" w:cs="Arial"/>
          <w:iCs/>
          <w:spacing w:val="-5"/>
        </w:rPr>
        <w:t xml:space="preserve"> e inversión), </w:t>
      </w:r>
      <w:r>
        <w:rPr>
          <w:rFonts w:ascii="Bookman Old Style" w:eastAsia="Arial Unicode MS" w:hAnsi="Bookman Old Style" w:cs="Arial"/>
          <w:iCs/>
          <w:spacing w:val="-5"/>
        </w:rPr>
        <w:t xml:space="preserve">en la </w:t>
      </w:r>
      <w:r w:rsidR="00EB52B0">
        <w:rPr>
          <w:rFonts w:ascii="Bookman Old Style" w:eastAsia="Arial Unicode MS" w:hAnsi="Bookman Old Style" w:cs="Arial"/>
          <w:iCs/>
          <w:spacing w:val="-5"/>
        </w:rPr>
        <w:t>prestación del servicio de regulación</w:t>
      </w:r>
      <w:r w:rsidR="006459F2">
        <w:rPr>
          <w:rFonts w:ascii="Bookman Old Style" w:eastAsia="Arial Unicode MS" w:hAnsi="Bookman Old Style" w:cs="Arial"/>
          <w:iCs/>
          <w:spacing w:val="-5"/>
        </w:rPr>
        <w:t>,</w:t>
      </w:r>
      <w:r w:rsidR="00EB52B0">
        <w:rPr>
          <w:rFonts w:ascii="Bookman Old Style" w:eastAsia="Arial Unicode MS" w:hAnsi="Bookman Old Style" w:cs="Arial"/>
          <w:iCs/>
          <w:spacing w:val="-5"/>
        </w:rPr>
        <w:t xml:space="preserve"> </w:t>
      </w:r>
      <w:r w:rsidRPr="006F52F1">
        <w:rPr>
          <w:rFonts w:ascii="Bookman Old Style" w:eastAsia="Arial Unicode MS" w:hAnsi="Bookman Old Style" w:cs="Arial"/>
          <w:iCs/>
          <w:spacing w:val="-5"/>
        </w:rPr>
        <w:t xml:space="preserve">para lo cual debe contratar el talento humano que materialice el objeto de la comisión, </w:t>
      </w:r>
      <w:r>
        <w:rPr>
          <w:rFonts w:ascii="Bookman Old Style" w:eastAsia="Arial Unicode MS" w:hAnsi="Bookman Old Style" w:cs="Arial"/>
          <w:iCs/>
          <w:spacing w:val="-5"/>
        </w:rPr>
        <w:t xml:space="preserve">realizar estudios </w:t>
      </w:r>
      <w:r w:rsidRPr="006F52F1">
        <w:rPr>
          <w:rFonts w:ascii="Bookman Old Style" w:eastAsia="Arial Unicode MS" w:hAnsi="Bookman Old Style" w:cs="Arial"/>
          <w:iCs/>
          <w:spacing w:val="-5"/>
        </w:rPr>
        <w:t xml:space="preserve">y adquirir las herramientas y tecnologías que le permitan </w:t>
      </w:r>
      <w:r>
        <w:rPr>
          <w:rFonts w:ascii="Bookman Old Style" w:eastAsia="Arial Unicode MS" w:hAnsi="Bookman Old Style" w:cs="Arial"/>
          <w:iCs/>
          <w:spacing w:val="-5"/>
        </w:rPr>
        <w:t>cumplir con su función misional</w:t>
      </w:r>
      <w:r w:rsidRPr="006F52F1">
        <w:rPr>
          <w:rFonts w:ascii="Bookman Old Style" w:eastAsia="Arial Unicode MS" w:hAnsi="Bookman Old Style" w:cs="Arial"/>
          <w:iCs/>
          <w:spacing w:val="-5"/>
        </w:rPr>
        <w:t>.</w:t>
      </w:r>
    </w:p>
    <w:p w14:paraId="4E6E1E69" w14:textId="77777777" w:rsidR="006F52F1" w:rsidRDefault="006F52F1" w:rsidP="00FB7D45">
      <w:pPr>
        <w:ind w:left="0"/>
        <w:contextualSpacing/>
        <w:jc w:val="both"/>
        <w:rPr>
          <w:rFonts w:ascii="Bookman Old Style" w:eastAsia="Arial Unicode MS" w:hAnsi="Bookman Old Style" w:cs="Arial"/>
          <w:iCs/>
          <w:spacing w:val="-5"/>
        </w:rPr>
      </w:pPr>
    </w:p>
    <w:p w14:paraId="7A9E613E" w14:textId="5B8225E4" w:rsidR="00514A68" w:rsidRPr="00FB7D45" w:rsidRDefault="00A052F3" w:rsidP="00FB7D45">
      <w:pPr>
        <w:ind w:left="0"/>
        <w:contextualSpacing/>
        <w:jc w:val="both"/>
        <w:rPr>
          <w:rFonts w:ascii="Bookman Old Style" w:eastAsia="Arial Unicode MS" w:hAnsi="Bookman Old Style" w:cs="Arial"/>
          <w:iCs/>
          <w:spacing w:val="-5"/>
        </w:rPr>
      </w:pPr>
      <w:r w:rsidRPr="00A052F3">
        <w:rPr>
          <w:rFonts w:ascii="Bookman Old Style" w:eastAsia="Arial Unicode MS" w:hAnsi="Bookman Old Style" w:cs="Arial"/>
          <w:iCs/>
          <w:spacing w:val="-5"/>
        </w:rPr>
        <w:t>En este sentido</w:t>
      </w:r>
      <w:r w:rsidR="00926FC1">
        <w:rPr>
          <w:rFonts w:ascii="Bookman Old Style" w:eastAsia="Arial Unicode MS" w:hAnsi="Bookman Old Style" w:cs="Arial"/>
          <w:iCs/>
          <w:spacing w:val="-5"/>
        </w:rPr>
        <w:t>,</w:t>
      </w:r>
      <w:r w:rsidRPr="00A052F3">
        <w:rPr>
          <w:rFonts w:ascii="Bookman Old Style" w:eastAsia="Arial Unicode MS" w:hAnsi="Bookman Old Style" w:cs="Arial"/>
          <w:iCs/>
          <w:spacing w:val="-5"/>
        </w:rPr>
        <w:t xml:space="preserve"> las erogaciones de los programas de inversión, aprobados por el Departamento Nacional de Planeación, el Ministerio de Hacienda y Crédito Público y el Congreso de la República cuando se decreta el presupuesto para cada año; son fundamentales y hacen parte integral de la prestación del servicio de regulación</w:t>
      </w:r>
      <w:r w:rsidR="00926FC1">
        <w:rPr>
          <w:rFonts w:ascii="Bookman Old Style" w:eastAsia="Arial Unicode MS" w:hAnsi="Bookman Old Style" w:cs="Arial"/>
          <w:iCs/>
          <w:spacing w:val="-5"/>
        </w:rPr>
        <w:t>. P</w:t>
      </w:r>
      <w:r w:rsidRPr="00A052F3">
        <w:rPr>
          <w:rFonts w:ascii="Bookman Old Style" w:eastAsia="Arial Unicode MS" w:hAnsi="Bookman Old Style" w:cs="Arial"/>
          <w:iCs/>
          <w:spacing w:val="-5"/>
        </w:rPr>
        <w:t xml:space="preserve">or tanto, no se usan para otros fines diferentes que no sean las funciones establecidas en el artículo 4° del Decreto 1260 de 2013, “Por el cual se modifica la estructura de la Comisión de Regulación de Energía y Gas (CREG).”, y se ajustan a la finalidad </w:t>
      </w:r>
      <w:r w:rsidRPr="00A052F3">
        <w:rPr>
          <w:rFonts w:ascii="Bookman Old Style" w:eastAsia="Arial Unicode MS" w:hAnsi="Bookman Old Style" w:cs="Arial"/>
          <w:iCs/>
          <w:spacing w:val="-5"/>
        </w:rPr>
        <w:lastRenderedPageBreak/>
        <w:t>establecida en el artículo 85 de la Ley 142 de 1994, esto es, recuperar los costos de regulación.</w:t>
      </w:r>
    </w:p>
    <w:p w14:paraId="02426528" w14:textId="77777777" w:rsidR="009E3D45" w:rsidRPr="00FB7D45" w:rsidRDefault="009E3D45" w:rsidP="00692D39">
      <w:pPr>
        <w:ind w:left="0"/>
        <w:jc w:val="both"/>
        <w:rPr>
          <w:rFonts w:ascii="Bookman Old Style" w:hAnsi="Bookman Old Style" w:cs="Arial"/>
        </w:rPr>
      </w:pPr>
    </w:p>
    <w:p w14:paraId="543838DE" w14:textId="19FC059A" w:rsidR="006C4E7E" w:rsidRDefault="00341236" w:rsidP="00692D39">
      <w:pPr>
        <w:ind w:left="0"/>
        <w:jc w:val="both"/>
        <w:rPr>
          <w:rFonts w:ascii="Bookman Old Style" w:hAnsi="Bookman Old Style" w:cs="Arial"/>
        </w:rPr>
      </w:pPr>
      <w:r>
        <w:rPr>
          <w:rFonts w:ascii="Bookman Old Style" w:hAnsi="Bookman Old Style" w:cs="Arial"/>
        </w:rPr>
        <w:t>F</w:t>
      </w:r>
      <w:r w:rsidRPr="00341236">
        <w:rPr>
          <w:rFonts w:ascii="Bookman Old Style" w:hAnsi="Bookman Old Style" w:cs="Arial"/>
        </w:rPr>
        <w:t>ormarán parte de la base gravable de liquidación de la contribución especial 2022, la</w:t>
      </w:r>
      <w:r>
        <w:rPr>
          <w:rFonts w:ascii="Bookman Old Style" w:hAnsi="Bookman Old Style" w:cs="Arial"/>
        </w:rPr>
        <w:t xml:space="preserve"> </w:t>
      </w:r>
      <w:r w:rsidRPr="00341236">
        <w:rPr>
          <w:rFonts w:ascii="Bookman Old Style" w:hAnsi="Bookman Old Style" w:cs="Arial"/>
        </w:rPr>
        <w:t xml:space="preserve">sumatoria de los valores </w:t>
      </w:r>
      <w:r>
        <w:rPr>
          <w:rFonts w:ascii="Bookman Old Style" w:hAnsi="Bookman Old Style" w:cs="Arial"/>
        </w:rPr>
        <w:t>certificados</w:t>
      </w:r>
      <w:r w:rsidRPr="00341236">
        <w:rPr>
          <w:rFonts w:ascii="Bookman Old Style" w:hAnsi="Bookman Old Style" w:cs="Arial"/>
        </w:rPr>
        <w:t xml:space="preserve"> al SUI, por los</w:t>
      </w:r>
      <w:r>
        <w:rPr>
          <w:rFonts w:ascii="Bookman Old Style" w:hAnsi="Bookman Old Style" w:cs="Arial"/>
        </w:rPr>
        <w:t xml:space="preserve"> </w:t>
      </w:r>
      <w:r w:rsidRPr="00341236">
        <w:rPr>
          <w:rFonts w:ascii="Bookman Old Style" w:hAnsi="Bookman Old Style" w:cs="Arial"/>
        </w:rPr>
        <w:t>prestadores en el Formato Complementario [900017] FC01-01 a FC01-07 “Gastos de</w:t>
      </w:r>
      <w:r>
        <w:rPr>
          <w:rFonts w:ascii="Bookman Old Style" w:hAnsi="Bookman Old Style" w:cs="Arial"/>
        </w:rPr>
        <w:t xml:space="preserve"> </w:t>
      </w:r>
      <w:r w:rsidRPr="00341236">
        <w:rPr>
          <w:rFonts w:ascii="Bookman Old Style" w:hAnsi="Bookman Old Style" w:cs="Arial"/>
        </w:rPr>
        <w:t>Servicios Públicos”, en la columna gastos administrativos de las taxonomías XBRL a 31 de</w:t>
      </w:r>
      <w:r>
        <w:rPr>
          <w:rFonts w:ascii="Bookman Old Style" w:hAnsi="Bookman Old Style" w:cs="Arial"/>
        </w:rPr>
        <w:t xml:space="preserve"> </w:t>
      </w:r>
      <w:r w:rsidRPr="00341236">
        <w:rPr>
          <w:rFonts w:ascii="Bookman Old Style" w:hAnsi="Bookman Old Style" w:cs="Arial"/>
        </w:rPr>
        <w:t xml:space="preserve">diciembre de 2021, Concepto Total Gastos para </w:t>
      </w:r>
      <w:r>
        <w:rPr>
          <w:rFonts w:ascii="Bookman Old Style" w:hAnsi="Bookman Old Style" w:cs="Arial"/>
        </w:rPr>
        <w:t xml:space="preserve">cada servicio público objeto del servicio de regulación </w:t>
      </w:r>
      <w:r w:rsidRPr="00341236">
        <w:rPr>
          <w:rFonts w:ascii="Bookman Old Style" w:hAnsi="Bookman Old Style" w:cs="Arial"/>
        </w:rPr>
        <w:t xml:space="preserve">de </w:t>
      </w:r>
      <w:r>
        <w:rPr>
          <w:rFonts w:ascii="Bookman Old Style" w:hAnsi="Bookman Old Style" w:cs="Arial"/>
        </w:rPr>
        <w:t>la CREG</w:t>
      </w:r>
      <w:r w:rsidRPr="00341236">
        <w:rPr>
          <w:rFonts w:ascii="Bookman Old Style" w:hAnsi="Bookman Old Style" w:cs="Arial"/>
        </w:rPr>
        <w:t>, tomando como corte el 0</w:t>
      </w:r>
      <w:r w:rsidR="00607A41">
        <w:rPr>
          <w:rFonts w:ascii="Bookman Old Style" w:hAnsi="Bookman Old Style" w:cs="Arial"/>
        </w:rPr>
        <w:t>22 de octubre</w:t>
      </w:r>
      <w:r w:rsidR="006C4E7E">
        <w:rPr>
          <w:rFonts w:ascii="Bookman Old Style" w:hAnsi="Bookman Old Style" w:cs="Arial"/>
        </w:rPr>
        <w:t xml:space="preserve"> de 2022.</w:t>
      </w:r>
    </w:p>
    <w:p w14:paraId="5667B731" w14:textId="78A0A4DC" w:rsidR="006C4E7E" w:rsidRDefault="006C4E7E" w:rsidP="00692D39">
      <w:pPr>
        <w:ind w:left="0"/>
        <w:jc w:val="both"/>
        <w:rPr>
          <w:rFonts w:ascii="Bookman Old Style" w:hAnsi="Bookman Old Style" w:cs="Arial"/>
        </w:rPr>
      </w:pPr>
    </w:p>
    <w:p w14:paraId="2CF736C6" w14:textId="6CC7F77D" w:rsidR="00246D18" w:rsidRDefault="00AF03CC" w:rsidP="00246D18">
      <w:pPr>
        <w:ind w:left="0"/>
        <w:jc w:val="both"/>
        <w:rPr>
          <w:rFonts w:ascii="Bookman Old Style" w:hAnsi="Bookman Old Style" w:cs="Arial"/>
        </w:rPr>
      </w:pPr>
      <w:r>
        <w:rPr>
          <w:rFonts w:ascii="Bookman Old Style" w:hAnsi="Bookman Old Style" w:cs="Arial"/>
        </w:rPr>
        <w:t>N</w:t>
      </w:r>
      <w:r w:rsidR="00246D18" w:rsidRPr="006C4E7E">
        <w:rPr>
          <w:rFonts w:ascii="Bookman Old Style" w:hAnsi="Bookman Old Style" w:cs="Arial"/>
        </w:rPr>
        <w:t>o formarán parte de la base gravable de la contribución especial 2022 los siguientes conceptos incluidos en el Formato Complementario [900017] FC01-01 a FC01-07 “Gastos de Servicios Públicos”, en la columna gastos administrativos de 2021</w:t>
      </w:r>
      <w:r w:rsidR="00246D18">
        <w:rPr>
          <w:rFonts w:ascii="Bookman Old Style" w:hAnsi="Bookman Old Style" w:cs="Arial"/>
        </w:rPr>
        <w:t xml:space="preserve">, </w:t>
      </w:r>
      <w:r w:rsidR="007A7C5C">
        <w:rPr>
          <w:rFonts w:ascii="Bookman Old Style" w:hAnsi="Bookman Old Style" w:cs="Arial"/>
        </w:rPr>
        <w:t>las</w:t>
      </w:r>
      <w:r w:rsidR="00FA5CD2">
        <w:rPr>
          <w:rFonts w:ascii="Bookman Old Style" w:hAnsi="Bookman Old Style" w:cs="Arial"/>
        </w:rPr>
        <w:t xml:space="preserve"> siguientes</w:t>
      </w:r>
      <w:r w:rsidR="007A7C5C">
        <w:rPr>
          <w:rFonts w:ascii="Bookman Old Style" w:hAnsi="Bookman Old Style" w:cs="Arial"/>
        </w:rPr>
        <w:t xml:space="preserve"> exclusiones de gastos de funcionamiento</w:t>
      </w:r>
      <w:r w:rsidR="00246D18" w:rsidRPr="006C4E7E">
        <w:rPr>
          <w:rFonts w:ascii="Bookman Old Style" w:hAnsi="Bookman Old Style" w:cs="Arial"/>
        </w:rPr>
        <w:t>:</w:t>
      </w:r>
    </w:p>
    <w:p w14:paraId="6B25255D" w14:textId="77777777" w:rsidR="00C364A6" w:rsidRDefault="00C364A6" w:rsidP="00246D18">
      <w:pPr>
        <w:ind w:left="0"/>
        <w:jc w:val="both"/>
        <w:rPr>
          <w:rFonts w:ascii="Bookman Old Style" w:hAnsi="Bookman Old Style" w:cs="Arial"/>
        </w:rPr>
      </w:pPr>
    </w:p>
    <w:p w14:paraId="01E56B8E" w14:textId="77777777" w:rsidR="00246D18" w:rsidRDefault="00246D18" w:rsidP="00246D18">
      <w:pPr>
        <w:pStyle w:val="Textoindependiente"/>
        <w:ind w:left="836"/>
        <w:jc w:val="left"/>
        <w:rPr>
          <w:sz w:val="20"/>
        </w:rPr>
      </w:pPr>
      <w:r>
        <w:rPr>
          <w:noProof/>
          <w:sz w:val="20"/>
          <w:lang w:val="en-US" w:eastAsia="en-US"/>
        </w:rPr>
        <w:drawing>
          <wp:inline distT="0" distB="0" distL="0" distR="0" wp14:anchorId="31E0BF79" wp14:editId="161E5908">
            <wp:extent cx="4173855" cy="356446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4177567" cy="3567636"/>
                    </a:xfrm>
                    <a:prstGeom prst="rect">
                      <a:avLst/>
                    </a:prstGeom>
                  </pic:spPr>
                </pic:pic>
              </a:graphicData>
            </a:graphic>
          </wp:inline>
        </w:drawing>
      </w:r>
    </w:p>
    <w:p w14:paraId="595BCD53" w14:textId="440833A2" w:rsidR="00246D18" w:rsidRDefault="00246D18" w:rsidP="00246D18">
      <w:pPr>
        <w:ind w:left="0"/>
        <w:jc w:val="both"/>
        <w:rPr>
          <w:rFonts w:ascii="Bookman Old Style" w:hAnsi="Bookman Old Style" w:cs="Arial"/>
        </w:rPr>
      </w:pPr>
    </w:p>
    <w:p w14:paraId="09B19D21" w14:textId="3B192803" w:rsidR="00FA5CD2" w:rsidRDefault="00885C78" w:rsidP="00246D18">
      <w:pPr>
        <w:ind w:left="0"/>
        <w:jc w:val="both"/>
        <w:rPr>
          <w:rFonts w:ascii="Bookman Old Style" w:hAnsi="Bookman Old Style" w:cs="Arial"/>
        </w:rPr>
      </w:pPr>
      <w:r>
        <w:rPr>
          <w:rFonts w:ascii="Bookman Old Style" w:hAnsi="Bookman Old Style" w:cs="Arial"/>
        </w:rPr>
        <w:t>C</w:t>
      </w:r>
      <w:r w:rsidR="00FA5CD2">
        <w:rPr>
          <w:rFonts w:ascii="Bookman Old Style" w:hAnsi="Bookman Old Style" w:cs="Arial"/>
        </w:rPr>
        <w:t xml:space="preserve">on corte al </w:t>
      </w:r>
      <w:r w:rsidR="00607A41">
        <w:rPr>
          <w:rFonts w:ascii="Bookman Old Style" w:hAnsi="Bookman Old Style" w:cs="Arial"/>
        </w:rPr>
        <w:t>22 de octubre</w:t>
      </w:r>
      <w:r w:rsidR="00FA5CD2">
        <w:rPr>
          <w:rFonts w:ascii="Bookman Old Style" w:hAnsi="Bookman Old Style" w:cs="Arial"/>
        </w:rPr>
        <w:t xml:space="preserve"> de 2022, </w:t>
      </w:r>
      <w:r>
        <w:rPr>
          <w:rFonts w:ascii="Bookman Old Style" w:hAnsi="Bookman Old Style" w:cs="Arial"/>
        </w:rPr>
        <w:t xml:space="preserve">las empresas reguladas presentaron </w:t>
      </w:r>
      <w:r w:rsidR="00E56065">
        <w:rPr>
          <w:rFonts w:ascii="Bookman Old Style" w:hAnsi="Bookman Old Style" w:cs="Arial"/>
        </w:rPr>
        <w:t xml:space="preserve">al SUI-SSPD, su información financiera </w:t>
      </w:r>
      <w:r w:rsidR="00FA5CD2">
        <w:rPr>
          <w:rFonts w:ascii="Bookman Old Style" w:hAnsi="Bookman Old Style" w:cs="Arial"/>
        </w:rPr>
        <w:t>del año 2021</w:t>
      </w:r>
      <w:r>
        <w:rPr>
          <w:rFonts w:ascii="Bookman Old Style" w:hAnsi="Bookman Old Style" w:cs="Arial"/>
        </w:rPr>
        <w:t xml:space="preserve">, </w:t>
      </w:r>
      <w:r w:rsidR="00E56065">
        <w:rPr>
          <w:rFonts w:ascii="Bookman Old Style" w:hAnsi="Bookman Old Style" w:cs="Arial"/>
        </w:rPr>
        <w:t>detallada en las siguientes cuentas</w:t>
      </w:r>
      <w:r w:rsidR="00FA5CD2">
        <w:rPr>
          <w:rFonts w:ascii="Bookman Old Style" w:hAnsi="Bookman Old Style" w:cs="Arial"/>
        </w:rPr>
        <w:t>:</w:t>
      </w:r>
    </w:p>
    <w:p w14:paraId="2330A480" w14:textId="3443DBF7" w:rsidR="00F80E95" w:rsidRDefault="00F80E95" w:rsidP="00246D18">
      <w:pPr>
        <w:ind w:left="0"/>
        <w:jc w:val="both"/>
        <w:rPr>
          <w:rFonts w:ascii="Bookman Old Style" w:hAnsi="Bookman Old Style" w:cs="Arial"/>
        </w:rPr>
      </w:pPr>
    </w:p>
    <w:tbl>
      <w:tblPr>
        <w:tblW w:w="9356" w:type="dxa"/>
        <w:tblInd w:w="-10" w:type="dxa"/>
        <w:tblLook w:val="04A0" w:firstRow="1" w:lastRow="0" w:firstColumn="1" w:lastColumn="0" w:noHBand="0" w:noVBand="1"/>
      </w:tblPr>
      <w:tblGrid>
        <w:gridCol w:w="2180"/>
        <w:gridCol w:w="4624"/>
        <w:gridCol w:w="2552"/>
      </w:tblGrid>
      <w:tr w:rsidR="00F80E95" w:rsidRPr="00F80E95" w14:paraId="3C229679" w14:textId="77777777" w:rsidTr="00F80E95">
        <w:trPr>
          <w:trHeight w:val="300"/>
          <w:tblHeader/>
        </w:trPr>
        <w:tc>
          <w:tcPr>
            <w:tcW w:w="2180" w:type="dxa"/>
            <w:tcBorders>
              <w:top w:val="single" w:sz="8" w:space="0" w:color="auto"/>
              <w:left w:val="single" w:sz="8" w:space="0" w:color="auto"/>
              <w:bottom w:val="single" w:sz="8" w:space="0" w:color="auto"/>
              <w:right w:val="single" w:sz="8" w:space="0" w:color="auto"/>
            </w:tcBorders>
            <w:shd w:val="clear" w:color="000000" w:fill="EDEDED"/>
            <w:noWrap/>
            <w:vAlign w:val="center"/>
            <w:hideMark/>
          </w:tcPr>
          <w:p w14:paraId="7806EC68" w14:textId="77777777" w:rsidR="00F80E95" w:rsidRPr="00F80E95" w:rsidRDefault="00F80E95" w:rsidP="00F80E95">
            <w:pPr>
              <w:ind w:left="0"/>
              <w:jc w:val="center"/>
              <w:rPr>
                <w:rFonts w:ascii="Arial" w:hAnsi="Arial" w:cs="Arial"/>
                <w:b/>
                <w:bCs/>
                <w:color w:val="000000"/>
                <w:sz w:val="16"/>
                <w:szCs w:val="16"/>
                <w:lang w:val="en-US" w:eastAsia="en-US"/>
              </w:rPr>
            </w:pPr>
            <w:r w:rsidRPr="00F80E95">
              <w:rPr>
                <w:rFonts w:ascii="Arial" w:hAnsi="Arial" w:cs="Arial"/>
                <w:b/>
                <w:bCs/>
                <w:color w:val="000000"/>
                <w:sz w:val="16"/>
                <w:szCs w:val="16"/>
                <w:lang w:val="en-US" w:eastAsia="en-US"/>
              </w:rPr>
              <w:t>TIPO DE GASTO</w:t>
            </w:r>
          </w:p>
        </w:tc>
        <w:tc>
          <w:tcPr>
            <w:tcW w:w="4624" w:type="dxa"/>
            <w:tcBorders>
              <w:top w:val="single" w:sz="8" w:space="0" w:color="auto"/>
              <w:left w:val="nil"/>
              <w:bottom w:val="single" w:sz="8" w:space="0" w:color="auto"/>
              <w:right w:val="single" w:sz="8" w:space="0" w:color="auto"/>
            </w:tcBorders>
            <w:shd w:val="clear" w:color="000000" w:fill="EDEDED"/>
            <w:noWrap/>
            <w:vAlign w:val="center"/>
            <w:hideMark/>
          </w:tcPr>
          <w:p w14:paraId="3CA847CB" w14:textId="77777777" w:rsidR="00F80E95" w:rsidRPr="00F80E95" w:rsidRDefault="00F80E95" w:rsidP="00F80E95">
            <w:pPr>
              <w:ind w:left="0"/>
              <w:jc w:val="center"/>
              <w:rPr>
                <w:rFonts w:ascii="Arial" w:hAnsi="Arial" w:cs="Arial"/>
                <w:b/>
                <w:bCs/>
                <w:color w:val="000000"/>
                <w:sz w:val="16"/>
                <w:szCs w:val="16"/>
                <w:lang w:val="en-US" w:eastAsia="en-US"/>
              </w:rPr>
            </w:pPr>
            <w:r w:rsidRPr="00F80E95">
              <w:rPr>
                <w:rFonts w:ascii="Arial" w:hAnsi="Arial" w:cs="Arial"/>
                <w:b/>
                <w:bCs/>
                <w:color w:val="000000"/>
                <w:sz w:val="16"/>
                <w:szCs w:val="16"/>
                <w:lang w:val="en-US" w:eastAsia="en-US"/>
              </w:rPr>
              <w:t xml:space="preserve"> CONCEPTOS </w:t>
            </w:r>
          </w:p>
        </w:tc>
        <w:tc>
          <w:tcPr>
            <w:tcW w:w="2552" w:type="dxa"/>
            <w:tcBorders>
              <w:top w:val="single" w:sz="8" w:space="0" w:color="auto"/>
              <w:left w:val="nil"/>
              <w:bottom w:val="single" w:sz="8" w:space="0" w:color="auto"/>
              <w:right w:val="single" w:sz="8" w:space="0" w:color="auto"/>
            </w:tcBorders>
            <w:shd w:val="clear" w:color="000000" w:fill="EDEDED"/>
            <w:noWrap/>
            <w:vAlign w:val="center"/>
            <w:hideMark/>
          </w:tcPr>
          <w:p w14:paraId="1ED713E2" w14:textId="77777777" w:rsidR="00F80E95" w:rsidRPr="00F80E95" w:rsidRDefault="00F80E95" w:rsidP="00F80E95">
            <w:pPr>
              <w:ind w:left="0"/>
              <w:jc w:val="center"/>
              <w:rPr>
                <w:rFonts w:ascii="Arial" w:hAnsi="Arial" w:cs="Arial"/>
                <w:b/>
                <w:bCs/>
                <w:color w:val="000000"/>
                <w:sz w:val="16"/>
                <w:szCs w:val="16"/>
                <w:lang w:val="en-US" w:eastAsia="en-US"/>
              </w:rPr>
            </w:pPr>
            <w:r w:rsidRPr="00F80E95">
              <w:rPr>
                <w:rFonts w:ascii="Arial" w:hAnsi="Arial" w:cs="Arial"/>
                <w:b/>
                <w:bCs/>
                <w:color w:val="000000"/>
                <w:sz w:val="16"/>
                <w:szCs w:val="16"/>
                <w:lang w:val="en-US" w:eastAsia="en-US"/>
              </w:rPr>
              <w:t>VALORES EEFF 2021</w:t>
            </w:r>
          </w:p>
        </w:tc>
      </w:tr>
      <w:tr w:rsidR="00F80E95" w:rsidRPr="00F80E95" w14:paraId="282BF7C2"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5F383D7"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A158774"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Total </w:t>
            </w:r>
            <w:proofErr w:type="spellStart"/>
            <w:r w:rsidRPr="00F80E95">
              <w:rPr>
                <w:rFonts w:ascii="Arial" w:hAnsi="Arial" w:cs="Arial"/>
                <w:sz w:val="16"/>
                <w:szCs w:val="16"/>
                <w:lang w:val="en-US" w:eastAsia="en-US"/>
              </w:rPr>
              <w:t>Gastos</w:t>
            </w:r>
            <w:proofErr w:type="spellEnd"/>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Administrativos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66FA3764"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17.653.040.993.718</w:t>
            </w:r>
          </w:p>
        </w:tc>
      </w:tr>
      <w:tr w:rsidR="00F80E95" w:rsidRPr="00F80E95" w14:paraId="25B3A2EA"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9CC8DB1"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7648C53"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Ajustes</w:t>
            </w:r>
            <w:proofErr w:type="spellEnd"/>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Diferencia</w:t>
            </w:r>
            <w:proofErr w:type="spellEnd"/>
            <w:r w:rsidRPr="00F80E95">
              <w:rPr>
                <w:rFonts w:ascii="Arial" w:hAnsi="Arial" w:cs="Arial"/>
                <w:sz w:val="16"/>
                <w:szCs w:val="16"/>
                <w:lang w:val="en-US" w:eastAsia="en-US"/>
              </w:rPr>
              <w:t xml:space="preserve"> en Cambio </w:t>
            </w:r>
          </w:p>
        </w:tc>
        <w:tc>
          <w:tcPr>
            <w:tcW w:w="2552" w:type="dxa"/>
            <w:tcBorders>
              <w:top w:val="nil"/>
              <w:left w:val="nil"/>
              <w:bottom w:val="single" w:sz="8" w:space="0" w:color="auto"/>
              <w:right w:val="single" w:sz="8" w:space="0" w:color="auto"/>
            </w:tcBorders>
            <w:shd w:val="clear" w:color="auto" w:fill="auto"/>
            <w:noWrap/>
            <w:vAlign w:val="center"/>
            <w:hideMark/>
          </w:tcPr>
          <w:p w14:paraId="676841DD"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eastAsia="en-US"/>
              </w:rPr>
              <w:t>(1.116.106.731.890)</w:t>
            </w:r>
          </w:p>
        </w:tc>
      </w:tr>
      <w:tr w:rsidR="00F80E95" w:rsidRPr="00F80E95" w14:paraId="208E9997"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777DA67F"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A695EE2"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Comisiones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2769CA9C"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eastAsia="en-US"/>
              </w:rPr>
              <w:t>(64.400.054.106)</w:t>
            </w:r>
          </w:p>
        </w:tc>
      </w:tr>
      <w:tr w:rsidR="00F80E95" w:rsidRPr="00F80E95" w14:paraId="2D19FB42"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9A7044F"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75D04FF"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Donaciones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06956A41"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(29.764.003.041)</w:t>
            </w:r>
          </w:p>
        </w:tc>
      </w:tr>
      <w:tr w:rsidR="00F80E95" w:rsidRPr="00F80E95" w14:paraId="4C2DB8B2"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8C8DCEE"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CD07B04"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Financieros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550C1926"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(3.722.107.360.020)</w:t>
            </w:r>
          </w:p>
        </w:tc>
      </w:tr>
      <w:tr w:rsidR="00F80E95" w:rsidRPr="00F80E95" w14:paraId="5C04E5DA"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113621A"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FA74654"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 Perdida por el </w:t>
            </w:r>
            <w:proofErr w:type="spellStart"/>
            <w:r w:rsidRPr="00F80E95">
              <w:rPr>
                <w:rFonts w:ascii="Arial" w:hAnsi="Arial" w:cs="Arial"/>
                <w:sz w:val="16"/>
                <w:szCs w:val="16"/>
                <w:lang w:val="es-CO" w:eastAsia="en-US"/>
              </w:rPr>
              <w:t>metodo</w:t>
            </w:r>
            <w:proofErr w:type="spellEnd"/>
            <w:r w:rsidRPr="00F80E95">
              <w:rPr>
                <w:rFonts w:ascii="Arial" w:hAnsi="Arial" w:cs="Arial"/>
                <w:sz w:val="16"/>
                <w:szCs w:val="16"/>
                <w:lang w:val="es-CO" w:eastAsia="en-US"/>
              </w:rPr>
              <w:t xml:space="preserve"> de participación patrimonial </w:t>
            </w:r>
          </w:p>
        </w:tc>
        <w:tc>
          <w:tcPr>
            <w:tcW w:w="2552" w:type="dxa"/>
            <w:tcBorders>
              <w:top w:val="nil"/>
              <w:left w:val="nil"/>
              <w:bottom w:val="single" w:sz="8" w:space="0" w:color="auto"/>
              <w:right w:val="single" w:sz="8" w:space="0" w:color="auto"/>
            </w:tcBorders>
            <w:shd w:val="clear" w:color="auto" w:fill="auto"/>
            <w:noWrap/>
            <w:vAlign w:val="center"/>
            <w:hideMark/>
          </w:tcPr>
          <w:p w14:paraId="3F41D7E9"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(34.665.392.143)</w:t>
            </w:r>
          </w:p>
        </w:tc>
      </w:tr>
      <w:tr w:rsidR="00F80E95" w:rsidRPr="00F80E95" w14:paraId="3721295F"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42F2BEBA"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lastRenderedPageBreak/>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58BB9F0"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Litigios</w:t>
            </w:r>
            <w:proofErr w:type="spellEnd"/>
            <w:r w:rsidRPr="00F80E95">
              <w:rPr>
                <w:rFonts w:ascii="Arial" w:hAnsi="Arial" w:cs="Arial"/>
                <w:sz w:val="16"/>
                <w:szCs w:val="16"/>
                <w:lang w:val="en-US" w:eastAsia="en-US"/>
              </w:rPr>
              <w:t xml:space="preserve"> y/o </w:t>
            </w:r>
            <w:proofErr w:type="spellStart"/>
            <w:r w:rsidRPr="00F80E95">
              <w:rPr>
                <w:rFonts w:ascii="Arial" w:hAnsi="Arial" w:cs="Arial"/>
                <w:sz w:val="16"/>
                <w:szCs w:val="16"/>
                <w:lang w:val="en-US" w:eastAsia="en-US"/>
              </w:rPr>
              <w:t>demandas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0C691A43"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(360.568.501.185)</w:t>
            </w:r>
          </w:p>
        </w:tc>
      </w:tr>
      <w:tr w:rsidR="00F80E95" w:rsidRPr="00F80E95" w14:paraId="3D411598"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0E3D01B9"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5577D260"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Garantias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70CE813E"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(39.229.717.000)</w:t>
            </w:r>
          </w:p>
        </w:tc>
      </w:tr>
      <w:tr w:rsidR="00F80E95" w:rsidRPr="00F80E95" w14:paraId="5D024C74"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04E63B9E"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0F89D63F"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Diversas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35ECEB0E"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(103.697.116.933)</w:t>
            </w:r>
          </w:p>
        </w:tc>
      </w:tr>
      <w:tr w:rsidR="00F80E95" w:rsidRPr="00F80E95" w14:paraId="06722241"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C3BEC36"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61E1A6F0"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Amortización</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28CE1E6E"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(145.091.160.781)</w:t>
            </w:r>
          </w:p>
        </w:tc>
      </w:tr>
      <w:tr w:rsidR="00F80E95" w:rsidRPr="00F80E95" w14:paraId="1D87BB50"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398C53E"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6D3CD1D"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Depreciación</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3670B976"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(153.264.007.005)</w:t>
            </w:r>
          </w:p>
        </w:tc>
      </w:tr>
      <w:tr w:rsidR="00F80E95" w:rsidRPr="00F80E95" w14:paraId="0E81F689"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7B299E90"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06B4E47D"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Deterioro</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64AE51B8"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(1.224.284.311.636)</w:t>
            </w:r>
          </w:p>
        </w:tc>
      </w:tr>
      <w:tr w:rsidR="00F80E95" w:rsidRPr="00F80E95" w14:paraId="243054A2"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2ADB8E75"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43F4EA2E"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 Impuesto a las Ganancias Corrientes </w:t>
            </w:r>
          </w:p>
        </w:tc>
        <w:tc>
          <w:tcPr>
            <w:tcW w:w="2552" w:type="dxa"/>
            <w:tcBorders>
              <w:top w:val="nil"/>
              <w:left w:val="nil"/>
              <w:bottom w:val="single" w:sz="8" w:space="0" w:color="auto"/>
              <w:right w:val="single" w:sz="8" w:space="0" w:color="auto"/>
            </w:tcBorders>
            <w:shd w:val="clear" w:color="auto" w:fill="auto"/>
            <w:noWrap/>
            <w:vAlign w:val="center"/>
            <w:hideMark/>
          </w:tcPr>
          <w:p w14:paraId="25C8D216"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(4.793.308.847.133)</w:t>
            </w:r>
          </w:p>
        </w:tc>
      </w:tr>
      <w:tr w:rsidR="00F80E95" w:rsidRPr="00F80E95" w14:paraId="1FF2AB64"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D2B9EFE"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D7F75CD"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 Impuesto a las Ganancias Diferido </w:t>
            </w:r>
          </w:p>
        </w:tc>
        <w:tc>
          <w:tcPr>
            <w:tcW w:w="2552" w:type="dxa"/>
            <w:tcBorders>
              <w:top w:val="nil"/>
              <w:left w:val="nil"/>
              <w:bottom w:val="single" w:sz="8" w:space="0" w:color="auto"/>
              <w:right w:val="single" w:sz="8" w:space="0" w:color="auto"/>
            </w:tcBorders>
            <w:shd w:val="clear" w:color="auto" w:fill="auto"/>
            <w:noWrap/>
            <w:vAlign w:val="center"/>
            <w:hideMark/>
          </w:tcPr>
          <w:p w14:paraId="5DD7194E"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(1.663.948.817.557)</w:t>
            </w:r>
          </w:p>
        </w:tc>
      </w:tr>
      <w:tr w:rsidR="00F80E95" w:rsidRPr="00F80E95" w14:paraId="3FFC7E95"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BA5DDF1"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65402C62"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Impuestos</w:t>
            </w:r>
            <w:proofErr w:type="spellEnd"/>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Tasas</w:t>
            </w:r>
            <w:proofErr w:type="spellEnd"/>
            <w:r w:rsidRPr="00F80E95">
              <w:rPr>
                <w:rFonts w:ascii="Arial" w:hAnsi="Arial" w:cs="Arial"/>
                <w:sz w:val="16"/>
                <w:szCs w:val="16"/>
                <w:lang w:val="en-US" w:eastAsia="en-US"/>
              </w:rPr>
              <w:t xml:space="preserve"> y </w:t>
            </w:r>
            <w:proofErr w:type="spellStart"/>
            <w:r w:rsidRPr="00F80E95">
              <w:rPr>
                <w:rFonts w:ascii="Arial" w:hAnsi="Arial" w:cs="Arial"/>
                <w:sz w:val="16"/>
                <w:szCs w:val="16"/>
                <w:lang w:val="en-US" w:eastAsia="en-US"/>
              </w:rPr>
              <w:t>Contribuciones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69F39087"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(703.915.975.921)</w:t>
            </w:r>
          </w:p>
        </w:tc>
      </w:tr>
      <w:tr w:rsidR="00F80E95" w:rsidRPr="00F80E95" w14:paraId="08BA28C6"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490F76A"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58707CD1"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 </w:t>
            </w:r>
            <w:proofErr w:type="spellStart"/>
            <w:r w:rsidRPr="00F80E95">
              <w:rPr>
                <w:rFonts w:ascii="Arial" w:hAnsi="Arial" w:cs="Arial"/>
                <w:sz w:val="16"/>
                <w:szCs w:val="16"/>
                <w:lang w:val="en-US" w:eastAsia="en-US"/>
              </w:rPr>
              <w:t>Gastos</w:t>
            </w:r>
            <w:proofErr w:type="spellEnd"/>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Diversos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6E713990"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(392.330.731.069)</w:t>
            </w:r>
          </w:p>
        </w:tc>
      </w:tr>
      <w:tr w:rsidR="00F80E95" w:rsidRPr="00F80E95" w14:paraId="3C876B9E"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8BAF74A"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67ADB709"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Secretaría Distrital del Medio Ambiente </w:t>
            </w:r>
          </w:p>
        </w:tc>
        <w:tc>
          <w:tcPr>
            <w:tcW w:w="2552" w:type="dxa"/>
            <w:tcBorders>
              <w:top w:val="nil"/>
              <w:left w:val="nil"/>
              <w:bottom w:val="single" w:sz="8" w:space="0" w:color="auto"/>
              <w:right w:val="single" w:sz="8" w:space="0" w:color="auto"/>
            </w:tcBorders>
            <w:shd w:val="clear" w:color="auto" w:fill="auto"/>
            <w:noWrap/>
            <w:vAlign w:val="center"/>
            <w:hideMark/>
          </w:tcPr>
          <w:p w14:paraId="0E53B65B"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23A974A3"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2386CD5"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9B3F874"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Ley 56 de 1981 </w:t>
            </w:r>
          </w:p>
        </w:tc>
        <w:tc>
          <w:tcPr>
            <w:tcW w:w="2552" w:type="dxa"/>
            <w:tcBorders>
              <w:top w:val="nil"/>
              <w:left w:val="nil"/>
              <w:bottom w:val="single" w:sz="8" w:space="0" w:color="auto"/>
              <w:right w:val="single" w:sz="8" w:space="0" w:color="auto"/>
            </w:tcBorders>
            <w:shd w:val="clear" w:color="auto" w:fill="auto"/>
            <w:noWrap/>
            <w:vAlign w:val="center"/>
            <w:hideMark/>
          </w:tcPr>
          <w:p w14:paraId="484F4226"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(1.042.587.000)</w:t>
            </w:r>
          </w:p>
        </w:tc>
      </w:tr>
      <w:tr w:rsidR="00F80E95" w:rsidRPr="00F80E95" w14:paraId="1100D4A5"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6EC59F9"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444673F"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Medio </w:t>
            </w:r>
            <w:proofErr w:type="spellStart"/>
            <w:r w:rsidRPr="00F80E95">
              <w:rPr>
                <w:rFonts w:ascii="Arial" w:hAnsi="Arial" w:cs="Arial"/>
                <w:sz w:val="16"/>
                <w:szCs w:val="16"/>
                <w:lang w:val="en-US" w:eastAsia="en-US"/>
              </w:rPr>
              <w:t>Ambiente</w:t>
            </w:r>
            <w:proofErr w:type="spellEnd"/>
            <w:r w:rsidRPr="00F80E95">
              <w:rPr>
                <w:rFonts w:ascii="Arial" w:hAnsi="Arial" w:cs="Arial"/>
                <w:sz w:val="16"/>
                <w:szCs w:val="16"/>
                <w:lang w:val="en-US" w:eastAsia="en-US"/>
              </w:rPr>
              <w:t xml:space="preserve"> - Ley 99 de 1993 </w:t>
            </w:r>
          </w:p>
        </w:tc>
        <w:tc>
          <w:tcPr>
            <w:tcW w:w="2552" w:type="dxa"/>
            <w:tcBorders>
              <w:top w:val="nil"/>
              <w:left w:val="nil"/>
              <w:bottom w:val="single" w:sz="8" w:space="0" w:color="auto"/>
              <w:right w:val="single" w:sz="8" w:space="0" w:color="auto"/>
            </w:tcBorders>
            <w:shd w:val="clear" w:color="auto" w:fill="auto"/>
            <w:noWrap/>
            <w:vAlign w:val="center"/>
            <w:hideMark/>
          </w:tcPr>
          <w:p w14:paraId="6F39A1CB"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3B684516"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7EA86FF"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B49C24C"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Regalías</w:t>
            </w:r>
            <w:proofErr w:type="spellEnd"/>
            <w:r w:rsidRPr="00F80E95">
              <w:rPr>
                <w:rFonts w:ascii="Arial" w:hAnsi="Arial" w:cs="Arial"/>
                <w:sz w:val="16"/>
                <w:szCs w:val="16"/>
                <w:lang w:val="en-US" w:eastAsia="en-US"/>
              </w:rPr>
              <w:t xml:space="preserve"> </w:t>
            </w:r>
          </w:p>
        </w:tc>
        <w:tc>
          <w:tcPr>
            <w:tcW w:w="2552" w:type="dxa"/>
            <w:tcBorders>
              <w:top w:val="nil"/>
              <w:left w:val="nil"/>
              <w:bottom w:val="single" w:sz="8" w:space="0" w:color="auto"/>
              <w:right w:val="single" w:sz="8" w:space="0" w:color="auto"/>
            </w:tcBorders>
            <w:shd w:val="clear" w:color="auto" w:fill="auto"/>
            <w:noWrap/>
            <w:vAlign w:val="center"/>
            <w:hideMark/>
          </w:tcPr>
          <w:p w14:paraId="47AFB965"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034E0A1E"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2A2F3E53"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176CE1E"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Licencia De Operación Del Servicio </w:t>
            </w:r>
          </w:p>
        </w:tc>
        <w:tc>
          <w:tcPr>
            <w:tcW w:w="2552" w:type="dxa"/>
            <w:tcBorders>
              <w:top w:val="nil"/>
              <w:left w:val="nil"/>
              <w:bottom w:val="single" w:sz="8" w:space="0" w:color="auto"/>
              <w:right w:val="single" w:sz="8" w:space="0" w:color="auto"/>
            </w:tcBorders>
            <w:shd w:val="clear" w:color="auto" w:fill="auto"/>
            <w:noWrap/>
            <w:vAlign w:val="center"/>
            <w:hideMark/>
          </w:tcPr>
          <w:p w14:paraId="75CE382D"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48BA940F"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3E6C670"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2757909B"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FAZNI </w:t>
            </w:r>
          </w:p>
        </w:tc>
        <w:tc>
          <w:tcPr>
            <w:tcW w:w="2552" w:type="dxa"/>
            <w:tcBorders>
              <w:top w:val="nil"/>
              <w:left w:val="nil"/>
              <w:bottom w:val="single" w:sz="8" w:space="0" w:color="auto"/>
              <w:right w:val="single" w:sz="8" w:space="0" w:color="auto"/>
            </w:tcBorders>
            <w:shd w:val="clear" w:color="auto" w:fill="auto"/>
            <w:noWrap/>
            <w:vAlign w:val="center"/>
            <w:hideMark/>
          </w:tcPr>
          <w:p w14:paraId="65535396"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20A7D203"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38CED2E0"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17CA387"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FAER </w:t>
            </w:r>
          </w:p>
        </w:tc>
        <w:tc>
          <w:tcPr>
            <w:tcW w:w="2552" w:type="dxa"/>
            <w:tcBorders>
              <w:top w:val="nil"/>
              <w:left w:val="nil"/>
              <w:bottom w:val="single" w:sz="8" w:space="0" w:color="auto"/>
              <w:right w:val="single" w:sz="8" w:space="0" w:color="auto"/>
            </w:tcBorders>
            <w:shd w:val="clear" w:color="auto" w:fill="auto"/>
            <w:noWrap/>
            <w:vAlign w:val="center"/>
            <w:hideMark/>
          </w:tcPr>
          <w:p w14:paraId="559A6F2C"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23F0F4E8"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1308D90"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1EB3AA4D"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Cuota de Fomento de gas </w:t>
            </w:r>
          </w:p>
        </w:tc>
        <w:tc>
          <w:tcPr>
            <w:tcW w:w="2552" w:type="dxa"/>
            <w:tcBorders>
              <w:top w:val="nil"/>
              <w:left w:val="nil"/>
              <w:bottom w:val="single" w:sz="8" w:space="0" w:color="auto"/>
              <w:right w:val="single" w:sz="8" w:space="0" w:color="auto"/>
            </w:tcBorders>
            <w:shd w:val="clear" w:color="auto" w:fill="auto"/>
            <w:noWrap/>
            <w:vAlign w:val="center"/>
            <w:hideMark/>
          </w:tcPr>
          <w:p w14:paraId="6D990F68"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432AA17C"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DF01FF3"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3006ABE8"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Comité De Estratificación -Ley 505 De 1999 </w:t>
            </w:r>
          </w:p>
        </w:tc>
        <w:tc>
          <w:tcPr>
            <w:tcW w:w="2552" w:type="dxa"/>
            <w:tcBorders>
              <w:top w:val="nil"/>
              <w:left w:val="nil"/>
              <w:bottom w:val="single" w:sz="8" w:space="0" w:color="auto"/>
              <w:right w:val="single" w:sz="8" w:space="0" w:color="auto"/>
            </w:tcBorders>
            <w:shd w:val="clear" w:color="auto" w:fill="auto"/>
            <w:noWrap/>
            <w:vAlign w:val="center"/>
            <w:hideMark/>
          </w:tcPr>
          <w:p w14:paraId="0AFDBC3A"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666DABE6"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581F686"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5DB62C5"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Art 25 - Ley 142 - Concesiones, y permisos ambientales y sanitarios </w:t>
            </w:r>
          </w:p>
        </w:tc>
        <w:tc>
          <w:tcPr>
            <w:tcW w:w="2552" w:type="dxa"/>
            <w:tcBorders>
              <w:top w:val="nil"/>
              <w:left w:val="nil"/>
              <w:bottom w:val="single" w:sz="8" w:space="0" w:color="auto"/>
              <w:right w:val="single" w:sz="8" w:space="0" w:color="auto"/>
            </w:tcBorders>
            <w:shd w:val="clear" w:color="auto" w:fill="auto"/>
            <w:noWrap/>
            <w:vAlign w:val="center"/>
            <w:hideMark/>
          </w:tcPr>
          <w:p w14:paraId="7C691593"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val="en-US" w:eastAsia="en-US"/>
              </w:rPr>
              <w:t>0</w:t>
            </w:r>
          </w:p>
        </w:tc>
      </w:tr>
      <w:tr w:rsidR="00F80E95" w:rsidRPr="00F80E95" w14:paraId="6E82A6C0" w14:textId="77777777" w:rsidTr="00F80E95">
        <w:trPr>
          <w:trHeight w:val="300"/>
        </w:trPr>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18688E5E"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Administrativo</w:t>
            </w:r>
          </w:p>
        </w:tc>
        <w:tc>
          <w:tcPr>
            <w:tcW w:w="4624" w:type="dxa"/>
            <w:tcBorders>
              <w:top w:val="nil"/>
              <w:left w:val="nil"/>
              <w:bottom w:val="single" w:sz="8" w:space="0" w:color="auto"/>
              <w:right w:val="single" w:sz="8" w:space="0" w:color="auto"/>
            </w:tcBorders>
            <w:shd w:val="clear" w:color="auto" w:fill="auto"/>
            <w:noWrap/>
            <w:vAlign w:val="center"/>
            <w:hideMark/>
          </w:tcPr>
          <w:p w14:paraId="7E2A70A1"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Otras</w:t>
            </w:r>
            <w:proofErr w:type="spellEnd"/>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licencias</w:t>
            </w:r>
            <w:proofErr w:type="spellEnd"/>
            <w:r w:rsidRPr="00F80E95">
              <w:rPr>
                <w:rFonts w:ascii="Arial" w:hAnsi="Arial" w:cs="Arial"/>
                <w:sz w:val="16"/>
                <w:szCs w:val="16"/>
                <w:lang w:val="en-US" w:eastAsia="en-US"/>
              </w:rPr>
              <w:t xml:space="preserve"> Ley 142 de 1994 </w:t>
            </w:r>
          </w:p>
        </w:tc>
        <w:tc>
          <w:tcPr>
            <w:tcW w:w="2552" w:type="dxa"/>
            <w:tcBorders>
              <w:top w:val="nil"/>
              <w:left w:val="nil"/>
              <w:bottom w:val="single" w:sz="8" w:space="0" w:color="auto"/>
              <w:right w:val="single" w:sz="8" w:space="0" w:color="auto"/>
            </w:tcBorders>
            <w:shd w:val="clear" w:color="auto" w:fill="auto"/>
            <w:noWrap/>
            <w:vAlign w:val="center"/>
            <w:hideMark/>
          </w:tcPr>
          <w:p w14:paraId="3D2FD171"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color w:val="FF0000"/>
                <w:sz w:val="16"/>
                <w:szCs w:val="16"/>
                <w:lang w:val="en-US" w:eastAsia="en-US"/>
              </w:rPr>
              <w:t>(129.880.076)</w:t>
            </w:r>
          </w:p>
        </w:tc>
      </w:tr>
      <w:tr w:rsidR="00F80E95" w:rsidRPr="00F80E95" w14:paraId="43CF994D"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254417A0"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404B22FA"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Compras en bloque y/o a largo plazo </w:t>
            </w:r>
          </w:p>
        </w:tc>
        <w:tc>
          <w:tcPr>
            <w:tcW w:w="2552" w:type="dxa"/>
            <w:tcBorders>
              <w:top w:val="nil"/>
              <w:left w:val="nil"/>
              <w:bottom w:val="single" w:sz="8" w:space="0" w:color="auto"/>
              <w:right w:val="single" w:sz="8" w:space="0" w:color="auto"/>
            </w:tcBorders>
            <w:shd w:val="clear" w:color="000000" w:fill="E7E6E6"/>
            <w:noWrap/>
            <w:vAlign w:val="center"/>
            <w:hideMark/>
          </w:tcPr>
          <w:p w14:paraId="1D89A019"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13.746.628.660.702</w:t>
            </w:r>
          </w:p>
        </w:tc>
      </w:tr>
      <w:tr w:rsidR="00F80E95" w:rsidRPr="00F80E95" w14:paraId="56AE35A7"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0E38FDFC"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3B746C50"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Compras en bolsa y/o a corto plazo </w:t>
            </w:r>
          </w:p>
        </w:tc>
        <w:tc>
          <w:tcPr>
            <w:tcW w:w="2552" w:type="dxa"/>
            <w:tcBorders>
              <w:top w:val="nil"/>
              <w:left w:val="nil"/>
              <w:bottom w:val="single" w:sz="8" w:space="0" w:color="auto"/>
              <w:right w:val="single" w:sz="8" w:space="0" w:color="auto"/>
            </w:tcBorders>
            <w:shd w:val="clear" w:color="000000" w:fill="E7E6E6"/>
            <w:noWrap/>
            <w:vAlign w:val="center"/>
            <w:hideMark/>
          </w:tcPr>
          <w:p w14:paraId="7C6C02A4"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3.882.505.182.099</w:t>
            </w:r>
          </w:p>
        </w:tc>
      </w:tr>
      <w:tr w:rsidR="00F80E95" w:rsidRPr="00F80E95" w14:paraId="0FEAB25E"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744D2D0B"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4FC5F5FB"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Uso de Líneas, redes y ductos </w:t>
            </w:r>
          </w:p>
        </w:tc>
        <w:tc>
          <w:tcPr>
            <w:tcW w:w="2552" w:type="dxa"/>
            <w:tcBorders>
              <w:top w:val="nil"/>
              <w:left w:val="nil"/>
              <w:bottom w:val="single" w:sz="8" w:space="0" w:color="auto"/>
              <w:right w:val="single" w:sz="8" w:space="0" w:color="auto"/>
            </w:tcBorders>
            <w:shd w:val="clear" w:color="000000" w:fill="E7E6E6"/>
            <w:noWrap/>
            <w:vAlign w:val="center"/>
            <w:hideMark/>
          </w:tcPr>
          <w:p w14:paraId="787A891A"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5.766.671.518.615</w:t>
            </w:r>
          </w:p>
        </w:tc>
      </w:tr>
      <w:tr w:rsidR="00F80E95" w:rsidRPr="00F80E95" w14:paraId="72A1B1A2"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39C986CE"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034571B2"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Gas Combustible </w:t>
            </w:r>
          </w:p>
        </w:tc>
        <w:tc>
          <w:tcPr>
            <w:tcW w:w="2552" w:type="dxa"/>
            <w:tcBorders>
              <w:top w:val="nil"/>
              <w:left w:val="nil"/>
              <w:bottom w:val="single" w:sz="8" w:space="0" w:color="auto"/>
              <w:right w:val="single" w:sz="8" w:space="0" w:color="auto"/>
            </w:tcBorders>
            <w:shd w:val="clear" w:color="000000" w:fill="E7E6E6"/>
            <w:noWrap/>
            <w:vAlign w:val="center"/>
            <w:hideMark/>
          </w:tcPr>
          <w:p w14:paraId="1A275983"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2.202.361.197.637</w:t>
            </w:r>
          </w:p>
        </w:tc>
      </w:tr>
      <w:tr w:rsidR="00F80E95" w:rsidRPr="00F80E95" w14:paraId="12E2F807"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402889CA"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6E3AE09F"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w:t>
            </w:r>
            <w:proofErr w:type="spellStart"/>
            <w:r w:rsidRPr="00F80E95">
              <w:rPr>
                <w:rFonts w:ascii="Arial" w:hAnsi="Arial" w:cs="Arial"/>
                <w:sz w:val="16"/>
                <w:szCs w:val="16"/>
                <w:lang w:val="en-US" w:eastAsia="en-US"/>
              </w:rPr>
              <w:t>Carbón</w:t>
            </w:r>
            <w:proofErr w:type="spellEnd"/>
            <w:r w:rsidRPr="00F80E95">
              <w:rPr>
                <w:rFonts w:ascii="Arial" w:hAnsi="Arial" w:cs="Arial"/>
                <w:sz w:val="16"/>
                <w:szCs w:val="16"/>
                <w:lang w:val="en-US" w:eastAsia="en-US"/>
              </w:rPr>
              <w:t xml:space="preserve"> Mineral </w:t>
            </w:r>
          </w:p>
        </w:tc>
        <w:tc>
          <w:tcPr>
            <w:tcW w:w="2552" w:type="dxa"/>
            <w:tcBorders>
              <w:top w:val="nil"/>
              <w:left w:val="nil"/>
              <w:bottom w:val="single" w:sz="8" w:space="0" w:color="auto"/>
              <w:right w:val="single" w:sz="8" w:space="0" w:color="auto"/>
            </w:tcBorders>
            <w:shd w:val="clear" w:color="000000" w:fill="E7E6E6"/>
            <w:noWrap/>
            <w:vAlign w:val="center"/>
            <w:hideMark/>
          </w:tcPr>
          <w:p w14:paraId="63C83696"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347.620.945.000</w:t>
            </w:r>
          </w:p>
        </w:tc>
      </w:tr>
      <w:tr w:rsidR="00F80E95" w:rsidRPr="00F80E95" w14:paraId="3FFC4923"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2851EEB9"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6A40024D" w14:textId="77777777" w:rsidR="00F80E95" w:rsidRPr="00F80E95" w:rsidRDefault="00F80E95" w:rsidP="00F80E95">
            <w:pPr>
              <w:ind w:left="0"/>
              <w:rPr>
                <w:rFonts w:ascii="Arial" w:hAnsi="Arial" w:cs="Arial"/>
                <w:sz w:val="16"/>
                <w:szCs w:val="16"/>
                <w:lang w:val="en-US" w:eastAsia="en-US"/>
              </w:rPr>
            </w:pPr>
            <w:r w:rsidRPr="00F80E95">
              <w:rPr>
                <w:rFonts w:ascii="Arial" w:hAnsi="Arial" w:cs="Arial"/>
                <w:sz w:val="16"/>
                <w:szCs w:val="16"/>
                <w:lang w:val="en-US" w:eastAsia="en-US"/>
              </w:rPr>
              <w:t xml:space="preserve"> ACPM, Fuel Oil </w:t>
            </w:r>
          </w:p>
        </w:tc>
        <w:tc>
          <w:tcPr>
            <w:tcW w:w="2552" w:type="dxa"/>
            <w:tcBorders>
              <w:top w:val="nil"/>
              <w:left w:val="nil"/>
              <w:bottom w:val="single" w:sz="8" w:space="0" w:color="auto"/>
              <w:right w:val="single" w:sz="8" w:space="0" w:color="auto"/>
            </w:tcBorders>
            <w:shd w:val="clear" w:color="000000" w:fill="E7E6E6"/>
            <w:noWrap/>
            <w:vAlign w:val="center"/>
            <w:hideMark/>
          </w:tcPr>
          <w:p w14:paraId="34A52EAC"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203.556.260.247</w:t>
            </w:r>
          </w:p>
        </w:tc>
      </w:tr>
      <w:tr w:rsidR="00F80E95" w:rsidRPr="00F80E95" w14:paraId="115E1C85"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4C8E9696"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1533CE4A"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Gastos de distribución y/o comercialización de gas combustible por redes </w:t>
            </w:r>
          </w:p>
        </w:tc>
        <w:tc>
          <w:tcPr>
            <w:tcW w:w="2552" w:type="dxa"/>
            <w:tcBorders>
              <w:top w:val="nil"/>
              <w:left w:val="nil"/>
              <w:bottom w:val="single" w:sz="8" w:space="0" w:color="auto"/>
              <w:right w:val="single" w:sz="8" w:space="0" w:color="auto"/>
            </w:tcBorders>
            <w:shd w:val="clear" w:color="000000" w:fill="E7E6E6"/>
            <w:noWrap/>
            <w:vAlign w:val="center"/>
            <w:hideMark/>
          </w:tcPr>
          <w:p w14:paraId="7F7D9F88"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5.674.343.197.526</w:t>
            </w:r>
          </w:p>
        </w:tc>
      </w:tr>
      <w:tr w:rsidR="00F80E95" w:rsidRPr="00F80E95" w14:paraId="67DC6A68" w14:textId="77777777" w:rsidTr="00F80E95">
        <w:trPr>
          <w:trHeight w:val="300"/>
        </w:trPr>
        <w:tc>
          <w:tcPr>
            <w:tcW w:w="2180" w:type="dxa"/>
            <w:tcBorders>
              <w:top w:val="nil"/>
              <w:left w:val="single" w:sz="8" w:space="0" w:color="auto"/>
              <w:bottom w:val="single" w:sz="8" w:space="0" w:color="auto"/>
              <w:right w:val="single" w:sz="8" w:space="0" w:color="auto"/>
            </w:tcBorders>
            <w:shd w:val="clear" w:color="000000" w:fill="E7E6E6"/>
            <w:noWrap/>
            <w:vAlign w:val="center"/>
            <w:hideMark/>
          </w:tcPr>
          <w:p w14:paraId="6278D462" w14:textId="77777777" w:rsidR="00F80E95" w:rsidRPr="00F80E95" w:rsidRDefault="00F80E95" w:rsidP="00F80E95">
            <w:pPr>
              <w:ind w:left="0"/>
              <w:rPr>
                <w:rFonts w:ascii="Arial" w:hAnsi="Arial" w:cs="Arial"/>
                <w:sz w:val="16"/>
                <w:szCs w:val="16"/>
                <w:lang w:val="en-US" w:eastAsia="en-US"/>
              </w:rPr>
            </w:pPr>
            <w:proofErr w:type="spellStart"/>
            <w:r w:rsidRPr="00F80E95">
              <w:rPr>
                <w:rFonts w:ascii="Arial" w:hAnsi="Arial" w:cs="Arial"/>
                <w:sz w:val="16"/>
                <w:szCs w:val="16"/>
                <w:lang w:val="en-US" w:eastAsia="en-US"/>
              </w:rPr>
              <w:t>Operativo</w:t>
            </w:r>
            <w:proofErr w:type="spellEnd"/>
          </w:p>
        </w:tc>
        <w:tc>
          <w:tcPr>
            <w:tcW w:w="4624" w:type="dxa"/>
            <w:tcBorders>
              <w:top w:val="nil"/>
              <w:left w:val="nil"/>
              <w:bottom w:val="single" w:sz="8" w:space="0" w:color="auto"/>
              <w:right w:val="single" w:sz="8" w:space="0" w:color="auto"/>
            </w:tcBorders>
            <w:shd w:val="clear" w:color="000000" w:fill="E7E6E6"/>
            <w:noWrap/>
            <w:vAlign w:val="center"/>
            <w:hideMark/>
          </w:tcPr>
          <w:p w14:paraId="5078AB09" w14:textId="77777777" w:rsidR="00F80E95" w:rsidRPr="00F80E95" w:rsidRDefault="00F80E95" w:rsidP="00F80E95">
            <w:pPr>
              <w:ind w:left="0"/>
              <w:rPr>
                <w:rFonts w:ascii="Arial" w:hAnsi="Arial" w:cs="Arial"/>
                <w:sz w:val="16"/>
                <w:szCs w:val="16"/>
                <w:lang w:val="es-CO" w:eastAsia="en-US"/>
              </w:rPr>
            </w:pPr>
            <w:r w:rsidRPr="00F80E95">
              <w:rPr>
                <w:rFonts w:ascii="Arial" w:hAnsi="Arial" w:cs="Arial"/>
                <w:sz w:val="16"/>
                <w:szCs w:val="16"/>
                <w:lang w:val="es-CO" w:eastAsia="en-US"/>
              </w:rPr>
              <w:t xml:space="preserve"> Gastos de distribución y/o comercialización de gas licuado de petróleo - GLP </w:t>
            </w:r>
          </w:p>
        </w:tc>
        <w:tc>
          <w:tcPr>
            <w:tcW w:w="2552" w:type="dxa"/>
            <w:tcBorders>
              <w:top w:val="nil"/>
              <w:left w:val="nil"/>
              <w:bottom w:val="single" w:sz="8" w:space="0" w:color="auto"/>
              <w:right w:val="single" w:sz="8" w:space="0" w:color="auto"/>
            </w:tcBorders>
            <w:shd w:val="clear" w:color="000000" w:fill="E7E6E6"/>
            <w:noWrap/>
            <w:vAlign w:val="center"/>
            <w:hideMark/>
          </w:tcPr>
          <w:p w14:paraId="404666A4" w14:textId="77777777" w:rsidR="00F80E95" w:rsidRPr="00F80E95" w:rsidRDefault="00F80E95" w:rsidP="00F80E95">
            <w:pPr>
              <w:ind w:left="0"/>
              <w:jc w:val="right"/>
              <w:rPr>
                <w:rFonts w:ascii="Arial" w:hAnsi="Arial" w:cs="Arial"/>
                <w:sz w:val="16"/>
                <w:szCs w:val="16"/>
                <w:lang w:val="en-US" w:eastAsia="en-US"/>
              </w:rPr>
            </w:pPr>
            <w:r w:rsidRPr="00F80E95">
              <w:rPr>
                <w:rFonts w:ascii="Arial" w:hAnsi="Arial" w:cs="Arial"/>
                <w:sz w:val="16"/>
                <w:szCs w:val="16"/>
                <w:lang w:eastAsia="en-US"/>
              </w:rPr>
              <w:t>1.333.072.011.536</w:t>
            </w:r>
          </w:p>
        </w:tc>
      </w:tr>
      <w:tr w:rsidR="00F80E95" w:rsidRPr="00F80E95" w14:paraId="6E6D1EA9" w14:textId="77777777" w:rsidTr="00F80E95">
        <w:trPr>
          <w:trHeight w:val="300"/>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EB06E7" w14:textId="13A24C2D" w:rsidR="00F80E95" w:rsidRPr="00F80E95" w:rsidRDefault="00F80E95" w:rsidP="00F80E95">
            <w:pPr>
              <w:ind w:left="0"/>
              <w:rPr>
                <w:rFonts w:ascii="Arial" w:hAnsi="Arial" w:cs="Arial"/>
                <w:b/>
                <w:bCs/>
                <w:color w:val="000000"/>
                <w:sz w:val="16"/>
                <w:szCs w:val="16"/>
                <w:lang w:val="es-CO" w:eastAsia="en-US"/>
              </w:rPr>
            </w:pPr>
            <w:proofErr w:type="gramStart"/>
            <w:r w:rsidRPr="00F80E95">
              <w:rPr>
                <w:rFonts w:ascii="Arial" w:hAnsi="Arial" w:cs="Arial"/>
                <w:b/>
                <w:bCs/>
                <w:color w:val="000000"/>
                <w:sz w:val="16"/>
                <w:szCs w:val="16"/>
                <w:lang w:val="es-CO" w:eastAsia="en-US"/>
              </w:rPr>
              <w:t>TOTAL</w:t>
            </w:r>
            <w:proofErr w:type="gramEnd"/>
            <w:r w:rsidRPr="00F80E95">
              <w:rPr>
                <w:rFonts w:ascii="Arial" w:hAnsi="Arial" w:cs="Arial"/>
                <w:b/>
                <w:bCs/>
                <w:color w:val="000000"/>
                <w:sz w:val="16"/>
                <w:szCs w:val="16"/>
                <w:lang w:val="es-CO" w:eastAsia="en-US"/>
              </w:rPr>
              <w:t xml:space="preserve"> BASE GRAVABLE CON REPORTE</w:t>
            </w:r>
            <w:r w:rsidR="00E56065">
              <w:rPr>
                <w:rFonts w:ascii="Arial" w:hAnsi="Arial" w:cs="Arial"/>
                <w:b/>
                <w:bCs/>
                <w:color w:val="000000"/>
                <w:sz w:val="16"/>
                <w:szCs w:val="16"/>
                <w:lang w:val="es-CO" w:eastAsia="en-US"/>
              </w:rPr>
              <w:t xml:space="preserve"> SUI-SSPD</w:t>
            </w:r>
          </w:p>
        </w:tc>
        <w:tc>
          <w:tcPr>
            <w:tcW w:w="2552" w:type="dxa"/>
            <w:tcBorders>
              <w:top w:val="nil"/>
              <w:left w:val="nil"/>
              <w:bottom w:val="single" w:sz="8" w:space="0" w:color="auto"/>
              <w:right w:val="single" w:sz="8" w:space="0" w:color="auto"/>
            </w:tcBorders>
            <w:shd w:val="clear" w:color="auto" w:fill="auto"/>
            <w:noWrap/>
            <w:vAlign w:val="center"/>
            <w:hideMark/>
          </w:tcPr>
          <w:p w14:paraId="0C748DB5" w14:textId="77777777" w:rsidR="00F80E95" w:rsidRPr="00F80E95" w:rsidRDefault="00F80E95" w:rsidP="00F80E95">
            <w:pPr>
              <w:ind w:left="0"/>
              <w:jc w:val="right"/>
              <w:rPr>
                <w:rFonts w:ascii="Arial" w:hAnsi="Arial" w:cs="Arial"/>
                <w:b/>
                <w:bCs/>
                <w:color w:val="000000"/>
                <w:sz w:val="16"/>
                <w:szCs w:val="16"/>
                <w:lang w:val="en-US" w:eastAsia="en-US"/>
              </w:rPr>
            </w:pPr>
            <w:r w:rsidRPr="00F80E95">
              <w:rPr>
                <w:rFonts w:ascii="Arial" w:hAnsi="Arial" w:cs="Arial"/>
                <w:b/>
                <w:bCs/>
                <w:color w:val="000000"/>
                <w:sz w:val="16"/>
                <w:szCs w:val="16"/>
                <w:lang w:val="es-CO" w:eastAsia="en-US"/>
              </w:rPr>
              <w:t>36.261.944.772.584</w:t>
            </w:r>
          </w:p>
        </w:tc>
      </w:tr>
      <w:tr w:rsidR="00F80E95" w:rsidRPr="00F80E95" w14:paraId="33D2A2B6" w14:textId="77777777" w:rsidTr="00F80E95">
        <w:trPr>
          <w:trHeight w:val="300"/>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3E254A" w14:textId="77777777" w:rsidR="00F80E95" w:rsidRPr="00F80E95" w:rsidRDefault="00F80E95" w:rsidP="00F80E95">
            <w:pPr>
              <w:ind w:left="0"/>
              <w:rPr>
                <w:rFonts w:ascii="Arial" w:hAnsi="Arial" w:cs="Arial"/>
                <w:b/>
                <w:bCs/>
                <w:color w:val="000000"/>
                <w:sz w:val="16"/>
                <w:szCs w:val="16"/>
                <w:lang w:val="en-US" w:eastAsia="en-US"/>
              </w:rPr>
            </w:pPr>
            <w:r w:rsidRPr="00F80E95">
              <w:rPr>
                <w:rFonts w:ascii="Arial" w:hAnsi="Arial" w:cs="Arial"/>
                <w:b/>
                <w:bCs/>
                <w:color w:val="000000"/>
                <w:sz w:val="16"/>
                <w:szCs w:val="16"/>
                <w:lang w:val="es-CO" w:eastAsia="en-US"/>
              </w:rPr>
              <w:t>SUBTOTAL GASTOS ADMINISTRATIVOS (FUNCIONAMIENTO)</w:t>
            </w:r>
          </w:p>
        </w:tc>
        <w:tc>
          <w:tcPr>
            <w:tcW w:w="2552" w:type="dxa"/>
            <w:tcBorders>
              <w:top w:val="nil"/>
              <w:left w:val="nil"/>
              <w:bottom w:val="single" w:sz="8" w:space="0" w:color="auto"/>
              <w:right w:val="single" w:sz="8" w:space="0" w:color="auto"/>
            </w:tcBorders>
            <w:shd w:val="clear" w:color="auto" w:fill="auto"/>
            <w:noWrap/>
            <w:vAlign w:val="center"/>
            <w:hideMark/>
          </w:tcPr>
          <w:p w14:paraId="4A29774D" w14:textId="77777777" w:rsidR="00F80E95" w:rsidRPr="00F80E95" w:rsidRDefault="00F80E95" w:rsidP="00F80E95">
            <w:pPr>
              <w:ind w:left="0"/>
              <w:jc w:val="right"/>
              <w:rPr>
                <w:rFonts w:ascii="Arial" w:hAnsi="Arial" w:cs="Arial"/>
                <w:b/>
                <w:bCs/>
                <w:color w:val="000000"/>
                <w:sz w:val="16"/>
                <w:szCs w:val="16"/>
                <w:lang w:val="en-US" w:eastAsia="en-US"/>
              </w:rPr>
            </w:pPr>
            <w:r w:rsidRPr="00F80E95">
              <w:rPr>
                <w:rFonts w:ascii="Arial" w:hAnsi="Arial" w:cs="Arial"/>
                <w:b/>
                <w:bCs/>
                <w:color w:val="000000"/>
                <w:sz w:val="16"/>
                <w:szCs w:val="16"/>
                <w:lang w:val="es-CO" w:eastAsia="en-US"/>
              </w:rPr>
              <w:t>3.105.185.799.222</w:t>
            </w:r>
          </w:p>
        </w:tc>
      </w:tr>
      <w:tr w:rsidR="00F80E95" w:rsidRPr="00F80E95" w14:paraId="364D2035" w14:textId="77777777" w:rsidTr="00F80E95">
        <w:trPr>
          <w:trHeight w:val="300"/>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B8DC83" w14:textId="77777777" w:rsidR="00F80E95" w:rsidRPr="00F80E95" w:rsidRDefault="00F80E95" w:rsidP="00F80E95">
            <w:pPr>
              <w:ind w:left="0"/>
              <w:rPr>
                <w:rFonts w:ascii="Arial" w:hAnsi="Arial" w:cs="Arial"/>
                <w:b/>
                <w:bCs/>
                <w:color w:val="000000"/>
                <w:sz w:val="16"/>
                <w:szCs w:val="16"/>
                <w:lang w:val="en-US" w:eastAsia="en-US"/>
              </w:rPr>
            </w:pPr>
            <w:r w:rsidRPr="00F80E95">
              <w:rPr>
                <w:rFonts w:ascii="Arial" w:hAnsi="Arial" w:cs="Arial"/>
                <w:b/>
                <w:bCs/>
                <w:color w:val="000000"/>
                <w:sz w:val="16"/>
                <w:szCs w:val="16"/>
                <w:lang w:val="es-CO" w:eastAsia="en-US"/>
              </w:rPr>
              <w:t>SUBTOTAL GASTOS OPERATIVOS</w:t>
            </w:r>
          </w:p>
        </w:tc>
        <w:tc>
          <w:tcPr>
            <w:tcW w:w="2552" w:type="dxa"/>
            <w:tcBorders>
              <w:top w:val="nil"/>
              <w:left w:val="nil"/>
              <w:bottom w:val="single" w:sz="8" w:space="0" w:color="auto"/>
              <w:right w:val="single" w:sz="8" w:space="0" w:color="auto"/>
            </w:tcBorders>
            <w:shd w:val="clear" w:color="auto" w:fill="auto"/>
            <w:noWrap/>
            <w:vAlign w:val="center"/>
            <w:hideMark/>
          </w:tcPr>
          <w:p w14:paraId="78F0507F" w14:textId="77777777" w:rsidR="00F80E95" w:rsidRPr="00F80E95" w:rsidRDefault="00F80E95" w:rsidP="00F80E95">
            <w:pPr>
              <w:ind w:left="0"/>
              <w:jc w:val="right"/>
              <w:rPr>
                <w:rFonts w:ascii="Arial" w:hAnsi="Arial" w:cs="Arial"/>
                <w:b/>
                <w:bCs/>
                <w:color w:val="000000"/>
                <w:sz w:val="16"/>
                <w:szCs w:val="16"/>
                <w:lang w:val="en-US" w:eastAsia="en-US"/>
              </w:rPr>
            </w:pPr>
            <w:r w:rsidRPr="00F80E95">
              <w:rPr>
                <w:rFonts w:ascii="Arial" w:hAnsi="Arial" w:cs="Arial"/>
                <w:b/>
                <w:bCs/>
                <w:color w:val="000000"/>
                <w:sz w:val="16"/>
                <w:szCs w:val="16"/>
                <w:lang w:val="es-CO" w:eastAsia="en-US"/>
              </w:rPr>
              <w:t>33.156.758.973.362</w:t>
            </w:r>
          </w:p>
        </w:tc>
      </w:tr>
    </w:tbl>
    <w:p w14:paraId="2A5A6CCC" w14:textId="77777777" w:rsidR="00F80E95" w:rsidRDefault="00F80E95" w:rsidP="00246D18">
      <w:pPr>
        <w:ind w:left="0"/>
        <w:jc w:val="both"/>
        <w:rPr>
          <w:rFonts w:ascii="Bookman Old Style" w:hAnsi="Bookman Old Style" w:cs="Arial"/>
        </w:rPr>
      </w:pPr>
    </w:p>
    <w:p w14:paraId="3442DF62" w14:textId="0C93CB0C" w:rsidR="00152956" w:rsidRDefault="00D06817" w:rsidP="00D06817">
      <w:pPr>
        <w:pStyle w:val="Textoindependiente"/>
        <w:ind w:left="0"/>
        <w:jc w:val="both"/>
        <w:rPr>
          <w:rFonts w:ascii="Bookman Old Style" w:hAnsi="Bookman Old Style"/>
          <w:b w:val="0"/>
          <w:bCs w:val="0"/>
        </w:rPr>
      </w:pPr>
      <w:r w:rsidRPr="00D06817">
        <w:rPr>
          <w:rFonts w:ascii="Bookman Old Style" w:hAnsi="Bookman Old Style"/>
          <w:b w:val="0"/>
          <w:bCs w:val="0"/>
        </w:rPr>
        <w:t xml:space="preserve">La base gravable es un componente para hallar </w:t>
      </w:r>
      <w:r w:rsidR="006717CC">
        <w:rPr>
          <w:rFonts w:ascii="Bookman Old Style" w:hAnsi="Bookman Old Style"/>
          <w:b w:val="0"/>
          <w:bCs w:val="0"/>
        </w:rPr>
        <w:t>la tarifa y la porción adicional de gastos operativos en caso de ser necesario utilizar para cubrir faltantes presupuestales</w:t>
      </w:r>
      <w:r w:rsidR="00F671B1">
        <w:rPr>
          <w:rFonts w:ascii="Bookman Old Style" w:hAnsi="Bookman Old Style"/>
          <w:b w:val="0"/>
          <w:bCs w:val="0"/>
        </w:rPr>
        <w:t>,</w:t>
      </w:r>
      <w:r w:rsidR="006717CC">
        <w:rPr>
          <w:rFonts w:ascii="Bookman Old Style" w:hAnsi="Bookman Old Style"/>
          <w:b w:val="0"/>
          <w:bCs w:val="0"/>
        </w:rPr>
        <w:t xml:space="preserve"> y </w:t>
      </w:r>
      <w:r w:rsidRPr="00D06817">
        <w:rPr>
          <w:rFonts w:ascii="Bookman Old Style" w:hAnsi="Bookman Old Style"/>
          <w:b w:val="0"/>
          <w:bCs w:val="0"/>
        </w:rPr>
        <w:t>en el entendido que como denominador es la sumatoria de las bases gravables de los sujetos pasivos, conforme a la f</w:t>
      </w:r>
      <w:r w:rsidR="00926FC1">
        <w:rPr>
          <w:rFonts w:ascii="Bookman Old Style" w:hAnsi="Bookman Old Style"/>
          <w:b w:val="0"/>
          <w:bCs w:val="0"/>
        </w:rPr>
        <w:t>ó</w:t>
      </w:r>
      <w:r w:rsidRPr="00D06817">
        <w:rPr>
          <w:rFonts w:ascii="Bookman Old Style" w:hAnsi="Bookman Old Style"/>
          <w:b w:val="0"/>
          <w:bCs w:val="0"/>
        </w:rPr>
        <w:t xml:space="preserve">rmula aplicable determinada por la normatividad vigente al año a liquidar. </w:t>
      </w:r>
    </w:p>
    <w:p w14:paraId="1CDC9606" w14:textId="77777777" w:rsidR="00152956" w:rsidRDefault="00152956" w:rsidP="00D06817">
      <w:pPr>
        <w:pStyle w:val="Textoindependiente"/>
        <w:ind w:left="0"/>
        <w:jc w:val="both"/>
        <w:rPr>
          <w:rFonts w:ascii="Bookman Old Style" w:hAnsi="Bookman Old Style"/>
          <w:b w:val="0"/>
          <w:bCs w:val="0"/>
        </w:rPr>
      </w:pPr>
    </w:p>
    <w:p w14:paraId="331A4CEB" w14:textId="1CE14EF3" w:rsidR="00EC429D" w:rsidRPr="00EC429D" w:rsidRDefault="00EC429D" w:rsidP="00D77BC7">
      <w:pPr>
        <w:ind w:left="0"/>
        <w:jc w:val="both"/>
        <w:rPr>
          <w:rFonts w:ascii="Bookman Old Style" w:hAnsi="Bookman Old Style" w:cs="Arial"/>
        </w:rPr>
      </w:pPr>
      <w:bookmarkStart w:id="2" w:name="_Hlk51790659"/>
      <w:r w:rsidRPr="00EC429D">
        <w:rPr>
          <w:rFonts w:ascii="Bookman Old Style" w:hAnsi="Bookman Old Style" w:cs="Arial"/>
        </w:rPr>
        <w:t xml:space="preserve">La tarifa es un </w:t>
      </w:r>
      <w:r w:rsidR="00E50FE5">
        <w:rPr>
          <w:rFonts w:ascii="Bookman Old Style" w:hAnsi="Bookman Old Style" w:cs="Arial"/>
        </w:rPr>
        <w:t>porcentaje</w:t>
      </w:r>
      <w:r w:rsidRPr="00EC429D">
        <w:rPr>
          <w:rFonts w:ascii="Bookman Old Style" w:hAnsi="Bookman Old Style" w:cs="Arial"/>
        </w:rPr>
        <w:t xml:space="preserve"> </w:t>
      </w:r>
      <w:r w:rsidR="007A7C5C">
        <w:rPr>
          <w:rFonts w:ascii="Bookman Old Style" w:hAnsi="Bookman Old Style" w:cs="Arial"/>
        </w:rPr>
        <w:t>variable</w:t>
      </w:r>
      <w:r w:rsidRPr="00EC429D">
        <w:rPr>
          <w:rFonts w:ascii="Bookman Old Style" w:hAnsi="Bookman Old Style" w:cs="Arial"/>
        </w:rPr>
        <w:t xml:space="preserve"> con el cual se determina el valor a pagar por cada regulado contribuyente de la contribución especial </w:t>
      </w:r>
      <w:r>
        <w:rPr>
          <w:rFonts w:ascii="Bookman Old Style" w:hAnsi="Bookman Old Style" w:cs="Arial"/>
        </w:rPr>
        <w:t xml:space="preserve">en una vigencia específica, la cual </w:t>
      </w:r>
      <w:r w:rsidRPr="00EC429D">
        <w:rPr>
          <w:rFonts w:ascii="Bookman Old Style" w:hAnsi="Bookman Old Style" w:cs="Arial"/>
        </w:rPr>
        <w:t>será hallada tomando el presupuesto vigente de la CREG</w:t>
      </w:r>
      <w:r w:rsidR="00926FC1">
        <w:rPr>
          <w:rFonts w:ascii="Bookman Old Style" w:hAnsi="Bookman Old Style" w:cs="Arial"/>
        </w:rPr>
        <w:t>,</w:t>
      </w:r>
      <w:r w:rsidRPr="00EC429D">
        <w:rPr>
          <w:rFonts w:ascii="Bookman Old Style" w:hAnsi="Bookman Old Style" w:cs="Arial"/>
        </w:rPr>
        <w:t xml:space="preserve"> el cual será dividido sobre la sumatoria de las bases gravables de los sujetos </w:t>
      </w:r>
      <w:r w:rsidRPr="00EC429D">
        <w:rPr>
          <w:rFonts w:ascii="Bookman Old Style" w:hAnsi="Bookman Old Style" w:cs="Arial"/>
        </w:rPr>
        <w:lastRenderedPageBreak/>
        <w:t>pasivos.</w:t>
      </w:r>
      <w:r>
        <w:rPr>
          <w:rFonts w:ascii="Bookman Old Style" w:hAnsi="Bookman Old Style" w:cs="Arial"/>
        </w:rPr>
        <w:t xml:space="preserve"> </w:t>
      </w:r>
      <w:r w:rsidR="00067ABB" w:rsidRPr="00067ABB">
        <w:rPr>
          <w:rFonts w:ascii="Bookman Old Style" w:hAnsi="Bookman Old Style" w:cs="Arial"/>
        </w:rPr>
        <w:t xml:space="preserve">La tarifa no podrá ser superior al uno por ciento (1%) de las respectivas bases gravables, </w:t>
      </w:r>
      <w:r w:rsidR="00067ABB">
        <w:rPr>
          <w:rFonts w:ascii="Bookman Old Style" w:hAnsi="Bookman Old Style" w:cs="Arial"/>
        </w:rPr>
        <w:t xml:space="preserve">teniendo en cuenta </w:t>
      </w:r>
      <w:r w:rsidR="00067ABB" w:rsidRPr="00067ABB">
        <w:rPr>
          <w:rFonts w:ascii="Bookman Old Style" w:hAnsi="Bookman Old Style" w:cs="Arial"/>
        </w:rPr>
        <w:t>los casos en los cuales sea aplicable el parágrafo 2 del artículo 85 de la Ley 142 de 1994.</w:t>
      </w:r>
    </w:p>
    <w:p w14:paraId="1305AFD6" w14:textId="77777777" w:rsidR="00EC429D" w:rsidRPr="00EC429D" w:rsidRDefault="00EC429D" w:rsidP="00EC429D">
      <w:pPr>
        <w:rPr>
          <w:rFonts w:ascii="Bookman Old Style" w:hAnsi="Bookman Old Style" w:cs="Arial"/>
        </w:rPr>
      </w:pPr>
    </w:p>
    <w:p w14:paraId="5C375DC3" w14:textId="77777777" w:rsidR="00EC429D" w:rsidRPr="00EC429D" w:rsidRDefault="00EC429D" w:rsidP="00EC429D">
      <w:pPr>
        <w:pStyle w:val="Textoindependiente"/>
        <w:ind w:left="0"/>
        <w:jc w:val="left"/>
        <w:rPr>
          <w:rFonts w:ascii="Bookman Old Style" w:hAnsi="Bookman Old Style"/>
          <w:b w:val="0"/>
          <w:bCs w:val="0"/>
        </w:rPr>
      </w:pPr>
      <w:r w:rsidRPr="00EC429D">
        <w:rPr>
          <w:rFonts w:ascii="Bookman Old Style" w:hAnsi="Bookman Old Style"/>
          <w:b w:val="0"/>
          <w:bCs w:val="0"/>
        </w:rPr>
        <w:t>La tarifa descrita se calculará de la siguiente manera:</w:t>
      </w:r>
    </w:p>
    <w:p w14:paraId="5314E472" w14:textId="77777777" w:rsidR="00EC429D" w:rsidRPr="00EC429D" w:rsidRDefault="00EC429D" w:rsidP="00EC429D">
      <w:pPr>
        <w:pStyle w:val="Textoindependiente"/>
        <w:jc w:val="left"/>
        <w:rPr>
          <w:rFonts w:ascii="Bookman Old Style" w:hAnsi="Bookman Old Style"/>
          <w:b w:val="0"/>
          <w:bCs w:val="0"/>
        </w:rPr>
      </w:pPr>
    </w:p>
    <w:p w14:paraId="638CC4C0" w14:textId="77777777" w:rsidR="00EC429D" w:rsidRPr="00EC429D" w:rsidRDefault="00EC429D" w:rsidP="00EC429D">
      <w:pPr>
        <w:pStyle w:val="Textoindependiente"/>
        <w:ind w:left="0"/>
        <w:jc w:val="left"/>
        <w:rPr>
          <w:rFonts w:ascii="Bookman Old Style" w:hAnsi="Bookman Old Style"/>
          <w:b w:val="0"/>
          <w:bCs w:val="0"/>
        </w:rPr>
      </w:pPr>
      <w:proofErr w:type="spellStart"/>
      <w:r w:rsidRPr="00EC429D">
        <w:rPr>
          <w:rFonts w:ascii="Bookman Old Style" w:hAnsi="Bookman Old Style"/>
          <w:b w:val="0"/>
          <w:bCs w:val="0"/>
        </w:rPr>
        <w:t>Tce</w:t>
      </w:r>
      <w:proofErr w:type="spellEnd"/>
      <w:r w:rsidRPr="00EC429D">
        <w:rPr>
          <w:rFonts w:ascii="Bookman Old Style" w:hAnsi="Bookman Old Style"/>
          <w:b w:val="0"/>
          <w:bCs w:val="0"/>
        </w:rPr>
        <w:t>: tarifa de la contribución especial.</w:t>
      </w:r>
    </w:p>
    <w:p w14:paraId="2A64E3B3" w14:textId="51DACB9D" w:rsidR="00EC429D" w:rsidRPr="00EC429D" w:rsidRDefault="00EC429D" w:rsidP="00EC429D">
      <w:pPr>
        <w:pStyle w:val="Textoindependiente"/>
        <w:ind w:left="0"/>
        <w:jc w:val="left"/>
        <w:rPr>
          <w:rFonts w:ascii="Bookman Old Style" w:hAnsi="Bookman Old Style"/>
          <w:b w:val="0"/>
          <w:bCs w:val="0"/>
        </w:rPr>
      </w:pPr>
      <w:proofErr w:type="spellStart"/>
      <w:r>
        <w:rPr>
          <w:rFonts w:ascii="Bookman Old Style" w:hAnsi="Bookman Old Style"/>
          <w:b w:val="0"/>
          <w:bCs w:val="0"/>
        </w:rPr>
        <w:t>PvC</w:t>
      </w:r>
      <w:proofErr w:type="spellEnd"/>
      <w:r>
        <w:rPr>
          <w:rFonts w:ascii="Bookman Old Style" w:hAnsi="Bookman Old Style"/>
          <w:b w:val="0"/>
          <w:bCs w:val="0"/>
        </w:rPr>
        <w:t>: presupuesto vigente de la CREG</w:t>
      </w:r>
    </w:p>
    <w:p w14:paraId="7B801DB8" w14:textId="77777777" w:rsidR="00EC429D" w:rsidRPr="00EC429D" w:rsidRDefault="000D1BD7" w:rsidP="00EC429D">
      <w:pPr>
        <w:pStyle w:val="Textoindependiente"/>
        <w:ind w:left="0"/>
        <w:jc w:val="left"/>
        <w:rPr>
          <w:rFonts w:ascii="Bookman Old Style" w:hAnsi="Bookman Old Style"/>
          <w:b w:val="0"/>
          <w:bCs w:val="0"/>
        </w:rPr>
      </w:pPr>
      <m:oMath>
        <m:nary>
          <m:naryPr>
            <m:chr m:val="∑"/>
            <m:subHide m:val="1"/>
            <m:supHide m:val="1"/>
            <m:ctrlPr>
              <w:rPr>
                <w:rFonts w:ascii="Cambria Math" w:hAnsi="Cambria Math"/>
                <w:b w:val="0"/>
                <w:bCs w:val="0"/>
              </w:rPr>
            </m:ctrlPr>
          </m:naryPr>
          <m:sub/>
          <m:sup/>
          <m:e>
            <m:r>
              <m:rPr>
                <m:sty m:val="bi"/>
              </m:rPr>
              <w:rPr>
                <w:rFonts w:ascii="Cambria Math" w:hAnsi="Cambria Math"/>
              </w:rPr>
              <m:t>bg</m:t>
            </m:r>
          </m:e>
        </m:nary>
        <m:r>
          <m:rPr>
            <m:sty m:val="b"/>
          </m:rPr>
          <w:rPr>
            <w:rFonts w:ascii="Cambria Math" w:hAnsi="Cambria Math"/>
          </w:rPr>
          <m:t xml:space="preserve">: </m:t>
        </m:r>
      </m:oMath>
      <w:r w:rsidR="00EC429D" w:rsidRPr="00EC429D">
        <w:rPr>
          <w:rFonts w:ascii="Bookman Old Style" w:hAnsi="Bookman Old Style"/>
          <w:b w:val="0"/>
          <w:bCs w:val="0"/>
        </w:rPr>
        <w:t xml:space="preserve">Sumatoria de las bases gravables de los sujetos pasivos. </w:t>
      </w:r>
    </w:p>
    <w:p w14:paraId="021E6565" w14:textId="77777777" w:rsidR="00EC429D" w:rsidRDefault="00EC429D" w:rsidP="00EC429D">
      <w:pPr>
        <w:pStyle w:val="Textoindependiente"/>
        <w:ind w:left="0"/>
        <w:jc w:val="left"/>
        <w:rPr>
          <w:sz w:val="28"/>
          <w:szCs w:val="28"/>
        </w:rPr>
      </w:pPr>
    </w:p>
    <w:p w14:paraId="2DFFB125" w14:textId="45C1A4E8" w:rsidR="00EC429D" w:rsidRPr="00323A3F" w:rsidRDefault="00EC429D" w:rsidP="00EC429D">
      <w:pPr>
        <w:pStyle w:val="Textoindependiente"/>
        <w:ind w:left="0"/>
        <w:jc w:val="left"/>
        <w:rPr>
          <w:sz w:val="22"/>
          <w:szCs w:val="22"/>
        </w:rPr>
      </w:pPr>
      <m:oMath>
        <m:r>
          <m:rPr>
            <m:sty m:val="bi"/>
          </m:rPr>
          <w:rPr>
            <w:rFonts w:ascii="Cambria Math" w:hAnsi="Cambria Math"/>
            <w:sz w:val="28"/>
            <w:szCs w:val="28"/>
          </w:rPr>
          <m:t xml:space="preserve">Tce= </m:t>
        </m:r>
        <m:f>
          <m:fPr>
            <m:ctrlPr>
              <w:rPr>
                <w:rFonts w:ascii="Cambria Math" w:hAnsi="Cambria Math"/>
                <w:i/>
                <w:sz w:val="28"/>
                <w:szCs w:val="28"/>
              </w:rPr>
            </m:ctrlPr>
          </m:fPr>
          <m:num>
            <m:r>
              <m:rPr>
                <m:sty m:val="bi"/>
              </m:rPr>
              <w:rPr>
                <w:rFonts w:ascii="Cambria Math" w:hAnsi="Cambria Math"/>
                <w:sz w:val="28"/>
                <w:szCs w:val="28"/>
              </w:rPr>
              <m:t xml:space="preserve">Pv </m:t>
            </m:r>
          </m:num>
          <m:den>
            <m:nary>
              <m:naryPr>
                <m:chr m:val="∑"/>
                <m:subHide m:val="1"/>
                <m:supHide m:val="1"/>
                <m:ctrlPr>
                  <w:rPr>
                    <w:rFonts w:ascii="Cambria Math" w:hAnsi="Cambria Math"/>
                    <w:i/>
                    <w:sz w:val="28"/>
                    <w:szCs w:val="28"/>
                  </w:rPr>
                </m:ctrlPr>
              </m:naryPr>
              <m:sub/>
              <m:sup/>
              <m:e>
                <m:r>
                  <m:rPr>
                    <m:sty m:val="bi"/>
                  </m:rPr>
                  <w:rPr>
                    <w:rFonts w:ascii="Cambria Math" w:hAnsi="Cambria Math"/>
                    <w:sz w:val="28"/>
                    <w:szCs w:val="28"/>
                  </w:rPr>
                  <m:t>bg</m:t>
                </m:r>
              </m:e>
            </m:nary>
          </m:den>
        </m:f>
      </m:oMath>
      <w:r>
        <w:rPr>
          <w:sz w:val="28"/>
          <w:szCs w:val="28"/>
        </w:rPr>
        <w:t xml:space="preserve"> </w:t>
      </w:r>
    </w:p>
    <w:p w14:paraId="453BAE62" w14:textId="77777777" w:rsidR="00EC429D" w:rsidRDefault="00EC429D" w:rsidP="00EC429D">
      <w:pPr>
        <w:pStyle w:val="Textoindependiente"/>
        <w:ind w:left="0"/>
        <w:jc w:val="left"/>
        <w:rPr>
          <w:sz w:val="22"/>
          <w:szCs w:val="22"/>
        </w:rPr>
      </w:pPr>
    </w:p>
    <w:bookmarkEnd w:id="2"/>
    <w:p w14:paraId="63429B6E" w14:textId="59092D22" w:rsidR="00440DC9" w:rsidRDefault="00692D39" w:rsidP="00440DC9">
      <w:pPr>
        <w:ind w:left="0"/>
        <w:jc w:val="both"/>
        <w:rPr>
          <w:rFonts w:ascii="Bookman Old Style" w:hAnsi="Bookman Old Style" w:cs="Arial"/>
        </w:rPr>
      </w:pPr>
      <w:r>
        <w:rPr>
          <w:rFonts w:ascii="Bookman Old Style" w:hAnsi="Bookman Old Style" w:cs="Arial"/>
        </w:rPr>
        <w:t>L</w:t>
      </w:r>
      <w:r w:rsidRPr="00733B4E">
        <w:rPr>
          <w:rFonts w:ascii="Bookman Old Style" w:hAnsi="Bookman Old Style" w:cs="Arial"/>
        </w:rPr>
        <w:t xml:space="preserve">a CREG realizó </w:t>
      </w:r>
      <w:r w:rsidR="008560BA">
        <w:rPr>
          <w:rFonts w:ascii="Bookman Old Style" w:hAnsi="Bookman Old Style" w:cs="Arial"/>
        </w:rPr>
        <w:t xml:space="preserve">el análisis de la </w:t>
      </w:r>
      <w:r w:rsidR="00885C78">
        <w:rPr>
          <w:rFonts w:ascii="Bookman Old Style" w:hAnsi="Bookman Old Style" w:cs="Arial"/>
        </w:rPr>
        <w:t xml:space="preserve">anterior </w:t>
      </w:r>
      <w:r w:rsidR="008560BA">
        <w:rPr>
          <w:rFonts w:ascii="Bookman Old Style" w:hAnsi="Bookman Old Style" w:cs="Arial"/>
        </w:rPr>
        <w:t xml:space="preserve">información financiera </w:t>
      </w:r>
      <w:r w:rsidR="00472268">
        <w:rPr>
          <w:rFonts w:ascii="Bookman Old Style" w:hAnsi="Bookman Old Style" w:cs="Arial"/>
        </w:rPr>
        <w:t xml:space="preserve">2021 </w:t>
      </w:r>
      <w:r w:rsidR="008560BA">
        <w:rPr>
          <w:rFonts w:ascii="Bookman Old Style" w:hAnsi="Bookman Old Style" w:cs="Arial"/>
        </w:rPr>
        <w:t xml:space="preserve">reportada </w:t>
      </w:r>
      <w:r w:rsidR="00885C78">
        <w:rPr>
          <w:rFonts w:ascii="Bookman Old Style" w:hAnsi="Bookman Old Style" w:cs="Arial"/>
        </w:rPr>
        <w:t>por los regulados</w:t>
      </w:r>
      <w:r w:rsidR="00440DC9">
        <w:rPr>
          <w:rFonts w:ascii="Bookman Old Style" w:hAnsi="Bookman Old Style" w:cs="Arial"/>
        </w:rPr>
        <w:t xml:space="preserve">, </w:t>
      </w:r>
      <w:r w:rsidR="00D27F7B">
        <w:rPr>
          <w:rFonts w:ascii="Bookman Old Style" w:hAnsi="Bookman Old Style" w:cs="Arial"/>
        </w:rPr>
        <w:t>a</w:t>
      </w:r>
      <w:r w:rsidRPr="00733B4E">
        <w:rPr>
          <w:rFonts w:ascii="Bookman Old Style" w:hAnsi="Bookman Old Style" w:cs="Arial"/>
        </w:rPr>
        <w:t xml:space="preserve"> efectos de </w:t>
      </w:r>
      <w:r w:rsidR="008560BA">
        <w:rPr>
          <w:rFonts w:ascii="Bookman Old Style" w:hAnsi="Bookman Old Style" w:cs="Arial"/>
        </w:rPr>
        <w:t xml:space="preserve">depurar y </w:t>
      </w:r>
      <w:r w:rsidRPr="00733B4E">
        <w:rPr>
          <w:rFonts w:ascii="Bookman Old Style" w:hAnsi="Bookman Old Style" w:cs="Arial"/>
        </w:rPr>
        <w:t xml:space="preserve">establecer </w:t>
      </w:r>
      <w:r w:rsidR="008560BA">
        <w:rPr>
          <w:rFonts w:ascii="Bookman Old Style" w:hAnsi="Bookman Old Style" w:cs="Arial"/>
        </w:rPr>
        <w:t xml:space="preserve">la base gravable y </w:t>
      </w:r>
      <w:r w:rsidRPr="00733B4E">
        <w:rPr>
          <w:rFonts w:ascii="Bookman Old Style" w:hAnsi="Bookman Old Style" w:cs="Arial"/>
        </w:rPr>
        <w:t xml:space="preserve">el monto de la tarifa de la </w:t>
      </w:r>
      <w:r w:rsidR="005A585C">
        <w:rPr>
          <w:rFonts w:ascii="Bookman Old Style" w:hAnsi="Bookman Old Style" w:cs="Arial"/>
        </w:rPr>
        <w:t>c</w:t>
      </w:r>
      <w:r w:rsidRPr="00733B4E">
        <w:rPr>
          <w:rFonts w:ascii="Bookman Old Style" w:hAnsi="Bookman Old Style" w:cs="Arial"/>
        </w:rPr>
        <w:t xml:space="preserve">ontribución </w:t>
      </w:r>
      <w:r w:rsidR="005A585C">
        <w:rPr>
          <w:rFonts w:ascii="Bookman Old Style" w:hAnsi="Bookman Old Style" w:cs="Arial"/>
        </w:rPr>
        <w:t>e</w:t>
      </w:r>
      <w:r w:rsidRPr="00733B4E">
        <w:rPr>
          <w:rFonts w:ascii="Bookman Old Style" w:hAnsi="Bookman Old Style" w:cs="Arial"/>
        </w:rPr>
        <w:t xml:space="preserve">special </w:t>
      </w:r>
      <w:r w:rsidR="00A5323B">
        <w:rPr>
          <w:rFonts w:ascii="Bookman Old Style" w:hAnsi="Bookman Old Style" w:cs="Arial"/>
        </w:rPr>
        <w:t xml:space="preserve">para la </w:t>
      </w:r>
      <w:r w:rsidRPr="00733B4E">
        <w:rPr>
          <w:rFonts w:ascii="Bookman Old Style" w:hAnsi="Bookman Old Style" w:cs="Arial"/>
        </w:rPr>
        <w:t>vigencia 20</w:t>
      </w:r>
      <w:r w:rsidR="0062044A">
        <w:rPr>
          <w:rFonts w:ascii="Bookman Old Style" w:hAnsi="Bookman Old Style" w:cs="Arial"/>
        </w:rPr>
        <w:t>22</w:t>
      </w:r>
      <w:r w:rsidRPr="00733B4E">
        <w:rPr>
          <w:rFonts w:ascii="Bookman Old Style" w:hAnsi="Bookman Old Style" w:cs="Arial"/>
        </w:rPr>
        <w:t xml:space="preserve">, </w:t>
      </w:r>
      <w:r w:rsidR="00A5323B">
        <w:rPr>
          <w:rFonts w:ascii="Bookman Old Style" w:hAnsi="Bookman Old Style" w:cs="Arial"/>
        </w:rPr>
        <w:t xml:space="preserve">a partir del presupuesto base neto de la CREG a recuperar como costo de prestación del servicio de regulación </w:t>
      </w:r>
      <w:r w:rsidR="00C409E5">
        <w:rPr>
          <w:rFonts w:ascii="Bookman Old Style" w:hAnsi="Bookman Old Style" w:cs="Arial"/>
        </w:rPr>
        <w:t xml:space="preserve">por </w:t>
      </w:r>
      <w:r w:rsidR="00C409E5" w:rsidRPr="00733B4E">
        <w:rPr>
          <w:rFonts w:ascii="Bookman Old Style" w:hAnsi="Bookman Old Style" w:cs="Arial"/>
        </w:rPr>
        <w:t>$</w:t>
      </w:r>
      <w:r w:rsidR="00B36D11">
        <w:rPr>
          <w:rFonts w:ascii="Bookman Old Style" w:hAnsi="Bookman Old Style" w:cs="Arial"/>
        </w:rPr>
        <w:t>32.904.004.874</w:t>
      </w:r>
      <w:r w:rsidR="00C409E5">
        <w:rPr>
          <w:rFonts w:ascii="Bookman Old Style" w:hAnsi="Bookman Old Style" w:cs="Arial"/>
        </w:rPr>
        <w:t xml:space="preserve"> </w:t>
      </w:r>
      <w:r w:rsidR="00A5323B">
        <w:rPr>
          <w:rFonts w:ascii="Bookman Old Style" w:hAnsi="Bookman Old Style" w:cs="Arial"/>
        </w:rPr>
        <w:t xml:space="preserve">y la cobertura de éste por parte de los gastos de funcionamiento </w:t>
      </w:r>
      <w:r w:rsidR="0050424C">
        <w:rPr>
          <w:rFonts w:ascii="Bookman Old Style" w:hAnsi="Bookman Old Style" w:cs="Arial"/>
        </w:rPr>
        <w:t>de</w:t>
      </w:r>
      <w:r w:rsidR="00A5323B">
        <w:rPr>
          <w:rFonts w:ascii="Bookman Old Style" w:hAnsi="Bookman Old Style" w:cs="Arial"/>
        </w:rPr>
        <w:t xml:space="preserve"> las empresas reguladas</w:t>
      </w:r>
      <w:r w:rsidR="0050424C">
        <w:rPr>
          <w:rFonts w:ascii="Bookman Old Style" w:hAnsi="Bookman Old Style" w:cs="Arial"/>
        </w:rPr>
        <w:t>;</w:t>
      </w:r>
      <w:r w:rsidR="00A5323B">
        <w:rPr>
          <w:rFonts w:ascii="Bookman Old Style" w:hAnsi="Bookman Old Style" w:cs="Arial"/>
        </w:rPr>
        <w:t xml:space="preserve"> </w:t>
      </w:r>
      <w:r w:rsidR="0050424C">
        <w:rPr>
          <w:rFonts w:ascii="Bookman Old Style" w:hAnsi="Bookman Old Style" w:cs="Arial"/>
        </w:rPr>
        <w:t>con el fin de</w:t>
      </w:r>
      <w:r w:rsidRPr="00733B4E">
        <w:rPr>
          <w:rFonts w:ascii="Bookman Old Style" w:hAnsi="Bookman Old Style" w:cs="Arial"/>
        </w:rPr>
        <w:t xml:space="preserve"> determinar </w:t>
      </w:r>
      <w:r w:rsidR="0093456B">
        <w:rPr>
          <w:rFonts w:ascii="Bookman Old Style" w:hAnsi="Bookman Old Style" w:cs="Arial"/>
        </w:rPr>
        <w:t>si es</w:t>
      </w:r>
      <w:r w:rsidR="005A585C">
        <w:rPr>
          <w:rFonts w:ascii="Bookman Old Style" w:hAnsi="Bookman Old Style" w:cs="Arial"/>
        </w:rPr>
        <w:t xml:space="preserve"> necesario el </w:t>
      </w:r>
      <w:r w:rsidR="005A585C" w:rsidRPr="00733B4E">
        <w:rPr>
          <w:rFonts w:ascii="Bookman Old Style" w:hAnsi="Bookman Old Style" w:cs="Arial"/>
        </w:rPr>
        <w:t>uso del parágrafo 2</w:t>
      </w:r>
      <w:r w:rsidR="005A585C">
        <w:rPr>
          <w:rFonts w:ascii="Bookman Old Style" w:hAnsi="Bookman Old Style" w:cs="Arial"/>
        </w:rPr>
        <w:t>°</w:t>
      </w:r>
      <w:r w:rsidR="005A585C" w:rsidRPr="00733B4E">
        <w:rPr>
          <w:rFonts w:ascii="Bookman Old Style" w:hAnsi="Bookman Old Style" w:cs="Arial"/>
        </w:rPr>
        <w:t xml:space="preserve"> del artículo 85 de la Ley 142 de 1994</w:t>
      </w:r>
      <w:r w:rsidR="0050424C">
        <w:rPr>
          <w:rFonts w:ascii="Bookman Old Style" w:hAnsi="Bookman Old Style" w:cs="Arial"/>
        </w:rPr>
        <w:t>,</w:t>
      </w:r>
      <w:r w:rsidR="00D27F7B">
        <w:rPr>
          <w:rFonts w:ascii="Bookman Old Style" w:hAnsi="Bookman Old Style" w:cs="Arial"/>
        </w:rPr>
        <w:t xml:space="preserve"> y</w:t>
      </w:r>
      <w:r w:rsidR="005A585C">
        <w:rPr>
          <w:rFonts w:ascii="Bookman Old Style" w:hAnsi="Bookman Old Style" w:cs="Arial"/>
        </w:rPr>
        <w:t xml:space="preserve"> </w:t>
      </w:r>
      <w:r w:rsidR="00D27F7B">
        <w:rPr>
          <w:rFonts w:ascii="Bookman Old Style" w:hAnsi="Bookman Old Style" w:cs="Arial"/>
        </w:rPr>
        <w:t>el monto</w:t>
      </w:r>
      <w:r w:rsidRPr="00733B4E">
        <w:rPr>
          <w:rFonts w:ascii="Bookman Old Style" w:hAnsi="Bookman Old Style" w:cs="Arial"/>
        </w:rPr>
        <w:t xml:space="preserve"> </w:t>
      </w:r>
      <w:r w:rsidR="00D27F7B">
        <w:rPr>
          <w:rFonts w:ascii="Bookman Old Style" w:hAnsi="Bookman Old Style" w:cs="Arial"/>
        </w:rPr>
        <w:t xml:space="preserve">de </w:t>
      </w:r>
      <w:r w:rsidRPr="00733B4E">
        <w:rPr>
          <w:rFonts w:ascii="Bookman Old Style" w:hAnsi="Bookman Old Style" w:cs="Arial"/>
        </w:rPr>
        <w:t xml:space="preserve">los gastos operativos </w:t>
      </w:r>
      <w:r w:rsidR="00A5323B">
        <w:rPr>
          <w:rFonts w:ascii="Bookman Old Style" w:hAnsi="Bookman Old Style" w:cs="Arial"/>
        </w:rPr>
        <w:t>indispensables</w:t>
      </w:r>
      <w:r w:rsidR="00D27F7B">
        <w:rPr>
          <w:rFonts w:ascii="Bookman Old Style" w:hAnsi="Bookman Old Style" w:cs="Arial"/>
        </w:rPr>
        <w:t xml:space="preserve"> para cubrir el faltante presupuestal, </w:t>
      </w:r>
      <w:r w:rsidRPr="00733B4E">
        <w:rPr>
          <w:rFonts w:ascii="Bookman Old Style" w:hAnsi="Bookman Old Style" w:cs="Arial"/>
        </w:rPr>
        <w:t xml:space="preserve">señalados en dicho parágrafo </w:t>
      </w:r>
      <w:r w:rsidR="00D27F7B">
        <w:rPr>
          <w:rFonts w:ascii="Bookman Old Style" w:hAnsi="Bookman Old Style" w:cs="Arial"/>
        </w:rPr>
        <w:t xml:space="preserve">y </w:t>
      </w:r>
      <w:r w:rsidR="00A5323B">
        <w:rPr>
          <w:rFonts w:ascii="Bookman Old Style" w:hAnsi="Bookman Old Style" w:cs="Arial"/>
        </w:rPr>
        <w:t>asignar</w:t>
      </w:r>
      <w:r w:rsidR="00D27F7B">
        <w:rPr>
          <w:rFonts w:ascii="Bookman Old Style" w:hAnsi="Bookman Old Style" w:cs="Arial"/>
        </w:rPr>
        <w:t xml:space="preserve"> la </w:t>
      </w:r>
      <w:r w:rsidRPr="00733B4E">
        <w:rPr>
          <w:rFonts w:ascii="Bookman Old Style" w:hAnsi="Bookman Old Style" w:cs="Arial"/>
        </w:rPr>
        <w:t xml:space="preserve">contribución </w:t>
      </w:r>
      <w:r w:rsidR="00D27F7B">
        <w:rPr>
          <w:rFonts w:ascii="Bookman Old Style" w:hAnsi="Bookman Old Style" w:cs="Arial"/>
        </w:rPr>
        <w:t xml:space="preserve">especial a favor de la CREG </w:t>
      </w:r>
      <w:r w:rsidRPr="00733B4E">
        <w:rPr>
          <w:rFonts w:ascii="Bookman Old Style" w:hAnsi="Bookman Old Style" w:cs="Arial"/>
        </w:rPr>
        <w:t xml:space="preserve">que deben pagar las </w:t>
      </w:r>
      <w:r w:rsidR="00A5323B">
        <w:rPr>
          <w:rFonts w:ascii="Bookman Old Style" w:hAnsi="Bookman Old Style" w:cs="Arial"/>
        </w:rPr>
        <w:t>empresas</w:t>
      </w:r>
      <w:r w:rsidRPr="00733B4E">
        <w:rPr>
          <w:rFonts w:ascii="Bookman Old Style" w:hAnsi="Bookman Old Style" w:cs="Arial"/>
        </w:rPr>
        <w:t xml:space="preserve"> sometidas a la regulación para el año 20</w:t>
      </w:r>
      <w:r w:rsidR="00395F30">
        <w:rPr>
          <w:rFonts w:ascii="Bookman Old Style" w:hAnsi="Bookman Old Style" w:cs="Arial"/>
        </w:rPr>
        <w:t>22</w:t>
      </w:r>
      <w:r w:rsidRPr="00733B4E">
        <w:rPr>
          <w:rFonts w:ascii="Bookman Old Style" w:hAnsi="Bookman Old Style" w:cs="Arial"/>
        </w:rPr>
        <w:t>.</w:t>
      </w:r>
    </w:p>
    <w:p w14:paraId="501554EF" w14:textId="77777777" w:rsidR="00604324" w:rsidRDefault="00604324" w:rsidP="00440DC9">
      <w:pPr>
        <w:ind w:left="0"/>
        <w:jc w:val="both"/>
        <w:rPr>
          <w:rFonts w:ascii="Bookman Old Style" w:hAnsi="Bookman Old Style" w:cs="Arial"/>
        </w:rPr>
      </w:pPr>
    </w:p>
    <w:p w14:paraId="1307C04A" w14:textId="044C0B95" w:rsidR="00692D39" w:rsidRDefault="00692D39" w:rsidP="00692D39">
      <w:pPr>
        <w:ind w:left="0"/>
        <w:jc w:val="both"/>
        <w:rPr>
          <w:rFonts w:ascii="Bookman Old Style" w:hAnsi="Bookman Old Style" w:cs="Arial"/>
        </w:rPr>
      </w:pPr>
      <w:r>
        <w:rPr>
          <w:rFonts w:ascii="Bookman Old Style" w:hAnsi="Bookman Old Style" w:cs="Arial"/>
        </w:rPr>
        <w:t>A</w:t>
      </w:r>
      <w:r w:rsidRPr="00733B4E">
        <w:rPr>
          <w:rFonts w:ascii="Bookman Old Style" w:hAnsi="Bookman Old Style" w:cs="Arial"/>
        </w:rPr>
        <w:t xml:space="preserve">l conformar la base gravable para liquidar la contribución especial </w:t>
      </w:r>
      <w:r w:rsidR="0062044A">
        <w:rPr>
          <w:rFonts w:ascii="Bookman Old Style" w:hAnsi="Bookman Old Style" w:cs="Arial"/>
        </w:rPr>
        <w:t>2022</w:t>
      </w:r>
      <w:r w:rsidR="00172DB8">
        <w:rPr>
          <w:rFonts w:ascii="Bookman Old Style" w:hAnsi="Bookman Old Style" w:cs="Arial"/>
        </w:rPr>
        <w:t xml:space="preserve"> </w:t>
      </w:r>
      <w:r w:rsidRPr="00733B4E">
        <w:rPr>
          <w:rFonts w:ascii="Bookman Old Style" w:hAnsi="Bookman Old Style" w:cs="Arial"/>
        </w:rPr>
        <w:t>y al aplicar la tarifa del 1% a</w:t>
      </w:r>
      <w:r w:rsidR="00172F10">
        <w:rPr>
          <w:rFonts w:ascii="Bookman Old Style" w:hAnsi="Bookman Old Style" w:cs="Arial"/>
        </w:rPr>
        <w:t>l neto de</w:t>
      </w:r>
      <w:r w:rsidRPr="00733B4E">
        <w:rPr>
          <w:rFonts w:ascii="Bookman Old Style" w:hAnsi="Bookman Old Style" w:cs="Arial"/>
        </w:rPr>
        <w:t xml:space="preserve"> los </w:t>
      </w:r>
      <w:r w:rsidR="00695BB0">
        <w:rPr>
          <w:rFonts w:ascii="Bookman Old Style" w:hAnsi="Bookman Old Style" w:cs="Arial"/>
        </w:rPr>
        <w:t>g</w:t>
      </w:r>
      <w:r w:rsidRPr="00733B4E">
        <w:rPr>
          <w:rFonts w:ascii="Bookman Old Style" w:hAnsi="Bookman Old Style" w:cs="Arial"/>
        </w:rPr>
        <w:t xml:space="preserve">astos </w:t>
      </w:r>
      <w:r w:rsidR="00695BB0">
        <w:rPr>
          <w:rFonts w:ascii="Bookman Old Style" w:hAnsi="Bookman Old Style" w:cs="Arial"/>
        </w:rPr>
        <w:t>de funcionamiento</w:t>
      </w:r>
      <w:r w:rsidR="00972828">
        <w:rPr>
          <w:rFonts w:ascii="Bookman Old Style" w:hAnsi="Bookman Old Style" w:cs="Arial"/>
        </w:rPr>
        <w:t xml:space="preserve"> de las empresas </w:t>
      </w:r>
      <w:r w:rsidRPr="00733B4E">
        <w:rPr>
          <w:rFonts w:ascii="Bookman Old Style" w:hAnsi="Bookman Old Style" w:cs="Arial"/>
        </w:rPr>
        <w:t>(</w:t>
      </w:r>
      <w:r w:rsidR="00172F10">
        <w:rPr>
          <w:rFonts w:ascii="Bookman Old Style" w:hAnsi="Bookman Old Style" w:cs="Arial"/>
        </w:rPr>
        <w:t xml:space="preserve">como resultado de aplicar </w:t>
      </w:r>
      <w:r w:rsidR="00A5323B">
        <w:rPr>
          <w:rFonts w:ascii="Bookman Old Style" w:hAnsi="Bookman Old Style" w:cs="Arial"/>
        </w:rPr>
        <w:t xml:space="preserve">las anteriores </w:t>
      </w:r>
      <w:r w:rsidRPr="00733B4E">
        <w:rPr>
          <w:rFonts w:ascii="Bookman Old Style" w:hAnsi="Bookman Old Style" w:cs="Arial"/>
        </w:rPr>
        <w:t>exclusiones</w:t>
      </w:r>
      <w:r w:rsidR="00A5323B">
        <w:rPr>
          <w:rFonts w:ascii="Bookman Old Style" w:hAnsi="Bookman Old Style" w:cs="Arial"/>
        </w:rPr>
        <w:t xml:space="preserve"> listadas</w:t>
      </w:r>
      <w:r w:rsidRPr="00733B4E">
        <w:rPr>
          <w:rFonts w:ascii="Bookman Old Style" w:hAnsi="Bookman Old Style" w:cs="Arial"/>
        </w:rPr>
        <w:t xml:space="preserve">), se recaudaría el valor de </w:t>
      </w:r>
      <w:r>
        <w:rPr>
          <w:rFonts w:ascii="Bookman Old Style" w:hAnsi="Bookman Old Style" w:cs="Arial"/>
        </w:rPr>
        <w:t>$</w:t>
      </w:r>
      <w:r w:rsidR="00C74906">
        <w:rPr>
          <w:rFonts w:ascii="Bookman Old Style" w:hAnsi="Bookman Old Style" w:cs="Arial"/>
        </w:rPr>
        <w:t>31.051.857.992</w:t>
      </w:r>
      <w:r w:rsidR="00D9300F">
        <w:rPr>
          <w:rFonts w:ascii="Bookman Old Style" w:hAnsi="Bookman Old Style" w:cs="Arial"/>
        </w:rPr>
        <w:t xml:space="preserve">, </w:t>
      </w:r>
      <w:r w:rsidRPr="00733B4E">
        <w:rPr>
          <w:rFonts w:ascii="Bookman Old Style" w:hAnsi="Bookman Old Style" w:cs="Arial"/>
        </w:rPr>
        <w:t xml:space="preserve">monto </w:t>
      </w:r>
      <w:r w:rsidR="00D9300F">
        <w:rPr>
          <w:rFonts w:ascii="Bookman Old Style" w:hAnsi="Bookman Old Style" w:cs="Arial"/>
        </w:rPr>
        <w:t xml:space="preserve">que </w:t>
      </w:r>
      <w:r w:rsidR="005A1CCE">
        <w:rPr>
          <w:rFonts w:ascii="Bookman Old Style" w:hAnsi="Bookman Old Style" w:cs="Arial"/>
        </w:rPr>
        <w:t xml:space="preserve">es </w:t>
      </w:r>
      <w:r w:rsidRPr="00733B4E">
        <w:rPr>
          <w:rFonts w:ascii="Bookman Old Style" w:hAnsi="Bookman Old Style" w:cs="Arial"/>
        </w:rPr>
        <w:t xml:space="preserve">inferior </w:t>
      </w:r>
      <w:r w:rsidR="004246F4">
        <w:rPr>
          <w:rFonts w:ascii="Bookman Old Style" w:hAnsi="Bookman Old Style" w:cs="Arial"/>
        </w:rPr>
        <w:t xml:space="preserve">en </w:t>
      </w:r>
      <w:r w:rsidR="004246F4" w:rsidRPr="000207D6">
        <w:rPr>
          <w:rFonts w:ascii="Bookman Old Style" w:hAnsi="Bookman Old Style" w:cs="Arial"/>
        </w:rPr>
        <w:t>$</w:t>
      </w:r>
      <w:r w:rsidR="00425125">
        <w:rPr>
          <w:rFonts w:ascii="Bookman Old Style" w:hAnsi="Bookman Old Style" w:cs="Arial"/>
        </w:rPr>
        <w:t>1.852.146.882</w:t>
      </w:r>
      <w:r w:rsidR="00725AAF">
        <w:rPr>
          <w:rFonts w:ascii="Bookman Old Style" w:hAnsi="Bookman Old Style" w:cs="Arial"/>
        </w:rPr>
        <w:t xml:space="preserve"> con respecto</w:t>
      </w:r>
      <w:r w:rsidR="004246F4">
        <w:rPr>
          <w:rFonts w:ascii="Bookman Old Style" w:hAnsi="Bookman Old Style" w:cs="Arial"/>
        </w:rPr>
        <w:t xml:space="preserve"> </w:t>
      </w:r>
      <w:r w:rsidRPr="00733B4E">
        <w:rPr>
          <w:rFonts w:ascii="Bookman Old Style" w:hAnsi="Bookman Old Style" w:cs="Arial"/>
        </w:rPr>
        <w:t xml:space="preserve">al </w:t>
      </w:r>
      <w:r w:rsidR="00172DB8">
        <w:rPr>
          <w:rFonts w:ascii="Bookman Old Style" w:hAnsi="Bookman Old Style" w:cs="Arial"/>
        </w:rPr>
        <w:t xml:space="preserve">valor </w:t>
      </w:r>
      <w:r w:rsidRPr="00733B4E">
        <w:rPr>
          <w:rFonts w:ascii="Bookman Old Style" w:hAnsi="Bookman Old Style" w:cs="Arial"/>
        </w:rPr>
        <w:t>del presupuesto</w:t>
      </w:r>
      <w:r w:rsidR="004246F4">
        <w:rPr>
          <w:rFonts w:ascii="Bookman Old Style" w:hAnsi="Bookman Old Style" w:cs="Arial"/>
        </w:rPr>
        <w:t xml:space="preserve"> de la CREG para el 2002</w:t>
      </w:r>
      <w:r w:rsidRPr="00733B4E">
        <w:rPr>
          <w:rFonts w:ascii="Bookman Old Style" w:hAnsi="Bookman Old Style" w:cs="Arial"/>
        </w:rPr>
        <w:t xml:space="preserve"> </w:t>
      </w:r>
      <w:r w:rsidR="004246F4">
        <w:rPr>
          <w:rFonts w:ascii="Bookman Old Style" w:hAnsi="Bookman Old Style" w:cs="Arial"/>
        </w:rPr>
        <w:t xml:space="preserve">a financiar a través </w:t>
      </w:r>
      <w:r w:rsidR="0062044A">
        <w:rPr>
          <w:rFonts w:ascii="Bookman Old Style" w:hAnsi="Bookman Old Style" w:cs="Arial"/>
        </w:rPr>
        <w:t>de la contribución especial 2022</w:t>
      </w:r>
      <w:r w:rsidR="00172DB8">
        <w:rPr>
          <w:rFonts w:ascii="Bookman Old Style" w:hAnsi="Bookman Old Style" w:cs="Arial"/>
        </w:rPr>
        <w:t xml:space="preserve"> </w:t>
      </w:r>
      <w:r w:rsidRPr="00733B4E">
        <w:rPr>
          <w:rFonts w:ascii="Bookman Old Style" w:hAnsi="Bookman Old Style" w:cs="Arial"/>
        </w:rPr>
        <w:t xml:space="preserve">por </w:t>
      </w:r>
      <w:r w:rsidR="00172DB8">
        <w:rPr>
          <w:rFonts w:ascii="Bookman Old Style" w:hAnsi="Bookman Old Style" w:cs="Arial"/>
        </w:rPr>
        <w:t>valor de</w:t>
      </w:r>
      <w:r w:rsidRPr="00733B4E">
        <w:rPr>
          <w:rFonts w:ascii="Bookman Old Style" w:hAnsi="Bookman Old Style" w:cs="Arial"/>
        </w:rPr>
        <w:t xml:space="preserve"> </w:t>
      </w:r>
      <w:r w:rsidR="00172DB8" w:rsidRPr="00733B4E">
        <w:rPr>
          <w:rFonts w:ascii="Bookman Old Style" w:hAnsi="Bookman Old Style" w:cs="Arial"/>
        </w:rPr>
        <w:t>$</w:t>
      </w:r>
      <w:r w:rsidR="002D0212" w:rsidRPr="002D0212">
        <w:rPr>
          <w:rFonts w:ascii="Bookman Old Style" w:hAnsi="Bookman Old Style" w:cs="Arial"/>
        </w:rPr>
        <w:t>32.904.004.874</w:t>
      </w:r>
      <w:r w:rsidRPr="00733B4E">
        <w:rPr>
          <w:rFonts w:ascii="Bookman Old Style" w:hAnsi="Bookman Old Style" w:cs="Arial"/>
        </w:rPr>
        <w:t>, constituyéndose así un faltante presupuestal</w:t>
      </w:r>
      <w:r w:rsidR="00725AAF">
        <w:rPr>
          <w:rFonts w:ascii="Bookman Old Style" w:hAnsi="Bookman Old Style" w:cs="Arial"/>
        </w:rPr>
        <w:t xml:space="preserve">, </w:t>
      </w:r>
      <w:r w:rsidRPr="00733B4E">
        <w:rPr>
          <w:rFonts w:ascii="Bookman Old Style" w:hAnsi="Bookman Old Style" w:cs="Arial"/>
        </w:rPr>
        <w:t xml:space="preserve">el cual es </w:t>
      </w:r>
      <w:r w:rsidR="00145932">
        <w:rPr>
          <w:rFonts w:ascii="Bookman Old Style" w:hAnsi="Bookman Old Style" w:cs="Arial"/>
        </w:rPr>
        <w:t>indispensable</w:t>
      </w:r>
      <w:r w:rsidRPr="00733B4E">
        <w:rPr>
          <w:rFonts w:ascii="Bookman Old Style" w:hAnsi="Bookman Old Style" w:cs="Arial"/>
        </w:rPr>
        <w:t xml:space="preserve"> cubrir con los conceptos establecidos en el parágrafo 2</w:t>
      </w:r>
      <w:r w:rsidR="00172DB8">
        <w:rPr>
          <w:rFonts w:ascii="Bookman Old Style" w:hAnsi="Bookman Old Style" w:cs="Arial"/>
        </w:rPr>
        <w:t>°</w:t>
      </w:r>
      <w:r w:rsidRPr="00733B4E">
        <w:rPr>
          <w:rFonts w:ascii="Bookman Old Style" w:hAnsi="Bookman Old Style" w:cs="Arial"/>
        </w:rPr>
        <w:t xml:space="preserve"> del artículo 85 de la Ley 142 de 1994, con las previsiones allí establecidas y serán adicionadas en la proporción en que sean indispensables para cubrir el faltante presupuestal de la Entidad.</w:t>
      </w:r>
    </w:p>
    <w:p w14:paraId="777A2B5B" w14:textId="6789DAB1" w:rsidR="0014435F" w:rsidRDefault="0014435F" w:rsidP="00692D39">
      <w:pPr>
        <w:ind w:left="0"/>
        <w:jc w:val="both"/>
        <w:rPr>
          <w:rFonts w:ascii="Bookman Old Style" w:hAnsi="Bookman Old Style" w:cs="Arial"/>
        </w:rPr>
      </w:pPr>
    </w:p>
    <w:p w14:paraId="3C1D257A" w14:textId="67515E3B" w:rsidR="0014435F" w:rsidRDefault="0014435F" w:rsidP="0014435F">
      <w:pPr>
        <w:ind w:left="0"/>
        <w:jc w:val="both"/>
        <w:rPr>
          <w:rFonts w:ascii="Bookman Old Style" w:hAnsi="Bookman Old Style" w:cs="Arial"/>
        </w:rPr>
      </w:pPr>
      <w:r w:rsidRPr="00440DC9">
        <w:rPr>
          <w:rFonts w:ascii="Bookman Old Style" w:hAnsi="Bookman Old Style" w:cs="Arial"/>
        </w:rPr>
        <w:t>Después de dicho análisis se</w:t>
      </w:r>
      <w:r>
        <w:rPr>
          <w:rFonts w:ascii="Bookman Old Style" w:hAnsi="Bookman Old Style" w:cs="Arial"/>
        </w:rPr>
        <w:t xml:space="preserve"> </w:t>
      </w:r>
      <w:r w:rsidRPr="00440DC9">
        <w:rPr>
          <w:rFonts w:ascii="Bookman Old Style" w:hAnsi="Bookman Old Style" w:cs="Arial"/>
        </w:rPr>
        <w:t>determinó que existe justificación para acudir al uso del parágrafo 2 del artículo 85 de la Ley</w:t>
      </w:r>
      <w:r>
        <w:rPr>
          <w:rFonts w:ascii="Bookman Old Style" w:hAnsi="Bookman Old Style" w:cs="Arial"/>
        </w:rPr>
        <w:t xml:space="preserve"> </w:t>
      </w:r>
      <w:r w:rsidRPr="00440DC9">
        <w:rPr>
          <w:rFonts w:ascii="Bookman Old Style" w:hAnsi="Bookman Old Style" w:cs="Arial"/>
        </w:rPr>
        <w:t>142 de 1994 por existir faltante</w:t>
      </w:r>
      <w:r>
        <w:rPr>
          <w:rFonts w:ascii="Bookman Old Style" w:hAnsi="Bookman Old Style" w:cs="Arial"/>
        </w:rPr>
        <w:t xml:space="preserve"> presupuestal por </w:t>
      </w:r>
      <w:r w:rsidRPr="000207D6">
        <w:rPr>
          <w:rFonts w:ascii="Bookman Old Style" w:hAnsi="Bookman Old Style" w:cs="Arial"/>
        </w:rPr>
        <w:t>$</w:t>
      </w:r>
      <w:r w:rsidR="00425125">
        <w:rPr>
          <w:rFonts w:ascii="Bookman Old Style" w:hAnsi="Bookman Old Style" w:cs="Arial"/>
        </w:rPr>
        <w:t>1.852.146.882</w:t>
      </w:r>
      <w:r w:rsidRPr="00440DC9">
        <w:rPr>
          <w:rFonts w:ascii="Bookman Old Style" w:hAnsi="Bookman Old Style" w:cs="Arial"/>
        </w:rPr>
        <w:t>.</w:t>
      </w:r>
    </w:p>
    <w:p w14:paraId="24BA45EE" w14:textId="77777777" w:rsidR="007A7C5C" w:rsidRDefault="007A7C5C" w:rsidP="0014435F">
      <w:pPr>
        <w:ind w:left="0"/>
        <w:jc w:val="both"/>
        <w:rPr>
          <w:rFonts w:ascii="Bookman Old Style" w:hAnsi="Bookman Old Style" w:cs="Arial"/>
        </w:rPr>
      </w:pPr>
    </w:p>
    <w:p w14:paraId="67485DCB" w14:textId="4596DFE5" w:rsidR="00692D39" w:rsidRDefault="00725AAF" w:rsidP="00692D39">
      <w:pPr>
        <w:ind w:left="0"/>
        <w:jc w:val="both"/>
        <w:rPr>
          <w:rFonts w:ascii="Bookman Old Style" w:hAnsi="Bookman Old Style" w:cs="Arial"/>
        </w:rPr>
      </w:pPr>
      <w:r>
        <w:rPr>
          <w:rFonts w:ascii="Bookman Old Style" w:hAnsi="Bookman Old Style" w:cs="Arial"/>
        </w:rPr>
        <w:t>Por tanto, d</w:t>
      </w:r>
      <w:r w:rsidR="00423DFB">
        <w:rPr>
          <w:rFonts w:ascii="Bookman Old Style" w:hAnsi="Bookman Old Style" w:cs="Arial"/>
        </w:rPr>
        <w:t xml:space="preserve">el total de </w:t>
      </w:r>
      <w:r w:rsidR="00692D39" w:rsidRPr="00733B4E">
        <w:rPr>
          <w:rFonts w:ascii="Bookman Old Style" w:hAnsi="Bookman Old Style" w:cs="Arial"/>
        </w:rPr>
        <w:t xml:space="preserve">gastos operativos </w:t>
      </w:r>
      <w:r w:rsidR="00423DFB">
        <w:rPr>
          <w:rFonts w:ascii="Bookman Old Style" w:hAnsi="Bookman Old Style" w:cs="Arial"/>
        </w:rPr>
        <w:t xml:space="preserve">por </w:t>
      </w:r>
      <w:r w:rsidR="00423DFB" w:rsidRPr="00733B4E">
        <w:rPr>
          <w:rFonts w:ascii="Bookman Old Style" w:hAnsi="Bookman Old Style" w:cs="Arial"/>
        </w:rPr>
        <w:t>$</w:t>
      </w:r>
      <w:r w:rsidR="00425125">
        <w:rPr>
          <w:rFonts w:ascii="Bookman Old Style" w:hAnsi="Bookman Old Style" w:cs="Arial"/>
        </w:rPr>
        <w:t>33.156.758.973.362</w:t>
      </w:r>
      <w:r w:rsidR="00423DFB">
        <w:rPr>
          <w:rFonts w:ascii="Bookman Old Style" w:hAnsi="Bookman Old Style" w:cs="Arial"/>
        </w:rPr>
        <w:t xml:space="preserve"> se </w:t>
      </w:r>
      <w:r w:rsidR="004246F4">
        <w:rPr>
          <w:rFonts w:ascii="Bookman Old Style" w:hAnsi="Bookman Old Style" w:cs="Arial"/>
        </w:rPr>
        <w:t>debe tomar $</w:t>
      </w:r>
      <w:r w:rsidR="00C74906">
        <w:rPr>
          <w:rFonts w:ascii="Bookman Old Style" w:hAnsi="Bookman Old Style" w:cs="Arial"/>
        </w:rPr>
        <w:t>185.214.688.178</w:t>
      </w:r>
      <w:r w:rsidR="004246F4">
        <w:rPr>
          <w:rFonts w:ascii="Bookman Old Style" w:hAnsi="Bookman Old Style" w:cs="Arial"/>
        </w:rPr>
        <w:t xml:space="preserve"> </w:t>
      </w:r>
      <w:r w:rsidR="00423DFB">
        <w:rPr>
          <w:rFonts w:ascii="Bookman Old Style" w:hAnsi="Bookman Old Style" w:cs="Arial"/>
        </w:rPr>
        <w:t>que</w:t>
      </w:r>
      <w:r w:rsidR="00926FC1">
        <w:rPr>
          <w:rFonts w:ascii="Bookman Old Style" w:hAnsi="Bookman Old Style" w:cs="Arial"/>
        </w:rPr>
        <w:t>,</w:t>
      </w:r>
      <w:r w:rsidR="00423DFB">
        <w:rPr>
          <w:rFonts w:ascii="Bookman Old Style" w:hAnsi="Bookman Old Style" w:cs="Arial"/>
        </w:rPr>
        <w:t xml:space="preserve"> </w:t>
      </w:r>
      <w:r>
        <w:rPr>
          <w:rFonts w:ascii="Bookman Old Style" w:hAnsi="Bookman Old Style" w:cs="Arial"/>
        </w:rPr>
        <w:t>multiplicados por el 1%</w:t>
      </w:r>
      <w:r w:rsidR="00926FC1">
        <w:rPr>
          <w:rFonts w:ascii="Bookman Old Style" w:hAnsi="Bookman Old Style" w:cs="Arial"/>
        </w:rPr>
        <w:t>,</w:t>
      </w:r>
      <w:r>
        <w:rPr>
          <w:rFonts w:ascii="Bookman Old Style" w:hAnsi="Bookman Old Style" w:cs="Arial"/>
        </w:rPr>
        <w:t xml:space="preserve"> </w:t>
      </w:r>
      <w:r w:rsidR="00423DFB">
        <w:rPr>
          <w:rFonts w:ascii="Bookman Old Style" w:hAnsi="Bookman Old Style" w:cs="Arial"/>
        </w:rPr>
        <w:t xml:space="preserve">son los </w:t>
      </w:r>
      <w:r w:rsidR="00145932">
        <w:rPr>
          <w:rFonts w:ascii="Bookman Old Style" w:hAnsi="Bookman Old Style" w:cs="Arial"/>
        </w:rPr>
        <w:t>indispensables</w:t>
      </w:r>
      <w:r w:rsidR="00423DFB">
        <w:rPr>
          <w:rFonts w:ascii="Bookman Old Style" w:hAnsi="Bookman Old Style" w:cs="Arial"/>
        </w:rPr>
        <w:t xml:space="preserve"> </w:t>
      </w:r>
      <w:r w:rsidR="00692D39" w:rsidRPr="00733B4E">
        <w:rPr>
          <w:rFonts w:ascii="Bookman Old Style" w:hAnsi="Bookman Old Style" w:cs="Arial"/>
        </w:rPr>
        <w:t xml:space="preserve">para cubrir el faltante </w:t>
      </w:r>
      <w:r w:rsidR="00423DFB">
        <w:rPr>
          <w:rFonts w:ascii="Bookman Old Style" w:hAnsi="Bookman Old Style" w:cs="Arial"/>
        </w:rPr>
        <w:t>presupuestal</w:t>
      </w:r>
      <w:r w:rsidR="004246F4">
        <w:rPr>
          <w:rFonts w:ascii="Bookman Old Style" w:hAnsi="Bookman Old Style" w:cs="Arial"/>
        </w:rPr>
        <w:t xml:space="preserve"> 2022 por $</w:t>
      </w:r>
      <w:r w:rsidR="00425125">
        <w:rPr>
          <w:rFonts w:ascii="Bookman Old Style" w:hAnsi="Bookman Old Style" w:cs="Arial"/>
        </w:rPr>
        <w:t>1.852.146.882</w:t>
      </w:r>
      <w:r w:rsidR="004246F4" w:rsidRPr="004246F4">
        <w:rPr>
          <w:rFonts w:ascii="Bookman Old Style" w:hAnsi="Bookman Old Style" w:cs="Arial"/>
        </w:rPr>
        <w:t xml:space="preserve"> </w:t>
      </w:r>
      <w:r w:rsidR="004246F4">
        <w:rPr>
          <w:rFonts w:ascii="Bookman Old Style" w:hAnsi="Bookman Old Style" w:cs="Arial"/>
        </w:rPr>
        <w:t xml:space="preserve">y </w:t>
      </w:r>
      <w:r w:rsidR="00242185">
        <w:rPr>
          <w:rFonts w:ascii="Bookman Old Style" w:hAnsi="Bookman Old Style" w:cs="Arial"/>
        </w:rPr>
        <w:t xml:space="preserve">ser </w:t>
      </w:r>
      <w:r w:rsidR="00692D39" w:rsidRPr="00733B4E">
        <w:rPr>
          <w:rFonts w:ascii="Bookman Old Style" w:hAnsi="Bookman Old Style" w:cs="Arial"/>
        </w:rPr>
        <w:t>incluid</w:t>
      </w:r>
      <w:r w:rsidR="00242185">
        <w:rPr>
          <w:rFonts w:ascii="Bookman Old Style" w:hAnsi="Bookman Old Style" w:cs="Arial"/>
        </w:rPr>
        <w:t>os</w:t>
      </w:r>
      <w:r w:rsidR="00692D39" w:rsidRPr="00733B4E">
        <w:rPr>
          <w:rFonts w:ascii="Bookman Old Style" w:hAnsi="Bookman Old Style" w:cs="Arial"/>
        </w:rPr>
        <w:t xml:space="preserve"> en la base gravable de la contribución especial de la vigencia 20</w:t>
      </w:r>
      <w:r w:rsidR="00395F30">
        <w:rPr>
          <w:rFonts w:ascii="Bookman Old Style" w:hAnsi="Bookman Old Style" w:cs="Arial"/>
        </w:rPr>
        <w:t>22</w:t>
      </w:r>
      <w:r w:rsidR="00692D39" w:rsidRPr="00733B4E">
        <w:rPr>
          <w:rFonts w:ascii="Bookman Old Style" w:hAnsi="Bookman Old Style" w:cs="Arial"/>
        </w:rPr>
        <w:t xml:space="preserve">, </w:t>
      </w:r>
      <w:r w:rsidR="00172DB8">
        <w:rPr>
          <w:rFonts w:ascii="Bookman Old Style" w:hAnsi="Bookman Old Style" w:cs="Arial"/>
        </w:rPr>
        <w:t>detallado a continuación:</w:t>
      </w:r>
    </w:p>
    <w:p w14:paraId="1F957179" w14:textId="703CA8C3" w:rsidR="00607A41" w:rsidRDefault="00607A41" w:rsidP="00692D39">
      <w:pPr>
        <w:ind w:left="0"/>
        <w:jc w:val="both"/>
        <w:rPr>
          <w:rFonts w:ascii="Bookman Old Style" w:hAnsi="Bookman Old Style" w:cs="Arial"/>
        </w:rPr>
      </w:pPr>
    </w:p>
    <w:tbl>
      <w:tblPr>
        <w:tblW w:w="9067" w:type="dxa"/>
        <w:tblLook w:val="04A0" w:firstRow="1" w:lastRow="0" w:firstColumn="1" w:lastColumn="0" w:noHBand="0" w:noVBand="1"/>
      </w:tblPr>
      <w:tblGrid>
        <w:gridCol w:w="2960"/>
        <w:gridCol w:w="1997"/>
        <w:gridCol w:w="2126"/>
        <w:gridCol w:w="1984"/>
      </w:tblGrid>
      <w:tr w:rsidR="00607A41" w:rsidRPr="00353572" w14:paraId="789CDF52" w14:textId="77777777" w:rsidTr="00F168C7">
        <w:trPr>
          <w:trHeight w:val="576"/>
        </w:trPr>
        <w:tc>
          <w:tcPr>
            <w:tcW w:w="2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8264FB" w14:textId="77777777" w:rsidR="00607A41" w:rsidRPr="00353572" w:rsidRDefault="00607A41" w:rsidP="00F168C7">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CONCEPTOS </w:t>
            </w:r>
          </w:p>
        </w:tc>
        <w:tc>
          <w:tcPr>
            <w:tcW w:w="1997" w:type="dxa"/>
            <w:tcBorders>
              <w:top w:val="single" w:sz="4" w:space="0" w:color="auto"/>
              <w:left w:val="nil"/>
              <w:bottom w:val="single" w:sz="4" w:space="0" w:color="auto"/>
              <w:right w:val="single" w:sz="4" w:space="0" w:color="auto"/>
            </w:tcBorders>
            <w:shd w:val="clear" w:color="000000" w:fill="D9D9D9"/>
            <w:vAlign w:val="center"/>
            <w:hideMark/>
          </w:tcPr>
          <w:p w14:paraId="19689A79" w14:textId="77777777" w:rsidR="00607A41" w:rsidRPr="00353572" w:rsidRDefault="00607A41" w:rsidP="00F168C7">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 BASE GASTOS DE ADMINISTRACIÓN </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CFACAA7" w14:textId="77777777" w:rsidR="00607A41" w:rsidRPr="00353572" w:rsidRDefault="00607A41" w:rsidP="00F168C7">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 BASE GASTOS DE OPERACIÓN </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1C3D5970" w14:textId="77777777" w:rsidR="00607A41" w:rsidRPr="00353572" w:rsidRDefault="00607A41" w:rsidP="00F168C7">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 TOTALES </w:t>
            </w:r>
          </w:p>
        </w:tc>
      </w:tr>
      <w:tr w:rsidR="00607A41" w:rsidRPr="00353572" w14:paraId="7B7C2668" w14:textId="77777777" w:rsidTr="00F168C7">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530517D" w14:textId="77777777" w:rsidR="00607A41" w:rsidRPr="00353572" w:rsidRDefault="00607A41" w:rsidP="00F168C7">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TOTAL BASE GRAVABLE</w:t>
            </w:r>
          </w:p>
        </w:tc>
        <w:tc>
          <w:tcPr>
            <w:tcW w:w="1997" w:type="dxa"/>
            <w:tcBorders>
              <w:top w:val="nil"/>
              <w:left w:val="nil"/>
              <w:bottom w:val="single" w:sz="4" w:space="0" w:color="auto"/>
              <w:right w:val="single" w:sz="4" w:space="0" w:color="auto"/>
            </w:tcBorders>
            <w:shd w:val="clear" w:color="auto" w:fill="auto"/>
            <w:noWrap/>
            <w:vAlign w:val="center"/>
            <w:hideMark/>
          </w:tcPr>
          <w:p w14:paraId="19B2F643" w14:textId="77777777" w:rsidR="00607A41" w:rsidRPr="00353572" w:rsidRDefault="00607A41" w:rsidP="00F168C7">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3.105.185.799.222</w:t>
            </w:r>
          </w:p>
        </w:tc>
        <w:tc>
          <w:tcPr>
            <w:tcW w:w="2126" w:type="dxa"/>
            <w:tcBorders>
              <w:top w:val="nil"/>
              <w:left w:val="nil"/>
              <w:bottom w:val="single" w:sz="4" w:space="0" w:color="auto"/>
              <w:right w:val="single" w:sz="4" w:space="0" w:color="auto"/>
            </w:tcBorders>
            <w:shd w:val="clear" w:color="auto" w:fill="auto"/>
            <w:noWrap/>
            <w:vAlign w:val="center"/>
            <w:hideMark/>
          </w:tcPr>
          <w:p w14:paraId="019E379E" w14:textId="77777777" w:rsidR="00607A41" w:rsidRPr="00353572" w:rsidRDefault="00607A41" w:rsidP="00F168C7">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w:t>
            </w:r>
            <w:r w:rsidRPr="00353572">
              <w:rPr>
                <w:rFonts w:ascii="Calibri" w:hAnsi="Calibri" w:cs="Calibri"/>
                <w:color w:val="000000"/>
                <w:sz w:val="22"/>
                <w:szCs w:val="22"/>
                <w:lang w:val="en-US" w:eastAsia="en-US"/>
              </w:rPr>
              <w:t>185.214.688.178</w:t>
            </w:r>
          </w:p>
        </w:tc>
        <w:tc>
          <w:tcPr>
            <w:tcW w:w="1984" w:type="dxa"/>
            <w:tcBorders>
              <w:top w:val="nil"/>
              <w:left w:val="nil"/>
              <w:bottom w:val="single" w:sz="4" w:space="0" w:color="auto"/>
              <w:right w:val="single" w:sz="4" w:space="0" w:color="auto"/>
            </w:tcBorders>
            <w:shd w:val="clear" w:color="auto" w:fill="auto"/>
            <w:noWrap/>
            <w:vAlign w:val="center"/>
            <w:hideMark/>
          </w:tcPr>
          <w:p w14:paraId="2DC8629F" w14:textId="77777777" w:rsidR="00607A41" w:rsidRPr="00353572" w:rsidRDefault="00607A41" w:rsidP="00F168C7">
            <w:pPr>
              <w:ind w:left="0"/>
              <w:jc w:val="right"/>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xml:space="preserve">3.290.400.487.400 </w:t>
            </w:r>
          </w:p>
        </w:tc>
      </w:tr>
      <w:tr w:rsidR="00607A41" w:rsidRPr="00353572" w14:paraId="2E192A8B" w14:textId="77777777" w:rsidTr="00F168C7">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4DA5568" w14:textId="77777777" w:rsidR="00607A41" w:rsidRPr="00353572" w:rsidRDefault="00607A41" w:rsidP="00F168C7">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lastRenderedPageBreak/>
              <w:t>1%</w:t>
            </w:r>
          </w:p>
        </w:tc>
        <w:tc>
          <w:tcPr>
            <w:tcW w:w="1997" w:type="dxa"/>
            <w:tcBorders>
              <w:top w:val="nil"/>
              <w:left w:val="nil"/>
              <w:bottom w:val="single" w:sz="4" w:space="0" w:color="auto"/>
              <w:right w:val="single" w:sz="4" w:space="0" w:color="auto"/>
            </w:tcBorders>
            <w:shd w:val="clear" w:color="auto" w:fill="auto"/>
            <w:noWrap/>
            <w:vAlign w:val="center"/>
            <w:hideMark/>
          </w:tcPr>
          <w:p w14:paraId="270B757D" w14:textId="77777777" w:rsidR="00607A41" w:rsidRPr="00353572" w:rsidRDefault="00607A41" w:rsidP="00F168C7">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31.051.857.992</w:t>
            </w:r>
          </w:p>
        </w:tc>
        <w:tc>
          <w:tcPr>
            <w:tcW w:w="2126" w:type="dxa"/>
            <w:tcBorders>
              <w:top w:val="nil"/>
              <w:left w:val="nil"/>
              <w:bottom w:val="single" w:sz="4" w:space="0" w:color="auto"/>
              <w:right w:val="single" w:sz="4" w:space="0" w:color="auto"/>
            </w:tcBorders>
            <w:shd w:val="clear" w:color="000000" w:fill="D9E1F2"/>
            <w:noWrap/>
            <w:vAlign w:val="center"/>
            <w:hideMark/>
          </w:tcPr>
          <w:p w14:paraId="7DA6F5CD" w14:textId="77777777" w:rsidR="00607A41" w:rsidRPr="00353572" w:rsidRDefault="00607A41" w:rsidP="00F168C7">
            <w:pPr>
              <w:ind w:left="0"/>
              <w:jc w:val="right"/>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xml:space="preserve">     </w:t>
            </w:r>
            <w:r>
              <w:rPr>
                <w:rFonts w:ascii="Calibri" w:hAnsi="Calibri" w:cs="Calibri"/>
                <w:color w:val="000000"/>
                <w:sz w:val="22"/>
                <w:szCs w:val="22"/>
                <w:lang w:val="en-US" w:eastAsia="en-US"/>
              </w:rPr>
              <w:t xml:space="preserve">    1.852.146.882</w:t>
            </w:r>
          </w:p>
        </w:tc>
        <w:tc>
          <w:tcPr>
            <w:tcW w:w="1984" w:type="dxa"/>
            <w:tcBorders>
              <w:top w:val="nil"/>
              <w:left w:val="nil"/>
              <w:bottom w:val="single" w:sz="4" w:space="0" w:color="auto"/>
              <w:right w:val="single" w:sz="4" w:space="0" w:color="auto"/>
            </w:tcBorders>
            <w:shd w:val="clear" w:color="auto" w:fill="auto"/>
            <w:noWrap/>
            <w:vAlign w:val="center"/>
            <w:hideMark/>
          </w:tcPr>
          <w:p w14:paraId="0930BEEC" w14:textId="77777777" w:rsidR="00607A41" w:rsidRPr="00353572" w:rsidRDefault="00607A41" w:rsidP="00F168C7">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32.904.004.874</w:t>
            </w:r>
          </w:p>
        </w:tc>
      </w:tr>
      <w:tr w:rsidR="00607A41" w:rsidRPr="00353572" w14:paraId="6B6587DB" w14:textId="77777777" w:rsidTr="00F168C7">
        <w:trPr>
          <w:trHeight w:val="576"/>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1681E2ED" w14:textId="77777777" w:rsidR="00607A41" w:rsidRPr="00353572" w:rsidRDefault="00607A41" w:rsidP="00F168C7">
            <w:pPr>
              <w:ind w:left="0"/>
              <w:jc w:val="center"/>
              <w:rPr>
                <w:rFonts w:ascii="Calibri" w:hAnsi="Calibri" w:cs="Calibri"/>
                <w:color w:val="000000"/>
                <w:sz w:val="22"/>
                <w:szCs w:val="22"/>
                <w:lang w:val="es-CO" w:eastAsia="en-US"/>
              </w:rPr>
            </w:pPr>
            <w:r w:rsidRPr="00353572">
              <w:rPr>
                <w:rFonts w:ascii="Calibri" w:hAnsi="Calibri" w:cs="Calibri"/>
                <w:color w:val="000000"/>
                <w:sz w:val="22"/>
                <w:szCs w:val="22"/>
                <w:lang w:val="es-CO" w:eastAsia="en-US"/>
              </w:rPr>
              <w:t>PORCENTAJE DEL PRESUPUESTO POR BASE</w:t>
            </w:r>
          </w:p>
        </w:tc>
        <w:tc>
          <w:tcPr>
            <w:tcW w:w="1997" w:type="dxa"/>
            <w:tcBorders>
              <w:top w:val="nil"/>
              <w:left w:val="nil"/>
              <w:bottom w:val="single" w:sz="4" w:space="0" w:color="auto"/>
              <w:right w:val="single" w:sz="4" w:space="0" w:color="auto"/>
            </w:tcBorders>
            <w:shd w:val="clear" w:color="auto" w:fill="auto"/>
            <w:noWrap/>
            <w:vAlign w:val="center"/>
            <w:hideMark/>
          </w:tcPr>
          <w:p w14:paraId="0FEB5C11" w14:textId="77777777" w:rsidR="00607A41" w:rsidRPr="00353572" w:rsidRDefault="00607A41" w:rsidP="00F168C7">
            <w:pPr>
              <w:ind w:left="0"/>
              <w:jc w:val="right"/>
              <w:rPr>
                <w:rFonts w:ascii="Calibri" w:hAnsi="Calibri" w:cs="Calibri"/>
                <w:sz w:val="20"/>
                <w:szCs w:val="20"/>
                <w:lang w:val="en-US" w:eastAsia="en-US"/>
              </w:rPr>
            </w:pPr>
            <w:r w:rsidRPr="00353572">
              <w:rPr>
                <w:rFonts w:ascii="Calibri" w:hAnsi="Calibri" w:cs="Calibri"/>
                <w:sz w:val="20"/>
                <w:szCs w:val="20"/>
                <w:lang w:val="en-US" w:eastAsia="en-US"/>
              </w:rPr>
              <w:t>94,37106%</w:t>
            </w:r>
          </w:p>
        </w:tc>
        <w:tc>
          <w:tcPr>
            <w:tcW w:w="2126" w:type="dxa"/>
            <w:tcBorders>
              <w:top w:val="nil"/>
              <w:left w:val="nil"/>
              <w:bottom w:val="single" w:sz="4" w:space="0" w:color="auto"/>
              <w:right w:val="single" w:sz="4" w:space="0" w:color="auto"/>
            </w:tcBorders>
            <w:shd w:val="clear" w:color="auto" w:fill="auto"/>
            <w:noWrap/>
            <w:vAlign w:val="center"/>
            <w:hideMark/>
          </w:tcPr>
          <w:p w14:paraId="5337B3F8" w14:textId="77777777" w:rsidR="00607A41" w:rsidRPr="00353572" w:rsidRDefault="00607A41" w:rsidP="00F168C7">
            <w:pPr>
              <w:ind w:left="0"/>
              <w:jc w:val="right"/>
              <w:rPr>
                <w:rFonts w:ascii="Calibri" w:hAnsi="Calibri" w:cs="Calibri"/>
                <w:sz w:val="20"/>
                <w:szCs w:val="20"/>
                <w:lang w:val="en-US" w:eastAsia="en-US"/>
              </w:rPr>
            </w:pPr>
            <w:r w:rsidRPr="00353572">
              <w:rPr>
                <w:rFonts w:ascii="Calibri" w:hAnsi="Calibri" w:cs="Calibri"/>
                <w:sz w:val="20"/>
                <w:szCs w:val="20"/>
                <w:lang w:val="en-US" w:eastAsia="en-US"/>
              </w:rPr>
              <w:t>5,62894%</w:t>
            </w:r>
          </w:p>
        </w:tc>
        <w:tc>
          <w:tcPr>
            <w:tcW w:w="1984" w:type="dxa"/>
            <w:tcBorders>
              <w:top w:val="nil"/>
              <w:left w:val="nil"/>
              <w:bottom w:val="single" w:sz="4" w:space="0" w:color="auto"/>
              <w:right w:val="single" w:sz="4" w:space="0" w:color="auto"/>
            </w:tcBorders>
            <w:shd w:val="clear" w:color="auto" w:fill="auto"/>
            <w:noWrap/>
            <w:vAlign w:val="center"/>
            <w:hideMark/>
          </w:tcPr>
          <w:p w14:paraId="1B0008FD" w14:textId="77777777" w:rsidR="00607A41" w:rsidRPr="00353572" w:rsidRDefault="00607A41" w:rsidP="00F168C7">
            <w:pPr>
              <w:ind w:left="0"/>
              <w:jc w:val="right"/>
              <w:rPr>
                <w:rFonts w:ascii="Calibri" w:hAnsi="Calibri" w:cs="Calibri"/>
                <w:sz w:val="20"/>
                <w:szCs w:val="20"/>
                <w:lang w:val="en-US" w:eastAsia="en-US"/>
              </w:rPr>
            </w:pPr>
            <w:r w:rsidRPr="00353572">
              <w:rPr>
                <w:rFonts w:ascii="Calibri" w:hAnsi="Calibri" w:cs="Calibri"/>
                <w:sz w:val="20"/>
                <w:szCs w:val="20"/>
                <w:lang w:val="en-US" w:eastAsia="en-US"/>
              </w:rPr>
              <w:t>100,00000%</w:t>
            </w:r>
          </w:p>
        </w:tc>
      </w:tr>
      <w:tr w:rsidR="00607A41" w:rsidRPr="00353572" w14:paraId="7D1215C5" w14:textId="77777777" w:rsidTr="00F168C7">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119D45F" w14:textId="77777777" w:rsidR="00607A41" w:rsidRPr="00353572" w:rsidRDefault="00607A41" w:rsidP="00F168C7">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TOTAL PRESUPUESTO 2022</w:t>
            </w:r>
          </w:p>
        </w:tc>
        <w:tc>
          <w:tcPr>
            <w:tcW w:w="1997" w:type="dxa"/>
            <w:tcBorders>
              <w:top w:val="nil"/>
              <w:left w:val="nil"/>
              <w:bottom w:val="single" w:sz="4" w:space="0" w:color="auto"/>
              <w:right w:val="single" w:sz="4" w:space="0" w:color="auto"/>
            </w:tcBorders>
            <w:shd w:val="clear" w:color="auto" w:fill="auto"/>
            <w:noWrap/>
            <w:vAlign w:val="center"/>
            <w:hideMark/>
          </w:tcPr>
          <w:p w14:paraId="46F50512" w14:textId="77777777" w:rsidR="00607A41" w:rsidRPr="00353572" w:rsidRDefault="00607A41" w:rsidP="00F168C7">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32.904.004.874</w:t>
            </w:r>
          </w:p>
        </w:tc>
        <w:tc>
          <w:tcPr>
            <w:tcW w:w="2126" w:type="dxa"/>
            <w:tcBorders>
              <w:top w:val="nil"/>
              <w:left w:val="nil"/>
              <w:bottom w:val="single" w:sz="4" w:space="0" w:color="auto"/>
              <w:right w:val="single" w:sz="4" w:space="0" w:color="auto"/>
            </w:tcBorders>
            <w:shd w:val="clear" w:color="auto" w:fill="auto"/>
            <w:noWrap/>
            <w:vAlign w:val="center"/>
            <w:hideMark/>
          </w:tcPr>
          <w:p w14:paraId="40D06519"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1984" w:type="dxa"/>
            <w:tcBorders>
              <w:top w:val="nil"/>
              <w:left w:val="nil"/>
              <w:bottom w:val="single" w:sz="4" w:space="0" w:color="auto"/>
              <w:right w:val="single" w:sz="4" w:space="0" w:color="auto"/>
            </w:tcBorders>
            <w:shd w:val="clear" w:color="auto" w:fill="auto"/>
            <w:noWrap/>
            <w:vAlign w:val="center"/>
            <w:hideMark/>
          </w:tcPr>
          <w:p w14:paraId="15C33698"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r w:rsidR="00607A41" w:rsidRPr="00353572" w14:paraId="67F96862" w14:textId="77777777" w:rsidTr="00F168C7">
        <w:trPr>
          <w:trHeight w:val="192"/>
        </w:trPr>
        <w:tc>
          <w:tcPr>
            <w:tcW w:w="2960" w:type="dxa"/>
            <w:tcBorders>
              <w:top w:val="nil"/>
              <w:left w:val="nil"/>
              <w:bottom w:val="nil"/>
              <w:right w:val="nil"/>
            </w:tcBorders>
            <w:shd w:val="clear" w:color="auto" w:fill="auto"/>
            <w:noWrap/>
            <w:vAlign w:val="center"/>
            <w:hideMark/>
          </w:tcPr>
          <w:p w14:paraId="39DA1B61" w14:textId="77777777" w:rsidR="00607A41" w:rsidRPr="00353572" w:rsidRDefault="00607A41" w:rsidP="00F168C7">
            <w:pPr>
              <w:ind w:left="0"/>
              <w:rPr>
                <w:rFonts w:ascii="Calibri" w:hAnsi="Calibri" w:cs="Calibri"/>
                <w:color w:val="000000"/>
                <w:sz w:val="22"/>
                <w:szCs w:val="22"/>
                <w:lang w:val="en-US" w:eastAsia="en-US"/>
              </w:rPr>
            </w:pPr>
          </w:p>
        </w:tc>
        <w:tc>
          <w:tcPr>
            <w:tcW w:w="1997" w:type="dxa"/>
            <w:tcBorders>
              <w:top w:val="nil"/>
              <w:left w:val="nil"/>
              <w:bottom w:val="nil"/>
              <w:right w:val="nil"/>
            </w:tcBorders>
            <w:shd w:val="clear" w:color="auto" w:fill="auto"/>
            <w:noWrap/>
            <w:vAlign w:val="center"/>
            <w:hideMark/>
          </w:tcPr>
          <w:p w14:paraId="7F5938F8" w14:textId="77777777" w:rsidR="00607A41" w:rsidRPr="00353572" w:rsidRDefault="00607A41" w:rsidP="00F168C7">
            <w:pPr>
              <w:ind w:left="0"/>
              <w:jc w:val="center"/>
              <w:rPr>
                <w:sz w:val="20"/>
                <w:szCs w:val="20"/>
                <w:lang w:val="en-US" w:eastAsia="en-US"/>
              </w:rPr>
            </w:pPr>
          </w:p>
        </w:tc>
        <w:tc>
          <w:tcPr>
            <w:tcW w:w="2126" w:type="dxa"/>
            <w:tcBorders>
              <w:top w:val="nil"/>
              <w:left w:val="nil"/>
              <w:bottom w:val="nil"/>
              <w:right w:val="nil"/>
            </w:tcBorders>
            <w:shd w:val="clear" w:color="auto" w:fill="auto"/>
            <w:noWrap/>
            <w:vAlign w:val="center"/>
            <w:hideMark/>
          </w:tcPr>
          <w:p w14:paraId="1CEB6F0B" w14:textId="77777777" w:rsidR="00607A41" w:rsidRPr="00353572" w:rsidRDefault="00607A41" w:rsidP="00F168C7">
            <w:pPr>
              <w:ind w:left="0"/>
              <w:rPr>
                <w:sz w:val="20"/>
                <w:szCs w:val="20"/>
                <w:lang w:val="en-US" w:eastAsia="en-US"/>
              </w:rPr>
            </w:pPr>
          </w:p>
        </w:tc>
        <w:tc>
          <w:tcPr>
            <w:tcW w:w="1984" w:type="dxa"/>
            <w:tcBorders>
              <w:top w:val="nil"/>
              <w:left w:val="nil"/>
              <w:bottom w:val="nil"/>
              <w:right w:val="nil"/>
            </w:tcBorders>
            <w:shd w:val="clear" w:color="auto" w:fill="auto"/>
            <w:noWrap/>
            <w:vAlign w:val="center"/>
            <w:hideMark/>
          </w:tcPr>
          <w:p w14:paraId="0F0FB0AC" w14:textId="77777777" w:rsidR="00607A41" w:rsidRPr="00353572" w:rsidRDefault="00607A41" w:rsidP="00F168C7">
            <w:pPr>
              <w:ind w:left="0"/>
              <w:rPr>
                <w:sz w:val="20"/>
                <w:szCs w:val="20"/>
                <w:lang w:val="en-US" w:eastAsia="en-US"/>
              </w:rPr>
            </w:pPr>
          </w:p>
        </w:tc>
      </w:tr>
      <w:tr w:rsidR="00607A41" w:rsidRPr="00353572" w14:paraId="53E71895" w14:textId="77777777" w:rsidTr="00F168C7">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676C1" w14:textId="77777777" w:rsidR="00607A41" w:rsidRPr="00353572" w:rsidRDefault="00607A41" w:rsidP="00F168C7">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BASE GASTOS OPERATIVOS</w:t>
            </w:r>
          </w:p>
        </w:tc>
        <w:tc>
          <w:tcPr>
            <w:tcW w:w="1997" w:type="dxa"/>
            <w:tcBorders>
              <w:top w:val="single" w:sz="4" w:space="0" w:color="auto"/>
              <w:left w:val="nil"/>
              <w:bottom w:val="single" w:sz="4" w:space="0" w:color="auto"/>
              <w:right w:val="single" w:sz="4" w:space="0" w:color="auto"/>
            </w:tcBorders>
            <w:shd w:val="clear" w:color="auto" w:fill="auto"/>
            <w:noWrap/>
            <w:vAlign w:val="center"/>
            <w:hideMark/>
          </w:tcPr>
          <w:p w14:paraId="6CA6AD51"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153E925" w14:textId="77777777" w:rsidR="00607A41" w:rsidRPr="00353572" w:rsidRDefault="00607A41" w:rsidP="00F168C7">
            <w:pPr>
              <w:ind w:left="0"/>
              <w:jc w:val="right"/>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xml:space="preserve">33.156.758.973.362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B241FDD"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r w:rsidR="00607A41" w:rsidRPr="00353572" w14:paraId="4972B5E9" w14:textId="77777777" w:rsidTr="00F168C7">
        <w:trPr>
          <w:trHeight w:val="576"/>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63A6E7EA" w14:textId="77777777" w:rsidR="00607A41" w:rsidRPr="00353572" w:rsidRDefault="00607A41" w:rsidP="00F168C7">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PORCENTAJE ADICIONAL GASTOS OPERATIVOS</w:t>
            </w:r>
          </w:p>
        </w:tc>
        <w:tc>
          <w:tcPr>
            <w:tcW w:w="1997" w:type="dxa"/>
            <w:tcBorders>
              <w:top w:val="nil"/>
              <w:left w:val="nil"/>
              <w:bottom w:val="single" w:sz="4" w:space="0" w:color="auto"/>
              <w:right w:val="single" w:sz="4" w:space="0" w:color="auto"/>
            </w:tcBorders>
            <w:shd w:val="clear" w:color="auto" w:fill="auto"/>
            <w:noWrap/>
            <w:vAlign w:val="center"/>
            <w:hideMark/>
          </w:tcPr>
          <w:p w14:paraId="151BE968"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2126" w:type="dxa"/>
            <w:tcBorders>
              <w:top w:val="nil"/>
              <w:left w:val="nil"/>
              <w:bottom w:val="single" w:sz="4" w:space="0" w:color="auto"/>
              <w:right w:val="single" w:sz="4" w:space="0" w:color="auto"/>
            </w:tcBorders>
            <w:shd w:val="clear" w:color="auto" w:fill="auto"/>
            <w:noWrap/>
            <w:vAlign w:val="center"/>
            <w:hideMark/>
          </w:tcPr>
          <w:p w14:paraId="6AD5F5BF" w14:textId="77777777" w:rsidR="00607A41" w:rsidRPr="00353572" w:rsidRDefault="00607A41" w:rsidP="00F168C7">
            <w:pPr>
              <w:ind w:left="0"/>
              <w:jc w:val="right"/>
              <w:rPr>
                <w:rFonts w:ascii="Calibri" w:hAnsi="Calibri" w:cs="Calibri"/>
                <w:sz w:val="20"/>
                <w:szCs w:val="20"/>
                <w:lang w:val="en-US" w:eastAsia="en-US"/>
              </w:rPr>
            </w:pPr>
            <w:r w:rsidRPr="00353572">
              <w:rPr>
                <w:rFonts w:ascii="Calibri" w:hAnsi="Calibri" w:cs="Calibri"/>
                <w:sz w:val="20"/>
                <w:szCs w:val="20"/>
                <w:lang w:val="en-US" w:eastAsia="en-US"/>
              </w:rPr>
              <w:t>0,0055860%</w:t>
            </w:r>
          </w:p>
        </w:tc>
        <w:tc>
          <w:tcPr>
            <w:tcW w:w="1984" w:type="dxa"/>
            <w:tcBorders>
              <w:top w:val="nil"/>
              <w:left w:val="nil"/>
              <w:bottom w:val="single" w:sz="4" w:space="0" w:color="auto"/>
              <w:right w:val="single" w:sz="4" w:space="0" w:color="auto"/>
            </w:tcBorders>
            <w:shd w:val="clear" w:color="auto" w:fill="auto"/>
            <w:noWrap/>
            <w:vAlign w:val="center"/>
            <w:hideMark/>
          </w:tcPr>
          <w:p w14:paraId="2D419EB8"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r w:rsidR="00607A41" w:rsidRPr="00353572" w14:paraId="37EF28F2" w14:textId="77777777" w:rsidTr="00F168C7">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0B986E8" w14:textId="77777777" w:rsidR="00607A41" w:rsidRPr="00353572" w:rsidRDefault="00607A41" w:rsidP="00F168C7">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FALTANTE PRESUPUESTAL</w:t>
            </w:r>
          </w:p>
        </w:tc>
        <w:tc>
          <w:tcPr>
            <w:tcW w:w="1997" w:type="dxa"/>
            <w:tcBorders>
              <w:top w:val="nil"/>
              <w:left w:val="nil"/>
              <w:bottom w:val="single" w:sz="4" w:space="0" w:color="auto"/>
              <w:right w:val="single" w:sz="4" w:space="0" w:color="auto"/>
            </w:tcBorders>
            <w:shd w:val="clear" w:color="auto" w:fill="auto"/>
            <w:noWrap/>
            <w:vAlign w:val="center"/>
            <w:hideMark/>
          </w:tcPr>
          <w:p w14:paraId="78795542"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61C8C327" w14:textId="77777777" w:rsidR="00607A41" w:rsidRPr="00353572" w:rsidRDefault="00607A41" w:rsidP="00F168C7">
            <w:pPr>
              <w:ind w:left="0"/>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w:t>
            </w:r>
            <w:r w:rsidRPr="00353572">
              <w:rPr>
                <w:rFonts w:ascii="Calibri" w:hAnsi="Calibri" w:cs="Calibri"/>
                <w:color w:val="000000"/>
                <w:sz w:val="22"/>
                <w:szCs w:val="22"/>
                <w:lang w:val="en-US" w:eastAsia="en-US"/>
              </w:rPr>
              <w:t xml:space="preserve">1.852.146.882 </w:t>
            </w:r>
          </w:p>
        </w:tc>
        <w:tc>
          <w:tcPr>
            <w:tcW w:w="1984" w:type="dxa"/>
            <w:tcBorders>
              <w:top w:val="nil"/>
              <w:left w:val="nil"/>
              <w:bottom w:val="single" w:sz="4" w:space="0" w:color="auto"/>
              <w:right w:val="single" w:sz="4" w:space="0" w:color="auto"/>
            </w:tcBorders>
            <w:shd w:val="clear" w:color="auto" w:fill="auto"/>
            <w:noWrap/>
            <w:vAlign w:val="center"/>
            <w:hideMark/>
          </w:tcPr>
          <w:p w14:paraId="6DF3AADF" w14:textId="77777777" w:rsidR="00607A41" w:rsidRPr="00353572" w:rsidRDefault="00607A41" w:rsidP="00F168C7">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bl>
    <w:p w14:paraId="6223326E" w14:textId="77777777" w:rsidR="00607A41" w:rsidRDefault="00607A41" w:rsidP="00692D39">
      <w:pPr>
        <w:ind w:left="0"/>
        <w:jc w:val="both"/>
        <w:rPr>
          <w:rFonts w:ascii="Bookman Old Style" w:hAnsi="Bookman Old Style" w:cs="Arial"/>
        </w:rPr>
      </w:pPr>
    </w:p>
    <w:p w14:paraId="038F9981" w14:textId="701E05BE" w:rsidR="00202031" w:rsidRDefault="00202031" w:rsidP="00692D39">
      <w:pPr>
        <w:ind w:left="0"/>
        <w:jc w:val="both"/>
        <w:rPr>
          <w:rFonts w:ascii="Bookman Old Style" w:hAnsi="Bookman Old Style" w:cs="Arial"/>
        </w:rPr>
      </w:pPr>
      <w:r w:rsidRPr="00202031">
        <w:rPr>
          <w:rFonts w:ascii="Bookman Old Style" w:hAnsi="Bookman Old Style" w:cs="Arial"/>
        </w:rPr>
        <w:t xml:space="preserve">La contribución especial será calculada </w:t>
      </w:r>
      <w:r>
        <w:rPr>
          <w:rFonts w:ascii="Bookman Old Style" w:hAnsi="Bookman Old Style" w:cs="Arial"/>
        </w:rPr>
        <w:t xml:space="preserve">por </w:t>
      </w:r>
      <w:r w:rsidRPr="001E4A38">
        <w:rPr>
          <w:rFonts w:ascii="Bookman Old Style" w:hAnsi="Bookman Old Style" w:cs="Arial"/>
        </w:rPr>
        <w:t>la Subdirección Administrativa y Financiera a través de una liquidación oficial para</w:t>
      </w:r>
      <w:r w:rsidRPr="00202031">
        <w:rPr>
          <w:rFonts w:ascii="Bookman Old Style" w:hAnsi="Bookman Old Style" w:cs="Arial"/>
        </w:rPr>
        <w:t xml:space="preserve"> cada uno de los regulados</w:t>
      </w:r>
      <w:r>
        <w:rPr>
          <w:rFonts w:ascii="Bookman Old Style" w:hAnsi="Bookman Old Style" w:cs="Arial"/>
        </w:rPr>
        <w:t>,</w:t>
      </w:r>
      <w:r w:rsidRPr="00202031">
        <w:rPr>
          <w:rFonts w:ascii="Bookman Old Style" w:hAnsi="Bookman Old Style" w:cs="Arial"/>
        </w:rPr>
        <w:t xml:space="preserve"> la cual será notificada a la empresa regulada conforme a lo previsto en las disposiciones legales vigentes</w:t>
      </w:r>
      <w:r w:rsidR="00050EF7">
        <w:rPr>
          <w:rFonts w:ascii="Bookman Old Style" w:hAnsi="Bookman Old Style" w:cs="Arial"/>
        </w:rPr>
        <w:t>,</w:t>
      </w:r>
      <w:r w:rsidRPr="00202031">
        <w:rPr>
          <w:rFonts w:ascii="Bookman Old Style" w:hAnsi="Bookman Old Style" w:cs="Arial"/>
        </w:rPr>
        <w:t xml:space="preserve"> y contra ella procede el recurso de reposición, el cual podrá interponerse dentro de los </w:t>
      </w:r>
      <w:r>
        <w:rPr>
          <w:rFonts w:ascii="Bookman Old Style" w:hAnsi="Bookman Old Style" w:cs="Arial"/>
        </w:rPr>
        <w:t>diez</w:t>
      </w:r>
      <w:r w:rsidRPr="00202031">
        <w:rPr>
          <w:rFonts w:ascii="Bookman Old Style" w:hAnsi="Bookman Old Style" w:cs="Arial"/>
        </w:rPr>
        <w:t xml:space="preserve"> (</w:t>
      </w:r>
      <w:r>
        <w:rPr>
          <w:rFonts w:ascii="Bookman Old Style" w:hAnsi="Bookman Old Style" w:cs="Arial"/>
        </w:rPr>
        <w:t>10</w:t>
      </w:r>
      <w:r w:rsidRPr="00202031">
        <w:rPr>
          <w:rFonts w:ascii="Bookman Old Style" w:hAnsi="Bookman Old Style" w:cs="Arial"/>
        </w:rPr>
        <w:t>) días hábiles siguientes a la diligencia de notificación por la CREG</w:t>
      </w:r>
      <w:r>
        <w:rPr>
          <w:rFonts w:ascii="Bookman Old Style" w:hAnsi="Bookman Old Style" w:cs="Arial"/>
        </w:rPr>
        <w:t>.</w:t>
      </w:r>
    </w:p>
    <w:p w14:paraId="2ACF64BD" w14:textId="5A1E0FED" w:rsidR="00202031" w:rsidRDefault="00202031" w:rsidP="00692D39">
      <w:pPr>
        <w:ind w:left="0"/>
        <w:jc w:val="both"/>
        <w:rPr>
          <w:rFonts w:ascii="Bookman Old Style" w:hAnsi="Bookman Old Style" w:cs="Arial"/>
        </w:rPr>
      </w:pPr>
    </w:p>
    <w:p w14:paraId="4E55D9C7" w14:textId="55323C0F" w:rsidR="00395F30" w:rsidRDefault="00395F30" w:rsidP="00692D39">
      <w:pPr>
        <w:ind w:left="0"/>
        <w:jc w:val="both"/>
        <w:rPr>
          <w:rFonts w:ascii="Bookman Old Style" w:hAnsi="Bookman Old Style" w:cs="Arial"/>
        </w:rPr>
      </w:pPr>
      <w:r w:rsidRPr="00395F30">
        <w:rPr>
          <w:rFonts w:ascii="Bookman Old Style" w:hAnsi="Bookman Old Style" w:cs="Arial"/>
        </w:rPr>
        <w:t>La Dirección de Impuestos y Aduanas Nacionales –DIAN- mediante la Resolución 000140 del 25 de noviembre de 2021, fijó en $38.004 el valor de la unidad de valor tributario (UVT), que entra a regir a partir del 1º de enero del 2022.</w:t>
      </w:r>
      <w:r>
        <w:rPr>
          <w:rFonts w:ascii="Bookman Old Style" w:hAnsi="Bookman Old Style" w:cs="Arial"/>
        </w:rPr>
        <w:t xml:space="preserve"> </w:t>
      </w:r>
      <w:r w:rsidRPr="00395F30">
        <w:rPr>
          <w:rFonts w:ascii="Bookman Old Style" w:hAnsi="Bookman Old Style" w:cs="Arial"/>
        </w:rPr>
        <w:t>Para efectos de conversión en valores absolutos, los valores expresados en UVT se deben multiplicar por el valor de la UVT y su resultado se aproxima de acuerdo con el procedimiento de aproximaciones de que trata el inciso sexto del artículo 868 del Estatuto Tributario.</w:t>
      </w:r>
    </w:p>
    <w:p w14:paraId="6C793670" w14:textId="77777777" w:rsidR="00607A41" w:rsidRDefault="00607A41" w:rsidP="00692D39">
      <w:pPr>
        <w:ind w:left="0"/>
        <w:jc w:val="both"/>
        <w:rPr>
          <w:rFonts w:ascii="Bookman Old Style" w:hAnsi="Bookman Old Style" w:cs="Arial"/>
        </w:rPr>
      </w:pPr>
    </w:p>
    <w:p w14:paraId="5A16B142" w14:textId="4818220B" w:rsidR="00423DFB" w:rsidRDefault="0050424C" w:rsidP="00692D39">
      <w:pPr>
        <w:ind w:left="0"/>
        <w:jc w:val="both"/>
        <w:rPr>
          <w:rFonts w:ascii="Bookman Old Style" w:hAnsi="Bookman Old Style" w:cs="Arial"/>
        </w:rPr>
      </w:pPr>
      <w:r w:rsidRPr="0050424C">
        <w:rPr>
          <w:rFonts w:ascii="Bookman Old Style" w:hAnsi="Bookman Old Style" w:cs="Arial"/>
        </w:rPr>
        <w:t>A efectos de recuperar los costos representados en recursos humanos, tecnológicos</w:t>
      </w:r>
      <w:r w:rsidR="005A1CCE">
        <w:rPr>
          <w:rFonts w:ascii="Bookman Old Style" w:hAnsi="Bookman Old Style" w:cs="Arial"/>
        </w:rPr>
        <w:t>,</w:t>
      </w:r>
      <w:r w:rsidRPr="0050424C">
        <w:rPr>
          <w:rFonts w:ascii="Bookman Old Style" w:hAnsi="Bookman Old Style" w:cs="Arial"/>
        </w:rPr>
        <w:t xml:space="preserve"> financieros </w:t>
      </w:r>
      <w:r w:rsidR="005A1CCE">
        <w:rPr>
          <w:rFonts w:ascii="Bookman Old Style" w:hAnsi="Bookman Old Style" w:cs="Arial"/>
        </w:rPr>
        <w:t xml:space="preserve">y logísticos </w:t>
      </w:r>
      <w:r w:rsidRPr="0050424C">
        <w:rPr>
          <w:rFonts w:ascii="Bookman Old Style" w:hAnsi="Bookman Old Style" w:cs="Arial"/>
        </w:rPr>
        <w:t xml:space="preserve">incurridos por la CREG en el procedimiento de cálculo, liquidación, </w:t>
      </w:r>
      <w:r w:rsidR="005A1CCE">
        <w:rPr>
          <w:rFonts w:ascii="Bookman Old Style" w:hAnsi="Bookman Old Style" w:cs="Arial"/>
        </w:rPr>
        <w:t xml:space="preserve">cobro, </w:t>
      </w:r>
      <w:r w:rsidRPr="0050424C">
        <w:rPr>
          <w:rFonts w:ascii="Bookman Old Style" w:hAnsi="Bookman Old Style" w:cs="Arial"/>
        </w:rPr>
        <w:t>recaudo y gestión de cartera de la contribución especial 202</w:t>
      </w:r>
      <w:r w:rsidR="0062044A">
        <w:rPr>
          <w:rFonts w:ascii="Bookman Old Style" w:hAnsi="Bookman Old Style" w:cs="Arial"/>
        </w:rPr>
        <w:t>2</w:t>
      </w:r>
      <w:r w:rsidRPr="0050424C">
        <w:rPr>
          <w:rFonts w:ascii="Bookman Old Style" w:hAnsi="Bookman Old Style" w:cs="Arial"/>
        </w:rPr>
        <w:t xml:space="preserve">, la Comisión determinó una cuantía mínima óptima </w:t>
      </w:r>
      <w:r w:rsidR="00104A06">
        <w:rPr>
          <w:rFonts w:ascii="Bookman Old Style" w:hAnsi="Bookman Old Style" w:cs="Arial"/>
        </w:rPr>
        <w:t xml:space="preserve">hasta </w:t>
      </w:r>
      <w:r w:rsidRPr="0050424C">
        <w:rPr>
          <w:rFonts w:ascii="Bookman Old Style" w:hAnsi="Bookman Old Style" w:cs="Arial"/>
        </w:rPr>
        <w:t xml:space="preserve">de </w:t>
      </w:r>
      <w:r w:rsidR="0062044A">
        <w:rPr>
          <w:rFonts w:ascii="Bookman Old Style" w:hAnsi="Bookman Old Style" w:cs="Arial"/>
        </w:rPr>
        <w:t xml:space="preserve">ocho (8) UVT, es decir, </w:t>
      </w:r>
      <w:r w:rsidRPr="0050424C">
        <w:rPr>
          <w:rFonts w:ascii="Bookman Old Style" w:hAnsi="Bookman Old Style" w:cs="Arial"/>
        </w:rPr>
        <w:t>$</w:t>
      </w:r>
      <w:r w:rsidR="0062044A">
        <w:rPr>
          <w:rFonts w:ascii="Bookman Old Style" w:hAnsi="Bookman Old Style" w:cs="Arial"/>
        </w:rPr>
        <w:t>304</w:t>
      </w:r>
      <w:r w:rsidRPr="0050424C">
        <w:rPr>
          <w:rFonts w:ascii="Bookman Old Style" w:hAnsi="Bookman Old Style" w:cs="Arial"/>
        </w:rPr>
        <w:t>,</w:t>
      </w:r>
      <w:r w:rsidR="0062044A">
        <w:rPr>
          <w:rFonts w:ascii="Bookman Old Style" w:hAnsi="Bookman Old Style" w:cs="Arial"/>
        </w:rPr>
        <w:t>0</w:t>
      </w:r>
      <w:r w:rsidR="00395F30">
        <w:rPr>
          <w:rFonts w:ascii="Bookman Old Style" w:hAnsi="Bookman Old Style" w:cs="Arial"/>
        </w:rPr>
        <w:t>00</w:t>
      </w:r>
      <w:r w:rsidR="00926FC1">
        <w:rPr>
          <w:rFonts w:ascii="Bookman Old Style" w:hAnsi="Bookman Old Style" w:cs="Arial"/>
        </w:rPr>
        <w:t>,</w:t>
      </w:r>
      <w:r w:rsidRPr="0050424C">
        <w:rPr>
          <w:rFonts w:ascii="Bookman Old Style" w:hAnsi="Bookman Old Style" w:cs="Arial"/>
        </w:rPr>
        <w:t xml:space="preserve"> por debajo de la cual </w:t>
      </w:r>
      <w:r w:rsidR="005A1CCE">
        <w:rPr>
          <w:rFonts w:ascii="Bookman Old Style" w:hAnsi="Bookman Old Style" w:cs="Arial"/>
        </w:rPr>
        <w:t xml:space="preserve">no </w:t>
      </w:r>
      <w:r w:rsidRPr="0050424C">
        <w:rPr>
          <w:rFonts w:ascii="Bookman Old Style" w:hAnsi="Bookman Old Style" w:cs="Arial"/>
        </w:rPr>
        <w:t>resulta eficiente</w:t>
      </w:r>
      <w:r w:rsidR="005A1CCE">
        <w:rPr>
          <w:rFonts w:ascii="Bookman Old Style" w:hAnsi="Bookman Old Style" w:cs="Arial"/>
        </w:rPr>
        <w:t xml:space="preserve"> ni rentable</w:t>
      </w:r>
      <w:r w:rsidRPr="0050424C">
        <w:rPr>
          <w:rFonts w:ascii="Bookman Old Style" w:hAnsi="Bookman Old Style" w:cs="Arial"/>
        </w:rPr>
        <w:t xml:space="preserve"> liquidar la contribución especial a los sujetos pasivos.</w:t>
      </w:r>
    </w:p>
    <w:p w14:paraId="5B9EF537" w14:textId="77777777" w:rsidR="00C63A07" w:rsidRDefault="00C63A07" w:rsidP="00692D39">
      <w:pPr>
        <w:ind w:left="0"/>
        <w:jc w:val="both"/>
        <w:rPr>
          <w:rFonts w:ascii="Bookman Old Style" w:hAnsi="Bookman Old Style" w:cs="Arial"/>
        </w:rPr>
      </w:pPr>
    </w:p>
    <w:p w14:paraId="4A2D7636" w14:textId="261DABAC" w:rsidR="00D9300F" w:rsidRDefault="00D9300F" w:rsidP="00692D39">
      <w:pPr>
        <w:ind w:left="0"/>
        <w:jc w:val="both"/>
        <w:rPr>
          <w:rFonts w:ascii="Bookman Old Style" w:hAnsi="Bookman Old Style" w:cs="Arial"/>
        </w:rPr>
      </w:pPr>
      <w:r>
        <w:rPr>
          <w:rFonts w:ascii="Bookman Old Style" w:hAnsi="Bookman Old Style" w:cs="Arial"/>
        </w:rPr>
        <w:t>Para a</w:t>
      </w:r>
      <w:r w:rsidRPr="00733B4E">
        <w:rPr>
          <w:rFonts w:ascii="Bookman Old Style" w:hAnsi="Bookman Old Style" w:cs="Arial"/>
        </w:rPr>
        <w:t>quellos regulados que no repor</w:t>
      </w:r>
      <w:r>
        <w:rPr>
          <w:rFonts w:ascii="Bookman Old Style" w:hAnsi="Bookman Old Style" w:cs="Arial"/>
        </w:rPr>
        <w:t xml:space="preserve">taron la información financiera </w:t>
      </w:r>
      <w:r w:rsidRPr="00733B4E">
        <w:rPr>
          <w:rFonts w:ascii="Bookman Old Style" w:hAnsi="Bookman Old Style" w:cs="Arial"/>
        </w:rPr>
        <w:t>de la vigencia 20</w:t>
      </w:r>
      <w:r w:rsidR="0062044A">
        <w:rPr>
          <w:rFonts w:ascii="Bookman Old Style" w:hAnsi="Bookman Old Style" w:cs="Arial"/>
        </w:rPr>
        <w:t>21</w:t>
      </w:r>
      <w:r w:rsidRPr="00733B4E">
        <w:rPr>
          <w:rFonts w:ascii="Bookman Old Style" w:hAnsi="Bookman Old Style" w:cs="Arial"/>
        </w:rPr>
        <w:t xml:space="preserve">, </w:t>
      </w:r>
      <w:r w:rsidR="0062044A">
        <w:rPr>
          <w:rFonts w:ascii="Bookman Old Style" w:hAnsi="Bookman Old Style" w:cs="Arial"/>
        </w:rPr>
        <w:t>base para la contribución 2022</w:t>
      </w:r>
      <w:r>
        <w:rPr>
          <w:rFonts w:ascii="Bookman Old Style" w:hAnsi="Bookman Old Style" w:cs="Arial"/>
        </w:rPr>
        <w:t>, serán tratados como omisos</w:t>
      </w:r>
      <w:r w:rsidR="00050EF7">
        <w:rPr>
          <w:rFonts w:ascii="Bookman Old Style" w:hAnsi="Bookman Old Style" w:cs="Arial"/>
        </w:rPr>
        <w:t>,</w:t>
      </w:r>
      <w:r>
        <w:rPr>
          <w:rFonts w:ascii="Bookman Old Style" w:hAnsi="Bookman Old Style" w:cs="Arial"/>
        </w:rPr>
        <w:t xml:space="preserve"> y </w:t>
      </w:r>
      <w:r w:rsidRPr="00733B4E">
        <w:rPr>
          <w:rFonts w:ascii="Bookman Old Style" w:hAnsi="Bookman Old Style" w:cs="Arial"/>
        </w:rPr>
        <w:t xml:space="preserve">se </w:t>
      </w:r>
      <w:r>
        <w:rPr>
          <w:rFonts w:ascii="Bookman Old Style" w:hAnsi="Bookman Old Style" w:cs="Arial"/>
        </w:rPr>
        <w:t xml:space="preserve">les </w:t>
      </w:r>
      <w:r w:rsidRPr="00733B4E">
        <w:rPr>
          <w:rFonts w:ascii="Bookman Old Style" w:hAnsi="Bookman Old Style" w:cs="Arial"/>
        </w:rPr>
        <w:t>tomará como base la última información financiera reportada y certificada al SUI, la cual será indexada al 31 de diciembre de 20</w:t>
      </w:r>
      <w:r w:rsidR="0062044A">
        <w:rPr>
          <w:rFonts w:ascii="Bookman Old Style" w:hAnsi="Bookman Old Style" w:cs="Arial"/>
        </w:rPr>
        <w:t>21</w:t>
      </w:r>
      <w:r>
        <w:rPr>
          <w:rFonts w:ascii="Bookman Old Style" w:hAnsi="Bookman Old Style" w:cs="Arial"/>
        </w:rPr>
        <w:t>, teniendo en cuenta</w:t>
      </w:r>
      <w:r w:rsidRPr="00733B4E">
        <w:rPr>
          <w:rFonts w:ascii="Bookman Old Style" w:hAnsi="Bookman Old Style" w:cs="Arial"/>
        </w:rPr>
        <w:t xml:space="preserve"> </w:t>
      </w:r>
      <w:r>
        <w:rPr>
          <w:rFonts w:ascii="Bookman Old Style" w:hAnsi="Bookman Old Style" w:cs="Arial"/>
        </w:rPr>
        <w:t>la variación porcentual</w:t>
      </w:r>
      <w:r w:rsidRPr="00733B4E">
        <w:rPr>
          <w:rFonts w:ascii="Bookman Old Style" w:hAnsi="Bookman Old Style" w:cs="Arial"/>
        </w:rPr>
        <w:t xml:space="preserve"> del IPC</w:t>
      </w:r>
      <w:r>
        <w:rPr>
          <w:rFonts w:ascii="Bookman Old Style" w:hAnsi="Bookman Old Style" w:cs="Arial"/>
        </w:rPr>
        <w:t xml:space="preserve"> certificado por el DANE</w:t>
      </w:r>
      <w:r w:rsidRPr="00733B4E">
        <w:rPr>
          <w:rFonts w:ascii="Bookman Old Style" w:hAnsi="Bookman Old Style" w:cs="Arial"/>
        </w:rPr>
        <w:t xml:space="preserve"> </w:t>
      </w:r>
      <w:r>
        <w:rPr>
          <w:rFonts w:ascii="Bookman Old Style" w:hAnsi="Bookman Old Style" w:cs="Arial"/>
        </w:rPr>
        <w:t>para los años objeto de indexación; estos regulados serán requeridos en fiscalización y se ajustará la contribución especial al valor de liquidación sus estados financieros auditados.</w:t>
      </w:r>
    </w:p>
    <w:p w14:paraId="5B4FA2D9" w14:textId="77777777" w:rsidR="00607A41" w:rsidRDefault="00607A41" w:rsidP="00692D39">
      <w:pPr>
        <w:ind w:left="0"/>
        <w:jc w:val="both"/>
        <w:rPr>
          <w:rFonts w:ascii="Bookman Old Style" w:hAnsi="Bookman Old Style" w:cs="Arial"/>
        </w:rPr>
      </w:pPr>
    </w:p>
    <w:p w14:paraId="67BE96E7" w14:textId="0416244C" w:rsidR="00692D39" w:rsidRDefault="00202031" w:rsidP="00692D39">
      <w:pPr>
        <w:ind w:left="0"/>
        <w:jc w:val="both"/>
        <w:rPr>
          <w:rFonts w:ascii="Bookman Old Style" w:hAnsi="Bookman Old Style" w:cs="Arial"/>
        </w:rPr>
      </w:pPr>
      <w:r>
        <w:rPr>
          <w:rFonts w:ascii="Bookman Old Style" w:hAnsi="Bookman Old Style" w:cs="Arial"/>
        </w:rPr>
        <w:t>La CREG reportará a</w:t>
      </w:r>
      <w:r w:rsidR="00692D39" w:rsidRPr="00C4627C">
        <w:rPr>
          <w:rFonts w:ascii="Bookman Old Style" w:hAnsi="Bookman Old Style" w:cs="Arial"/>
        </w:rPr>
        <w:t xml:space="preserve">l Boletín de Deudores Morosos del Estado </w:t>
      </w:r>
      <w:r w:rsidR="00692D39">
        <w:rPr>
          <w:rFonts w:ascii="Bookman Old Style" w:hAnsi="Bookman Old Style" w:cs="Arial"/>
        </w:rPr>
        <w:t>(</w:t>
      </w:r>
      <w:r w:rsidR="00692D39" w:rsidRPr="00C4627C">
        <w:rPr>
          <w:rFonts w:ascii="Bookman Old Style" w:hAnsi="Bookman Old Style" w:cs="Arial"/>
        </w:rPr>
        <w:t>BDME</w:t>
      </w:r>
      <w:r w:rsidR="00692D39">
        <w:rPr>
          <w:rFonts w:ascii="Bookman Old Style" w:hAnsi="Bookman Old Style" w:cs="Arial"/>
        </w:rPr>
        <w:t>)</w:t>
      </w:r>
      <w:r>
        <w:rPr>
          <w:rFonts w:ascii="Bookman Old Style" w:hAnsi="Bookman Old Style" w:cs="Arial"/>
        </w:rPr>
        <w:t xml:space="preserve"> de la </w:t>
      </w:r>
      <w:r w:rsidRPr="00C4627C">
        <w:rPr>
          <w:rFonts w:ascii="Bookman Old Style" w:hAnsi="Bookman Old Style" w:cs="Arial"/>
        </w:rPr>
        <w:t>Co</w:t>
      </w:r>
      <w:r>
        <w:rPr>
          <w:rFonts w:ascii="Bookman Old Style" w:hAnsi="Bookman Old Style" w:cs="Arial"/>
        </w:rPr>
        <w:t>ntaduría General de la Nación (</w:t>
      </w:r>
      <w:r w:rsidRPr="00C4627C">
        <w:rPr>
          <w:rFonts w:ascii="Bookman Old Style" w:hAnsi="Bookman Old Style" w:cs="Arial"/>
        </w:rPr>
        <w:t>CGN</w:t>
      </w:r>
      <w:r>
        <w:rPr>
          <w:rFonts w:ascii="Bookman Old Style" w:hAnsi="Bookman Old Style" w:cs="Arial"/>
        </w:rPr>
        <w:t>)</w:t>
      </w:r>
      <w:r w:rsidRPr="00C4627C">
        <w:rPr>
          <w:rFonts w:ascii="Bookman Old Style" w:hAnsi="Bookman Old Style" w:cs="Arial"/>
        </w:rPr>
        <w:t>,</w:t>
      </w:r>
      <w:r w:rsidR="00D9300F">
        <w:rPr>
          <w:rFonts w:ascii="Bookman Old Style" w:hAnsi="Bookman Old Style" w:cs="Arial"/>
        </w:rPr>
        <w:t xml:space="preserve"> </w:t>
      </w:r>
      <w:r w:rsidR="00692D39" w:rsidRPr="00C4627C">
        <w:rPr>
          <w:rFonts w:ascii="Bookman Old Style" w:hAnsi="Bookman Old Style" w:cs="Arial"/>
        </w:rPr>
        <w:t>las personas naturales y jurídicas que</w:t>
      </w:r>
      <w:r w:rsidR="00692D39">
        <w:rPr>
          <w:rFonts w:ascii="Bookman Old Style" w:hAnsi="Bookman Old Style" w:cs="Arial"/>
        </w:rPr>
        <w:t>,</w:t>
      </w:r>
      <w:r w:rsidR="00692D39" w:rsidRPr="00C4627C">
        <w:rPr>
          <w:rFonts w:ascii="Bookman Old Style" w:hAnsi="Bookman Old Style" w:cs="Arial"/>
        </w:rPr>
        <w:t xml:space="preserve"> a cualquier título, a una fecha de corte, tienen contraída una obligación </w:t>
      </w:r>
      <w:r w:rsidR="00692D39">
        <w:rPr>
          <w:rFonts w:ascii="Bookman Old Style" w:hAnsi="Bookman Old Style" w:cs="Arial"/>
        </w:rPr>
        <w:t xml:space="preserve">en mora </w:t>
      </w:r>
      <w:r>
        <w:rPr>
          <w:rFonts w:ascii="Bookman Old Style" w:hAnsi="Bookman Old Style" w:cs="Arial"/>
        </w:rPr>
        <w:t xml:space="preserve">a favor de la CREG, según lo dispuesto en </w:t>
      </w:r>
      <w:r w:rsidR="00692D39" w:rsidRPr="00C4627C">
        <w:rPr>
          <w:rFonts w:ascii="Bookman Old Style" w:hAnsi="Bookman Old Style" w:cs="Arial"/>
        </w:rPr>
        <w:t>el parágrafo 3º del artículo 2º de la Ley 901 de 2004, y del numeral 5º del Art</w:t>
      </w:r>
      <w:r w:rsidR="00692D39">
        <w:rPr>
          <w:rFonts w:ascii="Bookman Old Style" w:hAnsi="Bookman Old Style" w:cs="Arial"/>
        </w:rPr>
        <w:t>ículo</w:t>
      </w:r>
      <w:r w:rsidR="00692D39" w:rsidRPr="00C4627C">
        <w:rPr>
          <w:rFonts w:ascii="Bookman Old Style" w:hAnsi="Bookman Old Style" w:cs="Arial"/>
        </w:rPr>
        <w:t xml:space="preserve"> 2º de la Ley 1066 de 2006</w:t>
      </w:r>
      <w:r>
        <w:rPr>
          <w:rFonts w:ascii="Bookman Old Style" w:hAnsi="Bookman Old Style" w:cs="Arial"/>
        </w:rPr>
        <w:t>;</w:t>
      </w:r>
      <w:r w:rsidR="00692D39" w:rsidRPr="00C4627C">
        <w:rPr>
          <w:rFonts w:ascii="Bookman Old Style" w:hAnsi="Bookman Old Style" w:cs="Arial"/>
        </w:rPr>
        <w:t xml:space="preserve"> </w:t>
      </w:r>
      <w:r>
        <w:rPr>
          <w:rFonts w:ascii="Bookman Old Style" w:hAnsi="Bookman Old Style" w:cs="Arial"/>
        </w:rPr>
        <w:t>a través del</w:t>
      </w:r>
      <w:r w:rsidR="00692D39" w:rsidRPr="00C4627C">
        <w:rPr>
          <w:rFonts w:ascii="Bookman Old Style" w:hAnsi="Bookman Old Style" w:cs="Arial"/>
        </w:rPr>
        <w:t xml:space="preserve"> sistema CHIP</w:t>
      </w:r>
      <w:r w:rsidR="00692D39">
        <w:rPr>
          <w:rFonts w:ascii="Bookman Old Style" w:hAnsi="Bookman Old Style" w:cs="Arial"/>
        </w:rPr>
        <w:t xml:space="preserve"> de la CGN</w:t>
      </w:r>
      <w:r w:rsidR="00692D39" w:rsidRPr="00C4627C">
        <w:rPr>
          <w:rFonts w:ascii="Bookman Old Style" w:hAnsi="Bookman Old Style" w:cs="Arial"/>
        </w:rPr>
        <w:t xml:space="preserve">, en los </w:t>
      </w:r>
      <w:r w:rsidR="00692D39">
        <w:rPr>
          <w:rFonts w:ascii="Bookman Old Style" w:hAnsi="Bookman Old Style" w:cs="Arial"/>
        </w:rPr>
        <w:t>diez (</w:t>
      </w:r>
      <w:r w:rsidR="00692D39" w:rsidRPr="00C4627C">
        <w:rPr>
          <w:rFonts w:ascii="Bookman Old Style" w:hAnsi="Bookman Old Style" w:cs="Arial"/>
        </w:rPr>
        <w:t>10</w:t>
      </w:r>
      <w:r w:rsidR="00692D39">
        <w:rPr>
          <w:rFonts w:ascii="Bookman Old Style" w:hAnsi="Bookman Old Style" w:cs="Arial"/>
        </w:rPr>
        <w:t>)</w:t>
      </w:r>
      <w:r w:rsidR="00692D39" w:rsidRPr="00C4627C">
        <w:rPr>
          <w:rFonts w:ascii="Bookman Old Style" w:hAnsi="Bookman Old Style" w:cs="Arial"/>
        </w:rPr>
        <w:t xml:space="preserve"> primeros días de los meses de junio y de diciembre</w:t>
      </w:r>
      <w:r>
        <w:rPr>
          <w:rFonts w:ascii="Bookman Old Style" w:hAnsi="Bookman Old Style" w:cs="Arial"/>
        </w:rPr>
        <w:t>,</w:t>
      </w:r>
      <w:r w:rsidR="00692D39" w:rsidRPr="00C4627C">
        <w:rPr>
          <w:rFonts w:ascii="Bookman Old Style" w:hAnsi="Bookman Old Style" w:cs="Arial"/>
        </w:rPr>
        <w:t xml:space="preserve"> con fecha de corte </w:t>
      </w:r>
      <w:r>
        <w:rPr>
          <w:rFonts w:ascii="Bookman Old Style" w:hAnsi="Bookman Old Style" w:cs="Arial"/>
        </w:rPr>
        <w:t xml:space="preserve">de obligación adeudada a </w:t>
      </w:r>
      <w:r w:rsidR="00692D39" w:rsidRPr="00C4627C">
        <w:rPr>
          <w:rFonts w:ascii="Bookman Old Style" w:hAnsi="Bookman Old Style" w:cs="Arial"/>
        </w:rPr>
        <w:t xml:space="preserve">31 de mayo y </w:t>
      </w:r>
      <w:r w:rsidR="00692D39">
        <w:rPr>
          <w:rFonts w:ascii="Bookman Old Style" w:hAnsi="Bookman Old Style" w:cs="Arial"/>
        </w:rPr>
        <w:t>30 de noviembre respectivamente.</w:t>
      </w:r>
    </w:p>
    <w:p w14:paraId="607B37BF" w14:textId="77777777" w:rsidR="00C409E5" w:rsidRDefault="00C409E5" w:rsidP="00692D39">
      <w:pPr>
        <w:ind w:left="0"/>
        <w:jc w:val="both"/>
        <w:rPr>
          <w:rFonts w:ascii="Bookman Old Style" w:hAnsi="Bookman Old Style" w:cs="Arial"/>
        </w:rPr>
      </w:pPr>
    </w:p>
    <w:p w14:paraId="6638F42B" w14:textId="691791ED" w:rsidR="00C5402D" w:rsidRDefault="00C5402D" w:rsidP="000A0E2C">
      <w:pPr>
        <w:jc w:val="center"/>
        <w:rPr>
          <w:rFonts w:ascii="Bookman Old Style" w:hAnsi="Bookman Old Style"/>
          <w:b/>
          <w:spacing w:val="40"/>
        </w:rPr>
      </w:pPr>
      <w:r w:rsidRPr="000C479A">
        <w:rPr>
          <w:rFonts w:ascii="Bookman Old Style" w:hAnsi="Bookman Old Style"/>
          <w:b/>
        </w:rPr>
        <w:lastRenderedPageBreak/>
        <w:t>RESUELV</w:t>
      </w:r>
      <w:r w:rsidRPr="000C479A">
        <w:rPr>
          <w:rFonts w:ascii="Bookman Old Style" w:hAnsi="Bookman Old Style"/>
          <w:b/>
          <w:spacing w:val="40"/>
        </w:rPr>
        <w:t>E:</w:t>
      </w:r>
    </w:p>
    <w:p w14:paraId="7C7AB7A5" w14:textId="1E3EF3B9" w:rsidR="00C409E5" w:rsidRDefault="00C409E5" w:rsidP="000A0E2C">
      <w:pPr>
        <w:jc w:val="center"/>
        <w:rPr>
          <w:rFonts w:ascii="Bookman Old Style" w:hAnsi="Bookman Old Style"/>
          <w:b/>
          <w:spacing w:val="40"/>
        </w:rPr>
      </w:pPr>
    </w:p>
    <w:p w14:paraId="1B1F2094" w14:textId="0CBA19CD" w:rsidR="0093456B" w:rsidRDefault="0093456B" w:rsidP="00DA7611">
      <w:pPr>
        <w:ind w:left="0"/>
        <w:jc w:val="both"/>
        <w:rPr>
          <w:rFonts w:ascii="Bookman Old Style" w:hAnsi="Bookman Old Style" w:cs="Arial"/>
          <w:bCs/>
        </w:rPr>
      </w:pPr>
      <w:r w:rsidRPr="0093456B">
        <w:rPr>
          <w:rFonts w:ascii="Bookman Old Style" w:hAnsi="Bookman Old Style" w:cs="Arial"/>
          <w:b/>
        </w:rPr>
        <w:t>ARTÍCULO 1.</w:t>
      </w:r>
      <w:r w:rsidR="00297A12">
        <w:rPr>
          <w:rFonts w:ascii="Bookman Old Style" w:hAnsi="Bookman Old Style" w:cs="Arial"/>
          <w:b/>
        </w:rPr>
        <w:t xml:space="preserve"> TARIFA </w:t>
      </w:r>
      <w:r w:rsidR="00FE1BBB">
        <w:rPr>
          <w:rFonts w:ascii="Bookman Old Style" w:hAnsi="Bookman Old Style" w:cs="Arial"/>
          <w:b/>
        </w:rPr>
        <w:t>PARA LIQUIDAR LA</w:t>
      </w:r>
      <w:r w:rsidR="00297A12">
        <w:rPr>
          <w:rFonts w:ascii="Bookman Old Style" w:hAnsi="Bookman Old Style" w:cs="Arial"/>
          <w:b/>
        </w:rPr>
        <w:t xml:space="preserve"> CONTRIBUCIÓN ESPECIAL 202</w:t>
      </w:r>
      <w:r w:rsidR="0062044A">
        <w:rPr>
          <w:rFonts w:ascii="Bookman Old Style" w:hAnsi="Bookman Old Style" w:cs="Arial"/>
          <w:b/>
        </w:rPr>
        <w:t>2</w:t>
      </w:r>
      <w:r w:rsidR="00297A12">
        <w:rPr>
          <w:rFonts w:ascii="Bookman Old Style" w:hAnsi="Bookman Old Style" w:cs="Arial"/>
          <w:b/>
        </w:rPr>
        <w:t>.</w:t>
      </w:r>
      <w:r w:rsidRPr="0093456B">
        <w:rPr>
          <w:rFonts w:ascii="Bookman Old Style" w:hAnsi="Bookman Old Style" w:cs="Arial"/>
          <w:bCs/>
        </w:rPr>
        <w:t xml:space="preserve"> </w:t>
      </w:r>
      <w:r w:rsidR="00FE1BBB">
        <w:rPr>
          <w:rFonts w:ascii="Bookman Old Style" w:hAnsi="Bookman Old Style" w:cs="Arial"/>
          <w:bCs/>
        </w:rPr>
        <w:t>D</w:t>
      </w:r>
      <w:r w:rsidR="00FE1BBB" w:rsidRPr="0093456B">
        <w:rPr>
          <w:rFonts w:ascii="Bookman Old Style" w:hAnsi="Bookman Old Style" w:cs="Arial"/>
          <w:bCs/>
        </w:rPr>
        <w:t xml:space="preserve">e conformidad con </w:t>
      </w:r>
      <w:r w:rsidR="00FE1BBB">
        <w:rPr>
          <w:rFonts w:ascii="Bookman Old Style" w:hAnsi="Bookman Old Style" w:cs="Arial"/>
          <w:bCs/>
        </w:rPr>
        <w:t xml:space="preserve">el artículo 85 de </w:t>
      </w:r>
      <w:r w:rsidR="00FE1BBB" w:rsidRPr="0093456B">
        <w:rPr>
          <w:rFonts w:ascii="Bookman Old Style" w:hAnsi="Bookman Old Style" w:cs="Arial"/>
          <w:bCs/>
        </w:rPr>
        <w:t>la Ley 142 de 1994</w:t>
      </w:r>
      <w:r w:rsidR="00FE1BBB">
        <w:rPr>
          <w:rFonts w:ascii="Bookman Old Style" w:hAnsi="Bookman Old Style" w:cs="Arial"/>
          <w:bCs/>
        </w:rPr>
        <w:t xml:space="preserve">, </w:t>
      </w:r>
      <w:r w:rsidR="00EC3845">
        <w:rPr>
          <w:rFonts w:ascii="Bookman Old Style" w:hAnsi="Bookman Old Style" w:cs="Arial"/>
          <w:bCs/>
        </w:rPr>
        <w:t>fijar para la vigencia</w:t>
      </w:r>
      <w:r w:rsidR="00EC3845" w:rsidRPr="0093456B">
        <w:rPr>
          <w:rFonts w:ascii="Bookman Old Style" w:hAnsi="Bookman Old Style" w:cs="Arial"/>
          <w:bCs/>
        </w:rPr>
        <w:t xml:space="preserve"> 20</w:t>
      </w:r>
      <w:r w:rsidR="00EC3845">
        <w:rPr>
          <w:rFonts w:ascii="Bookman Old Style" w:hAnsi="Bookman Old Style" w:cs="Arial"/>
          <w:bCs/>
        </w:rPr>
        <w:t xml:space="preserve">22 </w:t>
      </w:r>
      <w:r w:rsidRPr="0093456B">
        <w:rPr>
          <w:rFonts w:ascii="Bookman Old Style" w:hAnsi="Bookman Old Style" w:cs="Arial"/>
          <w:bCs/>
        </w:rPr>
        <w:t xml:space="preserve">el porcentaje </w:t>
      </w:r>
      <w:r w:rsidR="00FE1BBB">
        <w:rPr>
          <w:rFonts w:ascii="Bookman Old Style" w:hAnsi="Bookman Old Style" w:cs="Arial"/>
          <w:bCs/>
        </w:rPr>
        <w:t xml:space="preserve">para liquidar </w:t>
      </w:r>
      <w:r w:rsidRPr="0093456B">
        <w:rPr>
          <w:rFonts w:ascii="Bookman Old Style" w:hAnsi="Bookman Old Style" w:cs="Arial"/>
          <w:bCs/>
        </w:rPr>
        <w:t xml:space="preserve">la contribución especial </w:t>
      </w:r>
      <w:r w:rsidR="00FE1BBB">
        <w:rPr>
          <w:rFonts w:ascii="Bookman Old Style" w:hAnsi="Bookman Old Style" w:cs="Arial"/>
          <w:bCs/>
        </w:rPr>
        <w:t>a favor de la CREG</w:t>
      </w:r>
      <w:r w:rsidR="00EC3845">
        <w:rPr>
          <w:rFonts w:ascii="Bookman Old Style" w:hAnsi="Bookman Old Style" w:cs="Arial"/>
          <w:bCs/>
        </w:rPr>
        <w:t>,</w:t>
      </w:r>
      <w:r w:rsidR="00FE1BBB">
        <w:rPr>
          <w:rFonts w:ascii="Bookman Old Style" w:hAnsi="Bookman Old Style" w:cs="Arial"/>
          <w:bCs/>
        </w:rPr>
        <w:t xml:space="preserve"> </w:t>
      </w:r>
      <w:r w:rsidRPr="0093456B">
        <w:rPr>
          <w:rFonts w:ascii="Bookman Old Style" w:hAnsi="Bookman Old Style" w:cs="Arial"/>
          <w:bCs/>
        </w:rPr>
        <w:t xml:space="preserve">que deben pagar las entidades sometidas </w:t>
      </w:r>
      <w:r w:rsidR="00FE1BBB">
        <w:rPr>
          <w:rFonts w:ascii="Bookman Old Style" w:hAnsi="Bookman Old Style" w:cs="Arial"/>
          <w:bCs/>
        </w:rPr>
        <w:t xml:space="preserve">a su </w:t>
      </w:r>
      <w:r w:rsidRPr="0093456B">
        <w:rPr>
          <w:rFonts w:ascii="Bookman Old Style" w:hAnsi="Bookman Old Style" w:cs="Arial"/>
          <w:bCs/>
        </w:rPr>
        <w:t>regulación</w:t>
      </w:r>
      <w:r w:rsidR="00050EF7">
        <w:rPr>
          <w:rFonts w:ascii="Bookman Old Style" w:hAnsi="Bookman Old Style" w:cs="Arial"/>
          <w:bCs/>
        </w:rPr>
        <w:t>,</w:t>
      </w:r>
      <w:r w:rsidRPr="0093456B">
        <w:rPr>
          <w:rFonts w:ascii="Bookman Old Style" w:hAnsi="Bookman Old Style" w:cs="Arial"/>
          <w:bCs/>
        </w:rPr>
        <w:t xml:space="preserve"> </w:t>
      </w:r>
      <w:r w:rsidR="00EC3845">
        <w:rPr>
          <w:rFonts w:ascii="Bookman Old Style" w:hAnsi="Bookman Old Style" w:cs="Arial"/>
          <w:bCs/>
        </w:rPr>
        <w:t>en el UNO POR CIENTO</w:t>
      </w:r>
      <w:r w:rsidRPr="0093456B">
        <w:rPr>
          <w:rFonts w:ascii="Bookman Old Style" w:hAnsi="Bookman Old Style" w:cs="Arial"/>
          <w:bCs/>
        </w:rPr>
        <w:t xml:space="preserve"> </w:t>
      </w:r>
      <w:r w:rsidR="00EC3845">
        <w:rPr>
          <w:rFonts w:ascii="Bookman Old Style" w:hAnsi="Bookman Old Style" w:cs="Arial"/>
          <w:bCs/>
        </w:rPr>
        <w:t>(</w:t>
      </w:r>
      <w:r w:rsidRPr="0093456B">
        <w:rPr>
          <w:rFonts w:ascii="Bookman Old Style" w:hAnsi="Bookman Old Style" w:cs="Arial"/>
          <w:bCs/>
        </w:rPr>
        <w:t>1%</w:t>
      </w:r>
      <w:r w:rsidR="00EC3845">
        <w:rPr>
          <w:rFonts w:ascii="Bookman Old Style" w:hAnsi="Bookman Old Style" w:cs="Arial"/>
          <w:bCs/>
        </w:rPr>
        <w:t xml:space="preserve">) sobre </w:t>
      </w:r>
      <w:r w:rsidRPr="0093456B">
        <w:rPr>
          <w:rFonts w:ascii="Bookman Old Style" w:hAnsi="Bookman Old Style" w:cs="Arial"/>
          <w:bCs/>
        </w:rPr>
        <w:t xml:space="preserve">el valor de los gastos de </w:t>
      </w:r>
      <w:r>
        <w:rPr>
          <w:rFonts w:ascii="Bookman Old Style" w:hAnsi="Bookman Old Style" w:cs="Arial"/>
          <w:bCs/>
        </w:rPr>
        <w:t>funcionamiento</w:t>
      </w:r>
      <w:r w:rsidR="00FE1BBB">
        <w:rPr>
          <w:rFonts w:ascii="Bookman Old Style" w:hAnsi="Bookman Old Style" w:cs="Arial"/>
          <w:bCs/>
        </w:rPr>
        <w:t xml:space="preserve"> de las empresas</w:t>
      </w:r>
      <w:r w:rsidRPr="0093456B">
        <w:rPr>
          <w:rFonts w:ascii="Bookman Old Style" w:hAnsi="Bookman Old Style" w:cs="Arial"/>
          <w:bCs/>
        </w:rPr>
        <w:t xml:space="preserve"> </w:t>
      </w:r>
      <w:r w:rsidR="00EC3845">
        <w:rPr>
          <w:rFonts w:ascii="Bookman Old Style" w:hAnsi="Bookman Old Style" w:cs="Arial"/>
          <w:bCs/>
        </w:rPr>
        <w:t>reguladas</w:t>
      </w:r>
      <w:r w:rsidR="00D424D1">
        <w:rPr>
          <w:rFonts w:ascii="Bookman Old Style" w:hAnsi="Bookman Old Style" w:cs="Arial"/>
          <w:bCs/>
        </w:rPr>
        <w:t xml:space="preserve"> más</w:t>
      </w:r>
      <w:r w:rsidRPr="0093456B">
        <w:rPr>
          <w:rFonts w:ascii="Bookman Old Style" w:hAnsi="Bookman Old Style" w:cs="Arial"/>
          <w:bCs/>
        </w:rPr>
        <w:t xml:space="preserve"> </w:t>
      </w:r>
      <w:r w:rsidR="00D9300F">
        <w:rPr>
          <w:rFonts w:ascii="Bookman Old Style" w:hAnsi="Bookman Old Style" w:cs="Arial"/>
          <w:bCs/>
        </w:rPr>
        <w:t>la adición de</w:t>
      </w:r>
      <w:r w:rsidRPr="0093456B">
        <w:rPr>
          <w:rFonts w:ascii="Bookman Old Style" w:hAnsi="Bookman Old Style" w:cs="Arial"/>
          <w:bCs/>
        </w:rPr>
        <w:t xml:space="preserve"> </w:t>
      </w:r>
      <w:r w:rsidR="00EC3845">
        <w:rPr>
          <w:rFonts w:ascii="Bookman Old Style" w:hAnsi="Bookman Old Style" w:cs="Arial"/>
          <w:bCs/>
        </w:rPr>
        <w:t>una porción de sus</w:t>
      </w:r>
      <w:r w:rsidRPr="0093456B">
        <w:rPr>
          <w:rFonts w:ascii="Bookman Old Style" w:hAnsi="Bookman Old Style" w:cs="Arial"/>
          <w:bCs/>
        </w:rPr>
        <w:t xml:space="preserve"> gastos operativos</w:t>
      </w:r>
      <w:r w:rsidR="005B1913">
        <w:rPr>
          <w:rFonts w:ascii="Bookman Old Style" w:hAnsi="Bookman Old Style" w:cs="Arial"/>
          <w:bCs/>
        </w:rPr>
        <w:t xml:space="preserve"> </w:t>
      </w:r>
      <w:r w:rsidR="00D424D1">
        <w:rPr>
          <w:rFonts w:ascii="Bookman Old Style" w:hAnsi="Bookman Old Style" w:cs="Arial"/>
          <w:bCs/>
        </w:rPr>
        <w:t>indispensable</w:t>
      </w:r>
      <w:r w:rsidRPr="0093456B">
        <w:rPr>
          <w:rFonts w:ascii="Bookman Old Style" w:hAnsi="Bookman Old Style" w:cs="Arial"/>
          <w:bCs/>
        </w:rPr>
        <w:t xml:space="preserve"> para cubrir </w:t>
      </w:r>
      <w:r w:rsidR="00D424D1">
        <w:rPr>
          <w:rFonts w:ascii="Bookman Old Style" w:hAnsi="Bookman Old Style" w:cs="Arial"/>
          <w:bCs/>
        </w:rPr>
        <w:t>el presupuesto</w:t>
      </w:r>
      <w:r w:rsidRPr="0093456B">
        <w:rPr>
          <w:rFonts w:ascii="Bookman Old Style" w:hAnsi="Bookman Old Style" w:cs="Arial"/>
          <w:bCs/>
        </w:rPr>
        <w:t xml:space="preserve"> </w:t>
      </w:r>
      <w:r w:rsidR="00D424D1">
        <w:rPr>
          <w:rFonts w:ascii="Bookman Old Style" w:hAnsi="Bookman Old Style" w:cs="Arial"/>
          <w:bCs/>
        </w:rPr>
        <w:t xml:space="preserve">2022 </w:t>
      </w:r>
      <w:r w:rsidRPr="0093456B">
        <w:rPr>
          <w:rFonts w:ascii="Bookman Old Style" w:hAnsi="Bookman Old Style" w:cs="Arial"/>
          <w:bCs/>
        </w:rPr>
        <w:t>de la CREG</w:t>
      </w:r>
      <w:r w:rsidR="00900970">
        <w:rPr>
          <w:rFonts w:ascii="Bookman Old Style" w:hAnsi="Bookman Old Style" w:cs="Arial"/>
          <w:bCs/>
        </w:rPr>
        <w:t xml:space="preserve"> financiado por la contribución especial.</w:t>
      </w:r>
    </w:p>
    <w:p w14:paraId="456F223E" w14:textId="53817538" w:rsidR="00D9300F" w:rsidRDefault="00D9300F" w:rsidP="0093456B">
      <w:pPr>
        <w:ind w:left="0"/>
        <w:rPr>
          <w:rFonts w:ascii="Bookman Old Style" w:hAnsi="Bookman Old Style" w:cs="Arial"/>
          <w:bCs/>
        </w:rPr>
      </w:pPr>
    </w:p>
    <w:p w14:paraId="287AD73D" w14:textId="1787C4DF" w:rsidR="00D9300F" w:rsidRDefault="00D54821" w:rsidP="00DA7611">
      <w:pPr>
        <w:ind w:left="0"/>
        <w:jc w:val="both"/>
        <w:rPr>
          <w:rFonts w:ascii="Bookman Old Style" w:hAnsi="Bookman Old Style" w:cs="Arial"/>
          <w:bCs/>
        </w:rPr>
      </w:pPr>
      <w:r>
        <w:rPr>
          <w:rFonts w:ascii="Bookman Old Style" w:hAnsi="Bookman Old Style" w:cs="Arial"/>
          <w:b/>
        </w:rPr>
        <w:t xml:space="preserve">PARÁGRAFO. </w:t>
      </w:r>
      <w:r w:rsidR="0058237A" w:rsidRPr="0058237A">
        <w:rPr>
          <w:rFonts w:ascii="Bookman Old Style" w:hAnsi="Bookman Old Style" w:cs="Arial"/>
          <w:bCs/>
        </w:rPr>
        <w:t xml:space="preserve">A </w:t>
      </w:r>
      <w:r w:rsidR="00D9300F" w:rsidRPr="0058237A">
        <w:rPr>
          <w:rFonts w:ascii="Bookman Old Style" w:hAnsi="Bookman Old Style" w:cs="Arial"/>
          <w:bCs/>
        </w:rPr>
        <w:t>l</w:t>
      </w:r>
      <w:r w:rsidR="00D9300F" w:rsidRPr="00D9300F">
        <w:rPr>
          <w:rFonts w:ascii="Bookman Old Style" w:hAnsi="Bookman Old Style" w:cs="Arial"/>
          <w:bCs/>
        </w:rPr>
        <w:t>as empresas reguladas que se encuentren en proceso de liquidación, cancelación, fusión, escisión, toma de posesión para administrar con fines liquidatarios, que hubieren operado al menos un día durante la vigencia 20</w:t>
      </w:r>
      <w:r w:rsidR="0062044A">
        <w:rPr>
          <w:rFonts w:ascii="Bookman Old Style" w:hAnsi="Bookman Old Style" w:cs="Arial"/>
          <w:bCs/>
        </w:rPr>
        <w:t>22</w:t>
      </w:r>
      <w:r w:rsidR="00D9300F" w:rsidRPr="00D9300F">
        <w:rPr>
          <w:rFonts w:ascii="Bookman Old Style" w:hAnsi="Bookman Old Style" w:cs="Arial"/>
          <w:bCs/>
        </w:rPr>
        <w:t xml:space="preserve">, se </w:t>
      </w:r>
      <w:r w:rsidR="0051506F">
        <w:rPr>
          <w:rFonts w:ascii="Bookman Old Style" w:hAnsi="Bookman Old Style" w:cs="Arial"/>
          <w:bCs/>
        </w:rPr>
        <w:t xml:space="preserve">les </w:t>
      </w:r>
      <w:r w:rsidR="00D9300F" w:rsidRPr="00D9300F">
        <w:rPr>
          <w:rFonts w:ascii="Bookman Old Style" w:hAnsi="Bookman Old Style" w:cs="Arial"/>
          <w:bCs/>
        </w:rPr>
        <w:t xml:space="preserve">liquidará la contribución especial de regulación </w:t>
      </w:r>
      <w:r w:rsidR="00652E90" w:rsidRPr="00652E90">
        <w:rPr>
          <w:rFonts w:ascii="Bookman Old Style" w:hAnsi="Bookman Old Style" w:cs="Arial"/>
          <w:bCs/>
        </w:rPr>
        <w:t>proporcionalmente a la fracción de</w:t>
      </w:r>
      <w:r w:rsidR="00D12BDB">
        <w:rPr>
          <w:rFonts w:ascii="Bookman Old Style" w:hAnsi="Bookman Old Style" w:cs="Arial"/>
          <w:bCs/>
        </w:rPr>
        <w:t>l</w:t>
      </w:r>
      <w:r w:rsidR="00652E90" w:rsidRPr="00652E90">
        <w:rPr>
          <w:rFonts w:ascii="Bookman Old Style" w:hAnsi="Bookman Old Style" w:cs="Arial"/>
          <w:bCs/>
        </w:rPr>
        <w:t xml:space="preserve"> año 2022 que hubiere prestado el servicio público</w:t>
      </w:r>
      <w:r w:rsidR="00652E90">
        <w:rPr>
          <w:rFonts w:ascii="Bookman Old Style" w:hAnsi="Bookman Old Style" w:cs="Arial"/>
          <w:bCs/>
        </w:rPr>
        <w:t>,</w:t>
      </w:r>
      <w:r w:rsidR="00652E90" w:rsidRPr="00652E90">
        <w:rPr>
          <w:rFonts w:ascii="Bookman Old Style" w:hAnsi="Bookman Old Style" w:cs="Arial"/>
          <w:bCs/>
        </w:rPr>
        <w:t xml:space="preserve"> </w:t>
      </w:r>
      <w:r w:rsidR="00D9300F" w:rsidRPr="00D9300F">
        <w:rPr>
          <w:rFonts w:ascii="Bookman Old Style" w:hAnsi="Bookman Old Style" w:cs="Arial"/>
          <w:bCs/>
        </w:rPr>
        <w:t>con base en la información financiera de 20</w:t>
      </w:r>
      <w:r w:rsidR="0062044A">
        <w:rPr>
          <w:rFonts w:ascii="Bookman Old Style" w:hAnsi="Bookman Old Style" w:cs="Arial"/>
          <w:bCs/>
        </w:rPr>
        <w:t>21</w:t>
      </w:r>
      <w:r w:rsidR="00D9300F" w:rsidRPr="00D9300F">
        <w:rPr>
          <w:rFonts w:ascii="Bookman Old Style" w:hAnsi="Bookman Old Style" w:cs="Arial"/>
          <w:bCs/>
        </w:rPr>
        <w:t xml:space="preserve"> reportada en el SUI</w:t>
      </w:r>
      <w:r w:rsidR="00652E90">
        <w:rPr>
          <w:rFonts w:ascii="Bookman Old Style" w:hAnsi="Bookman Old Style" w:cs="Arial"/>
          <w:bCs/>
        </w:rPr>
        <w:t>.</w:t>
      </w:r>
    </w:p>
    <w:p w14:paraId="78341F41" w14:textId="02A00098" w:rsidR="00D54821" w:rsidRDefault="00D54821" w:rsidP="0093456B">
      <w:pPr>
        <w:ind w:left="0"/>
        <w:rPr>
          <w:rFonts w:ascii="Bookman Old Style" w:hAnsi="Bookman Old Style" w:cs="Arial"/>
          <w:bCs/>
        </w:rPr>
      </w:pPr>
    </w:p>
    <w:p w14:paraId="3D66B340" w14:textId="52B437AD" w:rsidR="000A4C77" w:rsidRDefault="00D54821" w:rsidP="0086405F">
      <w:pPr>
        <w:ind w:left="0"/>
        <w:jc w:val="both"/>
        <w:rPr>
          <w:rFonts w:ascii="Bookman Old Style" w:hAnsi="Bookman Old Style" w:cs="Arial"/>
        </w:rPr>
      </w:pPr>
      <w:r>
        <w:rPr>
          <w:rFonts w:ascii="Bookman Old Style" w:hAnsi="Bookman Old Style" w:cs="Arial"/>
          <w:b/>
        </w:rPr>
        <w:t xml:space="preserve">ARTÍCULO 2. USO DEL PARÁGRAFO 2° DEL ARTÍCULO 85 DE LA LEY 142 DE 1994. </w:t>
      </w:r>
      <w:r w:rsidR="008E5BC1" w:rsidRPr="008E5BC1">
        <w:rPr>
          <w:rFonts w:ascii="Bookman Old Style" w:hAnsi="Bookman Old Style" w:cs="Arial"/>
          <w:bCs/>
        </w:rPr>
        <w:t>Para cubrir el</w:t>
      </w:r>
      <w:r w:rsidR="008E5BC1">
        <w:rPr>
          <w:rFonts w:ascii="Bookman Old Style" w:hAnsi="Bookman Old Style" w:cs="Arial"/>
          <w:b/>
        </w:rPr>
        <w:t xml:space="preserve"> </w:t>
      </w:r>
      <w:r w:rsidR="00674F02">
        <w:rPr>
          <w:rFonts w:ascii="Bookman Old Style" w:hAnsi="Bookman Old Style" w:cs="Arial"/>
        </w:rPr>
        <w:t>faltante presupuestal</w:t>
      </w:r>
      <w:r w:rsidR="00443729">
        <w:rPr>
          <w:rFonts w:ascii="Bookman Old Style" w:hAnsi="Bookman Old Style" w:cs="Arial"/>
        </w:rPr>
        <w:t xml:space="preserve"> que resulta</w:t>
      </w:r>
      <w:r w:rsidR="0028795D">
        <w:rPr>
          <w:rFonts w:ascii="Bookman Old Style" w:hAnsi="Bookman Old Style" w:cs="Arial"/>
        </w:rPr>
        <w:t xml:space="preserve"> de liquidar la contribución </w:t>
      </w:r>
      <w:r w:rsidR="00B25D73">
        <w:rPr>
          <w:rFonts w:ascii="Bookman Old Style" w:hAnsi="Bookman Old Style" w:cs="Arial"/>
        </w:rPr>
        <w:t>con la</w:t>
      </w:r>
      <w:r w:rsidRPr="00733B4E">
        <w:rPr>
          <w:rFonts w:ascii="Bookman Old Style" w:hAnsi="Bookman Old Style" w:cs="Arial"/>
        </w:rPr>
        <w:t xml:space="preserve"> tarifa </w:t>
      </w:r>
      <w:r w:rsidR="00674F02">
        <w:rPr>
          <w:rFonts w:ascii="Bookman Old Style" w:hAnsi="Bookman Old Style" w:cs="Arial"/>
        </w:rPr>
        <w:t xml:space="preserve">máxima permitida </w:t>
      </w:r>
      <w:r w:rsidRPr="00733B4E">
        <w:rPr>
          <w:rFonts w:ascii="Bookman Old Style" w:hAnsi="Bookman Old Style" w:cs="Arial"/>
        </w:rPr>
        <w:t xml:space="preserve">del 1% </w:t>
      </w:r>
      <w:r w:rsidR="00674F02">
        <w:rPr>
          <w:rFonts w:ascii="Bookman Old Style" w:hAnsi="Bookman Old Style" w:cs="Arial"/>
        </w:rPr>
        <w:t xml:space="preserve">sobre </w:t>
      </w:r>
      <w:r w:rsidRPr="00733B4E">
        <w:rPr>
          <w:rFonts w:ascii="Bookman Old Style" w:hAnsi="Bookman Old Style" w:cs="Arial"/>
        </w:rPr>
        <w:t xml:space="preserve">los </w:t>
      </w:r>
      <w:r>
        <w:rPr>
          <w:rFonts w:ascii="Bookman Old Style" w:hAnsi="Bookman Old Style" w:cs="Arial"/>
        </w:rPr>
        <w:t>g</w:t>
      </w:r>
      <w:r w:rsidRPr="00733B4E">
        <w:rPr>
          <w:rFonts w:ascii="Bookman Old Style" w:hAnsi="Bookman Old Style" w:cs="Arial"/>
        </w:rPr>
        <w:t xml:space="preserve">astos </w:t>
      </w:r>
      <w:r w:rsidR="002957BC">
        <w:rPr>
          <w:rFonts w:ascii="Bookman Old Style" w:hAnsi="Bookman Old Style" w:cs="Arial"/>
        </w:rPr>
        <w:t>de funcionamiento (administrativos)</w:t>
      </w:r>
      <w:r w:rsidRPr="00733B4E">
        <w:rPr>
          <w:rFonts w:ascii="Bookman Old Style" w:hAnsi="Bookman Old Style" w:cs="Arial"/>
        </w:rPr>
        <w:t xml:space="preserve"> </w:t>
      </w:r>
      <w:r w:rsidR="00674F02">
        <w:rPr>
          <w:rFonts w:ascii="Bookman Old Style" w:hAnsi="Bookman Old Style" w:cs="Arial"/>
        </w:rPr>
        <w:t>de l</w:t>
      </w:r>
      <w:r w:rsidR="00E11269">
        <w:rPr>
          <w:rFonts w:ascii="Bookman Old Style" w:hAnsi="Bookman Old Style" w:cs="Arial"/>
        </w:rPr>
        <w:t>os contribuyentes</w:t>
      </w:r>
      <w:r w:rsidR="00725AAF">
        <w:rPr>
          <w:rFonts w:ascii="Bookman Old Style" w:hAnsi="Bookman Old Style" w:cs="Arial"/>
        </w:rPr>
        <w:t>,</w:t>
      </w:r>
      <w:r w:rsidR="00674F02">
        <w:rPr>
          <w:rFonts w:ascii="Bookman Old Style" w:hAnsi="Bookman Old Style" w:cs="Arial"/>
        </w:rPr>
        <w:t xml:space="preserve"> </w:t>
      </w:r>
      <w:r w:rsidR="00E11269">
        <w:rPr>
          <w:rFonts w:ascii="Bookman Old Style" w:hAnsi="Bookman Old Style" w:cs="Arial"/>
        </w:rPr>
        <w:t xml:space="preserve">con lo cual </w:t>
      </w:r>
      <w:r w:rsidRPr="00733B4E">
        <w:rPr>
          <w:rFonts w:ascii="Bookman Old Style" w:hAnsi="Bookman Old Style" w:cs="Arial"/>
        </w:rPr>
        <w:t xml:space="preserve">se recaudaría el valor de </w:t>
      </w:r>
      <w:r>
        <w:rPr>
          <w:rFonts w:ascii="Bookman Old Style" w:hAnsi="Bookman Old Style" w:cs="Arial"/>
        </w:rPr>
        <w:t>$</w:t>
      </w:r>
      <w:r w:rsidR="00C74906">
        <w:rPr>
          <w:rFonts w:ascii="Bookman Old Style" w:hAnsi="Bookman Old Style" w:cs="Arial"/>
        </w:rPr>
        <w:t>31.051.857.992</w:t>
      </w:r>
      <w:r>
        <w:rPr>
          <w:rFonts w:ascii="Bookman Old Style" w:hAnsi="Bookman Old Style" w:cs="Arial"/>
        </w:rPr>
        <w:t xml:space="preserve">, </w:t>
      </w:r>
      <w:r w:rsidRPr="00733B4E">
        <w:rPr>
          <w:rFonts w:ascii="Bookman Old Style" w:hAnsi="Bookman Old Style" w:cs="Arial"/>
        </w:rPr>
        <w:t xml:space="preserve">monto </w:t>
      </w:r>
      <w:r>
        <w:rPr>
          <w:rFonts w:ascii="Bookman Old Style" w:hAnsi="Bookman Old Style" w:cs="Arial"/>
        </w:rPr>
        <w:t xml:space="preserve">que es </w:t>
      </w:r>
      <w:r w:rsidRPr="00733B4E">
        <w:rPr>
          <w:rFonts w:ascii="Bookman Old Style" w:hAnsi="Bookman Old Style" w:cs="Arial"/>
        </w:rPr>
        <w:t xml:space="preserve">inferior </w:t>
      </w:r>
      <w:r w:rsidR="00BB4AA6">
        <w:rPr>
          <w:rFonts w:ascii="Bookman Old Style" w:hAnsi="Bookman Old Style" w:cs="Arial"/>
        </w:rPr>
        <w:t>en $</w:t>
      </w:r>
      <w:r w:rsidR="00425125">
        <w:rPr>
          <w:rFonts w:ascii="Bookman Old Style" w:hAnsi="Bookman Old Style" w:cs="Arial"/>
        </w:rPr>
        <w:t>1.852.146.882</w:t>
      </w:r>
      <w:r w:rsidR="00BB4AA6">
        <w:rPr>
          <w:rFonts w:ascii="Bookman Old Style" w:hAnsi="Bookman Old Style" w:cs="Arial"/>
        </w:rPr>
        <w:t xml:space="preserve"> </w:t>
      </w:r>
      <w:r w:rsidRPr="00733B4E">
        <w:rPr>
          <w:rFonts w:ascii="Bookman Old Style" w:hAnsi="Bookman Old Style" w:cs="Arial"/>
        </w:rPr>
        <w:t xml:space="preserve">al </w:t>
      </w:r>
      <w:r>
        <w:rPr>
          <w:rFonts w:ascii="Bookman Old Style" w:hAnsi="Bookman Old Style" w:cs="Arial"/>
        </w:rPr>
        <w:t xml:space="preserve">valor </w:t>
      </w:r>
      <w:r w:rsidRPr="00733B4E">
        <w:rPr>
          <w:rFonts w:ascii="Bookman Old Style" w:hAnsi="Bookman Old Style" w:cs="Arial"/>
        </w:rPr>
        <w:t xml:space="preserve">del presupuesto </w:t>
      </w:r>
      <w:r w:rsidR="009947C7">
        <w:rPr>
          <w:rFonts w:ascii="Bookman Old Style" w:hAnsi="Bookman Old Style" w:cs="Arial"/>
        </w:rPr>
        <w:t>para la vigencia 2022 de la CREG a financiar a través de</w:t>
      </w:r>
      <w:r>
        <w:rPr>
          <w:rFonts w:ascii="Bookman Old Style" w:hAnsi="Bookman Old Style" w:cs="Arial"/>
        </w:rPr>
        <w:t xml:space="preserve"> la contribución especial</w:t>
      </w:r>
      <w:r w:rsidR="009947C7">
        <w:rPr>
          <w:rFonts w:ascii="Bookman Old Style" w:hAnsi="Bookman Old Style" w:cs="Arial"/>
        </w:rPr>
        <w:t>, el cual asciende a</w:t>
      </w:r>
      <w:r w:rsidR="00674F02">
        <w:rPr>
          <w:rFonts w:ascii="Bookman Old Style" w:hAnsi="Bookman Old Style" w:cs="Arial"/>
        </w:rPr>
        <w:t xml:space="preserve"> </w:t>
      </w:r>
      <w:r w:rsidR="009947C7">
        <w:rPr>
          <w:rFonts w:ascii="Bookman Old Style" w:hAnsi="Bookman Old Style" w:cs="Arial"/>
        </w:rPr>
        <w:t xml:space="preserve">la suma </w:t>
      </w:r>
      <w:r>
        <w:rPr>
          <w:rFonts w:ascii="Bookman Old Style" w:hAnsi="Bookman Old Style" w:cs="Arial"/>
        </w:rPr>
        <w:t>de</w:t>
      </w:r>
      <w:r w:rsidRPr="00733B4E">
        <w:rPr>
          <w:rFonts w:ascii="Bookman Old Style" w:hAnsi="Bookman Old Style" w:cs="Arial"/>
        </w:rPr>
        <w:t xml:space="preserve"> $</w:t>
      </w:r>
      <w:r w:rsidR="000A4C77" w:rsidRPr="000A4C77">
        <w:rPr>
          <w:rFonts w:ascii="Bookman Old Style" w:hAnsi="Bookman Old Style" w:cs="Arial"/>
        </w:rPr>
        <w:t>32.904.004.874</w:t>
      </w:r>
      <w:r w:rsidR="009057A7">
        <w:rPr>
          <w:rFonts w:ascii="Bookman Old Style" w:hAnsi="Bookman Old Style" w:cs="Arial"/>
        </w:rPr>
        <w:t xml:space="preserve">, </w:t>
      </w:r>
      <w:r w:rsidR="000D14E2">
        <w:rPr>
          <w:rFonts w:ascii="Bookman Old Style" w:hAnsi="Bookman Old Style" w:cs="Arial"/>
        </w:rPr>
        <w:t xml:space="preserve">se agregará a la base gravable </w:t>
      </w:r>
      <w:r w:rsidRPr="00733B4E">
        <w:rPr>
          <w:rFonts w:ascii="Bookman Old Style" w:hAnsi="Bookman Old Style" w:cs="Arial"/>
        </w:rPr>
        <w:t xml:space="preserve">los conceptos </w:t>
      </w:r>
      <w:r w:rsidR="00674F02">
        <w:rPr>
          <w:rFonts w:ascii="Bookman Old Style" w:hAnsi="Bookman Old Style" w:cs="Arial"/>
        </w:rPr>
        <w:t xml:space="preserve">de gastos operativos </w:t>
      </w:r>
      <w:r w:rsidRPr="00733B4E">
        <w:rPr>
          <w:rFonts w:ascii="Bookman Old Style" w:hAnsi="Bookman Old Style" w:cs="Arial"/>
        </w:rPr>
        <w:t>establecidos en el parágrafo 2</w:t>
      </w:r>
      <w:r>
        <w:rPr>
          <w:rFonts w:ascii="Bookman Old Style" w:hAnsi="Bookman Old Style" w:cs="Arial"/>
        </w:rPr>
        <w:t>°</w:t>
      </w:r>
      <w:r w:rsidRPr="00733B4E">
        <w:rPr>
          <w:rFonts w:ascii="Bookman Old Style" w:hAnsi="Bookman Old Style" w:cs="Arial"/>
        </w:rPr>
        <w:t xml:space="preserve"> del artículo 85 de la Ley 142 de 1994, en la proporción </w:t>
      </w:r>
      <w:r w:rsidR="00173BDC">
        <w:rPr>
          <w:rFonts w:ascii="Bookman Old Style" w:hAnsi="Bookman Old Style" w:cs="Arial"/>
        </w:rPr>
        <w:t xml:space="preserve">indispensable </w:t>
      </w:r>
      <w:r w:rsidRPr="00733B4E">
        <w:rPr>
          <w:rFonts w:ascii="Bookman Old Style" w:hAnsi="Bookman Old Style" w:cs="Arial"/>
        </w:rPr>
        <w:t xml:space="preserve">para </w:t>
      </w:r>
      <w:r w:rsidR="00BB4AA6">
        <w:rPr>
          <w:rFonts w:ascii="Bookman Old Style" w:hAnsi="Bookman Old Style" w:cs="Arial"/>
        </w:rPr>
        <w:t xml:space="preserve">completar el presupuesto </w:t>
      </w:r>
      <w:r w:rsidR="00D01784">
        <w:rPr>
          <w:rFonts w:ascii="Bookman Old Style" w:hAnsi="Bookman Old Style" w:cs="Arial"/>
        </w:rPr>
        <w:t xml:space="preserve">de </w:t>
      </w:r>
      <w:r w:rsidR="00BB4AA6">
        <w:rPr>
          <w:rFonts w:ascii="Bookman Old Style" w:hAnsi="Bookman Old Style" w:cs="Arial"/>
        </w:rPr>
        <w:t>2022</w:t>
      </w:r>
      <w:r w:rsidR="00D01784">
        <w:rPr>
          <w:rFonts w:ascii="Bookman Old Style" w:hAnsi="Bookman Old Style" w:cs="Arial"/>
        </w:rPr>
        <w:t>.</w:t>
      </w:r>
      <w:r w:rsidR="007B0DC1">
        <w:rPr>
          <w:rFonts w:ascii="Bookman Old Style" w:hAnsi="Bookman Old Style" w:cs="Arial"/>
        </w:rPr>
        <w:t xml:space="preserve"> </w:t>
      </w:r>
    </w:p>
    <w:p w14:paraId="5AEF88CB" w14:textId="4F5D2307" w:rsidR="000A4C77" w:rsidRDefault="000A4C77" w:rsidP="0086405F">
      <w:pPr>
        <w:ind w:left="0"/>
        <w:jc w:val="both"/>
        <w:rPr>
          <w:rFonts w:ascii="Bookman Old Style" w:hAnsi="Bookman Old Style" w:cs="Arial"/>
        </w:rPr>
      </w:pPr>
    </w:p>
    <w:p w14:paraId="2F790285" w14:textId="17108031" w:rsidR="00D54821" w:rsidRDefault="002957BC" w:rsidP="0086405F">
      <w:pPr>
        <w:ind w:left="0"/>
        <w:jc w:val="both"/>
        <w:rPr>
          <w:rFonts w:ascii="Bookman Old Style" w:hAnsi="Bookman Old Style" w:cs="Arial"/>
        </w:rPr>
      </w:pPr>
      <w:r>
        <w:rPr>
          <w:rFonts w:ascii="Bookman Old Style" w:hAnsi="Bookman Old Style" w:cs="Arial"/>
        </w:rPr>
        <w:t xml:space="preserve">Por tanto, sobre </w:t>
      </w:r>
      <w:r w:rsidR="00D54821">
        <w:rPr>
          <w:rFonts w:ascii="Bookman Old Style" w:hAnsi="Bookman Old Style" w:cs="Arial"/>
        </w:rPr>
        <w:t xml:space="preserve">el total de </w:t>
      </w:r>
      <w:r w:rsidR="00D54821" w:rsidRPr="00733B4E">
        <w:rPr>
          <w:rFonts w:ascii="Bookman Old Style" w:hAnsi="Bookman Old Style" w:cs="Arial"/>
        </w:rPr>
        <w:t xml:space="preserve">gastos operativos </w:t>
      </w:r>
      <w:r w:rsidR="00D54821">
        <w:rPr>
          <w:rFonts w:ascii="Bookman Old Style" w:hAnsi="Bookman Old Style" w:cs="Arial"/>
        </w:rPr>
        <w:t xml:space="preserve">por </w:t>
      </w:r>
      <w:r w:rsidR="00D54821" w:rsidRPr="00733B4E">
        <w:rPr>
          <w:rFonts w:ascii="Bookman Old Style" w:hAnsi="Bookman Old Style" w:cs="Arial"/>
        </w:rPr>
        <w:t>$</w:t>
      </w:r>
      <w:r w:rsidR="00425125">
        <w:rPr>
          <w:rFonts w:ascii="Bookman Old Style" w:hAnsi="Bookman Old Style" w:cs="Arial"/>
        </w:rPr>
        <w:t>33.156.758.973.362</w:t>
      </w:r>
      <w:r w:rsidR="00B277BB" w:rsidRPr="00B277BB">
        <w:rPr>
          <w:rFonts w:ascii="Bookman Old Style" w:hAnsi="Bookman Old Style" w:cs="Arial"/>
        </w:rPr>
        <w:t xml:space="preserve"> </w:t>
      </w:r>
      <w:r w:rsidR="00D54821">
        <w:rPr>
          <w:rFonts w:ascii="Bookman Old Style" w:hAnsi="Bookman Old Style" w:cs="Arial"/>
        </w:rPr>
        <w:t xml:space="preserve">se </w:t>
      </w:r>
      <w:r w:rsidR="00075D7C">
        <w:rPr>
          <w:rFonts w:ascii="Bookman Old Style" w:hAnsi="Bookman Old Style" w:cs="Arial"/>
        </w:rPr>
        <w:t>toma</w:t>
      </w:r>
      <w:r>
        <w:rPr>
          <w:rFonts w:ascii="Bookman Old Style" w:hAnsi="Bookman Old Style" w:cs="Arial"/>
        </w:rPr>
        <w:t xml:space="preserve"> la suma de</w:t>
      </w:r>
      <w:r w:rsidR="00D54821">
        <w:rPr>
          <w:rFonts w:ascii="Bookman Old Style" w:hAnsi="Bookman Old Style" w:cs="Arial"/>
        </w:rPr>
        <w:t xml:space="preserve"> $</w:t>
      </w:r>
      <w:r w:rsidR="00C74906">
        <w:rPr>
          <w:rFonts w:ascii="Bookman Old Style" w:hAnsi="Bookman Old Style" w:cs="Arial"/>
        </w:rPr>
        <w:t>185.214.688.178</w:t>
      </w:r>
      <w:r w:rsidR="00D54821">
        <w:rPr>
          <w:rFonts w:ascii="Bookman Old Style" w:hAnsi="Bookman Old Style" w:cs="Arial"/>
        </w:rPr>
        <w:t xml:space="preserve">, que </w:t>
      </w:r>
      <w:r w:rsidR="00075D7C">
        <w:rPr>
          <w:rFonts w:ascii="Bookman Old Style" w:hAnsi="Bookman Old Style" w:cs="Arial"/>
        </w:rPr>
        <w:t>multiplicada por el 1%</w:t>
      </w:r>
      <w:r w:rsidR="00926FC1">
        <w:rPr>
          <w:rFonts w:ascii="Bookman Old Style" w:hAnsi="Bookman Old Style" w:cs="Arial"/>
        </w:rPr>
        <w:t>,</w:t>
      </w:r>
      <w:r w:rsidR="00075D7C">
        <w:rPr>
          <w:rFonts w:ascii="Bookman Old Style" w:hAnsi="Bookman Old Style" w:cs="Arial"/>
        </w:rPr>
        <w:t xml:space="preserve"> </w:t>
      </w:r>
      <w:r w:rsidR="0086405F">
        <w:rPr>
          <w:rFonts w:ascii="Bookman Old Style" w:hAnsi="Bookman Old Style" w:cs="Arial"/>
        </w:rPr>
        <w:t>es</w:t>
      </w:r>
      <w:r w:rsidR="00D54821">
        <w:rPr>
          <w:rFonts w:ascii="Bookman Old Style" w:hAnsi="Bookman Old Style" w:cs="Arial"/>
        </w:rPr>
        <w:t xml:space="preserve"> lo indispensabl</w:t>
      </w:r>
      <w:r>
        <w:rPr>
          <w:rFonts w:ascii="Bookman Old Style" w:hAnsi="Bookman Old Style" w:cs="Arial"/>
        </w:rPr>
        <w:t>e</w:t>
      </w:r>
      <w:r w:rsidR="00D54821">
        <w:rPr>
          <w:rFonts w:ascii="Bookman Old Style" w:hAnsi="Bookman Old Style" w:cs="Arial"/>
        </w:rPr>
        <w:t xml:space="preserve"> </w:t>
      </w:r>
      <w:r w:rsidR="00D54821" w:rsidRPr="00733B4E">
        <w:rPr>
          <w:rFonts w:ascii="Bookman Old Style" w:hAnsi="Bookman Old Style" w:cs="Arial"/>
        </w:rPr>
        <w:t xml:space="preserve">para cubrir el faltante </w:t>
      </w:r>
      <w:r w:rsidR="00D54821">
        <w:rPr>
          <w:rFonts w:ascii="Bookman Old Style" w:hAnsi="Bookman Old Style" w:cs="Arial"/>
        </w:rPr>
        <w:t>presupuestal</w:t>
      </w:r>
      <w:r w:rsidR="00075D7C">
        <w:rPr>
          <w:rFonts w:ascii="Bookman Old Style" w:hAnsi="Bookman Old Style" w:cs="Arial"/>
        </w:rPr>
        <w:t xml:space="preserve"> </w:t>
      </w:r>
      <w:r w:rsidR="004246F4">
        <w:rPr>
          <w:rFonts w:ascii="Bookman Old Style" w:hAnsi="Bookman Old Style" w:cs="Arial"/>
        </w:rPr>
        <w:t xml:space="preserve">2022 </w:t>
      </w:r>
      <w:r w:rsidR="00075D7C">
        <w:rPr>
          <w:rFonts w:ascii="Bookman Old Style" w:hAnsi="Bookman Old Style" w:cs="Arial"/>
        </w:rPr>
        <w:t>de $</w:t>
      </w:r>
      <w:r w:rsidR="00425125">
        <w:rPr>
          <w:rFonts w:ascii="Bookman Old Style" w:hAnsi="Bookman Old Style" w:cs="Arial"/>
        </w:rPr>
        <w:t>1.852.146.882</w:t>
      </w:r>
      <w:r w:rsidR="0086405F">
        <w:rPr>
          <w:rFonts w:ascii="Bookman Old Style" w:hAnsi="Bookman Old Style" w:cs="Arial"/>
        </w:rPr>
        <w:t>, con el fin de se</w:t>
      </w:r>
      <w:r w:rsidR="00D54821">
        <w:rPr>
          <w:rFonts w:ascii="Bookman Old Style" w:hAnsi="Bookman Old Style" w:cs="Arial"/>
        </w:rPr>
        <w:t xml:space="preserve">r </w:t>
      </w:r>
      <w:r w:rsidR="00D54821" w:rsidRPr="00733B4E">
        <w:rPr>
          <w:rFonts w:ascii="Bookman Old Style" w:hAnsi="Bookman Old Style" w:cs="Arial"/>
        </w:rPr>
        <w:t>incluid</w:t>
      </w:r>
      <w:r w:rsidR="00D54821">
        <w:rPr>
          <w:rFonts w:ascii="Bookman Old Style" w:hAnsi="Bookman Old Style" w:cs="Arial"/>
        </w:rPr>
        <w:t>os</w:t>
      </w:r>
      <w:r w:rsidR="00D54821" w:rsidRPr="00733B4E">
        <w:rPr>
          <w:rFonts w:ascii="Bookman Old Style" w:hAnsi="Bookman Old Style" w:cs="Arial"/>
        </w:rPr>
        <w:t xml:space="preserve"> en la base gravable de la contribución especial de la vigencia 20</w:t>
      </w:r>
      <w:r w:rsidR="00395F30">
        <w:rPr>
          <w:rFonts w:ascii="Bookman Old Style" w:hAnsi="Bookman Old Style" w:cs="Arial"/>
        </w:rPr>
        <w:t>22</w:t>
      </w:r>
      <w:r w:rsidR="00D54821" w:rsidRPr="00733B4E">
        <w:rPr>
          <w:rFonts w:ascii="Bookman Old Style" w:hAnsi="Bookman Old Style" w:cs="Arial"/>
        </w:rPr>
        <w:t xml:space="preserve">, </w:t>
      </w:r>
      <w:r w:rsidR="00D54821">
        <w:rPr>
          <w:rFonts w:ascii="Bookman Old Style" w:hAnsi="Bookman Old Style" w:cs="Arial"/>
        </w:rPr>
        <w:t>detallado a continuación:</w:t>
      </w:r>
    </w:p>
    <w:p w14:paraId="1FE7EA70" w14:textId="19D4BDA3" w:rsidR="00353572" w:rsidRDefault="00353572" w:rsidP="0086405F">
      <w:pPr>
        <w:ind w:left="0"/>
        <w:jc w:val="both"/>
        <w:rPr>
          <w:rFonts w:ascii="Bookman Old Style" w:hAnsi="Bookman Old Style" w:cs="Arial"/>
        </w:rPr>
      </w:pPr>
    </w:p>
    <w:tbl>
      <w:tblPr>
        <w:tblW w:w="9067" w:type="dxa"/>
        <w:tblLook w:val="04A0" w:firstRow="1" w:lastRow="0" w:firstColumn="1" w:lastColumn="0" w:noHBand="0" w:noVBand="1"/>
      </w:tblPr>
      <w:tblGrid>
        <w:gridCol w:w="2960"/>
        <w:gridCol w:w="1997"/>
        <w:gridCol w:w="2126"/>
        <w:gridCol w:w="1984"/>
      </w:tblGrid>
      <w:tr w:rsidR="00353572" w:rsidRPr="00353572" w14:paraId="7344528A" w14:textId="77777777" w:rsidTr="00425125">
        <w:trPr>
          <w:trHeight w:val="576"/>
        </w:trPr>
        <w:tc>
          <w:tcPr>
            <w:tcW w:w="2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1E7DEA" w14:textId="77777777" w:rsidR="00353572" w:rsidRPr="00353572" w:rsidRDefault="00353572" w:rsidP="00353572">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CONCEPTOS </w:t>
            </w:r>
          </w:p>
        </w:tc>
        <w:tc>
          <w:tcPr>
            <w:tcW w:w="1997" w:type="dxa"/>
            <w:tcBorders>
              <w:top w:val="single" w:sz="4" w:space="0" w:color="auto"/>
              <w:left w:val="nil"/>
              <w:bottom w:val="single" w:sz="4" w:space="0" w:color="auto"/>
              <w:right w:val="single" w:sz="4" w:space="0" w:color="auto"/>
            </w:tcBorders>
            <w:shd w:val="clear" w:color="000000" w:fill="D9D9D9"/>
            <w:vAlign w:val="center"/>
            <w:hideMark/>
          </w:tcPr>
          <w:p w14:paraId="1ED14670" w14:textId="77777777" w:rsidR="00353572" w:rsidRPr="00353572" w:rsidRDefault="00353572" w:rsidP="00353572">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 BASE GASTOS DE ADMINISTRACIÓN </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D87F4A7" w14:textId="77777777" w:rsidR="00353572" w:rsidRPr="00353572" w:rsidRDefault="00353572" w:rsidP="00353572">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 BASE GASTOS DE OPERACIÓN </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43C18CD3" w14:textId="77777777" w:rsidR="00353572" w:rsidRPr="00353572" w:rsidRDefault="00353572" w:rsidP="00353572">
            <w:pPr>
              <w:ind w:left="0"/>
              <w:jc w:val="center"/>
              <w:rPr>
                <w:rFonts w:ascii="Calibri" w:hAnsi="Calibri" w:cs="Calibri"/>
                <w:b/>
                <w:bCs/>
                <w:color w:val="000000"/>
                <w:sz w:val="22"/>
                <w:szCs w:val="22"/>
                <w:lang w:val="en-US" w:eastAsia="en-US"/>
              </w:rPr>
            </w:pPr>
            <w:r w:rsidRPr="00353572">
              <w:rPr>
                <w:rFonts w:ascii="Calibri" w:hAnsi="Calibri" w:cs="Calibri"/>
                <w:b/>
                <w:bCs/>
                <w:color w:val="000000"/>
                <w:sz w:val="22"/>
                <w:szCs w:val="22"/>
                <w:lang w:val="en-US" w:eastAsia="en-US"/>
              </w:rPr>
              <w:t xml:space="preserve"> TOTALES </w:t>
            </w:r>
          </w:p>
        </w:tc>
      </w:tr>
      <w:tr w:rsidR="00353572" w:rsidRPr="00353572" w14:paraId="52EBEA16" w14:textId="77777777" w:rsidTr="004251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F1F7ACF" w14:textId="77777777" w:rsidR="00353572" w:rsidRPr="00353572" w:rsidRDefault="00353572" w:rsidP="00353572">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TOTAL BASE GRAVABLE</w:t>
            </w:r>
          </w:p>
        </w:tc>
        <w:tc>
          <w:tcPr>
            <w:tcW w:w="1997" w:type="dxa"/>
            <w:tcBorders>
              <w:top w:val="nil"/>
              <w:left w:val="nil"/>
              <w:bottom w:val="single" w:sz="4" w:space="0" w:color="auto"/>
              <w:right w:val="single" w:sz="4" w:space="0" w:color="auto"/>
            </w:tcBorders>
            <w:shd w:val="clear" w:color="auto" w:fill="auto"/>
            <w:noWrap/>
            <w:vAlign w:val="center"/>
            <w:hideMark/>
          </w:tcPr>
          <w:p w14:paraId="15B728A6" w14:textId="4E34D617" w:rsidR="00353572" w:rsidRPr="00353572" w:rsidRDefault="00353572" w:rsidP="00353572">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3.105.185.799.222</w:t>
            </w:r>
          </w:p>
        </w:tc>
        <w:tc>
          <w:tcPr>
            <w:tcW w:w="2126" w:type="dxa"/>
            <w:tcBorders>
              <w:top w:val="nil"/>
              <w:left w:val="nil"/>
              <w:bottom w:val="single" w:sz="4" w:space="0" w:color="auto"/>
              <w:right w:val="single" w:sz="4" w:space="0" w:color="auto"/>
            </w:tcBorders>
            <w:shd w:val="clear" w:color="auto" w:fill="auto"/>
            <w:noWrap/>
            <w:vAlign w:val="center"/>
            <w:hideMark/>
          </w:tcPr>
          <w:p w14:paraId="2E9F2CCA" w14:textId="289EB142" w:rsidR="00353572" w:rsidRPr="00353572" w:rsidRDefault="00353572" w:rsidP="00353572">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w:t>
            </w:r>
            <w:r w:rsidRPr="00353572">
              <w:rPr>
                <w:rFonts w:ascii="Calibri" w:hAnsi="Calibri" w:cs="Calibri"/>
                <w:color w:val="000000"/>
                <w:sz w:val="22"/>
                <w:szCs w:val="22"/>
                <w:lang w:val="en-US" w:eastAsia="en-US"/>
              </w:rPr>
              <w:t>185.214.688.178</w:t>
            </w:r>
          </w:p>
        </w:tc>
        <w:tc>
          <w:tcPr>
            <w:tcW w:w="1984" w:type="dxa"/>
            <w:tcBorders>
              <w:top w:val="nil"/>
              <w:left w:val="nil"/>
              <w:bottom w:val="single" w:sz="4" w:space="0" w:color="auto"/>
              <w:right w:val="single" w:sz="4" w:space="0" w:color="auto"/>
            </w:tcBorders>
            <w:shd w:val="clear" w:color="auto" w:fill="auto"/>
            <w:noWrap/>
            <w:vAlign w:val="center"/>
            <w:hideMark/>
          </w:tcPr>
          <w:p w14:paraId="2B861BF9" w14:textId="7368571E" w:rsidR="00353572" w:rsidRPr="00353572" w:rsidRDefault="00353572" w:rsidP="00353572">
            <w:pPr>
              <w:ind w:left="0"/>
              <w:jc w:val="right"/>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xml:space="preserve">3.290.400.487.400 </w:t>
            </w:r>
          </w:p>
        </w:tc>
      </w:tr>
      <w:tr w:rsidR="00353572" w:rsidRPr="00353572" w14:paraId="4176825B" w14:textId="77777777" w:rsidTr="004251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F802489" w14:textId="77777777" w:rsidR="00353572" w:rsidRPr="00353572" w:rsidRDefault="00353572" w:rsidP="00353572">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1%</w:t>
            </w:r>
          </w:p>
        </w:tc>
        <w:tc>
          <w:tcPr>
            <w:tcW w:w="1997" w:type="dxa"/>
            <w:tcBorders>
              <w:top w:val="nil"/>
              <w:left w:val="nil"/>
              <w:bottom w:val="single" w:sz="4" w:space="0" w:color="auto"/>
              <w:right w:val="single" w:sz="4" w:space="0" w:color="auto"/>
            </w:tcBorders>
            <w:shd w:val="clear" w:color="auto" w:fill="auto"/>
            <w:noWrap/>
            <w:vAlign w:val="center"/>
            <w:hideMark/>
          </w:tcPr>
          <w:p w14:paraId="32066DBE" w14:textId="683B6215" w:rsidR="00353572" w:rsidRPr="00353572" w:rsidRDefault="00353572" w:rsidP="00353572">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31.051.857.992</w:t>
            </w:r>
          </w:p>
        </w:tc>
        <w:tc>
          <w:tcPr>
            <w:tcW w:w="2126" w:type="dxa"/>
            <w:tcBorders>
              <w:top w:val="nil"/>
              <w:left w:val="nil"/>
              <w:bottom w:val="single" w:sz="4" w:space="0" w:color="auto"/>
              <w:right w:val="single" w:sz="4" w:space="0" w:color="auto"/>
            </w:tcBorders>
            <w:shd w:val="clear" w:color="000000" w:fill="D9E1F2"/>
            <w:noWrap/>
            <w:vAlign w:val="center"/>
            <w:hideMark/>
          </w:tcPr>
          <w:p w14:paraId="3BACE0EC" w14:textId="111D26D9" w:rsidR="00353572" w:rsidRPr="00353572" w:rsidRDefault="00353572" w:rsidP="00353572">
            <w:pPr>
              <w:ind w:left="0"/>
              <w:jc w:val="right"/>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xml:space="preserve">     </w:t>
            </w:r>
            <w:r>
              <w:rPr>
                <w:rFonts w:ascii="Calibri" w:hAnsi="Calibri" w:cs="Calibri"/>
                <w:color w:val="000000"/>
                <w:sz w:val="22"/>
                <w:szCs w:val="22"/>
                <w:lang w:val="en-US" w:eastAsia="en-US"/>
              </w:rPr>
              <w:t xml:space="preserve">    1.852.146.882</w:t>
            </w:r>
          </w:p>
        </w:tc>
        <w:tc>
          <w:tcPr>
            <w:tcW w:w="1984" w:type="dxa"/>
            <w:tcBorders>
              <w:top w:val="nil"/>
              <w:left w:val="nil"/>
              <w:bottom w:val="single" w:sz="4" w:space="0" w:color="auto"/>
              <w:right w:val="single" w:sz="4" w:space="0" w:color="auto"/>
            </w:tcBorders>
            <w:shd w:val="clear" w:color="auto" w:fill="auto"/>
            <w:noWrap/>
            <w:vAlign w:val="center"/>
            <w:hideMark/>
          </w:tcPr>
          <w:p w14:paraId="723DA1D6" w14:textId="1CBD9FFD" w:rsidR="00353572" w:rsidRPr="00353572" w:rsidRDefault="00353572" w:rsidP="00353572">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32.904.004.874</w:t>
            </w:r>
          </w:p>
        </w:tc>
      </w:tr>
      <w:tr w:rsidR="00353572" w:rsidRPr="00353572" w14:paraId="03A5C5EA" w14:textId="77777777" w:rsidTr="00425125">
        <w:trPr>
          <w:trHeight w:val="576"/>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7A73C162" w14:textId="77777777" w:rsidR="00353572" w:rsidRPr="00353572" w:rsidRDefault="00353572" w:rsidP="00353572">
            <w:pPr>
              <w:ind w:left="0"/>
              <w:jc w:val="center"/>
              <w:rPr>
                <w:rFonts w:ascii="Calibri" w:hAnsi="Calibri" w:cs="Calibri"/>
                <w:color w:val="000000"/>
                <w:sz w:val="22"/>
                <w:szCs w:val="22"/>
                <w:lang w:val="es-CO" w:eastAsia="en-US"/>
              </w:rPr>
            </w:pPr>
            <w:r w:rsidRPr="00353572">
              <w:rPr>
                <w:rFonts w:ascii="Calibri" w:hAnsi="Calibri" w:cs="Calibri"/>
                <w:color w:val="000000"/>
                <w:sz w:val="22"/>
                <w:szCs w:val="22"/>
                <w:lang w:val="es-CO" w:eastAsia="en-US"/>
              </w:rPr>
              <w:t>PORCENTAJE DEL PRESUPUESTO POR BASE</w:t>
            </w:r>
          </w:p>
        </w:tc>
        <w:tc>
          <w:tcPr>
            <w:tcW w:w="1997" w:type="dxa"/>
            <w:tcBorders>
              <w:top w:val="nil"/>
              <w:left w:val="nil"/>
              <w:bottom w:val="single" w:sz="4" w:space="0" w:color="auto"/>
              <w:right w:val="single" w:sz="4" w:space="0" w:color="auto"/>
            </w:tcBorders>
            <w:shd w:val="clear" w:color="auto" w:fill="auto"/>
            <w:noWrap/>
            <w:vAlign w:val="center"/>
            <w:hideMark/>
          </w:tcPr>
          <w:p w14:paraId="45CED51F" w14:textId="77777777" w:rsidR="00353572" w:rsidRPr="00353572" w:rsidRDefault="00353572" w:rsidP="00353572">
            <w:pPr>
              <w:ind w:left="0"/>
              <w:jc w:val="right"/>
              <w:rPr>
                <w:rFonts w:ascii="Calibri" w:hAnsi="Calibri" w:cs="Calibri"/>
                <w:sz w:val="20"/>
                <w:szCs w:val="20"/>
                <w:lang w:val="en-US" w:eastAsia="en-US"/>
              </w:rPr>
            </w:pPr>
            <w:r w:rsidRPr="00353572">
              <w:rPr>
                <w:rFonts w:ascii="Calibri" w:hAnsi="Calibri" w:cs="Calibri"/>
                <w:sz w:val="20"/>
                <w:szCs w:val="20"/>
                <w:lang w:val="en-US" w:eastAsia="en-US"/>
              </w:rPr>
              <w:t>94,37106%</w:t>
            </w:r>
          </w:p>
        </w:tc>
        <w:tc>
          <w:tcPr>
            <w:tcW w:w="2126" w:type="dxa"/>
            <w:tcBorders>
              <w:top w:val="nil"/>
              <w:left w:val="nil"/>
              <w:bottom w:val="single" w:sz="4" w:space="0" w:color="auto"/>
              <w:right w:val="single" w:sz="4" w:space="0" w:color="auto"/>
            </w:tcBorders>
            <w:shd w:val="clear" w:color="auto" w:fill="auto"/>
            <w:noWrap/>
            <w:vAlign w:val="center"/>
            <w:hideMark/>
          </w:tcPr>
          <w:p w14:paraId="2AD2DE4E" w14:textId="77777777" w:rsidR="00353572" w:rsidRPr="00353572" w:rsidRDefault="00353572" w:rsidP="00353572">
            <w:pPr>
              <w:ind w:left="0"/>
              <w:jc w:val="right"/>
              <w:rPr>
                <w:rFonts w:ascii="Calibri" w:hAnsi="Calibri" w:cs="Calibri"/>
                <w:sz w:val="20"/>
                <w:szCs w:val="20"/>
                <w:lang w:val="en-US" w:eastAsia="en-US"/>
              </w:rPr>
            </w:pPr>
            <w:r w:rsidRPr="00353572">
              <w:rPr>
                <w:rFonts w:ascii="Calibri" w:hAnsi="Calibri" w:cs="Calibri"/>
                <w:sz w:val="20"/>
                <w:szCs w:val="20"/>
                <w:lang w:val="en-US" w:eastAsia="en-US"/>
              </w:rPr>
              <w:t>5,62894%</w:t>
            </w:r>
          </w:p>
        </w:tc>
        <w:tc>
          <w:tcPr>
            <w:tcW w:w="1984" w:type="dxa"/>
            <w:tcBorders>
              <w:top w:val="nil"/>
              <w:left w:val="nil"/>
              <w:bottom w:val="single" w:sz="4" w:space="0" w:color="auto"/>
              <w:right w:val="single" w:sz="4" w:space="0" w:color="auto"/>
            </w:tcBorders>
            <w:shd w:val="clear" w:color="auto" w:fill="auto"/>
            <w:noWrap/>
            <w:vAlign w:val="center"/>
            <w:hideMark/>
          </w:tcPr>
          <w:p w14:paraId="76A71A38" w14:textId="77777777" w:rsidR="00353572" w:rsidRPr="00353572" w:rsidRDefault="00353572" w:rsidP="00353572">
            <w:pPr>
              <w:ind w:left="0"/>
              <w:jc w:val="right"/>
              <w:rPr>
                <w:rFonts w:ascii="Calibri" w:hAnsi="Calibri" w:cs="Calibri"/>
                <w:sz w:val="20"/>
                <w:szCs w:val="20"/>
                <w:lang w:val="en-US" w:eastAsia="en-US"/>
              </w:rPr>
            </w:pPr>
            <w:r w:rsidRPr="00353572">
              <w:rPr>
                <w:rFonts w:ascii="Calibri" w:hAnsi="Calibri" w:cs="Calibri"/>
                <w:sz w:val="20"/>
                <w:szCs w:val="20"/>
                <w:lang w:val="en-US" w:eastAsia="en-US"/>
              </w:rPr>
              <w:t>100,00000%</w:t>
            </w:r>
          </w:p>
        </w:tc>
      </w:tr>
      <w:tr w:rsidR="00353572" w:rsidRPr="00353572" w14:paraId="248D36E8" w14:textId="77777777" w:rsidTr="004251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9A66752" w14:textId="77777777" w:rsidR="00353572" w:rsidRPr="00353572" w:rsidRDefault="00353572" w:rsidP="00353572">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TOTAL PRESUPUESTO 2022</w:t>
            </w:r>
          </w:p>
        </w:tc>
        <w:tc>
          <w:tcPr>
            <w:tcW w:w="1997" w:type="dxa"/>
            <w:tcBorders>
              <w:top w:val="nil"/>
              <w:left w:val="nil"/>
              <w:bottom w:val="single" w:sz="4" w:space="0" w:color="auto"/>
              <w:right w:val="single" w:sz="4" w:space="0" w:color="auto"/>
            </w:tcBorders>
            <w:shd w:val="clear" w:color="auto" w:fill="auto"/>
            <w:noWrap/>
            <w:vAlign w:val="center"/>
            <w:hideMark/>
          </w:tcPr>
          <w:p w14:paraId="4FD668F0" w14:textId="5C430206" w:rsidR="00353572" w:rsidRPr="00353572" w:rsidRDefault="00353572" w:rsidP="00353572">
            <w:pPr>
              <w:ind w:left="0"/>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32.904.004.874</w:t>
            </w:r>
          </w:p>
        </w:tc>
        <w:tc>
          <w:tcPr>
            <w:tcW w:w="2126" w:type="dxa"/>
            <w:tcBorders>
              <w:top w:val="nil"/>
              <w:left w:val="nil"/>
              <w:bottom w:val="single" w:sz="4" w:space="0" w:color="auto"/>
              <w:right w:val="single" w:sz="4" w:space="0" w:color="auto"/>
            </w:tcBorders>
            <w:shd w:val="clear" w:color="auto" w:fill="auto"/>
            <w:noWrap/>
            <w:vAlign w:val="center"/>
            <w:hideMark/>
          </w:tcPr>
          <w:p w14:paraId="6F84A935"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1984" w:type="dxa"/>
            <w:tcBorders>
              <w:top w:val="nil"/>
              <w:left w:val="nil"/>
              <w:bottom w:val="single" w:sz="4" w:space="0" w:color="auto"/>
              <w:right w:val="single" w:sz="4" w:space="0" w:color="auto"/>
            </w:tcBorders>
            <w:shd w:val="clear" w:color="auto" w:fill="auto"/>
            <w:noWrap/>
            <w:vAlign w:val="center"/>
            <w:hideMark/>
          </w:tcPr>
          <w:p w14:paraId="4F5C5748"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r w:rsidR="00353572" w:rsidRPr="00353572" w14:paraId="7390512E" w14:textId="77777777" w:rsidTr="00425125">
        <w:trPr>
          <w:trHeight w:val="192"/>
        </w:trPr>
        <w:tc>
          <w:tcPr>
            <w:tcW w:w="2960" w:type="dxa"/>
            <w:tcBorders>
              <w:top w:val="nil"/>
              <w:left w:val="nil"/>
              <w:bottom w:val="nil"/>
              <w:right w:val="nil"/>
            </w:tcBorders>
            <w:shd w:val="clear" w:color="auto" w:fill="auto"/>
            <w:noWrap/>
            <w:vAlign w:val="center"/>
            <w:hideMark/>
          </w:tcPr>
          <w:p w14:paraId="58801C46" w14:textId="77777777" w:rsidR="00353572" w:rsidRPr="00353572" w:rsidRDefault="00353572" w:rsidP="00353572">
            <w:pPr>
              <w:ind w:left="0"/>
              <w:rPr>
                <w:rFonts w:ascii="Calibri" w:hAnsi="Calibri" w:cs="Calibri"/>
                <w:color w:val="000000"/>
                <w:sz w:val="22"/>
                <w:szCs w:val="22"/>
                <w:lang w:val="en-US" w:eastAsia="en-US"/>
              </w:rPr>
            </w:pPr>
          </w:p>
        </w:tc>
        <w:tc>
          <w:tcPr>
            <w:tcW w:w="1997" w:type="dxa"/>
            <w:tcBorders>
              <w:top w:val="nil"/>
              <w:left w:val="nil"/>
              <w:bottom w:val="nil"/>
              <w:right w:val="nil"/>
            </w:tcBorders>
            <w:shd w:val="clear" w:color="auto" w:fill="auto"/>
            <w:noWrap/>
            <w:vAlign w:val="center"/>
            <w:hideMark/>
          </w:tcPr>
          <w:p w14:paraId="45C999E6" w14:textId="77777777" w:rsidR="00353572" w:rsidRPr="00353572" w:rsidRDefault="00353572" w:rsidP="00353572">
            <w:pPr>
              <w:ind w:left="0"/>
              <w:jc w:val="center"/>
              <w:rPr>
                <w:sz w:val="20"/>
                <w:szCs w:val="20"/>
                <w:lang w:val="en-US" w:eastAsia="en-US"/>
              </w:rPr>
            </w:pPr>
          </w:p>
        </w:tc>
        <w:tc>
          <w:tcPr>
            <w:tcW w:w="2126" w:type="dxa"/>
            <w:tcBorders>
              <w:top w:val="nil"/>
              <w:left w:val="nil"/>
              <w:bottom w:val="nil"/>
              <w:right w:val="nil"/>
            </w:tcBorders>
            <w:shd w:val="clear" w:color="auto" w:fill="auto"/>
            <w:noWrap/>
            <w:vAlign w:val="center"/>
            <w:hideMark/>
          </w:tcPr>
          <w:p w14:paraId="6221D8AE" w14:textId="77777777" w:rsidR="00353572" w:rsidRPr="00353572" w:rsidRDefault="00353572" w:rsidP="00353572">
            <w:pPr>
              <w:ind w:left="0"/>
              <w:rPr>
                <w:sz w:val="20"/>
                <w:szCs w:val="20"/>
                <w:lang w:val="en-US" w:eastAsia="en-US"/>
              </w:rPr>
            </w:pPr>
          </w:p>
        </w:tc>
        <w:tc>
          <w:tcPr>
            <w:tcW w:w="1984" w:type="dxa"/>
            <w:tcBorders>
              <w:top w:val="nil"/>
              <w:left w:val="nil"/>
              <w:bottom w:val="nil"/>
              <w:right w:val="nil"/>
            </w:tcBorders>
            <w:shd w:val="clear" w:color="auto" w:fill="auto"/>
            <w:noWrap/>
            <w:vAlign w:val="center"/>
            <w:hideMark/>
          </w:tcPr>
          <w:p w14:paraId="47827A08" w14:textId="77777777" w:rsidR="00353572" w:rsidRPr="00353572" w:rsidRDefault="00353572" w:rsidP="00353572">
            <w:pPr>
              <w:ind w:left="0"/>
              <w:rPr>
                <w:sz w:val="20"/>
                <w:szCs w:val="20"/>
                <w:lang w:val="en-US" w:eastAsia="en-US"/>
              </w:rPr>
            </w:pPr>
          </w:p>
        </w:tc>
      </w:tr>
      <w:tr w:rsidR="00353572" w:rsidRPr="00353572" w14:paraId="1ADB6A44" w14:textId="77777777" w:rsidTr="00425125">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74E78" w14:textId="77777777" w:rsidR="00353572" w:rsidRPr="00353572" w:rsidRDefault="00353572" w:rsidP="00353572">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BASE GASTOS OPERATIVOS</w:t>
            </w:r>
          </w:p>
        </w:tc>
        <w:tc>
          <w:tcPr>
            <w:tcW w:w="1997" w:type="dxa"/>
            <w:tcBorders>
              <w:top w:val="single" w:sz="4" w:space="0" w:color="auto"/>
              <w:left w:val="nil"/>
              <w:bottom w:val="single" w:sz="4" w:space="0" w:color="auto"/>
              <w:right w:val="single" w:sz="4" w:space="0" w:color="auto"/>
            </w:tcBorders>
            <w:shd w:val="clear" w:color="auto" w:fill="auto"/>
            <w:noWrap/>
            <w:vAlign w:val="center"/>
            <w:hideMark/>
          </w:tcPr>
          <w:p w14:paraId="1BDA15B5"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87F7881" w14:textId="0BF544C3" w:rsidR="00353572" w:rsidRPr="00353572" w:rsidRDefault="00353572" w:rsidP="00353572">
            <w:pPr>
              <w:ind w:left="0"/>
              <w:jc w:val="right"/>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xml:space="preserve">33.156.758.973.362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D3EBCBC"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r w:rsidR="00353572" w:rsidRPr="00353572" w14:paraId="18C3B2A7" w14:textId="77777777" w:rsidTr="00425125">
        <w:trPr>
          <w:trHeight w:val="576"/>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6E8870D1" w14:textId="77777777" w:rsidR="00353572" w:rsidRPr="00353572" w:rsidRDefault="00353572" w:rsidP="00353572">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PORCENTAJE ADICIONAL GASTOS OPERATIVOS</w:t>
            </w:r>
          </w:p>
        </w:tc>
        <w:tc>
          <w:tcPr>
            <w:tcW w:w="1997" w:type="dxa"/>
            <w:tcBorders>
              <w:top w:val="nil"/>
              <w:left w:val="nil"/>
              <w:bottom w:val="single" w:sz="4" w:space="0" w:color="auto"/>
              <w:right w:val="single" w:sz="4" w:space="0" w:color="auto"/>
            </w:tcBorders>
            <w:shd w:val="clear" w:color="auto" w:fill="auto"/>
            <w:noWrap/>
            <w:vAlign w:val="center"/>
            <w:hideMark/>
          </w:tcPr>
          <w:p w14:paraId="035CF206"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2126" w:type="dxa"/>
            <w:tcBorders>
              <w:top w:val="nil"/>
              <w:left w:val="nil"/>
              <w:bottom w:val="single" w:sz="4" w:space="0" w:color="auto"/>
              <w:right w:val="single" w:sz="4" w:space="0" w:color="auto"/>
            </w:tcBorders>
            <w:shd w:val="clear" w:color="auto" w:fill="auto"/>
            <w:noWrap/>
            <w:vAlign w:val="center"/>
            <w:hideMark/>
          </w:tcPr>
          <w:p w14:paraId="1FBD7978" w14:textId="77777777" w:rsidR="00353572" w:rsidRPr="00353572" w:rsidRDefault="00353572" w:rsidP="00353572">
            <w:pPr>
              <w:ind w:left="0"/>
              <w:jc w:val="right"/>
              <w:rPr>
                <w:rFonts w:ascii="Calibri" w:hAnsi="Calibri" w:cs="Calibri"/>
                <w:sz w:val="20"/>
                <w:szCs w:val="20"/>
                <w:lang w:val="en-US" w:eastAsia="en-US"/>
              </w:rPr>
            </w:pPr>
            <w:r w:rsidRPr="00353572">
              <w:rPr>
                <w:rFonts w:ascii="Calibri" w:hAnsi="Calibri" w:cs="Calibri"/>
                <w:sz w:val="20"/>
                <w:szCs w:val="20"/>
                <w:lang w:val="en-US" w:eastAsia="en-US"/>
              </w:rPr>
              <w:t>0,0055860%</w:t>
            </w:r>
          </w:p>
        </w:tc>
        <w:tc>
          <w:tcPr>
            <w:tcW w:w="1984" w:type="dxa"/>
            <w:tcBorders>
              <w:top w:val="nil"/>
              <w:left w:val="nil"/>
              <w:bottom w:val="single" w:sz="4" w:space="0" w:color="auto"/>
              <w:right w:val="single" w:sz="4" w:space="0" w:color="auto"/>
            </w:tcBorders>
            <w:shd w:val="clear" w:color="auto" w:fill="auto"/>
            <w:noWrap/>
            <w:vAlign w:val="center"/>
            <w:hideMark/>
          </w:tcPr>
          <w:p w14:paraId="42E9A74B"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r w:rsidR="00353572" w:rsidRPr="00353572" w14:paraId="4BC8F4A5" w14:textId="77777777" w:rsidTr="004251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6A9724F" w14:textId="77777777" w:rsidR="00353572" w:rsidRPr="00353572" w:rsidRDefault="00353572" w:rsidP="00353572">
            <w:pPr>
              <w:ind w:left="0"/>
              <w:jc w:val="center"/>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FALTANTE PRESUPUESTAL</w:t>
            </w:r>
          </w:p>
        </w:tc>
        <w:tc>
          <w:tcPr>
            <w:tcW w:w="1997" w:type="dxa"/>
            <w:tcBorders>
              <w:top w:val="nil"/>
              <w:left w:val="nil"/>
              <w:bottom w:val="single" w:sz="4" w:space="0" w:color="auto"/>
              <w:right w:val="single" w:sz="4" w:space="0" w:color="auto"/>
            </w:tcBorders>
            <w:shd w:val="clear" w:color="auto" w:fill="auto"/>
            <w:noWrap/>
            <w:vAlign w:val="center"/>
            <w:hideMark/>
          </w:tcPr>
          <w:p w14:paraId="4D92F8AC"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c>
          <w:tcPr>
            <w:tcW w:w="2126" w:type="dxa"/>
            <w:tcBorders>
              <w:top w:val="nil"/>
              <w:left w:val="nil"/>
              <w:bottom w:val="single" w:sz="4" w:space="0" w:color="auto"/>
              <w:right w:val="single" w:sz="4" w:space="0" w:color="auto"/>
            </w:tcBorders>
            <w:shd w:val="clear" w:color="000000" w:fill="D9E1F2"/>
            <w:noWrap/>
            <w:vAlign w:val="center"/>
            <w:hideMark/>
          </w:tcPr>
          <w:p w14:paraId="1A5AAC43" w14:textId="2731F39D" w:rsidR="00353572" w:rsidRPr="00353572" w:rsidRDefault="00353572" w:rsidP="00353572">
            <w:pPr>
              <w:ind w:left="0"/>
              <w:rPr>
                <w:rFonts w:ascii="Calibri" w:hAnsi="Calibri" w:cs="Calibri"/>
                <w:color w:val="000000"/>
                <w:sz w:val="22"/>
                <w:szCs w:val="22"/>
                <w:lang w:val="en-US" w:eastAsia="en-US"/>
              </w:rPr>
            </w:pPr>
            <w:r>
              <w:rPr>
                <w:rFonts w:ascii="Calibri" w:hAnsi="Calibri" w:cs="Calibri"/>
                <w:color w:val="000000"/>
                <w:sz w:val="22"/>
                <w:szCs w:val="22"/>
                <w:lang w:val="en-US" w:eastAsia="en-US"/>
              </w:rPr>
              <w:t xml:space="preserve">          </w:t>
            </w:r>
            <w:r w:rsidRPr="00353572">
              <w:rPr>
                <w:rFonts w:ascii="Calibri" w:hAnsi="Calibri" w:cs="Calibri"/>
                <w:color w:val="000000"/>
                <w:sz w:val="22"/>
                <w:szCs w:val="22"/>
                <w:lang w:val="en-US" w:eastAsia="en-US"/>
              </w:rPr>
              <w:t xml:space="preserve">1.852.146.882 </w:t>
            </w:r>
          </w:p>
        </w:tc>
        <w:tc>
          <w:tcPr>
            <w:tcW w:w="1984" w:type="dxa"/>
            <w:tcBorders>
              <w:top w:val="nil"/>
              <w:left w:val="nil"/>
              <w:bottom w:val="single" w:sz="4" w:space="0" w:color="auto"/>
              <w:right w:val="single" w:sz="4" w:space="0" w:color="auto"/>
            </w:tcBorders>
            <w:shd w:val="clear" w:color="auto" w:fill="auto"/>
            <w:noWrap/>
            <w:vAlign w:val="center"/>
            <w:hideMark/>
          </w:tcPr>
          <w:p w14:paraId="238F4EA6" w14:textId="77777777" w:rsidR="00353572" w:rsidRPr="00353572" w:rsidRDefault="00353572" w:rsidP="00353572">
            <w:pPr>
              <w:ind w:left="0"/>
              <w:rPr>
                <w:rFonts w:ascii="Calibri" w:hAnsi="Calibri" w:cs="Calibri"/>
                <w:color w:val="000000"/>
                <w:sz w:val="22"/>
                <w:szCs w:val="22"/>
                <w:lang w:val="en-US" w:eastAsia="en-US"/>
              </w:rPr>
            </w:pPr>
            <w:r w:rsidRPr="00353572">
              <w:rPr>
                <w:rFonts w:ascii="Calibri" w:hAnsi="Calibri" w:cs="Calibri"/>
                <w:color w:val="000000"/>
                <w:sz w:val="22"/>
                <w:szCs w:val="22"/>
                <w:lang w:val="en-US" w:eastAsia="en-US"/>
              </w:rPr>
              <w:t> </w:t>
            </w:r>
          </w:p>
        </w:tc>
      </w:tr>
    </w:tbl>
    <w:p w14:paraId="117BDE13" w14:textId="77777777" w:rsidR="00353572" w:rsidRDefault="00353572" w:rsidP="0086405F">
      <w:pPr>
        <w:ind w:left="0"/>
        <w:jc w:val="both"/>
        <w:rPr>
          <w:rFonts w:ascii="Bookman Old Style" w:hAnsi="Bookman Old Style" w:cs="Arial"/>
        </w:rPr>
      </w:pPr>
    </w:p>
    <w:p w14:paraId="474D48F8" w14:textId="35E17B8E" w:rsidR="00CE3902" w:rsidRDefault="00D54821" w:rsidP="00104A06">
      <w:pPr>
        <w:ind w:left="0"/>
        <w:jc w:val="both"/>
        <w:rPr>
          <w:rFonts w:ascii="Bookman Old Style" w:hAnsi="Bookman Old Style" w:cs="Arial"/>
        </w:rPr>
      </w:pPr>
      <w:r>
        <w:rPr>
          <w:rFonts w:ascii="Bookman Old Style" w:hAnsi="Bookman Old Style" w:cs="Arial"/>
          <w:b/>
        </w:rPr>
        <w:t>PARÁGRAFO</w:t>
      </w:r>
      <w:r w:rsidR="00BC4A8E">
        <w:rPr>
          <w:rFonts w:ascii="Bookman Old Style" w:hAnsi="Bookman Old Style" w:cs="Arial"/>
          <w:b/>
        </w:rPr>
        <w:t xml:space="preserve"> 1</w:t>
      </w:r>
      <w:r>
        <w:rPr>
          <w:rFonts w:ascii="Bookman Old Style" w:hAnsi="Bookman Old Style" w:cs="Arial"/>
          <w:b/>
        </w:rPr>
        <w:t xml:space="preserve">. </w:t>
      </w:r>
      <w:r w:rsidRPr="00202031">
        <w:rPr>
          <w:rFonts w:ascii="Bookman Old Style" w:hAnsi="Bookman Old Style" w:cs="Arial"/>
        </w:rPr>
        <w:t xml:space="preserve">La contribución especial será calculada </w:t>
      </w:r>
      <w:r w:rsidR="0062044A">
        <w:rPr>
          <w:rFonts w:ascii="Bookman Old Style" w:hAnsi="Bookman Old Style" w:cs="Arial"/>
        </w:rPr>
        <w:t xml:space="preserve">y liquidada </w:t>
      </w:r>
      <w:r w:rsidR="00104A06" w:rsidRPr="00202031">
        <w:rPr>
          <w:rFonts w:ascii="Bookman Old Style" w:hAnsi="Bookman Old Style" w:cs="Arial"/>
        </w:rPr>
        <w:t xml:space="preserve">para cada </w:t>
      </w:r>
      <w:r w:rsidR="00EA506F" w:rsidRPr="00202031">
        <w:rPr>
          <w:rFonts w:ascii="Bookman Old Style" w:hAnsi="Bookman Old Style" w:cs="Arial"/>
        </w:rPr>
        <w:t>un</w:t>
      </w:r>
      <w:r w:rsidR="00EA506F">
        <w:rPr>
          <w:rFonts w:ascii="Bookman Old Style" w:hAnsi="Bookman Old Style" w:cs="Arial"/>
        </w:rPr>
        <w:t>o</w:t>
      </w:r>
      <w:r w:rsidR="00104A06" w:rsidRPr="00202031">
        <w:rPr>
          <w:rFonts w:ascii="Bookman Old Style" w:hAnsi="Bookman Old Style" w:cs="Arial"/>
        </w:rPr>
        <w:t xml:space="preserve"> de l</w:t>
      </w:r>
      <w:r w:rsidR="00BC26A9">
        <w:rPr>
          <w:rFonts w:ascii="Bookman Old Style" w:hAnsi="Bookman Old Style" w:cs="Arial"/>
        </w:rPr>
        <w:t xml:space="preserve">os sujetos pasivos </w:t>
      </w:r>
      <w:r w:rsidR="00AE74FA">
        <w:rPr>
          <w:rFonts w:ascii="Bookman Old Style" w:hAnsi="Bookman Old Style" w:cs="Arial"/>
        </w:rPr>
        <w:t xml:space="preserve">mediante una liquidación </w:t>
      </w:r>
      <w:r w:rsidRPr="00202031">
        <w:rPr>
          <w:rFonts w:ascii="Bookman Old Style" w:hAnsi="Bookman Old Style" w:cs="Arial"/>
        </w:rPr>
        <w:t>oficial</w:t>
      </w:r>
      <w:r w:rsidR="00CE3902">
        <w:rPr>
          <w:rFonts w:ascii="Bookman Old Style" w:hAnsi="Bookman Old Style" w:cs="Arial"/>
        </w:rPr>
        <w:t xml:space="preserve"> </w:t>
      </w:r>
      <w:r w:rsidR="00AE74FA">
        <w:rPr>
          <w:rFonts w:ascii="Bookman Old Style" w:hAnsi="Bookman Old Style" w:cs="Arial"/>
        </w:rPr>
        <w:t xml:space="preserve">emitida por el director </w:t>
      </w:r>
      <w:r w:rsidR="00AE74FA">
        <w:rPr>
          <w:rFonts w:ascii="Bookman Old Style" w:hAnsi="Bookman Old Style" w:cs="Arial"/>
        </w:rPr>
        <w:lastRenderedPageBreak/>
        <w:t>ejecutivo</w:t>
      </w:r>
      <w:r>
        <w:rPr>
          <w:rFonts w:ascii="Bookman Old Style" w:hAnsi="Bookman Old Style" w:cs="Arial"/>
        </w:rPr>
        <w:t>,</w:t>
      </w:r>
      <w:r w:rsidRPr="00202031">
        <w:rPr>
          <w:rFonts w:ascii="Bookman Old Style" w:hAnsi="Bookman Old Style" w:cs="Arial"/>
        </w:rPr>
        <w:t xml:space="preserve"> la cual será notificada conforme a lo previsto en las disposiciones legales vigentes</w:t>
      </w:r>
      <w:r w:rsidR="00EF17DD">
        <w:rPr>
          <w:rFonts w:ascii="Bookman Old Style" w:hAnsi="Bookman Old Style" w:cs="Arial"/>
        </w:rPr>
        <w:t>.</w:t>
      </w:r>
      <w:r w:rsidR="00104A06">
        <w:rPr>
          <w:rFonts w:ascii="Bookman Old Style" w:hAnsi="Bookman Old Style" w:cs="Arial"/>
        </w:rPr>
        <w:t xml:space="preserve"> </w:t>
      </w:r>
    </w:p>
    <w:p w14:paraId="6D87DB1F" w14:textId="77777777" w:rsidR="00CE3902" w:rsidRDefault="00CE3902" w:rsidP="00104A06">
      <w:pPr>
        <w:ind w:left="0"/>
        <w:jc w:val="both"/>
        <w:rPr>
          <w:rFonts w:ascii="Bookman Old Style" w:hAnsi="Bookman Old Style" w:cs="Arial"/>
        </w:rPr>
      </w:pPr>
    </w:p>
    <w:p w14:paraId="0973EA79" w14:textId="065EB524" w:rsidR="00104A06" w:rsidRDefault="00104A06" w:rsidP="00104A06">
      <w:pPr>
        <w:ind w:left="0"/>
        <w:jc w:val="both"/>
        <w:rPr>
          <w:rFonts w:ascii="Bookman Old Style" w:hAnsi="Bookman Old Style" w:cs="Arial"/>
        </w:rPr>
      </w:pPr>
      <w:r w:rsidRPr="00104A06">
        <w:rPr>
          <w:rFonts w:ascii="Bookman Old Style" w:hAnsi="Bookman Old Style" w:cs="Arial"/>
        </w:rPr>
        <w:t>Conforme al numeral 85.6</w:t>
      </w:r>
      <w:r w:rsidR="00395F30">
        <w:rPr>
          <w:rFonts w:ascii="Bookman Old Style" w:hAnsi="Bookman Old Style" w:cs="Arial"/>
        </w:rPr>
        <w:t xml:space="preserve"> de la</w:t>
      </w:r>
      <w:r w:rsidR="00CE3902">
        <w:rPr>
          <w:rFonts w:ascii="Bookman Old Style" w:hAnsi="Bookman Old Style" w:cs="Arial"/>
        </w:rPr>
        <w:t xml:space="preserve"> Ley 142 de 1994, una vez quede</w:t>
      </w:r>
      <w:r w:rsidR="00395F30">
        <w:rPr>
          <w:rFonts w:ascii="Bookman Old Style" w:hAnsi="Bookman Old Style" w:cs="Arial"/>
        </w:rPr>
        <w:t xml:space="preserve"> e</w:t>
      </w:r>
      <w:r w:rsidRPr="00104A06">
        <w:rPr>
          <w:rFonts w:ascii="Bookman Old Style" w:hAnsi="Bookman Old Style" w:cs="Arial"/>
        </w:rPr>
        <w:t xml:space="preserve">n firme </w:t>
      </w:r>
      <w:r w:rsidR="00CE3902">
        <w:rPr>
          <w:rFonts w:ascii="Bookman Old Style" w:hAnsi="Bookman Old Style" w:cs="Arial"/>
        </w:rPr>
        <w:t>la</w:t>
      </w:r>
      <w:r w:rsidRPr="00104A06">
        <w:rPr>
          <w:rFonts w:ascii="Bookman Old Style" w:hAnsi="Bookman Old Style" w:cs="Arial"/>
        </w:rPr>
        <w:t xml:space="preserve"> </w:t>
      </w:r>
      <w:r w:rsidR="00CE3902">
        <w:rPr>
          <w:rFonts w:ascii="Bookman Old Style" w:hAnsi="Bookman Old Style" w:cs="Arial"/>
        </w:rPr>
        <w:t>liquidación</w:t>
      </w:r>
      <w:r w:rsidRPr="00104A06">
        <w:rPr>
          <w:rFonts w:ascii="Bookman Old Style" w:hAnsi="Bookman Old Style" w:cs="Arial"/>
        </w:rPr>
        <w:t xml:space="preserve"> </w:t>
      </w:r>
      <w:r w:rsidR="00CE3902">
        <w:rPr>
          <w:rFonts w:ascii="Bookman Old Style" w:hAnsi="Bookman Old Style" w:cs="Arial"/>
        </w:rPr>
        <w:t xml:space="preserve">oficial de acuerdo con lo establecido en al artículo 87 del Código de Procedimiento Administrativo y de lo Contencioso Administrativo, deberá ser </w:t>
      </w:r>
      <w:r w:rsidR="00EA506F">
        <w:rPr>
          <w:rFonts w:ascii="Bookman Old Style" w:hAnsi="Bookman Old Style" w:cs="Arial"/>
        </w:rPr>
        <w:t>pagada por el contri</w:t>
      </w:r>
      <w:r w:rsidR="00975987">
        <w:rPr>
          <w:rFonts w:ascii="Bookman Old Style" w:hAnsi="Bookman Old Style" w:cs="Arial"/>
        </w:rPr>
        <w:t xml:space="preserve">buyente </w:t>
      </w:r>
      <w:r w:rsidRPr="00104A06">
        <w:rPr>
          <w:rFonts w:ascii="Bookman Old Style" w:hAnsi="Bookman Old Style" w:cs="Arial"/>
        </w:rPr>
        <w:t>dentro del mes siguiente</w:t>
      </w:r>
      <w:r w:rsidR="00975987">
        <w:rPr>
          <w:rFonts w:ascii="Bookman Old Style" w:hAnsi="Bookman Old Style" w:cs="Arial"/>
        </w:rPr>
        <w:t xml:space="preserve">, </w:t>
      </w:r>
      <w:r w:rsidRPr="00104A06">
        <w:rPr>
          <w:rFonts w:ascii="Bookman Old Style" w:hAnsi="Bookman Old Style" w:cs="Arial"/>
        </w:rPr>
        <w:t>en la cuenta corriente N° 285-863536 del Banco de Occidente, mediante consignación directa o transferencia electrónica, a favor del titular de la cuenta: COMISIÓN DE REGULACIÓN DE ENERGÍA Y GAS</w:t>
      </w:r>
      <w:r w:rsidR="00CE3902">
        <w:rPr>
          <w:rFonts w:ascii="Bookman Old Style" w:hAnsi="Bookman Old Style" w:cs="Arial"/>
        </w:rPr>
        <w:t>, i</w:t>
      </w:r>
      <w:r w:rsidRPr="00104A06">
        <w:rPr>
          <w:rFonts w:ascii="Bookman Old Style" w:hAnsi="Bookman Old Style" w:cs="Arial"/>
        </w:rPr>
        <w:t>dentificada con el NIT 900034993-1.</w:t>
      </w:r>
      <w:r w:rsidR="00CE3902">
        <w:rPr>
          <w:rFonts w:ascii="Bookman Old Style" w:hAnsi="Bookman Old Style" w:cs="Arial"/>
        </w:rPr>
        <w:t xml:space="preserve"> </w:t>
      </w:r>
    </w:p>
    <w:p w14:paraId="50EFD618" w14:textId="7788DE42" w:rsidR="00E56065" w:rsidRDefault="00E56065" w:rsidP="00104A06">
      <w:pPr>
        <w:ind w:left="0"/>
        <w:jc w:val="both"/>
        <w:rPr>
          <w:rFonts w:ascii="Bookman Old Style" w:hAnsi="Bookman Old Style" w:cs="Arial"/>
        </w:rPr>
      </w:pPr>
    </w:p>
    <w:p w14:paraId="1628B02F" w14:textId="27CC5D9F" w:rsidR="00D54821" w:rsidRDefault="00BC4A8E" w:rsidP="00D54821">
      <w:pPr>
        <w:ind w:left="0"/>
        <w:jc w:val="both"/>
        <w:rPr>
          <w:rFonts w:ascii="Bookman Old Style" w:hAnsi="Bookman Old Style" w:cs="Arial"/>
        </w:rPr>
      </w:pPr>
      <w:r>
        <w:rPr>
          <w:rFonts w:ascii="Bookman Old Style" w:hAnsi="Bookman Old Style" w:cs="Arial"/>
          <w:b/>
          <w:bCs/>
        </w:rPr>
        <w:t xml:space="preserve">PARÁGRAFO 2. </w:t>
      </w:r>
      <w:r w:rsidR="00D54821" w:rsidRPr="0050424C">
        <w:rPr>
          <w:rFonts w:ascii="Bookman Old Style" w:hAnsi="Bookman Old Style" w:cs="Arial"/>
        </w:rPr>
        <w:t>A efectos de recuperar los costos representados en recursos humanos, tecnológicos</w:t>
      </w:r>
      <w:r w:rsidR="00D54821">
        <w:rPr>
          <w:rFonts w:ascii="Bookman Old Style" w:hAnsi="Bookman Old Style" w:cs="Arial"/>
        </w:rPr>
        <w:t>,</w:t>
      </w:r>
      <w:r w:rsidR="00D54821" w:rsidRPr="0050424C">
        <w:rPr>
          <w:rFonts w:ascii="Bookman Old Style" w:hAnsi="Bookman Old Style" w:cs="Arial"/>
        </w:rPr>
        <w:t xml:space="preserve"> financieros </w:t>
      </w:r>
      <w:r w:rsidR="00D54821">
        <w:rPr>
          <w:rFonts w:ascii="Bookman Old Style" w:hAnsi="Bookman Old Style" w:cs="Arial"/>
        </w:rPr>
        <w:t xml:space="preserve">y logísticos </w:t>
      </w:r>
      <w:r w:rsidR="00D54821" w:rsidRPr="0050424C">
        <w:rPr>
          <w:rFonts w:ascii="Bookman Old Style" w:hAnsi="Bookman Old Style" w:cs="Arial"/>
        </w:rPr>
        <w:t xml:space="preserve">incurridos por la CREG en el procedimiento de cálculo, liquidación, </w:t>
      </w:r>
      <w:r w:rsidR="00D54821">
        <w:rPr>
          <w:rFonts w:ascii="Bookman Old Style" w:hAnsi="Bookman Old Style" w:cs="Arial"/>
        </w:rPr>
        <w:t xml:space="preserve">cobro, </w:t>
      </w:r>
      <w:r w:rsidR="00D54821" w:rsidRPr="0050424C">
        <w:rPr>
          <w:rFonts w:ascii="Bookman Old Style" w:hAnsi="Bookman Old Style" w:cs="Arial"/>
        </w:rPr>
        <w:t>recaudo y gestión de cartera de la contribución especial 202</w:t>
      </w:r>
      <w:r w:rsidR="00395F30">
        <w:rPr>
          <w:rFonts w:ascii="Bookman Old Style" w:hAnsi="Bookman Old Style" w:cs="Arial"/>
        </w:rPr>
        <w:t>2</w:t>
      </w:r>
      <w:r w:rsidR="00D54821" w:rsidRPr="0050424C">
        <w:rPr>
          <w:rFonts w:ascii="Bookman Old Style" w:hAnsi="Bookman Old Style" w:cs="Arial"/>
        </w:rPr>
        <w:t xml:space="preserve">, la Comisión determinó una cuantía mínima óptima </w:t>
      </w:r>
      <w:r w:rsidR="00104A06">
        <w:rPr>
          <w:rFonts w:ascii="Bookman Old Style" w:hAnsi="Bookman Old Style" w:cs="Arial"/>
        </w:rPr>
        <w:t xml:space="preserve">hasta </w:t>
      </w:r>
      <w:r w:rsidR="00D54821" w:rsidRPr="0050424C">
        <w:rPr>
          <w:rFonts w:ascii="Bookman Old Style" w:hAnsi="Bookman Old Style" w:cs="Arial"/>
        </w:rPr>
        <w:t xml:space="preserve">de </w:t>
      </w:r>
      <w:r w:rsidR="0062044A">
        <w:rPr>
          <w:rFonts w:ascii="Bookman Old Style" w:hAnsi="Bookman Old Style" w:cs="Arial"/>
        </w:rPr>
        <w:t>ocho (8) UVT</w:t>
      </w:r>
      <w:r w:rsidR="00104A06">
        <w:rPr>
          <w:rFonts w:ascii="Bookman Old Style" w:hAnsi="Bookman Old Style" w:cs="Arial"/>
        </w:rPr>
        <w:t xml:space="preserve">, es decir, </w:t>
      </w:r>
      <w:r w:rsidR="00D54821" w:rsidRPr="0050424C">
        <w:rPr>
          <w:rFonts w:ascii="Bookman Old Style" w:hAnsi="Bookman Old Style" w:cs="Arial"/>
        </w:rPr>
        <w:t>$</w:t>
      </w:r>
      <w:r w:rsidR="0062044A">
        <w:rPr>
          <w:rFonts w:ascii="Bookman Old Style" w:hAnsi="Bookman Old Style" w:cs="Arial"/>
        </w:rPr>
        <w:t>304</w:t>
      </w:r>
      <w:r w:rsidR="00D54821" w:rsidRPr="0050424C">
        <w:rPr>
          <w:rFonts w:ascii="Bookman Old Style" w:hAnsi="Bookman Old Style" w:cs="Arial"/>
        </w:rPr>
        <w:t>,</w:t>
      </w:r>
      <w:r w:rsidR="0062044A">
        <w:rPr>
          <w:rFonts w:ascii="Bookman Old Style" w:hAnsi="Bookman Old Style" w:cs="Arial"/>
        </w:rPr>
        <w:t>0</w:t>
      </w:r>
      <w:r w:rsidR="00395F30">
        <w:rPr>
          <w:rFonts w:ascii="Bookman Old Style" w:hAnsi="Bookman Old Style" w:cs="Arial"/>
        </w:rPr>
        <w:t>00</w:t>
      </w:r>
      <w:r w:rsidR="00050EF7">
        <w:rPr>
          <w:rFonts w:ascii="Bookman Old Style" w:hAnsi="Bookman Old Style" w:cs="Arial"/>
        </w:rPr>
        <w:t>,</w:t>
      </w:r>
      <w:r w:rsidR="00D54821" w:rsidRPr="0050424C">
        <w:rPr>
          <w:rFonts w:ascii="Bookman Old Style" w:hAnsi="Bookman Old Style" w:cs="Arial"/>
        </w:rPr>
        <w:t xml:space="preserve"> por debajo de la cual </w:t>
      </w:r>
      <w:r w:rsidR="00D54821">
        <w:rPr>
          <w:rFonts w:ascii="Bookman Old Style" w:hAnsi="Bookman Old Style" w:cs="Arial"/>
        </w:rPr>
        <w:t xml:space="preserve">no </w:t>
      </w:r>
      <w:r w:rsidR="00D54821" w:rsidRPr="0050424C">
        <w:rPr>
          <w:rFonts w:ascii="Bookman Old Style" w:hAnsi="Bookman Old Style" w:cs="Arial"/>
        </w:rPr>
        <w:t>resulta eficiente</w:t>
      </w:r>
      <w:r w:rsidR="00D54821">
        <w:rPr>
          <w:rFonts w:ascii="Bookman Old Style" w:hAnsi="Bookman Old Style" w:cs="Arial"/>
        </w:rPr>
        <w:t xml:space="preserve"> ni rentable</w:t>
      </w:r>
      <w:r w:rsidR="00D54821" w:rsidRPr="0050424C">
        <w:rPr>
          <w:rFonts w:ascii="Bookman Old Style" w:hAnsi="Bookman Old Style" w:cs="Arial"/>
        </w:rPr>
        <w:t xml:space="preserve"> liquidar la contribución especial a los sujetos pasivos.</w:t>
      </w:r>
    </w:p>
    <w:p w14:paraId="146DF63C" w14:textId="09C5D97E" w:rsidR="00104A06" w:rsidRDefault="00104A06" w:rsidP="00D54821">
      <w:pPr>
        <w:ind w:left="0"/>
        <w:jc w:val="both"/>
        <w:rPr>
          <w:rFonts w:ascii="Bookman Old Style" w:hAnsi="Bookman Old Style" w:cs="Arial"/>
        </w:rPr>
      </w:pPr>
    </w:p>
    <w:p w14:paraId="209762E8" w14:textId="4E763EAE" w:rsidR="00716079" w:rsidRDefault="00297A12" w:rsidP="00DA7611">
      <w:pPr>
        <w:ind w:left="0"/>
        <w:jc w:val="both"/>
        <w:rPr>
          <w:rFonts w:ascii="Bookman Old Style" w:hAnsi="Bookman Old Style" w:cs="Arial"/>
          <w:bCs/>
        </w:rPr>
      </w:pPr>
      <w:r>
        <w:rPr>
          <w:rFonts w:ascii="Bookman Old Style" w:hAnsi="Bookman Old Style" w:cs="Arial"/>
          <w:b/>
        </w:rPr>
        <w:t xml:space="preserve">ARTÍCULO </w:t>
      </w:r>
      <w:r w:rsidR="00D54821">
        <w:rPr>
          <w:rFonts w:ascii="Bookman Old Style" w:hAnsi="Bookman Old Style" w:cs="Arial"/>
          <w:b/>
        </w:rPr>
        <w:t>3</w:t>
      </w:r>
      <w:r>
        <w:rPr>
          <w:rFonts w:ascii="Bookman Old Style" w:hAnsi="Bookman Old Style" w:cs="Arial"/>
          <w:b/>
        </w:rPr>
        <w:t>. NO REPORTANTES</w:t>
      </w:r>
      <w:r w:rsidR="00D54821">
        <w:rPr>
          <w:rFonts w:ascii="Bookman Old Style" w:hAnsi="Bookman Old Style" w:cs="Arial"/>
          <w:b/>
        </w:rPr>
        <w:t xml:space="preserve">, </w:t>
      </w:r>
      <w:r>
        <w:rPr>
          <w:rFonts w:ascii="Bookman Old Style" w:hAnsi="Bookman Old Style" w:cs="Arial"/>
          <w:b/>
        </w:rPr>
        <w:t>OMISOS</w:t>
      </w:r>
      <w:r w:rsidR="00D54821">
        <w:rPr>
          <w:rFonts w:ascii="Bookman Old Style" w:hAnsi="Bookman Old Style" w:cs="Arial"/>
          <w:b/>
        </w:rPr>
        <w:t xml:space="preserve"> Y MOROSOS</w:t>
      </w:r>
      <w:r>
        <w:rPr>
          <w:rFonts w:ascii="Bookman Old Style" w:hAnsi="Bookman Old Style" w:cs="Arial"/>
          <w:b/>
        </w:rPr>
        <w:t xml:space="preserve">. </w:t>
      </w:r>
      <w:r w:rsidR="008D4657">
        <w:rPr>
          <w:rFonts w:ascii="Bookman Old Style" w:hAnsi="Bookman Old Style" w:cs="Arial"/>
          <w:bCs/>
        </w:rPr>
        <w:t>L</w:t>
      </w:r>
      <w:r w:rsidR="008E73C0">
        <w:rPr>
          <w:rFonts w:ascii="Bookman Old Style" w:hAnsi="Bookman Old Style" w:cs="Arial"/>
          <w:bCs/>
        </w:rPr>
        <w:t xml:space="preserve">as personas sujetas a la regulación de la Comisión </w:t>
      </w:r>
      <w:r w:rsidR="00D37F55">
        <w:rPr>
          <w:rFonts w:ascii="Bookman Old Style" w:hAnsi="Bookman Old Style" w:cs="Arial"/>
          <w:bCs/>
        </w:rPr>
        <w:t xml:space="preserve">que </w:t>
      </w:r>
      <w:r w:rsidR="00716079" w:rsidRPr="00716079">
        <w:rPr>
          <w:rFonts w:ascii="Bookman Old Style" w:hAnsi="Bookman Old Style" w:cs="Arial"/>
          <w:bCs/>
        </w:rPr>
        <w:t>no reportaron la informació</w:t>
      </w:r>
      <w:r w:rsidR="00104A06">
        <w:rPr>
          <w:rFonts w:ascii="Bookman Old Style" w:hAnsi="Bookman Old Style" w:cs="Arial"/>
          <w:bCs/>
        </w:rPr>
        <w:t>n financiera de la vigencia 2021</w:t>
      </w:r>
      <w:r w:rsidR="00591856">
        <w:rPr>
          <w:rFonts w:ascii="Bookman Old Style" w:hAnsi="Bookman Old Style" w:cs="Arial"/>
          <w:bCs/>
        </w:rPr>
        <w:t xml:space="preserve">, base para la </w:t>
      </w:r>
      <w:r w:rsidR="003013D7">
        <w:rPr>
          <w:rFonts w:ascii="Bookman Old Style" w:hAnsi="Bookman Old Style" w:cs="Arial"/>
          <w:bCs/>
        </w:rPr>
        <w:t xml:space="preserve">liquidación de la </w:t>
      </w:r>
      <w:r w:rsidR="00591856">
        <w:rPr>
          <w:rFonts w:ascii="Bookman Old Style" w:hAnsi="Bookman Old Style" w:cs="Arial"/>
          <w:bCs/>
        </w:rPr>
        <w:t>contribución 2022</w:t>
      </w:r>
      <w:r w:rsidR="00716079" w:rsidRPr="00716079">
        <w:rPr>
          <w:rFonts w:ascii="Bookman Old Style" w:hAnsi="Bookman Old Style" w:cs="Arial"/>
          <w:bCs/>
        </w:rPr>
        <w:t>, serán tratad</w:t>
      </w:r>
      <w:r w:rsidR="00D37F55">
        <w:rPr>
          <w:rFonts w:ascii="Bookman Old Style" w:hAnsi="Bookman Old Style" w:cs="Arial"/>
          <w:bCs/>
        </w:rPr>
        <w:t>as</w:t>
      </w:r>
      <w:r w:rsidR="00716079" w:rsidRPr="00716079">
        <w:rPr>
          <w:rFonts w:ascii="Bookman Old Style" w:hAnsi="Bookman Old Style" w:cs="Arial"/>
          <w:bCs/>
        </w:rPr>
        <w:t xml:space="preserve"> como omis</w:t>
      </w:r>
      <w:r w:rsidR="00D37F55">
        <w:rPr>
          <w:rFonts w:ascii="Bookman Old Style" w:hAnsi="Bookman Old Style" w:cs="Arial"/>
          <w:bCs/>
        </w:rPr>
        <w:t>as</w:t>
      </w:r>
      <w:r w:rsidR="00050EF7">
        <w:rPr>
          <w:rFonts w:ascii="Bookman Old Style" w:hAnsi="Bookman Old Style" w:cs="Arial"/>
          <w:bCs/>
        </w:rPr>
        <w:t>,</w:t>
      </w:r>
      <w:r w:rsidR="00716079" w:rsidRPr="00716079">
        <w:rPr>
          <w:rFonts w:ascii="Bookman Old Style" w:hAnsi="Bookman Old Style" w:cs="Arial"/>
          <w:bCs/>
        </w:rPr>
        <w:t xml:space="preserve"> serán requeridos en fiscalización y se ajustará</w:t>
      </w:r>
      <w:r w:rsidR="008248FE">
        <w:rPr>
          <w:rFonts w:ascii="Bookman Old Style" w:hAnsi="Bookman Old Style" w:cs="Arial"/>
          <w:bCs/>
        </w:rPr>
        <w:t>n</w:t>
      </w:r>
      <w:r w:rsidR="00203A71">
        <w:rPr>
          <w:rFonts w:ascii="Bookman Old Style" w:hAnsi="Bookman Old Style" w:cs="Arial"/>
          <w:bCs/>
        </w:rPr>
        <w:t xml:space="preserve"> a</w:t>
      </w:r>
      <w:r w:rsidR="00716079" w:rsidRPr="00716079">
        <w:rPr>
          <w:rFonts w:ascii="Bookman Old Style" w:hAnsi="Bookman Old Style" w:cs="Arial"/>
          <w:bCs/>
        </w:rPr>
        <w:t xml:space="preserve"> la contribución especial </w:t>
      </w:r>
      <w:r w:rsidR="00A95EA3">
        <w:rPr>
          <w:rFonts w:ascii="Bookman Old Style" w:hAnsi="Bookman Old Style" w:cs="Arial"/>
          <w:bCs/>
        </w:rPr>
        <w:t>liquidad</w:t>
      </w:r>
      <w:r w:rsidR="003013D7">
        <w:rPr>
          <w:rFonts w:ascii="Bookman Old Style" w:hAnsi="Bookman Old Style" w:cs="Arial"/>
          <w:bCs/>
        </w:rPr>
        <w:t>a</w:t>
      </w:r>
      <w:r w:rsidR="00A95EA3">
        <w:rPr>
          <w:rFonts w:ascii="Bookman Old Style" w:hAnsi="Bookman Old Style" w:cs="Arial"/>
          <w:bCs/>
        </w:rPr>
        <w:t xml:space="preserve"> con base en sus </w:t>
      </w:r>
      <w:r w:rsidR="00716079" w:rsidRPr="00716079">
        <w:rPr>
          <w:rFonts w:ascii="Bookman Old Style" w:hAnsi="Bookman Old Style" w:cs="Arial"/>
          <w:bCs/>
        </w:rPr>
        <w:t>estados financieros auditados</w:t>
      </w:r>
      <w:r w:rsidR="00A95EA3">
        <w:rPr>
          <w:rFonts w:ascii="Bookman Old Style" w:hAnsi="Bookman Old Style" w:cs="Arial"/>
          <w:bCs/>
        </w:rPr>
        <w:t xml:space="preserve"> o</w:t>
      </w:r>
      <w:r w:rsidR="00A95EA3" w:rsidRPr="00A95EA3">
        <w:rPr>
          <w:rFonts w:ascii="Bookman Old Style" w:hAnsi="Bookman Old Style" w:cs="Arial"/>
          <w:bCs/>
        </w:rPr>
        <w:t xml:space="preserve"> se les tomará como base la última información financiera reportada y certificada al SUI, la cual será indexada al 31 de diciembre de 2021, teniendo en cuenta la variación porcentual del IPC certificado por el DANE para los años objeto de indexación.</w:t>
      </w:r>
    </w:p>
    <w:p w14:paraId="5027DD2C" w14:textId="77777777" w:rsidR="00180B4B" w:rsidRDefault="00180B4B" w:rsidP="00DA7611">
      <w:pPr>
        <w:ind w:left="0"/>
        <w:jc w:val="both"/>
        <w:rPr>
          <w:rFonts w:ascii="Bookman Old Style" w:hAnsi="Bookman Old Style" w:cs="Arial"/>
          <w:bCs/>
        </w:rPr>
      </w:pPr>
    </w:p>
    <w:p w14:paraId="5F0E62E6" w14:textId="378F99ED" w:rsidR="002F31C8" w:rsidRDefault="00202031" w:rsidP="00DA7611">
      <w:pPr>
        <w:ind w:left="0"/>
        <w:jc w:val="both"/>
        <w:rPr>
          <w:rFonts w:ascii="Bookman Old Style" w:hAnsi="Bookman Old Style" w:cs="Arial"/>
          <w:bCs/>
        </w:rPr>
      </w:pPr>
      <w:r>
        <w:rPr>
          <w:rFonts w:ascii="Bookman Old Style" w:hAnsi="Bookman Old Style" w:cs="Arial"/>
          <w:b/>
        </w:rPr>
        <w:t>PARÁGRAFO</w:t>
      </w:r>
      <w:r w:rsidR="00D54821">
        <w:rPr>
          <w:rFonts w:ascii="Bookman Old Style" w:hAnsi="Bookman Old Style" w:cs="Arial"/>
          <w:b/>
        </w:rPr>
        <w:t xml:space="preserve"> 1</w:t>
      </w:r>
      <w:r>
        <w:rPr>
          <w:rFonts w:ascii="Bookman Old Style" w:hAnsi="Bookman Old Style" w:cs="Arial"/>
          <w:b/>
        </w:rPr>
        <w:t xml:space="preserve">. </w:t>
      </w:r>
      <w:r>
        <w:rPr>
          <w:rFonts w:ascii="Bookman Old Style" w:hAnsi="Bookman Old Style" w:cs="Arial"/>
          <w:bCs/>
        </w:rPr>
        <w:t>Son</w:t>
      </w:r>
      <w:r w:rsidR="00716079" w:rsidRPr="00716079">
        <w:rPr>
          <w:rFonts w:ascii="Bookman Old Style" w:hAnsi="Bookman Old Style" w:cs="Arial"/>
          <w:bCs/>
        </w:rPr>
        <w:t xml:space="preserve"> </w:t>
      </w:r>
      <w:r w:rsidR="00621F47">
        <w:rPr>
          <w:rFonts w:ascii="Bookman Old Style" w:hAnsi="Bookman Old Style" w:cs="Arial"/>
          <w:bCs/>
        </w:rPr>
        <w:t xml:space="preserve">contribuyentes omisos </w:t>
      </w:r>
      <w:r w:rsidR="00716079" w:rsidRPr="00716079">
        <w:rPr>
          <w:rFonts w:ascii="Bookman Old Style" w:hAnsi="Bookman Old Style" w:cs="Arial"/>
          <w:bCs/>
        </w:rPr>
        <w:t>aquell</w:t>
      </w:r>
      <w:r w:rsidR="00F44050">
        <w:rPr>
          <w:rFonts w:ascii="Bookman Old Style" w:hAnsi="Bookman Old Style" w:cs="Arial"/>
          <w:bCs/>
        </w:rPr>
        <w:t>o</w:t>
      </w:r>
      <w:r w:rsidR="00716079" w:rsidRPr="00716079">
        <w:rPr>
          <w:rFonts w:ascii="Bookman Old Style" w:hAnsi="Bookman Old Style" w:cs="Arial"/>
          <w:bCs/>
        </w:rPr>
        <w:t xml:space="preserve">s </w:t>
      </w:r>
      <w:r w:rsidR="001309FD">
        <w:rPr>
          <w:rFonts w:ascii="Bookman Old Style" w:hAnsi="Bookman Old Style" w:cs="Arial"/>
          <w:bCs/>
        </w:rPr>
        <w:t>a l</w:t>
      </w:r>
      <w:r w:rsidR="00F44050">
        <w:rPr>
          <w:rFonts w:ascii="Bookman Old Style" w:hAnsi="Bookman Old Style" w:cs="Arial"/>
          <w:bCs/>
        </w:rPr>
        <w:t>os</w:t>
      </w:r>
      <w:r w:rsidR="00BC31CF">
        <w:rPr>
          <w:rFonts w:ascii="Bookman Old Style" w:hAnsi="Bookman Old Style" w:cs="Arial"/>
          <w:bCs/>
        </w:rPr>
        <w:t xml:space="preserve"> que la CREG no les ha generado liquidación oficial para alguno de los últimos cinco </w:t>
      </w:r>
      <w:r w:rsidR="002558FB">
        <w:rPr>
          <w:rFonts w:ascii="Bookman Old Style" w:hAnsi="Bookman Old Style" w:cs="Arial"/>
          <w:bCs/>
        </w:rPr>
        <w:t xml:space="preserve">(5) </w:t>
      </w:r>
      <w:r w:rsidR="00BC31CF">
        <w:rPr>
          <w:rFonts w:ascii="Bookman Old Style" w:hAnsi="Bookman Old Style" w:cs="Arial"/>
          <w:bCs/>
        </w:rPr>
        <w:t>años</w:t>
      </w:r>
      <w:r w:rsidR="00715A16">
        <w:rPr>
          <w:rFonts w:ascii="Bookman Old Style" w:hAnsi="Bookman Old Style" w:cs="Arial"/>
          <w:bCs/>
        </w:rPr>
        <w:t xml:space="preserve"> debido</w:t>
      </w:r>
      <w:r w:rsidR="00716079" w:rsidRPr="00716079">
        <w:rPr>
          <w:rFonts w:ascii="Bookman Old Style" w:hAnsi="Bookman Old Style" w:cs="Arial"/>
          <w:bCs/>
        </w:rPr>
        <w:t xml:space="preserve"> </w:t>
      </w:r>
      <w:r w:rsidR="00C256DB">
        <w:rPr>
          <w:rFonts w:ascii="Bookman Old Style" w:hAnsi="Bookman Old Style" w:cs="Arial"/>
          <w:bCs/>
        </w:rPr>
        <w:t>a</w:t>
      </w:r>
      <w:r w:rsidR="00716079" w:rsidRPr="00716079">
        <w:rPr>
          <w:rFonts w:ascii="Bookman Old Style" w:hAnsi="Bookman Old Style" w:cs="Arial"/>
          <w:bCs/>
        </w:rPr>
        <w:t>l no reporte de estados financieros en el SUI de la SSPD</w:t>
      </w:r>
      <w:r w:rsidR="008C3FB6">
        <w:rPr>
          <w:rFonts w:ascii="Bookman Old Style" w:hAnsi="Bookman Old Style" w:cs="Arial"/>
          <w:bCs/>
        </w:rPr>
        <w:t xml:space="preserve">, </w:t>
      </w:r>
      <w:r w:rsidR="00024420">
        <w:rPr>
          <w:rFonts w:ascii="Bookman Old Style" w:hAnsi="Bookman Old Style" w:cs="Arial"/>
          <w:bCs/>
        </w:rPr>
        <w:t xml:space="preserve">al </w:t>
      </w:r>
      <w:r w:rsidR="008C3FB6">
        <w:rPr>
          <w:rFonts w:ascii="Bookman Old Style" w:hAnsi="Bookman Old Style" w:cs="Arial"/>
          <w:bCs/>
        </w:rPr>
        <w:t>ajuste en las cifras financieras reportadas</w:t>
      </w:r>
      <w:r w:rsidR="00716079" w:rsidRPr="00716079">
        <w:rPr>
          <w:rFonts w:ascii="Bookman Old Style" w:hAnsi="Bookman Old Style" w:cs="Arial"/>
          <w:bCs/>
        </w:rPr>
        <w:t xml:space="preserve"> o el </w:t>
      </w:r>
      <w:r w:rsidR="00ED198A">
        <w:rPr>
          <w:rFonts w:ascii="Bookman Old Style" w:hAnsi="Bookman Old Style" w:cs="Arial"/>
          <w:bCs/>
        </w:rPr>
        <w:t xml:space="preserve">no </w:t>
      </w:r>
      <w:r w:rsidR="00716079" w:rsidRPr="00716079">
        <w:rPr>
          <w:rFonts w:ascii="Bookman Old Style" w:hAnsi="Bookman Old Style" w:cs="Arial"/>
          <w:bCs/>
        </w:rPr>
        <w:t>registro en el RUPS</w:t>
      </w:r>
      <w:r w:rsidR="008C3FB6">
        <w:rPr>
          <w:rFonts w:ascii="Bookman Old Style" w:hAnsi="Bookman Old Style" w:cs="Arial"/>
          <w:bCs/>
        </w:rPr>
        <w:t>,</w:t>
      </w:r>
      <w:r w:rsidR="00716079" w:rsidRPr="00716079">
        <w:rPr>
          <w:rFonts w:ascii="Bookman Old Style" w:hAnsi="Bookman Old Style" w:cs="Arial"/>
          <w:bCs/>
        </w:rPr>
        <w:t xml:space="preserve"> </w:t>
      </w:r>
      <w:r w:rsidR="00024420" w:rsidRPr="00024420">
        <w:rPr>
          <w:rFonts w:ascii="Bookman Old Style" w:hAnsi="Bookman Old Style" w:cs="Arial"/>
          <w:bCs/>
        </w:rPr>
        <w:t>entre otras caus</w:t>
      </w:r>
      <w:r w:rsidR="00024420">
        <w:rPr>
          <w:rFonts w:ascii="Bookman Old Style" w:hAnsi="Bookman Old Style" w:cs="Arial"/>
          <w:bCs/>
        </w:rPr>
        <w:t>as.</w:t>
      </w:r>
    </w:p>
    <w:p w14:paraId="53E7B9BB" w14:textId="77777777" w:rsidR="007B0DC1" w:rsidRDefault="007B0DC1" w:rsidP="00716079">
      <w:pPr>
        <w:ind w:left="0"/>
        <w:rPr>
          <w:rFonts w:ascii="Bookman Old Style" w:hAnsi="Bookman Old Style" w:cs="Arial"/>
          <w:bCs/>
        </w:rPr>
      </w:pPr>
    </w:p>
    <w:p w14:paraId="5E75C4EB" w14:textId="45860EF1" w:rsidR="00716079" w:rsidRDefault="008C3FB6" w:rsidP="00DA7611">
      <w:pPr>
        <w:ind w:left="0"/>
        <w:jc w:val="both"/>
        <w:rPr>
          <w:rFonts w:ascii="Bookman Old Style" w:hAnsi="Bookman Old Style" w:cs="Arial"/>
          <w:bCs/>
        </w:rPr>
      </w:pPr>
      <w:r>
        <w:rPr>
          <w:rFonts w:ascii="Bookman Old Style" w:hAnsi="Bookman Old Style" w:cs="Arial"/>
          <w:bCs/>
        </w:rPr>
        <w:t xml:space="preserve">A estas empresas se les </w:t>
      </w:r>
      <w:r w:rsidR="00716079" w:rsidRPr="00716079">
        <w:rPr>
          <w:rFonts w:ascii="Bookman Old Style" w:hAnsi="Bookman Old Style" w:cs="Arial"/>
          <w:bCs/>
        </w:rPr>
        <w:t>liquidar</w:t>
      </w:r>
      <w:r w:rsidR="00C256DB">
        <w:rPr>
          <w:rFonts w:ascii="Bookman Old Style" w:hAnsi="Bookman Old Style" w:cs="Arial"/>
          <w:bCs/>
        </w:rPr>
        <w:t>á</w:t>
      </w:r>
      <w:r>
        <w:rPr>
          <w:rFonts w:ascii="Bookman Old Style" w:hAnsi="Bookman Old Style" w:cs="Arial"/>
          <w:bCs/>
        </w:rPr>
        <w:t xml:space="preserve"> su contribución especial</w:t>
      </w:r>
      <w:r w:rsidR="00716079" w:rsidRPr="00716079">
        <w:rPr>
          <w:rFonts w:ascii="Bookman Old Style" w:hAnsi="Bookman Old Style" w:cs="Arial"/>
          <w:bCs/>
        </w:rPr>
        <w:t xml:space="preserve"> </w:t>
      </w:r>
      <w:r w:rsidR="00A862D9">
        <w:rPr>
          <w:rFonts w:ascii="Bookman Old Style" w:hAnsi="Bookman Old Style" w:cs="Arial"/>
          <w:bCs/>
        </w:rPr>
        <w:t>de la respectiva vigencia</w:t>
      </w:r>
      <w:r w:rsidR="00716079" w:rsidRPr="00716079">
        <w:rPr>
          <w:rFonts w:ascii="Bookman Old Style" w:hAnsi="Bookman Old Style" w:cs="Arial"/>
          <w:bCs/>
        </w:rPr>
        <w:t xml:space="preserve"> </w:t>
      </w:r>
      <w:r w:rsidR="00716079">
        <w:rPr>
          <w:rFonts w:ascii="Bookman Old Style" w:hAnsi="Bookman Old Style" w:cs="Arial"/>
          <w:bCs/>
        </w:rPr>
        <w:t>con base en</w:t>
      </w:r>
      <w:r>
        <w:rPr>
          <w:rFonts w:ascii="Bookman Old Style" w:hAnsi="Bookman Old Style" w:cs="Arial"/>
          <w:bCs/>
        </w:rPr>
        <w:t xml:space="preserve"> la resolución que fijó la tarifa, </w:t>
      </w:r>
      <w:r w:rsidR="00716079">
        <w:rPr>
          <w:rFonts w:ascii="Bookman Old Style" w:hAnsi="Bookman Old Style" w:cs="Arial"/>
          <w:bCs/>
        </w:rPr>
        <w:t>la metodología para hallar la base gravable</w:t>
      </w:r>
      <w:r>
        <w:rPr>
          <w:rFonts w:ascii="Bookman Old Style" w:hAnsi="Bookman Old Style" w:cs="Arial"/>
          <w:bCs/>
        </w:rPr>
        <w:t xml:space="preserve"> </w:t>
      </w:r>
      <w:r w:rsidR="00BB4AA6">
        <w:rPr>
          <w:rFonts w:ascii="Bookman Old Style" w:hAnsi="Bookman Old Style" w:cs="Arial"/>
          <w:bCs/>
        </w:rPr>
        <w:t>y la porción de gastos operativ</w:t>
      </w:r>
      <w:r w:rsidR="006539EE">
        <w:rPr>
          <w:rFonts w:ascii="Bookman Old Style" w:hAnsi="Bookman Old Style" w:cs="Arial"/>
          <w:bCs/>
        </w:rPr>
        <w:t xml:space="preserve">os </w:t>
      </w:r>
      <w:r w:rsidR="00011C29">
        <w:rPr>
          <w:rFonts w:ascii="Bookman Old Style" w:hAnsi="Bookman Old Style" w:cs="Arial"/>
          <w:bCs/>
        </w:rPr>
        <w:t xml:space="preserve">en el caso de </w:t>
      </w:r>
      <w:r>
        <w:rPr>
          <w:rFonts w:ascii="Bookman Old Style" w:hAnsi="Bookman Old Style" w:cs="Arial"/>
          <w:bCs/>
        </w:rPr>
        <w:t>que fuero</w:t>
      </w:r>
      <w:r w:rsidR="00011C29">
        <w:rPr>
          <w:rFonts w:ascii="Bookman Old Style" w:hAnsi="Bookman Old Style" w:cs="Arial"/>
          <w:bCs/>
        </w:rPr>
        <w:t>n indispensables</w:t>
      </w:r>
      <w:r w:rsidR="006539EE">
        <w:rPr>
          <w:rFonts w:ascii="Bookman Old Style" w:hAnsi="Bookman Old Style" w:cs="Arial"/>
          <w:bCs/>
        </w:rPr>
        <w:t xml:space="preserve"> para compl</w:t>
      </w:r>
      <w:r w:rsidR="00011C29">
        <w:rPr>
          <w:rFonts w:ascii="Bookman Old Style" w:hAnsi="Bookman Old Style" w:cs="Arial"/>
          <w:bCs/>
        </w:rPr>
        <w:t>etar el presupuesto de la CREG de la vigencia correspondiente de revisión o fiscalización.</w:t>
      </w:r>
    </w:p>
    <w:p w14:paraId="65F7A665" w14:textId="77777777" w:rsidR="002F31C8" w:rsidRDefault="002F31C8" w:rsidP="00716079">
      <w:pPr>
        <w:ind w:left="0"/>
        <w:rPr>
          <w:rFonts w:ascii="Bookman Old Style" w:hAnsi="Bookman Old Style" w:cs="Arial"/>
          <w:bCs/>
        </w:rPr>
      </w:pPr>
    </w:p>
    <w:p w14:paraId="2F828A05" w14:textId="030BC2E8" w:rsidR="0086405F" w:rsidRDefault="000848C5" w:rsidP="000848C5">
      <w:pPr>
        <w:ind w:left="0"/>
        <w:jc w:val="both"/>
        <w:rPr>
          <w:rFonts w:ascii="Bookman Old Style" w:hAnsi="Bookman Old Style" w:cs="Arial"/>
        </w:rPr>
      </w:pPr>
      <w:r>
        <w:rPr>
          <w:rFonts w:ascii="Bookman Old Style" w:hAnsi="Bookman Old Style" w:cs="Arial"/>
          <w:b/>
          <w:bCs/>
        </w:rPr>
        <w:t xml:space="preserve">PARÁGRAFO </w:t>
      </w:r>
      <w:r w:rsidR="00D54821">
        <w:rPr>
          <w:rFonts w:ascii="Bookman Old Style" w:hAnsi="Bookman Old Style" w:cs="Arial"/>
          <w:b/>
          <w:bCs/>
        </w:rPr>
        <w:t>2</w:t>
      </w:r>
      <w:r>
        <w:rPr>
          <w:rFonts w:ascii="Bookman Old Style" w:hAnsi="Bookman Old Style" w:cs="Arial"/>
          <w:b/>
          <w:bCs/>
        </w:rPr>
        <w:t xml:space="preserve">. </w:t>
      </w:r>
      <w:r w:rsidR="00104A06" w:rsidRPr="00104A06">
        <w:rPr>
          <w:rFonts w:ascii="Bookman Old Style" w:hAnsi="Bookman Old Style" w:cs="Arial"/>
          <w:bCs/>
        </w:rPr>
        <w:t>La liquidación oficial presta mérito ejecutivo conforme con lo dispuesto en el artículo 99 de la Ley 1437 de 2011. La falta de pago o pago extemporáneo de la contribución especial dará lugar a la aplicación del régimen de sanción por mora prevista en la Ley 1066 de 2006, modificada por la Ley 1438 de 2011, Ley 1537 de 2012, Ley 1819 de 2016 y demás normas que la adicionen o modifiquen.</w:t>
      </w:r>
      <w:r w:rsidR="00104A06" w:rsidRPr="00104A06">
        <w:rPr>
          <w:rFonts w:ascii="Bookman Old Style" w:hAnsi="Bookman Old Style" w:cs="Arial"/>
          <w:b/>
          <w:bCs/>
        </w:rPr>
        <w:t xml:space="preserve"> </w:t>
      </w:r>
      <w:r w:rsidR="00BC4A8E" w:rsidRPr="00B801E6">
        <w:rPr>
          <w:rFonts w:ascii="Bookman Old Style" w:hAnsi="Bookman Old Style" w:cs="Arial"/>
          <w:bCs/>
          <w:lang w:val="es-CO"/>
        </w:rPr>
        <w:t>Se aplicará el mismo régimen de sanción por mora</w:t>
      </w:r>
      <w:r w:rsidR="00BC4A8E">
        <w:rPr>
          <w:rFonts w:ascii="Bookman Old Style" w:hAnsi="Bookman Old Style" w:cs="Arial"/>
          <w:bCs/>
          <w:lang w:val="es-CO"/>
        </w:rPr>
        <w:t xml:space="preserve"> y liquidación de intereses de mora establecidos</w:t>
      </w:r>
      <w:r w:rsidR="00BC4A8E" w:rsidRPr="00B801E6">
        <w:rPr>
          <w:rFonts w:ascii="Bookman Old Style" w:hAnsi="Bookman Old Style" w:cs="Arial"/>
          <w:bCs/>
          <w:lang w:val="es-CO"/>
        </w:rPr>
        <w:t xml:space="preserve"> </w:t>
      </w:r>
      <w:r w:rsidR="00BC4A8E">
        <w:rPr>
          <w:rFonts w:ascii="Bookman Old Style" w:hAnsi="Bookman Old Style" w:cs="Arial"/>
          <w:bCs/>
          <w:lang w:val="es-CO"/>
        </w:rPr>
        <w:t xml:space="preserve">en el Estatuto Tributario Nacional </w:t>
      </w:r>
      <w:r w:rsidR="00BC4A8E" w:rsidRPr="00B801E6">
        <w:rPr>
          <w:rFonts w:ascii="Bookman Old Style" w:hAnsi="Bookman Old Style" w:cs="Arial"/>
          <w:bCs/>
          <w:lang w:val="es-CO"/>
        </w:rPr>
        <w:t>para el impuesto sobre la renta y complementarios</w:t>
      </w:r>
      <w:r w:rsidR="00BC4A8E">
        <w:rPr>
          <w:rFonts w:ascii="Bookman Old Style" w:hAnsi="Bookman Old Style" w:cs="Arial"/>
          <w:bCs/>
          <w:lang w:val="es-CO"/>
        </w:rPr>
        <w:t>.</w:t>
      </w:r>
      <w:r w:rsidR="00BC4A8E">
        <w:rPr>
          <w:rFonts w:ascii="Bookman Old Style" w:hAnsi="Bookman Old Style" w:cs="Arial"/>
        </w:rPr>
        <w:t xml:space="preserve"> </w:t>
      </w:r>
    </w:p>
    <w:p w14:paraId="18048402" w14:textId="77777777" w:rsidR="0086405F" w:rsidRDefault="0086405F" w:rsidP="000848C5">
      <w:pPr>
        <w:ind w:left="0"/>
        <w:jc w:val="both"/>
        <w:rPr>
          <w:rFonts w:ascii="Bookman Old Style" w:hAnsi="Bookman Old Style" w:cs="Arial"/>
        </w:rPr>
      </w:pPr>
    </w:p>
    <w:p w14:paraId="2056723A" w14:textId="3DF5C147" w:rsidR="000848C5" w:rsidRDefault="000848C5" w:rsidP="000848C5">
      <w:pPr>
        <w:ind w:left="0"/>
        <w:jc w:val="both"/>
        <w:rPr>
          <w:rFonts w:ascii="Bookman Old Style" w:hAnsi="Bookman Old Style" w:cs="Arial"/>
        </w:rPr>
      </w:pPr>
      <w:r>
        <w:rPr>
          <w:rFonts w:ascii="Bookman Old Style" w:hAnsi="Bookman Old Style" w:cs="Arial"/>
        </w:rPr>
        <w:lastRenderedPageBreak/>
        <w:t>Se reportará a</w:t>
      </w:r>
      <w:r w:rsidRPr="00C4627C">
        <w:rPr>
          <w:rFonts w:ascii="Bookman Old Style" w:hAnsi="Bookman Old Style" w:cs="Arial"/>
        </w:rPr>
        <w:t xml:space="preserve">l Boletín de Deudores Morosos del Estado </w:t>
      </w:r>
      <w:r>
        <w:rPr>
          <w:rFonts w:ascii="Bookman Old Style" w:hAnsi="Bookman Old Style" w:cs="Arial"/>
        </w:rPr>
        <w:t>(</w:t>
      </w:r>
      <w:r w:rsidRPr="00C4627C">
        <w:rPr>
          <w:rFonts w:ascii="Bookman Old Style" w:hAnsi="Bookman Old Style" w:cs="Arial"/>
        </w:rPr>
        <w:t>BDME</w:t>
      </w:r>
      <w:r>
        <w:rPr>
          <w:rFonts w:ascii="Bookman Old Style" w:hAnsi="Bookman Old Style" w:cs="Arial"/>
        </w:rPr>
        <w:t xml:space="preserve">) de la </w:t>
      </w:r>
      <w:r w:rsidRPr="00C4627C">
        <w:rPr>
          <w:rFonts w:ascii="Bookman Old Style" w:hAnsi="Bookman Old Style" w:cs="Arial"/>
        </w:rPr>
        <w:t>Co</w:t>
      </w:r>
      <w:r>
        <w:rPr>
          <w:rFonts w:ascii="Bookman Old Style" w:hAnsi="Bookman Old Style" w:cs="Arial"/>
        </w:rPr>
        <w:t>ntaduría General de la Nación (</w:t>
      </w:r>
      <w:r w:rsidRPr="00C4627C">
        <w:rPr>
          <w:rFonts w:ascii="Bookman Old Style" w:hAnsi="Bookman Old Style" w:cs="Arial"/>
        </w:rPr>
        <w:t>CGN</w:t>
      </w:r>
      <w:r>
        <w:rPr>
          <w:rFonts w:ascii="Bookman Old Style" w:hAnsi="Bookman Old Style" w:cs="Arial"/>
        </w:rPr>
        <w:t>)</w:t>
      </w:r>
      <w:r w:rsidRPr="00C4627C">
        <w:rPr>
          <w:rFonts w:ascii="Bookman Old Style" w:hAnsi="Bookman Old Style" w:cs="Arial"/>
        </w:rPr>
        <w:t>,</w:t>
      </w:r>
      <w:r>
        <w:rPr>
          <w:rFonts w:ascii="Bookman Old Style" w:hAnsi="Bookman Old Style" w:cs="Arial"/>
        </w:rPr>
        <w:t xml:space="preserve"> </w:t>
      </w:r>
      <w:r w:rsidRPr="00C4627C">
        <w:rPr>
          <w:rFonts w:ascii="Bookman Old Style" w:hAnsi="Bookman Old Style" w:cs="Arial"/>
        </w:rPr>
        <w:t>las personas naturales y jurídicas que</w:t>
      </w:r>
      <w:r>
        <w:rPr>
          <w:rFonts w:ascii="Bookman Old Style" w:hAnsi="Bookman Old Style" w:cs="Arial"/>
        </w:rPr>
        <w:t>,</w:t>
      </w:r>
      <w:r w:rsidRPr="00C4627C">
        <w:rPr>
          <w:rFonts w:ascii="Bookman Old Style" w:hAnsi="Bookman Old Style" w:cs="Arial"/>
        </w:rPr>
        <w:t xml:space="preserve"> a cualquier título, a una fecha de corte, tienen contraída una obligación </w:t>
      </w:r>
      <w:r>
        <w:rPr>
          <w:rFonts w:ascii="Bookman Old Style" w:hAnsi="Bookman Old Style" w:cs="Arial"/>
        </w:rPr>
        <w:t xml:space="preserve">en mora a favor de la CREG, según lo dispuesto y en las condiciones establecidas en </w:t>
      </w:r>
      <w:r w:rsidRPr="00C4627C">
        <w:rPr>
          <w:rFonts w:ascii="Bookman Old Style" w:hAnsi="Bookman Old Style" w:cs="Arial"/>
        </w:rPr>
        <w:t>el parágrafo 3º del artículo 2º de la Ley 901 de 2004, y del numeral 5º del Art</w:t>
      </w:r>
      <w:r>
        <w:rPr>
          <w:rFonts w:ascii="Bookman Old Style" w:hAnsi="Bookman Old Style" w:cs="Arial"/>
        </w:rPr>
        <w:t>ículo</w:t>
      </w:r>
      <w:r w:rsidRPr="00C4627C">
        <w:rPr>
          <w:rFonts w:ascii="Bookman Old Style" w:hAnsi="Bookman Old Style" w:cs="Arial"/>
        </w:rPr>
        <w:t xml:space="preserve"> 2º de la Ley 1066 de 2006</w:t>
      </w:r>
      <w:r>
        <w:rPr>
          <w:rFonts w:ascii="Bookman Old Style" w:hAnsi="Bookman Old Style" w:cs="Arial"/>
        </w:rPr>
        <w:t>;</w:t>
      </w:r>
      <w:r w:rsidRPr="00C4627C">
        <w:rPr>
          <w:rFonts w:ascii="Bookman Old Style" w:hAnsi="Bookman Old Style" w:cs="Arial"/>
        </w:rPr>
        <w:t xml:space="preserve"> </w:t>
      </w:r>
      <w:r>
        <w:rPr>
          <w:rFonts w:ascii="Bookman Old Style" w:hAnsi="Bookman Old Style" w:cs="Arial"/>
        </w:rPr>
        <w:t>a través del</w:t>
      </w:r>
      <w:r w:rsidRPr="00C4627C">
        <w:rPr>
          <w:rFonts w:ascii="Bookman Old Style" w:hAnsi="Bookman Old Style" w:cs="Arial"/>
        </w:rPr>
        <w:t xml:space="preserve"> sistema CHIP</w:t>
      </w:r>
      <w:r>
        <w:rPr>
          <w:rFonts w:ascii="Bookman Old Style" w:hAnsi="Bookman Old Style" w:cs="Arial"/>
        </w:rPr>
        <w:t xml:space="preserve"> de la CGN</w:t>
      </w:r>
      <w:r w:rsidRPr="00C4627C">
        <w:rPr>
          <w:rFonts w:ascii="Bookman Old Style" w:hAnsi="Bookman Old Style" w:cs="Arial"/>
        </w:rPr>
        <w:t xml:space="preserve">, en los </w:t>
      </w:r>
      <w:r>
        <w:rPr>
          <w:rFonts w:ascii="Bookman Old Style" w:hAnsi="Bookman Old Style" w:cs="Arial"/>
        </w:rPr>
        <w:t>diez (</w:t>
      </w:r>
      <w:r w:rsidRPr="00C4627C">
        <w:rPr>
          <w:rFonts w:ascii="Bookman Old Style" w:hAnsi="Bookman Old Style" w:cs="Arial"/>
        </w:rPr>
        <w:t>10</w:t>
      </w:r>
      <w:r>
        <w:rPr>
          <w:rFonts w:ascii="Bookman Old Style" w:hAnsi="Bookman Old Style" w:cs="Arial"/>
        </w:rPr>
        <w:t>)</w:t>
      </w:r>
      <w:r w:rsidRPr="00C4627C">
        <w:rPr>
          <w:rFonts w:ascii="Bookman Old Style" w:hAnsi="Bookman Old Style" w:cs="Arial"/>
        </w:rPr>
        <w:t xml:space="preserve"> primeros días de los meses de junio y de diciembre</w:t>
      </w:r>
      <w:r>
        <w:rPr>
          <w:rFonts w:ascii="Bookman Old Style" w:hAnsi="Bookman Old Style" w:cs="Arial"/>
        </w:rPr>
        <w:t>,</w:t>
      </w:r>
      <w:r w:rsidRPr="00C4627C">
        <w:rPr>
          <w:rFonts w:ascii="Bookman Old Style" w:hAnsi="Bookman Old Style" w:cs="Arial"/>
        </w:rPr>
        <w:t xml:space="preserve"> con fecha de corte </w:t>
      </w:r>
      <w:r>
        <w:rPr>
          <w:rFonts w:ascii="Bookman Old Style" w:hAnsi="Bookman Old Style" w:cs="Arial"/>
        </w:rPr>
        <w:t xml:space="preserve">de obligación adeudada a </w:t>
      </w:r>
      <w:r w:rsidRPr="00C4627C">
        <w:rPr>
          <w:rFonts w:ascii="Bookman Old Style" w:hAnsi="Bookman Old Style" w:cs="Arial"/>
        </w:rPr>
        <w:t xml:space="preserve">31 de mayo y </w:t>
      </w:r>
      <w:r>
        <w:rPr>
          <w:rFonts w:ascii="Bookman Old Style" w:hAnsi="Bookman Old Style" w:cs="Arial"/>
        </w:rPr>
        <w:t>30 de noviembre respectivamente.</w:t>
      </w:r>
    </w:p>
    <w:p w14:paraId="3E26CAA5" w14:textId="42ABA32D" w:rsidR="00BC4A8E" w:rsidRDefault="00BC4A8E" w:rsidP="000848C5">
      <w:pPr>
        <w:ind w:left="0"/>
        <w:jc w:val="both"/>
        <w:rPr>
          <w:rFonts w:ascii="Bookman Old Style" w:hAnsi="Bookman Old Style" w:cs="Arial"/>
        </w:rPr>
      </w:pPr>
    </w:p>
    <w:p w14:paraId="695DF55D" w14:textId="6F6274E5" w:rsidR="00C5402D" w:rsidRDefault="00BC4A8E" w:rsidP="00BC4A8E">
      <w:pPr>
        <w:ind w:left="0"/>
        <w:jc w:val="both"/>
        <w:rPr>
          <w:rFonts w:ascii="Bookman Old Style" w:hAnsi="Bookman Old Style" w:cs="Arial"/>
        </w:rPr>
      </w:pPr>
      <w:r>
        <w:rPr>
          <w:rFonts w:ascii="Bookman Old Style" w:hAnsi="Bookman Old Style" w:cs="Arial"/>
          <w:b/>
          <w:bCs/>
        </w:rPr>
        <w:t xml:space="preserve">ARTÍCULO 4. VIGENCIA. </w:t>
      </w:r>
      <w:r w:rsidR="00C5402D" w:rsidRPr="00BC4A8E">
        <w:rPr>
          <w:rFonts w:ascii="Bookman Old Style" w:hAnsi="Bookman Old Style" w:cs="Arial"/>
        </w:rPr>
        <w:t xml:space="preserve">La presente resolución </w:t>
      </w:r>
      <w:r w:rsidR="00EC323E" w:rsidRPr="00BC4A8E">
        <w:rPr>
          <w:rFonts w:ascii="Bookman Old Style" w:hAnsi="Bookman Old Style" w:cs="Arial"/>
        </w:rPr>
        <w:t>entra en vigor</w:t>
      </w:r>
      <w:r w:rsidR="00C5402D" w:rsidRPr="00BC4A8E">
        <w:rPr>
          <w:rFonts w:ascii="Bookman Old Style" w:hAnsi="Bookman Old Style" w:cs="Arial"/>
        </w:rPr>
        <w:t xml:space="preserve"> una vez se publique en el </w:t>
      </w:r>
      <w:r w:rsidR="00C5402D" w:rsidRPr="00EC323E">
        <w:rPr>
          <w:rFonts w:ascii="Bookman Old Style" w:hAnsi="Bookman Old Style" w:cs="Arial"/>
          <w:i/>
          <w:iCs/>
        </w:rPr>
        <w:t>Diario Oficial</w:t>
      </w:r>
      <w:r w:rsidR="00C5402D" w:rsidRPr="00BC4A8E">
        <w:rPr>
          <w:rFonts w:ascii="Bookman Old Style" w:hAnsi="Bookman Old Style" w:cs="Arial"/>
        </w:rPr>
        <w:t>.</w:t>
      </w:r>
    </w:p>
    <w:p w14:paraId="1860708F" w14:textId="77777777" w:rsidR="00353572" w:rsidRPr="00BC4A8E" w:rsidRDefault="00353572" w:rsidP="00BC4A8E">
      <w:pPr>
        <w:ind w:left="0"/>
        <w:jc w:val="both"/>
        <w:rPr>
          <w:rFonts w:ascii="Bookman Old Style" w:hAnsi="Bookman Old Style" w:cs="Arial"/>
        </w:rPr>
      </w:pPr>
    </w:p>
    <w:p w14:paraId="295CBDAA" w14:textId="03580E66" w:rsidR="00BB3C8C" w:rsidRDefault="00BB3C8C" w:rsidP="00202031">
      <w:pPr>
        <w:ind w:left="0"/>
      </w:pPr>
    </w:p>
    <w:p w14:paraId="549AE84B" w14:textId="77777777" w:rsidR="00C5402D" w:rsidRPr="00A61EF1" w:rsidRDefault="00C5402D" w:rsidP="000A0E2C">
      <w:pPr>
        <w:jc w:val="center"/>
        <w:rPr>
          <w:rFonts w:ascii="Bookman Old Style" w:hAnsi="Bookman Old Style"/>
          <w:b/>
        </w:rPr>
      </w:pPr>
      <w:r w:rsidRPr="00A61EF1">
        <w:rPr>
          <w:rFonts w:ascii="Bookman Old Style" w:hAnsi="Bookman Old Style"/>
          <w:b/>
        </w:rPr>
        <w:t>PUBLÍQUESE Y CÚMPLASE</w:t>
      </w:r>
    </w:p>
    <w:p w14:paraId="2FBC46BA" w14:textId="77777777" w:rsidR="00607A41" w:rsidRDefault="00607A41" w:rsidP="000A0E2C">
      <w:pPr>
        <w:spacing w:line="259" w:lineRule="auto"/>
        <w:ind w:left="0"/>
        <w:rPr>
          <w:rFonts w:ascii="Bookman Old Style" w:hAnsi="Bookman Old Style"/>
        </w:rPr>
      </w:pPr>
    </w:p>
    <w:sectPr w:rsidR="00607A41" w:rsidSect="005A59EF">
      <w:headerReference w:type="even" r:id="rId16"/>
      <w:headerReference w:type="default" r:id="rId17"/>
      <w:footerReference w:type="even" r:id="rId18"/>
      <w:footerReference w:type="default" r:id="rId19"/>
      <w:headerReference w:type="first" r:id="rId20"/>
      <w:footerReference w:type="first" r:id="rId2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4177" w14:textId="77777777" w:rsidR="00C57859" w:rsidRDefault="00C57859">
      <w:r>
        <w:separator/>
      </w:r>
    </w:p>
  </w:endnote>
  <w:endnote w:type="continuationSeparator" w:id="0">
    <w:p w14:paraId="35A0DAF8" w14:textId="77777777" w:rsidR="00C57859" w:rsidRDefault="00C57859">
      <w:r>
        <w:continuationSeparator/>
      </w:r>
    </w:p>
  </w:endnote>
  <w:endnote w:type="continuationNotice" w:id="1">
    <w:p w14:paraId="68B21E86" w14:textId="77777777" w:rsidR="00C57859" w:rsidRDefault="00C57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4F66" w14:textId="77777777" w:rsidR="00AA5930" w:rsidRDefault="00AA59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66F7" w14:textId="77777777" w:rsidR="00AA5930" w:rsidRDefault="00AA59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E889" w14:textId="77777777" w:rsidR="00AA5930" w:rsidRDefault="00AA59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6336" w14:textId="77777777" w:rsidR="00C57859" w:rsidRDefault="00C57859">
      <w:r>
        <w:separator/>
      </w:r>
    </w:p>
  </w:footnote>
  <w:footnote w:type="continuationSeparator" w:id="0">
    <w:p w14:paraId="54B7A759" w14:textId="77777777" w:rsidR="00C57859" w:rsidRDefault="00C57859">
      <w:r>
        <w:continuationSeparator/>
      </w:r>
    </w:p>
  </w:footnote>
  <w:footnote w:type="continuationNotice" w:id="1">
    <w:p w14:paraId="0BDD6585" w14:textId="77777777" w:rsidR="00C57859" w:rsidRDefault="00C57859"/>
  </w:footnote>
  <w:footnote w:id="2">
    <w:p w14:paraId="0B0A2504" w14:textId="77777777" w:rsidR="00353572" w:rsidRPr="00484BB1" w:rsidRDefault="0035357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3">
    <w:p w14:paraId="1F3AAE59" w14:textId="77777777" w:rsidR="00353572" w:rsidRPr="00484BB1" w:rsidRDefault="0035357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medio del cual se expide el Decreto Único Reglamentario – DUR de las Normas de Contabilidad, de Información Financiera y Aseguramiento de la Información y se dictan otras disposiciones.</w:t>
      </w:r>
    </w:p>
  </w:footnote>
  <w:footnote w:id="4">
    <w:p w14:paraId="293F4009" w14:textId="77777777" w:rsidR="00353572" w:rsidRPr="00484BB1" w:rsidRDefault="0035357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5">
    <w:p w14:paraId="7A88597B" w14:textId="77777777" w:rsidR="00353572" w:rsidRPr="00484BB1" w:rsidRDefault="00353572" w:rsidP="000A0E2C">
      <w:pPr>
        <w:pStyle w:val="Textonotapie"/>
        <w:rPr>
          <w:rFonts w:ascii="Bookman Old Style" w:hAnsi="Bookman Old Style"/>
          <w:sz w:val="20"/>
        </w:rPr>
      </w:pPr>
      <w:r w:rsidRPr="00484BB1">
        <w:rPr>
          <w:rStyle w:val="Refdenotaalpie"/>
          <w:rFonts w:ascii="Bookman Old Style" w:hAnsi="Bookman Old Style"/>
          <w:sz w:val="20"/>
        </w:rPr>
        <w:footnoteRef/>
      </w:r>
      <w:r w:rsidRPr="00484BB1">
        <w:rPr>
          <w:rFonts w:ascii="Bookman Old Style" w:hAnsi="Bookman Old Style"/>
          <w:sz w:val="20"/>
        </w:rPr>
        <w:t xml:space="preserve"> Por la cual se incorpora en el Régimen de Contabilidad Pública, el marco normativo aplicable para algunas empresas sujetas a su ámbito y se dictan otras disposiciones.</w:t>
      </w:r>
    </w:p>
  </w:footnote>
  <w:footnote w:id="6">
    <w:p w14:paraId="5BDDB712" w14:textId="77777777" w:rsidR="00353572" w:rsidRPr="00667464" w:rsidRDefault="00353572" w:rsidP="000A0E2C">
      <w:pPr>
        <w:pStyle w:val="Textonotapie"/>
        <w:rPr>
          <w:rFonts w:ascii="Bookman Old Style" w:hAnsi="Bookman Old Style"/>
        </w:rPr>
      </w:pPr>
      <w:r w:rsidRPr="00484BB1">
        <w:rPr>
          <w:rStyle w:val="Refdenotaalpie"/>
          <w:rFonts w:ascii="Bookman Old Style" w:hAnsi="Bookman Old Style"/>
          <w:sz w:val="20"/>
        </w:rPr>
        <w:footnoteRef/>
      </w:r>
      <w:r w:rsidRPr="00484BB1">
        <w:rPr>
          <w:rFonts w:ascii="Bookman Old Style" w:hAnsi="Bookman Old Style"/>
          <w:sz w:val="20"/>
        </w:rPr>
        <w:t xml:space="preserve"> Por la cual se incorpora en el Régimen de Contabilidad Pública, el marco normativo aplicable a entidades de gobierno y se dictan otras disposiciones.</w:t>
      </w:r>
    </w:p>
  </w:footnote>
  <w:footnote w:id="7">
    <w:p w14:paraId="63C52340" w14:textId="461F3E11" w:rsidR="00353572" w:rsidRPr="00484BB1" w:rsidRDefault="00353572" w:rsidP="000A0E2C">
      <w:pPr>
        <w:pStyle w:val="Textonotapie"/>
        <w:rPr>
          <w:rFonts w:ascii="Bookman Old Style" w:hAnsi="Bookman Old Style"/>
          <w:sz w:val="20"/>
        </w:rPr>
      </w:pPr>
      <w:r w:rsidRPr="00484BB1">
        <w:rPr>
          <w:rStyle w:val="Refdenotaalpie"/>
          <w:rFonts w:ascii="Bookman Old Style" w:hAnsi="Bookman Old Style"/>
          <w:sz w:val="20"/>
        </w:rPr>
        <w:footnoteRef/>
      </w:r>
      <w:r>
        <w:rPr>
          <w:rFonts w:ascii="Bookman Old Style" w:hAnsi="Bookman Old Style"/>
          <w:sz w:val="20"/>
        </w:rPr>
        <w:t xml:space="preserve"> P</w:t>
      </w:r>
      <w:r w:rsidRPr="00484BB1">
        <w:rPr>
          <w:rFonts w:ascii="Bookman Old Style" w:hAnsi="Bookman Old Style"/>
          <w:sz w:val="20"/>
        </w:rPr>
        <w:t>or la cual se regula el marco normativo para empresas que coticen en el Mercado de Valores o que capten o administren ahorro del público.</w:t>
      </w:r>
    </w:p>
  </w:footnote>
  <w:footnote w:id="8">
    <w:p w14:paraId="1CE635CE" w14:textId="0F832715" w:rsidR="00353572" w:rsidRPr="00825371" w:rsidRDefault="00353572" w:rsidP="000A0E2C">
      <w:pPr>
        <w:pStyle w:val="Textonotapie"/>
      </w:pPr>
      <w:r w:rsidRPr="00484BB1">
        <w:rPr>
          <w:rStyle w:val="Refdenotaalpie"/>
          <w:rFonts w:ascii="Bookman Old Style" w:hAnsi="Bookman Old Style"/>
          <w:sz w:val="20"/>
        </w:rPr>
        <w:footnoteRef/>
      </w:r>
      <w:r w:rsidRPr="00484BB1">
        <w:rPr>
          <w:rFonts w:ascii="Bookman Old Style" w:hAnsi="Bookman Old Style"/>
          <w:sz w:val="20"/>
        </w:rPr>
        <w:t xml:space="preserve"> </w:t>
      </w:r>
      <w:r>
        <w:rPr>
          <w:rFonts w:ascii="Bookman Old Style" w:hAnsi="Bookman Old Style"/>
          <w:sz w:val="20"/>
        </w:rPr>
        <w:t xml:space="preserve">El </w:t>
      </w:r>
      <w:r w:rsidRPr="00484BB1">
        <w:rPr>
          <w:rFonts w:ascii="Bookman Old Style" w:hAnsi="Bookman Old Style"/>
          <w:sz w:val="20"/>
        </w:rPr>
        <w:t xml:space="preserve">Extensible Business </w:t>
      </w:r>
      <w:r w:rsidRPr="00484BB1">
        <w:rPr>
          <w:rFonts w:ascii="Bookman Old Style" w:hAnsi="Bookman Old Style"/>
          <w:sz w:val="20"/>
        </w:rPr>
        <w:t>Reporting Language</w:t>
      </w:r>
      <w:r>
        <w:rPr>
          <w:rFonts w:ascii="Bookman Old Style" w:hAnsi="Bookman Old Style"/>
          <w:sz w:val="20"/>
        </w:rPr>
        <w:t xml:space="preserve"> – XBRL</w:t>
      </w:r>
      <w:r w:rsidRPr="00484BB1">
        <w:rPr>
          <w:rFonts w:ascii="Bookman Old Style" w:hAnsi="Bookman Old Style"/>
          <w:sz w:val="20"/>
        </w:rPr>
        <w:t xml:space="preserve">, </w:t>
      </w:r>
      <w:r>
        <w:rPr>
          <w:rFonts w:ascii="Bookman Old Style" w:hAnsi="Bookman Old Style"/>
          <w:sz w:val="20"/>
        </w:rPr>
        <w:t xml:space="preserve">es un lenguaje </w:t>
      </w:r>
      <w:r w:rsidRPr="00484BB1">
        <w:rPr>
          <w:rFonts w:ascii="Bookman Old Style" w:hAnsi="Bookman Old Style"/>
          <w:sz w:val="20"/>
        </w:rPr>
        <w:t xml:space="preserve">desarrollado </w:t>
      </w:r>
      <w:r>
        <w:rPr>
          <w:rFonts w:ascii="Bookman Old Style" w:hAnsi="Bookman Old Style"/>
          <w:sz w:val="20"/>
        </w:rPr>
        <w:t xml:space="preserve">a partir del XML </w:t>
      </w:r>
      <w:r w:rsidRPr="00484BB1">
        <w:rPr>
          <w:rFonts w:ascii="Bookman Old Style" w:hAnsi="Bookman Old Style"/>
          <w:sz w:val="20"/>
        </w:rPr>
        <w:t>para simplificar la automatización del intercambio con la estandarización de la información financiera a reportar media</w:t>
      </w:r>
      <w:r>
        <w:rPr>
          <w:rFonts w:ascii="Bookman Old Style" w:hAnsi="Bookman Old Style"/>
          <w:sz w:val="20"/>
        </w:rPr>
        <w:t>nte la definición de taxonomías.</w:t>
      </w:r>
    </w:p>
  </w:footnote>
  <w:footnote w:id="9">
    <w:p w14:paraId="6EA70A55" w14:textId="77777777" w:rsidR="00353572" w:rsidRPr="00484BB1" w:rsidRDefault="00353572" w:rsidP="00FA674B">
      <w:pPr>
        <w:pStyle w:val="Textonotapie"/>
      </w:pPr>
      <w:r>
        <w:rPr>
          <w:rStyle w:val="Refdenotaalpie"/>
        </w:rPr>
        <w:footnoteRef/>
      </w:r>
      <w:r>
        <w:t xml:space="preserve"> </w:t>
      </w:r>
      <w:r w:rsidRPr="00484BB1">
        <w:rPr>
          <w:rFonts w:ascii="Bookman Old Style" w:hAnsi="Bookman Old Style"/>
          <w:sz w:val="20"/>
        </w:rPr>
        <w:t>https://www.superservicios.gov.co/system/files/2022-09/Resolucion-20221000627655-del-16-de-junio.pdf</w:t>
      </w:r>
    </w:p>
  </w:footnote>
  <w:footnote w:id="10">
    <w:p w14:paraId="3B5FCA9C" w14:textId="614DF4C3" w:rsidR="00353572" w:rsidRPr="00B277BB" w:rsidRDefault="00353572">
      <w:pPr>
        <w:pStyle w:val="Textonotapie"/>
        <w:rPr>
          <w:sz w:val="20"/>
        </w:rPr>
      </w:pPr>
      <w:r w:rsidRPr="00B277BB">
        <w:rPr>
          <w:rStyle w:val="Refdenotaalpie"/>
          <w:sz w:val="20"/>
        </w:rPr>
        <w:footnoteRef/>
      </w:r>
      <w:r w:rsidRPr="00B277BB">
        <w:rPr>
          <w:sz w:val="20"/>
        </w:rPr>
        <w:t xml:space="preserve"> Decreto 111 de 1996: “Artículo 36. El presupuesto de gastos se compondrá de los gastos de funcionamiento, del servicio de la deuda pública y de los gastos de inversión”.</w:t>
      </w:r>
    </w:p>
  </w:footnote>
  <w:footnote w:id="11">
    <w:p w14:paraId="3763C243" w14:textId="09018E73" w:rsidR="00353572" w:rsidRPr="008667FC" w:rsidRDefault="00353572">
      <w:pPr>
        <w:pStyle w:val="Textonotapie"/>
      </w:pPr>
      <w:r w:rsidRPr="00B277BB">
        <w:rPr>
          <w:rStyle w:val="Refdenotaalpie"/>
          <w:sz w:val="20"/>
        </w:rPr>
        <w:footnoteRef/>
      </w:r>
      <w:r w:rsidRPr="00B277BB">
        <w:rPr>
          <w:sz w:val="20"/>
        </w:rPr>
        <w:t xml:space="preserve"> Decreto 1068 de 2015: “Artículo 2.8.3.1.2.  Presupuesto de Gastos. El presupuesto de gastos comprende las apropiaciones para gastos de funcionamiento, gastos de operación comercial, servicio de la deuda y gastos de inversión que se causen durante la vigencia fiscal respectiva”.</w:t>
      </w:r>
    </w:p>
  </w:footnote>
  <w:footnote w:id="12">
    <w:p w14:paraId="1093DA63" w14:textId="77777777" w:rsidR="00353572" w:rsidRPr="00A71C1D" w:rsidRDefault="00353572" w:rsidP="008D4BDA">
      <w:pPr>
        <w:pStyle w:val="Textonotapie"/>
        <w:rPr>
          <w:lang w:val="es-MX"/>
        </w:rPr>
      </w:pPr>
      <w:r>
        <w:rPr>
          <w:rStyle w:val="Refdenotaalpie"/>
        </w:rPr>
        <w:footnoteRef/>
      </w:r>
      <w:r>
        <w:t xml:space="preserve"> </w:t>
      </w:r>
      <w:r w:rsidRPr="00B277BB">
        <w:rPr>
          <w:sz w:val="20"/>
        </w:rPr>
        <w:t>Decreto 1793 de 2021. Liquidación</w:t>
      </w:r>
      <w:r>
        <w:rPr>
          <w:sz w:val="20"/>
        </w:rPr>
        <w:t xml:space="preserve"> del</w:t>
      </w:r>
      <w:r w:rsidRPr="00B277BB">
        <w:rPr>
          <w:sz w:val="20"/>
        </w:rPr>
        <w:t xml:space="preserve"> presupuesto </w:t>
      </w:r>
      <w:r>
        <w:rPr>
          <w:sz w:val="20"/>
        </w:rPr>
        <w:t xml:space="preserve">general de la nación </w:t>
      </w:r>
      <w:r w:rsidRPr="00B277BB">
        <w:rPr>
          <w:sz w:val="20"/>
        </w:rPr>
        <w:t>para la vigencia 2022. https://www.minhacienda.gov.co/webcenter/portal/EntOrdenNacional/pages_presupuestogralnacion/pgn2022/decretopresupuesto2022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E761" w14:textId="77777777" w:rsidR="00AA5930" w:rsidRDefault="00AA59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353572" w:rsidRPr="00C41722" w:rsidRDefault="00353572" w:rsidP="00C41722">
    <w:pPr>
      <w:rPr>
        <w:lang w:val="es-CO"/>
      </w:rPr>
    </w:pPr>
  </w:p>
  <w:p w14:paraId="210E8845" w14:textId="1DE69442" w:rsidR="00353572" w:rsidRPr="00951F79" w:rsidRDefault="003535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Pr>
        <w:rFonts w:ascii="Bookman Old Style" w:hAnsi="Bookman Old Style" w:cs="Arial"/>
        <w:b w:val="0"/>
        <w:sz w:val="22"/>
        <w:szCs w:val="22"/>
      </w:rPr>
      <w:t>o.</w:t>
    </w:r>
    <w:r w:rsidR="0088741A" w:rsidRPr="0088741A">
      <w:t xml:space="preserve"> </w:t>
    </w:r>
    <w:r w:rsidR="0088741A" w:rsidRPr="0088741A">
      <w:rPr>
        <w:rFonts w:ascii="Bookman Old Style" w:hAnsi="Bookman Old Style" w:cs="Arial"/>
        <w:bCs/>
        <w:szCs w:val="24"/>
        <w:u w:val="single"/>
      </w:rPr>
      <w:t xml:space="preserve">705 004 </w:t>
    </w:r>
    <w:r w:rsidRPr="001E4A38">
      <w:rPr>
        <w:rFonts w:ascii="Bookman Old Style" w:hAnsi="Bookman Old Style" w:cs="Arial"/>
        <w:bCs/>
        <w:szCs w:val="24"/>
        <w:u w:val="single"/>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   DE  </w:t>
    </w:r>
    <w:r w:rsidR="0088741A">
      <w:rPr>
        <w:rFonts w:ascii="Bookman Old Style" w:hAnsi="Bookman Old Style" w:cs="Arial"/>
        <w:bCs/>
        <w:szCs w:val="24"/>
        <w:u w:val="single"/>
      </w:rPr>
      <w:t>9 NOV</w:t>
    </w:r>
    <w:r>
      <w:rPr>
        <w:rFonts w:ascii="Bookman Old Style" w:hAnsi="Bookman Old Style" w:cs="Arial"/>
        <w:bCs/>
        <w:szCs w:val="24"/>
        <w:u w:val="single"/>
      </w:rPr>
      <w:t>. 2022</w:t>
    </w:r>
    <w:r>
      <w:rPr>
        <w:rFonts w:ascii="Bookman Old Style" w:hAnsi="Bookman Old Style" w:cs="Arial"/>
        <w:b w:val="0"/>
        <w:sz w:val="22"/>
        <w:szCs w:val="22"/>
      </w:rPr>
      <w:tab/>
      <w:t xml:space="preserve">   </w:t>
    </w:r>
    <w:r w:rsidR="00AA5930">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66B48">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66B48" w:rsidRPr="00066B48">
        <w:rPr>
          <w:rFonts w:ascii="Bookman Old Style" w:hAnsi="Bookman Old Style" w:cs="Arial"/>
          <w:b w:val="0"/>
          <w:noProof/>
          <w:sz w:val="22"/>
          <w:szCs w:val="22"/>
        </w:rPr>
        <w:t>22</w:t>
      </w:r>
    </w:fldSimple>
  </w:p>
  <w:p w14:paraId="458E83DA" w14:textId="03B3B9B9" w:rsidR="00353572" w:rsidRDefault="00353572"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54576"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2F9F063" w14:textId="3065FDBA" w:rsidR="00353572" w:rsidRPr="00771347" w:rsidRDefault="00353572" w:rsidP="001E4A38">
    <w:pPr>
      <w:pBdr>
        <w:bottom w:val="single" w:sz="6" w:space="1" w:color="auto"/>
      </w:pBdr>
      <w:ind w:left="0" w:right="148"/>
      <w:jc w:val="both"/>
      <w:rPr>
        <w:rFonts w:ascii="Bookman Old Style" w:hAnsi="Bookman Old Style"/>
        <w:iCs/>
        <w:sz w:val="22"/>
        <w:szCs w:val="22"/>
      </w:rPr>
    </w:pPr>
    <w:r w:rsidRPr="00771347">
      <w:rPr>
        <w:rFonts w:ascii="Bookman Old Style" w:hAnsi="Bookman Old Style"/>
        <w:iCs/>
        <w:sz w:val="22"/>
        <w:szCs w:val="22"/>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2022 y se dictan otras disposiciones”.</w:t>
    </w:r>
  </w:p>
  <w:p w14:paraId="2762465F" w14:textId="77777777" w:rsidR="00353572" w:rsidRPr="00045D3D" w:rsidRDefault="00353572" w:rsidP="00EE067B">
    <w:pPr>
      <w:ind w:left="0" w:right="148"/>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77777777" w:rsidR="00353572" w:rsidRDefault="0035357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81A7313" w14:textId="77777777" w:rsidR="00353572" w:rsidRDefault="00353572">
    <w:pPr>
      <w:pStyle w:val="Encabezado"/>
      <w:jc w:val="center"/>
      <w:rPr>
        <w:rFonts w:ascii="Arial" w:hAnsi="Arial" w:cs="Arial"/>
        <w:spacing w:val="20"/>
        <w:sz w:val="20"/>
      </w:rPr>
    </w:pPr>
  </w:p>
  <w:p w14:paraId="09BD8B81" w14:textId="59AFA550" w:rsidR="00353572" w:rsidRDefault="00353572" w:rsidP="00CA77FB">
    <w:pPr>
      <w:pStyle w:val="Encabezado"/>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29DF1"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20"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29"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0226437">
    <w:abstractNumId w:val="14"/>
  </w:num>
  <w:num w:numId="2" w16cid:durableId="1412236441">
    <w:abstractNumId w:val="7"/>
  </w:num>
  <w:num w:numId="3" w16cid:durableId="945041158">
    <w:abstractNumId w:val="31"/>
  </w:num>
  <w:num w:numId="4" w16cid:durableId="1938515480">
    <w:abstractNumId w:val="8"/>
  </w:num>
  <w:num w:numId="5" w16cid:durableId="1327519338">
    <w:abstractNumId w:val="22"/>
  </w:num>
  <w:num w:numId="6" w16cid:durableId="1321075716">
    <w:abstractNumId w:val="5"/>
  </w:num>
  <w:num w:numId="7" w16cid:durableId="1610625803">
    <w:abstractNumId w:val="4"/>
  </w:num>
  <w:num w:numId="8" w16cid:durableId="412825095">
    <w:abstractNumId w:val="24"/>
  </w:num>
  <w:num w:numId="9" w16cid:durableId="205874359">
    <w:abstractNumId w:val="23"/>
  </w:num>
  <w:num w:numId="10" w16cid:durableId="1178036325">
    <w:abstractNumId w:val="15"/>
  </w:num>
  <w:num w:numId="11" w16cid:durableId="1319728599">
    <w:abstractNumId w:val="32"/>
  </w:num>
  <w:num w:numId="12" w16cid:durableId="1372992116">
    <w:abstractNumId w:val="27"/>
  </w:num>
  <w:num w:numId="13" w16cid:durableId="1283654751">
    <w:abstractNumId w:val="13"/>
  </w:num>
  <w:num w:numId="14" w16cid:durableId="1663965032">
    <w:abstractNumId w:val="2"/>
  </w:num>
  <w:num w:numId="15" w16cid:durableId="782574651">
    <w:abstractNumId w:val="16"/>
  </w:num>
  <w:num w:numId="16" w16cid:durableId="1809590551">
    <w:abstractNumId w:val="1"/>
  </w:num>
  <w:num w:numId="17" w16cid:durableId="914896502">
    <w:abstractNumId w:val="12"/>
  </w:num>
  <w:num w:numId="18" w16cid:durableId="481384778">
    <w:abstractNumId w:val="0"/>
  </w:num>
  <w:num w:numId="19" w16cid:durableId="772700776">
    <w:abstractNumId w:val="26"/>
  </w:num>
  <w:num w:numId="20" w16cid:durableId="1080716986">
    <w:abstractNumId w:val="18"/>
  </w:num>
  <w:num w:numId="21" w16cid:durableId="1449742605">
    <w:abstractNumId w:val="9"/>
  </w:num>
  <w:num w:numId="22" w16cid:durableId="191387643">
    <w:abstractNumId w:val="11"/>
  </w:num>
  <w:num w:numId="23" w16cid:durableId="271597189">
    <w:abstractNumId w:val="19"/>
  </w:num>
  <w:num w:numId="24" w16cid:durableId="1639410060">
    <w:abstractNumId w:val="25"/>
  </w:num>
  <w:num w:numId="25" w16cid:durableId="2012639204">
    <w:abstractNumId w:val="29"/>
  </w:num>
  <w:num w:numId="26" w16cid:durableId="2137093140">
    <w:abstractNumId w:val="21"/>
  </w:num>
  <w:num w:numId="27" w16cid:durableId="868303748">
    <w:abstractNumId w:val="3"/>
  </w:num>
  <w:num w:numId="28" w16cid:durableId="1211385028">
    <w:abstractNumId w:val="28"/>
  </w:num>
  <w:num w:numId="29" w16cid:durableId="387072994">
    <w:abstractNumId w:val="20"/>
  </w:num>
  <w:num w:numId="30" w16cid:durableId="1612736750">
    <w:abstractNumId w:val="10"/>
  </w:num>
  <w:num w:numId="31" w16cid:durableId="1602107216">
    <w:abstractNumId w:val="30"/>
  </w:num>
  <w:num w:numId="32" w16cid:durableId="1107627275">
    <w:abstractNumId w:val="17"/>
  </w:num>
  <w:num w:numId="33" w16cid:durableId="2057241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854"/>
    <w:rsid w:val="00002B3B"/>
    <w:rsid w:val="0000673E"/>
    <w:rsid w:val="00006A26"/>
    <w:rsid w:val="00006AE2"/>
    <w:rsid w:val="00007580"/>
    <w:rsid w:val="000076A1"/>
    <w:rsid w:val="00011150"/>
    <w:rsid w:val="000114C6"/>
    <w:rsid w:val="00011C29"/>
    <w:rsid w:val="00012259"/>
    <w:rsid w:val="00013EC3"/>
    <w:rsid w:val="00013ECB"/>
    <w:rsid w:val="00014F18"/>
    <w:rsid w:val="000207D6"/>
    <w:rsid w:val="00020EB0"/>
    <w:rsid w:val="00024420"/>
    <w:rsid w:val="00025383"/>
    <w:rsid w:val="0003525C"/>
    <w:rsid w:val="000355F6"/>
    <w:rsid w:val="0003590F"/>
    <w:rsid w:val="0004318E"/>
    <w:rsid w:val="00045D3D"/>
    <w:rsid w:val="00047296"/>
    <w:rsid w:val="00047CB1"/>
    <w:rsid w:val="00050EDC"/>
    <w:rsid w:val="00050EF7"/>
    <w:rsid w:val="000513A3"/>
    <w:rsid w:val="00054A5C"/>
    <w:rsid w:val="00055C45"/>
    <w:rsid w:val="00057AB8"/>
    <w:rsid w:val="00060693"/>
    <w:rsid w:val="00063657"/>
    <w:rsid w:val="00065BD7"/>
    <w:rsid w:val="00066B48"/>
    <w:rsid w:val="00067ABB"/>
    <w:rsid w:val="00075D7C"/>
    <w:rsid w:val="000760F6"/>
    <w:rsid w:val="00076324"/>
    <w:rsid w:val="000763BB"/>
    <w:rsid w:val="00076680"/>
    <w:rsid w:val="00076A1D"/>
    <w:rsid w:val="00080673"/>
    <w:rsid w:val="0008073E"/>
    <w:rsid w:val="000848C5"/>
    <w:rsid w:val="00086394"/>
    <w:rsid w:val="00086A19"/>
    <w:rsid w:val="00086B63"/>
    <w:rsid w:val="000878FC"/>
    <w:rsid w:val="00090DDA"/>
    <w:rsid w:val="00091CDB"/>
    <w:rsid w:val="00093AE3"/>
    <w:rsid w:val="00096AC9"/>
    <w:rsid w:val="000A0E2C"/>
    <w:rsid w:val="000A19AC"/>
    <w:rsid w:val="000A36A6"/>
    <w:rsid w:val="000A4C77"/>
    <w:rsid w:val="000A7931"/>
    <w:rsid w:val="000B0F45"/>
    <w:rsid w:val="000B2EC9"/>
    <w:rsid w:val="000B3035"/>
    <w:rsid w:val="000B34CF"/>
    <w:rsid w:val="000B51A6"/>
    <w:rsid w:val="000C479A"/>
    <w:rsid w:val="000D14E2"/>
    <w:rsid w:val="000D1A3B"/>
    <w:rsid w:val="000D1BD7"/>
    <w:rsid w:val="000D26F8"/>
    <w:rsid w:val="000D4034"/>
    <w:rsid w:val="000E240E"/>
    <w:rsid w:val="000E3A03"/>
    <w:rsid w:val="000E72EB"/>
    <w:rsid w:val="000F69BE"/>
    <w:rsid w:val="000F7D1B"/>
    <w:rsid w:val="0010033A"/>
    <w:rsid w:val="00102FD6"/>
    <w:rsid w:val="001048EA"/>
    <w:rsid w:val="00104A06"/>
    <w:rsid w:val="00106654"/>
    <w:rsid w:val="00106C27"/>
    <w:rsid w:val="00113C08"/>
    <w:rsid w:val="0012001A"/>
    <w:rsid w:val="00124454"/>
    <w:rsid w:val="00125A81"/>
    <w:rsid w:val="0012686D"/>
    <w:rsid w:val="001309FD"/>
    <w:rsid w:val="00131B7F"/>
    <w:rsid w:val="001335C1"/>
    <w:rsid w:val="0013526C"/>
    <w:rsid w:val="00136B7E"/>
    <w:rsid w:val="001405C6"/>
    <w:rsid w:val="00141013"/>
    <w:rsid w:val="00142B62"/>
    <w:rsid w:val="0014435F"/>
    <w:rsid w:val="00145394"/>
    <w:rsid w:val="00145932"/>
    <w:rsid w:val="00152956"/>
    <w:rsid w:val="00153508"/>
    <w:rsid w:val="00157B16"/>
    <w:rsid w:val="00160D4E"/>
    <w:rsid w:val="00163C79"/>
    <w:rsid w:val="00165C55"/>
    <w:rsid w:val="001704B6"/>
    <w:rsid w:val="00172CC4"/>
    <w:rsid w:val="00172DB8"/>
    <w:rsid w:val="00172F10"/>
    <w:rsid w:val="00173BDC"/>
    <w:rsid w:val="0017661E"/>
    <w:rsid w:val="001806D4"/>
    <w:rsid w:val="00180B4B"/>
    <w:rsid w:val="00192CBF"/>
    <w:rsid w:val="00192FF1"/>
    <w:rsid w:val="0019506D"/>
    <w:rsid w:val="00197A6D"/>
    <w:rsid w:val="00197E81"/>
    <w:rsid w:val="001A0907"/>
    <w:rsid w:val="001A0FBD"/>
    <w:rsid w:val="001A2D9F"/>
    <w:rsid w:val="001A2DE1"/>
    <w:rsid w:val="001A5BE5"/>
    <w:rsid w:val="001A5F1B"/>
    <w:rsid w:val="001B1C22"/>
    <w:rsid w:val="001B34C6"/>
    <w:rsid w:val="001B377E"/>
    <w:rsid w:val="001C73A5"/>
    <w:rsid w:val="001D0CCC"/>
    <w:rsid w:val="001D10AD"/>
    <w:rsid w:val="001D7832"/>
    <w:rsid w:val="001E4A38"/>
    <w:rsid w:val="001F7582"/>
    <w:rsid w:val="00202031"/>
    <w:rsid w:val="00203A71"/>
    <w:rsid w:val="00207E8C"/>
    <w:rsid w:val="00210DC1"/>
    <w:rsid w:val="00211D34"/>
    <w:rsid w:val="00214F04"/>
    <w:rsid w:val="00215B0C"/>
    <w:rsid w:val="00216829"/>
    <w:rsid w:val="002255BF"/>
    <w:rsid w:val="00227605"/>
    <w:rsid w:val="00232159"/>
    <w:rsid w:val="00232D3E"/>
    <w:rsid w:val="002352B9"/>
    <w:rsid w:val="00235698"/>
    <w:rsid w:val="002369BE"/>
    <w:rsid w:val="00242185"/>
    <w:rsid w:val="002443AA"/>
    <w:rsid w:val="00245F3B"/>
    <w:rsid w:val="00246D18"/>
    <w:rsid w:val="00250D36"/>
    <w:rsid w:val="002558FB"/>
    <w:rsid w:val="00257DDA"/>
    <w:rsid w:val="002614EE"/>
    <w:rsid w:val="00263FC2"/>
    <w:rsid w:val="002652D6"/>
    <w:rsid w:val="00266CD6"/>
    <w:rsid w:val="002673AC"/>
    <w:rsid w:val="00275DAB"/>
    <w:rsid w:val="00280F45"/>
    <w:rsid w:val="002836D0"/>
    <w:rsid w:val="00283FA5"/>
    <w:rsid w:val="00284346"/>
    <w:rsid w:val="0028795D"/>
    <w:rsid w:val="002903C0"/>
    <w:rsid w:val="00291CE8"/>
    <w:rsid w:val="002920A0"/>
    <w:rsid w:val="002957BC"/>
    <w:rsid w:val="00295864"/>
    <w:rsid w:val="002969C5"/>
    <w:rsid w:val="00297A12"/>
    <w:rsid w:val="002A0C71"/>
    <w:rsid w:val="002A1A59"/>
    <w:rsid w:val="002A25FA"/>
    <w:rsid w:val="002A5D5A"/>
    <w:rsid w:val="002A5EB2"/>
    <w:rsid w:val="002A6610"/>
    <w:rsid w:val="002A782A"/>
    <w:rsid w:val="002B11E2"/>
    <w:rsid w:val="002B24B8"/>
    <w:rsid w:val="002B4948"/>
    <w:rsid w:val="002B699F"/>
    <w:rsid w:val="002B706D"/>
    <w:rsid w:val="002C0140"/>
    <w:rsid w:val="002C13FF"/>
    <w:rsid w:val="002C5B32"/>
    <w:rsid w:val="002C5DBE"/>
    <w:rsid w:val="002D005C"/>
    <w:rsid w:val="002D0212"/>
    <w:rsid w:val="002D19BD"/>
    <w:rsid w:val="002D28A5"/>
    <w:rsid w:val="002D3AE9"/>
    <w:rsid w:val="002D3BC0"/>
    <w:rsid w:val="002D43D5"/>
    <w:rsid w:val="002D4510"/>
    <w:rsid w:val="002D54FD"/>
    <w:rsid w:val="002D6925"/>
    <w:rsid w:val="002E3394"/>
    <w:rsid w:val="002E77E4"/>
    <w:rsid w:val="002E7996"/>
    <w:rsid w:val="002E7F2F"/>
    <w:rsid w:val="002F0734"/>
    <w:rsid w:val="002F31C8"/>
    <w:rsid w:val="002F46E7"/>
    <w:rsid w:val="002F479F"/>
    <w:rsid w:val="002F6F0F"/>
    <w:rsid w:val="002F781D"/>
    <w:rsid w:val="003013D7"/>
    <w:rsid w:val="00302878"/>
    <w:rsid w:val="00306C46"/>
    <w:rsid w:val="003101DA"/>
    <w:rsid w:val="003111C3"/>
    <w:rsid w:val="00313677"/>
    <w:rsid w:val="00314757"/>
    <w:rsid w:val="003161A2"/>
    <w:rsid w:val="003163BC"/>
    <w:rsid w:val="00316973"/>
    <w:rsid w:val="00320ACD"/>
    <w:rsid w:val="003211CE"/>
    <w:rsid w:val="00323D94"/>
    <w:rsid w:val="00324CB4"/>
    <w:rsid w:val="003252D8"/>
    <w:rsid w:val="00332E07"/>
    <w:rsid w:val="00333832"/>
    <w:rsid w:val="00337053"/>
    <w:rsid w:val="00337B85"/>
    <w:rsid w:val="00341236"/>
    <w:rsid w:val="003434DF"/>
    <w:rsid w:val="0034505B"/>
    <w:rsid w:val="0034621C"/>
    <w:rsid w:val="00352D17"/>
    <w:rsid w:val="00353057"/>
    <w:rsid w:val="00353572"/>
    <w:rsid w:val="0035403A"/>
    <w:rsid w:val="0035472E"/>
    <w:rsid w:val="0036002D"/>
    <w:rsid w:val="003618C4"/>
    <w:rsid w:val="003628A6"/>
    <w:rsid w:val="0036394B"/>
    <w:rsid w:val="00366DB6"/>
    <w:rsid w:val="00370889"/>
    <w:rsid w:val="003709B5"/>
    <w:rsid w:val="003759C2"/>
    <w:rsid w:val="00380946"/>
    <w:rsid w:val="00386011"/>
    <w:rsid w:val="003926A5"/>
    <w:rsid w:val="00393EFE"/>
    <w:rsid w:val="003941FE"/>
    <w:rsid w:val="00395F30"/>
    <w:rsid w:val="00397365"/>
    <w:rsid w:val="003A31F6"/>
    <w:rsid w:val="003A3606"/>
    <w:rsid w:val="003A595E"/>
    <w:rsid w:val="003A7FB8"/>
    <w:rsid w:val="003B0052"/>
    <w:rsid w:val="003B473B"/>
    <w:rsid w:val="003B7223"/>
    <w:rsid w:val="003B79D1"/>
    <w:rsid w:val="003B7B33"/>
    <w:rsid w:val="003C0416"/>
    <w:rsid w:val="003C3447"/>
    <w:rsid w:val="003C4028"/>
    <w:rsid w:val="003C7729"/>
    <w:rsid w:val="003C7807"/>
    <w:rsid w:val="003D076C"/>
    <w:rsid w:val="003D3139"/>
    <w:rsid w:val="003D3170"/>
    <w:rsid w:val="003D317B"/>
    <w:rsid w:val="003D32FB"/>
    <w:rsid w:val="003D40B7"/>
    <w:rsid w:val="003D67D8"/>
    <w:rsid w:val="003D7435"/>
    <w:rsid w:val="003E07C5"/>
    <w:rsid w:val="003E1A9D"/>
    <w:rsid w:val="003E3C44"/>
    <w:rsid w:val="003E3FB3"/>
    <w:rsid w:val="003E4D72"/>
    <w:rsid w:val="003E534F"/>
    <w:rsid w:val="003E78B5"/>
    <w:rsid w:val="003F317E"/>
    <w:rsid w:val="004015EB"/>
    <w:rsid w:val="00402134"/>
    <w:rsid w:val="00402135"/>
    <w:rsid w:val="00404F97"/>
    <w:rsid w:val="004117E4"/>
    <w:rsid w:val="00411EDA"/>
    <w:rsid w:val="00412AFB"/>
    <w:rsid w:val="00415BAB"/>
    <w:rsid w:val="00415ED2"/>
    <w:rsid w:val="0042068C"/>
    <w:rsid w:val="00423DFB"/>
    <w:rsid w:val="004246F4"/>
    <w:rsid w:val="00425125"/>
    <w:rsid w:val="00426A7E"/>
    <w:rsid w:val="0043115E"/>
    <w:rsid w:val="00433687"/>
    <w:rsid w:val="00435178"/>
    <w:rsid w:val="00436185"/>
    <w:rsid w:val="00436B04"/>
    <w:rsid w:val="004372FA"/>
    <w:rsid w:val="004408A1"/>
    <w:rsid w:val="00440DC9"/>
    <w:rsid w:val="00442999"/>
    <w:rsid w:val="0044318E"/>
    <w:rsid w:val="00443729"/>
    <w:rsid w:val="00443B35"/>
    <w:rsid w:val="00444704"/>
    <w:rsid w:val="00445881"/>
    <w:rsid w:val="004463A2"/>
    <w:rsid w:val="004471F3"/>
    <w:rsid w:val="0044795C"/>
    <w:rsid w:val="004531D5"/>
    <w:rsid w:val="00454602"/>
    <w:rsid w:val="004567A4"/>
    <w:rsid w:val="00460F2B"/>
    <w:rsid w:val="00464BEB"/>
    <w:rsid w:val="004656D9"/>
    <w:rsid w:val="00465A0F"/>
    <w:rsid w:val="00466AE6"/>
    <w:rsid w:val="0047122B"/>
    <w:rsid w:val="004719C4"/>
    <w:rsid w:val="00471A35"/>
    <w:rsid w:val="00472268"/>
    <w:rsid w:val="00472804"/>
    <w:rsid w:val="00473B7A"/>
    <w:rsid w:val="00475D73"/>
    <w:rsid w:val="004826ED"/>
    <w:rsid w:val="00484BB1"/>
    <w:rsid w:val="0048573D"/>
    <w:rsid w:val="00486695"/>
    <w:rsid w:val="004925A5"/>
    <w:rsid w:val="004960E9"/>
    <w:rsid w:val="00496F41"/>
    <w:rsid w:val="004973AD"/>
    <w:rsid w:val="004977B6"/>
    <w:rsid w:val="004A17CF"/>
    <w:rsid w:val="004A2E88"/>
    <w:rsid w:val="004A31AA"/>
    <w:rsid w:val="004A37ED"/>
    <w:rsid w:val="004A5305"/>
    <w:rsid w:val="004A6E8F"/>
    <w:rsid w:val="004A7B36"/>
    <w:rsid w:val="004B2CE7"/>
    <w:rsid w:val="004C0FA1"/>
    <w:rsid w:val="004C181B"/>
    <w:rsid w:val="004C35B9"/>
    <w:rsid w:val="004C4748"/>
    <w:rsid w:val="004C494E"/>
    <w:rsid w:val="004C4F1A"/>
    <w:rsid w:val="004C63F0"/>
    <w:rsid w:val="004C7D7D"/>
    <w:rsid w:val="004D05F0"/>
    <w:rsid w:val="004D0D1E"/>
    <w:rsid w:val="004D7634"/>
    <w:rsid w:val="004D77D1"/>
    <w:rsid w:val="004E3059"/>
    <w:rsid w:val="004E5F38"/>
    <w:rsid w:val="004E611A"/>
    <w:rsid w:val="004F3B98"/>
    <w:rsid w:val="004F51A1"/>
    <w:rsid w:val="004F6460"/>
    <w:rsid w:val="004F648A"/>
    <w:rsid w:val="005005DA"/>
    <w:rsid w:val="00502482"/>
    <w:rsid w:val="0050424C"/>
    <w:rsid w:val="00512CF6"/>
    <w:rsid w:val="0051479A"/>
    <w:rsid w:val="00514A68"/>
    <w:rsid w:val="0051506F"/>
    <w:rsid w:val="00526894"/>
    <w:rsid w:val="005300D3"/>
    <w:rsid w:val="00533D9D"/>
    <w:rsid w:val="00534230"/>
    <w:rsid w:val="00534D05"/>
    <w:rsid w:val="005366A8"/>
    <w:rsid w:val="00540A60"/>
    <w:rsid w:val="00541031"/>
    <w:rsid w:val="00542A10"/>
    <w:rsid w:val="00543D0A"/>
    <w:rsid w:val="00544F82"/>
    <w:rsid w:val="00545804"/>
    <w:rsid w:val="00545A6F"/>
    <w:rsid w:val="0054696E"/>
    <w:rsid w:val="005509D1"/>
    <w:rsid w:val="005509D2"/>
    <w:rsid w:val="0055261F"/>
    <w:rsid w:val="005526EF"/>
    <w:rsid w:val="0055566F"/>
    <w:rsid w:val="00556AFB"/>
    <w:rsid w:val="00566C9C"/>
    <w:rsid w:val="0056766F"/>
    <w:rsid w:val="00572B53"/>
    <w:rsid w:val="00573103"/>
    <w:rsid w:val="00576927"/>
    <w:rsid w:val="0058237A"/>
    <w:rsid w:val="00585C3D"/>
    <w:rsid w:val="00585D2C"/>
    <w:rsid w:val="00587870"/>
    <w:rsid w:val="00590300"/>
    <w:rsid w:val="00591856"/>
    <w:rsid w:val="00593326"/>
    <w:rsid w:val="00593C4F"/>
    <w:rsid w:val="005946A8"/>
    <w:rsid w:val="005A1CCE"/>
    <w:rsid w:val="005A4407"/>
    <w:rsid w:val="005A585C"/>
    <w:rsid w:val="005A59EF"/>
    <w:rsid w:val="005A69DF"/>
    <w:rsid w:val="005B0B26"/>
    <w:rsid w:val="005B1913"/>
    <w:rsid w:val="005B1A09"/>
    <w:rsid w:val="005B1C7E"/>
    <w:rsid w:val="005B30E3"/>
    <w:rsid w:val="005B429A"/>
    <w:rsid w:val="005B7B4E"/>
    <w:rsid w:val="005C183D"/>
    <w:rsid w:val="005C4C72"/>
    <w:rsid w:val="005C4D76"/>
    <w:rsid w:val="005C618C"/>
    <w:rsid w:val="005C6976"/>
    <w:rsid w:val="005C6A7A"/>
    <w:rsid w:val="005D6BC2"/>
    <w:rsid w:val="005E06E5"/>
    <w:rsid w:val="005E3812"/>
    <w:rsid w:val="005E4E17"/>
    <w:rsid w:val="005F0C5B"/>
    <w:rsid w:val="005F25C2"/>
    <w:rsid w:val="005F6110"/>
    <w:rsid w:val="005F6F41"/>
    <w:rsid w:val="006027EF"/>
    <w:rsid w:val="0060329F"/>
    <w:rsid w:val="00604324"/>
    <w:rsid w:val="00605017"/>
    <w:rsid w:val="00607A41"/>
    <w:rsid w:val="00611B12"/>
    <w:rsid w:val="0062044A"/>
    <w:rsid w:val="00621F47"/>
    <w:rsid w:val="00622879"/>
    <w:rsid w:val="00622F7B"/>
    <w:rsid w:val="00623BBF"/>
    <w:rsid w:val="00625DC6"/>
    <w:rsid w:val="00633267"/>
    <w:rsid w:val="00637442"/>
    <w:rsid w:val="0064109F"/>
    <w:rsid w:val="00641DAC"/>
    <w:rsid w:val="0064391D"/>
    <w:rsid w:val="00644177"/>
    <w:rsid w:val="00644E11"/>
    <w:rsid w:val="006459F2"/>
    <w:rsid w:val="00651821"/>
    <w:rsid w:val="00652547"/>
    <w:rsid w:val="00652E90"/>
    <w:rsid w:val="006539EE"/>
    <w:rsid w:val="00654384"/>
    <w:rsid w:val="006652C6"/>
    <w:rsid w:val="006675CD"/>
    <w:rsid w:val="00667D9F"/>
    <w:rsid w:val="00670D02"/>
    <w:rsid w:val="006717CC"/>
    <w:rsid w:val="00671C5E"/>
    <w:rsid w:val="00671DC8"/>
    <w:rsid w:val="00674037"/>
    <w:rsid w:val="00674F02"/>
    <w:rsid w:val="00675418"/>
    <w:rsid w:val="00684D9B"/>
    <w:rsid w:val="0068510A"/>
    <w:rsid w:val="00685D35"/>
    <w:rsid w:val="00685F9D"/>
    <w:rsid w:val="00687F18"/>
    <w:rsid w:val="00691464"/>
    <w:rsid w:val="00692D39"/>
    <w:rsid w:val="00692DD7"/>
    <w:rsid w:val="00695BB0"/>
    <w:rsid w:val="00697556"/>
    <w:rsid w:val="006A324F"/>
    <w:rsid w:val="006A3C90"/>
    <w:rsid w:val="006A7312"/>
    <w:rsid w:val="006B0FC6"/>
    <w:rsid w:val="006B24E0"/>
    <w:rsid w:val="006B4647"/>
    <w:rsid w:val="006B4C2B"/>
    <w:rsid w:val="006B6194"/>
    <w:rsid w:val="006B6D47"/>
    <w:rsid w:val="006C0C6F"/>
    <w:rsid w:val="006C2959"/>
    <w:rsid w:val="006C2A84"/>
    <w:rsid w:val="006C4E7E"/>
    <w:rsid w:val="006C5AFE"/>
    <w:rsid w:val="006C6BBF"/>
    <w:rsid w:val="006C79B7"/>
    <w:rsid w:val="006D2F34"/>
    <w:rsid w:val="006E50B7"/>
    <w:rsid w:val="006F1E45"/>
    <w:rsid w:val="006F2EC8"/>
    <w:rsid w:val="006F4ACA"/>
    <w:rsid w:val="006F4D91"/>
    <w:rsid w:val="006F52F1"/>
    <w:rsid w:val="006F6D95"/>
    <w:rsid w:val="00703A8A"/>
    <w:rsid w:val="00705966"/>
    <w:rsid w:val="00706F13"/>
    <w:rsid w:val="00706FEE"/>
    <w:rsid w:val="007072E8"/>
    <w:rsid w:val="00712C76"/>
    <w:rsid w:val="00715A16"/>
    <w:rsid w:val="00716079"/>
    <w:rsid w:val="0071618D"/>
    <w:rsid w:val="007172AE"/>
    <w:rsid w:val="007200D9"/>
    <w:rsid w:val="00720C54"/>
    <w:rsid w:val="00721350"/>
    <w:rsid w:val="00725992"/>
    <w:rsid w:val="00725AAF"/>
    <w:rsid w:val="00725FA4"/>
    <w:rsid w:val="007278CF"/>
    <w:rsid w:val="00727915"/>
    <w:rsid w:val="007338C2"/>
    <w:rsid w:val="0073399B"/>
    <w:rsid w:val="007361F5"/>
    <w:rsid w:val="00736C7B"/>
    <w:rsid w:val="00737576"/>
    <w:rsid w:val="00737B1E"/>
    <w:rsid w:val="00740446"/>
    <w:rsid w:val="0074213A"/>
    <w:rsid w:val="007438A9"/>
    <w:rsid w:val="0074491E"/>
    <w:rsid w:val="0074554A"/>
    <w:rsid w:val="00746E36"/>
    <w:rsid w:val="00747F55"/>
    <w:rsid w:val="00753823"/>
    <w:rsid w:val="0075733F"/>
    <w:rsid w:val="0076100F"/>
    <w:rsid w:val="007623A8"/>
    <w:rsid w:val="0076247A"/>
    <w:rsid w:val="00765378"/>
    <w:rsid w:val="00771347"/>
    <w:rsid w:val="007724C8"/>
    <w:rsid w:val="00772D68"/>
    <w:rsid w:val="00775964"/>
    <w:rsid w:val="007765FE"/>
    <w:rsid w:val="007766F2"/>
    <w:rsid w:val="007800E5"/>
    <w:rsid w:val="00784F1C"/>
    <w:rsid w:val="00787EB9"/>
    <w:rsid w:val="00787FA4"/>
    <w:rsid w:val="007900F6"/>
    <w:rsid w:val="00794E2E"/>
    <w:rsid w:val="00795BFB"/>
    <w:rsid w:val="007A13CF"/>
    <w:rsid w:val="007A6A69"/>
    <w:rsid w:val="007A789F"/>
    <w:rsid w:val="007A7C5C"/>
    <w:rsid w:val="007A7D0F"/>
    <w:rsid w:val="007B0DC1"/>
    <w:rsid w:val="007B2760"/>
    <w:rsid w:val="007B2FB9"/>
    <w:rsid w:val="007B4F30"/>
    <w:rsid w:val="007B59E8"/>
    <w:rsid w:val="007B5A3D"/>
    <w:rsid w:val="007B6F4D"/>
    <w:rsid w:val="007C42D4"/>
    <w:rsid w:val="007C4F03"/>
    <w:rsid w:val="007D6DD0"/>
    <w:rsid w:val="007D7074"/>
    <w:rsid w:val="007E5EF0"/>
    <w:rsid w:val="007F4298"/>
    <w:rsid w:val="007F4D1E"/>
    <w:rsid w:val="007F663E"/>
    <w:rsid w:val="007F6E7C"/>
    <w:rsid w:val="00800859"/>
    <w:rsid w:val="00806C01"/>
    <w:rsid w:val="00807385"/>
    <w:rsid w:val="00811581"/>
    <w:rsid w:val="00812B34"/>
    <w:rsid w:val="008148CC"/>
    <w:rsid w:val="008211A4"/>
    <w:rsid w:val="008248FE"/>
    <w:rsid w:val="00830A8D"/>
    <w:rsid w:val="00835319"/>
    <w:rsid w:val="00837561"/>
    <w:rsid w:val="00841A90"/>
    <w:rsid w:val="00842843"/>
    <w:rsid w:val="008434A5"/>
    <w:rsid w:val="0084662A"/>
    <w:rsid w:val="0084693A"/>
    <w:rsid w:val="00850FAC"/>
    <w:rsid w:val="00851B02"/>
    <w:rsid w:val="00851E21"/>
    <w:rsid w:val="008560BA"/>
    <w:rsid w:val="008609D7"/>
    <w:rsid w:val="008639DC"/>
    <w:rsid w:val="00863C80"/>
    <w:rsid w:val="0086405F"/>
    <w:rsid w:val="00865E9B"/>
    <w:rsid w:val="008667FC"/>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5AD0"/>
    <w:rsid w:val="00885BC2"/>
    <w:rsid w:val="00885C78"/>
    <w:rsid w:val="00886EE1"/>
    <w:rsid w:val="0088727D"/>
    <w:rsid w:val="0088741A"/>
    <w:rsid w:val="008932BC"/>
    <w:rsid w:val="00897C75"/>
    <w:rsid w:val="008B334E"/>
    <w:rsid w:val="008B484C"/>
    <w:rsid w:val="008B7CFE"/>
    <w:rsid w:val="008C0BC8"/>
    <w:rsid w:val="008C1130"/>
    <w:rsid w:val="008C1BB2"/>
    <w:rsid w:val="008C3FB6"/>
    <w:rsid w:val="008C6EAD"/>
    <w:rsid w:val="008C7D5C"/>
    <w:rsid w:val="008D0642"/>
    <w:rsid w:val="008D0995"/>
    <w:rsid w:val="008D0F4E"/>
    <w:rsid w:val="008D18E6"/>
    <w:rsid w:val="008D4657"/>
    <w:rsid w:val="008D4BDA"/>
    <w:rsid w:val="008D7A9B"/>
    <w:rsid w:val="008E0060"/>
    <w:rsid w:val="008E1A86"/>
    <w:rsid w:val="008E5BC1"/>
    <w:rsid w:val="008E63C1"/>
    <w:rsid w:val="008E7091"/>
    <w:rsid w:val="008E7160"/>
    <w:rsid w:val="008E73C0"/>
    <w:rsid w:val="008E76AC"/>
    <w:rsid w:val="008F1B4C"/>
    <w:rsid w:val="008F21F6"/>
    <w:rsid w:val="00900970"/>
    <w:rsid w:val="00901023"/>
    <w:rsid w:val="0090227F"/>
    <w:rsid w:val="00904C21"/>
    <w:rsid w:val="009057A7"/>
    <w:rsid w:val="00906EA4"/>
    <w:rsid w:val="00914C84"/>
    <w:rsid w:val="0091699D"/>
    <w:rsid w:val="0092108D"/>
    <w:rsid w:val="00922020"/>
    <w:rsid w:val="00923DE9"/>
    <w:rsid w:val="00926FC1"/>
    <w:rsid w:val="0093456B"/>
    <w:rsid w:val="00937FA4"/>
    <w:rsid w:val="00947AA8"/>
    <w:rsid w:val="00951F79"/>
    <w:rsid w:val="009536ED"/>
    <w:rsid w:val="00957BEE"/>
    <w:rsid w:val="0096565B"/>
    <w:rsid w:val="00966B4B"/>
    <w:rsid w:val="00972828"/>
    <w:rsid w:val="00974AB5"/>
    <w:rsid w:val="00975987"/>
    <w:rsid w:val="00975A33"/>
    <w:rsid w:val="009851BC"/>
    <w:rsid w:val="00986037"/>
    <w:rsid w:val="0098706D"/>
    <w:rsid w:val="009935FB"/>
    <w:rsid w:val="009947C7"/>
    <w:rsid w:val="009A2DD1"/>
    <w:rsid w:val="009A4A75"/>
    <w:rsid w:val="009B2502"/>
    <w:rsid w:val="009B3CF9"/>
    <w:rsid w:val="009B5FA3"/>
    <w:rsid w:val="009B747F"/>
    <w:rsid w:val="009C0156"/>
    <w:rsid w:val="009C178B"/>
    <w:rsid w:val="009C451F"/>
    <w:rsid w:val="009C54FB"/>
    <w:rsid w:val="009D0C89"/>
    <w:rsid w:val="009E3D45"/>
    <w:rsid w:val="009E6C05"/>
    <w:rsid w:val="009F1C95"/>
    <w:rsid w:val="009F4A54"/>
    <w:rsid w:val="009F4BEC"/>
    <w:rsid w:val="009F5874"/>
    <w:rsid w:val="00A00BEB"/>
    <w:rsid w:val="00A00E64"/>
    <w:rsid w:val="00A0162C"/>
    <w:rsid w:val="00A02A87"/>
    <w:rsid w:val="00A02BE1"/>
    <w:rsid w:val="00A02D39"/>
    <w:rsid w:val="00A052F3"/>
    <w:rsid w:val="00A0566B"/>
    <w:rsid w:val="00A0769F"/>
    <w:rsid w:val="00A07C67"/>
    <w:rsid w:val="00A1156C"/>
    <w:rsid w:val="00A13B00"/>
    <w:rsid w:val="00A23E62"/>
    <w:rsid w:val="00A25FD7"/>
    <w:rsid w:val="00A263C7"/>
    <w:rsid w:val="00A26EAE"/>
    <w:rsid w:val="00A30751"/>
    <w:rsid w:val="00A32474"/>
    <w:rsid w:val="00A32799"/>
    <w:rsid w:val="00A3441C"/>
    <w:rsid w:val="00A350AB"/>
    <w:rsid w:val="00A369A8"/>
    <w:rsid w:val="00A43AFF"/>
    <w:rsid w:val="00A515D6"/>
    <w:rsid w:val="00A5323B"/>
    <w:rsid w:val="00A5620B"/>
    <w:rsid w:val="00A61EF1"/>
    <w:rsid w:val="00A61F20"/>
    <w:rsid w:val="00A64E43"/>
    <w:rsid w:val="00A71A2F"/>
    <w:rsid w:val="00A71C1D"/>
    <w:rsid w:val="00A72BBD"/>
    <w:rsid w:val="00A74CC8"/>
    <w:rsid w:val="00A75A1C"/>
    <w:rsid w:val="00A7793A"/>
    <w:rsid w:val="00A82DD7"/>
    <w:rsid w:val="00A8348D"/>
    <w:rsid w:val="00A84D66"/>
    <w:rsid w:val="00A862D9"/>
    <w:rsid w:val="00A917D1"/>
    <w:rsid w:val="00A93375"/>
    <w:rsid w:val="00A95EA3"/>
    <w:rsid w:val="00AA05D7"/>
    <w:rsid w:val="00AA4307"/>
    <w:rsid w:val="00AA46BD"/>
    <w:rsid w:val="00AA4CC7"/>
    <w:rsid w:val="00AA5930"/>
    <w:rsid w:val="00AA5E8E"/>
    <w:rsid w:val="00AB0F28"/>
    <w:rsid w:val="00AB2BAD"/>
    <w:rsid w:val="00AB6CA7"/>
    <w:rsid w:val="00AC3E3C"/>
    <w:rsid w:val="00AC61DF"/>
    <w:rsid w:val="00AC712D"/>
    <w:rsid w:val="00AD01E4"/>
    <w:rsid w:val="00AD0858"/>
    <w:rsid w:val="00AE02E3"/>
    <w:rsid w:val="00AE125F"/>
    <w:rsid w:val="00AE6F72"/>
    <w:rsid w:val="00AE7340"/>
    <w:rsid w:val="00AE74FA"/>
    <w:rsid w:val="00AF03CC"/>
    <w:rsid w:val="00AF0E82"/>
    <w:rsid w:val="00AF1BBD"/>
    <w:rsid w:val="00AF6401"/>
    <w:rsid w:val="00AF74CE"/>
    <w:rsid w:val="00B01032"/>
    <w:rsid w:val="00B01BEE"/>
    <w:rsid w:val="00B0329C"/>
    <w:rsid w:val="00B03E93"/>
    <w:rsid w:val="00B046D1"/>
    <w:rsid w:val="00B04A84"/>
    <w:rsid w:val="00B06E6A"/>
    <w:rsid w:val="00B10207"/>
    <w:rsid w:val="00B121BF"/>
    <w:rsid w:val="00B13EFC"/>
    <w:rsid w:val="00B141E7"/>
    <w:rsid w:val="00B14A22"/>
    <w:rsid w:val="00B179FA"/>
    <w:rsid w:val="00B25D73"/>
    <w:rsid w:val="00B277BB"/>
    <w:rsid w:val="00B33435"/>
    <w:rsid w:val="00B351B4"/>
    <w:rsid w:val="00B36D11"/>
    <w:rsid w:val="00B377DD"/>
    <w:rsid w:val="00B42580"/>
    <w:rsid w:val="00B44EA5"/>
    <w:rsid w:val="00B45A4E"/>
    <w:rsid w:val="00B46BCA"/>
    <w:rsid w:val="00B478AA"/>
    <w:rsid w:val="00B47FF0"/>
    <w:rsid w:val="00B51C27"/>
    <w:rsid w:val="00B53F6B"/>
    <w:rsid w:val="00B61043"/>
    <w:rsid w:val="00B63799"/>
    <w:rsid w:val="00B734A5"/>
    <w:rsid w:val="00B77BF7"/>
    <w:rsid w:val="00B8477E"/>
    <w:rsid w:val="00B87806"/>
    <w:rsid w:val="00B87EC9"/>
    <w:rsid w:val="00B9105D"/>
    <w:rsid w:val="00B9488E"/>
    <w:rsid w:val="00BA2DA2"/>
    <w:rsid w:val="00BA43E8"/>
    <w:rsid w:val="00BB254A"/>
    <w:rsid w:val="00BB2E43"/>
    <w:rsid w:val="00BB2F50"/>
    <w:rsid w:val="00BB3C8C"/>
    <w:rsid w:val="00BB4AA6"/>
    <w:rsid w:val="00BB61A5"/>
    <w:rsid w:val="00BC0240"/>
    <w:rsid w:val="00BC1BAE"/>
    <w:rsid w:val="00BC26A9"/>
    <w:rsid w:val="00BC31CF"/>
    <w:rsid w:val="00BC38FD"/>
    <w:rsid w:val="00BC4076"/>
    <w:rsid w:val="00BC4A8E"/>
    <w:rsid w:val="00BD32A2"/>
    <w:rsid w:val="00BD3C14"/>
    <w:rsid w:val="00BD4D39"/>
    <w:rsid w:val="00BD51FB"/>
    <w:rsid w:val="00BE0475"/>
    <w:rsid w:val="00BE4B96"/>
    <w:rsid w:val="00BE5134"/>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7897"/>
    <w:rsid w:val="00C20CFF"/>
    <w:rsid w:val="00C21F89"/>
    <w:rsid w:val="00C256DB"/>
    <w:rsid w:val="00C2752B"/>
    <w:rsid w:val="00C3178B"/>
    <w:rsid w:val="00C32FD2"/>
    <w:rsid w:val="00C364A6"/>
    <w:rsid w:val="00C36725"/>
    <w:rsid w:val="00C409D5"/>
    <w:rsid w:val="00C409E5"/>
    <w:rsid w:val="00C41722"/>
    <w:rsid w:val="00C435C3"/>
    <w:rsid w:val="00C438DB"/>
    <w:rsid w:val="00C44E5F"/>
    <w:rsid w:val="00C4761E"/>
    <w:rsid w:val="00C5007C"/>
    <w:rsid w:val="00C50EA6"/>
    <w:rsid w:val="00C518FA"/>
    <w:rsid w:val="00C51B7C"/>
    <w:rsid w:val="00C526DF"/>
    <w:rsid w:val="00C5402D"/>
    <w:rsid w:val="00C57859"/>
    <w:rsid w:val="00C60A7A"/>
    <w:rsid w:val="00C61372"/>
    <w:rsid w:val="00C61D2A"/>
    <w:rsid w:val="00C6234B"/>
    <w:rsid w:val="00C63A07"/>
    <w:rsid w:val="00C63C94"/>
    <w:rsid w:val="00C63EAE"/>
    <w:rsid w:val="00C66C4F"/>
    <w:rsid w:val="00C70165"/>
    <w:rsid w:val="00C73260"/>
    <w:rsid w:val="00C74906"/>
    <w:rsid w:val="00C74F02"/>
    <w:rsid w:val="00C7629F"/>
    <w:rsid w:val="00C7740E"/>
    <w:rsid w:val="00C77D5A"/>
    <w:rsid w:val="00C84C73"/>
    <w:rsid w:val="00C852C1"/>
    <w:rsid w:val="00C86482"/>
    <w:rsid w:val="00C8661B"/>
    <w:rsid w:val="00C90885"/>
    <w:rsid w:val="00C911B9"/>
    <w:rsid w:val="00C911F2"/>
    <w:rsid w:val="00C919D9"/>
    <w:rsid w:val="00C91F54"/>
    <w:rsid w:val="00C94618"/>
    <w:rsid w:val="00C94CD7"/>
    <w:rsid w:val="00CA03C8"/>
    <w:rsid w:val="00CA139A"/>
    <w:rsid w:val="00CA14EE"/>
    <w:rsid w:val="00CA2899"/>
    <w:rsid w:val="00CA30CE"/>
    <w:rsid w:val="00CA3A3D"/>
    <w:rsid w:val="00CA3AA6"/>
    <w:rsid w:val="00CA6E0D"/>
    <w:rsid w:val="00CA77FB"/>
    <w:rsid w:val="00CB10AB"/>
    <w:rsid w:val="00CB168B"/>
    <w:rsid w:val="00CB379B"/>
    <w:rsid w:val="00CB5DD0"/>
    <w:rsid w:val="00CB74EA"/>
    <w:rsid w:val="00CC10D0"/>
    <w:rsid w:val="00CC229D"/>
    <w:rsid w:val="00CC2B9C"/>
    <w:rsid w:val="00CC4A99"/>
    <w:rsid w:val="00CC51D4"/>
    <w:rsid w:val="00CC59D3"/>
    <w:rsid w:val="00CC65DA"/>
    <w:rsid w:val="00CC7C65"/>
    <w:rsid w:val="00CD2B6C"/>
    <w:rsid w:val="00CD3C52"/>
    <w:rsid w:val="00CD3D76"/>
    <w:rsid w:val="00CD78BC"/>
    <w:rsid w:val="00CE057C"/>
    <w:rsid w:val="00CE28F7"/>
    <w:rsid w:val="00CE3902"/>
    <w:rsid w:val="00CE482E"/>
    <w:rsid w:val="00CE7DA8"/>
    <w:rsid w:val="00CF214B"/>
    <w:rsid w:val="00CF21B9"/>
    <w:rsid w:val="00CF4BC7"/>
    <w:rsid w:val="00CF6BF9"/>
    <w:rsid w:val="00CF7668"/>
    <w:rsid w:val="00D00A04"/>
    <w:rsid w:val="00D01784"/>
    <w:rsid w:val="00D01E87"/>
    <w:rsid w:val="00D022A2"/>
    <w:rsid w:val="00D03800"/>
    <w:rsid w:val="00D05650"/>
    <w:rsid w:val="00D065D3"/>
    <w:rsid w:val="00D06817"/>
    <w:rsid w:val="00D12BDB"/>
    <w:rsid w:val="00D14327"/>
    <w:rsid w:val="00D14C94"/>
    <w:rsid w:val="00D21693"/>
    <w:rsid w:val="00D228F9"/>
    <w:rsid w:val="00D257B3"/>
    <w:rsid w:val="00D25F7E"/>
    <w:rsid w:val="00D27F7B"/>
    <w:rsid w:val="00D3220A"/>
    <w:rsid w:val="00D33D39"/>
    <w:rsid w:val="00D342A6"/>
    <w:rsid w:val="00D342D3"/>
    <w:rsid w:val="00D34A66"/>
    <w:rsid w:val="00D3502C"/>
    <w:rsid w:val="00D37F55"/>
    <w:rsid w:val="00D424D1"/>
    <w:rsid w:val="00D42570"/>
    <w:rsid w:val="00D45CA6"/>
    <w:rsid w:val="00D464BF"/>
    <w:rsid w:val="00D47F93"/>
    <w:rsid w:val="00D53355"/>
    <w:rsid w:val="00D53E26"/>
    <w:rsid w:val="00D54821"/>
    <w:rsid w:val="00D54A67"/>
    <w:rsid w:val="00D57B6D"/>
    <w:rsid w:val="00D63812"/>
    <w:rsid w:val="00D6593C"/>
    <w:rsid w:val="00D71346"/>
    <w:rsid w:val="00D76803"/>
    <w:rsid w:val="00D77BC7"/>
    <w:rsid w:val="00D8019A"/>
    <w:rsid w:val="00D808A3"/>
    <w:rsid w:val="00D813D6"/>
    <w:rsid w:val="00D81F8B"/>
    <w:rsid w:val="00D86244"/>
    <w:rsid w:val="00D87D41"/>
    <w:rsid w:val="00D924C4"/>
    <w:rsid w:val="00D9300F"/>
    <w:rsid w:val="00D939CE"/>
    <w:rsid w:val="00DA0669"/>
    <w:rsid w:val="00DA7611"/>
    <w:rsid w:val="00DB182C"/>
    <w:rsid w:val="00DB26C9"/>
    <w:rsid w:val="00DB328D"/>
    <w:rsid w:val="00DB3CB3"/>
    <w:rsid w:val="00DC05D4"/>
    <w:rsid w:val="00DC06E3"/>
    <w:rsid w:val="00DC0E47"/>
    <w:rsid w:val="00DC5380"/>
    <w:rsid w:val="00DC6B15"/>
    <w:rsid w:val="00DD14F1"/>
    <w:rsid w:val="00DD362B"/>
    <w:rsid w:val="00DD419C"/>
    <w:rsid w:val="00DD4F0E"/>
    <w:rsid w:val="00DD5DB5"/>
    <w:rsid w:val="00DD6477"/>
    <w:rsid w:val="00DD7452"/>
    <w:rsid w:val="00DE06D8"/>
    <w:rsid w:val="00DE3380"/>
    <w:rsid w:val="00DE687E"/>
    <w:rsid w:val="00DE6C6F"/>
    <w:rsid w:val="00DF0BF0"/>
    <w:rsid w:val="00DF3CA2"/>
    <w:rsid w:val="00E01463"/>
    <w:rsid w:val="00E03FCD"/>
    <w:rsid w:val="00E05206"/>
    <w:rsid w:val="00E05E0A"/>
    <w:rsid w:val="00E060BE"/>
    <w:rsid w:val="00E11269"/>
    <w:rsid w:val="00E14657"/>
    <w:rsid w:val="00E17BB6"/>
    <w:rsid w:val="00E24187"/>
    <w:rsid w:val="00E306DD"/>
    <w:rsid w:val="00E353BE"/>
    <w:rsid w:val="00E37064"/>
    <w:rsid w:val="00E37136"/>
    <w:rsid w:val="00E376B8"/>
    <w:rsid w:val="00E44E72"/>
    <w:rsid w:val="00E50709"/>
    <w:rsid w:val="00E50FE5"/>
    <w:rsid w:val="00E534CF"/>
    <w:rsid w:val="00E55237"/>
    <w:rsid w:val="00E56065"/>
    <w:rsid w:val="00E60491"/>
    <w:rsid w:val="00E61451"/>
    <w:rsid w:val="00E626CA"/>
    <w:rsid w:val="00E7009A"/>
    <w:rsid w:val="00E740E6"/>
    <w:rsid w:val="00E7456A"/>
    <w:rsid w:val="00E81CB4"/>
    <w:rsid w:val="00E8585B"/>
    <w:rsid w:val="00E85A1F"/>
    <w:rsid w:val="00E87F41"/>
    <w:rsid w:val="00E92EA2"/>
    <w:rsid w:val="00E95862"/>
    <w:rsid w:val="00E971F9"/>
    <w:rsid w:val="00EA1D44"/>
    <w:rsid w:val="00EA3F15"/>
    <w:rsid w:val="00EA506F"/>
    <w:rsid w:val="00EA6D9A"/>
    <w:rsid w:val="00EA7847"/>
    <w:rsid w:val="00EB0355"/>
    <w:rsid w:val="00EB1318"/>
    <w:rsid w:val="00EB3CB3"/>
    <w:rsid w:val="00EB4C2F"/>
    <w:rsid w:val="00EB52B0"/>
    <w:rsid w:val="00EB587D"/>
    <w:rsid w:val="00EC2583"/>
    <w:rsid w:val="00EC2B0B"/>
    <w:rsid w:val="00EC323E"/>
    <w:rsid w:val="00EC3845"/>
    <w:rsid w:val="00EC429D"/>
    <w:rsid w:val="00EC6CE6"/>
    <w:rsid w:val="00EC7621"/>
    <w:rsid w:val="00EC770F"/>
    <w:rsid w:val="00ED198A"/>
    <w:rsid w:val="00ED671C"/>
    <w:rsid w:val="00EE067B"/>
    <w:rsid w:val="00EE2E6E"/>
    <w:rsid w:val="00EE4FF0"/>
    <w:rsid w:val="00EE57B1"/>
    <w:rsid w:val="00EE638C"/>
    <w:rsid w:val="00EE6B15"/>
    <w:rsid w:val="00EF10A1"/>
    <w:rsid w:val="00EF17DD"/>
    <w:rsid w:val="00EF23EC"/>
    <w:rsid w:val="00EF58B4"/>
    <w:rsid w:val="00F01C5E"/>
    <w:rsid w:val="00F059BF"/>
    <w:rsid w:val="00F061B1"/>
    <w:rsid w:val="00F0759E"/>
    <w:rsid w:val="00F1340D"/>
    <w:rsid w:val="00F15E03"/>
    <w:rsid w:val="00F16A43"/>
    <w:rsid w:val="00F20F86"/>
    <w:rsid w:val="00F211A4"/>
    <w:rsid w:val="00F23031"/>
    <w:rsid w:val="00F2371D"/>
    <w:rsid w:val="00F249DB"/>
    <w:rsid w:val="00F3250F"/>
    <w:rsid w:val="00F34A6F"/>
    <w:rsid w:val="00F378D6"/>
    <w:rsid w:val="00F401B5"/>
    <w:rsid w:val="00F4038B"/>
    <w:rsid w:val="00F416AC"/>
    <w:rsid w:val="00F44050"/>
    <w:rsid w:val="00F44751"/>
    <w:rsid w:val="00F46780"/>
    <w:rsid w:val="00F54E01"/>
    <w:rsid w:val="00F57E40"/>
    <w:rsid w:val="00F60F15"/>
    <w:rsid w:val="00F6314F"/>
    <w:rsid w:val="00F671B1"/>
    <w:rsid w:val="00F717B4"/>
    <w:rsid w:val="00F72D80"/>
    <w:rsid w:val="00F77D2D"/>
    <w:rsid w:val="00F80E95"/>
    <w:rsid w:val="00F821A3"/>
    <w:rsid w:val="00F84DEA"/>
    <w:rsid w:val="00F91BDF"/>
    <w:rsid w:val="00F9314A"/>
    <w:rsid w:val="00F940B2"/>
    <w:rsid w:val="00F944B3"/>
    <w:rsid w:val="00F950B9"/>
    <w:rsid w:val="00F9647C"/>
    <w:rsid w:val="00F971E0"/>
    <w:rsid w:val="00FA5CD2"/>
    <w:rsid w:val="00FA674B"/>
    <w:rsid w:val="00FB3666"/>
    <w:rsid w:val="00FB7D45"/>
    <w:rsid w:val="00FC58EF"/>
    <w:rsid w:val="00FD2156"/>
    <w:rsid w:val="00FD33DF"/>
    <w:rsid w:val="00FD3E0D"/>
    <w:rsid w:val="00FD52E8"/>
    <w:rsid w:val="00FD7264"/>
    <w:rsid w:val="00FE1BBB"/>
    <w:rsid w:val="00FE2452"/>
    <w:rsid w:val="00FE39D7"/>
    <w:rsid w:val="00FE3B40"/>
    <w:rsid w:val="00FE5667"/>
    <w:rsid w:val="00FE744A"/>
    <w:rsid w:val="00FE7592"/>
    <w:rsid w:val="00FF3E09"/>
    <w:rsid w:val="00FF3F52"/>
    <w:rsid w:val="00FF4491"/>
    <w:rsid w:val="00FF601F"/>
    <w:rsid w:val="00FF75B1"/>
    <w:rsid w:val="00FF7F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A0A9470B-866D-4B2F-BDFC-5BA57E4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4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124270258">
      <w:bodyDiv w:val="1"/>
      <w:marLeft w:val="0"/>
      <w:marRight w:val="0"/>
      <w:marTop w:val="0"/>
      <w:marBottom w:val="0"/>
      <w:divBdr>
        <w:top w:val="none" w:sz="0" w:space="0" w:color="auto"/>
        <w:left w:val="none" w:sz="0" w:space="0" w:color="auto"/>
        <w:bottom w:val="none" w:sz="0" w:space="0" w:color="auto"/>
        <w:right w:val="none" w:sz="0" w:space="0" w:color="auto"/>
      </w:divBdr>
    </w:div>
    <w:div w:id="1180124974">
      <w:bodyDiv w:val="1"/>
      <w:marLeft w:val="0"/>
      <w:marRight w:val="0"/>
      <w:marTop w:val="0"/>
      <w:marBottom w:val="0"/>
      <w:divBdr>
        <w:top w:val="none" w:sz="0" w:space="0" w:color="auto"/>
        <w:left w:val="none" w:sz="0" w:space="0" w:color="auto"/>
        <w:bottom w:val="none" w:sz="0" w:space="0" w:color="auto"/>
        <w:right w:val="none" w:sz="0" w:space="0" w:color="auto"/>
      </w:divBdr>
    </w:div>
    <w:div w:id="1197353548">
      <w:bodyDiv w:val="1"/>
      <w:marLeft w:val="0"/>
      <w:marRight w:val="0"/>
      <w:marTop w:val="0"/>
      <w:marBottom w:val="0"/>
      <w:divBdr>
        <w:top w:val="none" w:sz="0" w:space="0" w:color="auto"/>
        <w:left w:val="none" w:sz="0" w:space="0" w:color="auto"/>
        <w:bottom w:val="none" w:sz="0" w:space="0" w:color="auto"/>
        <w:right w:val="none" w:sz="0" w:space="0" w:color="auto"/>
      </w:divBdr>
    </w:div>
    <w:div w:id="1319335526">
      <w:bodyDiv w:val="1"/>
      <w:marLeft w:val="0"/>
      <w:marRight w:val="0"/>
      <w:marTop w:val="0"/>
      <w:marBottom w:val="0"/>
      <w:divBdr>
        <w:top w:val="none" w:sz="0" w:space="0" w:color="auto"/>
        <w:left w:val="none" w:sz="0" w:space="0" w:color="auto"/>
        <w:bottom w:val="none" w:sz="0" w:space="0" w:color="auto"/>
        <w:right w:val="none" w:sz="0" w:space="0" w:color="auto"/>
      </w:divBdr>
    </w:div>
    <w:div w:id="1370573199">
      <w:bodyDiv w:val="1"/>
      <w:marLeft w:val="0"/>
      <w:marRight w:val="0"/>
      <w:marTop w:val="0"/>
      <w:marBottom w:val="0"/>
      <w:divBdr>
        <w:top w:val="none" w:sz="0" w:space="0" w:color="auto"/>
        <w:left w:val="none" w:sz="0" w:space="0" w:color="auto"/>
        <w:bottom w:val="none" w:sz="0" w:space="0" w:color="auto"/>
        <w:right w:val="none" w:sz="0" w:space="0" w:color="auto"/>
      </w:divBdr>
    </w:div>
    <w:div w:id="1549225630">
      <w:bodyDiv w:val="1"/>
      <w:marLeft w:val="0"/>
      <w:marRight w:val="0"/>
      <w:marTop w:val="0"/>
      <w:marBottom w:val="0"/>
      <w:divBdr>
        <w:top w:val="none" w:sz="0" w:space="0" w:color="auto"/>
        <w:left w:val="none" w:sz="0" w:space="0" w:color="auto"/>
        <w:bottom w:val="none" w:sz="0" w:space="0" w:color="auto"/>
        <w:right w:val="none" w:sz="0" w:space="0" w:color="auto"/>
      </w:divBdr>
    </w:div>
    <w:div w:id="1683848739">
      <w:bodyDiv w:val="1"/>
      <w:marLeft w:val="0"/>
      <w:marRight w:val="0"/>
      <w:marTop w:val="0"/>
      <w:marBottom w:val="0"/>
      <w:divBdr>
        <w:top w:val="none" w:sz="0" w:space="0" w:color="auto"/>
        <w:left w:val="none" w:sz="0" w:space="0" w:color="auto"/>
        <w:bottom w:val="none" w:sz="0" w:space="0" w:color="auto"/>
        <w:right w:val="none" w:sz="0" w:space="0" w:color="auto"/>
      </w:divBdr>
    </w:div>
    <w:div w:id="1704867067">
      <w:bodyDiv w:val="1"/>
      <w:marLeft w:val="0"/>
      <w:marRight w:val="0"/>
      <w:marTop w:val="0"/>
      <w:marBottom w:val="0"/>
      <w:divBdr>
        <w:top w:val="none" w:sz="0" w:space="0" w:color="auto"/>
        <w:left w:val="none" w:sz="0" w:space="0" w:color="auto"/>
        <w:bottom w:val="none" w:sz="0" w:space="0" w:color="auto"/>
        <w:right w:val="none" w:sz="0" w:space="0" w:color="auto"/>
      </w:divBdr>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 w:id="1821075232">
      <w:bodyDiv w:val="1"/>
      <w:marLeft w:val="0"/>
      <w:marRight w:val="0"/>
      <w:marTop w:val="0"/>
      <w:marBottom w:val="0"/>
      <w:divBdr>
        <w:top w:val="none" w:sz="0" w:space="0" w:color="auto"/>
        <w:left w:val="none" w:sz="0" w:space="0" w:color="auto"/>
        <w:bottom w:val="none" w:sz="0" w:space="0" w:color="auto"/>
        <w:right w:val="none" w:sz="0" w:space="0" w:color="auto"/>
      </w:divBdr>
    </w:div>
    <w:div w:id="1838300788">
      <w:bodyDiv w:val="1"/>
      <w:marLeft w:val="0"/>
      <w:marRight w:val="0"/>
      <w:marTop w:val="0"/>
      <w:marBottom w:val="0"/>
      <w:divBdr>
        <w:top w:val="none" w:sz="0" w:space="0" w:color="auto"/>
        <w:left w:val="none" w:sz="0" w:space="0" w:color="auto"/>
        <w:bottom w:val="none" w:sz="0" w:space="0" w:color="auto"/>
        <w:right w:val="none" w:sz="0" w:space="0" w:color="auto"/>
      </w:divBdr>
    </w:div>
    <w:div w:id="2060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721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4514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CBD1C30B9271B4A8142D16C0D4FCAAC" ma:contentTypeVersion="14" ma:contentTypeDescription="Crear nuevo documento." ma:contentTypeScope="" ma:versionID="a574fdb3583045e3361eab7c255e01b2">
  <xsd:schema xmlns:xsd="http://www.w3.org/2001/XMLSchema" xmlns:xs="http://www.w3.org/2001/XMLSchema" xmlns:p="http://schemas.microsoft.com/office/2006/metadata/properties" xmlns:ns3="0cdf49e4-302e-4a5e-bb93-492006730266" xmlns:ns4="8e268271-eda8-41d6-9fdb-3e9d111bbb00" targetNamespace="http://schemas.microsoft.com/office/2006/metadata/properties" ma:root="true" ma:fieldsID="e5de8a7533221428e38a38362e8a644b" ns3:_="" ns4:_="">
    <xsd:import namespace="0cdf49e4-302e-4a5e-bb93-492006730266"/>
    <xsd:import namespace="8e268271-eda8-41d6-9fdb-3e9d111bb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49e4-302e-4a5e-bb93-49200673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68271-eda8-41d6-9fdb-3e9d111bbb0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4A564-E627-4E98-803E-1950672C017E}">
  <ds:schemaRefs>
    <ds:schemaRef ds:uri="http://schemas.openxmlformats.org/officeDocument/2006/bibliography"/>
  </ds:schemaRefs>
</ds:datastoreItem>
</file>

<file path=customXml/itemProps2.xml><?xml version="1.0" encoding="utf-8"?>
<ds:datastoreItem xmlns:ds="http://schemas.openxmlformats.org/officeDocument/2006/customXml" ds:itemID="{C021B031-F344-4100-9E7A-EC2C38F07E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16CA04-D040-4CC0-A3D9-B153D5F82F81}">
  <ds:schemaRefs>
    <ds:schemaRef ds:uri="http://schemas.microsoft.com/sharepoint/v3/contenttype/forms"/>
  </ds:schemaRefs>
</ds:datastoreItem>
</file>

<file path=customXml/itemProps4.xml><?xml version="1.0" encoding="utf-8"?>
<ds:datastoreItem xmlns:ds="http://schemas.openxmlformats.org/officeDocument/2006/customXml" ds:itemID="{4D2885A5-957D-49F4-9C33-B92F8E83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49e4-302e-4a5e-bb93-492006730266"/>
    <ds:schemaRef ds:uri="8e268271-eda8-41d6-9fdb-3e9d111b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182</TotalTime>
  <Pages>20</Pages>
  <Words>8020</Words>
  <Characters>44647</Characters>
  <Application>Microsoft Office Word</Application>
  <DocSecurity>0</DocSecurity>
  <Lines>372</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52562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23</cp:revision>
  <cp:lastPrinted>2021-10-26T16:21:00Z</cp:lastPrinted>
  <dcterms:created xsi:type="dcterms:W3CDTF">2022-11-09T00:40:00Z</dcterms:created>
  <dcterms:modified xsi:type="dcterms:W3CDTF">2022-11-11T21:06:00Z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0x0101008CBD1C30B9271B4A8142D16C0D4FCAAC</vt:lpwstr>
  </property>
</Properties>
</file>