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ECC" w:rsidRPr="000058F4" w:rsidRDefault="00E530C5" w:rsidP="00C64ECC">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97.15pt;margin-top:-53.35pt;width:52.5pt;height:48.75pt;z-index:251659264" fillcolor="#0c9">
            <v:imagedata r:id="rId9" o:title=""/>
          </v:shape>
          <o:OLEObject Type="Embed" ProgID="PBrush" ShapeID="_x0000_s1032" DrawAspect="Content" ObjectID="_1476880661" r:id="rId10"/>
        </w:pict>
      </w:r>
    </w:p>
    <w:p w:rsidR="00C64ECC" w:rsidRPr="000058F4" w:rsidRDefault="00C64ECC" w:rsidP="00C64ECC">
      <w:pPr>
        <w:pStyle w:val="Ttulo4"/>
        <w:tabs>
          <w:tab w:val="left" w:pos="0"/>
          <w:tab w:val="right" w:pos="9356"/>
        </w:tabs>
        <w:ind w:left="0"/>
        <w:rPr>
          <w:rFonts w:ascii="Bookman Old Style" w:hAnsi="Bookman Old Style"/>
          <w:b w:val="0"/>
          <w:bCs/>
          <w:noProof/>
          <w:sz w:val="24"/>
          <w:szCs w:val="24"/>
          <w:lang w:val="es-ES"/>
        </w:rPr>
      </w:pPr>
      <w:r w:rsidRPr="000058F4">
        <w:rPr>
          <w:rFonts w:ascii="Bookman Old Style" w:hAnsi="Bookman Old Style"/>
          <w:b w:val="0"/>
          <w:bCs/>
          <w:sz w:val="24"/>
          <w:szCs w:val="24"/>
        </w:rPr>
        <w:t>Ministerio de Minas y Energía</w:t>
      </w:r>
    </w:p>
    <w:p w:rsidR="00C64ECC" w:rsidRPr="000058F4" w:rsidRDefault="00C64ECC" w:rsidP="00C64ECC">
      <w:pPr>
        <w:pStyle w:val="Ttulo4"/>
        <w:tabs>
          <w:tab w:val="left" w:pos="0"/>
          <w:tab w:val="right" w:pos="9356"/>
        </w:tabs>
        <w:ind w:left="0"/>
        <w:rPr>
          <w:rFonts w:ascii="Bookman Old Style" w:hAnsi="Bookman Old Style"/>
          <w:b w:val="0"/>
          <w:bCs/>
          <w:sz w:val="24"/>
          <w:szCs w:val="24"/>
        </w:rPr>
      </w:pPr>
    </w:p>
    <w:p w:rsidR="00C64ECC" w:rsidRPr="000058F4" w:rsidRDefault="00C64ECC" w:rsidP="00C64ECC">
      <w:pPr>
        <w:pStyle w:val="Ttulo3"/>
        <w:tabs>
          <w:tab w:val="left" w:pos="0"/>
          <w:tab w:val="right" w:pos="9356"/>
        </w:tabs>
        <w:ind w:left="0"/>
        <w:rPr>
          <w:rFonts w:ascii="Bookman Old Style" w:hAnsi="Bookman Old Style" w:cs="Arial"/>
          <w:spacing w:val="20"/>
          <w:szCs w:val="24"/>
        </w:rPr>
      </w:pPr>
      <w:r w:rsidRPr="000058F4">
        <w:rPr>
          <w:rFonts w:ascii="Bookman Old Style" w:hAnsi="Bookman Old Style" w:cs="Arial"/>
          <w:spacing w:val="20"/>
          <w:szCs w:val="24"/>
        </w:rPr>
        <w:t>COMISIÓN DE REGULACIÓN DE ENERGÍA Y GAS</w:t>
      </w:r>
    </w:p>
    <w:p w:rsidR="00C64ECC" w:rsidRPr="000058F4" w:rsidRDefault="00C64ECC" w:rsidP="00C64ECC">
      <w:pPr>
        <w:pStyle w:val="Ttulo5"/>
        <w:tabs>
          <w:tab w:val="left" w:pos="0"/>
          <w:tab w:val="right" w:pos="9356"/>
        </w:tabs>
        <w:ind w:left="0"/>
        <w:rPr>
          <w:rFonts w:ascii="Bookman Old Style" w:hAnsi="Bookman Old Style"/>
          <w:sz w:val="24"/>
          <w:szCs w:val="24"/>
        </w:rPr>
      </w:pPr>
    </w:p>
    <w:p w:rsidR="00C64ECC" w:rsidRPr="000058F4" w:rsidRDefault="00C64ECC" w:rsidP="00C64ECC">
      <w:pPr>
        <w:pStyle w:val="Ttulo5"/>
        <w:tabs>
          <w:tab w:val="left" w:pos="0"/>
          <w:tab w:val="right" w:pos="9356"/>
        </w:tabs>
        <w:ind w:left="0"/>
        <w:rPr>
          <w:rFonts w:ascii="Bookman Old Style" w:hAnsi="Bookman Old Style"/>
          <w:sz w:val="24"/>
          <w:szCs w:val="24"/>
        </w:rPr>
      </w:pPr>
    </w:p>
    <w:p w:rsidR="00C64ECC" w:rsidRPr="000058F4" w:rsidRDefault="00C64ECC" w:rsidP="00C64ECC">
      <w:pPr>
        <w:pStyle w:val="Ttulo5"/>
        <w:tabs>
          <w:tab w:val="left" w:pos="0"/>
          <w:tab w:val="right" w:pos="9356"/>
        </w:tabs>
        <w:ind w:left="0"/>
        <w:rPr>
          <w:rFonts w:ascii="Bookman Old Style" w:hAnsi="Bookman Old Style"/>
          <w:sz w:val="24"/>
          <w:szCs w:val="24"/>
        </w:rPr>
      </w:pPr>
      <w:r w:rsidRPr="000058F4">
        <w:rPr>
          <w:rFonts w:ascii="Bookman Old Style" w:hAnsi="Bookman Old Style"/>
          <w:sz w:val="24"/>
          <w:szCs w:val="24"/>
        </w:rPr>
        <w:t>RESOLUCIÓN No.                   DE 201</w:t>
      </w:r>
      <w:r>
        <w:rPr>
          <w:rFonts w:ascii="Bookman Old Style" w:hAnsi="Bookman Old Style"/>
          <w:sz w:val="24"/>
          <w:szCs w:val="24"/>
        </w:rPr>
        <w:t>4</w:t>
      </w:r>
    </w:p>
    <w:p w:rsidR="00C64ECC" w:rsidRPr="000058F4" w:rsidRDefault="00C64ECC" w:rsidP="00C64ECC">
      <w:pPr>
        <w:tabs>
          <w:tab w:val="left" w:pos="0"/>
          <w:tab w:val="right" w:pos="9356"/>
        </w:tabs>
        <w:ind w:left="0"/>
        <w:jc w:val="center"/>
        <w:rPr>
          <w:rFonts w:ascii="Bookman Old Style" w:hAnsi="Bookman Old Style" w:cs="Arial"/>
          <w:b/>
          <w:snapToGrid w:val="0"/>
          <w:color w:val="000000"/>
          <w:lang w:val="es-ES_tradnl"/>
        </w:rPr>
      </w:pPr>
    </w:p>
    <w:p w:rsidR="00C64ECC" w:rsidRPr="000058F4" w:rsidRDefault="00C64ECC" w:rsidP="00C64ECC">
      <w:pPr>
        <w:pStyle w:val="Ttulo3"/>
        <w:tabs>
          <w:tab w:val="left" w:pos="0"/>
          <w:tab w:val="right" w:pos="9356"/>
        </w:tabs>
        <w:ind w:left="0"/>
        <w:rPr>
          <w:rFonts w:ascii="Bookman Old Style" w:hAnsi="Bookman Old Style"/>
          <w:b w:val="0"/>
          <w:szCs w:val="24"/>
        </w:rPr>
      </w:pPr>
      <w:r w:rsidRPr="000058F4">
        <w:rPr>
          <w:rFonts w:ascii="Bookman Old Style" w:hAnsi="Bookman Old Style"/>
          <w:b w:val="0"/>
          <w:szCs w:val="24"/>
        </w:rPr>
        <w:t>(                                  )</w:t>
      </w:r>
    </w:p>
    <w:p w:rsidR="00C64ECC" w:rsidRPr="000058F4" w:rsidRDefault="00C64ECC" w:rsidP="00C64ECC">
      <w:pPr>
        <w:tabs>
          <w:tab w:val="left" w:pos="0"/>
          <w:tab w:val="right" w:pos="9356"/>
        </w:tabs>
        <w:ind w:left="0"/>
        <w:jc w:val="center"/>
        <w:rPr>
          <w:rFonts w:ascii="Bookman Old Style" w:hAnsi="Bookman Old Style"/>
          <w:lang w:val="es-ES_tradnl"/>
        </w:rPr>
      </w:pPr>
    </w:p>
    <w:p w:rsidR="00C64ECC" w:rsidRPr="000058F4" w:rsidRDefault="00C64ECC" w:rsidP="00C64ECC">
      <w:pPr>
        <w:ind w:left="0"/>
        <w:rPr>
          <w:rFonts w:ascii="Bookman Old Style" w:hAnsi="Bookman Old Style"/>
          <w:bCs/>
          <w:lang w:val="es-CO"/>
        </w:rPr>
      </w:pPr>
    </w:p>
    <w:p w:rsidR="00C64ECC" w:rsidRPr="000058F4" w:rsidRDefault="00C64ECC" w:rsidP="00C64ECC">
      <w:pPr>
        <w:pStyle w:val="Textodebloque"/>
        <w:ind w:left="0" w:right="51"/>
        <w:rPr>
          <w:rFonts w:ascii="Bookman Old Style" w:hAnsi="Bookman Old Style"/>
          <w:szCs w:val="24"/>
        </w:rPr>
      </w:pPr>
      <w:r w:rsidRPr="000058F4">
        <w:rPr>
          <w:rFonts w:ascii="Bookman Old Style" w:hAnsi="Bookman Old Style"/>
          <w:szCs w:val="24"/>
        </w:rPr>
        <w:t xml:space="preserve">Por la cual se </w:t>
      </w:r>
      <w:r>
        <w:rPr>
          <w:rFonts w:ascii="Bookman Old Style" w:hAnsi="Bookman Old Style"/>
          <w:szCs w:val="24"/>
        </w:rPr>
        <w:t xml:space="preserve">actualiza el Costo Anual por el uso de los activos de nivel de tensión 4 y los cargos por uso de Centrales Eléctricas de Nariño </w:t>
      </w:r>
      <w:r w:rsidRPr="005F237E">
        <w:rPr>
          <w:rFonts w:ascii="Bookman Old Style" w:hAnsi="Bookman Old Style"/>
          <w:szCs w:val="24"/>
        </w:rPr>
        <w:t>S.A. E.S.P.</w:t>
      </w:r>
      <w:r w:rsidR="00C4031B">
        <w:rPr>
          <w:rFonts w:ascii="Bookman Old Style" w:hAnsi="Bookman Old Style"/>
          <w:szCs w:val="24"/>
        </w:rPr>
        <w:t>, Cedenar</w:t>
      </w:r>
    </w:p>
    <w:p w:rsidR="00C64ECC" w:rsidRPr="000058F4" w:rsidRDefault="00C64ECC" w:rsidP="00C64ECC">
      <w:pPr>
        <w:ind w:left="0" w:right="51"/>
        <w:jc w:val="center"/>
        <w:rPr>
          <w:rFonts w:ascii="Bookman Old Style" w:hAnsi="Bookman Old Style"/>
          <w:b/>
        </w:rPr>
      </w:pPr>
      <w:r w:rsidRPr="000058F4">
        <w:rPr>
          <w:rFonts w:ascii="Bookman Old Style" w:hAnsi="Bookman Old Style"/>
          <w:b/>
        </w:rPr>
        <w:t>LA COMISIÓN DE REGULACIÓN DE  ENERGÍA Y GAS</w:t>
      </w:r>
    </w:p>
    <w:p w:rsidR="00C64ECC" w:rsidRPr="000058F4" w:rsidRDefault="00C64ECC" w:rsidP="00C64ECC">
      <w:pPr>
        <w:ind w:left="0" w:right="51"/>
        <w:rPr>
          <w:rFonts w:ascii="Bookman Old Style" w:hAnsi="Bookman Old Style"/>
          <w:b/>
        </w:rPr>
      </w:pPr>
    </w:p>
    <w:p w:rsidR="00C64ECC" w:rsidRPr="000058F4" w:rsidRDefault="00C4031B" w:rsidP="00C64ECC">
      <w:pPr>
        <w:pStyle w:val="Textoindependiente3"/>
        <w:ind w:left="0"/>
        <w:jc w:val="both"/>
        <w:rPr>
          <w:rFonts w:ascii="Bookman Old Style" w:hAnsi="Bookman Old Style"/>
          <w:b w:val="0"/>
        </w:rPr>
      </w:pPr>
      <w:r>
        <w:rPr>
          <w:rFonts w:ascii="Bookman Old Style" w:hAnsi="Bookman Old Style"/>
          <w:b w:val="0"/>
        </w:rPr>
        <w:t>e</w:t>
      </w:r>
      <w:r w:rsidR="00C64ECC" w:rsidRPr="000058F4">
        <w:rPr>
          <w:rFonts w:ascii="Bookman Old Style" w:hAnsi="Bookman Old Style"/>
          <w:b w:val="0"/>
        </w:rPr>
        <w:t xml:space="preserve">n ejercicio de sus atribuciones constitucionales y legales, en especial las conferidas por las </w:t>
      </w:r>
      <w:r>
        <w:rPr>
          <w:rFonts w:ascii="Bookman Old Style" w:hAnsi="Bookman Old Style"/>
          <w:b w:val="0"/>
        </w:rPr>
        <w:t>l</w:t>
      </w:r>
      <w:r w:rsidR="00C64ECC" w:rsidRPr="000058F4">
        <w:rPr>
          <w:rFonts w:ascii="Bookman Old Style" w:hAnsi="Bookman Old Style"/>
          <w:b w:val="0"/>
        </w:rPr>
        <w:t>eyes 142 y 143 de 1994, y en desarrollo de l</w:t>
      </w:r>
      <w:r w:rsidR="00C64ECC">
        <w:rPr>
          <w:rFonts w:ascii="Bookman Old Style" w:hAnsi="Bookman Old Style"/>
          <w:b w:val="0"/>
        </w:rPr>
        <w:t xml:space="preserve">os </w:t>
      </w:r>
      <w:r>
        <w:rPr>
          <w:rFonts w:ascii="Bookman Old Style" w:hAnsi="Bookman Old Style"/>
          <w:b w:val="0"/>
        </w:rPr>
        <w:t>d</w:t>
      </w:r>
      <w:r w:rsidR="00C64ECC">
        <w:rPr>
          <w:rFonts w:ascii="Bookman Old Style" w:hAnsi="Bookman Old Style"/>
          <w:b w:val="0"/>
        </w:rPr>
        <w:t>ecretos 1524 y 2253 de 1994, y</w:t>
      </w:r>
    </w:p>
    <w:p w:rsidR="00C64ECC" w:rsidRPr="000058F4" w:rsidRDefault="00C64ECC" w:rsidP="00C64ECC">
      <w:pPr>
        <w:ind w:left="0" w:right="51"/>
        <w:rPr>
          <w:rFonts w:ascii="Bookman Old Style" w:hAnsi="Bookman Old Style"/>
        </w:rPr>
      </w:pPr>
    </w:p>
    <w:p w:rsidR="00C64ECC" w:rsidRPr="000058F4" w:rsidRDefault="00C64ECC" w:rsidP="00C64ECC">
      <w:pPr>
        <w:ind w:left="0" w:right="51"/>
        <w:rPr>
          <w:rFonts w:ascii="Bookman Old Style" w:hAnsi="Bookman Old Style"/>
        </w:rPr>
      </w:pPr>
    </w:p>
    <w:p w:rsidR="00C64ECC" w:rsidRPr="000058F4" w:rsidRDefault="00C64ECC" w:rsidP="00C64ECC">
      <w:pPr>
        <w:ind w:left="0" w:right="51"/>
        <w:jc w:val="center"/>
        <w:rPr>
          <w:rFonts w:ascii="Bookman Old Style" w:hAnsi="Bookman Old Style"/>
          <w:b/>
        </w:rPr>
      </w:pPr>
      <w:r w:rsidRPr="000058F4">
        <w:rPr>
          <w:rFonts w:ascii="Bookman Old Style" w:hAnsi="Bookman Old Style"/>
          <w:b/>
        </w:rPr>
        <w:t>C O N S I D E R A N D O</w:t>
      </w:r>
      <w:r>
        <w:rPr>
          <w:rFonts w:ascii="Bookman Old Style" w:hAnsi="Bookman Old Style"/>
          <w:b/>
        </w:rPr>
        <w:t xml:space="preserve">   Q U E</w:t>
      </w:r>
      <w:r w:rsidRPr="000058F4">
        <w:rPr>
          <w:rFonts w:ascii="Bookman Old Style" w:hAnsi="Bookman Old Style"/>
          <w:b/>
        </w:rPr>
        <w:t>:</w:t>
      </w:r>
    </w:p>
    <w:p w:rsidR="00C64ECC" w:rsidRPr="000058F4" w:rsidRDefault="00C64ECC" w:rsidP="00C64ECC">
      <w:pPr>
        <w:ind w:left="0" w:right="51"/>
        <w:jc w:val="center"/>
        <w:rPr>
          <w:rFonts w:ascii="Bookman Old Style" w:hAnsi="Bookman Old Style"/>
          <w:b/>
        </w:rPr>
      </w:pPr>
    </w:p>
    <w:p w:rsidR="00C64ECC" w:rsidRPr="000058F4" w:rsidRDefault="00C64ECC" w:rsidP="00C64ECC">
      <w:pPr>
        <w:ind w:left="0" w:right="51"/>
        <w:jc w:val="center"/>
        <w:rPr>
          <w:rFonts w:ascii="Bookman Old Style" w:hAnsi="Bookman Old Style"/>
          <w:b/>
        </w:rPr>
      </w:pPr>
    </w:p>
    <w:p w:rsidR="00C64ECC" w:rsidRPr="000058F4" w:rsidRDefault="00C64ECC" w:rsidP="00C64ECC">
      <w:pPr>
        <w:ind w:left="0"/>
        <w:jc w:val="both"/>
        <w:rPr>
          <w:rFonts w:ascii="Bookman Old Style" w:hAnsi="Bookman Old Style"/>
        </w:rPr>
      </w:pPr>
      <w:r>
        <w:rPr>
          <w:rFonts w:ascii="Bookman Old Style" w:hAnsi="Bookman Old Style"/>
        </w:rPr>
        <w:t>D</w:t>
      </w:r>
      <w:r w:rsidRPr="000058F4">
        <w:rPr>
          <w:rFonts w:ascii="Bookman Old Style" w:hAnsi="Bookman Old Style"/>
        </w:rPr>
        <w:t xml:space="preserve">e acuerdo con lo previsto en </w:t>
      </w:r>
      <w:r>
        <w:rPr>
          <w:rFonts w:ascii="Bookman Old Style" w:hAnsi="Bookman Old Style"/>
        </w:rPr>
        <w:t>los a</w:t>
      </w:r>
      <w:r w:rsidRPr="000058F4">
        <w:rPr>
          <w:rFonts w:ascii="Bookman Old Style" w:hAnsi="Bookman Old Style"/>
        </w:rPr>
        <w:t>rtículo</w:t>
      </w:r>
      <w:r>
        <w:rPr>
          <w:rFonts w:ascii="Bookman Old Style" w:hAnsi="Bookman Old Style"/>
        </w:rPr>
        <w:t>s</w:t>
      </w:r>
      <w:r w:rsidRPr="000058F4">
        <w:rPr>
          <w:rFonts w:ascii="Bookman Old Style" w:hAnsi="Bookman Old Style"/>
        </w:rPr>
        <w:t xml:space="preserve"> 23, literal d), y 41 de la Ley 143 de 1994, es función de la Comisión de Regulación de Energía y Gas fijar las tarifas por el acces</w:t>
      </w:r>
      <w:r>
        <w:rPr>
          <w:rFonts w:ascii="Bookman Old Style" w:hAnsi="Bookman Old Style"/>
        </w:rPr>
        <w:t>o y uso de las redes eléctricas.</w:t>
      </w:r>
    </w:p>
    <w:p w:rsidR="00C64ECC" w:rsidRPr="000058F4" w:rsidRDefault="00C64ECC" w:rsidP="00C64ECC">
      <w:pPr>
        <w:ind w:left="0"/>
        <w:jc w:val="both"/>
        <w:rPr>
          <w:rFonts w:ascii="Bookman Old Style" w:hAnsi="Bookman Old Style"/>
        </w:rPr>
      </w:pPr>
    </w:p>
    <w:p w:rsidR="00C64ECC" w:rsidRPr="00F254A8" w:rsidRDefault="00C64ECC" w:rsidP="00C64ECC">
      <w:pPr>
        <w:ind w:left="0"/>
        <w:jc w:val="both"/>
        <w:rPr>
          <w:rFonts w:ascii="Bookman Old Style" w:hAnsi="Bookman Old Style"/>
        </w:rPr>
      </w:pPr>
      <w:r>
        <w:rPr>
          <w:rFonts w:ascii="Bookman Old Style" w:hAnsi="Bookman Old Style"/>
        </w:rPr>
        <w:t>M</w:t>
      </w:r>
      <w:r w:rsidRPr="00F254A8">
        <w:rPr>
          <w:rFonts w:ascii="Bookman Old Style" w:hAnsi="Bookman Old Style"/>
        </w:rPr>
        <w:t>ediante la Resolución CREG 097 de 2008</w:t>
      </w:r>
      <w:r>
        <w:rPr>
          <w:rFonts w:ascii="Bookman Old Style" w:hAnsi="Bookman Old Style"/>
        </w:rPr>
        <w:t>,</w:t>
      </w:r>
      <w:r w:rsidRPr="00F254A8">
        <w:rPr>
          <w:rFonts w:ascii="Bookman Old Style" w:hAnsi="Bookman Old Style"/>
        </w:rPr>
        <w:t xml:space="preserve"> modificada por las Resoluciones CREG 133, 135 y 166 de 2008, la Comisión aprobó los principios generales y la metodología para el establecimiento de los Cargos por Uso de los Sistemas de Transmisión Regional (STR) y de Distribución Local (SDL)</w:t>
      </w:r>
      <w:r>
        <w:rPr>
          <w:rFonts w:ascii="Bookman Old Style" w:hAnsi="Bookman Old Style"/>
        </w:rPr>
        <w:t>.</w:t>
      </w:r>
    </w:p>
    <w:p w:rsidR="00C64ECC" w:rsidRPr="00F254A8" w:rsidRDefault="00C64ECC" w:rsidP="00C64ECC">
      <w:pPr>
        <w:ind w:left="0"/>
        <w:jc w:val="both"/>
        <w:rPr>
          <w:rFonts w:ascii="Bookman Old Style" w:hAnsi="Bookman Old Style"/>
        </w:rPr>
      </w:pPr>
    </w:p>
    <w:p w:rsidR="00C64ECC" w:rsidRPr="00F254A8" w:rsidRDefault="00C64ECC" w:rsidP="00C64ECC">
      <w:pPr>
        <w:ind w:left="0"/>
        <w:jc w:val="both"/>
        <w:rPr>
          <w:rFonts w:ascii="Bookman Old Style" w:hAnsi="Bookman Old Style"/>
        </w:rPr>
      </w:pPr>
      <w:r>
        <w:rPr>
          <w:rFonts w:ascii="Bookman Old Style" w:hAnsi="Bookman Old Style"/>
        </w:rPr>
        <w:t xml:space="preserve">Con </w:t>
      </w:r>
      <w:r w:rsidRPr="00F254A8">
        <w:rPr>
          <w:rFonts w:ascii="Bookman Old Style" w:hAnsi="Bookman Old Style"/>
        </w:rPr>
        <w:t>la</w:t>
      </w:r>
      <w:r>
        <w:rPr>
          <w:rFonts w:ascii="Bookman Old Style" w:hAnsi="Bookman Old Style"/>
        </w:rPr>
        <w:t xml:space="preserve"> Resolución CREG 019 de 2010</w:t>
      </w:r>
      <w:r w:rsidRPr="00F254A8">
        <w:rPr>
          <w:rFonts w:ascii="Bookman Old Style" w:hAnsi="Bookman Old Style"/>
        </w:rPr>
        <w:t>, la CREG aprobó el Costo Anual por el uso de los Activos del Nivel de Tensión 4 y los Cargos Máximos de los Niveles de Tensión 3, 2 y 1 de los activos operad</w:t>
      </w:r>
      <w:r>
        <w:rPr>
          <w:rFonts w:ascii="Bookman Old Style" w:hAnsi="Bookman Old Style"/>
        </w:rPr>
        <w:t xml:space="preserve">os por </w:t>
      </w:r>
      <w:r>
        <w:rPr>
          <w:rFonts w:ascii="Bookman Old Style" w:hAnsi="Bookman Old Style"/>
          <w:bCs/>
        </w:rPr>
        <w:t>Centrales Eléctricas de Nariño S.A. E.S.P.</w:t>
      </w:r>
      <w:r w:rsidRPr="00F254A8">
        <w:rPr>
          <w:rFonts w:ascii="Bookman Old Style" w:hAnsi="Bookman Old Style"/>
        </w:rPr>
        <w:t xml:space="preserve"> en el Sistema de Transmisión Regional (STR) y en el Sistema de Distribución Local (SDL)</w:t>
      </w:r>
      <w:r>
        <w:rPr>
          <w:rFonts w:ascii="Bookman Old Style" w:hAnsi="Bookman Old Style"/>
        </w:rPr>
        <w:t>.</w:t>
      </w:r>
    </w:p>
    <w:p w:rsidR="00C64ECC" w:rsidRPr="000058F4" w:rsidRDefault="00C64ECC" w:rsidP="00C64ECC">
      <w:pPr>
        <w:ind w:left="0"/>
        <w:jc w:val="both"/>
        <w:rPr>
          <w:rFonts w:ascii="Bookman Old Style" w:hAnsi="Bookman Old Style"/>
        </w:rPr>
      </w:pPr>
    </w:p>
    <w:p w:rsidR="00C64ECC" w:rsidRDefault="00C64ECC" w:rsidP="00C64ECC">
      <w:pPr>
        <w:ind w:left="0"/>
        <w:jc w:val="both"/>
        <w:rPr>
          <w:rFonts w:ascii="Bookman Old Style" w:hAnsi="Bookman Old Style"/>
        </w:rPr>
      </w:pPr>
      <w:r>
        <w:rPr>
          <w:rFonts w:ascii="Bookman Old Style" w:hAnsi="Bookman Old Style"/>
          <w:bCs/>
        </w:rPr>
        <w:t>Centrales Eléctricas de Nariño S.A. E.S.P.</w:t>
      </w:r>
      <w:r>
        <w:rPr>
          <w:rFonts w:ascii="Bookman Old Style" w:hAnsi="Bookman Old Style"/>
        </w:rPr>
        <w:t xml:space="preserve"> solicitó a la CREG la actualización del Costo Anual por el Uso de los Activos de Nivel de Tensión 4 por la entrada en operación del segundo grupo de autotransformadores de conexión 230/115/13.8 kV de capacidad total 150 MVA, lo que dio origen a la Resolución CREG 088 de 2014.</w:t>
      </w:r>
    </w:p>
    <w:p w:rsidR="00C64ECC" w:rsidRDefault="00C64ECC" w:rsidP="00C64ECC">
      <w:pPr>
        <w:ind w:left="0"/>
        <w:jc w:val="both"/>
        <w:rPr>
          <w:rFonts w:ascii="Bookman Old Style" w:hAnsi="Bookman Old Style"/>
        </w:rPr>
      </w:pPr>
    </w:p>
    <w:p w:rsidR="00C64ECC" w:rsidRDefault="00C64ECC" w:rsidP="00C64ECC">
      <w:pPr>
        <w:ind w:left="0"/>
        <w:jc w:val="both"/>
        <w:rPr>
          <w:rFonts w:ascii="Bookman Old Style" w:hAnsi="Bookman Old Style"/>
        </w:rPr>
      </w:pPr>
      <w:r>
        <w:rPr>
          <w:rFonts w:ascii="Bookman Old Style" w:hAnsi="Bookman Old Style"/>
        </w:rPr>
        <w:t>El capítulo 4 de la Resolución CREG 097 de 2008 en su numeral 4.5 establece:</w:t>
      </w:r>
    </w:p>
    <w:p w:rsidR="00C64ECC" w:rsidRPr="00C4031B" w:rsidRDefault="00C64ECC" w:rsidP="00C64ECC">
      <w:pPr>
        <w:pStyle w:val="Cita"/>
        <w:rPr>
          <w:b/>
          <w:sz w:val="22"/>
          <w:szCs w:val="22"/>
        </w:rPr>
      </w:pPr>
      <w:r w:rsidRPr="00C4031B">
        <w:rPr>
          <w:b/>
          <w:sz w:val="22"/>
          <w:szCs w:val="22"/>
        </w:rPr>
        <w:t>4.5</w:t>
      </w:r>
      <w:r w:rsidRPr="00C4031B">
        <w:rPr>
          <w:b/>
          <w:sz w:val="22"/>
          <w:szCs w:val="22"/>
        </w:rPr>
        <w:tab/>
        <w:t>Activos del Sistema de Gestión de la Distribución</w:t>
      </w:r>
    </w:p>
    <w:p w:rsidR="00C64ECC" w:rsidRPr="00C4031B" w:rsidRDefault="00C64ECC" w:rsidP="00C4031B">
      <w:pPr>
        <w:pStyle w:val="Cita"/>
        <w:spacing w:before="0" w:after="0"/>
        <w:rPr>
          <w:sz w:val="22"/>
          <w:szCs w:val="22"/>
        </w:rPr>
      </w:pPr>
      <w:r w:rsidRPr="00C4031B">
        <w:rPr>
          <w:sz w:val="22"/>
          <w:szCs w:val="22"/>
        </w:rPr>
        <w:t>Una vez el OR disponga del Sistema de Gestión de la Distribución del que trata el Numeral 11.2.5.1 del CAPÍTULO 11 de este Anexo, por una única vez durante el periodo tarifario asociado a la vigencia de la presente Resolución, el OR podrá solicitar a la CREG la actualización de Cargos del SDL.</w:t>
      </w:r>
    </w:p>
    <w:p w:rsidR="00C64ECC" w:rsidRDefault="00C64ECC" w:rsidP="00C64ECC">
      <w:pPr>
        <w:ind w:left="0"/>
        <w:jc w:val="both"/>
        <w:rPr>
          <w:rFonts w:ascii="Bookman Old Style" w:hAnsi="Bookman Old Style"/>
        </w:rPr>
      </w:pPr>
      <w:r>
        <w:rPr>
          <w:rFonts w:ascii="Bookman Old Style" w:hAnsi="Bookman Old Style"/>
        </w:rPr>
        <w:lastRenderedPageBreak/>
        <w:t>Con la comunicación E-2014-005950 del 20 de junio de 2014, la empresa solicitó a la CREG la actualización correspondiente, por la entrada en servicio del sistema de gestión de la distribución, SGD, en la misma comunicación remitió los formatos correspondientes a las unidades constructivas de la solicitud para la actualización.</w:t>
      </w:r>
    </w:p>
    <w:p w:rsidR="00C64ECC" w:rsidRDefault="00C64ECC" w:rsidP="00C64ECC">
      <w:pPr>
        <w:ind w:left="0"/>
        <w:jc w:val="both"/>
        <w:rPr>
          <w:rFonts w:ascii="Bookman Old Style" w:hAnsi="Bookman Old Style"/>
        </w:rPr>
      </w:pPr>
    </w:p>
    <w:p w:rsidR="00C64ECC" w:rsidRDefault="00C64ECC" w:rsidP="00C64ECC">
      <w:pPr>
        <w:ind w:left="0"/>
        <w:jc w:val="both"/>
        <w:rPr>
          <w:rFonts w:ascii="Bookman Old Style" w:hAnsi="Bookman Old Style"/>
        </w:rPr>
      </w:pPr>
      <w:r>
        <w:rPr>
          <w:rFonts w:ascii="Bookman Old Style" w:hAnsi="Bookman Old Style"/>
        </w:rPr>
        <w:t xml:space="preserve">Con la solicitud </w:t>
      </w:r>
      <w:r>
        <w:rPr>
          <w:rFonts w:ascii="Bookman Old Style" w:hAnsi="Bookman Old Style"/>
          <w:bCs/>
        </w:rPr>
        <w:t>Centrales Eléctricas de Nariño S.A. E.S.P.</w:t>
      </w:r>
      <w:r>
        <w:rPr>
          <w:rFonts w:ascii="Bookman Old Style" w:hAnsi="Bookman Old Style"/>
        </w:rPr>
        <w:t>, Cedenar entregó  el listado de unidades constructivas que componen el proyecto, con base en las definidas en el capítulo 5 del anexo general de la Resolución CREG 097 de 2008. Estas son:</w:t>
      </w:r>
    </w:p>
    <w:p w:rsidR="00C64ECC" w:rsidRPr="00C04CDD" w:rsidRDefault="00C64ECC" w:rsidP="00C64ECC">
      <w:pPr>
        <w:ind w:left="360"/>
        <w:jc w:val="both"/>
        <w:rPr>
          <w:rFonts w:ascii="Bookman Old Style" w:hAnsi="Bookman Old Style"/>
        </w:rPr>
      </w:pPr>
    </w:p>
    <w:p w:rsidR="00C64ECC" w:rsidRDefault="00C64ECC" w:rsidP="00C64ECC">
      <w:pPr>
        <w:ind w:left="360"/>
        <w:jc w:val="center"/>
        <w:rPr>
          <w:rFonts w:ascii="Bookman Old Style" w:hAnsi="Bookman Old Style"/>
        </w:rPr>
      </w:pPr>
      <w:r w:rsidRPr="00EE3D93">
        <w:rPr>
          <w:noProof/>
          <w:lang w:val="es-CO" w:eastAsia="es-CO"/>
        </w:rPr>
        <w:drawing>
          <wp:inline distT="0" distB="0" distL="0" distR="0" wp14:anchorId="179772D7" wp14:editId="281D6924">
            <wp:extent cx="5534025" cy="55340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5313" cy="5535313"/>
                    </a:xfrm>
                    <a:prstGeom prst="rect">
                      <a:avLst/>
                    </a:prstGeom>
                    <a:noFill/>
                    <a:ln>
                      <a:noFill/>
                    </a:ln>
                  </pic:spPr>
                </pic:pic>
              </a:graphicData>
            </a:graphic>
          </wp:inline>
        </w:drawing>
      </w:r>
    </w:p>
    <w:p w:rsidR="00C64ECC" w:rsidRDefault="00C64ECC" w:rsidP="00C64ECC">
      <w:pPr>
        <w:ind w:left="0"/>
        <w:jc w:val="both"/>
        <w:rPr>
          <w:rFonts w:ascii="Bookman Old Style" w:hAnsi="Bookman Old Style"/>
        </w:rPr>
      </w:pPr>
    </w:p>
    <w:p w:rsidR="00C64ECC" w:rsidRDefault="00C64ECC" w:rsidP="00C64ECC">
      <w:pPr>
        <w:ind w:left="0"/>
        <w:jc w:val="both"/>
        <w:rPr>
          <w:rFonts w:ascii="Bookman Old Style" w:hAnsi="Bookman Old Style"/>
        </w:rPr>
      </w:pPr>
      <w:r>
        <w:rPr>
          <w:rFonts w:ascii="Bookman Old Style" w:hAnsi="Bookman Old Style"/>
        </w:rPr>
        <w:t xml:space="preserve">Mediante auto del 28 de agosto de 2014 la Comisión inició la actuación administrativa la cual identificó con el expediente 2014-0062. Así mismo la CREG publicó en el </w:t>
      </w:r>
      <w:r w:rsidRPr="009A3DA9">
        <w:rPr>
          <w:rFonts w:ascii="Bookman Old Style" w:hAnsi="Bookman Old Style"/>
          <w:i/>
        </w:rPr>
        <w:t>Diario Oficial</w:t>
      </w:r>
      <w:r>
        <w:rPr>
          <w:rFonts w:ascii="Bookman Old Style" w:hAnsi="Bookman Old Style"/>
        </w:rPr>
        <w:t xml:space="preserve"> 49258 del día 29 de agosto de 2014 un extracto de la solicitud, conforme con lo previsto en el artículo 37 del Código de Procedimiento Administrativo y de lo Contencioso Administrativo.</w:t>
      </w:r>
    </w:p>
    <w:p w:rsidR="00C4031B" w:rsidRDefault="00C4031B" w:rsidP="00C64ECC">
      <w:pPr>
        <w:ind w:left="0"/>
        <w:jc w:val="both"/>
        <w:rPr>
          <w:rFonts w:ascii="Bookman Old Style" w:hAnsi="Bookman Old Style"/>
        </w:rPr>
      </w:pPr>
    </w:p>
    <w:p w:rsidR="00C64ECC" w:rsidRPr="00C4031B" w:rsidRDefault="00C64ECC" w:rsidP="00C64ECC">
      <w:pPr>
        <w:ind w:left="0"/>
        <w:jc w:val="both"/>
        <w:rPr>
          <w:rFonts w:ascii="Bookman Old Style" w:hAnsi="Bookman Old Style"/>
        </w:rPr>
      </w:pPr>
      <w:r>
        <w:rPr>
          <w:rFonts w:ascii="Bookman Old Style" w:hAnsi="Bookman Old Style"/>
        </w:rPr>
        <w:t xml:space="preserve">La Resolución CREG 097 de 2008 define el porcentaje RPP así: </w:t>
      </w:r>
      <w:r w:rsidRPr="00C4031B">
        <w:rPr>
          <w:rFonts w:ascii="Bookman Old Style" w:hAnsi="Bookman Old Style"/>
          <w:i/>
        </w:rPr>
        <w:t xml:space="preserve">Esta fracción se calcula a partir de la parte del valor de la UC que no se debe incluir en el cálculo </w:t>
      </w:r>
      <w:r w:rsidRPr="00C4031B">
        <w:rPr>
          <w:rFonts w:ascii="Bookman Old Style" w:hAnsi="Bookman Old Style"/>
          <w:i/>
        </w:rPr>
        <w:lastRenderedPageBreak/>
        <w:t>de la tarifa de acuerdo con lo dispuesto en el numeral 87.9 de la Ley 142 de 1994, respecto del valor total de dicha UC.</w:t>
      </w:r>
    </w:p>
    <w:p w:rsidR="00C64ECC" w:rsidRDefault="00C64ECC" w:rsidP="00C64ECC">
      <w:pPr>
        <w:ind w:left="0"/>
        <w:jc w:val="both"/>
        <w:rPr>
          <w:rFonts w:ascii="Bookman Old Style" w:hAnsi="Bookman Old Style"/>
        </w:rPr>
      </w:pPr>
    </w:p>
    <w:p w:rsidR="00C64ECC" w:rsidRDefault="00C64ECC" w:rsidP="00C64ECC">
      <w:pPr>
        <w:ind w:left="0"/>
        <w:jc w:val="both"/>
        <w:rPr>
          <w:rFonts w:ascii="Bookman Old Style" w:hAnsi="Bookman Old Style"/>
        </w:rPr>
      </w:pPr>
      <w:r>
        <w:rPr>
          <w:rFonts w:ascii="Bookman Old Style" w:hAnsi="Bookman Old Style"/>
        </w:rPr>
        <w:t>Conforme con lo anterior, mediante comunicación S-2014-003781 se solicitó a la empresa ratificación de la información reportada sobre el valor del RPP=1.</w:t>
      </w:r>
    </w:p>
    <w:p w:rsidR="00C64ECC" w:rsidRDefault="00C64ECC" w:rsidP="00C64ECC">
      <w:pPr>
        <w:ind w:left="0"/>
        <w:jc w:val="both"/>
        <w:rPr>
          <w:rFonts w:ascii="Bookman Old Style" w:hAnsi="Bookman Old Style"/>
        </w:rPr>
      </w:pPr>
    </w:p>
    <w:p w:rsidR="00C64ECC" w:rsidRDefault="00C64ECC" w:rsidP="00C64ECC">
      <w:pPr>
        <w:ind w:left="0"/>
        <w:jc w:val="both"/>
        <w:rPr>
          <w:rFonts w:ascii="Bookman Old Style" w:hAnsi="Bookman Old Style"/>
        </w:rPr>
      </w:pPr>
      <w:r>
        <w:rPr>
          <w:rFonts w:ascii="Bookman Old Style" w:hAnsi="Bookman Old Style"/>
        </w:rPr>
        <w:t>Con la comunicación E-2014-009729 del 1 de octubre, la empresa respondió:</w:t>
      </w:r>
    </w:p>
    <w:p w:rsidR="00C64ECC" w:rsidRPr="00C4031B" w:rsidRDefault="00C64ECC" w:rsidP="00C64ECC">
      <w:pPr>
        <w:pStyle w:val="Cita"/>
        <w:rPr>
          <w:sz w:val="22"/>
          <w:szCs w:val="22"/>
        </w:rPr>
      </w:pPr>
      <w:r w:rsidRPr="00C4031B">
        <w:rPr>
          <w:sz w:val="22"/>
          <w:szCs w:val="22"/>
        </w:rPr>
        <w:t>En respuesta a la solicitud radicado CREG S-2014-003781 muy comedidamente me permito aclarar e informar que la ejecución de los trabajos asociados al Sistema de Gestión de Distribución fueron realizados con recursos propios de CEDENAR S.A. E.S.P. y por lo tanto el RPP=0</w:t>
      </w:r>
    </w:p>
    <w:p w:rsidR="00C4031B" w:rsidRDefault="00C64ECC" w:rsidP="00C64ECC">
      <w:pPr>
        <w:ind w:left="0"/>
        <w:jc w:val="both"/>
        <w:rPr>
          <w:rFonts w:ascii="Bookman Old Style" w:hAnsi="Bookman Old Style"/>
        </w:rPr>
      </w:pPr>
      <w:r>
        <w:rPr>
          <w:rFonts w:ascii="Bookman Old Style" w:hAnsi="Bookman Old Style"/>
        </w:rPr>
        <w:t>El numeral 11.2.5.1 de la Resolución CREG 097 de 2008 establece lo siguiente:</w:t>
      </w:r>
    </w:p>
    <w:p w:rsidR="00C4031B" w:rsidRPr="00C4031B" w:rsidRDefault="00C4031B" w:rsidP="00C64ECC">
      <w:pPr>
        <w:ind w:left="0"/>
        <w:jc w:val="both"/>
        <w:rPr>
          <w:rFonts w:ascii="Bookman Old Style" w:hAnsi="Bookman Old Style"/>
        </w:rPr>
      </w:pPr>
    </w:p>
    <w:p w:rsidR="00C64ECC" w:rsidRPr="00C4031B" w:rsidRDefault="00C64ECC" w:rsidP="00C64ECC">
      <w:pPr>
        <w:ind w:left="0"/>
        <w:jc w:val="both"/>
        <w:rPr>
          <w:rFonts w:ascii="Bookman Old Style" w:hAnsi="Bookman Old Style"/>
          <w:i/>
          <w:sz w:val="22"/>
          <w:szCs w:val="22"/>
        </w:rPr>
      </w:pPr>
      <w:r w:rsidRPr="00C4031B">
        <w:rPr>
          <w:rFonts w:ascii="Bookman Old Style" w:hAnsi="Bookman Old Style"/>
        </w:rPr>
        <w:t xml:space="preserve"> </w:t>
      </w:r>
      <w:r w:rsidRPr="00C4031B">
        <w:rPr>
          <w:rFonts w:ascii="Bookman Old Style" w:hAnsi="Bookman Old Style"/>
          <w:i/>
          <w:sz w:val="22"/>
          <w:szCs w:val="22"/>
        </w:rPr>
        <w:t>…</w:t>
      </w:r>
      <w:r w:rsidRPr="00C4031B">
        <w:rPr>
          <w:sz w:val="22"/>
          <w:szCs w:val="22"/>
        </w:rPr>
        <w:t xml:space="preserve"> </w:t>
      </w:r>
      <w:r w:rsidRPr="00C4031B">
        <w:rPr>
          <w:rFonts w:ascii="Bookman Old Style" w:hAnsi="Bookman Old Style"/>
          <w:i/>
          <w:sz w:val="22"/>
          <w:szCs w:val="22"/>
        </w:rPr>
        <w:t>El Sistema de Gestión de la Distribución mencionado debe componerse como mínimo de un sistema SCADA, un sistema GIS y de un servicio de Atención Telefónica con interfaz a los dos sistemas anteriores y a través del cual los usuarios puedan realizar el reporte de fallas del servicio…</w:t>
      </w:r>
    </w:p>
    <w:p w:rsidR="00C64ECC" w:rsidRPr="00C4031B" w:rsidRDefault="00C64ECC" w:rsidP="00C64ECC">
      <w:pPr>
        <w:ind w:left="0"/>
        <w:jc w:val="both"/>
        <w:rPr>
          <w:rFonts w:ascii="Bookman Old Style" w:hAnsi="Bookman Old Style"/>
        </w:rPr>
      </w:pPr>
    </w:p>
    <w:p w:rsidR="00C64ECC" w:rsidRDefault="00C64ECC" w:rsidP="00C64ECC">
      <w:pPr>
        <w:ind w:left="0"/>
        <w:jc w:val="both"/>
        <w:rPr>
          <w:rFonts w:ascii="Bookman Old Style" w:hAnsi="Bookman Old Style"/>
        </w:rPr>
      </w:pPr>
      <w:r>
        <w:rPr>
          <w:rFonts w:ascii="Bookman Old Style" w:hAnsi="Bookman Old Style"/>
        </w:rPr>
        <w:t>Los activos reportados por la empresa incluyen además de los equipos propios del sistema de gestión de la distribución, otros elementos constitutivos de las subestaciones, que no son sujeto de la actualización permitida por el artículo citado.</w:t>
      </w:r>
    </w:p>
    <w:p w:rsidR="00C64ECC" w:rsidRDefault="00C64ECC" w:rsidP="00C64ECC">
      <w:pPr>
        <w:ind w:left="0"/>
        <w:jc w:val="both"/>
        <w:rPr>
          <w:rFonts w:ascii="Bookman Old Style" w:hAnsi="Bookman Old Style"/>
        </w:rPr>
      </w:pPr>
    </w:p>
    <w:p w:rsidR="00C64ECC" w:rsidRDefault="00C64ECC" w:rsidP="00C64ECC">
      <w:pPr>
        <w:ind w:left="0"/>
        <w:jc w:val="both"/>
        <w:rPr>
          <w:rFonts w:ascii="Bookman Old Style" w:hAnsi="Bookman Old Style"/>
        </w:rPr>
      </w:pPr>
      <w:r>
        <w:rPr>
          <w:rFonts w:ascii="Bookman Old Style" w:hAnsi="Bookman Old Style"/>
        </w:rPr>
        <w:t>Por lo anterior, los activos a reconocer, conforme a lo establecido en la Resolución CREG 097 de 2008 son:</w:t>
      </w:r>
    </w:p>
    <w:p w:rsidR="00C64ECC" w:rsidRDefault="00C64ECC" w:rsidP="00C64ECC">
      <w:pPr>
        <w:ind w:left="0"/>
        <w:jc w:val="center"/>
        <w:rPr>
          <w:rFonts w:ascii="Bookman Old Style" w:hAnsi="Bookman Old Style"/>
        </w:rPr>
      </w:pPr>
      <w:r w:rsidRPr="00E0645A">
        <w:rPr>
          <w:noProof/>
          <w:lang w:val="es-CO" w:eastAsia="es-CO"/>
        </w:rPr>
        <w:drawing>
          <wp:inline distT="0" distB="0" distL="0" distR="0" wp14:anchorId="0B57450D" wp14:editId="2E00B554">
            <wp:extent cx="5343803" cy="1478943"/>
            <wp:effectExtent l="0" t="0" r="9525" b="698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6774" cy="1482533"/>
                    </a:xfrm>
                    <a:prstGeom prst="rect">
                      <a:avLst/>
                    </a:prstGeom>
                    <a:noFill/>
                    <a:ln>
                      <a:noFill/>
                    </a:ln>
                  </pic:spPr>
                </pic:pic>
              </a:graphicData>
            </a:graphic>
          </wp:inline>
        </w:drawing>
      </w:r>
    </w:p>
    <w:p w:rsidR="00C64ECC" w:rsidRDefault="00C64ECC" w:rsidP="00C64ECC">
      <w:pPr>
        <w:ind w:left="0"/>
        <w:jc w:val="both"/>
        <w:rPr>
          <w:rFonts w:ascii="Bookman Old Style" w:hAnsi="Bookman Old Style"/>
        </w:rPr>
      </w:pPr>
    </w:p>
    <w:p w:rsidR="00C64ECC" w:rsidRDefault="00C64ECC" w:rsidP="00C64ECC">
      <w:pPr>
        <w:ind w:left="0"/>
        <w:jc w:val="both"/>
        <w:rPr>
          <w:rFonts w:ascii="Bookman Old Style" w:hAnsi="Bookman Old Style"/>
        </w:rPr>
      </w:pPr>
      <w:r>
        <w:rPr>
          <w:rFonts w:ascii="Bookman Old Style" w:hAnsi="Bookman Old Style"/>
        </w:rPr>
        <w:t xml:space="preserve">Ahora bien, mediante </w:t>
      </w:r>
      <w:r w:rsidRPr="001B6623">
        <w:rPr>
          <w:rFonts w:ascii="Bookman Old Style" w:hAnsi="Bookman Old Style"/>
        </w:rPr>
        <w:t xml:space="preserve">la Resolución CREG 019 de 2010 </w:t>
      </w:r>
      <w:r>
        <w:rPr>
          <w:rFonts w:ascii="Bookman Old Style" w:hAnsi="Bookman Old Style"/>
        </w:rPr>
        <w:t xml:space="preserve">se efectuó el </w:t>
      </w:r>
      <w:r w:rsidRPr="00FC3151">
        <w:rPr>
          <w:rFonts w:ascii="Bookman Old Style" w:hAnsi="Bookman Old Style"/>
        </w:rPr>
        <w:t>reconocimiento de cargos de distribución a la empresa Centrales Eléctricas de Nariño S.A. E.S.P. y se le reconocieron entre otros, los activos que se enuncian a continuación y que deben ser excluidos de la correspondiente base de activos de la empresa, a fin de poder realizar el reconocimiento completo de los activos nuevos, que originaron la solicitud de</w:t>
      </w:r>
      <w:r>
        <w:rPr>
          <w:rFonts w:ascii="Bookman Old Style" w:hAnsi="Bookman Old Style"/>
        </w:rPr>
        <w:t xml:space="preserve"> actualización que se resuelve.</w:t>
      </w:r>
    </w:p>
    <w:p w:rsidR="00C64ECC" w:rsidRPr="00C4031B" w:rsidRDefault="00C64ECC" w:rsidP="00C64ECC">
      <w:pPr>
        <w:ind w:left="0"/>
        <w:jc w:val="both"/>
        <w:rPr>
          <w:rFonts w:ascii="Bookman Old Style" w:hAnsi="Bookman Old Style"/>
          <w:sz w:val="18"/>
        </w:rPr>
      </w:pPr>
    </w:p>
    <w:p w:rsidR="00C64ECC" w:rsidRDefault="00C64ECC" w:rsidP="00C64ECC">
      <w:pPr>
        <w:ind w:left="0"/>
        <w:jc w:val="both"/>
        <w:rPr>
          <w:rFonts w:ascii="Bookman Old Style" w:hAnsi="Bookman Old Style"/>
        </w:rPr>
      </w:pPr>
      <w:r>
        <w:rPr>
          <w:rFonts w:ascii="Bookman Old Style" w:hAnsi="Bookman Old Style"/>
        </w:rPr>
        <w:t xml:space="preserve">Los elementos que se excluyen del </w:t>
      </w:r>
      <w:r w:rsidRPr="001B6623">
        <w:rPr>
          <w:rFonts w:ascii="Bookman Old Style" w:hAnsi="Bookman Old Style"/>
        </w:rPr>
        <w:t xml:space="preserve">inventario de activos de la empresa </w:t>
      </w:r>
      <w:r>
        <w:rPr>
          <w:rFonts w:ascii="Bookman Old Style" w:hAnsi="Bookman Old Style"/>
        </w:rPr>
        <w:t>son:</w:t>
      </w:r>
    </w:p>
    <w:p w:rsidR="00C4031B" w:rsidRPr="00C4031B" w:rsidRDefault="00C4031B" w:rsidP="00C64ECC">
      <w:pPr>
        <w:ind w:left="0"/>
        <w:jc w:val="both"/>
        <w:rPr>
          <w:rFonts w:ascii="Bookman Old Style" w:hAnsi="Bookman Old Style"/>
          <w:sz w:val="4"/>
        </w:rPr>
      </w:pPr>
    </w:p>
    <w:p w:rsidR="00C64ECC" w:rsidRDefault="00C64ECC" w:rsidP="00C64ECC">
      <w:pPr>
        <w:ind w:left="0"/>
        <w:jc w:val="center"/>
        <w:rPr>
          <w:rFonts w:ascii="Bookman Old Style" w:hAnsi="Bookman Old Style"/>
        </w:rPr>
      </w:pPr>
      <w:r w:rsidRPr="00E0645A">
        <w:rPr>
          <w:noProof/>
          <w:lang w:val="es-CO" w:eastAsia="es-CO"/>
        </w:rPr>
        <w:drawing>
          <wp:inline distT="0" distB="0" distL="0" distR="0" wp14:anchorId="6C39146E" wp14:editId="64D1B3A6">
            <wp:extent cx="4400550" cy="1664656"/>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5719" cy="1674177"/>
                    </a:xfrm>
                    <a:prstGeom prst="rect">
                      <a:avLst/>
                    </a:prstGeom>
                    <a:noFill/>
                    <a:ln>
                      <a:noFill/>
                    </a:ln>
                  </pic:spPr>
                </pic:pic>
              </a:graphicData>
            </a:graphic>
          </wp:inline>
        </w:drawing>
      </w:r>
    </w:p>
    <w:p w:rsidR="00C64ECC" w:rsidRPr="00602242" w:rsidRDefault="00C64ECC" w:rsidP="00C64ECC">
      <w:pPr>
        <w:ind w:left="0"/>
        <w:jc w:val="both"/>
        <w:rPr>
          <w:rFonts w:ascii="Bookman Old Style" w:hAnsi="Bookman Old Style"/>
        </w:rPr>
      </w:pPr>
      <w:r w:rsidRPr="00602242">
        <w:rPr>
          <w:rFonts w:ascii="Bookman Old Style" w:hAnsi="Bookman Old Style"/>
        </w:rPr>
        <w:lastRenderedPageBreak/>
        <w:t xml:space="preserve">Como resultado del análisis de la información entregada durante la actuación administrativa por </w:t>
      </w:r>
      <w:r>
        <w:rPr>
          <w:rFonts w:ascii="Bookman Old Style" w:hAnsi="Bookman Old Style"/>
        </w:rPr>
        <w:t>Centrales Eléctricas de Nariño S.A</w:t>
      </w:r>
      <w:r w:rsidRPr="00602242">
        <w:rPr>
          <w:rFonts w:ascii="Bookman Old Style" w:hAnsi="Bookman Old Style"/>
        </w:rPr>
        <w:t>. E.S.P., C</w:t>
      </w:r>
      <w:r>
        <w:rPr>
          <w:rFonts w:ascii="Bookman Old Style" w:hAnsi="Bookman Old Style"/>
        </w:rPr>
        <w:t>edenar</w:t>
      </w:r>
      <w:r w:rsidRPr="00602242">
        <w:rPr>
          <w:rFonts w:ascii="Bookman Old Style" w:hAnsi="Bookman Old Style"/>
        </w:rPr>
        <w:t>, se ajustó el inve</w:t>
      </w:r>
      <w:r>
        <w:rPr>
          <w:rFonts w:ascii="Bookman Old Style" w:hAnsi="Bookman Old Style"/>
        </w:rPr>
        <w:t>ntario de activos de la empresa y se aplicó la metodología para actualizar los costos de nivel de tensión 4 y cargos por uso de la empresa.</w:t>
      </w:r>
    </w:p>
    <w:p w:rsidR="00C64ECC" w:rsidRPr="00E569CC" w:rsidRDefault="00C64ECC" w:rsidP="00C64ECC">
      <w:pPr>
        <w:ind w:left="0"/>
        <w:jc w:val="both"/>
        <w:rPr>
          <w:rFonts w:ascii="Bookman Old Style" w:hAnsi="Bookman Old Style"/>
          <w:highlight w:val="yellow"/>
        </w:rPr>
      </w:pPr>
    </w:p>
    <w:p w:rsidR="00C64ECC" w:rsidRPr="00602242" w:rsidRDefault="00C64ECC" w:rsidP="00C64ECC">
      <w:pPr>
        <w:ind w:left="0"/>
        <w:jc w:val="both"/>
        <w:rPr>
          <w:rFonts w:ascii="Bookman Old Style" w:hAnsi="Bookman Old Style"/>
        </w:rPr>
      </w:pPr>
      <w:r>
        <w:rPr>
          <w:rFonts w:ascii="Bookman Old Style" w:hAnsi="Bookman Old Style"/>
        </w:rPr>
        <w:t>L</w:t>
      </w:r>
      <w:r w:rsidRPr="00602242">
        <w:rPr>
          <w:rFonts w:ascii="Bookman Old Style" w:hAnsi="Bookman Old Style"/>
        </w:rPr>
        <w:t xml:space="preserve">a Comisión, en sesión No. </w:t>
      </w:r>
      <w:r w:rsidR="00C4031B" w:rsidRPr="00C4031B">
        <w:rPr>
          <w:rFonts w:ascii="Bookman Old Style" w:hAnsi="Bookman Old Style"/>
        </w:rPr>
        <w:t>624</w:t>
      </w:r>
      <w:r w:rsidRPr="00C4031B">
        <w:rPr>
          <w:rFonts w:ascii="Bookman Old Style" w:hAnsi="Bookman Old Style"/>
        </w:rPr>
        <w:t xml:space="preserve"> del </w:t>
      </w:r>
      <w:r w:rsidR="00C4031B" w:rsidRPr="00C4031B">
        <w:rPr>
          <w:rFonts w:ascii="Bookman Old Style" w:hAnsi="Bookman Old Style"/>
        </w:rPr>
        <w:t>17</w:t>
      </w:r>
      <w:r w:rsidRPr="00C4031B">
        <w:rPr>
          <w:rFonts w:ascii="Bookman Old Style" w:hAnsi="Bookman Old Style"/>
        </w:rPr>
        <w:t xml:space="preserve"> de </w:t>
      </w:r>
      <w:r w:rsidR="00C4031B" w:rsidRPr="00C4031B">
        <w:rPr>
          <w:rFonts w:ascii="Bookman Old Style" w:hAnsi="Bookman Old Style"/>
        </w:rPr>
        <w:t>octubre</w:t>
      </w:r>
      <w:r w:rsidRPr="00C4031B">
        <w:rPr>
          <w:rFonts w:ascii="Bookman Old Style" w:hAnsi="Bookman Old Style"/>
        </w:rPr>
        <w:t xml:space="preserve"> de 2014,</w:t>
      </w:r>
      <w:r w:rsidRPr="00602242">
        <w:rPr>
          <w:rFonts w:ascii="Bookman Old Style" w:hAnsi="Bookman Old Style"/>
        </w:rPr>
        <w:t xml:space="preserve"> aprobó modificar el Costo Anual por el Uso de los Activos de Nivel de Tensión 4</w:t>
      </w:r>
      <w:r w:rsidRPr="00602242">
        <w:rPr>
          <w:rFonts w:ascii="Bookman Old Style" w:hAnsi="Bookman Old Style" w:cs="Arial"/>
        </w:rPr>
        <w:t xml:space="preserve"> </w:t>
      </w:r>
      <w:r>
        <w:rPr>
          <w:rFonts w:ascii="Bookman Old Style" w:hAnsi="Bookman Old Style" w:cs="Arial"/>
        </w:rPr>
        <w:t xml:space="preserve">y </w:t>
      </w:r>
      <w:r>
        <w:rPr>
          <w:rFonts w:ascii="Bookman Old Style" w:hAnsi="Bookman Old Style"/>
        </w:rPr>
        <w:t>Centrales Eléctricas de Nariño S.A</w:t>
      </w:r>
      <w:r w:rsidRPr="00602242">
        <w:rPr>
          <w:rFonts w:ascii="Bookman Old Style" w:hAnsi="Bookman Old Style"/>
        </w:rPr>
        <w:t>. E.S.P., C</w:t>
      </w:r>
      <w:r>
        <w:rPr>
          <w:rFonts w:ascii="Bookman Old Style" w:hAnsi="Bookman Old Style"/>
        </w:rPr>
        <w:t>edenar</w:t>
      </w:r>
      <w:r w:rsidRPr="00602242">
        <w:rPr>
          <w:rFonts w:ascii="Bookman Old Style" w:hAnsi="Bookman Old Style"/>
        </w:rPr>
        <w:t>,</w:t>
      </w:r>
      <w:r w:rsidRPr="00602242">
        <w:rPr>
          <w:rFonts w:ascii="Bookman Old Style" w:hAnsi="Bookman Old Style" w:cs="Arial"/>
        </w:rPr>
        <w:t xml:space="preserve"> por la entrada en operación comercial del </w:t>
      </w:r>
      <w:r>
        <w:rPr>
          <w:rFonts w:ascii="Bookman Old Style" w:hAnsi="Bookman Old Style" w:cs="Arial"/>
        </w:rPr>
        <w:t>sistema de gestión de la distribución</w:t>
      </w:r>
      <w:r w:rsidRPr="00602242">
        <w:rPr>
          <w:rFonts w:ascii="Bookman Old Style" w:hAnsi="Bookman Old Style" w:cs="Arial"/>
        </w:rPr>
        <w:t>.</w:t>
      </w:r>
    </w:p>
    <w:p w:rsidR="00C64ECC" w:rsidRPr="00602242" w:rsidRDefault="00C64ECC" w:rsidP="00C64ECC">
      <w:pPr>
        <w:ind w:left="0"/>
        <w:jc w:val="both"/>
        <w:rPr>
          <w:rFonts w:ascii="Bookman Old Style" w:hAnsi="Bookman Old Style"/>
        </w:rPr>
      </w:pPr>
    </w:p>
    <w:p w:rsidR="00C64ECC" w:rsidRPr="00B53E70" w:rsidRDefault="00C64ECC" w:rsidP="00C64ECC">
      <w:pPr>
        <w:suppressAutoHyphens/>
        <w:jc w:val="center"/>
        <w:rPr>
          <w:rFonts w:ascii="Bookman Old Style" w:hAnsi="Bookman Old Style" w:cs="Arial"/>
          <w:spacing w:val="-3"/>
        </w:rPr>
      </w:pPr>
    </w:p>
    <w:p w:rsidR="00C64ECC" w:rsidRPr="00602242" w:rsidRDefault="00C64ECC" w:rsidP="00C64ECC">
      <w:pPr>
        <w:keepNext/>
        <w:suppressAutoHyphens/>
        <w:jc w:val="center"/>
        <w:rPr>
          <w:rFonts w:ascii="Bookman Old Style" w:hAnsi="Bookman Old Style" w:cs="Arial"/>
          <w:spacing w:val="-3"/>
          <w:sz w:val="26"/>
        </w:rPr>
      </w:pPr>
      <w:r w:rsidRPr="00602242">
        <w:rPr>
          <w:rFonts w:ascii="Bookman Old Style" w:hAnsi="Bookman Old Style" w:cs="Arial"/>
          <w:b/>
          <w:spacing w:val="-3"/>
          <w:sz w:val="26"/>
        </w:rPr>
        <w:t>R E S U E L V E:</w:t>
      </w:r>
    </w:p>
    <w:p w:rsidR="00C64ECC" w:rsidRPr="00602242" w:rsidRDefault="00C64ECC" w:rsidP="00C64ECC">
      <w:pPr>
        <w:jc w:val="center"/>
        <w:rPr>
          <w:rFonts w:ascii="Bookman Old Style" w:hAnsi="Bookman Old Style"/>
        </w:rPr>
      </w:pPr>
    </w:p>
    <w:p w:rsidR="00C64ECC" w:rsidRPr="00602242" w:rsidRDefault="00C64ECC" w:rsidP="00C64ECC">
      <w:pPr>
        <w:jc w:val="center"/>
        <w:rPr>
          <w:rFonts w:ascii="Bookman Old Style" w:hAnsi="Bookman Old Style"/>
        </w:rPr>
      </w:pPr>
    </w:p>
    <w:p w:rsidR="00C64ECC" w:rsidRPr="00384D65" w:rsidRDefault="00C64ECC" w:rsidP="00C64ECC">
      <w:pPr>
        <w:widowControl w:val="0"/>
        <w:numPr>
          <w:ilvl w:val="0"/>
          <w:numId w:val="16"/>
        </w:numPr>
        <w:adjustRightInd w:val="0"/>
        <w:jc w:val="both"/>
        <w:textAlignment w:val="baseline"/>
        <w:rPr>
          <w:rFonts w:ascii="Bookman Old Style" w:hAnsi="Bookman Old Style"/>
        </w:rPr>
      </w:pPr>
      <w:r w:rsidRPr="00384D65">
        <w:rPr>
          <w:rFonts w:ascii="Bookman Old Style" w:hAnsi="Bookman Old Style"/>
        </w:rPr>
        <w:t xml:space="preserve">El Artículo 1 de la Resolución CREG </w:t>
      </w:r>
      <w:r>
        <w:rPr>
          <w:rFonts w:ascii="Bookman Old Style" w:hAnsi="Bookman Old Style"/>
        </w:rPr>
        <w:t>019</w:t>
      </w:r>
      <w:r w:rsidRPr="00384D65">
        <w:rPr>
          <w:rFonts w:ascii="Bookman Old Style" w:hAnsi="Bookman Old Style"/>
        </w:rPr>
        <w:t xml:space="preserve"> de 20</w:t>
      </w:r>
      <w:r>
        <w:rPr>
          <w:rFonts w:ascii="Bookman Old Style" w:hAnsi="Bookman Old Style"/>
        </w:rPr>
        <w:t>10</w:t>
      </w:r>
      <w:r w:rsidRPr="00384D65">
        <w:rPr>
          <w:rFonts w:ascii="Bookman Old Style" w:hAnsi="Bookman Old Style"/>
        </w:rPr>
        <w:t xml:space="preserve">, </w:t>
      </w:r>
      <w:r>
        <w:rPr>
          <w:rFonts w:ascii="Bookman Old Style" w:hAnsi="Bookman Old Style"/>
        </w:rPr>
        <w:t xml:space="preserve">modificada por la Resolución CREG </w:t>
      </w:r>
      <w:r w:rsidR="005D3CEF">
        <w:rPr>
          <w:rFonts w:ascii="Bookman Old Style" w:hAnsi="Bookman Old Style"/>
        </w:rPr>
        <w:t xml:space="preserve">088 de 2014 </w:t>
      </w:r>
      <w:r w:rsidRPr="00384D65">
        <w:rPr>
          <w:rFonts w:ascii="Bookman Old Style" w:hAnsi="Bookman Old Style"/>
        </w:rPr>
        <w:t>queda así:</w:t>
      </w:r>
    </w:p>
    <w:p w:rsidR="00C64ECC" w:rsidRPr="00384D65" w:rsidRDefault="00C64ECC" w:rsidP="00C64ECC">
      <w:pPr>
        <w:widowControl w:val="0"/>
        <w:adjustRightInd w:val="0"/>
        <w:ind w:left="1361"/>
        <w:jc w:val="both"/>
        <w:textAlignment w:val="baseline"/>
        <w:rPr>
          <w:rFonts w:ascii="Bookman Old Style" w:hAnsi="Bookman Old Style"/>
        </w:rPr>
      </w:pPr>
    </w:p>
    <w:p w:rsidR="00C64ECC" w:rsidRPr="001E1A2C" w:rsidRDefault="00C64ECC" w:rsidP="00C64ECC">
      <w:pPr>
        <w:pStyle w:val="Cita"/>
        <w:rPr>
          <w:sz w:val="24"/>
          <w:lang w:val="es-CO"/>
        </w:rPr>
      </w:pPr>
      <w:r w:rsidRPr="001E1A2C">
        <w:rPr>
          <w:b/>
          <w:sz w:val="24"/>
          <w:lang w:val="es-CO"/>
        </w:rPr>
        <w:t>“Artículo 1. Costo Anual por el uso de los activos del Nivel de Tensión 4.</w:t>
      </w:r>
      <w:r w:rsidRPr="001E1A2C">
        <w:rPr>
          <w:sz w:val="24"/>
          <w:lang w:val="es-CO"/>
        </w:rPr>
        <w:t xml:space="preserve"> El Costo Anual por el Uso de los Activos del Nivel de Tensión 4 operados por Centrales Eléctricas de Nariño S.A. E.S.P. Cedenar</w:t>
      </w:r>
      <w:r w:rsidRPr="001E1A2C">
        <w:rPr>
          <w:sz w:val="24"/>
        </w:rPr>
        <w:t>,</w:t>
      </w:r>
      <w:r w:rsidRPr="001E1A2C">
        <w:rPr>
          <w:sz w:val="24"/>
          <w:lang w:val="es-CO"/>
        </w:rPr>
        <w:t xml:space="preserve"> calculado en la forma establecida en la Resolución CREG 097 de 2008, es el siguiente:</w:t>
      </w:r>
    </w:p>
    <w:p w:rsidR="00C64ECC" w:rsidRPr="001E1A2C" w:rsidRDefault="00C64ECC" w:rsidP="00A819FC">
      <w:pPr>
        <w:pStyle w:val="Cita"/>
        <w:jc w:val="center"/>
        <w:rPr>
          <w:lang w:val="es-CO"/>
        </w:rPr>
      </w:pPr>
      <w:r w:rsidRPr="009F0938">
        <w:rPr>
          <w:noProof/>
          <w:lang w:val="es-CO" w:eastAsia="es-CO"/>
        </w:rPr>
        <w:drawing>
          <wp:inline distT="0" distB="0" distL="0" distR="0" wp14:anchorId="5BE5D287" wp14:editId="1ACA5C1D">
            <wp:extent cx="5035693" cy="6679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2984" cy="675509"/>
                    </a:xfrm>
                    <a:prstGeom prst="rect">
                      <a:avLst/>
                    </a:prstGeom>
                    <a:noFill/>
                    <a:ln>
                      <a:noFill/>
                    </a:ln>
                  </pic:spPr>
                </pic:pic>
              </a:graphicData>
            </a:graphic>
          </wp:inline>
        </w:drawing>
      </w:r>
      <w:r w:rsidRPr="001E1A2C">
        <w:rPr>
          <w:lang w:val="es-CO"/>
        </w:rPr>
        <w:t>”</w:t>
      </w:r>
    </w:p>
    <w:p w:rsidR="00C64ECC" w:rsidRPr="00384D65" w:rsidRDefault="00C64ECC" w:rsidP="00C64ECC">
      <w:pPr>
        <w:widowControl w:val="0"/>
        <w:adjustRightInd w:val="0"/>
        <w:jc w:val="both"/>
        <w:textAlignment w:val="baseline"/>
        <w:rPr>
          <w:rFonts w:ascii="Bookman Old Style" w:hAnsi="Bookman Old Style"/>
        </w:rPr>
      </w:pPr>
    </w:p>
    <w:p w:rsidR="00C64ECC" w:rsidRDefault="00C64ECC" w:rsidP="00C64ECC">
      <w:pPr>
        <w:widowControl w:val="0"/>
        <w:numPr>
          <w:ilvl w:val="0"/>
          <w:numId w:val="16"/>
        </w:numPr>
        <w:adjustRightInd w:val="0"/>
        <w:jc w:val="both"/>
        <w:textAlignment w:val="baseline"/>
        <w:rPr>
          <w:rFonts w:ascii="Bookman Old Style" w:hAnsi="Bookman Old Style"/>
        </w:rPr>
      </w:pPr>
      <w:r>
        <w:rPr>
          <w:rFonts w:ascii="Bookman Old Style" w:hAnsi="Bookman Old Style"/>
        </w:rPr>
        <w:t xml:space="preserve">El artículo 2 de la </w:t>
      </w:r>
      <w:r w:rsidRPr="007B792F">
        <w:rPr>
          <w:rFonts w:ascii="Bookman Old Style" w:hAnsi="Bookman Old Style"/>
        </w:rPr>
        <w:t xml:space="preserve">Resolución CREG </w:t>
      </w:r>
      <w:r>
        <w:rPr>
          <w:rFonts w:ascii="Bookman Old Style" w:hAnsi="Bookman Old Style"/>
        </w:rPr>
        <w:t>019 de 2010, queda así:</w:t>
      </w:r>
    </w:p>
    <w:p w:rsidR="00C4031B" w:rsidRDefault="00C4031B" w:rsidP="00C4031B">
      <w:pPr>
        <w:widowControl w:val="0"/>
        <w:adjustRightInd w:val="0"/>
        <w:ind w:left="1361"/>
        <w:jc w:val="both"/>
        <w:textAlignment w:val="baseline"/>
        <w:rPr>
          <w:rFonts w:ascii="Bookman Old Style" w:hAnsi="Bookman Old Style"/>
        </w:rPr>
      </w:pPr>
    </w:p>
    <w:p w:rsidR="00C64ECC" w:rsidRDefault="00C64ECC" w:rsidP="00C64ECC">
      <w:pPr>
        <w:pStyle w:val="Cita"/>
        <w:rPr>
          <w:sz w:val="24"/>
          <w:lang w:val="es-CO"/>
        </w:rPr>
      </w:pPr>
      <w:r>
        <w:rPr>
          <w:b/>
          <w:sz w:val="24"/>
          <w:lang w:val="es-CO"/>
        </w:rPr>
        <w:t>“</w:t>
      </w:r>
      <w:r w:rsidRPr="001E1A2C">
        <w:rPr>
          <w:b/>
          <w:sz w:val="24"/>
          <w:lang w:val="es-CO"/>
        </w:rPr>
        <w:t>Artículo 2.</w:t>
      </w:r>
      <w:r w:rsidRPr="001E1A2C">
        <w:rPr>
          <w:b/>
          <w:sz w:val="24"/>
          <w:lang w:val="es-CO"/>
        </w:rPr>
        <w:tab/>
        <w:t xml:space="preserve">Cargos Máximos de los niveles de tensión 3, 2 y 1. </w:t>
      </w:r>
      <w:r w:rsidRPr="001E1A2C">
        <w:rPr>
          <w:sz w:val="24"/>
          <w:lang w:val="es-CO"/>
        </w:rPr>
        <w:t>Los Cargos Máximos de los niveles de tensión 3, 2 y 1 del sistema operado por Centrales Eléctricas de Nariño S.A. E.S.P., calculados en la forma establecida en la Resolución CREG 097 de 2008, son los siguientes:</w:t>
      </w:r>
    </w:p>
    <w:p w:rsidR="00C64ECC" w:rsidRDefault="00C64ECC" w:rsidP="00A819FC">
      <w:pPr>
        <w:ind w:right="567"/>
        <w:jc w:val="center"/>
        <w:rPr>
          <w:lang w:val="es-CO"/>
        </w:rPr>
      </w:pPr>
      <w:r w:rsidRPr="009F0938">
        <w:rPr>
          <w:noProof/>
          <w:lang w:val="es-CO" w:eastAsia="es-CO"/>
        </w:rPr>
        <w:drawing>
          <wp:inline distT="0" distB="0" distL="0" distR="0" wp14:anchorId="603C7A8F" wp14:editId="0B36985E">
            <wp:extent cx="5264138" cy="135967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7363" cy="1360506"/>
                    </a:xfrm>
                    <a:prstGeom prst="rect">
                      <a:avLst/>
                    </a:prstGeom>
                    <a:noFill/>
                    <a:ln>
                      <a:noFill/>
                    </a:ln>
                  </pic:spPr>
                </pic:pic>
              </a:graphicData>
            </a:graphic>
          </wp:inline>
        </w:drawing>
      </w:r>
    </w:p>
    <w:p w:rsidR="00C64ECC" w:rsidRDefault="00C64ECC" w:rsidP="00C64ECC">
      <w:pPr>
        <w:rPr>
          <w:lang w:val="es-CO"/>
        </w:rPr>
      </w:pPr>
    </w:p>
    <w:p w:rsidR="00C64ECC" w:rsidRPr="00BD57E8" w:rsidRDefault="00C64ECC" w:rsidP="00C64ECC">
      <w:pPr>
        <w:ind w:right="425"/>
        <w:jc w:val="both"/>
        <w:rPr>
          <w:rFonts w:ascii="Bookman Old Style" w:hAnsi="Bookman Old Style"/>
          <w:i/>
          <w:iCs/>
          <w:color w:val="000000" w:themeColor="text1"/>
          <w:lang w:val="es-CO"/>
        </w:rPr>
      </w:pPr>
      <w:r w:rsidRPr="00BD57E8">
        <w:rPr>
          <w:rFonts w:ascii="Bookman Old Style" w:hAnsi="Bookman Old Style"/>
          <w:b/>
          <w:i/>
          <w:iCs/>
          <w:color w:val="000000" w:themeColor="text1"/>
          <w:lang w:val="es-CO"/>
        </w:rPr>
        <w:t>Parágrafo 1.</w:t>
      </w:r>
      <w:r w:rsidRPr="00BD57E8">
        <w:rPr>
          <w:rFonts w:ascii="Bookman Old Style" w:hAnsi="Bookman Old Style"/>
          <w:i/>
          <w:iCs/>
          <w:color w:val="000000" w:themeColor="text1"/>
          <w:lang w:val="es-CO"/>
        </w:rPr>
        <w:t xml:space="preserve"> Los cargos por uso resultantes de la aplicación de los Cargos Máximos de que trata el presente artículo serán liquidados y facturados por Centrales Eléctricas de Nariño S.A. E.S.P., a cada uno de los comercializadores que atienden usuarios finales conectados a su sistema en los niveles de tensión 3, 2 y 1. </w:t>
      </w:r>
    </w:p>
    <w:p w:rsidR="00C64ECC" w:rsidRPr="00BD57E8" w:rsidRDefault="00C64ECC" w:rsidP="00C64ECC">
      <w:pPr>
        <w:rPr>
          <w:rFonts w:ascii="Bookman Old Style" w:hAnsi="Bookman Old Style"/>
          <w:i/>
          <w:iCs/>
          <w:color w:val="000000" w:themeColor="text1"/>
          <w:lang w:val="es-CO"/>
        </w:rPr>
      </w:pPr>
    </w:p>
    <w:p w:rsidR="00C64ECC" w:rsidRPr="00BD57E8" w:rsidRDefault="00C64ECC" w:rsidP="00C64ECC">
      <w:pPr>
        <w:ind w:right="425"/>
        <w:jc w:val="both"/>
        <w:rPr>
          <w:rFonts w:ascii="Bookman Old Style" w:hAnsi="Bookman Old Style"/>
          <w:i/>
          <w:iCs/>
          <w:color w:val="000000" w:themeColor="text1"/>
          <w:lang w:val="es-CO"/>
        </w:rPr>
      </w:pPr>
      <w:r w:rsidRPr="00BD57E8">
        <w:rPr>
          <w:rFonts w:ascii="Bookman Old Style" w:hAnsi="Bookman Old Style"/>
          <w:b/>
          <w:i/>
          <w:iCs/>
          <w:color w:val="000000" w:themeColor="text1"/>
          <w:lang w:val="es-CO"/>
        </w:rPr>
        <w:lastRenderedPageBreak/>
        <w:t xml:space="preserve">Parágrafo 2. </w:t>
      </w:r>
      <w:r w:rsidRPr="00BD57E8">
        <w:rPr>
          <w:rFonts w:ascii="Bookman Old Style" w:hAnsi="Bookman Old Style"/>
          <w:i/>
          <w:iCs/>
          <w:color w:val="000000" w:themeColor="text1"/>
          <w:lang w:val="es-CO"/>
        </w:rPr>
        <w:t>Los Cargos Máximos de que trata este artículo serán liquidados y facturados por Centrales Eléctricas de Nariño S.A. E.S.P., a los OR que tomen energía de su sistema en estos niveles de tensión.</w:t>
      </w:r>
      <w:r>
        <w:rPr>
          <w:rFonts w:ascii="Bookman Old Style" w:hAnsi="Bookman Old Style"/>
          <w:i/>
          <w:iCs/>
          <w:color w:val="000000" w:themeColor="text1"/>
          <w:lang w:val="es-CO"/>
        </w:rPr>
        <w:t>”</w:t>
      </w:r>
    </w:p>
    <w:p w:rsidR="00C64ECC" w:rsidRPr="00BD57E8" w:rsidRDefault="00C64ECC" w:rsidP="00C64ECC">
      <w:pPr>
        <w:ind w:right="425"/>
        <w:jc w:val="both"/>
        <w:rPr>
          <w:rFonts w:ascii="Bookman Old Style" w:hAnsi="Bookman Old Style"/>
          <w:i/>
          <w:iCs/>
          <w:color w:val="000000" w:themeColor="text1"/>
          <w:lang w:val="es-CO"/>
        </w:rPr>
      </w:pPr>
    </w:p>
    <w:p w:rsidR="00C64ECC" w:rsidRPr="007B792F" w:rsidRDefault="00C64ECC" w:rsidP="00C64ECC">
      <w:pPr>
        <w:widowControl w:val="0"/>
        <w:numPr>
          <w:ilvl w:val="0"/>
          <w:numId w:val="16"/>
        </w:numPr>
        <w:adjustRightInd w:val="0"/>
        <w:jc w:val="both"/>
        <w:textAlignment w:val="baseline"/>
        <w:rPr>
          <w:rFonts w:ascii="Bookman Old Style" w:hAnsi="Bookman Old Style"/>
        </w:rPr>
      </w:pPr>
      <w:r w:rsidRPr="007B792F">
        <w:rPr>
          <w:rFonts w:ascii="Bookman Old Style" w:hAnsi="Bookman Old Style"/>
        </w:rPr>
        <w:t xml:space="preserve">El Artículo 5 de la Resolución CREG </w:t>
      </w:r>
      <w:r>
        <w:rPr>
          <w:rFonts w:ascii="Bookman Old Style" w:hAnsi="Bookman Old Style"/>
        </w:rPr>
        <w:t>019 de 2010</w:t>
      </w:r>
      <w:r w:rsidRPr="007B792F">
        <w:rPr>
          <w:rFonts w:ascii="Bookman Old Style" w:hAnsi="Bookman Old Style"/>
        </w:rPr>
        <w:t>, queda así:</w:t>
      </w:r>
    </w:p>
    <w:p w:rsidR="00C64ECC" w:rsidRPr="00C21A30" w:rsidRDefault="00C64ECC" w:rsidP="00C64ECC">
      <w:pPr>
        <w:pStyle w:val="Cita"/>
        <w:rPr>
          <w:sz w:val="24"/>
        </w:rPr>
      </w:pPr>
      <w:r w:rsidRPr="00C21A30">
        <w:rPr>
          <w:b/>
          <w:sz w:val="24"/>
          <w:lang w:val="es-CO"/>
        </w:rPr>
        <w:t>“</w:t>
      </w:r>
      <w:r w:rsidRPr="00C21A30">
        <w:rPr>
          <w:b/>
          <w:sz w:val="24"/>
        </w:rPr>
        <w:t xml:space="preserve">Artículo 5. Costos de reposición de la inversión. </w:t>
      </w:r>
      <w:r w:rsidRPr="00C21A30">
        <w:rPr>
          <w:sz w:val="24"/>
        </w:rPr>
        <w:t xml:space="preserve">Los costos de reposición de la inversión del OR </w:t>
      </w:r>
      <w:r w:rsidRPr="00C21A30">
        <w:rPr>
          <w:sz w:val="24"/>
          <w:lang w:val="es-CO"/>
        </w:rPr>
        <w:t>Centrales Eléctricas de Nariño S.A. E.S.P. Cedenar</w:t>
      </w:r>
      <w:r w:rsidRPr="00C21A30">
        <w:rPr>
          <w:sz w:val="24"/>
        </w:rPr>
        <w:t xml:space="preserve"> para cada nivel de tensión, calculados en la forma establecida en la Resolución CREG 097 de 2008, son los siguientes:</w:t>
      </w:r>
    </w:p>
    <w:p w:rsidR="00C64ECC" w:rsidRPr="00817F7A" w:rsidRDefault="00C64ECC" w:rsidP="00A819FC">
      <w:pPr>
        <w:widowControl w:val="0"/>
        <w:adjustRightInd w:val="0"/>
        <w:ind w:right="567"/>
        <w:jc w:val="center"/>
        <w:textAlignment w:val="baseline"/>
        <w:rPr>
          <w:rFonts w:ascii="Bookman Old Style" w:hAnsi="Bookman Old Style"/>
        </w:rPr>
      </w:pPr>
      <w:r w:rsidRPr="00EB3133">
        <w:rPr>
          <w:noProof/>
          <w:lang w:val="es-CO" w:eastAsia="es-CO"/>
        </w:rPr>
        <w:drawing>
          <wp:inline distT="0" distB="0" distL="0" distR="0" wp14:anchorId="48800E83" wp14:editId="73B9928D">
            <wp:extent cx="5128555" cy="1375576"/>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1687" cy="1379098"/>
                    </a:xfrm>
                    <a:prstGeom prst="rect">
                      <a:avLst/>
                    </a:prstGeom>
                    <a:noFill/>
                    <a:ln>
                      <a:noFill/>
                    </a:ln>
                  </pic:spPr>
                </pic:pic>
              </a:graphicData>
            </a:graphic>
          </wp:inline>
        </w:drawing>
      </w:r>
      <w:r>
        <w:rPr>
          <w:rFonts w:ascii="Bookman Old Style" w:hAnsi="Bookman Old Style"/>
        </w:rPr>
        <w:t>”</w:t>
      </w:r>
    </w:p>
    <w:p w:rsidR="00C64ECC" w:rsidRDefault="00C64ECC" w:rsidP="00C64ECC">
      <w:pPr>
        <w:widowControl w:val="0"/>
        <w:adjustRightInd w:val="0"/>
        <w:ind w:left="1361"/>
        <w:jc w:val="both"/>
        <w:textAlignment w:val="baseline"/>
        <w:rPr>
          <w:rFonts w:ascii="Bookman Old Style" w:hAnsi="Bookman Old Style"/>
        </w:rPr>
      </w:pPr>
    </w:p>
    <w:p w:rsidR="00C64ECC" w:rsidRPr="007F735F" w:rsidRDefault="00C64ECC" w:rsidP="00C64ECC">
      <w:pPr>
        <w:widowControl w:val="0"/>
        <w:numPr>
          <w:ilvl w:val="0"/>
          <w:numId w:val="16"/>
        </w:numPr>
        <w:adjustRightInd w:val="0"/>
        <w:jc w:val="both"/>
        <w:textAlignment w:val="baseline"/>
        <w:rPr>
          <w:rFonts w:ascii="Bookman Old Style" w:hAnsi="Bookman Old Style"/>
        </w:rPr>
      </w:pPr>
      <w:r w:rsidRPr="00BB1387">
        <w:rPr>
          <w:rFonts w:ascii="Bookman Old Style" w:hAnsi="Bookman Old Style"/>
          <w:b/>
        </w:rPr>
        <w:t>Vigencia.</w:t>
      </w:r>
      <w:r w:rsidRPr="007F735F">
        <w:rPr>
          <w:rFonts w:ascii="Bookman Old Style" w:hAnsi="Bookman Old Style"/>
        </w:rPr>
        <w:t xml:space="preserve"> </w:t>
      </w:r>
      <w:r w:rsidRPr="00417564">
        <w:rPr>
          <w:rFonts w:ascii="Bookman Old Style" w:hAnsi="Bookman Old Style"/>
        </w:rPr>
        <w:t xml:space="preserve">De conformidad con lo previsto por el artículo 19 de la Resolución CREG 097 de 2008, los cargos y valores </w:t>
      </w:r>
      <w:r>
        <w:rPr>
          <w:rFonts w:ascii="Bookman Old Style" w:hAnsi="Bookman Old Style"/>
        </w:rPr>
        <w:t xml:space="preserve">aquí </w:t>
      </w:r>
      <w:r w:rsidRPr="00417564">
        <w:rPr>
          <w:rFonts w:ascii="Bookman Old Style" w:hAnsi="Bookman Old Style"/>
        </w:rPr>
        <w:t xml:space="preserve">aprobados estarán vigentes desde la fecha en que quede en firme </w:t>
      </w:r>
      <w:r>
        <w:rPr>
          <w:rFonts w:ascii="Bookman Old Style" w:hAnsi="Bookman Old Style"/>
        </w:rPr>
        <w:t xml:space="preserve">la presente resolución </w:t>
      </w:r>
      <w:r w:rsidRPr="00417564">
        <w:rPr>
          <w:rFonts w:ascii="Bookman Old Style" w:hAnsi="Bookman Old Style"/>
        </w:rPr>
        <w:t xml:space="preserve">y </w:t>
      </w:r>
      <w:r>
        <w:rPr>
          <w:rFonts w:ascii="Bookman Old Style" w:hAnsi="Bookman Old Style"/>
        </w:rPr>
        <w:t xml:space="preserve">por el periodo que establezca la regulación. </w:t>
      </w:r>
      <w:r w:rsidRPr="00417564">
        <w:rPr>
          <w:rFonts w:ascii="Bookman Old Style" w:hAnsi="Bookman Old Style"/>
        </w:rPr>
        <w:t>Vencido su período de vigencia, continuarán rigiendo hasta que la Comisión apruebe los nuevos.</w:t>
      </w:r>
    </w:p>
    <w:p w:rsidR="00C64ECC" w:rsidRDefault="00C64ECC" w:rsidP="00C64ECC">
      <w:pPr>
        <w:rPr>
          <w:rFonts w:ascii="Bookman Old Style" w:hAnsi="Bookman Old Style"/>
          <w:b/>
          <w:bCs/>
        </w:rPr>
      </w:pPr>
    </w:p>
    <w:p w:rsidR="00C64ECC" w:rsidRPr="00BB1387" w:rsidRDefault="00C64ECC" w:rsidP="00C64ECC">
      <w:pPr>
        <w:widowControl w:val="0"/>
        <w:numPr>
          <w:ilvl w:val="0"/>
          <w:numId w:val="16"/>
        </w:numPr>
        <w:adjustRightInd w:val="0"/>
        <w:jc w:val="both"/>
        <w:textAlignment w:val="baseline"/>
        <w:rPr>
          <w:rFonts w:ascii="Bookman Old Style" w:hAnsi="Bookman Old Style"/>
          <w:b/>
        </w:rPr>
      </w:pPr>
      <w:r w:rsidRPr="00BB1387">
        <w:rPr>
          <w:rFonts w:ascii="Bookman Old Style" w:hAnsi="Bookman Old Style"/>
          <w:b/>
        </w:rPr>
        <w:t xml:space="preserve">Recursos. </w:t>
      </w:r>
      <w:r w:rsidRPr="00BB1387">
        <w:rPr>
          <w:rFonts w:ascii="Bookman Old Style" w:hAnsi="Bookman Old Style"/>
        </w:rPr>
        <w:t xml:space="preserve">La presente Resolución deberá notificarse a </w:t>
      </w:r>
      <w:r>
        <w:rPr>
          <w:rFonts w:ascii="Bookman Old Style" w:hAnsi="Bookman Old Style"/>
          <w:lang w:val="es-CO"/>
        </w:rPr>
        <w:t>Centrales Eléctricas de Nariño S.A. E.S.P. Cedenar</w:t>
      </w:r>
      <w:r w:rsidRPr="00384D65">
        <w:rPr>
          <w:rFonts w:ascii="Bookman Old Style" w:hAnsi="Bookman Old Style"/>
        </w:rPr>
        <w:t>,</w:t>
      </w:r>
      <w:r w:rsidRPr="000D33E7">
        <w:rPr>
          <w:rFonts w:ascii="Bookman Old Style" w:hAnsi="Bookman Old Style"/>
        </w:rPr>
        <w:t xml:space="preserve"> </w:t>
      </w:r>
      <w:r>
        <w:rPr>
          <w:rFonts w:ascii="Bookman Old Style" w:hAnsi="Bookman Old Style"/>
        </w:rPr>
        <w:t xml:space="preserve"> e informarle que c</w:t>
      </w:r>
      <w:r w:rsidRPr="00BB1387">
        <w:rPr>
          <w:rFonts w:ascii="Bookman Old Style" w:hAnsi="Bookman Old Style"/>
        </w:rPr>
        <w:t>ontra lo dispuesto en este acto procede el recurso de reposición, el cual se podrá interponer ante la Dirección Ejecutiva de la CREG dentro de los cinco (5) días hábiles siguientes a la fecha de su notificación.</w:t>
      </w:r>
    </w:p>
    <w:p w:rsidR="00C64ECC" w:rsidRPr="006B71CD" w:rsidRDefault="00C64ECC" w:rsidP="00C64ECC">
      <w:pPr>
        <w:widowControl w:val="0"/>
        <w:adjustRightInd w:val="0"/>
        <w:ind w:left="1361"/>
        <w:jc w:val="both"/>
        <w:textAlignment w:val="baseline"/>
        <w:rPr>
          <w:rFonts w:ascii="Bookman Old Style" w:hAnsi="Bookman Old Style"/>
        </w:rPr>
      </w:pPr>
    </w:p>
    <w:p w:rsidR="00C4031B" w:rsidRDefault="00C4031B" w:rsidP="00C64ECC">
      <w:pPr>
        <w:ind w:left="0"/>
        <w:jc w:val="center"/>
        <w:rPr>
          <w:rFonts w:ascii="Bookman Old Style" w:hAnsi="Bookman Old Style"/>
          <w:b/>
        </w:rPr>
      </w:pPr>
    </w:p>
    <w:p w:rsidR="00C64ECC" w:rsidRPr="000058F4" w:rsidRDefault="00C64ECC" w:rsidP="00C64ECC">
      <w:pPr>
        <w:ind w:left="0"/>
        <w:jc w:val="center"/>
        <w:rPr>
          <w:rFonts w:ascii="Bookman Old Style" w:hAnsi="Bookman Old Style"/>
          <w:b/>
        </w:rPr>
      </w:pPr>
      <w:r w:rsidRPr="000058F4">
        <w:rPr>
          <w:rFonts w:ascii="Bookman Old Style" w:hAnsi="Bookman Old Style"/>
          <w:b/>
        </w:rPr>
        <w:t>NOTIFÍQUESE</w:t>
      </w:r>
      <w:r>
        <w:rPr>
          <w:rFonts w:ascii="Bookman Old Style" w:hAnsi="Bookman Old Style"/>
          <w:b/>
        </w:rPr>
        <w:t>, PUBLÍQUESE</w:t>
      </w:r>
      <w:r w:rsidRPr="000058F4">
        <w:rPr>
          <w:rFonts w:ascii="Bookman Old Style" w:hAnsi="Bookman Old Style"/>
          <w:b/>
        </w:rPr>
        <w:t xml:space="preserve"> Y CÚMPLASE</w:t>
      </w:r>
    </w:p>
    <w:p w:rsidR="00C64ECC" w:rsidRPr="000058F4" w:rsidRDefault="00C64ECC" w:rsidP="00C64ECC">
      <w:pPr>
        <w:ind w:left="0"/>
        <w:rPr>
          <w:rFonts w:ascii="Bookman Old Style" w:hAnsi="Bookman Old Style"/>
        </w:rPr>
      </w:pPr>
    </w:p>
    <w:p w:rsidR="00C64ECC" w:rsidRPr="000058F4" w:rsidRDefault="00C64ECC" w:rsidP="00C64ECC">
      <w:pPr>
        <w:ind w:left="0"/>
        <w:rPr>
          <w:rFonts w:ascii="Bookman Old Style" w:hAnsi="Bookman Old Style"/>
        </w:rPr>
      </w:pPr>
    </w:p>
    <w:p w:rsidR="00C64ECC" w:rsidRPr="000058F4" w:rsidRDefault="00C64ECC" w:rsidP="00C64ECC">
      <w:pPr>
        <w:ind w:left="0"/>
        <w:rPr>
          <w:rFonts w:ascii="Bookman Old Style" w:hAnsi="Bookman Old Style"/>
        </w:rPr>
      </w:pPr>
      <w:r w:rsidRPr="000058F4">
        <w:rPr>
          <w:rFonts w:ascii="Bookman Old Style" w:hAnsi="Bookman Old Style"/>
        </w:rPr>
        <w:t>Dada en Bogotá. D. C., a los</w:t>
      </w:r>
    </w:p>
    <w:p w:rsidR="00C64ECC" w:rsidRDefault="00C64ECC" w:rsidP="00C64ECC">
      <w:pPr>
        <w:rPr>
          <w:rFonts w:ascii="Bookman Old Style" w:hAnsi="Bookman Old Style"/>
        </w:rPr>
      </w:pPr>
    </w:p>
    <w:p w:rsidR="00C64ECC" w:rsidRDefault="00C64ECC" w:rsidP="00C64ECC">
      <w:pPr>
        <w:rPr>
          <w:rFonts w:ascii="Bookman Old Style" w:hAnsi="Bookman Old Style"/>
        </w:rPr>
      </w:pPr>
    </w:p>
    <w:p w:rsidR="00C64ECC" w:rsidRDefault="00C64ECC" w:rsidP="00C64ECC">
      <w:pPr>
        <w:rPr>
          <w:rFonts w:ascii="Bookman Old Style" w:hAnsi="Bookman Old Style"/>
        </w:rPr>
      </w:pPr>
    </w:p>
    <w:p w:rsidR="00C64ECC" w:rsidRDefault="00C64ECC" w:rsidP="00C64ECC">
      <w:pPr>
        <w:rPr>
          <w:rFonts w:ascii="Bookman Old Style" w:hAnsi="Bookman Old Style"/>
        </w:rPr>
      </w:pPr>
    </w:p>
    <w:p w:rsidR="00C64ECC" w:rsidRPr="000058F4" w:rsidRDefault="00C64ECC" w:rsidP="00C64ECC">
      <w:pPr>
        <w:rPr>
          <w:rFonts w:ascii="Bookman Old Style" w:hAnsi="Bookman Old Style"/>
        </w:rPr>
      </w:pPr>
    </w:p>
    <w:tbl>
      <w:tblPr>
        <w:tblW w:w="9640" w:type="dxa"/>
        <w:tblInd w:w="-142" w:type="dxa"/>
        <w:tblLayout w:type="fixed"/>
        <w:tblCellMar>
          <w:left w:w="0" w:type="dxa"/>
          <w:right w:w="0" w:type="dxa"/>
        </w:tblCellMar>
        <w:tblLook w:val="0000" w:firstRow="0" w:lastRow="0" w:firstColumn="0" w:lastColumn="0" w:noHBand="0" w:noVBand="0"/>
      </w:tblPr>
      <w:tblGrid>
        <w:gridCol w:w="4962"/>
        <w:gridCol w:w="4678"/>
      </w:tblGrid>
      <w:tr w:rsidR="00C64ECC" w:rsidRPr="000377B0" w:rsidTr="00A45278">
        <w:tc>
          <w:tcPr>
            <w:tcW w:w="4962" w:type="dxa"/>
          </w:tcPr>
          <w:p w:rsidR="00C64ECC" w:rsidRPr="000377B0" w:rsidRDefault="00C64ECC" w:rsidP="00A45278">
            <w:pPr>
              <w:snapToGrid w:val="0"/>
              <w:ind w:left="0"/>
              <w:jc w:val="center"/>
              <w:rPr>
                <w:rFonts w:ascii="Bookman Old Style" w:hAnsi="Bookman Old Style" w:cs="Arial"/>
                <w:b/>
                <w:bCs/>
                <w:szCs w:val="22"/>
              </w:rPr>
            </w:pPr>
            <w:r>
              <w:rPr>
                <w:rFonts w:ascii="Bookman Old Style" w:hAnsi="Bookman Old Style" w:cs="Arial"/>
                <w:b/>
                <w:bCs/>
                <w:szCs w:val="22"/>
              </w:rPr>
              <w:t>CARLOS FERNANDO ERASO CALERO</w:t>
            </w:r>
          </w:p>
        </w:tc>
        <w:tc>
          <w:tcPr>
            <w:tcW w:w="4678" w:type="dxa"/>
          </w:tcPr>
          <w:p w:rsidR="00C64ECC" w:rsidRPr="000377B0" w:rsidRDefault="00C64ECC" w:rsidP="00A45278">
            <w:pPr>
              <w:snapToGrid w:val="0"/>
              <w:ind w:left="0"/>
              <w:jc w:val="center"/>
              <w:rPr>
                <w:rFonts w:ascii="Bookman Old Style" w:hAnsi="Bookman Old Style" w:cs="Arial"/>
                <w:b/>
                <w:bCs/>
                <w:szCs w:val="22"/>
              </w:rPr>
            </w:pPr>
            <w:r>
              <w:rPr>
                <w:rFonts w:ascii="Bookman Old Style" w:hAnsi="Bookman Old Style" w:cs="Arial"/>
                <w:b/>
                <w:bCs/>
                <w:szCs w:val="22"/>
              </w:rPr>
              <w:t>JORGE PINTO NOLLA</w:t>
            </w:r>
          </w:p>
        </w:tc>
      </w:tr>
      <w:tr w:rsidR="00C64ECC" w:rsidRPr="000377B0" w:rsidTr="00A45278">
        <w:tc>
          <w:tcPr>
            <w:tcW w:w="4962" w:type="dxa"/>
          </w:tcPr>
          <w:p w:rsidR="00C64ECC" w:rsidRDefault="00C64ECC" w:rsidP="00A45278">
            <w:pPr>
              <w:snapToGrid w:val="0"/>
              <w:ind w:left="0"/>
              <w:jc w:val="center"/>
              <w:rPr>
                <w:rFonts w:ascii="Bookman Old Style" w:hAnsi="Bookman Old Style" w:cs="Arial"/>
                <w:szCs w:val="22"/>
              </w:rPr>
            </w:pPr>
            <w:r w:rsidRPr="000377B0">
              <w:rPr>
                <w:rFonts w:ascii="Bookman Old Style" w:hAnsi="Bookman Old Style" w:cs="Arial"/>
                <w:szCs w:val="22"/>
              </w:rPr>
              <w:t>Viceministro de Energía</w:t>
            </w:r>
          </w:p>
          <w:p w:rsidR="00C64ECC" w:rsidRPr="000377B0" w:rsidRDefault="00C64ECC" w:rsidP="00A45278">
            <w:pPr>
              <w:snapToGrid w:val="0"/>
              <w:ind w:left="0"/>
              <w:jc w:val="center"/>
              <w:rPr>
                <w:rFonts w:ascii="Bookman Old Style" w:hAnsi="Bookman Old Style" w:cs="Arial"/>
                <w:szCs w:val="22"/>
              </w:rPr>
            </w:pPr>
            <w:r w:rsidRPr="000377B0">
              <w:rPr>
                <w:rFonts w:ascii="Bookman Old Style" w:hAnsi="Bookman Old Style" w:cs="Arial"/>
                <w:szCs w:val="22"/>
              </w:rPr>
              <w:t>Delegado del Ministro de Minas y Energía</w:t>
            </w:r>
          </w:p>
        </w:tc>
        <w:tc>
          <w:tcPr>
            <w:tcW w:w="4678" w:type="dxa"/>
          </w:tcPr>
          <w:p w:rsidR="00C64ECC" w:rsidRPr="000377B0" w:rsidRDefault="00C64ECC" w:rsidP="00A45278">
            <w:pPr>
              <w:snapToGrid w:val="0"/>
              <w:ind w:left="0"/>
              <w:jc w:val="center"/>
              <w:rPr>
                <w:rFonts w:ascii="Bookman Old Style" w:hAnsi="Bookman Old Style" w:cs="Arial"/>
                <w:szCs w:val="22"/>
              </w:rPr>
            </w:pPr>
            <w:r w:rsidRPr="000377B0">
              <w:rPr>
                <w:rFonts w:ascii="Bookman Old Style" w:hAnsi="Bookman Old Style" w:cs="Arial"/>
                <w:szCs w:val="22"/>
              </w:rPr>
              <w:t>Director Ejecutivo</w:t>
            </w:r>
          </w:p>
        </w:tc>
      </w:tr>
      <w:tr w:rsidR="00C64ECC" w:rsidRPr="000377B0" w:rsidTr="00A45278">
        <w:tc>
          <w:tcPr>
            <w:tcW w:w="4962" w:type="dxa"/>
          </w:tcPr>
          <w:p w:rsidR="00C64ECC" w:rsidRPr="000377B0" w:rsidRDefault="00C64ECC" w:rsidP="00A45278">
            <w:pPr>
              <w:snapToGrid w:val="0"/>
              <w:ind w:left="0"/>
              <w:jc w:val="center"/>
              <w:rPr>
                <w:rFonts w:ascii="Bookman Old Style" w:hAnsi="Bookman Old Style" w:cs="Arial"/>
                <w:szCs w:val="22"/>
              </w:rPr>
            </w:pPr>
            <w:r w:rsidRPr="000377B0">
              <w:rPr>
                <w:rFonts w:ascii="Bookman Old Style" w:hAnsi="Bookman Old Style" w:cs="Arial"/>
                <w:szCs w:val="22"/>
              </w:rPr>
              <w:t>Presidente</w:t>
            </w:r>
          </w:p>
        </w:tc>
        <w:tc>
          <w:tcPr>
            <w:tcW w:w="4678" w:type="dxa"/>
          </w:tcPr>
          <w:p w:rsidR="00C64ECC" w:rsidRPr="000377B0" w:rsidRDefault="00C64ECC" w:rsidP="00A45278">
            <w:pPr>
              <w:snapToGrid w:val="0"/>
              <w:rPr>
                <w:rFonts w:ascii="Bookman Old Style" w:hAnsi="Bookman Old Style" w:cs="Arial"/>
                <w:szCs w:val="22"/>
              </w:rPr>
            </w:pPr>
          </w:p>
        </w:tc>
      </w:tr>
    </w:tbl>
    <w:p w:rsidR="00C64ECC" w:rsidRPr="000058F4" w:rsidRDefault="00C64ECC" w:rsidP="00C64ECC">
      <w:pPr>
        <w:ind w:left="0"/>
        <w:rPr>
          <w:rFonts w:ascii="Bookman Old Style" w:hAnsi="Bookman Old Style"/>
        </w:rPr>
      </w:pPr>
    </w:p>
    <w:p w:rsidR="00C64ECC" w:rsidRPr="00787C10" w:rsidRDefault="00C64ECC" w:rsidP="00C64ECC"/>
    <w:p w:rsidR="00C64ECC" w:rsidRPr="002329F6" w:rsidRDefault="00C64ECC" w:rsidP="00C64ECC"/>
    <w:p w:rsidR="00042768" w:rsidRPr="00C64ECC" w:rsidRDefault="00042768" w:rsidP="00C64ECC"/>
    <w:sectPr w:rsidR="00042768" w:rsidRPr="00C64ECC" w:rsidSect="00C4031B">
      <w:headerReference w:type="default" r:id="rId17"/>
      <w:headerReference w:type="first" r:id="rId18"/>
      <w:type w:val="continuous"/>
      <w:pgSz w:w="12242" w:h="18722" w:code="123"/>
      <w:pgMar w:top="2341" w:right="1185"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278" w:rsidRDefault="00A45278">
      <w:r>
        <w:separator/>
      </w:r>
    </w:p>
  </w:endnote>
  <w:endnote w:type="continuationSeparator" w:id="0">
    <w:p w:rsidR="00A45278" w:rsidRDefault="00A4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278" w:rsidRDefault="00A45278">
      <w:r>
        <w:separator/>
      </w:r>
    </w:p>
  </w:footnote>
  <w:footnote w:type="continuationSeparator" w:id="0">
    <w:p w:rsidR="00A45278" w:rsidRDefault="00A45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278" w:rsidRDefault="00A45278" w:rsidP="00951F79">
    <w:pPr>
      <w:pStyle w:val="Ttulo1"/>
      <w:ind w:right="6"/>
      <w:jc w:val="left"/>
      <w:rPr>
        <w:rFonts w:ascii="Bookman Old Style" w:hAnsi="Bookman Old Style" w:cs="Arial"/>
        <w:b w:val="0"/>
        <w:sz w:val="22"/>
        <w:szCs w:val="22"/>
      </w:rPr>
    </w:pPr>
  </w:p>
  <w:p w:rsidR="00A45278" w:rsidRPr="00951F79" w:rsidRDefault="00A452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530C5">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E530C5">
      <w:fldChar w:fldCharType="begin"/>
    </w:r>
    <w:r w:rsidR="00E530C5">
      <w:instrText xml:space="preserve"> NUMPAGES  \* MERGEFORMAT </w:instrText>
    </w:r>
    <w:r w:rsidR="00E530C5">
      <w:fldChar w:fldCharType="separate"/>
    </w:r>
    <w:r w:rsidR="00E530C5" w:rsidRPr="00E530C5">
      <w:rPr>
        <w:rFonts w:ascii="Bookman Old Style" w:hAnsi="Bookman Old Style" w:cs="Arial"/>
        <w:b w:val="0"/>
        <w:noProof/>
        <w:sz w:val="22"/>
        <w:szCs w:val="22"/>
      </w:rPr>
      <w:t>5</w:t>
    </w:r>
    <w:r w:rsidR="00E530C5">
      <w:rPr>
        <w:rFonts w:ascii="Bookman Old Style" w:hAnsi="Bookman Old Style" w:cs="Arial"/>
        <w:b w:val="0"/>
        <w:noProof/>
        <w:sz w:val="22"/>
        <w:szCs w:val="22"/>
      </w:rPr>
      <w:fldChar w:fldCharType="end"/>
    </w:r>
  </w:p>
  <w:p w:rsidR="00A45278" w:rsidRDefault="00A45278"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DC2B5EF" wp14:editId="61CA8057">
              <wp:simplePos x="0" y="0"/>
              <wp:positionH relativeFrom="column">
                <wp:posOffset>-175260</wp:posOffset>
              </wp:positionH>
              <wp:positionV relativeFrom="paragraph">
                <wp:posOffset>139065</wp:posOffset>
              </wp:positionV>
              <wp:extent cx="6267450" cy="9900920"/>
              <wp:effectExtent l="15240" t="15240" r="13335" b="184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7M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lOG7MegIA&#10;AP0EAAAOAAAAAAAAAAAAAAAAAC4CAABkcnMvZTJvRG9jLnhtbFBLAQItABQABgAIAAAAIQBXFkFY&#10;4wAAAAsBAAAPAAAAAAAAAAAAAAAAANQEAABkcnMvZG93bnJldi54bWxQSwUGAAAAAAQABADzAAAA&#10;5AUAAAAA&#10;" filled="f" strokeweight="1.5pt"/>
          </w:pict>
        </mc:Fallback>
      </mc:AlternateContent>
    </w:r>
  </w:p>
  <w:p w:rsidR="00A45278" w:rsidRPr="00CB5DD0" w:rsidRDefault="00A45278" w:rsidP="00BD57E8">
    <w:pPr>
      <w:pBdr>
        <w:bottom w:val="single" w:sz="4" w:space="1" w:color="auto"/>
      </w:pBdr>
      <w:ind w:left="142" w:right="148"/>
      <w:jc w:val="both"/>
      <w:rPr>
        <w:b/>
      </w:rPr>
    </w:pPr>
    <w:r w:rsidRPr="00BD57E8">
      <w:rPr>
        <w:rFonts w:ascii="Bookman Old Style" w:hAnsi="Bookman Old Style" w:cs="Arial"/>
        <w:spacing w:val="-3"/>
        <w:sz w:val="22"/>
        <w:szCs w:val="22"/>
        <w:lang w:val="es-ES_tradnl"/>
      </w:rPr>
      <w:t>Por la cual se actualiza el Costo Anual por el uso de los activos de nivel de tensión 4 y los cargos por uso de Centrales Eléctricas de Nariño S.A. E.S.P., Cedenar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278" w:rsidRDefault="00A45278"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A45278" w:rsidRDefault="00A45278">
    <w:pPr>
      <w:pStyle w:val="Encabezado"/>
      <w:jc w:val="center"/>
      <w:rPr>
        <w:rFonts w:ascii="Arial" w:hAnsi="Arial" w:cs="Arial"/>
        <w:spacing w:val="20"/>
        <w:sz w:val="20"/>
      </w:rPr>
    </w:pPr>
  </w:p>
  <w:p w:rsidR="00A45278" w:rsidRDefault="00A4527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702CD7" wp14:editId="6075332F">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78775C2"/>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1116C6"/>
    <w:multiLevelType w:val="hybridMultilevel"/>
    <w:tmpl w:val="BA3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9">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2">
    <w:nsid w:val="52194BA5"/>
    <w:multiLevelType w:val="hybridMultilevel"/>
    <w:tmpl w:val="8D94CD90"/>
    <w:lvl w:ilvl="0" w:tplc="A0D0C484">
      <w:start w:val="1"/>
      <w:numFmt w:val="lowerLetter"/>
      <w:lvlText w:val="%1."/>
      <w:lvlJc w:val="left"/>
      <w:pPr>
        <w:ind w:left="720" w:hanging="360"/>
      </w:pPr>
      <w:rPr>
        <w:rFonts w:ascii="Arial" w:hAnsi="Arial"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7"/>
  </w:num>
  <w:num w:numId="4">
    <w:abstractNumId w:val="6"/>
  </w:num>
  <w:num w:numId="5">
    <w:abstractNumId w:val="13"/>
  </w:num>
  <w:num w:numId="6">
    <w:abstractNumId w:val="2"/>
  </w:num>
  <w:num w:numId="7">
    <w:abstractNumId w:val="1"/>
  </w:num>
  <w:num w:numId="8">
    <w:abstractNumId w:val="15"/>
  </w:num>
  <w:num w:numId="9">
    <w:abstractNumId w:val="14"/>
  </w:num>
  <w:num w:numId="10">
    <w:abstractNumId w:val="10"/>
  </w:num>
  <w:num w:numId="11">
    <w:abstractNumId w:val="18"/>
  </w:num>
  <w:num w:numId="12">
    <w:abstractNumId w:val="16"/>
  </w:num>
  <w:num w:numId="13">
    <w:abstractNumId w:val="7"/>
  </w:num>
  <w:num w:numId="14">
    <w:abstractNumId w:val="0"/>
  </w:num>
  <w:num w:numId="15">
    <w:abstractNumId w:val="8"/>
  </w:num>
  <w:num w:numId="16">
    <w:abstractNumId w:val="11"/>
  </w:num>
  <w:num w:numId="17">
    <w:abstractNumId w:val="5"/>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4F1"/>
    <w:rsid w:val="000058F4"/>
    <w:rsid w:val="00006AE2"/>
    <w:rsid w:val="00006C1A"/>
    <w:rsid w:val="000076A1"/>
    <w:rsid w:val="00012259"/>
    <w:rsid w:val="00025383"/>
    <w:rsid w:val="00026B06"/>
    <w:rsid w:val="00042768"/>
    <w:rsid w:val="00063657"/>
    <w:rsid w:val="000658B0"/>
    <w:rsid w:val="00074836"/>
    <w:rsid w:val="00076680"/>
    <w:rsid w:val="0007691B"/>
    <w:rsid w:val="00076B43"/>
    <w:rsid w:val="0008073E"/>
    <w:rsid w:val="00081F53"/>
    <w:rsid w:val="000851CA"/>
    <w:rsid w:val="00091CDB"/>
    <w:rsid w:val="000A19AC"/>
    <w:rsid w:val="000A5B9E"/>
    <w:rsid w:val="000B5996"/>
    <w:rsid w:val="000B7141"/>
    <w:rsid w:val="000D26F8"/>
    <w:rsid w:val="000D2C36"/>
    <w:rsid w:val="000D5E87"/>
    <w:rsid w:val="000E6937"/>
    <w:rsid w:val="000F1EE3"/>
    <w:rsid w:val="000F4269"/>
    <w:rsid w:val="000F5BD2"/>
    <w:rsid w:val="00100F33"/>
    <w:rsid w:val="0010128A"/>
    <w:rsid w:val="00133081"/>
    <w:rsid w:val="001405C6"/>
    <w:rsid w:val="00141013"/>
    <w:rsid w:val="001710FF"/>
    <w:rsid w:val="001715E0"/>
    <w:rsid w:val="00192CBF"/>
    <w:rsid w:val="00192FF1"/>
    <w:rsid w:val="001A5F1B"/>
    <w:rsid w:val="001A7196"/>
    <w:rsid w:val="001B1C22"/>
    <w:rsid w:val="001B34C6"/>
    <w:rsid w:val="001B6623"/>
    <w:rsid w:val="001C098B"/>
    <w:rsid w:val="001C5E02"/>
    <w:rsid w:val="001C7022"/>
    <w:rsid w:val="001D7832"/>
    <w:rsid w:val="001E1A2C"/>
    <w:rsid w:val="001E2001"/>
    <w:rsid w:val="001E41E9"/>
    <w:rsid w:val="001E5CC9"/>
    <w:rsid w:val="00204735"/>
    <w:rsid w:val="00211D34"/>
    <w:rsid w:val="00214F04"/>
    <w:rsid w:val="002316E8"/>
    <w:rsid w:val="00242E21"/>
    <w:rsid w:val="002520A5"/>
    <w:rsid w:val="00253A4C"/>
    <w:rsid w:val="00266CD6"/>
    <w:rsid w:val="00270D1A"/>
    <w:rsid w:val="00277B49"/>
    <w:rsid w:val="0028277C"/>
    <w:rsid w:val="002953CD"/>
    <w:rsid w:val="002B11E2"/>
    <w:rsid w:val="002B24B8"/>
    <w:rsid w:val="002B5444"/>
    <w:rsid w:val="002B7E9A"/>
    <w:rsid w:val="002C3BF0"/>
    <w:rsid w:val="002C713A"/>
    <w:rsid w:val="002C78A3"/>
    <w:rsid w:val="002D1FE5"/>
    <w:rsid w:val="002D3AE9"/>
    <w:rsid w:val="002D7BCF"/>
    <w:rsid w:val="002D7D33"/>
    <w:rsid w:val="002E27FA"/>
    <w:rsid w:val="002F0734"/>
    <w:rsid w:val="002F46E7"/>
    <w:rsid w:val="00300E63"/>
    <w:rsid w:val="00304B6E"/>
    <w:rsid w:val="003101DA"/>
    <w:rsid w:val="00314757"/>
    <w:rsid w:val="003169D5"/>
    <w:rsid w:val="00317BC1"/>
    <w:rsid w:val="003211CE"/>
    <w:rsid w:val="0033002B"/>
    <w:rsid w:val="003428D1"/>
    <w:rsid w:val="003515D2"/>
    <w:rsid w:val="00351BF7"/>
    <w:rsid w:val="0035403A"/>
    <w:rsid w:val="00355329"/>
    <w:rsid w:val="0035549C"/>
    <w:rsid w:val="0036358B"/>
    <w:rsid w:val="0036394B"/>
    <w:rsid w:val="00367249"/>
    <w:rsid w:val="003709B5"/>
    <w:rsid w:val="00370BD1"/>
    <w:rsid w:val="003759C2"/>
    <w:rsid w:val="00384D65"/>
    <w:rsid w:val="00397365"/>
    <w:rsid w:val="0039788C"/>
    <w:rsid w:val="003A31F6"/>
    <w:rsid w:val="003B2100"/>
    <w:rsid w:val="003B6B6E"/>
    <w:rsid w:val="003C3447"/>
    <w:rsid w:val="003D076C"/>
    <w:rsid w:val="003E0883"/>
    <w:rsid w:val="003E5019"/>
    <w:rsid w:val="003E63C6"/>
    <w:rsid w:val="00415BAB"/>
    <w:rsid w:val="00415ED2"/>
    <w:rsid w:val="0042068C"/>
    <w:rsid w:val="00426E0F"/>
    <w:rsid w:val="004303C4"/>
    <w:rsid w:val="004308BD"/>
    <w:rsid w:val="0043189C"/>
    <w:rsid w:val="00434C75"/>
    <w:rsid w:val="00436CEB"/>
    <w:rsid w:val="004408E5"/>
    <w:rsid w:val="00452143"/>
    <w:rsid w:val="00460EE0"/>
    <w:rsid w:val="0047122B"/>
    <w:rsid w:val="00472219"/>
    <w:rsid w:val="00473B7A"/>
    <w:rsid w:val="00475E3A"/>
    <w:rsid w:val="0048139F"/>
    <w:rsid w:val="00483942"/>
    <w:rsid w:val="00485F87"/>
    <w:rsid w:val="00487ABF"/>
    <w:rsid w:val="004932B1"/>
    <w:rsid w:val="004960E9"/>
    <w:rsid w:val="00496275"/>
    <w:rsid w:val="004A1EC8"/>
    <w:rsid w:val="004A2E88"/>
    <w:rsid w:val="004A5305"/>
    <w:rsid w:val="004B079D"/>
    <w:rsid w:val="004B6CE9"/>
    <w:rsid w:val="004C2BB6"/>
    <w:rsid w:val="004C6425"/>
    <w:rsid w:val="004D1D3A"/>
    <w:rsid w:val="004D3EF2"/>
    <w:rsid w:val="004D53CD"/>
    <w:rsid w:val="004D7634"/>
    <w:rsid w:val="004E5B75"/>
    <w:rsid w:val="00503E41"/>
    <w:rsid w:val="00504863"/>
    <w:rsid w:val="005300D3"/>
    <w:rsid w:val="00534783"/>
    <w:rsid w:val="00535285"/>
    <w:rsid w:val="00544F82"/>
    <w:rsid w:val="00553DA4"/>
    <w:rsid w:val="005555DC"/>
    <w:rsid w:val="00571353"/>
    <w:rsid w:val="00585D3A"/>
    <w:rsid w:val="00593C4F"/>
    <w:rsid w:val="005946A8"/>
    <w:rsid w:val="00594BE0"/>
    <w:rsid w:val="005A4407"/>
    <w:rsid w:val="005A59EF"/>
    <w:rsid w:val="005A6994"/>
    <w:rsid w:val="005A7FFB"/>
    <w:rsid w:val="005B4C9B"/>
    <w:rsid w:val="005D3CEF"/>
    <w:rsid w:val="005D69ED"/>
    <w:rsid w:val="005E04BC"/>
    <w:rsid w:val="005F237E"/>
    <w:rsid w:val="00601E4A"/>
    <w:rsid w:val="00602242"/>
    <w:rsid w:val="00602C5C"/>
    <w:rsid w:val="00610786"/>
    <w:rsid w:val="0061647C"/>
    <w:rsid w:val="00625DC6"/>
    <w:rsid w:val="00626F8C"/>
    <w:rsid w:val="00627105"/>
    <w:rsid w:val="006345E2"/>
    <w:rsid w:val="00634693"/>
    <w:rsid w:val="00635C1B"/>
    <w:rsid w:val="0064398F"/>
    <w:rsid w:val="00644A3C"/>
    <w:rsid w:val="00645CB6"/>
    <w:rsid w:val="0064696D"/>
    <w:rsid w:val="00646F87"/>
    <w:rsid w:val="00651821"/>
    <w:rsid w:val="00654384"/>
    <w:rsid w:val="00666CE7"/>
    <w:rsid w:val="006675CD"/>
    <w:rsid w:val="00670BC4"/>
    <w:rsid w:val="00684D9B"/>
    <w:rsid w:val="0069382C"/>
    <w:rsid w:val="00697556"/>
    <w:rsid w:val="006A16D4"/>
    <w:rsid w:val="006A5429"/>
    <w:rsid w:val="006B4C2B"/>
    <w:rsid w:val="006B6D47"/>
    <w:rsid w:val="006B71CD"/>
    <w:rsid w:val="006B79E2"/>
    <w:rsid w:val="006C0DD6"/>
    <w:rsid w:val="006C1D3A"/>
    <w:rsid w:val="006F6D95"/>
    <w:rsid w:val="00706F13"/>
    <w:rsid w:val="007072E8"/>
    <w:rsid w:val="007104E9"/>
    <w:rsid w:val="0071618D"/>
    <w:rsid w:val="00723E40"/>
    <w:rsid w:val="00725FA4"/>
    <w:rsid w:val="0073666F"/>
    <w:rsid w:val="00740446"/>
    <w:rsid w:val="007438A9"/>
    <w:rsid w:val="0074491E"/>
    <w:rsid w:val="0074794B"/>
    <w:rsid w:val="00750340"/>
    <w:rsid w:val="00755584"/>
    <w:rsid w:val="00761656"/>
    <w:rsid w:val="00763A09"/>
    <w:rsid w:val="007651C0"/>
    <w:rsid w:val="00765A22"/>
    <w:rsid w:val="00775964"/>
    <w:rsid w:val="007779AE"/>
    <w:rsid w:val="00780DC2"/>
    <w:rsid w:val="007845E1"/>
    <w:rsid w:val="00785ED0"/>
    <w:rsid w:val="00787C10"/>
    <w:rsid w:val="00795466"/>
    <w:rsid w:val="00795BFB"/>
    <w:rsid w:val="00797BD0"/>
    <w:rsid w:val="007A1915"/>
    <w:rsid w:val="007B2760"/>
    <w:rsid w:val="007B792F"/>
    <w:rsid w:val="007C5B9C"/>
    <w:rsid w:val="007D3050"/>
    <w:rsid w:val="007D428F"/>
    <w:rsid w:val="007E453B"/>
    <w:rsid w:val="007E65B5"/>
    <w:rsid w:val="008012A9"/>
    <w:rsid w:val="00804930"/>
    <w:rsid w:val="00806C01"/>
    <w:rsid w:val="00811BEF"/>
    <w:rsid w:val="00813B0E"/>
    <w:rsid w:val="008148CC"/>
    <w:rsid w:val="00816EAA"/>
    <w:rsid w:val="00817F7A"/>
    <w:rsid w:val="008211A4"/>
    <w:rsid w:val="00821345"/>
    <w:rsid w:val="00843B70"/>
    <w:rsid w:val="00845514"/>
    <w:rsid w:val="00850070"/>
    <w:rsid w:val="008531E3"/>
    <w:rsid w:val="00853BEE"/>
    <w:rsid w:val="008660A2"/>
    <w:rsid w:val="00867EA3"/>
    <w:rsid w:val="00872C01"/>
    <w:rsid w:val="00873150"/>
    <w:rsid w:val="00874040"/>
    <w:rsid w:val="0087657D"/>
    <w:rsid w:val="008775D5"/>
    <w:rsid w:val="008807D5"/>
    <w:rsid w:val="00880832"/>
    <w:rsid w:val="00885359"/>
    <w:rsid w:val="00886EE1"/>
    <w:rsid w:val="0088727D"/>
    <w:rsid w:val="00895FE5"/>
    <w:rsid w:val="00897C75"/>
    <w:rsid w:val="008C1130"/>
    <w:rsid w:val="008D18E6"/>
    <w:rsid w:val="008D7A9B"/>
    <w:rsid w:val="008E76AC"/>
    <w:rsid w:val="008F21F6"/>
    <w:rsid w:val="008F4F9A"/>
    <w:rsid w:val="0093246C"/>
    <w:rsid w:val="0093506B"/>
    <w:rsid w:val="00937C80"/>
    <w:rsid w:val="009408FC"/>
    <w:rsid w:val="009429E3"/>
    <w:rsid w:val="009454D9"/>
    <w:rsid w:val="00951F79"/>
    <w:rsid w:val="00966712"/>
    <w:rsid w:val="00972BAD"/>
    <w:rsid w:val="00974AB5"/>
    <w:rsid w:val="00974C38"/>
    <w:rsid w:val="0098706D"/>
    <w:rsid w:val="00991DE5"/>
    <w:rsid w:val="009935FB"/>
    <w:rsid w:val="009A7DD6"/>
    <w:rsid w:val="009B6D81"/>
    <w:rsid w:val="009C14F9"/>
    <w:rsid w:val="009C3BBD"/>
    <w:rsid w:val="009C3EF0"/>
    <w:rsid w:val="009D321A"/>
    <w:rsid w:val="009D7387"/>
    <w:rsid w:val="009E698D"/>
    <w:rsid w:val="009F4A54"/>
    <w:rsid w:val="009F4BEC"/>
    <w:rsid w:val="00A17C23"/>
    <w:rsid w:val="00A17E0C"/>
    <w:rsid w:val="00A21FC7"/>
    <w:rsid w:val="00A25FD7"/>
    <w:rsid w:val="00A27343"/>
    <w:rsid w:val="00A33C22"/>
    <w:rsid w:val="00A43AFF"/>
    <w:rsid w:val="00A45278"/>
    <w:rsid w:val="00A459F8"/>
    <w:rsid w:val="00A621D6"/>
    <w:rsid w:val="00A64866"/>
    <w:rsid w:val="00A703A8"/>
    <w:rsid w:val="00A7793A"/>
    <w:rsid w:val="00A77D85"/>
    <w:rsid w:val="00A819FC"/>
    <w:rsid w:val="00A843BB"/>
    <w:rsid w:val="00A85B4B"/>
    <w:rsid w:val="00A90A01"/>
    <w:rsid w:val="00A95565"/>
    <w:rsid w:val="00AA0080"/>
    <w:rsid w:val="00AA1902"/>
    <w:rsid w:val="00AA363D"/>
    <w:rsid w:val="00AA7405"/>
    <w:rsid w:val="00AB666A"/>
    <w:rsid w:val="00AB6CA7"/>
    <w:rsid w:val="00AD01E4"/>
    <w:rsid w:val="00AD0858"/>
    <w:rsid w:val="00AE0B57"/>
    <w:rsid w:val="00AE2268"/>
    <w:rsid w:val="00AE7340"/>
    <w:rsid w:val="00AE7469"/>
    <w:rsid w:val="00AF145B"/>
    <w:rsid w:val="00AF1BBD"/>
    <w:rsid w:val="00AF3198"/>
    <w:rsid w:val="00AF37E2"/>
    <w:rsid w:val="00B04DAE"/>
    <w:rsid w:val="00B07506"/>
    <w:rsid w:val="00B10207"/>
    <w:rsid w:val="00B11959"/>
    <w:rsid w:val="00B12755"/>
    <w:rsid w:val="00B141E7"/>
    <w:rsid w:val="00B162A5"/>
    <w:rsid w:val="00B23461"/>
    <w:rsid w:val="00B23D09"/>
    <w:rsid w:val="00B23E43"/>
    <w:rsid w:val="00B351B4"/>
    <w:rsid w:val="00B40B8F"/>
    <w:rsid w:val="00B46BCA"/>
    <w:rsid w:val="00B47906"/>
    <w:rsid w:val="00B53E70"/>
    <w:rsid w:val="00B63380"/>
    <w:rsid w:val="00B64127"/>
    <w:rsid w:val="00B66DCE"/>
    <w:rsid w:val="00B72766"/>
    <w:rsid w:val="00B844CB"/>
    <w:rsid w:val="00B86F7B"/>
    <w:rsid w:val="00B87806"/>
    <w:rsid w:val="00B87EC9"/>
    <w:rsid w:val="00BB0715"/>
    <w:rsid w:val="00BB1387"/>
    <w:rsid w:val="00BB27B2"/>
    <w:rsid w:val="00BC38FD"/>
    <w:rsid w:val="00BD57E8"/>
    <w:rsid w:val="00BD7B34"/>
    <w:rsid w:val="00C021C8"/>
    <w:rsid w:val="00C0309E"/>
    <w:rsid w:val="00C032EB"/>
    <w:rsid w:val="00C034CB"/>
    <w:rsid w:val="00C04CDD"/>
    <w:rsid w:val="00C04F7A"/>
    <w:rsid w:val="00C051A8"/>
    <w:rsid w:val="00C054BC"/>
    <w:rsid w:val="00C0577A"/>
    <w:rsid w:val="00C1014F"/>
    <w:rsid w:val="00C17897"/>
    <w:rsid w:val="00C21A30"/>
    <w:rsid w:val="00C22A01"/>
    <w:rsid w:val="00C34904"/>
    <w:rsid w:val="00C34EAF"/>
    <w:rsid w:val="00C4031B"/>
    <w:rsid w:val="00C409D5"/>
    <w:rsid w:val="00C453E4"/>
    <w:rsid w:val="00C466B5"/>
    <w:rsid w:val="00C5732A"/>
    <w:rsid w:val="00C6234B"/>
    <w:rsid w:val="00C63EAE"/>
    <w:rsid w:val="00C64ECC"/>
    <w:rsid w:val="00C656C3"/>
    <w:rsid w:val="00C746E7"/>
    <w:rsid w:val="00C7629F"/>
    <w:rsid w:val="00C7747B"/>
    <w:rsid w:val="00C8065C"/>
    <w:rsid w:val="00C8661B"/>
    <w:rsid w:val="00CA139A"/>
    <w:rsid w:val="00CA2899"/>
    <w:rsid w:val="00CA77FB"/>
    <w:rsid w:val="00CB379B"/>
    <w:rsid w:val="00CB382F"/>
    <w:rsid w:val="00CB5DD0"/>
    <w:rsid w:val="00CC51D4"/>
    <w:rsid w:val="00CC65DA"/>
    <w:rsid w:val="00CD5045"/>
    <w:rsid w:val="00CD61F6"/>
    <w:rsid w:val="00CE584D"/>
    <w:rsid w:val="00CF0042"/>
    <w:rsid w:val="00CF21B9"/>
    <w:rsid w:val="00CF6BF9"/>
    <w:rsid w:val="00D0272B"/>
    <w:rsid w:val="00D03800"/>
    <w:rsid w:val="00D048ED"/>
    <w:rsid w:val="00D065D3"/>
    <w:rsid w:val="00D07405"/>
    <w:rsid w:val="00D1264F"/>
    <w:rsid w:val="00D14C94"/>
    <w:rsid w:val="00D159D8"/>
    <w:rsid w:val="00D2131B"/>
    <w:rsid w:val="00D2405D"/>
    <w:rsid w:val="00D2525B"/>
    <w:rsid w:val="00D32F3D"/>
    <w:rsid w:val="00D342A6"/>
    <w:rsid w:val="00D34DBB"/>
    <w:rsid w:val="00D41220"/>
    <w:rsid w:val="00D42846"/>
    <w:rsid w:val="00D464BF"/>
    <w:rsid w:val="00D53E26"/>
    <w:rsid w:val="00D5698E"/>
    <w:rsid w:val="00D670AA"/>
    <w:rsid w:val="00D67940"/>
    <w:rsid w:val="00D72400"/>
    <w:rsid w:val="00D7412F"/>
    <w:rsid w:val="00D7616D"/>
    <w:rsid w:val="00D84DFF"/>
    <w:rsid w:val="00D87988"/>
    <w:rsid w:val="00D922E9"/>
    <w:rsid w:val="00D95C0D"/>
    <w:rsid w:val="00D97682"/>
    <w:rsid w:val="00DA0092"/>
    <w:rsid w:val="00DA6513"/>
    <w:rsid w:val="00DB451C"/>
    <w:rsid w:val="00DB51C7"/>
    <w:rsid w:val="00DC3C93"/>
    <w:rsid w:val="00DC5A43"/>
    <w:rsid w:val="00DD28C6"/>
    <w:rsid w:val="00DD4F0E"/>
    <w:rsid w:val="00DD7C59"/>
    <w:rsid w:val="00DE057A"/>
    <w:rsid w:val="00DF0ACF"/>
    <w:rsid w:val="00DF375A"/>
    <w:rsid w:val="00E00AAF"/>
    <w:rsid w:val="00E05E0A"/>
    <w:rsid w:val="00E0645A"/>
    <w:rsid w:val="00E25E78"/>
    <w:rsid w:val="00E27B4D"/>
    <w:rsid w:val="00E37FB9"/>
    <w:rsid w:val="00E4263A"/>
    <w:rsid w:val="00E433F6"/>
    <w:rsid w:val="00E530C5"/>
    <w:rsid w:val="00E534CF"/>
    <w:rsid w:val="00E566FE"/>
    <w:rsid w:val="00E569CC"/>
    <w:rsid w:val="00E61342"/>
    <w:rsid w:val="00E81CB4"/>
    <w:rsid w:val="00E8585B"/>
    <w:rsid w:val="00E86AFA"/>
    <w:rsid w:val="00E93051"/>
    <w:rsid w:val="00E94997"/>
    <w:rsid w:val="00EA3F15"/>
    <w:rsid w:val="00EA40C9"/>
    <w:rsid w:val="00EA7847"/>
    <w:rsid w:val="00EB3133"/>
    <w:rsid w:val="00EB4FBC"/>
    <w:rsid w:val="00EC16C2"/>
    <w:rsid w:val="00EC6D45"/>
    <w:rsid w:val="00ED427E"/>
    <w:rsid w:val="00ED43C0"/>
    <w:rsid w:val="00EE2E6E"/>
    <w:rsid w:val="00EE3D93"/>
    <w:rsid w:val="00EF0538"/>
    <w:rsid w:val="00EF061E"/>
    <w:rsid w:val="00EF4000"/>
    <w:rsid w:val="00EF4010"/>
    <w:rsid w:val="00EF5C39"/>
    <w:rsid w:val="00EF6C23"/>
    <w:rsid w:val="00F0759E"/>
    <w:rsid w:val="00F12BA5"/>
    <w:rsid w:val="00F43023"/>
    <w:rsid w:val="00F45935"/>
    <w:rsid w:val="00F52FAA"/>
    <w:rsid w:val="00F821A3"/>
    <w:rsid w:val="00F8570A"/>
    <w:rsid w:val="00F86847"/>
    <w:rsid w:val="00F9314A"/>
    <w:rsid w:val="00F96D1B"/>
    <w:rsid w:val="00FA062F"/>
    <w:rsid w:val="00FA5BBD"/>
    <w:rsid w:val="00FB0A17"/>
    <w:rsid w:val="00FB29AB"/>
    <w:rsid w:val="00FB4485"/>
    <w:rsid w:val="00FC3151"/>
    <w:rsid w:val="00FC4E3D"/>
    <w:rsid w:val="00FC58EF"/>
    <w:rsid w:val="00FC5D01"/>
    <w:rsid w:val="00FD33DF"/>
    <w:rsid w:val="00FD552B"/>
    <w:rsid w:val="00FE1AA5"/>
    <w:rsid w:val="00FE39D7"/>
    <w:rsid w:val="00FE466F"/>
    <w:rsid w:val="00FE69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277B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 w:type="paragraph" w:styleId="Cita">
    <w:name w:val="Quote"/>
    <w:basedOn w:val="Normal"/>
    <w:next w:val="Normal"/>
    <w:link w:val="CitaCar"/>
    <w:uiPriority w:val="29"/>
    <w:qFormat/>
    <w:rsid w:val="00277B49"/>
    <w:pPr>
      <w:tabs>
        <w:tab w:val="left" w:pos="1276"/>
      </w:tabs>
      <w:spacing w:before="120" w:after="120"/>
      <w:ind w:right="567"/>
      <w:jc w:val="both"/>
    </w:pPr>
    <w:rPr>
      <w:rFonts w:ascii="Bookman Old Style" w:hAnsi="Bookman Old Style"/>
      <w:i/>
      <w:iCs/>
      <w:color w:val="000000" w:themeColor="text1"/>
      <w:sz w:val="20"/>
    </w:rPr>
  </w:style>
  <w:style w:type="character" w:customStyle="1" w:styleId="CitaCar">
    <w:name w:val="Cita Car"/>
    <w:basedOn w:val="Fuentedeprrafopredeter"/>
    <w:link w:val="Cita"/>
    <w:uiPriority w:val="29"/>
    <w:rsid w:val="00277B49"/>
    <w:rPr>
      <w:rFonts w:ascii="Bookman Old Style" w:hAnsi="Bookman Old Style"/>
      <w:i/>
      <w:iCs/>
      <w:color w:val="000000" w:themeColor="text1"/>
      <w:szCs w:val="24"/>
    </w:rPr>
  </w:style>
  <w:style w:type="character" w:customStyle="1" w:styleId="Ttulo2Car">
    <w:name w:val="Título 2 Car"/>
    <w:basedOn w:val="Fuentedeprrafopredeter"/>
    <w:link w:val="Ttulo2"/>
    <w:uiPriority w:val="9"/>
    <w:semiHidden/>
    <w:rsid w:val="00277B4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277B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 w:type="paragraph" w:styleId="Cita">
    <w:name w:val="Quote"/>
    <w:basedOn w:val="Normal"/>
    <w:next w:val="Normal"/>
    <w:link w:val="CitaCar"/>
    <w:uiPriority w:val="29"/>
    <w:qFormat/>
    <w:rsid w:val="00277B49"/>
    <w:pPr>
      <w:tabs>
        <w:tab w:val="left" w:pos="1276"/>
      </w:tabs>
      <w:spacing w:before="120" w:after="120"/>
      <w:ind w:right="567"/>
      <w:jc w:val="both"/>
    </w:pPr>
    <w:rPr>
      <w:rFonts w:ascii="Bookman Old Style" w:hAnsi="Bookman Old Style"/>
      <w:i/>
      <w:iCs/>
      <w:color w:val="000000" w:themeColor="text1"/>
      <w:sz w:val="20"/>
    </w:rPr>
  </w:style>
  <w:style w:type="character" w:customStyle="1" w:styleId="CitaCar">
    <w:name w:val="Cita Car"/>
    <w:basedOn w:val="Fuentedeprrafopredeter"/>
    <w:link w:val="Cita"/>
    <w:uiPriority w:val="29"/>
    <w:rsid w:val="00277B49"/>
    <w:rPr>
      <w:rFonts w:ascii="Bookman Old Style" w:hAnsi="Bookman Old Style"/>
      <w:i/>
      <w:iCs/>
      <w:color w:val="000000" w:themeColor="text1"/>
      <w:szCs w:val="24"/>
    </w:rPr>
  </w:style>
  <w:style w:type="character" w:customStyle="1" w:styleId="Ttulo2Car">
    <w:name w:val="Título 2 Car"/>
    <w:basedOn w:val="Fuentedeprrafopredeter"/>
    <w:link w:val="Ttulo2"/>
    <w:uiPriority w:val="9"/>
    <w:semiHidden/>
    <w:rsid w:val="00277B4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20269">
      <w:bodyDiv w:val="1"/>
      <w:marLeft w:val="0"/>
      <w:marRight w:val="0"/>
      <w:marTop w:val="0"/>
      <w:marBottom w:val="0"/>
      <w:divBdr>
        <w:top w:val="none" w:sz="0" w:space="0" w:color="auto"/>
        <w:left w:val="none" w:sz="0" w:space="0" w:color="auto"/>
        <w:bottom w:val="none" w:sz="0" w:space="0" w:color="auto"/>
        <w:right w:val="none" w:sz="0" w:space="0" w:color="auto"/>
      </w:divBdr>
    </w:div>
    <w:div w:id="670715158">
      <w:bodyDiv w:val="1"/>
      <w:marLeft w:val="0"/>
      <w:marRight w:val="0"/>
      <w:marTop w:val="0"/>
      <w:marBottom w:val="0"/>
      <w:divBdr>
        <w:top w:val="none" w:sz="0" w:space="0" w:color="auto"/>
        <w:left w:val="none" w:sz="0" w:space="0" w:color="auto"/>
        <w:bottom w:val="none" w:sz="0" w:space="0" w:color="auto"/>
        <w:right w:val="none" w:sz="0" w:space="0" w:color="auto"/>
      </w:divBdr>
    </w:div>
    <w:div w:id="950816831">
      <w:bodyDiv w:val="1"/>
      <w:marLeft w:val="0"/>
      <w:marRight w:val="0"/>
      <w:marTop w:val="0"/>
      <w:marBottom w:val="0"/>
      <w:divBdr>
        <w:top w:val="none" w:sz="0" w:space="0" w:color="auto"/>
        <w:left w:val="none" w:sz="0" w:space="0" w:color="auto"/>
        <w:bottom w:val="none" w:sz="0" w:space="0" w:color="auto"/>
        <w:right w:val="none" w:sz="0" w:space="0" w:color="auto"/>
      </w:divBdr>
    </w:div>
    <w:div w:id="1195389588">
      <w:bodyDiv w:val="1"/>
      <w:marLeft w:val="0"/>
      <w:marRight w:val="0"/>
      <w:marTop w:val="0"/>
      <w:marBottom w:val="0"/>
      <w:divBdr>
        <w:top w:val="none" w:sz="0" w:space="0" w:color="auto"/>
        <w:left w:val="none" w:sz="0" w:space="0" w:color="auto"/>
        <w:bottom w:val="none" w:sz="0" w:space="0" w:color="auto"/>
        <w:right w:val="none" w:sz="0" w:space="0" w:color="auto"/>
      </w:divBdr>
    </w:div>
    <w:div w:id="1373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8A02A-EE0E-4D98-8323-7925227E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1270</Words>
  <Characters>6991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2014-10-21T20:56:00Z</cp:lastPrinted>
  <dcterms:created xsi:type="dcterms:W3CDTF">2014-11-07T20:51:00Z</dcterms:created>
  <dcterms:modified xsi:type="dcterms:W3CDTF">2014-11-07T20:51:00Z</dcterms:modified>
</cp:coreProperties>
</file>