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4B6DD7"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375"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F15477">
        <w:rPr>
          <w:rFonts w:ascii="Bookman Old Style" w:hAnsi="Bookman Old Style"/>
          <w:bCs/>
          <w:lang w:val="es-CO"/>
        </w:rPr>
        <w:t>Compañía de Servicios Públicos</w:t>
      </w:r>
      <w:r w:rsidR="007F278C">
        <w:rPr>
          <w:rFonts w:ascii="Bookman Old Style" w:hAnsi="Bookman Old Style"/>
          <w:bCs/>
          <w:lang w:val="es-CO"/>
        </w:rPr>
        <w:t xml:space="preserve"> </w:t>
      </w:r>
      <w:r w:rsidR="00A00879">
        <w:rPr>
          <w:rFonts w:ascii="Bookman Old Style" w:hAnsi="Bookman Old Style"/>
          <w:bCs/>
          <w:lang w:val="es-CO"/>
        </w:rPr>
        <w:t>S.A.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C3BB2">
        <w:rPr>
          <w:rFonts w:ascii="Bookman Old Style" w:hAnsi="Bookman Old Style" w:cs="Arial"/>
          <w:spacing w:val="-5"/>
          <w:lang w:val="es-CO" w:eastAsia="en-US"/>
        </w:rPr>
        <w:lastRenderedPageBreak/>
        <w:t>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B64E92" w:rsidRDefault="00B64E92"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B64E92"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4B6DD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4B6DD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4B6DD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B64E92"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B64E92"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B64E92" w:rsidRDefault="004B6DD7"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4B6DD7"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4B6DD7"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B64E92"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B64E92"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64E92" w:rsidRDefault="00B64E92"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B64E92"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B64E92"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B64E92" w:rsidRDefault="00B64E92"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B64E9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B64E9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B64E92"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B64E9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B64E9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B64E92" w:rsidRDefault="00B64E92"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B64E9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B64E9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B64E9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64E92" w:rsidRDefault="00B64E92"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B64E92"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B64E92"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B64E92"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B64E92"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B64E92"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2201BD">
        <w:rPr>
          <w:rFonts w:ascii="Bookman Old Style" w:hAnsi="Bookman Old Style" w:cs="Arial"/>
          <w:sz w:val="22"/>
          <w:szCs w:val="22"/>
          <w:lang w:val="es-ES_tradnl" w:eastAsia="ar-SA"/>
        </w:rPr>
        <w:t>Corresponde a la Superintendencia de Servicios Públicos Domiciliarios, en desarrollo de sus funciones de inspección y vigilancia, establecer, administrar, mantener y operar</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2201BD">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757F63" w:rsidRDefault="00EC3BB2" w:rsidP="00BD1622">
      <w:pPr>
        <w:ind w:left="284" w:right="284"/>
        <w:jc w:val="both"/>
        <w:rPr>
          <w:rFonts w:ascii="Bookman Old Style" w:hAnsi="Bookman Old Style" w:cs="Arial"/>
          <w:color w:val="000000"/>
          <w:sz w:val="22"/>
          <w:szCs w:val="22"/>
          <w:lang w:val="es-CO" w:eastAsia="es-CO"/>
        </w:rPr>
      </w:pPr>
      <w:r w:rsidRPr="00757F63">
        <w:rPr>
          <w:rFonts w:ascii="Bookman Old Style" w:eastAsia="MS Mincho" w:hAnsi="Bookman Old Style" w:cs="Arial"/>
          <w:b/>
          <w:sz w:val="22"/>
          <w:szCs w:val="22"/>
          <w:lang w:eastAsia="en-US"/>
        </w:rPr>
        <w:t xml:space="preserve">“Artículo 1º. Capacidad de Compra: </w:t>
      </w:r>
      <w:r w:rsidRPr="00757F63">
        <w:rPr>
          <w:rFonts w:ascii="Bookman Old Style" w:eastAsia="MS Mincho" w:hAnsi="Bookman Old Style" w:cs="Arial"/>
          <w:sz w:val="22"/>
          <w:szCs w:val="22"/>
          <w:lang w:eastAsia="en-US"/>
        </w:rPr>
        <w:t xml:space="preserve">La siguiente corresponde a la Capacidad de Compra </w:t>
      </w:r>
      <w:r w:rsidRPr="00757F63">
        <w:rPr>
          <w:rFonts w:ascii="Bookman Old Style" w:hAnsi="Bookman Old Style" w:cs="Arial"/>
          <w:iCs/>
          <w:sz w:val="22"/>
          <w:szCs w:val="22"/>
          <w:lang w:val="es-CO" w:eastAsia="en-US"/>
        </w:rPr>
        <w:t>para cada uno de los códigos SUI de las empresas</w:t>
      </w:r>
      <w:r w:rsidRPr="00757F63">
        <w:rPr>
          <w:rFonts w:ascii="Bookman Old Style" w:hAnsi="Bookman Old Style" w:cs="Arial"/>
          <w:color w:val="000000"/>
          <w:sz w:val="22"/>
          <w:szCs w:val="22"/>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9237" w:type="dxa"/>
        <w:jc w:val="center"/>
        <w:tblCellMar>
          <w:left w:w="70" w:type="dxa"/>
          <w:right w:w="70" w:type="dxa"/>
        </w:tblCellMar>
        <w:tblLook w:val="04A0" w:firstRow="1" w:lastRow="0" w:firstColumn="1" w:lastColumn="0" w:noHBand="0" w:noVBand="1"/>
      </w:tblPr>
      <w:tblGrid>
        <w:gridCol w:w="1559"/>
        <w:gridCol w:w="5103"/>
        <w:gridCol w:w="2575"/>
      </w:tblGrid>
      <w:tr w:rsidR="00EC3BB2" w:rsidRPr="00406B33" w:rsidTr="00B64E92">
        <w:trPr>
          <w:trHeight w:val="405"/>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406B33" w:rsidRDefault="00EC3BB2" w:rsidP="00B64E92">
            <w:pPr>
              <w:ind w:left="72"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Código SUI</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B64E92">
            <w:pPr>
              <w:ind w:left="72"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Agente</w:t>
            </w:r>
          </w:p>
        </w:tc>
        <w:tc>
          <w:tcPr>
            <w:tcW w:w="2575"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B64E92">
            <w:pPr>
              <w:ind w:left="72"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406B33" w:rsidRPr="00406B33" w:rsidTr="00B64E92">
        <w:trPr>
          <w:trHeight w:val="405"/>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06B33" w:rsidRPr="00406B33" w:rsidRDefault="00406B33" w:rsidP="00B64E92">
            <w:pPr>
              <w:ind w:left="72"/>
              <w:jc w:val="center"/>
              <w:rPr>
                <w:rFonts w:ascii="Bookman Old Style" w:hAnsi="Bookman Old Style"/>
                <w:sz w:val="20"/>
                <w:szCs w:val="20"/>
              </w:rPr>
            </w:pPr>
            <w:r w:rsidRPr="00406B33">
              <w:rPr>
                <w:rFonts w:ascii="Bookman Old Style" w:hAnsi="Bookman Old Style"/>
                <w:sz w:val="20"/>
                <w:szCs w:val="20"/>
              </w:rPr>
              <w:t>3358</w:t>
            </w:r>
          </w:p>
        </w:tc>
        <w:tc>
          <w:tcPr>
            <w:tcW w:w="5103" w:type="dxa"/>
            <w:tcBorders>
              <w:top w:val="nil"/>
              <w:left w:val="nil"/>
              <w:bottom w:val="single" w:sz="4" w:space="0" w:color="auto"/>
              <w:right w:val="single" w:sz="4" w:space="0" w:color="auto"/>
            </w:tcBorders>
            <w:shd w:val="clear" w:color="auto" w:fill="auto"/>
            <w:noWrap/>
            <w:vAlign w:val="center"/>
            <w:hideMark/>
          </w:tcPr>
          <w:p w:rsidR="00406B33" w:rsidRPr="00406B33" w:rsidRDefault="00406B33" w:rsidP="00B64E92">
            <w:pPr>
              <w:ind w:left="0"/>
              <w:rPr>
                <w:rFonts w:ascii="Bookman Old Style" w:hAnsi="Bookman Old Style"/>
                <w:sz w:val="20"/>
                <w:szCs w:val="20"/>
              </w:rPr>
            </w:pPr>
            <w:r w:rsidRPr="00406B33">
              <w:rPr>
                <w:rFonts w:ascii="Bookman Old Style" w:hAnsi="Bookman Old Style"/>
                <w:sz w:val="20"/>
                <w:szCs w:val="20"/>
              </w:rPr>
              <w:t>COMPAÑÍA DE SERVICIOS PÚBLICOS S.A E.S.P.</w:t>
            </w:r>
          </w:p>
        </w:tc>
        <w:tc>
          <w:tcPr>
            <w:tcW w:w="2575" w:type="dxa"/>
            <w:tcBorders>
              <w:top w:val="nil"/>
              <w:left w:val="nil"/>
              <w:bottom w:val="single" w:sz="4" w:space="0" w:color="auto"/>
              <w:right w:val="single" w:sz="4" w:space="0" w:color="auto"/>
            </w:tcBorders>
            <w:shd w:val="clear" w:color="auto" w:fill="auto"/>
            <w:noWrap/>
            <w:vAlign w:val="center"/>
            <w:hideMark/>
          </w:tcPr>
          <w:p w:rsidR="00406B33" w:rsidRPr="00406B33" w:rsidRDefault="00406B33" w:rsidP="00B64E92">
            <w:pPr>
              <w:ind w:left="72"/>
              <w:jc w:val="center"/>
              <w:rPr>
                <w:rFonts w:ascii="Bookman Old Style" w:hAnsi="Bookman Old Style"/>
                <w:sz w:val="20"/>
                <w:szCs w:val="20"/>
              </w:rPr>
            </w:pPr>
            <w:r w:rsidRPr="00406B33">
              <w:rPr>
                <w:rFonts w:ascii="Bookman Old Style" w:hAnsi="Bookman Old Style"/>
                <w:sz w:val="20"/>
                <w:szCs w:val="20"/>
              </w:rPr>
              <w:t>2.620.738</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757F63" w:rsidRDefault="00EC3BB2" w:rsidP="00BD1622">
      <w:pPr>
        <w:ind w:left="284" w:right="284"/>
        <w:jc w:val="both"/>
        <w:rPr>
          <w:rFonts w:ascii="Bookman Old Style" w:eastAsia="MS Mincho" w:hAnsi="Bookman Old Style" w:cs="Arial"/>
          <w:sz w:val="22"/>
          <w:szCs w:val="22"/>
          <w:lang w:val="es-CO" w:eastAsia="en-US"/>
        </w:rPr>
      </w:pPr>
      <w:r w:rsidRPr="00757F63">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Default="00EC3BB2" w:rsidP="00BD1622">
      <w:pPr>
        <w:tabs>
          <w:tab w:val="right" w:pos="9498"/>
        </w:tabs>
        <w:ind w:left="284" w:right="284"/>
        <w:jc w:val="both"/>
        <w:rPr>
          <w:rFonts w:ascii="Bookman Old Style" w:hAnsi="Bookman Old Style" w:cs="Arial"/>
          <w:sz w:val="20"/>
          <w:szCs w:val="20"/>
        </w:rPr>
      </w:pPr>
    </w:p>
    <w:p w:rsidR="00757F63" w:rsidRPr="00EC3BB2" w:rsidRDefault="00757F63"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número E-2016-</w:t>
      </w:r>
      <w:r w:rsidR="00406B33">
        <w:rPr>
          <w:rFonts w:ascii="Bookman Old Style" w:hAnsi="Bookman Old Style" w:cs="Arial"/>
          <w:spacing w:val="-5"/>
          <w:lang w:val="es-CO" w:eastAsia="en-US"/>
        </w:rPr>
        <w:t>007253</w:t>
      </w:r>
      <w:r w:rsidRPr="00EC3BB2">
        <w:rPr>
          <w:rFonts w:ascii="Bookman Old Style" w:hAnsi="Bookman Old Style" w:cs="Arial"/>
          <w:spacing w:val="-5"/>
          <w:lang w:val="es-CO" w:eastAsia="en-US"/>
        </w:rPr>
        <w:t xml:space="preserve"> de </w:t>
      </w:r>
      <w:r w:rsidR="00B16D10">
        <w:rPr>
          <w:rFonts w:ascii="Bookman Old Style" w:hAnsi="Bookman Old Style" w:cs="Arial"/>
          <w:spacing w:val="-5"/>
          <w:lang w:val="es-CO" w:eastAsia="en-US"/>
        </w:rPr>
        <w:t>27</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406B33">
        <w:rPr>
          <w:rFonts w:ascii="Bookman Old Style" w:hAnsi="Bookman Old Style" w:cs="Arial"/>
          <w:spacing w:val="-5"/>
          <w:lang w:val="es-CO" w:eastAsia="en-US"/>
        </w:rPr>
        <w:t>Compañía de Servicios Públicos</w:t>
      </w:r>
      <w:r w:rsidR="00B16D10">
        <w:rPr>
          <w:rFonts w:ascii="Bookman Old Style" w:hAnsi="Bookman Old Style" w:cs="Arial"/>
          <w:spacing w:val="-5"/>
          <w:lang w:val="es-CO" w:eastAsia="en-US"/>
        </w:rPr>
        <w:t xml:space="preserve"> S.A.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45042D" w:rsidRDefault="00B16D10" w:rsidP="00A8027B">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w:t>
      </w:r>
      <w:r w:rsidR="00406B33">
        <w:rPr>
          <w:rFonts w:ascii="Bookman Old Style" w:hAnsi="Bookman Old Style" w:cs="Arial"/>
          <w:i/>
          <w:spacing w:val="-5"/>
          <w:sz w:val="22"/>
          <w:szCs w:val="22"/>
          <w:lang w:val="es-CO" w:eastAsia="en-US"/>
        </w:rPr>
        <w:t xml:space="preserve">1. Que se sirva revocar parcialmente la Resolución 075 de Mayo de 2015 con respecto a la capacidad de compra otorgada a </w:t>
      </w:r>
      <w:proofErr w:type="spellStart"/>
      <w:r w:rsidR="00406B33">
        <w:rPr>
          <w:rFonts w:ascii="Bookman Old Style" w:hAnsi="Bookman Old Style" w:cs="Arial"/>
          <w:i/>
          <w:spacing w:val="-5"/>
          <w:sz w:val="22"/>
          <w:szCs w:val="22"/>
          <w:lang w:val="es-CO" w:eastAsia="en-US"/>
        </w:rPr>
        <w:t>Codegas</w:t>
      </w:r>
      <w:proofErr w:type="spellEnd"/>
      <w:r w:rsidR="00406B33">
        <w:rPr>
          <w:rFonts w:ascii="Bookman Old Style" w:hAnsi="Bookman Old Style" w:cs="Arial"/>
          <w:i/>
          <w:spacing w:val="-5"/>
          <w:sz w:val="22"/>
          <w:szCs w:val="22"/>
          <w:lang w:val="es-CO" w:eastAsia="en-US"/>
        </w:rPr>
        <w:t xml:space="preserve"> según los argumentos de hecho y de derecho sustentados en este documento.</w:t>
      </w:r>
    </w:p>
    <w:p w:rsidR="00406B33" w:rsidRDefault="00406B33" w:rsidP="00A8027B">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406B33" w:rsidRDefault="00406B33" w:rsidP="00A8027B">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2. En caso de que el recurso de reposición interpuesto como principal sea resuelto desfavorablemente, desde este momento interpongo como subsidiario el de apelación, a fin de quien sea la autoridad jerárquica competente, a quien debe enviarse las diligencias, resuelva el recurso subsidiario</w:t>
      </w:r>
    </w:p>
    <w:p w:rsidR="00406B33" w:rsidRDefault="00406B33" w:rsidP="00A8027B">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406B33" w:rsidRPr="0045042D" w:rsidRDefault="00406B33" w:rsidP="00A8027B">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3. De la decisión que se tome respecto del presente, solicito se me expida copia auténtica al momento de la notificación personal”.</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543721">
        <w:rPr>
          <w:rFonts w:ascii="Bookman Old Style" w:hAnsi="Bookman Old Style" w:cs="Arial"/>
          <w:spacing w:val="-5"/>
          <w:lang w:val="es-CO" w:eastAsia="en-US"/>
        </w:rPr>
        <w:t xml:space="preserve">la Compañía de Servicios Públicos </w:t>
      </w:r>
      <w:r w:rsidRPr="00BA05D2">
        <w:rPr>
          <w:rFonts w:ascii="Bookman Old Style" w:hAnsi="Bookman Old Style" w:cs="Arial"/>
          <w:spacing w:val="-5"/>
          <w:lang w:val="es-CO" w:eastAsia="en-US"/>
        </w:rPr>
        <w:t>mediante notificación personal I-2016-</w:t>
      </w:r>
      <w:r w:rsidR="00406B33">
        <w:rPr>
          <w:rFonts w:ascii="Bookman Old Style" w:hAnsi="Bookman Old Style" w:cs="Arial"/>
          <w:spacing w:val="-5"/>
          <w:lang w:val="es-CO" w:eastAsia="en-US"/>
        </w:rPr>
        <w:t>003145</w:t>
      </w:r>
      <w:r w:rsidRPr="00BA05D2">
        <w:rPr>
          <w:rFonts w:ascii="Bookman Old Style" w:hAnsi="Bookman Old Style" w:cs="Arial"/>
          <w:spacing w:val="-5"/>
          <w:lang w:val="es-CO" w:eastAsia="en-US"/>
        </w:rPr>
        <w:t xml:space="preserve"> de </w:t>
      </w:r>
      <w:r w:rsidR="0045042D">
        <w:rPr>
          <w:rFonts w:ascii="Bookman Old Style" w:hAnsi="Bookman Old Style" w:cs="Arial"/>
          <w:spacing w:val="-5"/>
          <w:lang w:val="es-CO" w:eastAsia="en-US"/>
        </w:rPr>
        <w:t>20</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en tiempo, toda vez que el plazo máximo vencía el día </w:t>
      </w:r>
      <w:r>
        <w:rPr>
          <w:rFonts w:ascii="Bookman Old Style" w:hAnsi="Bookman Old Style" w:cs="Arial"/>
          <w:spacing w:val="-5"/>
          <w:lang w:val="es-CO" w:eastAsia="en-US"/>
        </w:rPr>
        <w:t>27</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406B33">
        <w:rPr>
          <w:rFonts w:ascii="Bookman Old Style" w:hAnsi="Bookman Old Style"/>
          <w:szCs w:val="27"/>
        </w:rPr>
        <w:t xml:space="preserve">Compañía de Servicios Públicos </w:t>
      </w:r>
      <w:r w:rsidR="002A452D">
        <w:rPr>
          <w:rFonts w:ascii="Bookman Old Style" w:hAnsi="Bookman Old Style"/>
          <w:szCs w:val="27"/>
        </w:rPr>
        <w:t>hacen referencia a lo siguiente:</w:t>
      </w:r>
    </w:p>
    <w:p w:rsidR="002A452D" w:rsidRPr="002A452D" w:rsidRDefault="002A452D" w:rsidP="002A452D">
      <w:pPr>
        <w:ind w:left="284" w:right="284"/>
        <w:jc w:val="both"/>
        <w:rPr>
          <w:rFonts w:ascii="Bookman Old Style" w:hAnsi="Bookman Old Style" w:cs="Arial"/>
          <w:i/>
          <w:sz w:val="22"/>
          <w:szCs w:val="22"/>
        </w:rPr>
      </w:pPr>
    </w:p>
    <w:p w:rsidR="008403F6" w:rsidRDefault="0045042D" w:rsidP="00406B33">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406B33">
        <w:rPr>
          <w:rFonts w:ascii="Bookman Old Style" w:hAnsi="Bookman Old Style" w:cs="Arial"/>
          <w:i/>
          <w:sz w:val="22"/>
          <w:szCs w:val="22"/>
        </w:rPr>
        <w:t xml:space="preserve">Atendiendo su </w:t>
      </w:r>
      <w:r w:rsidR="005B47F5">
        <w:rPr>
          <w:rFonts w:ascii="Bookman Old Style" w:hAnsi="Bookman Old Style" w:cs="Arial"/>
          <w:i/>
          <w:sz w:val="22"/>
          <w:szCs w:val="22"/>
        </w:rPr>
        <w:t>solicitud</w:t>
      </w:r>
      <w:r w:rsidR="00406B33">
        <w:rPr>
          <w:rFonts w:ascii="Bookman Old Style" w:hAnsi="Bookman Old Style" w:cs="Arial"/>
          <w:i/>
          <w:sz w:val="22"/>
          <w:szCs w:val="22"/>
        </w:rPr>
        <w:t xml:space="preserve"> de soportar con cifras y datos por qué creemos que el factor de envasado de la fórmula de la Res 075 </w:t>
      </w:r>
      <w:r w:rsidR="005B47F5">
        <w:rPr>
          <w:rFonts w:ascii="Bookman Old Style" w:hAnsi="Bookman Old Style" w:cs="Arial"/>
          <w:i/>
          <w:sz w:val="22"/>
          <w:szCs w:val="22"/>
        </w:rPr>
        <w:t>está</w:t>
      </w:r>
      <w:r w:rsidR="00406B33">
        <w:rPr>
          <w:rFonts w:ascii="Bookman Old Style" w:hAnsi="Bookman Old Style" w:cs="Arial"/>
          <w:i/>
          <w:sz w:val="22"/>
          <w:szCs w:val="22"/>
        </w:rPr>
        <w:t xml:space="preserve"> mal aplicada para nuestro caso, y por ende la capacidad de compra derivada de ella, nos permitimos </w:t>
      </w:r>
      <w:r w:rsidR="005B47F5">
        <w:rPr>
          <w:rFonts w:ascii="Bookman Old Style" w:hAnsi="Bookman Old Style" w:cs="Arial"/>
          <w:i/>
          <w:sz w:val="22"/>
          <w:szCs w:val="22"/>
        </w:rPr>
        <w:t>detallarles</w:t>
      </w:r>
      <w:r w:rsidR="00406B33">
        <w:rPr>
          <w:rFonts w:ascii="Bookman Old Style" w:hAnsi="Bookman Old Style" w:cs="Arial"/>
          <w:i/>
          <w:sz w:val="22"/>
          <w:szCs w:val="22"/>
        </w:rPr>
        <w:t xml:space="preserve"> a continuación como lo calculamos por qué no puede ser 0.3 para una empresa como CODEGAS que comercializa y distribuye GLP a granel.</w:t>
      </w:r>
    </w:p>
    <w:p w:rsidR="00406B33" w:rsidRDefault="00406B33" w:rsidP="00406B33">
      <w:pPr>
        <w:ind w:left="284" w:right="284"/>
        <w:jc w:val="both"/>
        <w:rPr>
          <w:rFonts w:ascii="Bookman Old Style" w:hAnsi="Bookman Old Style" w:cs="Arial"/>
          <w:i/>
          <w:sz w:val="22"/>
          <w:szCs w:val="22"/>
        </w:rPr>
      </w:pPr>
    </w:p>
    <w:p w:rsidR="00406B33" w:rsidRDefault="00406B33" w:rsidP="00406B33">
      <w:pPr>
        <w:numPr>
          <w:ilvl w:val="0"/>
          <w:numId w:val="38"/>
        </w:numPr>
        <w:ind w:right="284"/>
        <w:jc w:val="both"/>
        <w:rPr>
          <w:rFonts w:ascii="Bookman Old Style" w:hAnsi="Bookman Old Style" w:cs="Arial"/>
          <w:i/>
          <w:sz w:val="22"/>
          <w:szCs w:val="22"/>
        </w:rPr>
      </w:pPr>
      <w:r>
        <w:rPr>
          <w:rFonts w:ascii="Bookman Old Style" w:hAnsi="Bookman Old Style" w:cs="Arial"/>
          <w:i/>
          <w:sz w:val="22"/>
          <w:szCs w:val="22"/>
        </w:rPr>
        <w:t>En el SUI, como pueden verificar en el último reporte de tanques atendidos (dic. 2015) tenemos reportados y detallados 1.853 tanques, de 30 capacidades distintas, para un total de almacenamiento nominal, de 980.270 galones mensuales.</w:t>
      </w:r>
    </w:p>
    <w:p w:rsidR="005B47F5" w:rsidRDefault="005B47F5" w:rsidP="00406B33">
      <w:pPr>
        <w:numPr>
          <w:ilvl w:val="0"/>
          <w:numId w:val="38"/>
        </w:numPr>
        <w:ind w:right="284"/>
        <w:jc w:val="both"/>
        <w:rPr>
          <w:rFonts w:ascii="Bookman Old Style" w:hAnsi="Bookman Old Style" w:cs="Arial"/>
          <w:i/>
          <w:sz w:val="22"/>
          <w:szCs w:val="22"/>
        </w:rPr>
      </w:pPr>
      <w:r>
        <w:rPr>
          <w:rFonts w:ascii="Bookman Old Style" w:hAnsi="Bookman Old Style" w:cs="Arial"/>
          <w:i/>
          <w:sz w:val="22"/>
          <w:szCs w:val="22"/>
        </w:rPr>
        <w:t>Aplicando la fórmula del parágrafo 3 del mismo artículo 8 de la Resolución CREG 063 de 2016, con el factor de llenado de 0.85 y el factor de conversión de kilogramos por galón (2,1), la capacidad efectiva de almacenamiento de CODEGAS es de 12.351.402 kilos el semestre.</w:t>
      </w:r>
    </w:p>
    <w:p w:rsidR="005B47F5" w:rsidRDefault="005B47F5" w:rsidP="00406B33">
      <w:pPr>
        <w:numPr>
          <w:ilvl w:val="0"/>
          <w:numId w:val="38"/>
        </w:numPr>
        <w:ind w:right="284"/>
        <w:jc w:val="both"/>
        <w:rPr>
          <w:rFonts w:ascii="Bookman Old Style" w:hAnsi="Bookman Old Style" w:cs="Arial"/>
          <w:i/>
          <w:sz w:val="22"/>
          <w:szCs w:val="22"/>
        </w:rPr>
      </w:pPr>
      <w:r>
        <w:rPr>
          <w:rFonts w:ascii="Bookman Old Style" w:hAnsi="Bookman Old Style" w:cs="Arial"/>
          <w:i/>
          <w:sz w:val="22"/>
          <w:szCs w:val="22"/>
        </w:rPr>
        <w:t xml:space="preserve">En la resolución 075 la CREG reporta, para CODEGAS, una cantidad de tanques y capacidad agregada de almacenamiento diferente de las que se pueden consultar </w:t>
      </w:r>
      <w:r w:rsidR="000E4A6C">
        <w:rPr>
          <w:rFonts w:ascii="Bookman Old Style" w:hAnsi="Bookman Old Style" w:cs="Arial"/>
          <w:i/>
          <w:sz w:val="22"/>
          <w:szCs w:val="22"/>
        </w:rPr>
        <w:t>e</w:t>
      </w:r>
      <w:r>
        <w:rPr>
          <w:rFonts w:ascii="Bookman Old Style" w:hAnsi="Bookman Old Style" w:cs="Arial"/>
          <w:i/>
          <w:sz w:val="22"/>
          <w:szCs w:val="22"/>
        </w:rPr>
        <w:t>n el SUI resumidas y comparadas en la tabla siguiente:</w:t>
      </w:r>
    </w:p>
    <w:p w:rsidR="005B47F5" w:rsidRDefault="005B47F5" w:rsidP="005B47F5">
      <w:pPr>
        <w:ind w:right="284"/>
        <w:jc w:val="both"/>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3823"/>
        <w:gridCol w:w="1064"/>
        <w:gridCol w:w="1555"/>
        <w:gridCol w:w="1440"/>
      </w:tblGrid>
      <w:tr w:rsidR="005B47F5" w:rsidRPr="002201BD" w:rsidTr="002201BD">
        <w:trPr>
          <w:trHeight w:hRule="exact" w:val="652"/>
          <w:jc w:val="center"/>
        </w:trPr>
        <w:tc>
          <w:tcPr>
            <w:tcW w:w="3823" w:type="dxa"/>
            <w:tcBorders>
              <w:top w:val="single" w:sz="4" w:space="0" w:color="auto"/>
              <w:left w:val="single" w:sz="4" w:space="0" w:color="auto"/>
              <w:bottom w:val="nil"/>
              <w:right w:val="nil"/>
            </w:tcBorders>
            <w:shd w:val="clear" w:color="auto" w:fill="FFFFFF"/>
            <w:vAlign w:val="center"/>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0"/>
                <w:rFonts w:ascii="Bookman Old Style" w:hAnsi="Bookman Old Style"/>
                <w:color w:val="000000"/>
                <w:sz w:val="20"/>
                <w:szCs w:val="20"/>
                <w:lang w:eastAsia="es-ES_tradnl"/>
              </w:rPr>
              <w:t>Concepto</w:t>
            </w:r>
          </w:p>
        </w:tc>
        <w:tc>
          <w:tcPr>
            <w:tcW w:w="1064" w:type="dxa"/>
            <w:tcBorders>
              <w:top w:val="single" w:sz="4" w:space="0" w:color="auto"/>
              <w:left w:val="single" w:sz="4" w:space="0" w:color="auto"/>
              <w:bottom w:val="nil"/>
              <w:right w:val="nil"/>
            </w:tcBorders>
            <w:shd w:val="clear" w:color="auto" w:fill="FFFFFF"/>
            <w:vAlign w:val="center"/>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eastAsia="es-ES_tradnl"/>
              </w:rPr>
              <w:t>SUI</w:t>
            </w:r>
          </w:p>
        </w:tc>
        <w:tc>
          <w:tcPr>
            <w:tcW w:w="1555" w:type="dxa"/>
            <w:tcBorders>
              <w:top w:val="single" w:sz="4" w:space="0" w:color="auto"/>
              <w:left w:val="single" w:sz="4" w:space="0" w:color="auto"/>
              <w:bottom w:val="nil"/>
              <w:right w:val="nil"/>
            </w:tcBorders>
            <w:shd w:val="clear" w:color="auto" w:fill="FFFFFF"/>
            <w:vAlign w:val="bottom"/>
          </w:tcPr>
          <w:p w:rsidR="005B47F5" w:rsidRPr="002201BD" w:rsidRDefault="005B47F5" w:rsidP="005B47F5">
            <w:pPr>
              <w:pStyle w:val="Style28"/>
              <w:shd w:val="clear" w:color="auto" w:fill="auto"/>
              <w:spacing w:after="0" w:line="240" w:lineRule="exact"/>
              <w:ind w:firstLine="0"/>
              <w:jc w:val="center"/>
              <w:rPr>
                <w:rFonts w:ascii="Bookman Old Style" w:hAnsi="Bookman Old Style"/>
                <w:sz w:val="20"/>
                <w:szCs w:val="20"/>
              </w:rPr>
            </w:pPr>
            <w:r w:rsidRPr="002201BD">
              <w:rPr>
                <w:rStyle w:val="CharStyle30"/>
                <w:rFonts w:ascii="Bookman Old Style" w:hAnsi="Bookman Old Style"/>
                <w:color w:val="000000"/>
                <w:sz w:val="20"/>
                <w:szCs w:val="20"/>
                <w:lang w:eastAsia="es-ES_tradnl"/>
              </w:rPr>
              <w:t xml:space="preserve">CREG Res </w:t>
            </w:r>
            <w:r w:rsidRPr="002201BD">
              <w:rPr>
                <w:rStyle w:val="CharStyle31"/>
                <w:rFonts w:ascii="Bookman Old Style" w:hAnsi="Bookman Old Style"/>
                <w:color w:val="000000"/>
                <w:sz w:val="20"/>
                <w:szCs w:val="20"/>
                <w:lang w:eastAsia="es-ES_tradnl"/>
              </w:rPr>
              <w:t>075.2016</w:t>
            </w:r>
          </w:p>
        </w:tc>
        <w:tc>
          <w:tcPr>
            <w:tcW w:w="1440" w:type="dxa"/>
            <w:tcBorders>
              <w:top w:val="single" w:sz="4" w:space="0" w:color="auto"/>
              <w:left w:val="single" w:sz="4" w:space="0" w:color="auto"/>
              <w:bottom w:val="nil"/>
              <w:right w:val="single" w:sz="4" w:space="0" w:color="auto"/>
            </w:tcBorders>
            <w:shd w:val="clear" w:color="auto" w:fill="FFFFFF"/>
            <w:vAlign w:val="center"/>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proofErr w:type="spellStart"/>
            <w:r w:rsidRPr="002201BD">
              <w:rPr>
                <w:rStyle w:val="CharStyle30"/>
                <w:rFonts w:ascii="Bookman Old Style" w:hAnsi="Bookman Old Style"/>
                <w:color w:val="000000"/>
                <w:sz w:val="20"/>
                <w:szCs w:val="20"/>
                <w:lang w:val="en-US" w:eastAsia="en-US"/>
              </w:rPr>
              <w:t>Diferencia</w:t>
            </w:r>
            <w:proofErr w:type="spellEnd"/>
          </w:p>
        </w:tc>
      </w:tr>
      <w:tr w:rsidR="005B47F5" w:rsidRPr="002201BD" w:rsidTr="002201BD">
        <w:trPr>
          <w:trHeight w:hRule="exact" w:val="390"/>
          <w:jc w:val="center"/>
        </w:trPr>
        <w:tc>
          <w:tcPr>
            <w:tcW w:w="3823" w:type="dxa"/>
            <w:tcBorders>
              <w:top w:val="single" w:sz="4" w:space="0" w:color="auto"/>
              <w:left w:val="single" w:sz="4" w:space="0" w:color="auto"/>
              <w:bottom w:val="nil"/>
              <w:right w:val="nil"/>
            </w:tcBorders>
            <w:shd w:val="clear" w:color="auto" w:fill="FFFFFF"/>
            <w:vAlign w:val="bottom"/>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eastAsia="es-ES_tradnl"/>
              </w:rPr>
              <w:t>Cantidad de tanques (CV)</w:t>
            </w:r>
          </w:p>
        </w:tc>
        <w:tc>
          <w:tcPr>
            <w:tcW w:w="1064" w:type="dxa"/>
            <w:tcBorders>
              <w:top w:val="single" w:sz="4" w:space="0" w:color="auto"/>
              <w:left w:val="single" w:sz="4" w:space="0" w:color="auto"/>
              <w:bottom w:val="nil"/>
              <w:right w:val="nil"/>
            </w:tcBorders>
            <w:shd w:val="clear" w:color="auto" w:fill="FFFFFF"/>
            <w:vAlign w:val="bottom"/>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eastAsia="es-ES_tradnl"/>
              </w:rPr>
              <w:t>1.853</w:t>
            </w:r>
          </w:p>
        </w:tc>
        <w:tc>
          <w:tcPr>
            <w:tcW w:w="1555" w:type="dxa"/>
            <w:tcBorders>
              <w:top w:val="single" w:sz="4" w:space="0" w:color="auto"/>
              <w:left w:val="single" w:sz="4" w:space="0" w:color="auto"/>
              <w:bottom w:val="nil"/>
              <w:right w:val="nil"/>
            </w:tcBorders>
            <w:shd w:val="clear" w:color="auto" w:fill="FFFFFF"/>
            <w:vAlign w:val="bottom"/>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eastAsia="es-ES_tradnl"/>
              </w:rPr>
              <w:t>1.477</w:t>
            </w:r>
          </w:p>
        </w:tc>
        <w:tc>
          <w:tcPr>
            <w:tcW w:w="1440" w:type="dxa"/>
            <w:tcBorders>
              <w:top w:val="single" w:sz="4" w:space="0" w:color="auto"/>
              <w:left w:val="single" w:sz="4" w:space="0" w:color="auto"/>
              <w:bottom w:val="nil"/>
              <w:right w:val="single" w:sz="4" w:space="0" w:color="auto"/>
            </w:tcBorders>
            <w:shd w:val="clear" w:color="auto" w:fill="FFFFFF"/>
            <w:vAlign w:val="bottom"/>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val="en-US" w:eastAsia="en-US"/>
              </w:rPr>
              <w:t>376</w:t>
            </w:r>
          </w:p>
        </w:tc>
      </w:tr>
      <w:tr w:rsidR="005B47F5" w:rsidRPr="002201BD" w:rsidTr="002201BD">
        <w:trPr>
          <w:trHeight w:hRule="exact" w:val="411"/>
          <w:jc w:val="center"/>
        </w:trPr>
        <w:tc>
          <w:tcPr>
            <w:tcW w:w="3823" w:type="dxa"/>
            <w:tcBorders>
              <w:top w:val="single" w:sz="4" w:space="0" w:color="auto"/>
              <w:left w:val="single" w:sz="4" w:space="0" w:color="auto"/>
              <w:bottom w:val="single" w:sz="4" w:space="0" w:color="auto"/>
              <w:right w:val="nil"/>
            </w:tcBorders>
            <w:shd w:val="clear" w:color="auto" w:fill="FFFFFF"/>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eastAsia="es-ES_tradnl"/>
              </w:rPr>
              <w:t>Capacidad total en galones (</w:t>
            </w:r>
            <w:proofErr w:type="spellStart"/>
            <w:r w:rsidRPr="002201BD">
              <w:rPr>
                <w:rStyle w:val="CharStyle31"/>
                <w:rFonts w:ascii="Bookman Old Style" w:hAnsi="Bookman Old Style"/>
                <w:color w:val="000000"/>
                <w:sz w:val="20"/>
                <w:szCs w:val="20"/>
                <w:lang w:eastAsia="es-ES_tradnl"/>
              </w:rPr>
              <w:t>NTEcvi</w:t>
            </w:r>
            <w:proofErr w:type="spellEnd"/>
          </w:p>
        </w:tc>
        <w:tc>
          <w:tcPr>
            <w:tcW w:w="1064" w:type="dxa"/>
            <w:tcBorders>
              <w:top w:val="single" w:sz="4" w:space="0" w:color="auto"/>
              <w:left w:val="single" w:sz="4" w:space="0" w:color="auto"/>
              <w:bottom w:val="single" w:sz="4" w:space="0" w:color="auto"/>
              <w:right w:val="nil"/>
            </w:tcBorders>
            <w:shd w:val="clear" w:color="auto" w:fill="FFFFFF"/>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eastAsia="es-ES_tradnl"/>
              </w:rPr>
              <w:t>980.270</w:t>
            </w:r>
          </w:p>
        </w:tc>
        <w:tc>
          <w:tcPr>
            <w:tcW w:w="1555" w:type="dxa"/>
            <w:tcBorders>
              <w:top w:val="single" w:sz="4" w:space="0" w:color="auto"/>
              <w:left w:val="single" w:sz="4" w:space="0" w:color="auto"/>
              <w:bottom w:val="single" w:sz="4" w:space="0" w:color="auto"/>
              <w:right w:val="nil"/>
            </w:tcBorders>
            <w:shd w:val="clear" w:color="auto" w:fill="FFFFFF"/>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eastAsia="es-ES_tradnl"/>
              </w:rPr>
              <w:t>789.355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5B47F5" w:rsidRPr="002201BD" w:rsidRDefault="005B47F5" w:rsidP="005B47F5">
            <w:pPr>
              <w:pStyle w:val="Style28"/>
              <w:shd w:val="clear" w:color="auto" w:fill="auto"/>
              <w:spacing w:after="0" w:line="170" w:lineRule="exact"/>
              <w:ind w:firstLine="0"/>
              <w:jc w:val="center"/>
              <w:rPr>
                <w:rFonts w:ascii="Bookman Old Style" w:hAnsi="Bookman Old Style"/>
                <w:sz w:val="20"/>
                <w:szCs w:val="20"/>
              </w:rPr>
            </w:pPr>
            <w:r w:rsidRPr="002201BD">
              <w:rPr>
                <w:rStyle w:val="CharStyle31"/>
                <w:rFonts w:ascii="Bookman Old Style" w:hAnsi="Bookman Old Style"/>
                <w:color w:val="000000"/>
                <w:sz w:val="20"/>
                <w:szCs w:val="20"/>
                <w:lang w:val="en-US" w:eastAsia="en-US"/>
              </w:rPr>
              <w:t>190.915</w:t>
            </w:r>
          </w:p>
        </w:tc>
      </w:tr>
    </w:tbl>
    <w:p w:rsidR="005B47F5" w:rsidRDefault="005B47F5" w:rsidP="005B47F5">
      <w:pPr>
        <w:ind w:right="284"/>
        <w:jc w:val="both"/>
        <w:rPr>
          <w:rFonts w:ascii="Bookman Old Style" w:hAnsi="Bookman Old Style" w:cs="Arial"/>
          <w:i/>
          <w:sz w:val="22"/>
          <w:szCs w:val="22"/>
        </w:rPr>
      </w:pPr>
    </w:p>
    <w:p w:rsidR="005B47F5" w:rsidRDefault="005B47F5" w:rsidP="005B47F5">
      <w:pPr>
        <w:ind w:right="284"/>
        <w:jc w:val="both"/>
        <w:rPr>
          <w:rFonts w:ascii="Bookman Old Style" w:hAnsi="Bookman Old Style" w:cs="Arial"/>
          <w:i/>
          <w:sz w:val="22"/>
          <w:szCs w:val="22"/>
        </w:rPr>
      </w:pPr>
      <w:r>
        <w:rPr>
          <w:rFonts w:ascii="Bookman Old Style" w:hAnsi="Bookman Old Style" w:cs="Arial"/>
          <w:i/>
          <w:sz w:val="22"/>
          <w:szCs w:val="22"/>
        </w:rPr>
        <w:t>Como se puede deducir de los datos de la tabla anterior y aplicando las fórmulas de la resolución 063, faltaría asignarle a CODEGAS 400.921 Kg lo cual cambia la cantidad asignada de 2.620.738 a 3.149.608 Kg.</w:t>
      </w:r>
    </w:p>
    <w:p w:rsidR="005B47F5" w:rsidRDefault="005B47F5" w:rsidP="005B47F5">
      <w:pPr>
        <w:ind w:right="284"/>
        <w:jc w:val="both"/>
        <w:rPr>
          <w:rFonts w:ascii="Bookman Old Style" w:hAnsi="Bookman Old Style" w:cs="Arial"/>
          <w:i/>
          <w:sz w:val="22"/>
          <w:szCs w:val="22"/>
        </w:rPr>
      </w:pPr>
    </w:p>
    <w:p w:rsidR="008C3095" w:rsidRDefault="005B47F5" w:rsidP="005B47F5">
      <w:pPr>
        <w:ind w:right="284"/>
        <w:jc w:val="both"/>
        <w:rPr>
          <w:rFonts w:ascii="Bookman Old Style" w:hAnsi="Bookman Old Style" w:cs="Arial"/>
          <w:i/>
          <w:sz w:val="22"/>
          <w:szCs w:val="22"/>
        </w:rPr>
      </w:pPr>
      <w:r>
        <w:rPr>
          <w:rFonts w:ascii="Bookman Old Style" w:hAnsi="Bookman Old Style" w:cs="Arial"/>
          <w:i/>
          <w:sz w:val="22"/>
          <w:szCs w:val="22"/>
        </w:rPr>
        <w:t>Ahora bien, el factor de envasado de cilindros a tanques, que los cálculos juiciosos y sustentados de la CREG, determinó en 0.3, cuando sólo hay tanques estacionarios, sería un cálculo distinto y más sencillo</w:t>
      </w:r>
      <w:r w:rsidR="008C3095">
        <w:rPr>
          <w:rFonts w:ascii="Bookman Old Style" w:hAnsi="Bookman Old Style" w:cs="Arial"/>
          <w:i/>
          <w:sz w:val="22"/>
          <w:szCs w:val="22"/>
        </w:rPr>
        <w:t xml:space="preserve"> sin afectar las ventas de la empresa para el 2016 con base en el crecimiento que se trate y la proyección fijada como menta.</w:t>
      </w:r>
    </w:p>
    <w:p w:rsidR="008C3095" w:rsidRDefault="008C3095" w:rsidP="005B47F5">
      <w:pPr>
        <w:ind w:right="284"/>
        <w:jc w:val="both"/>
        <w:rPr>
          <w:rFonts w:ascii="Bookman Old Style" w:hAnsi="Bookman Old Style" w:cs="Arial"/>
          <w:i/>
          <w:sz w:val="22"/>
          <w:szCs w:val="22"/>
        </w:rPr>
      </w:pPr>
    </w:p>
    <w:p w:rsidR="00F1260B" w:rsidRDefault="008C3095" w:rsidP="005B47F5">
      <w:pPr>
        <w:ind w:right="284"/>
        <w:jc w:val="both"/>
        <w:rPr>
          <w:rFonts w:ascii="Bookman Old Style" w:hAnsi="Bookman Old Style" w:cs="Arial"/>
          <w:i/>
          <w:sz w:val="22"/>
          <w:szCs w:val="22"/>
        </w:rPr>
      </w:pPr>
      <w:r>
        <w:rPr>
          <w:rFonts w:ascii="Bookman Old Style" w:hAnsi="Bookman Old Style" w:cs="Arial"/>
          <w:i/>
          <w:sz w:val="22"/>
          <w:szCs w:val="22"/>
        </w:rPr>
        <w:t xml:space="preserve">El método directo sería asumir </w:t>
      </w:r>
      <w:r w:rsidR="00F1260B">
        <w:rPr>
          <w:rFonts w:ascii="Bookman Old Style" w:hAnsi="Bookman Old Style" w:cs="Arial"/>
          <w:i/>
          <w:sz w:val="22"/>
          <w:szCs w:val="22"/>
        </w:rPr>
        <w:t>un valor de 1, porque si cero, el resultado sería nulo, pero si se aplica 1, da una cifra de capacidad de compra excesiva frente al histórico de ventas y la proyección para este año.</w:t>
      </w:r>
    </w:p>
    <w:p w:rsidR="00F1260B" w:rsidRDefault="00F1260B" w:rsidP="005B47F5">
      <w:pPr>
        <w:ind w:right="284"/>
        <w:jc w:val="both"/>
        <w:rPr>
          <w:rFonts w:ascii="Bookman Old Style" w:hAnsi="Bookman Old Style" w:cs="Arial"/>
          <w:i/>
          <w:sz w:val="22"/>
          <w:szCs w:val="22"/>
        </w:rPr>
      </w:pPr>
    </w:p>
    <w:p w:rsidR="00F1260B" w:rsidRDefault="00F1260B" w:rsidP="005B47F5">
      <w:pPr>
        <w:ind w:right="284"/>
        <w:jc w:val="both"/>
        <w:rPr>
          <w:rFonts w:ascii="Bookman Old Style" w:hAnsi="Bookman Old Style" w:cs="Arial"/>
          <w:i/>
          <w:sz w:val="22"/>
          <w:szCs w:val="22"/>
        </w:rPr>
      </w:pPr>
      <w:r w:rsidRPr="00F1260B">
        <w:rPr>
          <w:rFonts w:ascii="Bookman Old Style" w:hAnsi="Bookman Old Style" w:cs="Arial"/>
          <w:i/>
          <w:sz w:val="22"/>
          <w:szCs w:val="22"/>
        </w:rPr>
        <w:t>Pero inclusive cuando qu</w:t>
      </w:r>
      <w:r>
        <w:rPr>
          <w:rFonts w:ascii="Bookman Old Style" w:hAnsi="Bookman Old Style" w:cs="Arial"/>
          <w:i/>
          <w:sz w:val="22"/>
          <w:szCs w:val="22"/>
        </w:rPr>
        <w:t xml:space="preserve">isimos calcular cuál sería ese </w:t>
      </w:r>
      <w:r w:rsidRPr="00F1260B">
        <w:rPr>
          <w:rFonts w:ascii="Bookman Old Style" w:hAnsi="Bookman Old Style" w:cs="Arial"/>
          <w:i/>
          <w:sz w:val="22"/>
          <w:szCs w:val="22"/>
        </w:rPr>
        <w:t>fac</w:t>
      </w:r>
      <w:r>
        <w:rPr>
          <w:rFonts w:ascii="Bookman Old Style" w:hAnsi="Bookman Old Style" w:cs="Arial"/>
          <w:i/>
          <w:sz w:val="22"/>
          <w:szCs w:val="22"/>
        </w:rPr>
        <w:t>tor de equivalencia de envasado</w:t>
      </w:r>
      <w:r w:rsidRPr="00F1260B">
        <w:rPr>
          <w:rFonts w:ascii="Bookman Old Style" w:hAnsi="Bookman Old Style" w:cs="Arial"/>
          <w:i/>
          <w:sz w:val="22"/>
          <w:szCs w:val="22"/>
        </w:rPr>
        <w:t xml:space="preserve"> basados en la cantidad de veces que se RECARGA un tanque estacionario (el equivalente a la rotación de un cilindro), por </w:t>
      </w:r>
      <w:r w:rsidR="000E4A6C">
        <w:rPr>
          <w:rFonts w:ascii="Bookman Old Style" w:hAnsi="Bookman Old Style" w:cs="Arial"/>
          <w:i/>
          <w:sz w:val="22"/>
          <w:szCs w:val="22"/>
        </w:rPr>
        <w:t>tipo de usuario, encontramos un</w:t>
      </w:r>
      <w:r>
        <w:rPr>
          <w:rFonts w:ascii="Bookman Old Style" w:hAnsi="Bookman Old Style" w:cs="Arial"/>
          <w:i/>
          <w:sz w:val="22"/>
          <w:szCs w:val="22"/>
        </w:rPr>
        <w:t xml:space="preserve">  factor</w:t>
      </w:r>
      <w:r w:rsidRPr="00F1260B">
        <w:rPr>
          <w:rFonts w:ascii="Bookman Old Style" w:hAnsi="Bookman Old Style" w:cs="Arial"/>
          <w:i/>
          <w:sz w:val="22"/>
          <w:szCs w:val="22"/>
        </w:rPr>
        <w:t xml:space="preserve"> que fácilmente podría llegar a ser superior a 3,5. Pero ello no es un problema de la fórmula ni tampoco del método utilizado para revisarlo, sino tal vez, el cálculo para la determinación de la capacidad de compra, no debe restringirse sólo a la capacidad de almacenamiento, sino que debe matizarse con el registro de ventas de N años anteriores, planes y proyección de ventas para el año subsiguiente(s) o los planes comerciales, inversiones en activos fijos (tanques, vaporizadores), etc.</w:t>
      </w:r>
    </w:p>
    <w:p w:rsidR="00F1260B" w:rsidRDefault="00F1260B" w:rsidP="005B47F5">
      <w:pPr>
        <w:ind w:right="284"/>
        <w:jc w:val="both"/>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565"/>
        <w:gridCol w:w="2496"/>
        <w:gridCol w:w="1824"/>
        <w:gridCol w:w="1258"/>
        <w:gridCol w:w="1690"/>
      </w:tblGrid>
      <w:tr w:rsidR="000E4A6C" w:rsidRPr="000E4A6C" w:rsidTr="000E4A6C">
        <w:trPr>
          <w:trHeight w:hRule="exact" w:val="768"/>
          <w:jc w:val="center"/>
        </w:trPr>
        <w:tc>
          <w:tcPr>
            <w:tcW w:w="1565" w:type="dxa"/>
            <w:tcBorders>
              <w:top w:val="single" w:sz="4" w:space="0" w:color="auto"/>
              <w:left w:val="single" w:sz="4" w:space="0" w:color="auto"/>
              <w:bottom w:val="nil"/>
              <w:right w:val="nil"/>
            </w:tcBorders>
            <w:shd w:val="clear" w:color="auto" w:fill="FFFFFF"/>
            <w:vAlign w:val="center"/>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val="en-US" w:eastAsia="en-US"/>
              </w:rPr>
              <w:t>Sector</w:t>
            </w:r>
          </w:p>
        </w:tc>
        <w:tc>
          <w:tcPr>
            <w:tcW w:w="2496"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23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Capacidad de almacenamiento promedio (calones)</w:t>
            </w:r>
          </w:p>
        </w:tc>
        <w:tc>
          <w:tcPr>
            <w:tcW w:w="1824"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24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Frecuencia de recaiga (veces por mes)</w:t>
            </w:r>
          </w:p>
        </w:tc>
        <w:tc>
          <w:tcPr>
            <w:tcW w:w="1258" w:type="dxa"/>
            <w:tcBorders>
              <w:top w:val="single" w:sz="4" w:space="0" w:color="auto"/>
              <w:left w:val="single" w:sz="4" w:space="0" w:color="auto"/>
              <w:bottom w:val="nil"/>
              <w:right w:val="nil"/>
            </w:tcBorders>
            <w:shd w:val="clear" w:color="auto" w:fill="FFFFFF"/>
            <w:vAlign w:val="center"/>
          </w:tcPr>
          <w:p w:rsidR="000E4A6C" w:rsidRPr="000E4A6C" w:rsidRDefault="000E4A6C" w:rsidP="000E4A6C">
            <w:pPr>
              <w:pStyle w:val="Style28"/>
              <w:shd w:val="clear" w:color="auto" w:fill="auto"/>
              <w:spacing w:after="0" w:line="240" w:lineRule="exact"/>
              <w:ind w:firstLine="0"/>
              <w:jc w:val="both"/>
              <w:rPr>
                <w:rFonts w:ascii="Bookman Old Style" w:hAnsi="Bookman Old Style"/>
                <w:sz w:val="18"/>
                <w:szCs w:val="18"/>
              </w:rPr>
            </w:pPr>
            <w:r w:rsidRPr="000E4A6C">
              <w:rPr>
                <w:rStyle w:val="CharStyle30"/>
                <w:rFonts w:ascii="Bookman Old Style" w:hAnsi="Bookman Old Style"/>
                <w:color w:val="000000"/>
                <w:sz w:val="18"/>
                <w:szCs w:val="18"/>
                <w:lang w:eastAsia="es-ES_tradnl"/>
              </w:rPr>
              <w:t>Participación en las ventas</w:t>
            </w:r>
          </w:p>
        </w:tc>
        <w:tc>
          <w:tcPr>
            <w:tcW w:w="1690" w:type="dxa"/>
            <w:tcBorders>
              <w:top w:val="single" w:sz="4" w:space="0" w:color="auto"/>
              <w:left w:val="single" w:sz="4" w:space="0" w:color="auto"/>
              <w:bottom w:val="nil"/>
              <w:right w:val="single" w:sz="4" w:space="0" w:color="auto"/>
            </w:tcBorders>
            <w:shd w:val="clear" w:color="auto" w:fill="FFFFFF"/>
            <w:vAlign w:val="bottom"/>
          </w:tcPr>
          <w:p w:rsidR="000E4A6C" w:rsidRPr="000E4A6C" w:rsidRDefault="000E4A6C" w:rsidP="000E4A6C">
            <w:pPr>
              <w:pStyle w:val="Style28"/>
              <w:shd w:val="clear" w:color="auto" w:fill="auto"/>
              <w:spacing w:after="0" w:line="24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Factor de</w:t>
            </w:r>
          </w:p>
          <w:p w:rsidR="000E4A6C" w:rsidRPr="000E4A6C" w:rsidRDefault="000E4A6C" w:rsidP="000E4A6C">
            <w:pPr>
              <w:pStyle w:val="Style28"/>
              <w:shd w:val="clear" w:color="auto" w:fill="auto"/>
              <w:spacing w:after="0" w:line="24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envasado</w:t>
            </w:r>
          </w:p>
          <w:p w:rsidR="000E4A6C" w:rsidRPr="000E4A6C" w:rsidRDefault="000E4A6C" w:rsidP="000E4A6C">
            <w:pPr>
              <w:pStyle w:val="Style28"/>
              <w:shd w:val="clear" w:color="auto" w:fill="auto"/>
              <w:spacing w:after="0" w:line="24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ponderado</w:t>
            </w:r>
          </w:p>
        </w:tc>
      </w:tr>
      <w:tr w:rsidR="000E4A6C" w:rsidRPr="000E4A6C" w:rsidTr="000E4A6C">
        <w:trPr>
          <w:trHeight w:hRule="exact" w:val="259"/>
          <w:jc w:val="center"/>
        </w:trPr>
        <w:tc>
          <w:tcPr>
            <w:tcW w:w="1565"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Residencial</w:t>
            </w:r>
          </w:p>
        </w:tc>
        <w:tc>
          <w:tcPr>
            <w:tcW w:w="2496"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372</w:t>
            </w:r>
          </w:p>
        </w:tc>
        <w:tc>
          <w:tcPr>
            <w:tcW w:w="1824"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1,5</w:t>
            </w:r>
          </w:p>
        </w:tc>
        <w:tc>
          <w:tcPr>
            <w:tcW w:w="1258"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15%</w:t>
            </w:r>
          </w:p>
        </w:tc>
        <w:tc>
          <w:tcPr>
            <w:tcW w:w="1690" w:type="dxa"/>
            <w:tcBorders>
              <w:top w:val="single" w:sz="4" w:space="0" w:color="auto"/>
              <w:left w:val="single" w:sz="4" w:space="0" w:color="auto"/>
              <w:bottom w:val="nil"/>
              <w:right w:val="single" w:sz="4" w:space="0" w:color="auto"/>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0,2</w:t>
            </w:r>
          </w:p>
        </w:tc>
      </w:tr>
      <w:tr w:rsidR="000E4A6C" w:rsidRPr="000E4A6C" w:rsidTr="000E4A6C">
        <w:trPr>
          <w:trHeight w:hRule="exact" w:val="259"/>
          <w:jc w:val="center"/>
        </w:trPr>
        <w:tc>
          <w:tcPr>
            <w:tcW w:w="1565"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Comercial</w:t>
            </w:r>
          </w:p>
        </w:tc>
        <w:tc>
          <w:tcPr>
            <w:tcW w:w="2496"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100</w:t>
            </w:r>
          </w:p>
        </w:tc>
        <w:tc>
          <w:tcPr>
            <w:tcW w:w="1824"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3</w:t>
            </w:r>
          </w:p>
        </w:tc>
        <w:tc>
          <w:tcPr>
            <w:tcW w:w="1258"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22%</w:t>
            </w:r>
          </w:p>
        </w:tc>
        <w:tc>
          <w:tcPr>
            <w:tcW w:w="1690" w:type="dxa"/>
            <w:tcBorders>
              <w:top w:val="single" w:sz="4" w:space="0" w:color="auto"/>
              <w:left w:val="single" w:sz="4" w:space="0" w:color="auto"/>
              <w:bottom w:val="nil"/>
              <w:right w:val="single" w:sz="4" w:space="0" w:color="auto"/>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0,7</w:t>
            </w:r>
          </w:p>
        </w:tc>
      </w:tr>
      <w:tr w:rsidR="000E4A6C" w:rsidRPr="000E4A6C" w:rsidTr="000E4A6C">
        <w:trPr>
          <w:trHeight w:hRule="exact" w:val="259"/>
          <w:jc w:val="center"/>
        </w:trPr>
        <w:tc>
          <w:tcPr>
            <w:tcW w:w="1565"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val="en-US" w:eastAsia="en-US"/>
              </w:rPr>
              <w:t>Industrial</w:t>
            </w:r>
          </w:p>
        </w:tc>
        <w:tc>
          <w:tcPr>
            <w:tcW w:w="2496"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2.500</w:t>
            </w:r>
          </w:p>
        </w:tc>
        <w:tc>
          <w:tcPr>
            <w:tcW w:w="1824"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4</w:t>
            </w:r>
          </w:p>
        </w:tc>
        <w:tc>
          <w:tcPr>
            <w:tcW w:w="1258" w:type="dxa"/>
            <w:tcBorders>
              <w:top w:val="single" w:sz="4" w:space="0" w:color="auto"/>
              <w:left w:val="single" w:sz="4" w:space="0" w:color="auto"/>
              <w:bottom w:val="nil"/>
              <w:right w:val="nil"/>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63%</w:t>
            </w:r>
          </w:p>
        </w:tc>
        <w:tc>
          <w:tcPr>
            <w:tcW w:w="1690" w:type="dxa"/>
            <w:tcBorders>
              <w:top w:val="single" w:sz="4" w:space="0" w:color="auto"/>
              <w:left w:val="single" w:sz="4" w:space="0" w:color="auto"/>
              <w:bottom w:val="nil"/>
              <w:right w:val="single" w:sz="4" w:space="0" w:color="auto"/>
            </w:tcBorders>
            <w:shd w:val="clear" w:color="auto" w:fill="FFFFFF"/>
            <w:vAlign w:val="bottom"/>
          </w:tcPr>
          <w:p w:rsidR="000E4A6C" w:rsidRPr="000E4A6C" w:rsidRDefault="000E4A6C" w:rsidP="000E4A6C">
            <w:pPr>
              <w:pStyle w:val="Style28"/>
              <w:shd w:val="clear" w:color="auto" w:fill="auto"/>
              <w:spacing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2,7</w:t>
            </w:r>
          </w:p>
        </w:tc>
      </w:tr>
      <w:tr w:rsidR="000E4A6C" w:rsidRPr="000E4A6C" w:rsidTr="000E4A6C">
        <w:trPr>
          <w:trHeight w:hRule="exact" w:val="768"/>
          <w:jc w:val="center"/>
        </w:trPr>
        <w:tc>
          <w:tcPr>
            <w:tcW w:w="1565" w:type="dxa"/>
            <w:tcBorders>
              <w:top w:val="single" w:sz="4" w:space="0" w:color="auto"/>
              <w:left w:val="single" w:sz="4" w:space="0" w:color="auto"/>
              <w:bottom w:val="single" w:sz="4" w:space="0" w:color="auto"/>
              <w:right w:val="nil"/>
            </w:tcBorders>
            <w:shd w:val="clear" w:color="auto" w:fill="FFFFFF"/>
          </w:tcPr>
          <w:p w:rsidR="000E4A6C" w:rsidRPr="000E4A6C" w:rsidRDefault="000E4A6C" w:rsidP="000E4A6C">
            <w:pPr>
              <w:pStyle w:val="Style28"/>
              <w:shd w:val="clear" w:color="auto" w:fill="auto"/>
              <w:spacing w:after="0" w:line="230" w:lineRule="exact"/>
              <w:ind w:firstLine="0"/>
              <w:jc w:val="center"/>
              <w:rPr>
                <w:rFonts w:ascii="Bookman Old Style" w:hAnsi="Bookman Old Style"/>
                <w:sz w:val="18"/>
                <w:szCs w:val="18"/>
              </w:rPr>
            </w:pPr>
            <w:r w:rsidRPr="000E4A6C">
              <w:rPr>
                <w:rStyle w:val="CharStyle30"/>
                <w:rFonts w:ascii="Bookman Old Style" w:hAnsi="Bookman Old Style"/>
                <w:color w:val="000000"/>
                <w:sz w:val="18"/>
                <w:szCs w:val="18"/>
                <w:lang w:eastAsia="es-ES_tradnl"/>
              </w:rPr>
              <w:t xml:space="preserve">Acumulado </w:t>
            </w:r>
            <w:r w:rsidRPr="000E4A6C">
              <w:rPr>
                <w:rStyle w:val="CharStyle30"/>
                <w:rFonts w:ascii="Bookman Old Style" w:hAnsi="Bookman Old Style"/>
                <w:color w:val="000000"/>
                <w:sz w:val="18"/>
                <w:szCs w:val="18"/>
                <w:lang w:eastAsia="en-US"/>
              </w:rPr>
              <w:t xml:space="preserve">Sin GIP </w:t>
            </w:r>
            <w:r w:rsidRPr="000E4A6C">
              <w:rPr>
                <w:rStyle w:val="CharStyle30"/>
                <w:rFonts w:ascii="Bookman Old Style" w:hAnsi="Bookman Old Style"/>
                <w:color w:val="000000"/>
                <w:sz w:val="18"/>
                <w:szCs w:val="18"/>
                <w:lang w:eastAsia="es-ES_tradnl"/>
              </w:rPr>
              <w:t xml:space="preserve">por </w:t>
            </w:r>
            <w:r w:rsidRPr="000E4A6C">
              <w:rPr>
                <w:rStyle w:val="CharStyle30"/>
                <w:rFonts w:ascii="Bookman Old Style" w:hAnsi="Bookman Old Style"/>
                <w:color w:val="000000"/>
                <w:sz w:val="18"/>
                <w:szCs w:val="18"/>
                <w:lang w:eastAsia="en-US"/>
              </w:rPr>
              <w:t>redes</w:t>
            </w:r>
          </w:p>
        </w:tc>
        <w:tc>
          <w:tcPr>
            <w:tcW w:w="2496" w:type="dxa"/>
            <w:tcBorders>
              <w:top w:val="single" w:sz="4" w:space="0" w:color="auto"/>
              <w:left w:val="single" w:sz="4" w:space="0" w:color="auto"/>
              <w:bottom w:val="single" w:sz="4" w:space="0" w:color="auto"/>
              <w:right w:val="nil"/>
            </w:tcBorders>
            <w:shd w:val="clear" w:color="auto" w:fill="FFFFFF"/>
          </w:tcPr>
          <w:p w:rsidR="000E4A6C" w:rsidRPr="000E4A6C" w:rsidRDefault="000E4A6C" w:rsidP="000E4A6C">
            <w:pPr>
              <w:rPr>
                <w:rFonts w:ascii="Bookman Old Style" w:hAnsi="Bookman Old Style"/>
                <w:sz w:val="18"/>
                <w:szCs w:val="18"/>
                <w:lang w:eastAsia="es-CO"/>
              </w:rPr>
            </w:pPr>
          </w:p>
        </w:tc>
        <w:tc>
          <w:tcPr>
            <w:tcW w:w="1824" w:type="dxa"/>
            <w:tcBorders>
              <w:top w:val="single" w:sz="4" w:space="0" w:color="auto"/>
              <w:left w:val="single" w:sz="4" w:space="0" w:color="auto"/>
              <w:bottom w:val="single" w:sz="4" w:space="0" w:color="auto"/>
              <w:right w:val="nil"/>
            </w:tcBorders>
            <w:shd w:val="clear" w:color="auto" w:fill="FFFFFF"/>
          </w:tcPr>
          <w:p w:rsidR="000E4A6C" w:rsidRPr="000E4A6C" w:rsidRDefault="000E4A6C" w:rsidP="000E4A6C">
            <w:pPr>
              <w:rPr>
                <w:rFonts w:ascii="Bookman Old Style" w:hAnsi="Bookman Old Style"/>
                <w:sz w:val="18"/>
                <w:szCs w:val="18"/>
                <w:lang w:eastAsia="es-CO"/>
              </w:rPr>
            </w:pPr>
          </w:p>
        </w:tc>
        <w:tc>
          <w:tcPr>
            <w:tcW w:w="1258" w:type="dxa"/>
            <w:tcBorders>
              <w:top w:val="single" w:sz="4" w:space="0" w:color="auto"/>
              <w:left w:val="single" w:sz="4" w:space="0" w:color="auto"/>
              <w:bottom w:val="single" w:sz="4" w:space="0" w:color="auto"/>
              <w:right w:val="nil"/>
            </w:tcBorders>
            <w:shd w:val="clear" w:color="auto" w:fill="FFFFFF"/>
          </w:tcPr>
          <w:p w:rsidR="000E4A6C" w:rsidRPr="000E4A6C" w:rsidRDefault="000E4A6C" w:rsidP="000E4A6C">
            <w:pPr>
              <w:rPr>
                <w:rFonts w:ascii="Bookman Old Style" w:hAnsi="Bookman Old Style"/>
                <w:sz w:val="18"/>
                <w:szCs w:val="18"/>
                <w:lang w:eastAsia="es-CO"/>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E4A6C" w:rsidRPr="000E4A6C" w:rsidRDefault="000E4A6C" w:rsidP="000E4A6C">
            <w:pPr>
              <w:pStyle w:val="Style28"/>
              <w:shd w:val="clear" w:color="auto" w:fill="auto"/>
              <w:spacing w:after="30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3,6</w:t>
            </w:r>
          </w:p>
          <w:p w:rsidR="000E4A6C" w:rsidRPr="000E4A6C" w:rsidRDefault="000E4A6C" w:rsidP="000E4A6C">
            <w:pPr>
              <w:pStyle w:val="Style28"/>
              <w:shd w:val="clear" w:color="auto" w:fill="auto"/>
              <w:spacing w:before="300" w:after="0" w:line="170" w:lineRule="exact"/>
              <w:ind w:firstLine="0"/>
              <w:jc w:val="center"/>
              <w:rPr>
                <w:rFonts w:ascii="Bookman Old Style" w:hAnsi="Bookman Old Style"/>
                <w:sz w:val="18"/>
                <w:szCs w:val="18"/>
              </w:rPr>
            </w:pPr>
            <w:r w:rsidRPr="000E4A6C">
              <w:rPr>
                <w:rStyle w:val="CharStyle31"/>
                <w:rFonts w:ascii="Bookman Old Style" w:hAnsi="Bookman Old Style"/>
                <w:color w:val="000000"/>
                <w:sz w:val="18"/>
                <w:szCs w:val="18"/>
                <w:lang w:eastAsia="es-ES_tradnl"/>
              </w:rPr>
              <w:t>1,3</w:t>
            </w:r>
          </w:p>
        </w:tc>
      </w:tr>
    </w:tbl>
    <w:p w:rsidR="000E4A6C" w:rsidRDefault="000E4A6C" w:rsidP="005B47F5">
      <w:pPr>
        <w:ind w:right="284"/>
        <w:jc w:val="both"/>
        <w:rPr>
          <w:rFonts w:ascii="Bookman Old Style" w:hAnsi="Bookman Old Style" w:cs="Arial"/>
          <w:i/>
          <w:sz w:val="22"/>
          <w:szCs w:val="22"/>
        </w:rPr>
      </w:pPr>
    </w:p>
    <w:p w:rsidR="0045042D" w:rsidRPr="00EC3BB2" w:rsidRDefault="000E4A6C" w:rsidP="005B47F5">
      <w:pPr>
        <w:ind w:right="284"/>
        <w:jc w:val="both"/>
        <w:rPr>
          <w:rFonts w:ascii="Bookman Old Style" w:hAnsi="Bookman Old Style" w:cs="Arial"/>
          <w:i/>
          <w:sz w:val="22"/>
          <w:szCs w:val="22"/>
        </w:rPr>
      </w:pPr>
      <w:r>
        <w:rPr>
          <w:rFonts w:ascii="Bookman Old Style" w:hAnsi="Bookman Old Style" w:cs="Arial"/>
          <w:i/>
          <w:sz w:val="22"/>
          <w:szCs w:val="22"/>
        </w:rPr>
        <w:t>(…)</w:t>
      </w:r>
      <w:r w:rsidR="0045042D" w:rsidRPr="00EC3BB2">
        <w:rPr>
          <w:rFonts w:ascii="Bookman Old Style" w:hAnsi="Bookman Old Style" w:cs="Arial"/>
          <w:i/>
          <w:sz w:val="22"/>
          <w:szCs w:val="22"/>
        </w:rPr>
        <w:t>”</w:t>
      </w:r>
    </w:p>
    <w:p w:rsidR="0045042D" w:rsidRPr="0045042D" w:rsidRDefault="0045042D" w:rsidP="00D126E3">
      <w:pPr>
        <w:widowControl w:val="0"/>
        <w:tabs>
          <w:tab w:val="right" w:pos="9498"/>
        </w:tabs>
        <w:adjustRightInd w:val="0"/>
        <w:ind w:left="0" w:right="-142"/>
        <w:jc w:val="both"/>
        <w:rPr>
          <w:rFonts w:ascii="Bookman Old Style" w:hAnsi="Bookman Old Style" w:cs="Arial"/>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w:t>
      </w:r>
      <w:r w:rsidR="004D7892">
        <w:rPr>
          <w:rFonts w:ascii="Bookman Old Style" w:hAnsi="Bookman Old Style"/>
          <w:szCs w:val="27"/>
        </w:rPr>
        <w:t>tanques estacionarios</w:t>
      </w:r>
      <w:r w:rsidRPr="00EE6670">
        <w:rPr>
          <w:rFonts w:ascii="Bookman Old Style" w:hAnsi="Bookman Old Style"/>
          <w:szCs w:val="27"/>
        </w:rPr>
        <w:t xml:space="preserve"> efectivamente reportados por </w:t>
      </w:r>
      <w:r w:rsidR="000E4A6C">
        <w:rPr>
          <w:rFonts w:ascii="Bookman Old Style" w:hAnsi="Bookman Old Style"/>
          <w:szCs w:val="27"/>
        </w:rPr>
        <w:t>Compañía de Servicios Públicos</w:t>
      </w:r>
      <w:r w:rsidR="00B13E0A">
        <w:rPr>
          <w:rFonts w:ascii="Bookman Old Style" w:hAnsi="Bookman Old Style"/>
          <w:szCs w:val="27"/>
        </w:rPr>
        <w:t xml:space="preserve">, </w:t>
      </w:r>
      <w:r w:rsidR="000E4A6C">
        <w:rPr>
          <w:rFonts w:ascii="Bookman Old Style" w:hAnsi="Bookman Old Style"/>
          <w:szCs w:val="27"/>
        </w:rPr>
        <w:t xml:space="preserve">por lo que </w:t>
      </w:r>
      <w:r w:rsidR="004D7892">
        <w:rPr>
          <w:rFonts w:ascii="Bookman Old Style" w:hAnsi="Bookman Old Style"/>
          <w:szCs w:val="27"/>
        </w:rPr>
        <w:t>esta Comisión de acuerdo con las</w:t>
      </w:r>
      <w:r w:rsidRPr="00EE6670">
        <w:rPr>
          <w:rFonts w:ascii="Bookman Old Style" w:hAnsi="Bookman Old Style"/>
          <w:szCs w:val="27"/>
        </w:rPr>
        <w:t xml:space="preserve"> facultades </w:t>
      </w:r>
      <w:r w:rsidR="004D7892">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07175C" w:rsidRDefault="00EE6670" w:rsidP="0007175C">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Ahora, mediante el Auto I-2016-004402 se amplió el plazo otorgado en los Autos I-2017-003755 e I-2017-004099 en 30 días adicionales al inicialmente previsto  informando de esta situación a la Superintendencia de Serv</w:t>
      </w:r>
      <w:r w:rsidR="0007175C">
        <w:rPr>
          <w:rFonts w:ascii="Bookman Old Style" w:hAnsi="Bookman Old Style"/>
          <w:szCs w:val="27"/>
        </w:rPr>
        <w:t xml:space="preserve">icios Públicos Domiciliarios.  </w:t>
      </w:r>
    </w:p>
    <w:p w:rsidR="0007175C" w:rsidRDefault="0007175C" w:rsidP="0007175C">
      <w:pPr>
        <w:pStyle w:val="Textoindependiente2"/>
        <w:spacing w:after="0" w:line="240" w:lineRule="auto"/>
        <w:ind w:left="-142" w:right="-142"/>
        <w:jc w:val="both"/>
        <w:rPr>
          <w:rFonts w:ascii="Bookman Old Style" w:hAnsi="Bookman Old Style"/>
          <w:szCs w:val="27"/>
        </w:rPr>
      </w:pPr>
    </w:p>
    <w:p w:rsidR="002201BD" w:rsidRDefault="002201BD" w:rsidP="0007175C">
      <w:pPr>
        <w:pStyle w:val="Textoindependiente2"/>
        <w:spacing w:after="0" w:line="240" w:lineRule="auto"/>
        <w:ind w:left="-142" w:right="-142"/>
        <w:jc w:val="both"/>
        <w:rPr>
          <w:rFonts w:ascii="Bookman Old Style" w:hAnsi="Bookman Old Style"/>
          <w:b/>
          <w:szCs w:val="27"/>
        </w:rPr>
      </w:pPr>
      <w:r w:rsidRPr="002201BD">
        <w:rPr>
          <w:rFonts w:ascii="Bookman Old Style" w:hAnsi="Bookman Old Style"/>
          <w:b/>
          <w:szCs w:val="27"/>
        </w:rPr>
        <w:t xml:space="preserve">Solicitud de práctica de pruebas realizada por </w:t>
      </w:r>
      <w:proofErr w:type="spellStart"/>
      <w:r w:rsidRPr="002201BD">
        <w:rPr>
          <w:rFonts w:ascii="Bookman Old Style" w:hAnsi="Bookman Old Style"/>
          <w:b/>
          <w:szCs w:val="27"/>
        </w:rPr>
        <w:t>Codegas</w:t>
      </w:r>
      <w:proofErr w:type="spellEnd"/>
    </w:p>
    <w:p w:rsidR="002201BD" w:rsidRPr="002201BD" w:rsidRDefault="002201BD" w:rsidP="0007175C">
      <w:pPr>
        <w:pStyle w:val="Textoindependiente2"/>
        <w:spacing w:after="0" w:line="240" w:lineRule="auto"/>
        <w:ind w:left="-142" w:right="-142"/>
        <w:jc w:val="both"/>
        <w:rPr>
          <w:rFonts w:ascii="Bookman Old Style" w:hAnsi="Bookman Old Style"/>
          <w:b/>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 xml:space="preserve">Mediante comunicación con radicado CREG E-2016-012817 </w:t>
      </w:r>
      <w:r>
        <w:rPr>
          <w:rFonts w:ascii="Bookman Old Style" w:hAnsi="Bookman Old Style"/>
          <w:szCs w:val="27"/>
        </w:rPr>
        <w:t xml:space="preserve">y dentro del trámite de la actuación administrativa, </w:t>
      </w:r>
      <w:r w:rsidRPr="002201BD">
        <w:rPr>
          <w:rFonts w:ascii="Bookman Old Style" w:hAnsi="Bookman Old Style"/>
          <w:szCs w:val="27"/>
        </w:rPr>
        <w:t xml:space="preserve">el representante legal de la empresa </w:t>
      </w:r>
      <w:proofErr w:type="spellStart"/>
      <w:r w:rsidRPr="002201BD">
        <w:rPr>
          <w:rFonts w:ascii="Bookman Old Style" w:hAnsi="Bookman Old Style"/>
          <w:szCs w:val="27"/>
        </w:rPr>
        <w:t>Codegas</w:t>
      </w:r>
      <w:proofErr w:type="spellEnd"/>
      <w:r w:rsidRPr="002201BD">
        <w:rPr>
          <w:rFonts w:ascii="Bookman Old Style" w:hAnsi="Bookman Old Style"/>
          <w:szCs w:val="27"/>
        </w:rPr>
        <w:t xml:space="preserve"> solicita el decreto y práctica de una prueba pericial para lo cual manifiesta lo siguiente:</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“De acuerdo con lo establecido en los artículos 165, 226 y siguientes y demás concordantes del Código General del Proceso, respetuosamente solicito acepte el decreto de un dictamen pericial, el cual será aportado por CODEGAS S.A. E.S.P. en la oportunidad que la CREG establezca para el efecto.</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Ahora bien, dadas las características y la complejidad de los asuntos objeto del recurso de reposición, con fundamento en lo dispuesto en el artículo 227 del C.G.P. comedidamente solicito que defina un término prudencial y razonable para la respectiva elaboración y entrega del dictamen pericial.</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De manera adicional, consideramos pertinente y necesario que la Comisión defina las características de idoneidad y experiencia que considera debe cumplir la persona o institución encargada de la elaboración del dictamen, a fin de que se pueda tomar una decisión de fondo (…)</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 xml:space="preserve">Ahora bien, es necesario advertir que, para la definición del factor de equivalencia, l Comisión no tuvo en cuenta los estudios suficientes para definir el mismo y las implicaciones que en materia de inversiones dicho valor representa para los distribuidores de GLP que llevan a cabo esta actividad a través de tanques estacionarios. </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 xml:space="preserve">De acuerdo con lo anterior, consideramos que la CREG tomó una decisión sin contar con el fundamento técnico adecuado y suficiente, de manera que, </w:t>
      </w:r>
      <w:proofErr w:type="spellStart"/>
      <w:r w:rsidRPr="002201BD">
        <w:rPr>
          <w:rFonts w:ascii="Bookman Old Style" w:hAnsi="Bookman Old Style"/>
          <w:sz w:val="22"/>
          <w:szCs w:val="22"/>
        </w:rPr>
        <w:t>sino</w:t>
      </w:r>
      <w:proofErr w:type="spellEnd"/>
      <w:r w:rsidRPr="002201BD">
        <w:rPr>
          <w:rFonts w:ascii="Bookman Old Style" w:hAnsi="Bookman Old Style"/>
          <w:sz w:val="22"/>
          <w:szCs w:val="22"/>
        </w:rPr>
        <w:t xml:space="preserve"> se accede a la práctica del dictamen y se deniegan las pretensiones del recurso de reposición, se estaría desconociendo el derecho al debido proceso y el derecho defensa.</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En el evento de que la CREG decida no aceptar el dictamen pericial como medio de prueba, los derechos previamente mencionados estarían siendo vulnerados.</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En este sentido, insistimos en que la práctica del dictamen pericial permitirá probar puntos e información que no obra dentro de la actuación y que se traducirán en elementos pertinentes, conducentes y útiles que contribuyan al debate y que definitivamente tienen vocación plena para incidir en la decisión final, en la medida que permitirán reforzar los argumentos expuestos en el recurso de reposición”.</w:t>
      </w:r>
    </w:p>
    <w:p w:rsidR="002201BD" w:rsidRPr="002201BD" w:rsidRDefault="002201BD" w:rsidP="002201BD">
      <w:pPr>
        <w:ind w:left="0"/>
        <w:jc w:val="both"/>
        <w:rPr>
          <w:rFonts w:ascii="Arial" w:hAnsi="Arial" w:cs="Arial"/>
          <w:spacing w:val="-5"/>
          <w:sz w:val="22"/>
          <w:szCs w:val="22"/>
          <w:lang w:val="es-CO" w:eastAsia="en-US"/>
        </w:rPr>
      </w:pPr>
    </w:p>
    <w:p w:rsidR="002201BD" w:rsidRPr="002201BD" w:rsidRDefault="002201BD" w:rsidP="002201BD">
      <w:pPr>
        <w:pStyle w:val="Textoindependiente2"/>
        <w:spacing w:after="0" w:line="240" w:lineRule="auto"/>
        <w:ind w:left="-142" w:right="-142"/>
        <w:jc w:val="both"/>
        <w:rPr>
          <w:rFonts w:ascii="Bookman Old Style" w:hAnsi="Bookman Old Style"/>
          <w:b/>
          <w:szCs w:val="27"/>
        </w:rPr>
      </w:pPr>
      <w:r w:rsidRPr="002201BD">
        <w:rPr>
          <w:rFonts w:ascii="Bookman Old Style" w:hAnsi="Bookman Old Style"/>
          <w:b/>
          <w:szCs w:val="27"/>
        </w:rPr>
        <w:t xml:space="preserve">Análisis de la solicitud de pruebas   </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Las pruebas dentro de una actuación administrativa o judicial son medios señalados por el legislador dentro del ordenamiento jurídico para crear en la autoridad administrativa o en el juzgador la certeza o el convencimiento sobre la verdad de los hechos que son materia de las actuaciones o los procesos que se adelanten, con el fin de que los mismos apliquen el ordenamiento positivo a los casos concretos.</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 xml:space="preserve">La aplicación y el análisis de las pruebas dentro de las actuaciones que adelanten las autoridades administrativas, a diferencia de lo que ocurre en una actuación judicial, deben tener en cuenta: </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i. </w:t>
      </w:r>
      <w:r w:rsidRPr="002201BD">
        <w:rPr>
          <w:rFonts w:ascii="Bookman Old Style" w:hAnsi="Bookman Old Style"/>
          <w:szCs w:val="27"/>
        </w:rPr>
        <w:t xml:space="preserve">Los fines constitucionales y legales que éstas persiguen. Para el caso de la CREG, dichos fines, como autoridad regulatoria de los servicios públicos domiciliarios de energía eléctrica y gas combustible, están previstos en las leyes 142 y 143 de 1994 y desarrollados por la jurisprudencia. </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ii. </w:t>
      </w:r>
      <w:r w:rsidRPr="002201BD">
        <w:rPr>
          <w:rFonts w:ascii="Bookman Old Style" w:hAnsi="Bookman Old Style"/>
          <w:szCs w:val="27"/>
        </w:rPr>
        <w:t>El objeto al cual se circunscribe el desarrollo de la actuación administrativa.</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 xml:space="preserve">De acuerdo con lo anterior, las actuaciones administrativas que se adelanten como parte del ejercicio de la facultad regulatoria de la CREG, así como las decisiones </w:t>
      </w:r>
      <w:r w:rsidRPr="002201BD">
        <w:rPr>
          <w:rFonts w:ascii="Bookman Old Style" w:hAnsi="Bookman Old Style"/>
          <w:szCs w:val="27"/>
        </w:rPr>
        <w:lastRenderedPageBreak/>
        <w:t>que se adopten como parte de las mismas, se deben desarrollar y valorar atendiendo los principios respecto de los cuales se rigen y se sustentan la prestación de los servicios públicos domiciliarios, garantizando el equilibrio entre el interés general y la libertad económica (incentivo económico), y lo que la Corte Constitucional denomina el buen funcionamiento del mercado</w:t>
      </w:r>
      <w:r w:rsidRPr="002201BD">
        <w:rPr>
          <w:rFonts w:ascii="Bookman Old Style" w:hAnsi="Bookman Old Style"/>
          <w:szCs w:val="27"/>
        </w:rPr>
        <w:footnoteReference w:id="5"/>
      </w:r>
      <w:r w:rsidRPr="002201BD">
        <w:rPr>
          <w:rFonts w:ascii="Bookman Old Style" w:hAnsi="Bookman Old Style"/>
          <w:szCs w:val="27"/>
        </w:rPr>
        <w:t>. Igualmente, el recaudo, la práctica y la contradicción de las pruebas en que se sustenten estas decisiones se sujetan a la aplicación de las garantías fundamentales del debido proceso y el derecho de defensa.</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Ahora, en cuanto a la prueba pericial, dicho medio probatorio ha sido considerado como una declaración de carácter técnico, científico o artístico, sobre hechos que interesan al proceso o a una actuación administrativa, rendida por personas que por sus conocimientos y su experiencia son considerados expertos en la materia respectiva.</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Es por esto que el Código de Procedimiento Civil así como el Código General del Proceso, los cuales regulan el decreto y práctica de este medio de prueba, se ha dispuesto, para el caso del primero, en su artículo 233 que “la peritación es procedente para verificar hechos que interesen al proceso y requieran especiales conocimientos científicos, técnicos o artísticos”, mientras que en el caso del segundo el artículo 228 ha dispuesto que dicha prueba “es procedente para verificar hechos que interesen al proceso y requieran especiales conocimientos científicos, técnicos o artísticos”.</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De igual forma, la jurisprudencia constitucional y administrativa, haciendo un análisis de los elementos y las características de la prueba pericial, ha reconocido que el dictamen pericial tiene una doble condición:</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 xml:space="preserve">“Es, en primer término, un instrumento para que el juez pueda comprender aspectos fácticos del asunto que, al tener carácter técnico, científico o artístico, requieren ser interpretados a través del dictamen de un experto sobre la materia de que se trate. En segundo lugar, el </w:t>
      </w:r>
      <w:proofErr w:type="spellStart"/>
      <w:r w:rsidRPr="002201BD">
        <w:rPr>
          <w:rFonts w:ascii="Bookman Old Style" w:hAnsi="Bookman Old Style"/>
          <w:sz w:val="22"/>
          <w:szCs w:val="22"/>
        </w:rPr>
        <w:t>experticio</w:t>
      </w:r>
      <w:proofErr w:type="spellEnd"/>
      <w:r w:rsidRPr="002201BD">
        <w:rPr>
          <w:rFonts w:ascii="Bookman Old Style" w:hAnsi="Bookman Old Style"/>
          <w:sz w:val="22"/>
          <w:szCs w:val="22"/>
        </w:rPr>
        <w:t xml:space="preserve"> es un medio de prueba en sí mismo considerado, puesto que permite comprobar, a través de valoraciones técnicas o científicas, hechos materia de debate en un proceso. Es por esta última razón que los ordenamientos procedimentales como el colombiano, prevén que el dictamen pericial, en su condición de prueba dentro del proceso correspondiente, debe ser sometido a la posibilidad de contradicción de las partes, mediante mecanismos como las aclaraciones, complementaciones u objeciones por error grave”</w:t>
      </w:r>
      <w:r w:rsidRPr="002201BD">
        <w:rPr>
          <w:rFonts w:ascii="Bookman Old Style" w:hAnsi="Bookman Old Style"/>
          <w:sz w:val="22"/>
          <w:szCs w:val="22"/>
          <w:vertAlign w:val="superscript"/>
        </w:rPr>
        <w:footnoteReference w:id="6"/>
      </w:r>
      <w:r w:rsidRPr="002201BD">
        <w:rPr>
          <w:rFonts w:ascii="Bookman Old Style" w:hAnsi="Bookman Old Style"/>
          <w:sz w:val="22"/>
          <w:szCs w:val="22"/>
        </w:rPr>
        <w:t>.</w:t>
      </w:r>
    </w:p>
    <w:p w:rsidR="002201BD" w:rsidRPr="002201BD" w:rsidRDefault="002201BD" w:rsidP="002201BD">
      <w:pPr>
        <w:ind w:left="0"/>
        <w:jc w:val="both"/>
        <w:rPr>
          <w:rFonts w:ascii="Arial" w:hAnsi="Arial" w:cs="Arial"/>
          <w:bCs/>
          <w:lang w:val="es-ES_tradnl"/>
        </w:rPr>
      </w:pPr>
    </w:p>
    <w:p w:rsidR="002201BD" w:rsidRPr="002201BD" w:rsidRDefault="002201BD" w:rsidP="002201BD">
      <w:pPr>
        <w:pStyle w:val="Textoindependiente2"/>
        <w:spacing w:after="0" w:line="240" w:lineRule="auto"/>
        <w:ind w:left="-142" w:right="-142"/>
        <w:jc w:val="both"/>
        <w:rPr>
          <w:rFonts w:ascii="Arial" w:hAnsi="Arial" w:cs="Arial"/>
          <w:sz w:val="22"/>
          <w:szCs w:val="22"/>
          <w:lang w:val="es-ES_tradnl"/>
        </w:rPr>
      </w:pPr>
      <w:r w:rsidRPr="002201BD">
        <w:rPr>
          <w:rFonts w:ascii="Bookman Old Style" w:hAnsi="Bookman Old Style"/>
          <w:szCs w:val="27"/>
        </w:rPr>
        <w:t>Así mismo, sobre las características de este medio probatorio la misma Corte ha dicho:</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 xml:space="preserve">“De acuerdo con el Código de Procedimiento Civil, la prueba pericial se caracteriza por: i) expresar conceptos cualificados de expertos en materias científicas, técnicas o artísticas, pero bajo ningún punto sobre aspectos jurídicos (artículo 236, numeral 1º), pues es evidente que el juez no requiere apoyo en la disciplina que le es propia; ii) quien lo emite no expresa hechos, sino conceptos técnicos relevantes en el proceso. En efecto, a los peritos no les consta la situación fáctica que origina la intervención judicial, puesto que, a pesar de que pueden pedir información sobre los hechos sometidos a controversia, su intervención tiene como objetivo emitir juicios especializados que ilustran al juez sobre aspectos que son ajenos a su </w:t>
      </w:r>
      <w:r w:rsidRPr="002201BD">
        <w:rPr>
          <w:rFonts w:ascii="Bookman Old Style" w:hAnsi="Bookman Old Style"/>
          <w:sz w:val="22"/>
          <w:szCs w:val="22"/>
        </w:rPr>
        <w:lastRenderedPageBreak/>
        <w:t>saber. Esto es precisamente lo que diferencia el dictamen pericial del testimonio técnico, porque mientras en el segundo se han percibido los hechos, el primero resulta ajeno a ellos (artículos 213 y siguientes); iii) es un concepto especializado imparcial, puesto que el hecho de que los peritos están sometidos a las mismas causales de impedimentos y recusaciones que los jueces muestra que deben ser terceros ajenos a la contienda (artículo 235); iv) se practica por encargo judicial previo, de ahí que claramente se deduce que no es una manifestación de conocimientos espontánea ni su contenido puede corresponder a la voluntad de una de las partes (artículo 236, numeral 2º); v) ser motivado en forma clara, oportuna, detallada y suficientemente (artículo 237) y, vi) para que pueda ser valorado judicialmente, esto es, para que pueda atribuírsele eficacia probatoria requiere haberse sometido a las condiciones y al procedimiento establecido en la ley y, en especial, a la contradicción por la contraparte (artículos 236 a 241)”</w:t>
      </w:r>
      <w:r w:rsidRPr="002201BD">
        <w:rPr>
          <w:rFonts w:ascii="Bookman Old Style" w:hAnsi="Bookman Old Style"/>
          <w:sz w:val="22"/>
          <w:szCs w:val="22"/>
          <w:vertAlign w:val="superscript"/>
        </w:rPr>
        <w:footnoteReference w:id="7"/>
      </w:r>
      <w:r w:rsidRPr="002201BD">
        <w:rPr>
          <w:rFonts w:ascii="Bookman Old Style" w:hAnsi="Bookman Old Style"/>
          <w:sz w:val="22"/>
          <w:szCs w:val="22"/>
          <w:vertAlign w:val="superscript"/>
        </w:rPr>
        <w:t>.</w:t>
      </w:r>
    </w:p>
    <w:p w:rsidR="002201BD" w:rsidRPr="002201BD" w:rsidRDefault="002201BD" w:rsidP="002201BD">
      <w:pPr>
        <w:ind w:left="0"/>
        <w:jc w:val="both"/>
        <w:rPr>
          <w:rFonts w:ascii="Arial" w:hAnsi="Arial" w:cs="Arial"/>
          <w:bCs/>
          <w:sz w:val="20"/>
          <w:szCs w:val="20"/>
          <w:lang w:val="es-ES_tradnl"/>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En relación con esto y bajo esta misma línea, el Honorable Consejo de Estado ha establecido las siguientes características en relación con su valor probatorio:</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 xml:space="preserve">“Al respecto, conviene advertir que de conformidad con el artículo 233 del Código de Procedimiento Civil, la peritación como medio de prueba es procedente para verificar hechos que interesen al proceso y requieran especiales conocimientos científicos, técnicos o artísticos. El perito debe informarle razonadamente al juez lo que de acuerdo con esos conocimientos especializados sepa de los hechos -y no cuestiones de derecho- que se sometan a su </w:t>
      </w:r>
      <w:proofErr w:type="spellStart"/>
      <w:r w:rsidRPr="002201BD">
        <w:rPr>
          <w:rFonts w:ascii="Bookman Old Style" w:hAnsi="Bookman Old Style"/>
          <w:sz w:val="22"/>
          <w:szCs w:val="22"/>
        </w:rPr>
        <w:t>experticio</w:t>
      </w:r>
      <w:proofErr w:type="spellEnd"/>
      <w:r w:rsidRPr="002201BD">
        <w:rPr>
          <w:rFonts w:ascii="Bookman Old Style" w:hAnsi="Bookman Old Style"/>
          <w:sz w:val="22"/>
          <w:szCs w:val="22"/>
        </w:rPr>
        <w:t>, sin importarle a cuál de la partes beneficia o perjudica, de manera que su dictamen debe ser personal</w:t>
      </w:r>
      <w:r w:rsidRPr="002201BD">
        <w:rPr>
          <w:rFonts w:ascii="Bookman Old Style" w:hAnsi="Bookman Old Style"/>
          <w:sz w:val="22"/>
          <w:szCs w:val="22"/>
        </w:rPr>
        <w:footnoteReference w:id="8"/>
      </w:r>
      <w:r w:rsidRPr="002201BD">
        <w:rPr>
          <w:rFonts w:ascii="Bookman Old Style" w:hAnsi="Bookman Old Style"/>
          <w:sz w:val="22"/>
          <w:szCs w:val="22"/>
        </w:rPr>
        <w:t xml:space="preserve"> y contener conceptos propios sobre las materias objeto de examen y no de otras personas por autorizadas que sean, sin perjuicio de que pueda utilizar auxiliares o solicitar por su cuenta el concurso de otros técnicos, bajo su dirección y responsabilidad (numeral 2 del artículo 237 del C. de P. Civil.).</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Para su eficacia probatoria debe reunir ciertas condiciones de contenido como son la conducencia en relación con el hecho a probar; que el perito sea competente, es decir, un verdadero experto para el desempeño del cargo; que no exista un motivo serio para dudar de su imparcialidad; que no se haya probado una objeción por error grave; que el dictamen esté debidamente fundamentado y sus conclusiones sean claras firmes y consecuencia de las razones expuestas; que haya surtido contradicción; que no exista retracto del mismo por parte de perito y en fin que otras pruebas no lo desvirtúen</w:t>
      </w:r>
      <w:r w:rsidRPr="002201BD">
        <w:rPr>
          <w:rFonts w:ascii="Bookman Old Style" w:hAnsi="Bookman Old Style"/>
          <w:sz w:val="22"/>
          <w:szCs w:val="22"/>
        </w:rPr>
        <w:footnoteReference w:id="9"/>
      </w:r>
      <w:r w:rsidRPr="002201BD">
        <w:rPr>
          <w:rFonts w:ascii="Bookman Old Style" w:hAnsi="Bookman Old Style"/>
          <w:sz w:val="22"/>
          <w:szCs w:val="22"/>
        </w:rPr>
        <w:t xml:space="preserve">. El dictamen del perito debe ser claro, preciso y detallado, en él se deben explicar los exámenes, experimentos e investigaciones efectuadas, lo mismo que los fundamentos técnicos, científicos o artísticos de las conclusiones (numeral 6 del artículo 237 </w:t>
      </w:r>
      <w:proofErr w:type="spellStart"/>
      <w:r w:rsidRPr="002201BD">
        <w:rPr>
          <w:rFonts w:ascii="Bookman Old Style" w:hAnsi="Bookman Old Style"/>
          <w:sz w:val="22"/>
          <w:szCs w:val="22"/>
        </w:rPr>
        <w:t>ejusdem</w:t>
      </w:r>
      <w:proofErr w:type="spellEnd"/>
      <w:r w:rsidRPr="002201BD">
        <w:rPr>
          <w:rFonts w:ascii="Bookman Old Style" w:hAnsi="Bookman Old Style"/>
          <w:sz w:val="22"/>
          <w:szCs w:val="22"/>
        </w:rPr>
        <w:t>).</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A su turno, el artículo 241 ibídem señala que al valorar o apreciar el juez el dictamen de los peritos tendrá en cuenta la firmeza, precisión y calidad de sus fundamentos, la competencia de los peritos y los demás elementos probatorios que obren en el proceso. Con esto se quiere significar que el juez es autónomo para valorar el dictamen y verificar la lógica de sus fundamentos y resultados, toda vez que el perito es un auxiliar de la justicia, pero él no la imparte ni la administra, de manera que el juez no está obligado a ‘…aceptar ciegamente las conclusiones de los peritos, pues si ello fuese así, estos serían falladores…”</w:t>
      </w:r>
      <w:r w:rsidRPr="002201BD">
        <w:rPr>
          <w:rFonts w:ascii="Bookman Old Style" w:hAnsi="Bookman Old Style"/>
          <w:sz w:val="22"/>
          <w:szCs w:val="22"/>
        </w:rPr>
        <w:footnoteReference w:id="10"/>
      </w:r>
      <w:r w:rsidRPr="002201BD">
        <w:rPr>
          <w:rFonts w:ascii="Bookman Old Style" w:hAnsi="Bookman Old Style"/>
          <w:sz w:val="22"/>
          <w:szCs w:val="22"/>
        </w:rPr>
        <w:t>.</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lastRenderedPageBreak/>
        <w:t>En suma, el juez está en el deber de estudiar bajo la sana crítica el dictamen pericial y en la libertad de valorar sus resultados; si lo encuentra ajustado y lo convence, puede tenerlo en cuenta total o parcialmente al momento de fallar; o desechar sensatamente y con razones los resultados de la peritación por encontrar sus fundamentos sin la firmeza, precisión y claridad que deben estar presentes en el dictamen para ilustrar y transmitir el conocimiento de la técnica, ciencia o arte de lo dicho, de suerte que permita al juez otorgarle mérito a esta prueba por llegar a la convicción en relación con los hechos objeto de la misma”.</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Igualmente, se debe precisar que el objeto de la presente actuación administrativa es definir la capacidad de compra de la empresa Compañía de Servicios Públicos atendiendo lo dispuesto en la Resolución CREG 063 de 2016, razón por la cual, las pruebas solicitadas, aportadas y decretadas deben tener directa relación con el objeto de la presente actuación administrativa.</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 xml:space="preserve">Ahora bien, una vez analizada la solicitud </w:t>
      </w:r>
      <w:r>
        <w:rPr>
          <w:rFonts w:ascii="Bookman Old Style" w:hAnsi="Bookman Old Style"/>
          <w:szCs w:val="27"/>
        </w:rPr>
        <w:t xml:space="preserve">de una prueba pericial </w:t>
      </w:r>
      <w:r w:rsidRPr="002201BD">
        <w:rPr>
          <w:rFonts w:ascii="Bookman Old Style" w:hAnsi="Bookman Old Style"/>
          <w:szCs w:val="27"/>
        </w:rPr>
        <w:t xml:space="preserve">hecha por </w:t>
      </w:r>
      <w:r>
        <w:rPr>
          <w:rFonts w:ascii="Bookman Old Style" w:hAnsi="Bookman Old Style"/>
          <w:szCs w:val="27"/>
        </w:rPr>
        <w:t xml:space="preserve">parte de </w:t>
      </w:r>
      <w:proofErr w:type="spellStart"/>
      <w:r w:rsidRPr="002201BD">
        <w:rPr>
          <w:rFonts w:ascii="Bookman Old Style" w:hAnsi="Bookman Old Style"/>
          <w:szCs w:val="27"/>
        </w:rPr>
        <w:t>Codegas</w:t>
      </w:r>
      <w:proofErr w:type="spellEnd"/>
      <w:r w:rsidRPr="002201BD">
        <w:rPr>
          <w:rFonts w:ascii="Bookman Old Style" w:hAnsi="Bookman Old Style"/>
          <w:szCs w:val="27"/>
        </w:rPr>
        <w:t xml:space="preserve"> se establece que </w:t>
      </w:r>
      <w:r>
        <w:rPr>
          <w:rFonts w:ascii="Bookman Old Style" w:hAnsi="Bookman Old Style"/>
          <w:szCs w:val="27"/>
        </w:rPr>
        <w:t xml:space="preserve">la misma </w:t>
      </w:r>
      <w:proofErr w:type="spellStart"/>
      <w:r>
        <w:rPr>
          <w:rFonts w:ascii="Bookman Old Style" w:hAnsi="Bookman Old Style"/>
          <w:szCs w:val="27"/>
        </w:rPr>
        <w:t>esta</w:t>
      </w:r>
      <w:proofErr w:type="spellEnd"/>
      <w:r w:rsidRPr="002201BD">
        <w:rPr>
          <w:rFonts w:ascii="Bookman Old Style" w:hAnsi="Bookman Old Style"/>
          <w:szCs w:val="27"/>
        </w:rPr>
        <w:t xml:space="preserve"> dirigida a soportar argumentos tendientes a cuestionar de manera general y abstracta la legalidad de la Resolución CREG 063 de 2016, en particular el artículo 8, con respecto a la forma en que se estableció y se definieron los parámetros generales para la definición de la capacidad de compra, lo cual difiere del objeto de la Resolución CREG 075 de 2016, el cual corresponde al procedimiento y la forma en que fue llevada a cabo la definición de la capacidad de compra en los términos previstos en este acto administrativo para el caso particular de la empresa Compañía de Servicios Públicos.</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Por lo anterior, se establece que la prueba solicitada a efectos de soportar los cuestionamientos realizados dentro del recurso de reposición en este punto no están dirigidos, ni tienen relación con el objeto del acto impugnado, no siendo este el espacio para cuestionar la legalidad de la medida de carácter general.</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 xml:space="preserve">Adicionalmente se debe </w:t>
      </w:r>
      <w:r>
        <w:rPr>
          <w:rFonts w:ascii="Bookman Old Style" w:hAnsi="Bookman Old Style"/>
          <w:szCs w:val="27"/>
        </w:rPr>
        <w:t>reiterar</w:t>
      </w:r>
      <w:r w:rsidRPr="002201BD">
        <w:rPr>
          <w:rFonts w:ascii="Bookman Old Style" w:hAnsi="Bookman Old Style"/>
          <w:szCs w:val="27"/>
        </w:rPr>
        <w:t xml:space="preserve"> que dentro del objeto de esta actuación administr</w:t>
      </w:r>
      <w:r>
        <w:rPr>
          <w:rFonts w:ascii="Bookman Old Style" w:hAnsi="Bookman Old Style"/>
          <w:szCs w:val="27"/>
        </w:rPr>
        <w:t xml:space="preserve">ativa, esta Comisión decretó oficio la práctica de pruebas relacionadas con el objeto de la actuación y lo manifestado por </w:t>
      </w:r>
      <w:proofErr w:type="spellStart"/>
      <w:r>
        <w:rPr>
          <w:rFonts w:ascii="Bookman Old Style" w:hAnsi="Bookman Old Style"/>
          <w:szCs w:val="27"/>
        </w:rPr>
        <w:t>Codegas</w:t>
      </w:r>
      <w:proofErr w:type="spellEnd"/>
      <w:r>
        <w:rPr>
          <w:rFonts w:ascii="Bookman Old Style" w:hAnsi="Bookman Old Style"/>
          <w:szCs w:val="27"/>
        </w:rPr>
        <w:t xml:space="preserve"> en relación con la información, las cuales se consideran como las pruebas pertinentes y conducentes a efectos de resolver el recurso de reposición interpuesto por parte de esta empresa.</w:t>
      </w:r>
    </w:p>
    <w:p w:rsidR="002201BD" w:rsidRPr="002201BD" w:rsidRDefault="002201BD" w:rsidP="002201BD">
      <w:pPr>
        <w:ind w:left="0"/>
        <w:jc w:val="both"/>
        <w:rPr>
          <w:rFonts w:ascii="Arial" w:hAnsi="Arial" w:cs="Arial"/>
          <w:lang w:val="es-ES_tradnl"/>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 xml:space="preserve">Con base en las anteriores consideraciones a juicio de et Comisión se debe rechazar </w:t>
      </w:r>
      <w:r>
        <w:rPr>
          <w:rFonts w:ascii="Bookman Old Style" w:hAnsi="Bookman Old Style"/>
          <w:szCs w:val="27"/>
        </w:rPr>
        <w:t>la solicitud de una</w:t>
      </w:r>
      <w:r w:rsidRPr="002201BD">
        <w:rPr>
          <w:rFonts w:ascii="Bookman Old Style" w:hAnsi="Bookman Old Style"/>
          <w:szCs w:val="27"/>
        </w:rPr>
        <w:t xml:space="preserve"> prueba </w:t>
      </w:r>
      <w:r>
        <w:rPr>
          <w:rFonts w:ascii="Bookman Old Style" w:hAnsi="Bookman Old Style"/>
          <w:szCs w:val="27"/>
        </w:rPr>
        <w:t xml:space="preserve">pericial realizada por </w:t>
      </w:r>
      <w:proofErr w:type="spellStart"/>
      <w:r>
        <w:rPr>
          <w:rFonts w:ascii="Bookman Old Style" w:hAnsi="Bookman Old Style"/>
          <w:szCs w:val="27"/>
        </w:rPr>
        <w:t>Codegas</w:t>
      </w:r>
      <w:proofErr w:type="spellEnd"/>
      <w:r w:rsidRPr="002201BD">
        <w:rPr>
          <w:rFonts w:ascii="Bookman Old Style" w:hAnsi="Bookman Old Style"/>
          <w:szCs w:val="27"/>
        </w:rPr>
        <w:t xml:space="preserve"> con base en lo dispuesto en el artículo 40 del Código de Procedimiento Administrativo y de lo Contencioso Administrativo y el artículo 178 del Código de Procedimiento Civil al determinar que dicha prueba no da cumplimiento a los principios generales para la aplicación de la prueba en cuanto a su pertinencia, idoneidad y conducencia. </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Estos principios hacen parte de lo que la doctrina ha denominado los “requisitos intrínsecos y extrínsecos de la prueba”</w:t>
      </w:r>
      <w:r w:rsidRPr="002201BD">
        <w:rPr>
          <w:rFonts w:ascii="Bookman Old Style" w:hAnsi="Bookman Old Style"/>
          <w:szCs w:val="27"/>
          <w:vertAlign w:val="superscript"/>
        </w:rPr>
        <w:footnoteReference w:id="11"/>
      </w:r>
      <w:r w:rsidRPr="002201BD">
        <w:rPr>
          <w:rFonts w:ascii="Bookman Old Style" w:hAnsi="Bookman Old Style"/>
          <w:szCs w:val="27"/>
        </w:rPr>
        <w:t>.</w:t>
      </w:r>
    </w:p>
    <w:p w:rsidR="002201BD" w:rsidRPr="002201BD" w:rsidRDefault="002201BD" w:rsidP="002201BD">
      <w:pPr>
        <w:ind w:left="0"/>
        <w:jc w:val="both"/>
        <w:rPr>
          <w:rFonts w:ascii="Arial" w:hAnsi="Arial" w:cs="Arial"/>
          <w:sz w:val="22"/>
          <w:szCs w:val="22"/>
          <w:lang w:val="es-ES_tradnl"/>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 xml:space="preserve">En el caso de los primeros, estos contemplan la admisión de la prueba pericial en un sentido genérico y están relacionados con la conducencia, pertinencia y utilidad que tiene el decreto y práctica del dictamen pericial. </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Frente a estos requisitos, en el caso de la pertinencia la jurisprudencia ha expuesto lo siguiente:</w:t>
      </w: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“el análisis sobre la pertinencia de la prueba se refiere a que la misma guarde relación con el objeto del proceso, como lo establece el artículo 178 del C.P.C. A renglón seguido, la norma señala que se rechazarán las pruebas legalmente prohibidas o ineficaces, las que versen sobre hechos notoriamente impertinentes y las manifiestamente superfluas”</w:t>
      </w:r>
      <w:r w:rsidRPr="002201BD">
        <w:rPr>
          <w:rFonts w:ascii="Bookman Old Style" w:hAnsi="Bookman Old Style"/>
          <w:sz w:val="22"/>
          <w:szCs w:val="22"/>
          <w:vertAlign w:val="superscript"/>
        </w:rPr>
        <w:footnoteReference w:id="12"/>
      </w:r>
      <w:r w:rsidRPr="002201BD">
        <w:rPr>
          <w:rFonts w:ascii="Bookman Old Style" w:hAnsi="Bookman Old Style"/>
          <w:sz w:val="22"/>
          <w:szCs w:val="22"/>
        </w:rPr>
        <w:t>. (</w:t>
      </w:r>
      <w:proofErr w:type="gramStart"/>
      <w:r w:rsidRPr="002201BD">
        <w:rPr>
          <w:rFonts w:ascii="Bookman Old Style" w:hAnsi="Bookman Old Style"/>
          <w:sz w:val="22"/>
          <w:szCs w:val="22"/>
        </w:rPr>
        <w:t>se</w:t>
      </w:r>
      <w:proofErr w:type="gramEnd"/>
      <w:r w:rsidRPr="002201BD">
        <w:rPr>
          <w:rFonts w:ascii="Bookman Old Style" w:hAnsi="Bookman Old Style"/>
          <w:sz w:val="22"/>
          <w:szCs w:val="22"/>
        </w:rPr>
        <w:t xml:space="preserve"> subraya)</w:t>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También ha dicho que:</w:t>
      </w:r>
    </w:p>
    <w:p w:rsidR="002201BD" w:rsidRPr="002201BD" w:rsidRDefault="002201BD" w:rsidP="002201BD">
      <w:pPr>
        <w:ind w:left="0"/>
        <w:jc w:val="both"/>
        <w:rPr>
          <w:rFonts w:ascii="Arial" w:hAnsi="Arial" w:cs="Arial"/>
          <w:lang w:val="es-ES_tradnl"/>
        </w:rPr>
      </w:pPr>
      <w:r w:rsidRPr="002201BD">
        <w:rPr>
          <w:rFonts w:ascii="Arial" w:hAnsi="Arial" w:cs="Arial"/>
          <w:lang w:val="es-ES_tradnl"/>
        </w:rPr>
        <w:t xml:space="preserve"> </w:t>
      </w:r>
    </w:p>
    <w:p w:rsidR="002201BD" w:rsidRPr="00745669" w:rsidRDefault="002201BD" w:rsidP="00745669">
      <w:pPr>
        <w:pStyle w:val="Textoindependiente2"/>
        <w:spacing w:after="0" w:line="240" w:lineRule="auto"/>
        <w:ind w:left="284" w:right="284"/>
        <w:jc w:val="both"/>
        <w:rPr>
          <w:rFonts w:ascii="Bookman Old Style" w:hAnsi="Bookman Old Style"/>
          <w:sz w:val="22"/>
          <w:szCs w:val="22"/>
          <w:vertAlign w:val="superscript"/>
        </w:rPr>
      </w:pPr>
      <w:r w:rsidRPr="00745669">
        <w:rPr>
          <w:rFonts w:ascii="Bookman Old Style" w:hAnsi="Bookman Old Style"/>
          <w:sz w:val="22"/>
          <w:szCs w:val="22"/>
        </w:rPr>
        <w:t>“la pertinencia se refiere a la relación de la prueba con lo debatido</w:t>
      </w:r>
      <w:r w:rsidRPr="00745669">
        <w:rPr>
          <w:rFonts w:ascii="Bookman Old Style" w:hAnsi="Bookman Old Style"/>
          <w:sz w:val="22"/>
          <w:szCs w:val="22"/>
          <w:vertAlign w:val="superscript"/>
        </w:rPr>
        <w:t>”</w:t>
      </w:r>
      <w:r w:rsidRPr="00745669">
        <w:rPr>
          <w:rFonts w:ascii="Bookman Old Style" w:hAnsi="Bookman Old Style"/>
          <w:sz w:val="22"/>
          <w:szCs w:val="22"/>
          <w:vertAlign w:val="superscript"/>
        </w:rPr>
        <w:footnoteReference w:id="13"/>
      </w:r>
    </w:p>
    <w:p w:rsidR="002201BD" w:rsidRPr="002201BD" w:rsidRDefault="002201BD" w:rsidP="002201BD">
      <w:pPr>
        <w:pStyle w:val="Textoindependiente2"/>
        <w:spacing w:after="0" w:line="240" w:lineRule="auto"/>
        <w:ind w:left="-142" w:right="-142"/>
        <w:jc w:val="both"/>
        <w:rPr>
          <w:rFonts w:ascii="Bookman Old Style" w:hAnsi="Bookman Old Style"/>
          <w:szCs w:val="27"/>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 xml:space="preserve">Y en el mismo sentido que: </w:t>
      </w:r>
    </w:p>
    <w:p w:rsidR="002201BD" w:rsidRPr="002201BD" w:rsidRDefault="002201BD" w:rsidP="002201BD">
      <w:pPr>
        <w:ind w:left="0"/>
        <w:jc w:val="both"/>
        <w:rPr>
          <w:rFonts w:ascii="Arial" w:hAnsi="Arial" w:cs="Arial"/>
          <w:bCs/>
          <w:lang w:val="es-ES_tradnl"/>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“la pertinencia, tiene que ver con que dicha prueba no solo sea permitida por la Ley, (…) sino que la misma tenga una relación directa con lo que es objeto de debate. Lo anterior significa, que para efectos de determinar la pertinencia, el Juez debe estudiar si verdaderamente existe una relación directa entre la prueba y el hecho objeto de debate, para luego de ello rechazar aquellos medios probatorios que no resultan idóneos frente al problema jurídico a resolver”</w:t>
      </w:r>
      <w:r w:rsidRPr="002201BD">
        <w:rPr>
          <w:rFonts w:ascii="Bookman Old Style" w:hAnsi="Bookman Old Style"/>
          <w:sz w:val="22"/>
          <w:szCs w:val="22"/>
          <w:vertAlign w:val="superscript"/>
        </w:rPr>
        <w:footnoteReference w:id="14"/>
      </w:r>
      <w:r w:rsidRPr="002201BD">
        <w:rPr>
          <w:rFonts w:ascii="Bookman Old Style" w:hAnsi="Bookman Old Style"/>
          <w:sz w:val="22"/>
          <w:szCs w:val="22"/>
        </w:rPr>
        <w:t>. (</w:t>
      </w:r>
      <w:proofErr w:type="gramStart"/>
      <w:r w:rsidRPr="002201BD">
        <w:rPr>
          <w:rFonts w:ascii="Bookman Old Style" w:hAnsi="Bookman Old Style"/>
          <w:sz w:val="22"/>
          <w:szCs w:val="22"/>
        </w:rPr>
        <w:t>se</w:t>
      </w:r>
      <w:proofErr w:type="gramEnd"/>
      <w:r w:rsidRPr="002201BD">
        <w:rPr>
          <w:rFonts w:ascii="Bookman Old Style" w:hAnsi="Bookman Old Style"/>
          <w:sz w:val="22"/>
          <w:szCs w:val="22"/>
        </w:rPr>
        <w:t xml:space="preserve"> subraya)</w:t>
      </w:r>
    </w:p>
    <w:p w:rsidR="002201BD" w:rsidRPr="002201BD" w:rsidRDefault="002201BD" w:rsidP="002201BD">
      <w:pPr>
        <w:ind w:left="0"/>
        <w:jc w:val="both"/>
        <w:rPr>
          <w:rFonts w:ascii="Arial" w:hAnsi="Arial" w:cs="Arial"/>
          <w:bCs/>
          <w:lang w:val="es-ES_tradnl"/>
        </w:rPr>
      </w:pPr>
    </w:p>
    <w:p w:rsidR="002201BD" w:rsidRPr="002201BD" w:rsidRDefault="002201BD" w:rsidP="002201BD">
      <w:pPr>
        <w:pStyle w:val="Textoindependiente2"/>
        <w:spacing w:after="0" w:line="240" w:lineRule="auto"/>
        <w:ind w:left="-142" w:right="-142"/>
        <w:jc w:val="both"/>
        <w:rPr>
          <w:rFonts w:ascii="Bookman Old Style" w:hAnsi="Bookman Old Style"/>
          <w:szCs w:val="27"/>
        </w:rPr>
      </w:pPr>
      <w:r w:rsidRPr="002201BD">
        <w:rPr>
          <w:rFonts w:ascii="Bookman Old Style" w:hAnsi="Bookman Old Style"/>
          <w:szCs w:val="27"/>
        </w:rPr>
        <w:t>Asimismo, la Honorable Corte Constitucional ha dicho lo siguiente:</w:t>
      </w:r>
    </w:p>
    <w:p w:rsidR="002201BD" w:rsidRPr="002201BD" w:rsidRDefault="002201BD" w:rsidP="002201BD">
      <w:pPr>
        <w:ind w:left="0"/>
        <w:jc w:val="both"/>
        <w:rPr>
          <w:rFonts w:ascii="Arial" w:hAnsi="Arial" w:cs="Arial"/>
          <w:bCs/>
          <w:lang w:val="es-ES_tradnl"/>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 concierne al ámbito de competencia exclusiva de la respectiva autoridad judicial, la determinación acerca de la validez, aptitud, pertinencia y conducencia de las pruebas a partir de las cuales formará su convencimiento y sustentará la decisión final del litigio. (…) En consecuencia, la negativa a ordenar la práctica de determinadas pruebas ‘sólo puede obedecer a la circunstancia de que ellas no conduzcan a establecer la verdad sobre los hechos materia del proceso o que estén legalmente prohibidas o sean ineficaces o versen sobre hechos notoriamente impertinentes o se las considere manifiestamente superfluas”</w:t>
      </w:r>
      <w:r w:rsidRPr="002201BD">
        <w:rPr>
          <w:rFonts w:ascii="Bookman Old Style" w:hAnsi="Bookman Old Style"/>
          <w:sz w:val="22"/>
          <w:szCs w:val="22"/>
          <w:vertAlign w:val="superscript"/>
        </w:rPr>
        <w:footnoteReference w:id="15"/>
      </w:r>
      <w:r w:rsidRPr="002201BD">
        <w:rPr>
          <w:rFonts w:ascii="Bookman Old Style" w:hAnsi="Bookman Old Style"/>
          <w:sz w:val="22"/>
          <w:szCs w:val="22"/>
        </w:rPr>
        <w:t>. (</w:t>
      </w:r>
      <w:proofErr w:type="gramStart"/>
      <w:r w:rsidRPr="002201BD">
        <w:rPr>
          <w:rFonts w:ascii="Bookman Old Style" w:hAnsi="Bookman Old Style"/>
          <w:sz w:val="22"/>
          <w:szCs w:val="22"/>
        </w:rPr>
        <w:t>subrayas</w:t>
      </w:r>
      <w:proofErr w:type="gramEnd"/>
      <w:r w:rsidRPr="002201BD">
        <w:rPr>
          <w:rFonts w:ascii="Bookman Old Style" w:hAnsi="Bookman Old Style"/>
          <w:sz w:val="22"/>
          <w:szCs w:val="22"/>
        </w:rPr>
        <w:t xml:space="preserve"> propias)</w:t>
      </w:r>
    </w:p>
    <w:p w:rsidR="002201BD" w:rsidRPr="002201BD" w:rsidRDefault="002201BD" w:rsidP="002201BD">
      <w:pPr>
        <w:ind w:left="0"/>
        <w:jc w:val="both"/>
        <w:rPr>
          <w:rFonts w:ascii="Arial" w:hAnsi="Arial" w:cs="Arial"/>
          <w:bCs/>
          <w:lang w:val="es-ES_tradnl"/>
        </w:rPr>
      </w:pPr>
    </w:p>
    <w:p w:rsidR="002201BD" w:rsidRPr="002201BD" w:rsidRDefault="002201BD" w:rsidP="002201BD">
      <w:pPr>
        <w:ind w:left="0"/>
        <w:jc w:val="both"/>
        <w:rPr>
          <w:rFonts w:ascii="Arial" w:hAnsi="Arial" w:cs="Arial"/>
          <w:lang w:val="es-ES_tradnl"/>
        </w:rPr>
      </w:pPr>
      <w:r w:rsidRPr="002201BD">
        <w:rPr>
          <w:rFonts w:ascii="Bookman Old Style" w:hAnsi="Bookman Old Style"/>
          <w:szCs w:val="27"/>
        </w:rPr>
        <w:t>Sobre la conducencia de la prueba ha expuesto el Honorable Consejo de Estado</w:t>
      </w:r>
      <w:r w:rsidRPr="002201BD">
        <w:rPr>
          <w:rFonts w:ascii="Arial" w:hAnsi="Arial" w:cs="Arial"/>
          <w:lang w:val="es-ES_tradnl"/>
        </w:rPr>
        <w:t>:</w:t>
      </w:r>
    </w:p>
    <w:p w:rsidR="002201BD" w:rsidRPr="002201BD" w:rsidRDefault="002201BD" w:rsidP="002201BD">
      <w:pPr>
        <w:ind w:left="0"/>
        <w:jc w:val="both"/>
        <w:rPr>
          <w:rFonts w:ascii="Arial" w:hAnsi="Arial" w:cs="Arial"/>
          <w:bCs/>
          <w:i/>
          <w:lang w:val="es-ES_tradnl"/>
        </w:rPr>
      </w:pPr>
    </w:p>
    <w:p w:rsidR="002201BD" w:rsidRPr="002201BD" w:rsidRDefault="002201BD" w:rsidP="002201BD">
      <w:pPr>
        <w:pStyle w:val="Textoindependiente2"/>
        <w:spacing w:after="0" w:line="240" w:lineRule="auto"/>
        <w:ind w:left="284" w:right="284"/>
        <w:jc w:val="both"/>
        <w:rPr>
          <w:rFonts w:ascii="Bookman Old Style" w:hAnsi="Bookman Old Style"/>
          <w:sz w:val="22"/>
          <w:szCs w:val="22"/>
        </w:rPr>
      </w:pPr>
      <w:r w:rsidRPr="002201BD">
        <w:rPr>
          <w:rFonts w:ascii="Bookman Old Style" w:hAnsi="Bookman Old Style"/>
          <w:sz w:val="22"/>
          <w:szCs w:val="22"/>
        </w:rPr>
        <w:t xml:space="preserve">“Ahora bien. En cuanto concierne a la presunta violación de los artículos 56 y 59 del C.C.A.; y 29 de la Constitución Política de Colombia, la Sala debe precisar que si bien en la vía gubernativa los administrados tienen derecho a pedir la práctica de pruebas, el hecho de no decretarlas en razón de su </w:t>
      </w:r>
      <w:proofErr w:type="spellStart"/>
      <w:r w:rsidRPr="002201BD">
        <w:rPr>
          <w:rFonts w:ascii="Bookman Old Style" w:hAnsi="Bookman Old Style"/>
          <w:sz w:val="22"/>
          <w:szCs w:val="22"/>
        </w:rPr>
        <w:t>inconducencia</w:t>
      </w:r>
      <w:proofErr w:type="spellEnd"/>
      <w:r w:rsidRPr="002201BD">
        <w:rPr>
          <w:rFonts w:ascii="Bookman Old Style" w:hAnsi="Bookman Old Style"/>
          <w:sz w:val="22"/>
          <w:szCs w:val="22"/>
        </w:rPr>
        <w:t xml:space="preserve"> en forma justificada, no constituye ninguna irregularidad capaz de infirmar la legalidad del acto cuestionado”</w:t>
      </w:r>
      <w:r w:rsidRPr="002201BD">
        <w:rPr>
          <w:rFonts w:ascii="Bookman Old Style" w:hAnsi="Bookman Old Style"/>
          <w:sz w:val="22"/>
          <w:szCs w:val="22"/>
          <w:vertAlign w:val="superscript"/>
        </w:rPr>
        <w:footnoteReference w:id="16"/>
      </w:r>
      <w:r w:rsidRPr="002201BD">
        <w:rPr>
          <w:rFonts w:ascii="Bookman Old Style" w:hAnsi="Bookman Old Style"/>
          <w:sz w:val="22"/>
          <w:szCs w:val="22"/>
          <w:vertAlign w:val="superscript"/>
        </w:rPr>
        <w:t>.</w:t>
      </w:r>
    </w:p>
    <w:p w:rsidR="002201BD" w:rsidRPr="002201BD" w:rsidRDefault="002201BD" w:rsidP="002201BD">
      <w:pPr>
        <w:ind w:left="0"/>
        <w:jc w:val="both"/>
        <w:rPr>
          <w:rFonts w:ascii="Arial" w:hAnsi="Arial" w:cs="Arial"/>
          <w:bCs/>
          <w:lang w:val="es-ES_tradnl"/>
        </w:rPr>
      </w:pPr>
    </w:p>
    <w:p w:rsidR="002201BD" w:rsidRPr="00745669" w:rsidRDefault="002201BD" w:rsidP="002201BD">
      <w:pPr>
        <w:ind w:left="0"/>
        <w:jc w:val="both"/>
        <w:rPr>
          <w:rFonts w:ascii="Bookman Old Style" w:hAnsi="Bookman Old Style"/>
          <w:szCs w:val="27"/>
        </w:rPr>
      </w:pPr>
      <w:r w:rsidRPr="00745669">
        <w:rPr>
          <w:rFonts w:ascii="Bookman Old Style" w:hAnsi="Bookman Old Style"/>
          <w:szCs w:val="27"/>
        </w:rPr>
        <w:t xml:space="preserve">En cuanto a su utilidad, al no tener relación con el objeto de la actuación administrativa </w:t>
      </w:r>
      <w:r w:rsidR="00745669" w:rsidRPr="00745669">
        <w:rPr>
          <w:rFonts w:ascii="Bookman Old Style" w:hAnsi="Bookman Old Style"/>
          <w:szCs w:val="27"/>
        </w:rPr>
        <w:t>la solicitud de prueba a la que</w:t>
      </w:r>
      <w:r w:rsidRPr="00745669">
        <w:rPr>
          <w:rFonts w:ascii="Bookman Old Style" w:hAnsi="Bookman Old Style"/>
          <w:szCs w:val="27"/>
        </w:rPr>
        <w:t xml:space="preserve"> se ha hecho referencia en nada permite aportar elementos de convicción a la CREG a la hora de </w:t>
      </w:r>
      <w:r w:rsidR="00745669" w:rsidRPr="00745669">
        <w:rPr>
          <w:rFonts w:ascii="Bookman Old Style" w:hAnsi="Bookman Old Style"/>
          <w:szCs w:val="27"/>
        </w:rPr>
        <w:t xml:space="preserve">resolver el </w:t>
      </w:r>
      <w:r w:rsidR="00745669" w:rsidRPr="00745669">
        <w:rPr>
          <w:rFonts w:ascii="Bookman Old Style" w:hAnsi="Bookman Old Style"/>
          <w:szCs w:val="27"/>
        </w:rPr>
        <w:lastRenderedPageBreak/>
        <w:t xml:space="preserve">recurso de reposición interpuesto contra la Resolución CREG 075 de 2016 por parte de </w:t>
      </w:r>
      <w:proofErr w:type="spellStart"/>
      <w:r w:rsidR="00745669" w:rsidRPr="00745669">
        <w:rPr>
          <w:rFonts w:ascii="Bookman Old Style" w:hAnsi="Bookman Old Style"/>
          <w:szCs w:val="27"/>
        </w:rPr>
        <w:t>Codegas</w:t>
      </w:r>
      <w:proofErr w:type="spellEnd"/>
      <w:r w:rsidR="00745669">
        <w:rPr>
          <w:rFonts w:ascii="Bookman Old Style" w:hAnsi="Bookman Old Style"/>
          <w:szCs w:val="27"/>
        </w:rPr>
        <w:t>.</w:t>
      </w:r>
    </w:p>
    <w:p w:rsidR="002201BD" w:rsidRPr="002201BD" w:rsidRDefault="002201BD" w:rsidP="002201BD">
      <w:pPr>
        <w:ind w:left="0"/>
        <w:jc w:val="both"/>
        <w:rPr>
          <w:rFonts w:ascii="Arial" w:hAnsi="Arial" w:cs="Arial"/>
          <w:lang w:val="es-ES_tradnl"/>
        </w:rPr>
      </w:pPr>
    </w:p>
    <w:p w:rsidR="002201BD" w:rsidRPr="002201BD" w:rsidRDefault="002201BD" w:rsidP="002201BD">
      <w:pPr>
        <w:ind w:left="0"/>
        <w:jc w:val="both"/>
        <w:rPr>
          <w:rFonts w:ascii="Arial" w:hAnsi="Arial" w:cs="Arial"/>
          <w:lang w:val="es-ES_tradnl"/>
        </w:rPr>
      </w:pPr>
      <w:r w:rsidRPr="002201BD">
        <w:rPr>
          <w:rFonts w:ascii="Arial" w:hAnsi="Arial" w:cs="Arial"/>
          <w:lang w:val="es-ES_tradnl"/>
        </w:rPr>
        <w:t xml:space="preserve">Ahora, para el caso de los requisitos extrínsecos que deben cumplirse dentro de la prueba pericial, estos están relacionados con la oportunidad procesal y sus formalidades para el decreto y práctica. </w:t>
      </w:r>
    </w:p>
    <w:p w:rsidR="002201BD" w:rsidRPr="00745669" w:rsidRDefault="002201BD" w:rsidP="002201BD">
      <w:pPr>
        <w:ind w:left="0"/>
        <w:jc w:val="both"/>
        <w:rPr>
          <w:rFonts w:ascii="Bookman Old Style" w:hAnsi="Bookman Old Style"/>
          <w:szCs w:val="27"/>
        </w:rPr>
      </w:pPr>
    </w:p>
    <w:p w:rsidR="002201BD" w:rsidRPr="00745669" w:rsidRDefault="002201BD" w:rsidP="002201BD">
      <w:pPr>
        <w:ind w:left="0"/>
        <w:jc w:val="both"/>
        <w:rPr>
          <w:rFonts w:ascii="Bookman Old Style" w:hAnsi="Bookman Old Style"/>
          <w:szCs w:val="27"/>
        </w:rPr>
      </w:pPr>
      <w:r w:rsidRPr="00745669">
        <w:rPr>
          <w:rFonts w:ascii="Bookman Old Style" w:hAnsi="Bookman Old Style"/>
          <w:szCs w:val="27"/>
        </w:rPr>
        <w:t xml:space="preserve">De acuerdo con esto, si bien el artículo 40 del Código de Procedimiento Administrativo y de lo Contencioso Administrativo permite a las partes aportar y pedir pruebas dentro de las oportunidades procesales previstas dentro de una actuación administrativa, como parte de los requisitos extrínsecos no es suficiente con que dicha solicitud o aporte se realice dentro de la oportunidad procesal prevista, sino que para que estas pruebas sean decretadas, practicadas y controvertidas deben cumplir los presupuestos generales y los principios generales para la aplicación de la prueba, so pena de que las mismas sean rechazadas. </w:t>
      </w:r>
    </w:p>
    <w:p w:rsidR="002201BD" w:rsidRPr="00745669" w:rsidRDefault="002201BD" w:rsidP="002201BD">
      <w:pPr>
        <w:ind w:left="0"/>
        <w:jc w:val="both"/>
        <w:rPr>
          <w:rFonts w:ascii="Bookman Old Style" w:hAnsi="Bookman Old Style"/>
          <w:szCs w:val="27"/>
        </w:rPr>
      </w:pPr>
    </w:p>
    <w:p w:rsidR="002201BD" w:rsidRPr="00745669" w:rsidRDefault="002201BD" w:rsidP="002201BD">
      <w:pPr>
        <w:ind w:left="0"/>
        <w:jc w:val="both"/>
        <w:rPr>
          <w:rFonts w:ascii="Bookman Old Style" w:hAnsi="Bookman Old Style"/>
          <w:szCs w:val="27"/>
        </w:rPr>
      </w:pPr>
      <w:r w:rsidRPr="00745669">
        <w:rPr>
          <w:rFonts w:ascii="Bookman Old Style" w:hAnsi="Bookman Old Style"/>
          <w:szCs w:val="27"/>
        </w:rPr>
        <w:t>Con base lo anterior, se debe rechazar</w:t>
      </w:r>
      <w:r w:rsidR="00745669">
        <w:rPr>
          <w:rFonts w:ascii="Bookman Old Style" w:hAnsi="Bookman Old Style"/>
          <w:szCs w:val="27"/>
        </w:rPr>
        <w:t xml:space="preserve"> la solicitud de pruebas realizada</w:t>
      </w:r>
      <w:r w:rsidRPr="00745669">
        <w:rPr>
          <w:rFonts w:ascii="Bookman Old Style" w:hAnsi="Bookman Old Style"/>
          <w:szCs w:val="27"/>
        </w:rPr>
        <w:t xml:space="preserve">, en aplicación del artículo 178 del Código de Procedimiento Civil el cual establece de forma clara que “Las pruebas deben ceñirse al asunto materia del proceso y el juez rechazará in </w:t>
      </w:r>
      <w:proofErr w:type="spellStart"/>
      <w:r w:rsidRPr="00745669">
        <w:rPr>
          <w:rFonts w:ascii="Bookman Old Style" w:hAnsi="Bookman Old Style"/>
          <w:szCs w:val="27"/>
        </w:rPr>
        <w:t>limine</w:t>
      </w:r>
      <w:proofErr w:type="spellEnd"/>
      <w:r w:rsidRPr="00745669">
        <w:rPr>
          <w:rFonts w:ascii="Bookman Old Style" w:hAnsi="Bookman Old Style"/>
          <w:szCs w:val="27"/>
        </w:rPr>
        <w:t xml:space="preserve"> las legalmente prohibidas o ineficaces, las que versen sobre hechos notoriamente impertinentes y las manifestaciones superfluas”.</w:t>
      </w:r>
    </w:p>
    <w:p w:rsidR="002201BD" w:rsidRPr="002201BD" w:rsidRDefault="002201BD" w:rsidP="002201BD">
      <w:pPr>
        <w:ind w:left="0"/>
        <w:jc w:val="both"/>
        <w:rPr>
          <w:rFonts w:ascii="Arial" w:hAnsi="Arial" w:cs="Arial"/>
          <w:lang w:val="es-ES_tradnl"/>
        </w:rPr>
      </w:pPr>
    </w:p>
    <w:p w:rsidR="002201BD" w:rsidRPr="00745669" w:rsidRDefault="002201BD" w:rsidP="002201BD">
      <w:pPr>
        <w:ind w:left="0"/>
        <w:jc w:val="both"/>
        <w:rPr>
          <w:rFonts w:ascii="Bookman Old Style" w:hAnsi="Bookman Old Style"/>
          <w:szCs w:val="27"/>
        </w:rPr>
      </w:pPr>
      <w:r w:rsidRPr="00745669">
        <w:rPr>
          <w:rFonts w:ascii="Bookman Old Style" w:hAnsi="Bookman Old Style"/>
          <w:szCs w:val="27"/>
        </w:rPr>
        <w:t>Igualmente se debe precisar que frente esta decisión no cabe ningún recurso de acuerdo con lo previsto en el artículo 40 del Código de Procedimiento Administrativo y de lo Contencioso Administrativo el cual dispone lo siguiente:</w:t>
      </w:r>
    </w:p>
    <w:p w:rsidR="002201BD" w:rsidRPr="002201BD" w:rsidRDefault="002201BD" w:rsidP="002201BD">
      <w:pPr>
        <w:ind w:left="0"/>
        <w:jc w:val="both"/>
        <w:rPr>
          <w:rFonts w:ascii="Arial" w:hAnsi="Arial" w:cs="Arial"/>
          <w:bCs/>
          <w:lang w:val="es-ES_tradnl"/>
        </w:rPr>
      </w:pPr>
    </w:p>
    <w:p w:rsidR="002201BD" w:rsidRPr="00745669" w:rsidRDefault="002201BD" w:rsidP="00745669">
      <w:pPr>
        <w:pStyle w:val="Textoindependiente2"/>
        <w:spacing w:after="0" w:line="240" w:lineRule="auto"/>
        <w:ind w:left="284" w:right="284"/>
        <w:jc w:val="both"/>
        <w:rPr>
          <w:rFonts w:ascii="Bookman Old Style" w:hAnsi="Bookman Old Style"/>
          <w:sz w:val="22"/>
          <w:szCs w:val="22"/>
        </w:rPr>
      </w:pPr>
      <w:r w:rsidRPr="00745669">
        <w:rPr>
          <w:rFonts w:ascii="Bookman Old Style" w:hAnsi="Bookman Old Style"/>
          <w:sz w:val="22"/>
          <w:szCs w:val="22"/>
        </w:rPr>
        <w:t>“</w:t>
      </w:r>
      <w:r w:rsidRPr="00745669">
        <w:rPr>
          <w:rFonts w:ascii="Bookman Old Style" w:hAnsi="Bookman Old Style"/>
          <w:b/>
          <w:sz w:val="22"/>
          <w:szCs w:val="22"/>
        </w:rPr>
        <w:t>Artículo 40. Pruebas.</w:t>
      </w:r>
      <w:r w:rsidRPr="00745669">
        <w:rPr>
          <w:rFonts w:ascii="Bookman Old Style" w:hAnsi="Bookman Old Style"/>
          <w:sz w:val="22"/>
          <w:szCs w:val="22"/>
        </w:rPr>
        <w:t xml:space="preserve"> Durante la actuación administrativa y hasta antes de que se profiera la decisión de fondo se podrán aportar, pedir y practicar pruebas de oficio o a petición del interesado sin requisitos especiales. </w:t>
      </w:r>
      <w:r w:rsidRPr="00745669">
        <w:rPr>
          <w:rFonts w:ascii="Bookman Old Style" w:hAnsi="Bookman Old Style"/>
          <w:sz w:val="22"/>
          <w:szCs w:val="22"/>
          <w:u w:val="single"/>
        </w:rPr>
        <w:t>Contra el acto que decida la solicitud de pruebas no proceden recursos</w:t>
      </w:r>
      <w:r w:rsidRPr="00745669">
        <w:rPr>
          <w:rFonts w:ascii="Bookman Old Style" w:hAnsi="Bookman Old Style"/>
          <w:sz w:val="22"/>
          <w:szCs w:val="22"/>
        </w:rPr>
        <w:t>. El interesado contará con la oportunidad de controvertir las pruebas aportadas o practicadas dentro de la actuación, antes de que se dicte una decisión de fondo.</w:t>
      </w:r>
    </w:p>
    <w:p w:rsidR="002201BD" w:rsidRPr="00745669" w:rsidRDefault="002201BD" w:rsidP="00745669">
      <w:pPr>
        <w:pStyle w:val="Textoindependiente2"/>
        <w:spacing w:after="0" w:line="240" w:lineRule="auto"/>
        <w:ind w:left="284" w:right="284"/>
        <w:jc w:val="both"/>
        <w:rPr>
          <w:rFonts w:ascii="Bookman Old Style" w:hAnsi="Bookman Old Style"/>
          <w:sz w:val="22"/>
          <w:szCs w:val="22"/>
        </w:rPr>
      </w:pPr>
    </w:p>
    <w:p w:rsidR="002201BD" w:rsidRPr="00745669" w:rsidRDefault="002201BD" w:rsidP="00745669">
      <w:pPr>
        <w:pStyle w:val="Textoindependiente2"/>
        <w:spacing w:after="0" w:line="240" w:lineRule="auto"/>
        <w:ind w:left="284" w:right="284"/>
        <w:jc w:val="both"/>
        <w:rPr>
          <w:rFonts w:ascii="Bookman Old Style" w:hAnsi="Bookman Old Style"/>
          <w:sz w:val="22"/>
          <w:szCs w:val="22"/>
        </w:rPr>
      </w:pPr>
      <w:r w:rsidRPr="00745669">
        <w:rPr>
          <w:rFonts w:ascii="Bookman Old Style" w:hAnsi="Bookman Old Style"/>
          <w:sz w:val="22"/>
          <w:szCs w:val="22"/>
        </w:rPr>
        <w:t>Los gastos que ocasione la práctica de pruebas correrán por cuenta de quien las pidió. Si son varios los interesados, los gastos se distribuirán en cuotas iguales.</w:t>
      </w:r>
    </w:p>
    <w:p w:rsidR="002201BD" w:rsidRPr="00745669" w:rsidRDefault="002201BD" w:rsidP="00745669">
      <w:pPr>
        <w:pStyle w:val="Textoindependiente2"/>
        <w:spacing w:after="0" w:line="240" w:lineRule="auto"/>
        <w:ind w:left="284" w:right="284"/>
        <w:jc w:val="both"/>
        <w:rPr>
          <w:rFonts w:ascii="Bookman Old Style" w:hAnsi="Bookman Old Style"/>
          <w:sz w:val="22"/>
          <w:szCs w:val="22"/>
        </w:rPr>
      </w:pPr>
    </w:p>
    <w:p w:rsidR="002201BD" w:rsidRPr="00745669" w:rsidRDefault="002201BD" w:rsidP="00745669">
      <w:pPr>
        <w:pStyle w:val="Textoindependiente2"/>
        <w:spacing w:after="0" w:line="240" w:lineRule="auto"/>
        <w:ind w:left="284" w:right="284"/>
        <w:jc w:val="both"/>
        <w:rPr>
          <w:rFonts w:ascii="Bookman Old Style" w:hAnsi="Bookman Old Style"/>
          <w:sz w:val="22"/>
          <w:szCs w:val="22"/>
        </w:rPr>
      </w:pPr>
      <w:r w:rsidRPr="00745669">
        <w:rPr>
          <w:rFonts w:ascii="Bookman Old Style" w:hAnsi="Bookman Old Style"/>
          <w:sz w:val="22"/>
          <w:szCs w:val="22"/>
        </w:rPr>
        <w:t>Serán admisibles todos los medios de prueba señalados en el Código de Procedimiento Civil.” (Resaltado fuera de texto)</w:t>
      </w:r>
    </w:p>
    <w:p w:rsidR="002201BD" w:rsidRDefault="002201BD" w:rsidP="00745669">
      <w:pPr>
        <w:pStyle w:val="Textoindependiente2"/>
        <w:spacing w:after="0" w:line="240" w:lineRule="auto"/>
        <w:ind w:left="0" w:right="-142"/>
        <w:jc w:val="both"/>
        <w:rPr>
          <w:rFonts w:ascii="Bookman Old Style" w:hAnsi="Bookman Old Style"/>
          <w:szCs w:val="27"/>
        </w:rPr>
      </w:pPr>
    </w:p>
    <w:p w:rsidR="002201BD" w:rsidRPr="002201BD" w:rsidRDefault="002201BD" w:rsidP="0007175C">
      <w:pPr>
        <w:pStyle w:val="Textoindependiente2"/>
        <w:spacing w:after="0" w:line="240" w:lineRule="auto"/>
        <w:ind w:left="-142" w:right="-142"/>
        <w:jc w:val="both"/>
        <w:rPr>
          <w:rFonts w:ascii="Bookman Old Style" w:hAnsi="Bookman Old Style"/>
          <w:b/>
          <w:szCs w:val="27"/>
        </w:rPr>
      </w:pPr>
      <w:r>
        <w:rPr>
          <w:rFonts w:ascii="Bookman Old Style" w:hAnsi="Bookman Old Style"/>
          <w:b/>
          <w:szCs w:val="27"/>
        </w:rPr>
        <w:t>Información suministrada por la Superintendencia de Servicios Públicos Domiciliarios en atención a las pruebas decretadas de oficio</w:t>
      </w:r>
    </w:p>
    <w:p w:rsidR="002201BD" w:rsidRDefault="002201BD" w:rsidP="0007175C">
      <w:pPr>
        <w:pStyle w:val="Textoindependiente2"/>
        <w:spacing w:after="0" w:line="240" w:lineRule="auto"/>
        <w:ind w:left="-142" w:right="-142"/>
        <w:jc w:val="both"/>
        <w:rPr>
          <w:rFonts w:ascii="Bookman Old Style" w:hAnsi="Bookman Old Style"/>
          <w:szCs w:val="27"/>
        </w:rPr>
      </w:pPr>
    </w:p>
    <w:p w:rsidR="00EE6670" w:rsidRDefault="00543721" w:rsidP="0007175C">
      <w:pPr>
        <w:pStyle w:val="Textoindependiente2"/>
        <w:spacing w:after="0" w:line="240" w:lineRule="auto"/>
        <w:ind w:left="-142" w:right="-142"/>
        <w:jc w:val="both"/>
        <w:rPr>
          <w:rFonts w:ascii="Bookman Old Style" w:hAnsi="Bookman Old Style"/>
          <w:szCs w:val="27"/>
        </w:rPr>
      </w:pPr>
      <w:r w:rsidRPr="00543721">
        <w:rPr>
          <w:rFonts w:ascii="Bookman Old Style" w:hAnsi="Bookman Old Style"/>
          <w:szCs w:val="27"/>
        </w:rPr>
        <w:t>Mediante oficio con radicado CREG E-2016-010390 de 23 de septiembre de 2016 la Superintendencia de S</w:t>
      </w:r>
      <w:r w:rsidR="00163291">
        <w:rPr>
          <w:rFonts w:ascii="Bookman Old Style" w:hAnsi="Bookman Old Style"/>
          <w:szCs w:val="27"/>
        </w:rPr>
        <w:t>ervicios Públicos Domiciliarios</w:t>
      </w:r>
      <w:r w:rsidRPr="00543721">
        <w:rPr>
          <w:rFonts w:ascii="Bookman Old Style" w:hAnsi="Bookman Old Style"/>
          <w:szCs w:val="27"/>
        </w:rPr>
        <w:t xml:space="preserve"> a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w:t>
      </w:r>
      <w:r>
        <w:rPr>
          <w:rFonts w:ascii="Bookman Old Style" w:hAnsi="Bookman Old Style"/>
          <w:szCs w:val="27"/>
        </w:rPr>
        <w:t>Compañía de Servicios Públicos</w:t>
      </w:r>
      <w:r w:rsidRPr="00543721">
        <w:rPr>
          <w:rFonts w:ascii="Bookman Old Style" w:hAnsi="Bookman Old Style"/>
          <w:szCs w:val="27"/>
        </w:rPr>
        <w:t xml:space="preserve"> en su recurso frente a la Resolución CREG 075 de 2016.</w:t>
      </w:r>
    </w:p>
    <w:p w:rsidR="00543721" w:rsidRDefault="00543721" w:rsidP="00D126E3">
      <w:pPr>
        <w:widowControl w:val="0"/>
        <w:tabs>
          <w:tab w:val="right" w:pos="9498"/>
        </w:tabs>
        <w:adjustRightInd w:val="0"/>
        <w:ind w:left="0" w:right="-142"/>
        <w:jc w:val="both"/>
        <w:rPr>
          <w:rFonts w:ascii="Bookman Old Style" w:hAnsi="Bookman Old Style" w:cs="Arial"/>
          <w:i/>
          <w:sz w:val="22"/>
          <w:szCs w:val="22"/>
        </w:rPr>
      </w:pPr>
    </w:p>
    <w:p w:rsidR="00745669" w:rsidRDefault="00745669" w:rsidP="00D126E3">
      <w:pPr>
        <w:widowControl w:val="0"/>
        <w:tabs>
          <w:tab w:val="right" w:pos="9498"/>
        </w:tabs>
        <w:adjustRightInd w:val="0"/>
        <w:ind w:left="0" w:right="-142"/>
        <w:jc w:val="both"/>
        <w:rPr>
          <w:rFonts w:ascii="Bookman Old Style" w:hAnsi="Bookman Old Style" w:cs="Arial"/>
          <w:i/>
          <w:sz w:val="22"/>
          <w:szCs w:val="22"/>
        </w:rPr>
      </w:pPr>
    </w:p>
    <w:p w:rsidR="00745669" w:rsidRDefault="00745669"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lastRenderedPageBreak/>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Compañía de Servicios </w:t>
      </w:r>
      <w:r w:rsidR="00543721">
        <w:rPr>
          <w:rFonts w:ascii="Bookman Old Style" w:hAnsi="Bookman Old Style"/>
          <w:szCs w:val="27"/>
        </w:rPr>
        <w:t>Públicos</w:t>
      </w:r>
      <w:r>
        <w:rPr>
          <w:rFonts w:ascii="Bookman Old Style" w:hAnsi="Bookman Old Style"/>
          <w:szCs w:val="27"/>
        </w:rPr>
        <w:t>, atendiendo los siguientes argumentos:</w:t>
      </w:r>
    </w:p>
    <w:p w:rsidR="000E4A6C" w:rsidRDefault="000E4A6C" w:rsidP="000E4A6C">
      <w:pPr>
        <w:pStyle w:val="Textoindependiente2"/>
        <w:spacing w:after="0" w:line="240" w:lineRule="auto"/>
        <w:ind w:left="0" w:right="-142"/>
        <w:jc w:val="both"/>
        <w:rPr>
          <w:rFonts w:ascii="Bookman Old Style" w:hAnsi="Bookman Old Style"/>
          <w:szCs w:val="27"/>
        </w:rPr>
      </w:pPr>
    </w:p>
    <w:p w:rsidR="000E4A6C" w:rsidRDefault="000E4A6C" w:rsidP="000E4A6C">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 xml:space="preserve">La </w:t>
      </w:r>
      <w:r w:rsidRPr="00CE7163">
        <w:rPr>
          <w:rFonts w:ascii="Bookman Old Style" w:hAnsi="Bookman Old Style"/>
          <w:szCs w:val="27"/>
        </w:rPr>
        <w:t>empresa advierte una diferencia en la información reportada en el Sistema Único de Información – SUI, utilizada por esta Comisión para efectos de llevar a cabo la definición de la capacidad de compra</w:t>
      </w:r>
      <w:r>
        <w:rPr>
          <w:rFonts w:ascii="Bookman Old Style" w:hAnsi="Bookman Old Style"/>
          <w:szCs w:val="27"/>
        </w:rPr>
        <w:t xml:space="preserve"> a nivel de tanques estacionarios</w:t>
      </w:r>
      <w:r w:rsidRPr="00CE7163">
        <w:rPr>
          <w:rFonts w:ascii="Bookman Old Style" w:hAnsi="Bookman Old Style"/>
          <w:szCs w:val="27"/>
        </w:rPr>
        <w:t>.</w:t>
      </w:r>
    </w:p>
    <w:p w:rsidR="000E4A6C" w:rsidRDefault="000E4A6C" w:rsidP="000E4A6C">
      <w:pPr>
        <w:pStyle w:val="Prrafodelista"/>
        <w:rPr>
          <w:rFonts w:ascii="Bookman Old Style" w:hAnsi="Bookman Old Style"/>
          <w:szCs w:val="27"/>
        </w:rPr>
      </w:pPr>
    </w:p>
    <w:p w:rsidR="000E4A6C" w:rsidRPr="00CE7163" w:rsidRDefault="000E4A6C" w:rsidP="000E4A6C">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El factor de equivalencia utilizado por la CREG desconoce la realidad operativa y de mercado, toda vez que el factor aplicable a esta empresa en su situación particular debería ser superior.</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 fin de resolver estos argumentos procede a resolverlos de manera específica, incluyendo el análisis de la información remitida a esta Comisión por parte de la Superintendencia de Servicios Públicos Domiciliarios como resultado del decretó y práctica de pruebas llevado a cabo por la CREG.</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Pr="00CE7163" w:rsidRDefault="000E4A6C" w:rsidP="000E4A6C">
      <w:pPr>
        <w:pStyle w:val="Textoindependiente2"/>
        <w:numPr>
          <w:ilvl w:val="0"/>
          <w:numId w:val="41"/>
        </w:numPr>
        <w:spacing w:after="0" w:line="240" w:lineRule="auto"/>
        <w:ind w:right="-142"/>
        <w:jc w:val="both"/>
        <w:rPr>
          <w:rFonts w:ascii="Bookman Old Style" w:hAnsi="Bookman Old Style"/>
          <w:b/>
          <w:szCs w:val="27"/>
        </w:rPr>
      </w:pPr>
      <w:r>
        <w:rPr>
          <w:rFonts w:ascii="Bookman Old Style" w:hAnsi="Bookman Old Style"/>
          <w:b/>
          <w:szCs w:val="27"/>
        </w:rPr>
        <w:t>Consideraciones frente al factor de equivalencia</w:t>
      </w:r>
      <w:r w:rsidRPr="00CE7163">
        <w:rPr>
          <w:rFonts w:ascii="Bookman Old Style" w:hAnsi="Bookman Old Style"/>
          <w:b/>
          <w:szCs w:val="27"/>
        </w:rPr>
        <w:t>.</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Se debe advertir que esta Comisión dentro de la expedición de la Resolución CREG 063 de 2016 llevo a cabo y aplicó el procedimiento de consulta previsto, entre otros, atendiendo las normas del numeral 8, artículo 8 de la Ley 1437 de 2011, el Decreto 2696 de 2004, así como la Resolución CREG 097 de 2004, dando la oportunidad a los agentes de exponer las observaciones y comentarios que se tuvieran sobre el contenido de la propuesta regulatoria de la Resolución CREG 221 de 2015.</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el proceso de consulta implica dar la oportunidad, así c</w:t>
      </w:r>
      <w:r w:rsidR="000A2705">
        <w:rPr>
          <w:rFonts w:ascii="Bookman Old Style" w:hAnsi="Bookman Old Style"/>
          <w:szCs w:val="27"/>
        </w:rPr>
        <w:t>omo atender y dar respuesta a lo</w:t>
      </w:r>
      <w:r>
        <w:rPr>
          <w:rFonts w:ascii="Bookman Old Style" w:hAnsi="Bookman Old Style"/>
          <w:szCs w:val="27"/>
        </w:rPr>
        <w:t xml:space="preserve">s comentarios, observaciones formuladas por los interesados, sin que esto implique acoger de forma obligatoria los comentarios que se realicen. Por el contrario, si los mismos no se consideran ajustados y procedentes en atención a los fines y objetos de la propuesta regulatoria, esto hará parte de la repuesta que se emita por parte de la Comisión. </w:t>
      </w:r>
    </w:p>
    <w:p w:rsidR="000E4A6C" w:rsidRDefault="000E4A6C" w:rsidP="000E4A6C">
      <w:pPr>
        <w:pStyle w:val="Textoindependiente2"/>
        <w:spacing w:after="0" w:line="240" w:lineRule="auto"/>
        <w:ind w:left="-142" w:right="-142"/>
        <w:jc w:val="both"/>
        <w:rPr>
          <w:rFonts w:ascii="Bookman Old Style" w:hAnsi="Bookman Old Style"/>
          <w:szCs w:val="27"/>
        </w:rPr>
      </w:pPr>
    </w:p>
    <w:p w:rsidR="000A2705"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 por esto que frente a lo que manifiesta la recurrente, </w:t>
      </w:r>
      <w:r w:rsidR="000A2705">
        <w:rPr>
          <w:rFonts w:ascii="Bookman Old Style" w:hAnsi="Bookman Old Style"/>
          <w:szCs w:val="27"/>
        </w:rPr>
        <w:t>la Compañía de Servicios Públicos hizo diversas observaciones en relación con la propuesta de la Resolución CREG 221 de 2015, sin embargo, estas no estaban dirigidas específicamente al factor de equivalencia de envasado, así como la rotación de las inversiones.</w:t>
      </w:r>
    </w:p>
    <w:p w:rsidR="000A2705" w:rsidRDefault="000A2705" w:rsidP="000E4A6C">
      <w:pPr>
        <w:pStyle w:val="Textoindependiente2"/>
        <w:spacing w:after="0" w:line="240" w:lineRule="auto"/>
        <w:ind w:left="-142" w:right="-142"/>
        <w:jc w:val="both"/>
        <w:rPr>
          <w:rFonts w:ascii="Bookman Old Style" w:hAnsi="Bookman Old Style"/>
          <w:szCs w:val="27"/>
        </w:rPr>
      </w:pPr>
    </w:p>
    <w:p w:rsidR="000E4A6C" w:rsidRDefault="000A2705" w:rsidP="000A2705">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Por el contrario, esta Comisión </w:t>
      </w:r>
      <w:r w:rsidR="000E4A6C">
        <w:rPr>
          <w:rFonts w:ascii="Bookman Old Style" w:hAnsi="Bookman Old Style"/>
          <w:szCs w:val="27"/>
        </w:rPr>
        <w:t xml:space="preserve">expuso que </w:t>
      </w:r>
      <w:r w:rsidR="000E4A6C" w:rsidRPr="0026190F">
        <w:rPr>
          <w:rFonts w:ascii="Bookman Old Style" w:hAnsi="Bookman Old Style"/>
          <w:szCs w:val="27"/>
        </w:rPr>
        <w:t>la medición de la capacidad de envasado considera la rotación de tanques estacionarios y de cilindros</w:t>
      </w:r>
      <w:r w:rsidR="000E4A6C">
        <w:rPr>
          <w:rFonts w:ascii="Bookman Old Style" w:hAnsi="Bookman Old Style"/>
          <w:szCs w:val="27"/>
        </w:rPr>
        <w:t xml:space="preserve"> atendiendo, incluyendo el f</w:t>
      </w:r>
      <w:r w:rsidR="000E4A6C" w:rsidRPr="00971FF2">
        <w:rPr>
          <w:rFonts w:ascii="Bookman Old Style" w:hAnsi="Bookman Old Style"/>
          <w:szCs w:val="27"/>
        </w:rPr>
        <w:t>actor de equivalencia de envasado en cil</w:t>
      </w:r>
      <w:r w:rsidR="000E4A6C">
        <w:rPr>
          <w:rFonts w:ascii="Bookman Old Style" w:hAnsi="Bookman Old Style"/>
          <w:szCs w:val="27"/>
        </w:rPr>
        <w:t xml:space="preserve">indros y tanques estacionarios, aspectos que están precedidos de un </w:t>
      </w:r>
      <w:r w:rsidR="000E4A6C" w:rsidRPr="00967468">
        <w:rPr>
          <w:rFonts w:ascii="Bookman Old Style" w:hAnsi="Bookman Old Style"/>
          <w:szCs w:val="27"/>
        </w:rPr>
        <w:t>análisis técn</w:t>
      </w:r>
      <w:r w:rsidR="000E4A6C">
        <w:rPr>
          <w:rFonts w:ascii="Bookman Old Style" w:hAnsi="Bookman Old Style"/>
          <w:szCs w:val="27"/>
        </w:rPr>
        <w:t xml:space="preserve">ico y económico incorporado en </w:t>
      </w:r>
      <w:r w:rsidR="000E4A6C" w:rsidRPr="00967468">
        <w:rPr>
          <w:rFonts w:ascii="Bookman Old Style" w:hAnsi="Bookman Old Style"/>
          <w:szCs w:val="27"/>
        </w:rPr>
        <w:t>l</w:t>
      </w:r>
      <w:r w:rsidR="000E4A6C">
        <w:rPr>
          <w:rFonts w:ascii="Bookman Old Style" w:hAnsi="Bookman Old Style"/>
          <w:szCs w:val="27"/>
        </w:rPr>
        <w:t>os</w:t>
      </w:r>
      <w:r w:rsidR="000E4A6C" w:rsidRPr="00967468">
        <w:rPr>
          <w:rFonts w:ascii="Bookman Old Style" w:hAnsi="Bookman Old Style"/>
          <w:szCs w:val="27"/>
        </w:rPr>
        <w:t xml:space="preserve"> documento</w:t>
      </w:r>
      <w:r w:rsidR="000E4A6C">
        <w:rPr>
          <w:rFonts w:ascii="Bookman Old Style" w:hAnsi="Bookman Old Style"/>
          <w:szCs w:val="27"/>
        </w:rPr>
        <w:t>s</w:t>
      </w:r>
      <w:r w:rsidR="000E4A6C" w:rsidRPr="00967468">
        <w:rPr>
          <w:rFonts w:ascii="Bookman Old Style" w:hAnsi="Bookman Old Style"/>
          <w:szCs w:val="27"/>
        </w:rPr>
        <w:t xml:space="preserve"> de soporte 143 de 2015</w:t>
      </w:r>
      <w:r w:rsidR="000E4A6C">
        <w:rPr>
          <w:rFonts w:ascii="Bookman Old Style" w:hAnsi="Bookman Old Style"/>
          <w:szCs w:val="27"/>
        </w:rPr>
        <w:t xml:space="preserve"> y 030 de 2016</w:t>
      </w:r>
      <w:r w:rsidR="000E4A6C" w:rsidRPr="00967468">
        <w:rPr>
          <w:rFonts w:ascii="Bookman Old Style" w:hAnsi="Bookman Old Style"/>
          <w:szCs w:val="27"/>
        </w:rPr>
        <w:t>, fundamentado en análisis econométricos y estadísticos</w:t>
      </w:r>
      <w:r w:rsidR="000E4A6C">
        <w:rPr>
          <w:rFonts w:ascii="Bookman Old Style" w:hAnsi="Bookman Old Style"/>
          <w:szCs w:val="27"/>
        </w:rPr>
        <w:t>, entre otras, atendiendo variables tales como las ventas e inversión en envasado, de las cuales hacen parte la i</w:t>
      </w:r>
      <w:r w:rsidR="000E4A6C" w:rsidRPr="00971FF2">
        <w:rPr>
          <w:rFonts w:ascii="Bookman Old Style" w:hAnsi="Bookman Old Style"/>
          <w:szCs w:val="27"/>
        </w:rPr>
        <w:t>nversión en cilindros y tanques estacionarios</w:t>
      </w:r>
      <w:r w:rsidR="000E4A6C">
        <w:rPr>
          <w:rFonts w:ascii="Bookman Old Style" w:hAnsi="Bookman Old Style"/>
          <w:szCs w:val="27"/>
        </w:rPr>
        <w:t xml:space="preserve">, la evolución de las ventas, la relación de las ventas y la inversión, así como un análisis estadístico de la </w:t>
      </w:r>
      <w:r w:rsidR="000E4A6C">
        <w:rPr>
          <w:rFonts w:ascii="Bookman Old Style" w:hAnsi="Bookman Old Style"/>
          <w:szCs w:val="27"/>
        </w:rPr>
        <w:lastRenderedPageBreak/>
        <w:t xml:space="preserve">información que hace parte de estas variables, incluida la reportada al Sistema Único de Información – SUI, el cual permitió definir un parámetro razonable entre la relación inversiones – ventas y compras en el mercado mayorista, ligado a la forma en que se lleva la prestación del servicio público domiciliario de GLP. </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relación con lo anterior, dentro del documento soporte 030 de 2016 se expuso por parte de esta Comisión lo siguiente en relación con la rotación de los cilindros:</w:t>
      </w:r>
    </w:p>
    <w:p w:rsidR="000E4A6C" w:rsidRDefault="000E4A6C" w:rsidP="000E4A6C">
      <w:pPr>
        <w:pStyle w:val="Textoindependiente2"/>
        <w:spacing w:after="0" w:line="240" w:lineRule="auto"/>
        <w:ind w:left="0" w:right="-142"/>
        <w:jc w:val="both"/>
        <w:rPr>
          <w:rFonts w:ascii="Bookman Old Style" w:hAnsi="Bookman Old Style"/>
          <w:szCs w:val="27"/>
        </w:rPr>
      </w:pPr>
    </w:p>
    <w:p w:rsidR="000E4A6C" w:rsidRPr="006C06D7" w:rsidRDefault="000E4A6C" w:rsidP="000E4A6C">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“La capacidad de compra está relacionada con la capacidad de envase en cilindros y en tanques estacionarios, de acuerdo con lo establecido en el parágrafo 1 del artículo 8 de la propuesta de resolución.</w:t>
      </w:r>
    </w:p>
    <w:p w:rsidR="000E4A6C" w:rsidRPr="006C06D7" w:rsidRDefault="000E4A6C" w:rsidP="000E4A6C">
      <w:pPr>
        <w:pStyle w:val="Textoindependiente2"/>
        <w:spacing w:after="0" w:line="240" w:lineRule="auto"/>
        <w:ind w:left="284" w:right="284"/>
        <w:jc w:val="both"/>
        <w:rPr>
          <w:rFonts w:ascii="Bookman Old Style" w:hAnsi="Bookman Old Style"/>
          <w:i/>
          <w:sz w:val="22"/>
          <w:szCs w:val="22"/>
        </w:rPr>
      </w:pPr>
    </w:p>
    <w:p w:rsidR="000E4A6C" w:rsidRPr="006C06D7" w:rsidRDefault="000E4A6C" w:rsidP="000E4A6C">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Respecto a la rotación de cilindros, la suma de la capacidad de envasado en cilindros se calcula en cilindros equivalentes de 40 libras y un factor de rotación de un cilindro de esta presentación al mes:</w:t>
      </w:r>
    </w:p>
    <w:p w:rsidR="000E4A6C" w:rsidRPr="006C06D7" w:rsidRDefault="000E4A6C" w:rsidP="000E4A6C">
      <w:pPr>
        <w:jc w:val="both"/>
        <w:rPr>
          <w:rFonts w:ascii="Arial" w:hAnsi="Arial" w:cs="Arial"/>
          <w:i/>
          <w:sz w:val="20"/>
        </w:rPr>
      </w:pPr>
    </w:p>
    <w:p w:rsidR="000E4A6C" w:rsidRPr="006C06D7" w:rsidRDefault="00B64E92" w:rsidP="000E4A6C">
      <w:pPr>
        <w:pStyle w:val="Textonotapie"/>
        <w:jc w:val="center"/>
        <w:rPr>
          <w:rFonts w:eastAsia="Times New Roman"/>
          <w:i/>
          <w:sz w:val="22"/>
          <w:szCs w:val="22"/>
        </w:rPr>
      </w:pPr>
      <m:oMath>
        <m:r>
          <w:rPr>
            <w:rFonts w:ascii="Cambria Math" w:hAnsi="Cambria Math"/>
            <w:sz w:val="22"/>
            <w:szCs w:val="22"/>
          </w:rPr>
          <m:t>Factor de rotación=</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40</m:t>
                </m:r>
              </m:e>
              <m:sub>
                <m:f>
                  <m:fPr>
                    <m:type m:val="skw"/>
                    <m:ctrlPr>
                      <w:rPr>
                        <w:rFonts w:ascii="Cambria Math" w:hAnsi="Cambria Math"/>
                        <w:i/>
                        <w:sz w:val="22"/>
                        <w:szCs w:val="22"/>
                      </w:rPr>
                    </m:ctrlPr>
                  </m:fPr>
                  <m:num>
                    <m:r>
                      <w:rPr>
                        <w:rFonts w:ascii="Cambria Math" w:hAnsi="Cambria Math"/>
                        <w:sz w:val="22"/>
                        <w:szCs w:val="22"/>
                      </w:rPr>
                      <m:t>lb</m:t>
                    </m:r>
                  </m:num>
                  <m:den>
                    <m:r>
                      <w:rPr>
                        <w:rFonts w:ascii="Cambria Math" w:hAnsi="Cambria Math"/>
                        <w:sz w:val="22"/>
                        <w:szCs w:val="22"/>
                      </w:rPr>
                      <m:t>mes</m:t>
                    </m:r>
                  </m:den>
                </m:f>
              </m:sub>
            </m:sSub>
          </m:num>
          <m:den>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lb</m:t>
                </m:r>
              </m:sub>
            </m:sSub>
          </m:den>
        </m:f>
      </m:oMath>
      <w:r w:rsidR="000E4A6C" w:rsidRPr="006C06D7">
        <w:rPr>
          <w:rFonts w:eastAsia="Times New Roman"/>
          <w:i/>
          <w:sz w:val="22"/>
          <w:szCs w:val="22"/>
        </w:rPr>
        <w:t xml:space="preserve">   </w:t>
      </w:r>
      <w:r w:rsidR="000E4A6C" w:rsidRPr="006C06D7">
        <w:rPr>
          <w:rFonts w:eastAsia="Times New Roman"/>
          <w:i/>
          <w:sz w:val="22"/>
          <w:szCs w:val="22"/>
        </w:rPr>
        <w:tab/>
      </w:r>
      <w:proofErr w:type="gramStart"/>
      <w:r w:rsidR="000E4A6C" w:rsidRPr="006C06D7">
        <w:rPr>
          <w:rFonts w:eastAsia="Times New Roman"/>
          <w:i/>
          <w:sz w:val="22"/>
          <w:szCs w:val="22"/>
        </w:rPr>
        <w:t>y</w:t>
      </w:r>
      <w:proofErr w:type="gramEnd"/>
      <w:r w:rsidR="000E4A6C" w:rsidRPr="006C06D7">
        <w:rPr>
          <w:rFonts w:eastAsia="Times New Roman"/>
          <w:i/>
          <w:sz w:val="22"/>
          <w:szCs w:val="22"/>
        </w:rPr>
        <w:t>,</w:t>
      </w:r>
      <w:r w:rsidR="000E4A6C" w:rsidRPr="006C06D7">
        <w:rPr>
          <w:rFonts w:eastAsia="Times New Roman"/>
          <w:i/>
          <w:sz w:val="22"/>
          <w:szCs w:val="22"/>
        </w:rPr>
        <w:tab/>
        <w:t xml:space="preserve"> </w:t>
      </w:r>
      <m:oMath>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lb</m:t>
            </m:r>
          </m:sub>
        </m:sSub>
        <m:r>
          <w:rPr>
            <w:rFonts w:ascii="Cambria Math" w:eastAsia="Times New Roman"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CP</m:t>
            </m:r>
          </m:sub>
          <m:sup/>
          <m:e>
            <m:r>
              <w:rPr>
                <w:rFonts w:ascii="Cambria Math" w:hAnsi="Cambria Math"/>
                <w:sz w:val="22"/>
                <w:szCs w:val="22"/>
              </w:rPr>
              <m:t>CP*N</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CP</m:t>
                </m:r>
              </m:sub>
            </m:sSub>
          </m:e>
        </m:nary>
      </m:oMath>
    </w:p>
    <w:p w:rsidR="000E4A6C" w:rsidRPr="006C06D7" w:rsidRDefault="000E4A6C" w:rsidP="000E4A6C">
      <w:pPr>
        <w:pStyle w:val="Textoindependiente2"/>
        <w:spacing w:after="0" w:line="240" w:lineRule="auto"/>
        <w:ind w:left="284" w:right="284"/>
        <w:jc w:val="both"/>
        <w:rPr>
          <w:rFonts w:ascii="Bookman Old Style" w:hAnsi="Bookman Old Style"/>
          <w:i/>
          <w:sz w:val="22"/>
          <w:szCs w:val="22"/>
        </w:rPr>
      </w:pPr>
    </w:p>
    <w:p w:rsidR="000E4A6C" w:rsidRPr="006C06D7" w:rsidRDefault="000E4A6C" w:rsidP="000E4A6C">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 xml:space="preserve">Calculando la capacidad de envasado al año y reemplazando las anteriores ecuaciones, se tiene: </w:t>
      </w:r>
    </w:p>
    <w:p w:rsidR="000E4A6C" w:rsidRPr="006C06D7" w:rsidRDefault="00B64E92" w:rsidP="000E4A6C">
      <w:pPr>
        <w:pStyle w:val="Textonotapie"/>
        <w:jc w:val="center"/>
        <w:rPr>
          <w:rFonts w:eastAsia="Times New Roman"/>
          <w:i/>
        </w:rPr>
      </w:pPr>
      <w:r w:rsidRPr="006C06D7">
        <w:rPr>
          <w:rFonts w:eastAsia="Times New Roman"/>
          <w:i/>
          <w:noProof/>
          <w:lang w:eastAsia="es-CO"/>
        </w:rPr>
        <w:drawing>
          <wp:inline distT="0" distB="0" distL="0" distR="0">
            <wp:extent cx="4324350" cy="1228725"/>
            <wp:effectExtent l="0" t="0" r="0" b="9525"/>
            <wp:docPr id="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1228725"/>
                    </a:xfrm>
                    <a:prstGeom prst="rect">
                      <a:avLst/>
                    </a:prstGeom>
                    <a:noFill/>
                    <a:ln>
                      <a:noFill/>
                    </a:ln>
                  </pic:spPr>
                </pic:pic>
              </a:graphicData>
            </a:graphic>
          </wp:inline>
        </w:drawing>
      </w:r>
    </w:p>
    <w:p w:rsidR="000E4A6C" w:rsidRPr="006C06D7" w:rsidRDefault="000E4A6C" w:rsidP="000E4A6C">
      <w:pPr>
        <w:pStyle w:val="Textonotapie"/>
        <w:jc w:val="both"/>
        <w:rPr>
          <w:rFonts w:eastAsia="Times New Roman"/>
          <w:i/>
        </w:rPr>
      </w:pPr>
    </w:p>
    <w:p w:rsidR="000E4A6C" w:rsidRPr="006C06D7" w:rsidRDefault="00B64E92" w:rsidP="000E4A6C">
      <w:pPr>
        <w:pStyle w:val="Textoindependiente2"/>
        <w:spacing w:after="0" w:line="240" w:lineRule="auto"/>
        <w:ind w:left="284" w:right="284"/>
        <w:jc w:val="both"/>
        <w:rPr>
          <w:rFonts w:ascii="Bookman Old Style" w:hAnsi="Bookman Old Style"/>
          <w:i/>
          <w:sz w:val="22"/>
          <w:szCs w:val="22"/>
        </w:rPr>
      </w:pP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lb</m:t>
            </m:r>
          </m:sub>
        </m:sSub>
      </m:oMath>
      <w:r w:rsidR="000E4A6C" w:rsidRPr="006C06D7">
        <w:rPr>
          <w:rFonts w:ascii="Bookman Old Style" w:hAnsi="Bookman Old Style"/>
          <w:i/>
          <w:sz w:val="22"/>
          <w:szCs w:val="22"/>
        </w:rPr>
        <w:t xml:space="preserve">, corresponde al código de presentación del cilindro en el cual se quiera calcular la equivalencia de capacidad de envasado, reemplazando </w:t>
      </w: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lb</m:t>
            </m:r>
          </m:sub>
        </m:sSub>
      </m:oMath>
      <w:r w:rsidR="000E4A6C" w:rsidRPr="006C06D7">
        <w:rPr>
          <w:rFonts w:ascii="Bookman Old Style" w:hAnsi="Bookman Old Style"/>
          <w:i/>
          <w:sz w:val="22"/>
          <w:szCs w:val="22"/>
        </w:rPr>
        <w:t xml:space="preserve"> por 40lb, se obtiene la capacidad total de envase en cilindros.”</w:t>
      </w:r>
    </w:p>
    <w:p w:rsidR="000E4A6C" w:rsidRDefault="000E4A6C" w:rsidP="000E4A6C">
      <w:pPr>
        <w:pStyle w:val="Textoindependiente2"/>
        <w:spacing w:after="0" w:line="240" w:lineRule="auto"/>
        <w:ind w:left="0" w:right="284"/>
        <w:jc w:val="both"/>
        <w:rPr>
          <w:rFonts w:ascii="Bookman Old Style" w:hAnsi="Bookman Old Style"/>
          <w:sz w:val="22"/>
          <w:szCs w:val="22"/>
        </w:rPr>
      </w:pPr>
    </w:p>
    <w:p w:rsidR="000E4A6C" w:rsidRPr="005B27D9" w:rsidRDefault="000E4A6C" w:rsidP="000E4A6C">
      <w:pPr>
        <w:pStyle w:val="Textoindependiente2"/>
        <w:spacing w:after="0" w:line="240" w:lineRule="auto"/>
        <w:ind w:left="0" w:right="284"/>
        <w:jc w:val="both"/>
        <w:rPr>
          <w:rFonts w:ascii="Bookman Old Style" w:hAnsi="Bookman Old Style"/>
        </w:rPr>
      </w:pPr>
      <w:r>
        <w:rPr>
          <w:rFonts w:ascii="Bookman Old Style" w:hAnsi="Bookman Old Style"/>
        </w:rPr>
        <w:t>En concordancia con lo anterior y frente al factor de equivalencia, dentro de este análisis la Comisión expuso lo siguiente:</w:t>
      </w:r>
    </w:p>
    <w:p w:rsidR="000E4A6C" w:rsidRDefault="000E4A6C" w:rsidP="000E4A6C">
      <w:pPr>
        <w:pStyle w:val="Textoindependiente2"/>
        <w:spacing w:after="0" w:line="240" w:lineRule="auto"/>
        <w:ind w:left="0" w:right="284"/>
        <w:jc w:val="both"/>
        <w:rPr>
          <w:rFonts w:ascii="Bookman Old Style" w:hAnsi="Bookman Old Style"/>
          <w:sz w:val="22"/>
          <w:szCs w:val="22"/>
        </w:rPr>
      </w:pPr>
    </w:p>
    <w:p w:rsidR="000E4A6C" w:rsidRPr="000A2705" w:rsidRDefault="000E4A6C" w:rsidP="000E4A6C">
      <w:pPr>
        <w:pStyle w:val="Textoindependiente2"/>
        <w:spacing w:after="0" w:line="240" w:lineRule="auto"/>
        <w:ind w:left="284" w:right="284"/>
        <w:jc w:val="both"/>
        <w:rPr>
          <w:rFonts w:ascii="Bookman Old Style" w:hAnsi="Bookman Old Style"/>
          <w:i/>
          <w:sz w:val="22"/>
          <w:szCs w:val="22"/>
        </w:rPr>
      </w:pPr>
      <w:r w:rsidRPr="000A2705">
        <w:rPr>
          <w:rFonts w:ascii="Bookman Old Style" w:hAnsi="Bookman Old Style"/>
          <w:i/>
          <w:sz w:val="22"/>
          <w:szCs w:val="22"/>
        </w:rPr>
        <w:t>“Nuevamente se observa que la relación econométrica y sus coeficientes son estadísticamente significativos. El coeficiente β_1 es 0,306, lo cual indica que para vender un kilogramo adicional de GLP se requiere de 3,26 kilogramos de capacidad de envasado en tanques estacionarios. Alternativamente, por cada kilogramo de capacidad de envasado en tanques estacionarios atendidos, el distribuidor puede vender 0,306 kilogramos anualmente.</w:t>
      </w:r>
      <w:r w:rsidR="000A2705">
        <w:rPr>
          <w:rFonts w:ascii="Bookman Old Style" w:hAnsi="Bookman Old Style"/>
          <w:i/>
          <w:sz w:val="22"/>
          <w:szCs w:val="22"/>
        </w:rPr>
        <w:t>”</w:t>
      </w:r>
    </w:p>
    <w:p w:rsidR="000E4A6C" w:rsidRPr="000A2705" w:rsidRDefault="000E4A6C" w:rsidP="000E4A6C">
      <w:pPr>
        <w:pStyle w:val="Textoindependiente2"/>
        <w:spacing w:after="0" w:line="240" w:lineRule="auto"/>
        <w:ind w:left="284" w:right="284"/>
        <w:jc w:val="both"/>
        <w:rPr>
          <w:rFonts w:ascii="Bookman Old Style" w:hAnsi="Bookman Old Style"/>
          <w:i/>
          <w:sz w:val="22"/>
          <w:szCs w:val="22"/>
        </w:rPr>
      </w:pPr>
    </w:p>
    <w:p w:rsidR="000E4A6C" w:rsidRPr="000A2705" w:rsidRDefault="000E4A6C" w:rsidP="000E4A6C">
      <w:pPr>
        <w:pStyle w:val="Textoindependiente2"/>
        <w:spacing w:after="0" w:line="240" w:lineRule="auto"/>
        <w:ind w:left="284" w:right="284"/>
        <w:jc w:val="both"/>
        <w:rPr>
          <w:rFonts w:ascii="Bookman Old Style" w:hAnsi="Bookman Old Style"/>
          <w:i/>
          <w:sz w:val="22"/>
          <w:szCs w:val="22"/>
        </w:rPr>
      </w:pPr>
      <w:r w:rsidRPr="000A2705">
        <w:rPr>
          <w:rFonts w:ascii="Bookman Old Style" w:hAnsi="Bookman Old Style"/>
          <w:i/>
          <w:sz w:val="22"/>
          <w:szCs w:val="22"/>
        </w:rPr>
        <w:t>(…)</w:t>
      </w:r>
    </w:p>
    <w:p w:rsidR="000E4A6C" w:rsidRPr="000A2705" w:rsidRDefault="000E4A6C" w:rsidP="000E4A6C">
      <w:pPr>
        <w:pStyle w:val="Textoindependiente2"/>
        <w:spacing w:after="0" w:line="240" w:lineRule="auto"/>
        <w:ind w:left="284" w:right="284"/>
        <w:jc w:val="both"/>
        <w:rPr>
          <w:rFonts w:ascii="Bookman Old Style" w:hAnsi="Bookman Old Style"/>
          <w:i/>
          <w:sz w:val="22"/>
          <w:szCs w:val="22"/>
        </w:rPr>
      </w:pPr>
    </w:p>
    <w:p w:rsidR="000E4A6C" w:rsidRPr="000A2705" w:rsidRDefault="000E4A6C" w:rsidP="000E4A6C">
      <w:pPr>
        <w:pStyle w:val="Textoindependiente2"/>
        <w:spacing w:after="0" w:line="240" w:lineRule="auto"/>
        <w:ind w:left="284" w:right="284"/>
        <w:jc w:val="both"/>
        <w:rPr>
          <w:rFonts w:ascii="Bookman Old Style" w:hAnsi="Bookman Old Style"/>
          <w:i/>
          <w:sz w:val="22"/>
          <w:szCs w:val="22"/>
        </w:rPr>
      </w:pPr>
      <w:r w:rsidRPr="000A2705">
        <w:rPr>
          <w:rFonts w:ascii="Bookman Old Style" w:hAnsi="Bookman Old Style"/>
          <w:i/>
          <w:sz w:val="22"/>
          <w:szCs w:val="22"/>
        </w:rPr>
        <w:t>“Ahora, realizando este mismo análisis con las empresas que únicamente se encontraban activas en el 2014, se encuentra que el 71% de ellas tenían esta razón igual o menor a 0,08, es decir, disponían de al menos 12,5 kilogramos de capacidad de envasado para vender un kilogramo de GLP. El 94,1% de las empresas activas exhibían una razón inferior a 0,31. Ello, en conclusión, confirma uno de los hechos estilizados de la actividad de distribución y comercialización minorista de GLP: desde 2008 y a través de los años, las empresas han adquirido una capacidad de envasado que supera los niveles de compra de GLP en el mercado mayorista.”</w:t>
      </w:r>
    </w:p>
    <w:p w:rsidR="000E4A6C" w:rsidRDefault="000E4A6C" w:rsidP="000E4A6C">
      <w:pPr>
        <w:pStyle w:val="Textoindependiente2"/>
        <w:spacing w:after="0" w:line="240" w:lineRule="auto"/>
        <w:ind w:left="-142" w:right="-142"/>
        <w:jc w:val="both"/>
        <w:rPr>
          <w:rFonts w:ascii="Bookman Old Style" w:hAnsi="Bookman Old Style"/>
          <w:szCs w:val="27"/>
        </w:rPr>
      </w:pPr>
    </w:p>
    <w:p w:rsidR="00745669"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En relación con lo anterior, esta Comisión expuso dentro del trámite de consulta el análisis general aplicable a la rotación de las inversiones, así al factor de equivalencia para las empresas distribuidoras, dando respuesta en debida forma a los comentarios, incluidos los de la empresa recurrente con respecto a el porque la definición de la capacidad de compra se debía realizar de acuerdo con el procedimiento y la f</w:t>
      </w:r>
      <w:r w:rsidR="00745669">
        <w:rPr>
          <w:rFonts w:ascii="Bookman Old Style" w:hAnsi="Bookman Old Style"/>
          <w:szCs w:val="27"/>
        </w:rPr>
        <w:t>orma definida en el artículo 8, incluidas</w:t>
      </w:r>
      <w:r>
        <w:rPr>
          <w:rFonts w:ascii="Bookman Old Style" w:hAnsi="Bookman Old Style"/>
          <w:szCs w:val="27"/>
        </w:rPr>
        <w:t xml:space="preserve"> las formulas allí establecidas, atendien</w:t>
      </w:r>
      <w:r w:rsidR="00745669">
        <w:rPr>
          <w:rFonts w:ascii="Bookman Old Style" w:hAnsi="Bookman Old Style"/>
          <w:szCs w:val="27"/>
        </w:rPr>
        <w:t>do los análisis que la preceden.</w:t>
      </w:r>
    </w:p>
    <w:p w:rsidR="00745669" w:rsidRDefault="00745669" w:rsidP="000E4A6C">
      <w:pPr>
        <w:pStyle w:val="Textoindependiente2"/>
        <w:spacing w:after="0" w:line="240" w:lineRule="auto"/>
        <w:ind w:left="-142" w:right="-142"/>
        <w:jc w:val="both"/>
        <w:rPr>
          <w:rFonts w:ascii="Bookman Old Style" w:hAnsi="Bookman Old Style"/>
          <w:szCs w:val="27"/>
        </w:rPr>
      </w:pPr>
    </w:p>
    <w:p w:rsidR="000E4A6C" w:rsidRDefault="00745669"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Igualmente, esta Comisión precisó que no se habrían de crear </w:t>
      </w:r>
      <w:r w:rsidR="000E4A6C">
        <w:rPr>
          <w:rFonts w:ascii="Bookman Old Style" w:hAnsi="Bookman Old Style"/>
          <w:szCs w:val="27"/>
        </w:rPr>
        <w:t>tratamientos diferenciados o específicos con respecto a la forma en que se debe definir la capacidad de compra, en la medida que dicho tratamiento se debía realizar de manera general y bajo los mismos lineamientos para todos los distribuidores.</w:t>
      </w:r>
    </w:p>
    <w:p w:rsidR="000E4A6C" w:rsidRDefault="000E4A6C" w:rsidP="000E4A6C">
      <w:pPr>
        <w:pStyle w:val="Textoindependiente2"/>
        <w:spacing w:after="0" w:line="240" w:lineRule="auto"/>
        <w:ind w:left="0" w:right="-142"/>
        <w:jc w:val="both"/>
        <w:rPr>
          <w:rFonts w:ascii="Bookman Old Style" w:hAnsi="Bookman Old Style"/>
          <w:szCs w:val="27"/>
        </w:rPr>
      </w:pPr>
    </w:p>
    <w:p w:rsidR="000E4A6C" w:rsidRDefault="00745669"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bien,</w:t>
      </w:r>
      <w:r w:rsidR="003330F3">
        <w:rPr>
          <w:rFonts w:ascii="Bookman Old Style" w:hAnsi="Bookman Old Style"/>
          <w:szCs w:val="27"/>
        </w:rPr>
        <w:t xml:space="preserve"> este mismo sentido</w:t>
      </w:r>
      <w:r w:rsidR="000E4A6C">
        <w:rPr>
          <w:rFonts w:ascii="Bookman Old Style" w:hAnsi="Bookman Old Style"/>
          <w:szCs w:val="27"/>
        </w:rPr>
        <w:t>, la empresa dentro del recurso de reposición cuestiona de manera específica el f</w:t>
      </w:r>
      <w:r w:rsidR="000E4A6C" w:rsidRPr="00971FF2">
        <w:rPr>
          <w:rFonts w:ascii="Bookman Old Style" w:hAnsi="Bookman Old Style"/>
          <w:szCs w:val="27"/>
        </w:rPr>
        <w:t>actor de equivalencia de envasado en cilindros y tanques estacionarios</w:t>
      </w:r>
      <w:r w:rsidR="000E4A6C">
        <w:rPr>
          <w:rFonts w:ascii="Bookman Old Style" w:hAnsi="Bookman Old Style"/>
          <w:szCs w:val="27"/>
        </w:rPr>
        <w:t xml:space="preserve">, toda vez que consideran ellos, se encuentran en una situación particular y específica en relación con el llenado de sus tanques, las condiciones de mercado y </w:t>
      </w:r>
      <w:r w:rsidR="003330F3">
        <w:rPr>
          <w:rFonts w:ascii="Bookman Old Style" w:hAnsi="Bookman Old Style"/>
          <w:szCs w:val="27"/>
        </w:rPr>
        <w:t>los perfiles de consumo por tipo de usuario</w:t>
      </w:r>
      <w:r w:rsidR="000E4A6C">
        <w:rPr>
          <w:rFonts w:ascii="Bookman Old Style" w:hAnsi="Bookman Old Style"/>
          <w:szCs w:val="27"/>
        </w:rPr>
        <w:t xml:space="preserve"> en su área de prestación del servicio, lo cual debe generar que la determinación de la capacidad de compra para esta empresa atendiendo un factor de equivalencia sea diferente al 0,3 previsto en la Resolución CREG 063 de 2016.</w:t>
      </w:r>
    </w:p>
    <w:p w:rsidR="000E4A6C" w:rsidRDefault="000E4A6C" w:rsidP="000E4A6C">
      <w:pPr>
        <w:pStyle w:val="Textoindependiente2"/>
        <w:spacing w:after="0" w:line="240" w:lineRule="auto"/>
        <w:ind w:left="0"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punto, la Comisión encuentra que los argumentos expuestos por la empresa </w:t>
      </w:r>
      <w:r w:rsidR="003330F3">
        <w:rPr>
          <w:rFonts w:ascii="Bookman Old Style" w:hAnsi="Bookman Old Style"/>
          <w:szCs w:val="27"/>
        </w:rPr>
        <w:t>Compañía de Servicios Públicos</w:t>
      </w:r>
      <w:r>
        <w:rPr>
          <w:rFonts w:ascii="Bookman Old Style" w:hAnsi="Bookman Old Style"/>
          <w:szCs w:val="27"/>
        </w:rPr>
        <w:t xml:space="preserve"> no llevan a modificar o revocar lo consagrado en el artículo 1 de la Resolución CREG 075 de 2016 en cuanto a la aplicación realizada por la Comisión a efectos de determinar la capacidad de compra de acuerdo con lo previsto en el artículo 8 de este acto administrativo, toda vez que no se advierte una indebida aplicación del mismo o un error en la forma de llevar a cabo dicho procedimiento por parte de esta Comisión. </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Así mismo, dichos argumentos no generan o motivan por parte de esta Comisión que se realice un tratamiento diferenciado a la empresa </w:t>
      </w:r>
      <w:r w:rsidR="003330F3">
        <w:rPr>
          <w:rFonts w:ascii="Bookman Old Style" w:hAnsi="Bookman Old Style"/>
          <w:szCs w:val="27"/>
        </w:rPr>
        <w:t>Compañía de Servicios Públicos</w:t>
      </w:r>
      <w:r>
        <w:rPr>
          <w:rFonts w:ascii="Bookman Old Style" w:hAnsi="Bookman Old Style"/>
          <w:szCs w:val="27"/>
        </w:rPr>
        <w:t xml:space="preserve"> a efectos de resolver el presente recurso de reposición, ya que no se advierte un motivo </w:t>
      </w:r>
      <w:r w:rsidRPr="00936888">
        <w:rPr>
          <w:rFonts w:ascii="Bookman Old Style" w:hAnsi="Bookman Old Style"/>
          <w:szCs w:val="27"/>
        </w:rPr>
        <w:t>justificado</w:t>
      </w:r>
      <w:r>
        <w:rPr>
          <w:rFonts w:ascii="Bookman Old Style" w:hAnsi="Bookman Old Style"/>
          <w:szCs w:val="27"/>
        </w:rPr>
        <w:t xml:space="preserve">, sustentado económica, técnica y jurídicamente, sino que por el contrario, el análisis expuesto por esta Comisión en los documentos soporte en relación con lo previsto en el artículo 8 de la Resolución CREG 063 de 2016, atendiendo las variables allí consignadas (e. g. </w:t>
      </w:r>
      <w:r w:rsidRPr="004926FE">
        <w:rPr>
          <w:rFonts w:ascii="Bookman Old Style" w:hAnsi="Bookman Old Style"/>
          <w:szCs w:val="27"/>
        </w:rPr>
        <w:t>inversión en envasado</w:t>
      </w:r>
      <w:r>
        <w:rPr>
          <w:rFonts w:ascii="Bookman Old Style" w:hAnsi="Bookman Old Style"/>
          <w:szCs w:val="27"/>
        </w:rPr>
        <w:t xml:space="preserve">), permite establecer que existe un mismo criterio de equiparación y comparación entre todos los agentes, incluyendo esto para la definición del </w:t>
      </w:r>
      <w:r w:rsidRPr="00241733">
        <w:rPr>
          <w:rFonts w:ascii="Bookman Old Style" w:hAnsi="Bookman Old Style"/>
          <w:szCs w:val="27"/>
        </w:rPr>
        <w:t>factor de equivalencia de envasado en cilindros y tanques estacionarios</w:t>
      </w:r>
      <w:r>
        <w:rPr>
          <w:rFonts w:ascii="Bookman Old Style" w:hAnsi="Bookman Old Style"/>
          <w:szCs w:val="27"/>
        </w:rPr>
        <w:t xml:space="preserve">, por lo que allí se advierte y se refleja en la definición del artículo 8, que se debe dar un tratamiento igualitario y simétrico a los distribuidores de GLP en relación con la Resolución CREG 063 de 2016. </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745669" w:rsidP="003330F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Se reitera entonces que </w:t>
      </w:r>
      <w:r w:rsidR="000E4A6C">
        <w:rPr>
          <w:rFonts w:ascii="Bookman Old Style" w:hAnsi="Bookman Old Style"/>
          <w:szCs w:val="27"/>
        </w:rPr>
        <w:t>dentro del trámite de consulta, incluyendo la expedición de las resoluciones CREG 221 de 2015 y 063 de 2016, esta Comisión estableció atendiendo los análisis expuestos en los anexos del documento soporte de dichos actos administrativo</w:t>
      </w:r>
      <w:r w:rsidR="003330F3">
        <w:rPr>
          <w:rFonts w:ascii="Bookman Old Style" w:hAnsi="Bookman Old Style"/>
          <w:szCs w:val="27"/>
        </w:rPr>
        <w:t>s</w:t>
      </w:r>
      <w:r w:rsidR="000E4A6C">
        <w:rPr>
          <w:rFonts w:ascii="Bookman Old Style" w:hAnsi="Bookman Old Style"/>
          <w:szCs w:val="27"/>
        </w:rPr>
        <w:t xml:space="preserve">, así como atendiendo las observaciones e inquietudes formuladas por los agentes, que los parámetros y elementos respecto de los cuales se debía definir la capacidad de compra debían partir de un mismo supuesto, </w:t>
      </w:r>
      <w:r w:rsidR="000E4A6C">
        <w:rPr>
          <w:rFonts w:ascii="Bookman Old Style" w:hAnsi="Bookman Old Style"/>
          <w:szCs w:val="27"/>
        </w:rPr>
        <w:lastRenderedPageBreak/>
        <w:t xml:space="preserve">relativo a que se debía dar el mismo tratamiento a los distribuidores y que dichos parámetros debían ser de orden general. </w:t>
      </w:r>
    </w:p>
    <w:p w:rsidR="00745669" w:rsidRDefault="00745669" w:rsidP="003330F3">
      <w:pPr>
        <w:pStyle w:val="Textoindependiente2"/>
        <w:spacing w:after="0" w:line="240" w:lineRule="auto"/>
        <w:ind w:left="-142" w:right="-142"/>
        <w:jc w:val="both"/>
        <w:rPr>
          <w:rFonts w:ascii="Bookman Old Style" w:hAnsi="Bookman Old Style"/>
          <w:szCs w:val="27"/>
        </w:rPr>
      </w:pPr>
    </w:p>
    <w:p w:rsidR="00745669"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Esto, a </w:t>
      </w:r>
      <w:r w:rsidRPr="003B4690">
        <w:rPr>
          <w:rFonts w:ascii="Bookman Old Style" w:hAnsi="Bookman Old Style"/>
          <w:szCs w:val="27"/>
        </w:rPr>
        <w:t>fin de dar cumplimiento a los presupuestos y mandatos propios del principio de igualdad, materializados en materia de servicios públicos en el criterio de neutralidad del artículo 87 de la Ley 142 de 1994, como lo son el de dar un trato idéntico a destinatarios que se encuentren en circunstancias idénticas, así como el de dar un trato paritario a destinatarios cuyas situaciones presenten similitudes y diferencias, pero las similitudes sean más relevantes a pesar de las diferencias, como es el caso de los agentes distribuidores para efectos de la determinación de la capacidad de compra.</w:t>
      </w:r>
      <w:r>
        <w:rPr>
          <w:rFonts w:ascii="Bookman Old Style" w:hAnsi="Bookman Old Style"/>
          <w:szCs w:val="27"/>
        </w:rPr>
        <w:t xml:space="preserve"> </w:t>
      </w:r>
    </w:p>
    <w:p w:rsidR="00745669" w:rsidRDefault="00745669"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 por esto que</w:t>
      </w:r>
      <w:r w:rsidRPr="008B2512">
        <w:rPr>
          <w:rFonts w:ascii="Bookman Old Style" w:hAnsi="Bookman Old Style"/>
          <w:szCs w:val="27"/>
        </w:rPr>
        <w:t xml:space="preserve">, no se identificaron </w:t>
      </w:r>
      <w:r>
        <w:rPr>
          <w:rFonts w:ascii="Bookman Old Style" w:hAnsi="Bookman Old Style"/>
          <w:szCs w:val="27"/>
        </w:rPr>
        <w:t xml:space="preserve">al momento de la expedición de la Resolución CREG 063 de 2016 </w:t>
      </w:r>
      <w:r w:rsidRPr="008B2512">
        <w:rPr>
          <w:rFonts w:ascii="Bookman Old Style" w:hAnsi="Bookman Old Style"/>
          <w:szCs w:val="27"/>
        </w:rPr>
        <w:t>elementos respecto de los cuales se generara o se encontrará llevar a cabo un tratamiento diferenciado para los agentes que prestan el servicio en cilindros y tanques estacionarios a efectos de establecer la forma como se debía definir la capacidad de compra</w:t>
      </w:r>
      <w:r>
        <w:rPr>
          <w:rFonts w:ascii="Bookman Old Style" w:hAnsi="Bookman Old Style"/>
          <w:szCs w:val="27"/>
        </w:rPr>
        <w:t xml:space="preserve">, incluyendo el caso expuesto por parte de </w:t>
      </w:r>
      <w:r w:rsidR="003330F3">
        <w:rPr>
          <w:rFonts w:ascii="Bookman Old Style" w:hAnsi="Bookman Old Style"/>
          <w:szCs w:val="27"/>
        </w:rPr>
        <w:t>la Compañía de Servicios Públicos</w:t>
      </w:r>
      <w:r w:rsidRPr="008B2512">
        <w:rPr>
          <w:rFonts w:ascii="Bookman Old Style" w:hAnsi="Bookman Old Style"/>
          <w:szCs w:val="27"/>
        </w:rPr>
        <w:t>.</w:t>
      </w:r>
    </w:p>
    <w:p w:rsidR="000E4A6C" w:rsidRDefault="000E4A6C" w:rsidP="000E4A6C">
      <w:pPr>
        <w:pStyle w:val="Textoindependiente2"/>
        <w:spacing w:after="0" w:line="240" w:lineRule="auto"/>
        <w:ind w:left="0"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Ejempl</w:t>
      </w:r>
      <w:r w:rsidR="003330F3">
        <w:rPr>
          <w:rFonts w:ascii="Bookman Old Style" w:hAnsi="Bookman Old Style"/>
          <w:szCs w:val="27"/>
        </w:rPr>
        <w:t>o de lo anterior es lo expuesto</w:t>
      </w:r>
      <w:r>
        <w:rPr>
          <w:rFonts w:ascii="Bookman Old Style" w:hAnsi="Bookman Old Style"/>
          <w:szCs w:val="27"/>
        </w:rPr>
        <w:t xml:space="preserve"> </w:t>
      </w:r>
      <w:r w:rsidR="003330F3">
        <w:rPr>
          <w:rFonts w:ascii="Bookman Old Style" w:hAnsi="Bookman Old Style"/>
          <w:szCs w:val="27"/>
        </w:rPr>
        <w:t>e</w:t>
      </w:r>
      <w:r>
        <w:rPr>
          <w:rFonts w:ascii="Bookman Old Style" w:hAnsi="Bookman Old Style"/>
          <w:szCs w:val="27"/>
        </w:rPr>
        <w:t>n el documento soporte de la Resolución CREG 063 de 2016, donde en respuesta a este tipo de solicitudes esta Comisión precisó lo siguiente:</w:t>
      </w:r>
    </w:p>
    <w:p w:rsidR="000E4A6C" w:rsidRPr="003B4690"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284" w:right="284"/>
        <w:jc w:val="both"/>
        <w:rPr>
          <w:rFonts w:ascii="Bookman Old Style" w:hAnsi="Bookman Old Style"/>
          <w:szCs w:val="27"/>
        </w:rPr>
      </w:pPr>
      <w:r>
        <w:rPr>
          <w:rFonts w:ascii="Bookman Old Style" w:hAnsi="Bookman Old Style"/>
          <w:sz w:val="22"/>
          <w:szCs w:val="22"/>
        </w:rPr>
        <w:t>“</w:t>
      </w:r>
      <w:r w:rsidRPr="003B4690">
        <w:rPr>
          <w:rFonts w:ascii="Bookman Old Style" w:hAnsi="Bookman Old Style"/>
          <w:sz w:val="22"/>
          <w:szCs w:val="22"/>
        </w:rPr>
        <w:t xml:space="preserve">En relación con estos comentarios se debe precisar que la propuesta regulatoria en ningún momento fomenta o incentiva la práctica de conductas o prácticas restrictivas a la competencia en los términos que allí menciona, </w:t>
      </w:r>
      <w:r w:rsidRPr="003B4690">
        <w:rPr>
          <w:rFonts w:ascii="Bookman Old Style" w:hAnsi="Bookman Old Style"/>
          <w:sz w:val="22"/>
          <w:szCs w:val="22"/>
          <w:u w:val="single"/>
        </w:rPr>
        <w:t>toda vez que esta da el mismo tratamiento a todos los agentes que van a realizar compras en el mercado mayorista, sin fomentar en ningún caso un trato preferencial o específico que permita que algún agente pueda adquirir producto a fin de generar un acaparamiento el mercado</w:t>
      </w:r>
      <w:r w:rsidRPr="003B4690">
        <w:rPr>
          <w:rFonts w:ascii="Bookman Old Style" w:hAnsi="Bookman Old Style"/>
          <w:sz w:val="22"/>
          <w:szCs w:val="22"/>
        </w:rPr>
        <w:t>. En este sentido, cualquier agente puede comprar en el mercado mayorista las cantidades de GLP que pueda distribuir y la asignación de las cantidades se hará de acuerdo con el mecanismo existente, donde para el caso del GLP con precio regulado corresponde a las OPC del reglamento de comercialización mayorista</w:t>
      </w:r>
      <w:r>
        <w:rPr>
          <w:rFonts w:ascii="Bookman Old Style" w:hAnsi="Bookman Old Style"/>
          <w:sz w:val="22"/>
          <w:szCs w:val="22"/>
        </w:rPr>
        <w:t>” (Resaltado fuera de texto)</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Adicionalmente, se debe tener en cuenta que e</w:t>
      </w:r>
      <w:r w:rsidRPr="0006576D">
        <w:rPr>
          <w:rFonts w:ascii="Bookman Old Style" w:hAnsi="Bookman Old Style"/>
          <w:szCs w:val="27"/>
        </w:rPr>
        <w:t xml:space="preserve">stos </w:t>
      </w:r>
      <w:r>
        <w:rPr>
          <w:rFonts w:ascii="Bookman Old Style" w:hAnsi="Bookman Old Style"/>
          <w:szCs w:val="27"/>
        </w:rPr>
        <w:t xml:space="preserve">argumentos están dirigidos </w:t>
      </w:r>
      <w:r w:rsidR="003330F3">
        <w:rPr>
          <w:rFonts w:ascii="Bookman Old Style" w:hAnsi="Bookman Old Style"/>
          <w:szCs w:val="27"/>
        </w:rPr>
        <w:t xml:space="preserve">es </w:t>
      </w:r>
      <w:r>
        <w:rPr>
          <w:rFonts w:ascii="Bookman Old Style" w:hAnsi="Bookman Old Style"/>
          <w:szCs w:val="27"/>
        </w:rPr>
        <w:t xml:space="preserve">a cuestionar de manera general y abstracta la legalidad de la Resolución CREG 063 de 2016, en particular el artículo 8, con respecto a </w:t>
      </w:r>
      <w:r w:rsidRPr="0006576D">
        <w:rPr>
          <w:rFonts w:ascii="Bookman Old Style" w:hAnsi="Bookman Old Style"/>
          <w:szCs w:val="27"/>
        </w:rPr>
        <w:t>la forma en que se estableció</w:t>
      </w:r>
      <w:r>
        <w:rPr>
          <w:rFonts w:ascii="Bookman Old Style" w:hAnsi="Bookman Old Style"/>
          <w:szCs w:val="27"/>
        </w:rPr>
        <w:t xml:space="preserve"> y se definieron los parámetros para la definición de la capacidad de compra.</w:t>
      </w:r>
      <w:r w:rsidRPr="0006576D">
        <w:rPr>
          <w:rFonts w:ascii="Bookman Old Style" w:hAnsi="Bookman Old Style"/>
          <w:szCs w:val="27"/>
        </w:rPr>
        <w:t xml:space="preserve"> </w:t>
      </w:r>
      <w:r>
        <w:rPr>
          <w:rFonts w:ascii="Bookman Old Style" w:hAnsi="Bookman Old Style"/>
          <w:szCs w:val="27"/>
        </w:rPr>
        <w:t xml:space="preserve">En este sentido, se advierte que el objeto de la Resolución CREG 075 de 2016 corresponde al procedimiento y la forma en que fue llevada a cabo la definición de la capacidad de compra en los términos previstos en este acto administrativo para el caso particular de la empresa </w:t>
      </w:r>
      <w:r w:rsidR="003330F3">
        <w:rPr>
          <w:rFonts w:ascii="Bookman Old Style" w:hAnsi="Bookman Old Style"/>
          <w:szCs w:val="27"/>
        </w:rPr>
        <w:t>Compañía de Servicios Públicos</w:t>
      </w:r>
      <w:r>
        <w:rPr>
          <w:rFonts w:ascii="Bookman Old Style" w:hAnsi="Bookman Old Style"/>
          <w:szCs w:val="27"/>
        </w:rPr>
        <w:t xml:space="preserve">, razón por la cual, se establece que estos cuestionamientos dentro del recurso de reposición en este punto no están dirigidos, ni tienen relación con el objeto del acto impugnado, </w:t>
      </w:r>
      <w:r w:rsidRPr="0006576D">
        <w:rPr>
          <w:rFonts w:ascii="Bookman Old Style" w:hAnsi="Bookman Old Style"/>
          <w:szCs w:val="27"/>
        </w:rPr>
        <w:t xml:space="preserve">no siendo </w:t>
      </w:r>
      <w:r>
        <w:rPr>
          <w:rFonts w:ascii="Bookman Old Style" w:hAnsi="Bookman Old Style"/>
          <w:szCs w:val="27"/>
        </w:rPr>
        <w:t>este el</w:t>
      </w:r>
      <w:r w:rsidRPr="0006576D">
        <w:rPr>
          <w:rFonts w:ascii="Bookman Old Style" w:hAnsi="Bookman Old Style"/>
          <w:szCs w:val="27"/>
        </w:rPr>
        <w:t xml:space="preserve"> espacio para cuestionar la legalidad de la medida de carácter general.</w:t>
      </w:r>
    </w:p>
    <w:p w:rsidR="000E4A6C" w:rsidRDefault="000E4A6C" w:rsidP="000E4A6C">
      <w:pPr>
        <w:pStyle w:val="Textoindependiente2"/>
        <w:spacing w:after="0" w:line="240" w:lineRule="auto"/>
        <w:ind w:left="0" w:right="-142"/>
        <w:jc w:val="both"/>
        <w:rPr>
          <w:rFonts w:ascii="Bookman Old Style" w:hAnsi="Bookman Old Style"/>
          <w:szCs w:val="27"/>
        </w:rPr>
      </w:pPr>
    </w:p>
    <w:p w:rsidR="000E4A6C" w:rsidRDefault="000E4A6C" w:rsidP="00745669">
      <w:pPr>
        <w:pStyle w:val="Textoindependiente2"/>
        <w:spacing w:after="0" w:line="240" w:lineRule="auto"/>
        <w:ind w:left="-142" w:right="-142"/>
        <w:jc w:val="both"/>
        <w:rPr>
          <w:rFonts w:ascii="Bookman Old Style" w:hAnsi="Bookman Old Style"/>
          <w:szCs w:val="27"/>
        </w:rPr>
      </w:pPr>
      <w:r w:rsidRPr="00DB633B">
        <w:rPr>
          <w:rFonts w:ascii="Bookman Old Style" w:hAnsi="Bookman Old Style"/>
          <w:szCs w:val="27"/>
        </w:rPr>
        <w:t xml:space="preserve">Es por esto que una vez analizadas las consideraciones expuestas por </w:t>
      </w:r>
      <w:r w:rsidR="003330F3">
        <w:rPr>
          <w:rFonts w:ascii="Bookman Old Style" w:hAnsi="Bookman Old Style"/>
          <w:szCs w:val="27"/>
        </w:rPr>
        <w:t>la Compañía de Servicios Públicos</w:t>
      </w:r>
      <w:r w:rsidRPr="00DB633B">
        <w:rPr>
          <w:rFonts w:ascii="Bookman Old Style" w:hAnsi="Bookman Old Style"/>
          <w:szCs w:val="27"/>
        </w:rPr>
        <w:t xml:space="preserve"> en el recurso de reposición</w:t>
      </w:r>
      <w:r>
        <w:rPr>
          <w:rFonts w:ascii="Bookman Old Style" w:hAnsi="Bookman Old Style"/>
          <w:szCs w:val="27"/>
        </w:rPr>
        <w:t xml:space="preserve"> en lo que </w:t>
      </w:r>
      <w:r w:rsidR="003330F3">
        <w:rPr>
          <w:rFonts w:ascii="Bookman Old Style" w:hAnsi="Bookman Old Style"/>
          <w:szCs w:val="27"/>
        </w:rPr>
        <w:t>respecta al factor de equivalencia</w:t>
      </w:r>
      <w:r w:rsidRPr="00DB633B">
        <w:rPr>
          <w:rFonts w:ascii="Bookman Old Style" w:hAnsi="Bookman Old Style"/>
          <w:szCs w:val="27"/>
        </w:rPr>
        <w:t>, dichos argumentos no son procedentes, razón por la cual no llevan a revocar o modificar la decisión adoptada por la CREG en la Resolución CREG 075 de 2016.</w:t>
      </w:r>
    </w:p>
    <w:p w:rsidR="000E4A6C" w:rsidRPr="00D55EE8" w:rsidRDefault="000E4A6C" w:rsidP="000E4A6C">
      <w:pPr>
        <w:pStyle w:val="Textoindependiente2"/>
        <w:numPr>
          <w:ilvl w:val="0"/>
          <w:numId w:val="41"/>
        </w:numPr>
        <w:spacing w:after="0" w:line="240" w:lineRule="auto"/>
        <w:ind w:right="-142"/>
        <w:jc w:val="both"/>
        <w:rPr>
          <w:rFonts w:ascii="Bookman Old Style" w:hAnsi="Bookman Old Style"/>
          <w:b/>
          <w:szCs w:val="27"/>
        </w:rPr>
      </w:pPr>
      <w:r w:rsidRPr="00D55EE8">
        <w:rPr>
          <w:rFonts w:ascii="Bookman Old Style" w:hAnsi="Bookman Old Style"/>
          <w:b/>
          <w:szCs w:val="27"/>
        </w:rPr>
        <w:lastRenderedPageBreak/>
        <w:t xml:space="preserve">Consideraciones frente </w:t>
      </w:r>
      <w:r w:rsidR="003330F3">
        <w:rPr>
          <w:rFonts w:ascii="Bookman Old Style" w:hAnsi="Bookman Old Style"/>
          <w:b/>
          <w:szCs w:val="27"/>
        </w:rPr>
        <w:t>a la información del SUI para la definición de la capacidad de compra de la Compañía de Servicios Públicos en la Resolución CREG 075 de 2016</w:t>
      </w:r>
    </w:p>
    <w:p w:rsidR="000E4A6C" w:rsidRDefault="000E4A6C" w:rsidP="000E4A6C">
      <w:pPr>
        <w:pStyle w:val="Textoindependiente2"/>
        <w:spacing w:after="0" w:line="240" w:lineRule="auto"/>
        <w:ind w:left="-142" w:right="-142"/>
        <w:jc w:val="both"/>
        <w:rPr>
          <w:rFonts w:ascii="Bookman Old Style" w:hAnsi="Bookman Old Style"/>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en estos puntos,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900CA0">
        <w:rPr>
          <w:rFonts w:ascii="Bookman Old Style" w:hAnsi="Bookman Old Style"/>
          <w:szCs w:val="27"/>
        </w:rPr>
        <w:t>Compañía de Servicios Públicos</w:t>
      </w:r>
      <w:r>
        <w:rPr>
          <w:rFonts w:ascii="Bookman Old Style" w:hAnsi="Bookman Old Style"/>
          <w:szCs w:val="27"/>
        </w:rPr>
        <w:t>, en la medida que esta empresa advierte una diferencia en la información reportada en el Sistema Único de Información – SUI, utilizada por esta Comisión para efectos de llevar a cabo la definición de la capacidad de compra.</w:t>
      </w:r>
    </w:p>
    <w:p w:rsidR="000E4A6C" w:rsidRDefault="000E4A6C" w:rsidP="000E4A6C">
      <w:pPr>
        <w:pStyle w:val="Textoindependiente2"/>
        <w:spacing w:after="0" w:line="240" w:lineRule="auto"/>
        <w:ind w:left="-142" w:right="-142"/>
        <w:jc w:val="both"/>
        <w:rPr>
          <w:rFonts w:ascii="Bookman Old Style" w:hAnsi="Bookman Old Style"/>
          <w:szCs w:val="27"/>
        </w:rPr>
      </w:pPr>
    </w:p>
    <w:p w:rsidR="00543721" w:rsidRDefault="00543721" w:rsidP="00543721">
      <w:pPr>
        <w:ind w:left="-142" w:right="-142"/>
        <w:jc w:val="both"/>
        <w:rPr>
          <w:rFonts w:ascii="Bookman Old Style" w:hAnsi="Bookman Old Style"/>
          <w:szCs w:val="27"/>
        </w:rPr>
      </w:pPr>
      <w:r w:rsidRPr="00AF57EF">
        <w:rPr>
          <w:rFonts w:ascii="Bookman Old Style" w:hAnsi="Bookman Old Style"/>
          <w:szCs w:val="27"/>
        </w:rPr>
        <w:t>Frente a la información remitida a esta Comisión en atención a los autos de prueba decretados, la Superintendencia de Servicios Públicos Domiciliarios informa lo siguiente</w:t>
      </w:r>
      <w:r w:rsidRPr="00AF57EF">
        <w:rPr>
          <w:rFonts w:ascii="Bookman Old Style" w:hAnsi="Bookman Old Style"/>
          <w:szCs w:val="27"/>
          <w:vertAlign w:val="superscript"/>
        </w:rPr>
        <w:footnoteReference w:id="17"/>
      </w:r>
      <w:r>
        <w:rPr>
          <w:rFonts w:ascii="Bookman Old Style" w:hAnsi="Bookman Old Style"/>
          <w:szCs w:val="27"/>
        </w:rPr>
        <w:t>:</w:t>
      </w:r>
    </w:p>
    <w:p w:rsidR="00543721" w:rsidRDefault="00B64E92" w:rsidP="00543721">
      <w:pPr>
        <w:pStyle w:val="Textoindependiente2"/>
        <w:spacing w:after="0" w:line="240" w:lineRule="auto"/>
        <w:ind w:left="-142" w:right="-142"/>
        <w:jc w:val="center"/>
        <w:rPr>
          <w:rFonts w:ascii="Bookman Old Style" w:hAnsi="Bookman Old Style"/>
          <w:szCs w:val="27"/>
        </w:rPr>
      </w:pPr>
      <w:r w:rsidRPr="00543721">
        <w:rPr>
          <w:rFonts w:ascii="Bookman Old Style" w:hAnsi="Bookman Old Style"/>
          <w:noProof/>
          <w:szCs w:val="27"/>
          <w:lang w:val="es-CO" w:eastAsia="es-CO"/>
        </w:rPr>
        <w:drawing>
          <wp:inline distT="0" distB="0" distL="0" distR="0">
            <wp:extent cx="5934075" cy="2009775"/>
            <wp:effectExtent l="0" t="0" r="9525" b="952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009775"/>
                    </a:xfrm>
                    <a:prstGeom prst="rect">
                      <a:avLst/>
                    </a:prstGeom>
                    <a:noFill/>
                    <a:ln>
                      <a:noFill/>
                    </a:ln>
                  </pic:spPr>
                </pic:pic>
              </a:graphicData>
            </a:graphic>
          </wp:inline>
        </w:drawing>
      </w:r>
    </w:p>
    <w:p w:rsidR="00D83249" w:rsidRPr="00EE6670" w:rsidRDefault="00D83249" w:rsidP="00D8324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Adicionalmente, dentro del Auto de pruebas </w:t>
      </w:r>
      <w:r w:rsidRPr="00EE6670">
        <w:rPr>
          <w:rFonts w:ascii="Bookman Old Style" w:hAnsi="Bookman Old Style"/>
          <w:szCs w:val="27"/>
        </w:rPr>
        <w:t xml:space="preserve">I-2016-003755 </w:t>
      </w:r>
      <w:r>
        <w:rPr>
          <w:rFonts w:ascii="Bookman Old Style" w:hAnsi="Bookman Old Style"/>
          <w:szCs w:val="27"/>
        </w:rPr>
        <w:t>esta Comisión manifestó</w:t>
      </w:r>
      <w:r w:rsidRPr="00EE6670">
        <w:rPr>
          <w:rFonts w:ascii="Bookman Old Style" w:hAnsi="Bookman Old Style"/>
          <w:szCs w:val="27"/>
        </w:rPr>
        <w:t xml:space="preserve"> lo siguiente: </w:t>
      </w:r>
    </w:p>
    <w:p w:rsidR="00D83249" w:rsidRPr="00EE6670" w:rsidRDefault="00D83249" w:rsidP="00D83249">
      <w:pPr>
        <w:ind w:left="284" w:right="284"/>
        <w:jc w:val="both"/>
        <w:rPr>
          <w:rFonts w:ascii="Bookman Old Style" w:hAnsi="Bookman Old Style" w:cs="Arial"/>
          <w:i/>
          <w:sz w:val="22"/>
          <w:szCs w:val="22"/>
        </w:rPr>
      </w:pPr>
    </w:p>
    <w:p w:rsidR="00D83249" w:rsidRPr="00EE6670" w:rsidRDefault="00D83249" w:rsidP="00D83249">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Artículo 1. </w:t>
      </w:r>
      <w:r>
        <w:rPr>
          <w:rFonts w:ascii="Bookman Old Style" w:hAnsi="Bookman Old Style" w:cs="Arial"/>
          <w:i/>
          <w:sz w:val="22"/>
          <w:szCs w:val="22"/>
        </w:rPr>
        <w:t xml:space="preserve">(….) </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D83249" w:rsidRPr="00EE6670" w:rsidRDefault="00D83249" w:rsidP="00D83249">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D83249" w:rsidRPr="006B1C94" w:rsidTr="00AC4A3F">
        <w:trPr>
          <w:jc w:val="center"/>
        </w:trPr>
        <w:tc>
          <w:tcPr>
            <w:tcW w:w="2408" w:type="dxa"/>
            <w:shd w:val="clear" w:color="auto" w:fill="auto"/>
            <w:vAlign w:val="center"/>
          </w:tcPr>
          <w:p w:rsidR="00D83249" w:rsidRPr="006B1C94" w:rsidRDefault="00D83249" w:rsidP="00AC4A3F">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D83249" w:rsidRPr="006B1C94" w:rsidRDefault="00D83249" w:rsidP="00AC4A3F">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D83249" w:rsidRPr="006B1C94" w:rsidRDefault="00D83249" w:rsidP="00AC4A3F">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D83249" w:rsidRDefault="00D83249" w:rsidP="00D83249">
      <w:pPr>
        <w:pStyle w:val="Textoindependiente"/>
        <w:rPr>
          <w:sz w:val="22"/>
          <w:szCs w:val="22"/>
        </w:rPr>
      </w:pPr>
    </w:p>
    <w:p w:rsidR="00D83249" w:rsidRPr="00EE6670" w:rsidRDefault="00D83249" w:rsidP="00D83249">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D83249" w:rsidRDefault="00D83249" w:rsidP="00D83249">
      <w:pPr>
        <w:pStyle w:val="Textoindependiente2"/>
        <w:spacing w:after="0" w:line="240" w:lineRule="auto"/>
        <w:ind w:left="-142" w:right="-142"/>
        <w:jc w:val="both"/>
        <w:rPr>
          <w:rFonts w:ascii="Bookman Old Style" w:hAnsi="Bookman Old Style"/>
          <w:szCs w:val="27"/>
        </w:rPr>
      </w:pPr>
    </w:p>
    <w:p w:rsidR="00D83249" w:rsidRDefault="00D83249" w:rsidP="00D8324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D83249" w:rsidRDefault="00D83249" w:rsidP="00D83249">
      <w:pPr>
        <w:pStyle w:val="Textoindependiente2"/>
        <w:spacing w:after="0" w:line="240" w:lineRule="auto"/>
        <w:ind w:left="0" w:right="-142"/>
        <w:jc w:val="both"/>
        <w:rPr>
          <w:rFonts w:ascii="Bookman Old Style" w:hAnsi="Bookman Old Style"/>
          <w:szCs w:val="27"/>
        </w:rPr>
      </w:pPr>
    </w:p>
    <w:p w:rsidR="00D83249" w:rsidRDefault="00B64E92" w:rsidP="00745669">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4075" cy="933450"/>
            <wp:effectExtent l="0" t="0" r="9525"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p w:rsidR="00D83249" w:rsidRDefault="00D83249" w:rsidP="00D83249">
      <w:pPr>
        <w:pStyle w:val="Textoindependiente2"/>
        <w:spacing w:after="0" w:line="240" w:lineRule="auto"/>
        <w:ind w:left="-142" w:right="-142"/>
        <w:jc w:val="both"/>
        <w:rPr>
          <w:rFonts w:ascii="Bookman Old Style" w:hAnsi="Bookman Old Style"/>
          <w:szCs w:val="27"/>
        </w:rPr>
      </w:pPr>
    </w:p>
    <w:p w:rsidR="00543721" w:rsidRDefault="00543721" w:rsidP="005437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543721" w:rsidRDefault="00543721" w:rsidP="00543721">
      <w:pPr>
        <w:pStyle w:val="Textoindependiente2"/>
        <w:spacing w:after="0" w:line="240" w:lineRule="auto"/>
        <w:ind w:left="0" w:right="-142"/>
        <w:jc w:val="both"/>
        <w:rPr>
          <w:rFonts w:ascii="Bookman Old Style" w:hAnsi="Bookman Old Style"/>
          <w:szCs w:val="27"/>
        </w:rPr>
      </w:pPr>
    </w:p>
    <w:p w:rsidR="00634DC7" w:rsidRDefault="00543721" w:rsidP="00634DC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en atención a lo expuesto por parte de la Superintendencia de Servicios Públicos Domiciliarios como resultado del decretó y práctica de pruebas llevado a cabo por la CREG, se establece la procedencia de modificar la Resolución CREG 075 de 2016 en relación con la definición de la capacidad de compra para la empresa Compañía de Servicios Públicos S.A. E.S.P.</w:t>
      </w:r>
    </w:p>
    <w:p w:rsidR="00634DC7" w:rsidRDefault="00634DC7" w:rsidP="00634DC7">
      <w:pPr>
        <w:pStyle w:val="Textoindependiente2"/>
        <w:spacing w:after="0" w:line="240" w:lineRule="auto"/>
        <w:ind w:left="-142" w:right="-142"/>
        <w:jc w:val="both"/>
        <w:rPr>
          <w:rFonts w:ascii="Bookman Old Style" w:hAnsi="Bookman Old Style"/>
          <w:szCs w:val="27"/>
        </w:rPr>
      </w:pPr>
    </w:p>
    <w:p w:rsidR="00634DC7" w:rsidRDefault="00634DC7" w:rsidP="00634DC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Finalmente, en cuanto al recurso de apelación se debe establece que el mismo no es procedente en los términos del artículo 113 de la Ley 142 de 1994 el cual establece lo siguiente:</w:t>
      </w:r>
    </w:p>
    <w:p w:rsidR="00634DC7" w:rsidRDefault="00634DC7" w:rsidP="00634DC7">
      <w:pPr>
        <w:pStyle w:val="Textoindependiente2"/>
        <w:spacing w:after="0" w:line="240" w:lineRule="auto"/>
        <w:ind w:left="-142" w:right="-142"/>
        <w:jc w:val="both"/>
        <w:rPr>
          <w:rFonts w:ascii="Bookman Old Style" w:hAnsi="Bookman Old Style"/>
          <w:szCs w:val="27"/>
        </w:rPr>
      </w:pPr>
    </w:p>
    <w:p w:rsidR="00543721" w:rsidRDefault="00634DC7" w:rsidP="00634DC7">
      <w:pPr>
        <w:ind w:left="284" w:right="284"/>
        <w:jc w:val="both"/>
        <w:rPr>
          <w:rFonts w:ascii="Bookman Old Style" w:hAnsi="Bookman Old Style"/>
          <w:sz w:val="22"/>
          <w:szCs w:val="22"/>
        </w:rPr>
      </w:pPr>
      <w:r>
        <w:rPr>
          <w:rFonts w:ascii="Bookman Old Style" w:hAnsi="Bookman Old Style"/>
          <w:sz w:val="22"/>
          <w:szCs w:val="22"/>
        </w:rPr>
        <w:t>“</w:t>
      </w:r>
      <w:r w:rsidRPr="00F630ED">
        <w:rPr>
          <w:rFonts w:ascii="Bookman Old Style" w:hAnsi="Bookman Old Style"/>
          <w:b/>
          <w:sz w:val="22"/>
          <w:szCs w:val="22"/>
        </w:rPr>
        <w:t>Artículo 113. Recursos contra las decisiones que ponen fin a las actuaciones administrativas.</w:t>
      </w:r>
      <w:r w:rsidRPr="00F630ED">
        <w:rPr>
          <w:rFonts w:ascii="Bookman Old Style" w:hAnsi="Bookman Old Style"/>
          <w:sz w:val="22"/>
          <w:szCs w:val="22"/>
        </w:rPr>
        <w:t xml:space="preserve"> </w:t>
      </w:r>
      <w:r w:rsidRPr="00F630ED">
        <w:rPr>
          <w:rFonts w:ascii="Bookman Old Style" w:hAnsi="Bookman Old Style"/>
          <w:sz w:val="22"/>
          <w:szCs w:val="22"/>
          <w:u w:val="single"/>
        </w:rPr>
        <w:t>Salvo esta Ley disponga otra cosa</w:t>
      </w:r>
      <w:r w:rsidRPr="00F630ED">
        <w:rPr>
          <w:rFonts w:ascii="Bookman Old Style" w:hAnsi="Bookman Old Style"/>
          <w:sz w:val="22"/>
          <w:szCs w:val="22"/>
        </w:rPr>
        <w:t xml:space="preserve">, </w:t>
      </w:r>
      <w:r w:rsidRPr="00F630ED">
        <w:rPr>
          <w:rFonts w:ascii="Bookman Old Style" w:hAnsi="Bookman Old Style"/>
          <w:sz w:val="22"/>
          <w:szCs w:val="22"/>
          <w:u w:val="single"/>
        </w:rPr>
        <w:t>contra las decisiones de</w:t>
      </w:r>
      <w:r w:rsidRPr="00F630ED">
        <w:rPr>
          <w:rFonts w:ascii="Bookman Old Style" w:hAnsi="Bookman Old Style"/>
          <w:sz w:val="22"/>
          <w:szCs w:val="22"/>
        </w:rPr>
        <w:t xml:space="preserve"> los personeros, de los alcaldes, de los gobernadores, de los ministros, del Superintendente de Servicios Públicos, y de </w:t>
      </w:r>
      <w:r w:rsidRPr="00F630ED">
        <w:rPr>
          <w:rFonts w:ascii="Bookman Old Style" w:hAnsi="Bookman Old Style"/>
          <w:sz w:val="22"/>
          <w:szCs w:val="22"/>
          <w:u w:val="single"/>
        </w:rPr>
        <w:t>las comisiones de regulación que pongan fin a las actuaciones administrativas sólo cabe el recurso de reposición</w:t>
      </w:r>
      <w:r w:rsidRPr="00F630ED">
        <w:rPr>
          <w:rFonts w:ascii="Bookman Old Style" w:hAnsi="Bookman Old Style"/>
          <w:sz w:val="22"/>
          <w:szCs w:val="22"/>
        </w:rPr>
        <w:t>, que podrá interponerse dentro de los cinco días siguientes a la notificación o publicación.</w:t>
      </w:r>
      <w:r>
        <w:rPr>
          <w:rFonts w:ascii="Bookman Old Style" w:hAnsi="Bookman Old Style"/>
          <w:sz w:val="22"/>
          <w:szCs w:val="22"/>
        </w:rPr>
        <w:t>” (Resaltado fuera de texto)</w:t>
      </w:r>
    </w:p>
    <w:p w:rsidR="00634DC7" w:rsidRPr="00634DC7" w:rsidRDefault="00634DC7" w:rsidP="00634DC7">
      <w:pPr>
        <w:ind w:left="284" w:right="284"/>
        <w:jc w:val="both"/>
        <w:rPr>
          <w:rFonts w:ascii="Bookman Old Style" w:hAnsi="Bookman Old Style"/>
          <w:sz w:val="22"/>
          <w:szCs w:val="22"/>
        </w:rPr>
      </w:pPr>
    </w:p>
    <w:p w:rsidR="00543721" w:rsidRPr="003E59E7" w:rsidRDefault="00543721" w:rsidP="00543721">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7A0C7B">
        <w:rPr>
          <w:rFonts w:ascii="Bookman Old Style" w:hAnsi="Bookman Old Style"/>
          <w:szCs w:val="27"/>
        </w:rPr>
        <w:t>746</w:t>
      </w:r>
      <w:r w:rsidRPr="003E59E7">
        <w:rPr>
          <w:rFonts w:ascii="Bookman Old Style" w:hAnsi="Bookman Old Style"/>
          <w:szCs w:val="27"/>
        </w:rPr>
        <w:t xml:space="preserve"> del </w:t>
      </w:r>
      <w:r w:rsidR="007A0C7B">
        <w:rPr>
          <w:rFonts w:ascii="Bookman Old Style" w:hAnsi="Bookman Old Style"/>
          <w:szCs w:val="27"/>
        </w:rPr>
        <w:t>21</w:t>
      </w:r>
      <w:r w:rsidRPr="003E59E7">
        <w:rPr>
          <w:rFonts w:ascii="Bookman Old Style" w:hAnsi="Bookman Old Style"/>
          <w:szCs w:val="27"/>
        </w:rPr>
        <w:t xml:space="preserve"> de </w:t>
      </w:r>
      <w:r w:rsidR="007A0C7B">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543721" w:rsidRDefault="00543721" w:rsidP="00543721">
      <w:pPr>
        <w:pStyle w:val="Textoindependiente2"/>
        <w:spacing w:after="0" w:line="240" w:lineRule="auto"/>
        <w:ind w:left="-142" w:right="-142"/>
        <w:jc w:val="both"/>
        <w:rPr>
          <w:rFonts w:ascii="Bookman Old Style" w:hAnsi="Bookman Old Style"/>
          <w:szCs w:val="27"/>
        </w:rPr>
      </w:pPr>
    </w:p>
    <w:p w:rsidR="00543721" w:rsidRPr="003234E2" w:rsidRDefault="00543721" w:rsidP="00543721">
      <w:pPr>
        <w:tabs>
          <w:tab w:val="right" w:pos="9498"/>
        </w:tabs>
        <w:ind w:left="0" w:right="-142"/>
        <w:jc w:val="both"/>
        <w:rPr>
          <w:rFonts w:ascii="Bookman Old Style" w:hAnsi="Bookman Old Style"/>
          <w:bCs/>
          <w:sz w:val="20"/>
        </w:rPr>
      </w:pPr>
    </w:p>
    <w:p w:rsidR="00543721" w:rsidRPr="00BB7AEA" w:rsidRDefault="00543721" w:rsidP="00543721">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Pr>
          <w:rFonts w:ascii="Bookman Old Style" w:hAnsi="Bookman Old Style" w:cs="Arial"/>
        </w:rPr>
        <w:t>:</w:t>
      </w:r>
    </w:p>
    <w:p w:rsidR="00543721" w:rsidRDefault="00543721" w:rsidP="00543721">
      <w:pPr>
        <w:tabs>
          <w:tab w:val="right" w:pos="9498"/>
        </w:tabs>
        <w:ind w:left="0" w:right="-142"/>
        <w:jc w:val="both"/>
        <w:rPr>
          <w:rFonts w:ascii="Bookman Old Style" w:hAnsi="Bookman Old Style" w:cs="Arial"/>
          <w:b/>
          <w:spacing w:val="-3"/>
          <w:sz w:val="20"/>
        </w:rPr>
      </w:pPr>
    </w:p>
    <w:p w:rsidR="00757F63" w:rsidRDefault="00757F63" w:rsidP="00543721">
      <w:pPr>
        <w:tabs>
          <w:tab w:val="right" w:pos="9498"/>
        </w:tabs>
        <w:ind w:left="0" w:right="-142"/>
        <w:jc w:val="both"/>
        <w:rPr>
          <w:rFonts w:ascii="Bookman Old Style" w:hAnsi="Bookman Old Style" w:cs="Arial"/>
          <w:b/>
          <w:spacing w:val="-3"/>
          <w:sz w:val="20"/>
        </w:rPr>
      </w:pPr>
    </w:p>
    <w:p w:rsidR="002E4038" w:rsidRPr="003234E2" w:rsidRDefault="002E4038" w:rsidP="00543721">
      <w:pPr>
        <w:tabs>
          <w:tab w:val="right" w:pos="9498"/>
        </w:tabs>
        <w:ind w:left="0" w:right="-142"/>
        <w:jc w:val="both"/>
        <w:rPr>
          <w:rFonts w:ascii="Bookman Old Style" w:hAnsi="Bookman Old Style" w:cs="Arial"/>
          <w:b/>
          <w:spacing w:val="-3"/>
          <w:sz w:val="20"/>
        </w:rPr>
      </w:pPr>
    </w:p>
    <w:p w:rsidR="00745669" w:rsidRDefault="00543721" w:rsidP="00543721">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745669" w:rsidRPr="00745669">
        <w:rPr>
          <w:rFonts w:ascii="Bookman Old Style" w:hAnsi="Bookman Old Style"/>
          <w:szCs w:val="27"/>
        </w:rPr>
        <w:t xml:space="preserve">Rechazar </w:t>
      </w:r>
      <w:r w:rsidR="00745669">
        <w:rPr>
          <w:rFonts w:ascii="Bookman Old Style" w:hAnsi="Bookman Old Style"/>
          <w:szCs w:val="27"/>
        </w:rPr>
        <w:t xml:space="preserve">la solicitud de práctica de una prueba pericial realizada por la Compañía de Servicios Públicos </w:t>
      </w:r>
      <w:proofErr w:type="spellStart"/>
      <w:r w:rsidR="00745669">
        <w:rPr>
          <w:rFonts w:ascii="Bookman Old Style" w:hAnsi="Bookman Old Style"/>
          <w:szCs w:val="27"/>
        </w:rPr>
        <w:t>Codegas</w:t>
      </w:r>
      <w:proofErr w:type="spellEnd"/>
      <w:r w:rsidR="00745669">
        <w:rPr>
          <w:rFonts w:ascii="Bookman Old Style" w:hAnsi="Bookman Old Style"/>
          <w:szCs w:val="27"/>
        </w:rPr>
        <w:t xml:space="preserve"> S.A. E.S</w:t>
      </w:r>
      <w:r w:rsidR="002E4038">
        <w:rPr>
          <w:rFonts w:ascii="Bookman Old Style" w:hAnsi="Bookman Old Style"/>
          <w:szCs w:val="27"/>
        </w:rPr>
        <w:t>.</w:t>
      </w:r>
      <w:r w:rsidR="00745669">
        <w:rPr>
          <w:rFonts w:ascii="Bookman Old Style" w:hAnsi="Bookman Old Style"/>
          <w:szCs w:val="27"/>
        </w:rPr>
        <w:t>P.</w:t>
      </w:r>
      <w:r w:rsidR="00745669" w:rsidRPr="00745669">
        <w:rPr>
          <w:rFonts w:ascii="Bookman Old Style" w:hAnsi="Bookman Old Style"/>
          <w:szCs w:val="27"/>
        </w:rPr>
        <w:t xml:space="preserve"> con base en lo dispuesto en el artículo 40 del Código de Procedimiento Administrativo y de lo Contencioso Administrativo y el artículo 178 del Código de Procedimiento Civil.</w:t>
      </w:r>
    </w:p>
    <w:p w:rsidR="002E4038" w:rsidRDefault="002E4038" w:rsidP="00543721">
      <w:pPr>
        <w:pStyle w:val="Textoindependiente2"/>
        <w:spacing w:after="0" w:line="240" w:lineRule="auto"/>
        <w:ind w:left="-142" w:right="-142"/>
        <w:jc w:val="both"/>
        <w:rPr>
          <w:rFonts w:ascii="Bookman Old Style" w:hAnsi="Bookman Old Style"/>
          <w:szCs w:val="27"/>
        </w:rPr>
      </w:pPr>
    </w:p>
    <w:p w:rsidR="005150C7" w:rsidRDefault="00745669" w:rsidP="00543721">
      <w:pPr>
        <w:pStyle w:val="Textoindependiente2"/>
        <w:spacing w:after="0" w:line="240" w:lineRule="auto"/>
        <w:ind w:left="-142" w:right="-142"/>
        <w:jc w:val="both"/>
        <w:rPr>
          <w:rFonts w:ascii="Bookman Old Style" w:hAnsi="Bookman Old Style"/>
          <w:szCs w:val="27"/>
        </w:rPr>
      </w:pPr>
      <w:r w:rsidRPr="00745669">
        <w:rPr>
          <w:rFonts w:ascii="Bookman Old Style" w:hAnsi="Bookman Old Style"/>
          <w:b/>
          <w:szCs w:val="27"/>
        </w:rPr>
        <w:t>Artículo 2.</w:t>
      </w:r>
      <w:r>
        <w:rPr>
          <w:rFonts w:ascii="Bookman Old Style" w:hAnsi="Bookman Old Style"/>
          <w:szCs w:val="27"/>
        </w:rPr>
        <w:t xml:space="preserve"> </w:t>
      </w:r>
      <w:r w:rsidR="005150C7">
        <w:rPr>
          <w:rFonts w:ascii="Bookman Old Style" w:hAnsi="Bookman Old Style"/>
          <w:szCs w:val="27"/>
        </w:rPr>
        <w:t>Negar por improcedente</w:t>
      </w:r>
      <w:r w:rsidR="005150C7" w:rsidRPr="005150C7">
        <w:rPr>
          <w:rFonts w:ascii="Bookman Old Style" w:hAnsi="Bookman Old Style"/>
          <w:szCs w:val="27"/>
        </w:rPr>
        <w:t xml:space="preserve"> la</w:t>
      </w:r>
      <w:r w:rsidR="005150C7">
        <w:rPr>
          <w:rFonts w:ascii="Bookman Old Style" w:hAnsi="Bookman Old Style"/>
          <w:szCs w:val="27"/>
        </w:rPr>
        <w:t xml:space="preserve"> solicitud listada en el numeral</w:t>
      </w:r>
      <w:r w:rsidR="005150C7" w:rsidRPr="005150C7">
        <w:rPr>
          <w:rFonts w:ascii="Bookman Old Style" w:hAnsi="Bookman Old Style"/>
          <w:szCs w:val="27"/>
        </w:rPr>
        <w:t xml:space="preserve"> 1</w:t>
      </w:r>
      <w:r w:rsidR="005150C7">
        <w:rPr>
          <w:rFonts w:ascii="Bookman Old Style" w:hAnsi="Bookman Old Style"/>
          <w:szCs w:val="27"/>
        </w:rPr>
        <w:t xml:space="preserve"> </w:t>
      </w:r>
      <w:r w:rsidR="005150C7" w:rsidRPr="005150C7">
        <w:rPr>
          <w:rFonts w:ascii="Bookman Old Style" w:hAnsi="Bookman Old Style"/>
          <w:szCs w:val="27"/>
        </w:rPr>
        <w:t xml:space="preserve">de la presente resolución de acuerdo con las consideraciones </w:t>
      </w:r>
      <w:r>
        <w:rPr>
          <w:rFonts w:ascii="Bookman Old Style" w:hAnsi="Bookman Old Style"/>
          <w:szCs w:val="27"/>
        </w:rPr>
        <w:t xml:space="preserve">aquí </w:t>
      </w:r>
      <w:r w:rsidR="005150C7" w:rsidRPr="005150C7">
        <w:rPr>
          <w:rFonts w:ascii="Bookman Old Style" w:hAnsi="Bookman Old Style"/>
          <w:szCs w:val="27"/>
        </w:rPr>
        <w:t>expuestas.</w:t>
      </w:r>
    </w:p>
    <w:p w:rsidR="005150C7" w:rsidRDefault="005150C7" w:rsidP="00745669">
      <w:pPr>
        <w:pStyle w:val="Textoindependiente2"/>
        <w:spacing w:after="0" w:line="240" w:lineRule="auto"/>
        <w:ind w:left="0" w:right="-142"/>
        <w:jc w:val="both"/>
        <w:rPr>
          <w:rFonts w:ascii="Bookman Old Style" w:hAnsi="Bookman Old Style"/>
          <w:szCs w:val="27"/>
        </w:rPr>
      </w:pPr>
    </w:p>
    <w:p w:rsidR="00543721" w:rsidRDefault="00745669" w:rsidP="00543721">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3</w:t>
      </w:r>
      <w:r w:rsidR="0009092F" w:rsidRPr="0009092F">
        <w:rPr>
          <w:rFonts w:ascii="Bookman Old Style" w:hAnsi="Bookman Old Style"/>
          <w:b/>
          <w:szCs w:val="27"/>
        </w:rPr>
        <w:t>.</w:t>
      </w:r>
      <w:r w:rsidR="0009092F">
        <w:rPr>
          <w:rFonts w:ascii="Bookman Old Style" w:hAnsi="Bookman Old Style"/>
          <w:szCs w:val="27"/>
        </w:rPr>
        <w:t xml:space="preserve"> </w:t>
      </w:r>
      <w:r w:rsidR="00543721">
        <w:rPr>
          <w:rFonts w:ascii="Bookman Old Style" w:hAnsi="Bookman Old Style"/>
          <w:szCs w:val="27"/>
        </w:rPr>
        <w:t>Modificar el artículo 1 de la Resolución CREG 075 de 2016 de la siguiente forma:</w:t>
      </w:r>
    </w:p>
    <w:p w:rsidR="00543721" w:rsidRDefault="00543721" w:rsidP="00543721">
      <w:pPr>
        <w:pStyle w:val="Textoindependiente2"/>
        <w:spacing w:after="0" w:line="240" w:lineRule="auto"/>
        <w:ind w:left="-142" w:right="-142"/>
        <w:jc w:val="both"/>
        <w:rPr>
          <w:rFonts w:ascii="Bookman Old Style" w:hAnsi="Bookman Old Style"/>
          <w:szCs w:val="27"/>
        </w:rPr>
      </w:pPr>
    </w:p>
    <w:p w:rsidR="00757F63" w:rsidRDefault="00757F63" w:rsidP="00543721">
      <w:pPr>
        <w:pStyle w:val="Textoindependiente2"/>
        <w:spacing w:after="0" w:line="240" w:lineRule="auto"/>
        <w:ind w:left="-142" w:right="-142"/>
        <w:jc w:val="both"/>
        <w:rPr>
          <w:rFonts w:ascii="Bookman Old Style" w:hAnsi="Bookman Old Style"/>
          <w:szCs w:val="27"/>
        </w:rPr>
      </w:pPr>
    </w:p>
    <w:p w:rsidR="00543721" w:rsidRDefault="00543721" w:rsidP="00543721">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lastRenderedPageBreak/>
        <w:t>La siguiente corresponde a la Capacidad de Compra para cada uno de los códigos SUI de las empresas:</w:t>
      </w:r>
    </w:p>
    <w:p w:rsidR="00543721" w:rsidRDefault="00543721" w:rsidP="00543721">
      <w:pPr>
        <w:pStyle w:val="Textoindependiente2"/>
        <w:spacing w:after="0" w:line="240" w:lineRule="auto"/>
        <w:ind w:left="-142" w:right="-142"/>
        <w:jc w:val="both"/>
        <w:rPr>
          <w:rFonts w:ascii="Bookman Old Style" w:hAnsi="Bookman Old Style"/>
          <w:szCs w:val="27"/>
        </w:rPr>
      </w:pPr>
    </w:p>
    <w:p w:rsidR="002E4038" w:rsidRDefault="002E4038" w:rsidP="00543721">
      <w:pPr>
        <w:pStyle w:val="Textoindependiente2"/>
        <w:spacing w:after="0" w:line="240" w:lineRule="auto"/>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543721" w:rsidRPr="00C139AB" w:rsidTr="00AC4A3F">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3721" w:rsidRPr="00C139AB" w:rsidRDefault="00543721" w:rsidP="00B64E92">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543721" w:rsidRPr="00C139AB" w:rsidRDefault="00543721" w:rsidP="00B64E92">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543721" w:rsidRPr="00C139AB" w:rsidRDefault="00543721" w:rsidP="00B64E92">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Capacidad de compra</w:t>
            </w:r>
            <w:r>
              <w:rPr>
                <w:rFonts w:ascii="Bookman Old Style" w:hAnsi="Bookman Old Style"/>
                <w:b/>
                <w:bCs/>
                <w:color w:val="000000"/>
                <w:sz w:val="18"/>
                <w:szCs w:val="18"/>
                <w:lang w:eastAsia="es-CO"/>
              </w:rPr>
              <w:t xml:space="preserve">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543721" w:rsidRPr="00FB4BC2" w:rsidTr="00B64E92">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721" w:rsidRPr="00E16D13" w:rsidRDefault="00543721" w:rsidP="00B64E92">
            <w:pPr>
              <w:ind w:left="0"/>
              <w:rPr>
                <w:rFonts w:ascii="Bookman Old Style" w:hAnsi="Bookman Old Style"/>
                <w:sz w:val="18"/>
                <w:szCs w:val="18"/>
              </w:rPr>
            </w:pPr>
            <w:r>
              <w:rPr>
                <w:rFonts w:ascii="Bookman Old Style" w:hAnsi="Bookman Old Style"/>
                <w:sz w:val="18"/>
                <w:szCs w:val="18"/>
              </w:rPr>
              <w:t>3358</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543721" w:rsidRPr="00E16D13" w:rsidRDefault="00543721" w:rsidP="00B64E92">
            <w:pPr>
              <w:ind w:left="0"/>
              <w:rPr>
                <w:rFonts w:ascii="Bookman Old Style" w:hAnsi="Bookman Old Style"/>
                <w:sz w:val="18"/>
                <w:szCs w:val="18"/>
              </w:rPr>
            </w:pPr>
            <w:r>
              <w:rPr>
                <w:rFonts w:ascii="Bookman Old Style" w:hAnsi="Bookman Old Style"/>
                <w:sz w:val="18"/>
                <w:szCs w:val="18"/>
              </w:rPr>
              <w:t>COMPAÑÍA DE SERVICIOS PÚBLICOS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543721" w:rsidRPr="00E16D13" w:rsidRDefault="00B64E92" w:rsidP="00B64E92">
            <w:pPr>
              <w:ind w:left="0"/>
              <w:rPr>
                <w:rFonts w:ascii="Bookman Old Style" w:hAnsi="Bookman Old Style"/>
                <w:sz w:val="18"/>
                <w:szCs w:val="18"/>
              </w:rPr>
            </w:pPr>
            <w:r>
              <w:rPr>
                <w:rFonts w:ascii="Bookman Old Style" w:hAnsi="Bookman Old Style"/>
                <w:sz w:val="18"/>
                <w:szCs w:val="18"/>
              </w:rPr>
              <w:t>3.254.594</w:t>
            </w:r>
          </w:p>
        </w:tc>
      </w:tr>
    </w:tbl>
    <w:p w:rsidR="00543721" w:rsidRDefault="00543721" w:rsidP="00543721">
      <w:pPr>
        <w:tabs>
          <w:tab w:val="right" w:pos="9498"/>
        </w:tabs>
        <w:ind w:left="0" w:right="-142"/>
        <w:jc w:val="both"/>
        <w:rPr>
          <w:rFonts w:ascii="Bookman Old Style" w:hAnsi="Bookman Old Style" w:cs="Arial"/>
          <w:b/>
          <w:bCs/>
          <w:color w:val="666666"/>
          <w:sz w:val="27"/>
          <w:szCs w:val="27"/>
          <w:lang w:val="es-CO" w:eastAsia="es-CO"/>
        </w:rPr>
      </w:pPr>
    </w:p>
    <w:p w:rsidR="002E4038" w:rsidRDefault="002E4038" w:rsidP="00543721">
      <w:pPr>
        <w:tabs>
          <w:tab w:val="right" w:pos="9498"/>
        </w:tabs>
        <w:ind w:left="0" w:right="-142"/>
        <w:jc w:val="both"/>
        <w:rPr>
          <w:rFonts w:ascii="Bookman Old Style" w:hAnsi="Bookman Old Style" w:cs="Arial"/>
          <w:b/>
          <w:bCs/>
          <w:color w:val="666666"/>
          <w:sz w:val="27"/>
          <w:szCs w:val="27"/>
          <w:lang w:val="es-CO" w:eastAsia="es-CO"/>
        </w:rPr>
      </w:pPr>
    </w:p>
    <w:p w:rsidR="00543721" w:rsidRDefault="002E4038" w:rsidP="002E4038">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4</w:t>
      </w:r>
      <w:r w:rsidR="00543721" w:rsidRPr="003E59E7">
        <w:rPr>
          <w:rFonts w:ascii="Bookman Old Style" w:hAnsi="Bookman Old Style"/>
          <w:b/>
          <w:szCs w:val="27"/>
        </w:rPr>
        <w:t>.</w:t>
      </w:r>
      <w:r w:rsidR="00543721">
        <w:rPr>
          <w:rFonts w:ascii="Bookman Old Style" w:hAnsi="Bookman Old Style"/>
          <w:szCs w:val="27"/>
        </w:rPr>
        <w:t xml:space="preserve"> Modificar el Anexo de la </w:t>
      </w:r>
      <w:r w:rsidR="00543721" w:rsidRPr="00E16D13">
        <w:rPr>
          <w:rFonts w:ascii="Bookman Old Style" w:hAnsi="Bookman Old Style"/>
          <w:szCs w:val="27"/>
        </w:rPr>
        <w:t>Resolución CREG 075 de 2016 de la siguiente forma:</w:t>
      </w:r>
    </w:p>
    <w:p w:rsidR="00B64E92" w:rsidRPr="00CD74B5" w:rsidRDefault="00B64E92" w:rsidP="00B64E92">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B64E92" w:rsidRDefault="00B64E92" w:rsidP="00B64E92">
      <w:pPr>
        <w:jc w:val="both"/>
        <w:rPr>
          <w:rFonts w:ascii="Bookman Old Style" w:hAnsi="Bookman Old Style"/>
        </w:rPr>
      </w:pPr>
    </w:p>
    <w:p w:rsidR="00B64E92" w:rsidRDefault="00B64E92" w:rsidP="00B64E92">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B64E92" w:rsidRDefault="00B64E92" w:rsidP="00B64E92">
      <w:pPr>
        <w:jc w:val="both"/>
        <w:rPr>
          <w:rFonts w:ascii="Bookman Old Style" w:hAnsi="Bookman Old Style"/>
        </w:rPr>
      </w:pPr>
    </w:p>
    <w:p w:rsidR="00B64E92" w:rsidRDefault="00B64E92" w:rsidP="00B64E92">
      <w:pPr>
        <w:pStyle w:val="Prrafodelista"/>
        <w:numPr>
          <w:ilvl w:val="0"/>
          <w:numId w:val="42"/>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B64E92">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B64E92" w:rsidRPr="001C513B" w:rsidRDefault="00B64E92" w:rsidP="00B64E92">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B64E92" w:rsidRPr="00CF4873" w:rsidTr="002201BD">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B64E92" w:rsidRPr="00313D63" w:rsidRDefault="00B64E92" w:rsidP="00B64E92">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B64E92" w:rsidRPr="00B64E92" w:rsidRDefault="00B64E92" w:rsidP="00B64E92">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B64E92" w:rsidRPr="00CF4873" w:rsidTr="002201BD">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B64E92" w:rsidRPr="0093479E" w:rsidRDefault="00B64E92" w:rsidP="00B64E92">
            <w:pPr>
              <w:ind w:left="0"/>
              <w:jc w:val="center"/>
              <w:rPr>
                <w:rFonts w:ascii="Bookman Old Style" w:hAnsi="Bookman Old Style"/>
                <w:color w:val="000000"/>
                <w:sz w:val="18"/>
                <w:szCs w:val="20"/>
              </w:rPr>
            </w:pPr>
            <w:r>
              <w:rPr>
                <w:rFonts w:ascii="Bookman Old Style" w:hAnsi="Bookman Old Style"/>
                <w:color w:val="000000"/>
                <w:sz w:val="18"/>
                <w:szCs w:val="20"/>
              </w:rPr>
              <w:t>3358</w:t>
            </w:r>
          </w:p>
        </w:tc>
        <w:tc>
          <w:tcPr>
            <w:tcW w:w="868"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704"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1037"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c>
          <w:tcPr>
            <w:tcW w:w="1266" w:type="dxa"/>
            <w:tcBorders>
              <w:top w:val="nil"/>
              <w:left w:val="nil"/>
              <w:bottom w:val="single" w:sz="4" w:space="0" w:color="auto"/>
              <w:right w:val="single" w:sz="4" w:space="0" w:color="auto"/>
            </w:tcBorders>
            <w:shd w:val="clear" w:color="auto" w:fill="auto"/>
            <w:noWrap/>
          </w:tcPr>
          <w:p w:rsidR="00B64E92" w:rsidRDefault="00B64E92" w:rsidP="00B64E92">
            <w:pPr>
              <w:ind w:left="0"/>
              <w:jc w:val="center"/>
            </w:pPr>
            <w:r w:rsidRPr="00211461">
              <w:rPr>
                <w:rFonts w:ascii="Bookman Old Style" w:hAnsi="Bookman Old Style"/>
                <w:color w:val="000000"/>
                <w:sz w:val="18"/>
                <w:szCs w:val="18"/>
              </w:rPr>
              <w:t>NR*</w:t>
            </w:r>
          </w:p>
        </w:tc>
      </w:tr>
    </w:tbl>
    <w:p w:rsidR="00B64E92" w:rsidRDefault="00B64E92" w:rsidP="00B64E92">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B64E92" w:rsidRPr="00757F63" w:rsidRDefault="00B64E92" w:rsidP="00B64E92">
      <w:pPr>
        <w:jc w:val="center"/>
        <w:rPr>
          <w:rFonts w:ascii="Bookman Old Style" w:hAnsi="Bookman Old Style"/>
          <w:sz w:val="36"/>
        </w:rPr>
      </w:pPr>
    </w:p>
    <w:p w:rsidR="00B64E92" w:rsidRPr="00757F63" w:rsidRDefault="00B64E92" w:rsidP="00B64E92">
      <w:pPr>
        <w:pStyle w:val="Prrafodelista"/>
        <w:numPr>
          <w:ilvl w:val="0"/>
          <w:numId w:val="42"/>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B64E92">
        <w:rPr>
          <w:rFonts w:ascii="Bookman Old Style" w:hAnsi="Bookman Old Style"/>
          <w:iCs/>
          <w:sz w:val="24"/>
          <w:szCs w:val="24"/>
        </w:rPr>
        <w:t xml:space="preserve">, a continuación se muestra el conteo de cilindros por código de presentación para cada uno de los códigos SUI de las empresas. </w:t>
      </w:r>
    </w:p>
    <w:p w:rsidR="00757F63" w:rsidRPr="002E47EE" w:rsidRDefault="00757F63" w:rsidP="00757F63">
      <w:pPr>
        <w:pStyle w:val="Prrafodelista"/>
        <w:ind w:left="720"/>
        <w:contextualSpacing/>
        <w:jc w:val="both"/>
        <w:rPr>
          <w:rFonts w:ascii="Bookman Old Style" w:hAnsi="Bookman Old Style"/>
          <w:sz w:val="24"/>
          <w:szCs w:val="24"/>
        </w:rPr>
      </w:pPr>
    </w:p>
    <w:tbl>
      <w:tblPr>
        <w:tblStyle w:val="Tablaconcuadrcula"/>
        <w:tblW w:w="0" w:type="auto"/>
        <w:jc w:val="center"/>
        <w:tblLook w:val="04A0" w:firstRow="1" w:lastRow="0" w:firstColumn="1" w:lastColumn="0" w:noHBand="0" w:noVBand="1"/>
      </w:tblPr>
      <w:tblGrid>
        <w:gridCol w:w="1473"/>
        <w:gridCol w:w="1417"/>
      </w:tblGrid>
      <w:tr w:rsidR="00B64E92" w:rsidRPr="00060097" w:rsidTr="00757F63">
        <w:trPr>
          <w:trHeight w:val="443"/>
          <w:tblHeader/>
          <w:jc w:val="center"/>
        </w:trPr>
        <w:tc>
          <w:tcPr>
            <w:tcW w:w="1473" w:type="dxa"/>
            <w:vAlign w:val="center"/>
          </w:tcPr>
          <w:p w:rsidR="00B64E92" w:rsidRPr="00060097" w:rsidRDefault="00B64E92" w:rsidP="00B64E92">
            <w:pPr>
              <w:ind w:left="61"/>
              <w:jc w:val="center"/>
              <w:rPr>
                <w:rFonts w:ascii="Bookman Old Style" w:hAnsi="Bookman Old Style"/>
                <w:b/>
                <w:sz w:val="18"/>
                <w:szCs w:val="18"/>
              </w:rPr>
            </w:pPr>
            <w:r w:rsidRPr="00060097">
              <w:rPr>
                <w:rFonts w:ascii="Bookman Old Style" w:hAnsi="Bookman Old Style"/>
                <w:b/>
                <w:sz w:val="18"/>
                <w:szCs w:val="18"/>
              </w:rPr>
              <w:t>Código SUI</w:t>
            </w:r>
          </w:p>
        </w:tc>
        <w:tc>
          <w:tcPr>
            <w:tcW w:w="1417" w:type="dxa"/>
            <w:vAlign w:val="center"/>
          </w:tcPr>
          <w:p w:rsidR="00B64E92" w:rsidRPr="00216D63" w:rsidRDefault="00B64E92" w:rsidP="00B64E92">
            <w:pPr>
              <w:ind w:left="61"/>
              <w:jc w:val="center"/>
              <w:rPr>
                <w:rFonts w:ascii="Bookman Old Style" w:hAnsi="Bookman Old Style"/>
                <w:b/>
                <w:sz w:val="18"/>
                <w:szCs w:val="18"/>
              </w:rPr>
            </w:pPr>
            <w:r>
              <w:rPr>
                <w:rFonts w:ascii="Bookman Old Style" w:hAnsi="Bookman Old Style"/>
                <w:b/>
                <w:sz w:val="18"/>
                <w:szCs w:val="18"/>
              </w:rPr>
              <w:t>3358</w:t>
            </w:r>
          </w:p>
        </w:tc>
      </w:tr>
      <w:tr w:rsidR="00B64E92" w:rsidRPr="00060097" w:rsidTr="002201BD">
        <w:trPr>
          <w:trHeight w:val="443"/>
          <w:jc w:val="center"/>
        </w:trPr>
        <w:tc>
          <w:tcPr>
            <w:tcW w:w="141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lastRenderedPageBreak/>
              <w:t>35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060097" w:rsidRDefault="00B64E92" w:rsidP="00B64E92">
            <w:pPr>
              <w:ind w:left="61"/>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r w:rsidR="00B64E92" w:rsidRPr="00060097" w:rsidTr="00B64E92">
        <w:trPr>
          <w:trHeight w:val="443"/>
          <w:jc w:val="center"/>
        </w:trPr>
        <w:tc>
          <w:tcPr>
            <w:tcW w:w="1473" w:type="dxa"/>
            <w:vAlign w:val="center"/>
          </w:tcPr>
          <w:p w:rsidR="00B64E92" w:rsidRPr="00B64E92" w:rsidRDefault="00B64E92" w:rsidP="00B64E92">
            <w:pPr>
              <w:ind w:left="61"/>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417" w:type="dxa"/>
          </w:tcPr>
          <w:p w:rsidR="00B64E92" w:rsidRDefault="00B64E92" w:rsidP="00B64E92">
            <w:pPr>
              <w:ind w:left="61"/>
              <w:jc w:val="center"/>
            </w:pPr>
            <w:r w:rsidRPr="00DB0EE6">
              <w:rPr>
                <w:rFonts w:ascii="Bookman Old Style" w:hAnsi="Bookman Old Style"/>
                <w:color w:val="000000"/>
                <w:sz w:val="18"/>
                <w:szCs w:val="18"/>
              </w:rPr>
              <w:t>NR*</w:t>
            </w:r>
          </w:p>
        </w:tc>
      </w:tr>
    </w:tbl>
    <w:p w:rsidR="00B64E92" w:rsidRPr="00074962" w:rsidRDefault="00B64E92" w:rsidP="00B64E92">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B64E92" w:rsidRPr="00757F63" w:rsidRDefault="00B64E92" w:rsidP="00B64E92">
      <w:pPr>
        <w:jc w:val="center"/>
        <w:rPr>
          <w:rFonts w:ascii="Bookman Old Style" w:hAnsi="Bookman Old Style"/>
          <w:sz w:val="36"/>
        </w:rPr>
      </w:pPr>
    </w:p>
    <w:p w:rsidR="00B64E92" w:rsidRPr="00B64E92" w:rsidRDefault="00B64E92" w:rsidP="00B64E92">
      <w:pPr>
        <w:pStyle w:val="Prrafodelista"/>
        <w:numPr>
          <w:ilvl w:val="0"/>
          <w:numId w:val="42"/>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B64E92">
        <w:rPr>
          <w:rFonts w:ascii="Bookman Old Style" w:hAnsi="Bookman Old Style"/>
          <w:iCs/>
          <w:sz w:val="24"/>
          <w:szCs w:val="24"/>
        </w:rPr>
        <w:t xml:space="preserve">, a continuación se muestra el conteo de cilindros por código de presentación para cada uno de los códigos SUI de las empresas. </w:t>
      </w:r>
    </w:p>
    <w:p w:rsidR="00B64E92" w:rsidRPr="0089470C" w:rsidRDefault="00B64E92" w:rsidP="00B64E92">
      <w:pPr>
        <w:pStyle w:val="Prrafodelista"/>
        <w:ind w:left="720"/>
        <w:jc w:val="both"/>
        <w:rPr>
          <w:rFonts w:ascii="Bookman Old Style" w:hAnsi="Bookman Old Style"/>
          <w:sz w:val="24"/>
          <w:szCs w:val="24"/>
        </w:rPr>
      </w:pPr>
    </w:p>
    <w:tbl>
      <w:tblPr>
        <w:tblW w:w="6107" w:type="dxa"/>
        <w:jc w:val="center"/>
        <w:tblCellMar>
          <w:left w:w="70" w:type="dxa"/>
          <w:right w:w="70" w:type="dxa"/>
        </w:tblCellMar>
        <w:tblLook w:val="04A0" w:firstRow="1" w:lastRow="0" w:firstColumn="1" w:lastColumn="0" w:noHBand="0" w:noVBand="1"/>
      </w:tblPr>
      <w:tblGrid>
        <w:gridCol w:w="1211"/>
        <w:gridCol w:w="1869"/>
        <w:gridCol w:w="1427"/>
        <w:gridCol w:w="1600"/>
      </w:tblGrid>
      <w:tr w:rsidR="00B64E92" w:rsidRPr="00074962" w:rsidTr="00B64E92">
        <w:trPr>
          <w:trHeight w:val="405"/>
          <w:tblHeader/>
          <w:jc w:val="center"/>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4E92" w:rsidRPr="00074962" w:rsidRDefault="00B64E92" w:rsidP="00B64E92">
            <w:pPr>
              <w:ind w:left="0"/>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B64E92" w:rsidRPr="00B64E92" w:rsidRDefault="00B64E92" w:rsidP="00B64E92">
            <w:pPr>
              <w:ind w:left="0"/>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B64E92" w:rsidRPr="00B64E92" w:rsidRDefault="00B64E92" w:rsidP="00B64E92">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B64E92" w:rsidRPr="00B64E92" w:rsidRDefault="00B64E92" w:rsidP="00B64E92">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B64E92" w:rsidRPr="00074962" w:rsidTr="00B64E92">
        <w:trPr>
          <w:trHeight w:val="311"/>
          <w:jc w:val="center"/>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4E92" w:rsidRPr="0093479E" w:rsidRDefault="00B64E92" w:rsidP="00B64E92">
            <w:pPr>
              <w:ind w:left="0"/>
              <w:jc w:val="center"/>
              <w:rPr>
                <w:rFonts w:ascii="Bookman Old Style" w:hAnsi="Bookman Old Style"/>
                <w:color w:val="000000"/>
                <w:sz w:val="18"/>
                <w:szCs w:val="20"/>
              </w:rPr>
            </w:pPr>
            <w:r>
              <w:rPr>
                <w:rFonts w:ascii="Bookman Old Style" w:hAnsi="Bookman Old Style"/>
                <w:color w:val="000000"/>
                <w:sz w:val="18"/>
                <w:szCs w:val="20"/>
              </w:rPr>
              <w:t>3358</w:t>
            </w: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B64E92" w:rsidRDefault="00B64E92" w:rsidP="00B64E92">
            <w:pPr>
              <w:ind w:left="0"/>
              <w:jc w:val="center"/>
            </w:pPr>
            <w:r w:rsidRPr="00364115">
              <w:rPr>
                <w:rFonts w:ascii="Bookman Old Style" w:hAnsi="Bookman Old Style"/>
                <w:color w:val="000000"/>
                <w:sz w:val="20"/>
                <w:szCs w:val="20"/>
              </w:rPr>
              <w:t>NR*</w:t>
            </w:r>
          </w:p>
        </w:tc>
        <w:tc>
          <w:tcPr>
            <w:tcW w:w="1427" w:type="dxa"/>
            <w:tcBorders>
              <w:top w:val="single" w:sz="4" w:space="0" w:color="auto"/>
              <w:left w:val="nil"/>
              <w:bottom w:val="single" w:sz="4" w:space="0" w:color="auto"/>
              <w:right w:val="single" w:sz="4" w:space="0" w:color="auto"/>
            </w:tcBorders>
            <w:shd w:val="clear" w:color="auto" w:fill="auto"/>
            <w:noWrap/>
            <w:vAlign w:val="center"/>
          </w:tcPr>
          <w:p w:rsidR="00B64E92" w:rsidRDefault="00B64E92" w:rsidP="00B64E92">
            <w:pPr>
              <w:ind w:left="0"/>
              <w:jc w:val="center"/>
            </w:pPr>
            <w:r w:rsidRPr="00364115">
              <w:rPr>
                <w:rFonts w:ascii="Bookman Old Style" w:hAnsi="Bookman Old Style"/>
                <w:color w:val="000000"/>
                <w:sz w:val="20"/>
                <w:szCs w:val="20"/>
              </w:rPr>
              <w:t>NR*</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B64E92" w:rsidRDefault="00B64E92" w:rsidP="00B64E92">
            <w:pPr>
              <w:ind w:left="0"/>
              <w:jc w:val="center"/>
            </w:pPr>
            <w:r w:rsidRPr="00364115">
              <w:rPr>
                <w:rFonts w:ascii="Bookman Old Style" w:hAnsi="Bookman Old Style"/>
                <w:color w:val="000000"/>
                <w:sz w:val="20"/>
                <w:szCs w:val="20"/>
              </w:rPr>
              <w:t>NR*</w:t>
            </w:r>
          </w:p>
        </w:tc>
      </w:tr>
    </w:tbl>
    <w:p w:rsidR="00B64E92" w:rsidRPr="00074962" w:rsidRDefault="00B64E92" w:rsidP="00B64E92">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B64E92" w:rsidRPr="00757F63" w:rsidRDefault="00B64E92" w:rsidP="00B64E92">
      <w:pPr>
        <w:rPr>
          <w:rFonts w:ascii="Bookman Old Style" w:hAnsi="Bookman Old Style"/>
          <w:sz w:val="32"/>
        </w:rPr>
      </w:pPr>
    </w:p>
    <w:p w:rsidR="00B64E92" w:rsidRPr="00B64E92" w:rsidRDefault="00B64E92" w:rsidP="00B64E92">
      <w:pPr>
        <w:pStyle w:val="Prrafodelista"/>
        <w:numPr>
          <w:ilvl w:val="0"/>
          <w:numId w:val="42"/>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B64E92">
        <w:rPr>
          <w:rFonts w:ascii="Bookman Old Style" w:hAnsi="Bookman Old Style"/>
          <w:iCs/>
          <w:sz w:val="24"/>
          <w:szCs w:val="24"/>
        </w:rPr>
        <w:t xml:space="preserve">, a continuación se muestra el conteo de cilindros por código de presentación para cada uno de los códigos SUI de las empresas. </w:t>
      </w:r>
    </w:p>
    <w:p w:rsidR="00B64E92" w:rsidRPr="004443F3" w:rsidRDefault="00B64E92" w:rsidP="00B64E92">
      <w:pPr>
        <w:pStyle w:val="Prrafodelista"/>
        <w:ind w:left="720"/>
        <w:contextualSpacing/>
        <w:jc w:val="both"/>
        <w:rPr>
          <w:rFonts w:ascii="Bookman Old Style" w:hAnsi="Bookman Old Style"/>
          <w:sz w:val="24"/>
          <w:szCs w:val="24"/>
        </w:rPr>
      </w:pPr>
    </w:p>
    <w:tbl>
      <w:tblPr>
        <w:tblW w:w="5859" w:type="dxa"/>
        <w:jc w:val="center"/>
        <w:tblCellMar>
          <w:left w:w="70" w:type="dxa"/>
          <w:right w:w="70" w:type="dxa"/>
        </w:tblCellMar>
        <w:tblLook w:val="04A0" w:firstRow="1" w:lastRow="0" w:firstColumn="1" w:lastColumn="0" w:noHBand="0" w:noVBand="1"/>
      </w:tblPr>
      <w:tblGrid>
        <w:gridCol w:w="1044"/>
        <w:gridCol w:w="1640"/>
        <w:gridCol w:w="1882"/>
        <w:gridCol w:w="1298"/>
      </w:tblGrid>
      <w:tr w:rsidR="00B64E92" w:rsidRPr="0056639C" w:rsidTr="00B64E92">
        <w:trPr>
          <w:trHeight w:val="791"/>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4E92" w:rsidRPr="0056639C" w:rsidRDefault="00B64E92" w:rsidP="00B64E92">
            <w:pPr>
              <w:ind w:left="6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B64E92" w:rsidRPr="0056639C" w:rsidRDefault="00B64E92" w:rsidP="00B64E92">
            <w:pPr>
              <w:ind w:left="6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w:t>
            </w:r>
            <w:proofErr w:type="spellStart"/>
            <w:r w:rsidRPr="0056639C">
              <w:rPr>
                <w:rFonts w:ascii="Bookman Old Style" w:hAnsi="Bookman Old Style"/>
                <w:b/>
                <w:bCs/>
                <w:color w:val="000000"/>
                <w:sz w:val="20"/>
                <w:szCs w:val="20"/>
                <w:lang w:eastAsia="es-CO"/>
              </w:rPr>
              <w:t>gl</w:t>
            </w:r>
            <w:proofErr w:type="spellEnd"/>
            <w:r w:rsidRPr="0056639C">
              <w:rPr>
                <w:rFonts w:ascii="Bookman Old Style" w:hAnsi="Bookman Old Style"/>
                <w:b/>
                <w:bCs/>
                <w:color w:val="000000"/>
                <w:sz w:val="20"/>
                <w:szCs w:val="20"/>
                <w:lang w:eastAsia="es-CO"/>
              </w:rPr>
              <w:t>)</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B64E92" w:rsidRPr="0056639C" w:rsidRDefault="00B64E92" w:rsidP="00B64E92">
            <w:pPr>
              <w:ind w:left="6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B64E92" w:rsidRPr="0056639C" w:rsidRDefault="00B64E92" w:rsidP="00B64E92">
            <w:pPr>
              <w:ind w:left="65"/>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B64E92" w:rsidRPr="0056639C" w:rsidTr="00B64E92">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rsidR="00B64E92" w:rsidRPr="0093479E" w:rsidRDefault="00B64E92" w:rsidP="00B64E92">
            <w:pPr>
              <w:ind w:left="65"/>
              <w:jc w:val="center"/>
              <w:rPr>
                <w:rFonts w:ascii="Bookman Old Style" w:hAnsi="Bookman Old Style"/>
                <w:color w:val="000000"/>
                <w:sz w:val="18"/>
                <w:szCs w:val="20"/>
              </w:rPr>
            </w:pPr>
            <w:r>
              <w:rPr>
                <w:rFonts w:ascii="Bookman Old Style" w:hAnsi="Bookman Old Style"/>
                <w:color w:val="000000"/>
                <w:sz w:val="18"/>
                <w:szCs w:val="20"/>
              </w:rPr>
              <w:t>3358</w:t>
            </w:r>
          </w:p>
        </w:tc>
        <w:tc>
          <w:tcPr>
            <w:tcW w:w="1640" w:type="dxa"/>
            <w:tcBorders>
              <w:top w:val="nil"/>
              <w:left w:val="nil"/>
              <w:bottom w:val="single" w:sz="4" w:space="0" w:color="auto"/>
              <w:right w:val="single" w:sz="4" w:space="0" w:color="auto"/>
            </w:tcBorders>
            <w:shd w:val="clear" w:color="auto" w:fill="auto"/>
            <w:noWrap/>
            <w:vAlign w:val="center"/>
          </w:tcPr>
          <w:p w:rsidR="00B64E92" w:rsidRDefault="00B64E92" w:rsidP="00B64E92">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980.270</w:t>
            </w:r>
          </w:p>
        </w:tc>
        <w:tc>
          <w:tcPr>
            <w:tcW w:w="1882" w:type="dxa"/>
            <w:tcBorders>
              <w:top w:val="nil"/>
              <w:left w:val="nil"/>
              <w:bottom w:val="single" w:sz="4" w:space="0" w:color="auto"/>
              <w:right w:val="single" w:sz="4" w:space="0" w:color="auto"/>
            </w:tcBorders>
            <w:shd w:val="clear" w:color="auto" w:fill="auto"/>
            <w:noWrap/>
            <w:vAlign w:val="center"/>
          </w:tcPr>
          <w:p w:rsidR="00B64E92" w:rsidRDefault="00B64E92" w:rsidP="00B64E92">
            <w:pPr>
              <w:ind w:left="18"/>
              <w:jc w:val="center"/>
              <w:rPr>
                <w:rFonts w:ascii="Bookman Old Style" w:hAnsi="Bookman Old Style"/>
                <w:color w:val="000000"/>
                <w:sz w:val="20"/>
                <w:szCs w:val="20"/>
              </w:rPr>
            </w:pPr>
            <w:r>
              <w:rPr>
                <w:rFonts w:ascii="Bookman Old Style" w:hAnsi="Bookman Old Style"/>
                <w:color w:val="000000"/>
                <w:sz w:val="20"/>
                <w:szCs w:val="20"/>
              </w:rPr>
              <w:t>1.853</w:t>
            </w:r>
          </w:p>
        </w:tc>
        <w:tc>
          <w:tcPr>
            <w:tcW w:w="1293" w:type="dxa"/>
            <w:tcBorders>
              <w:top w:val="nil"/>
              <w:left w:val="nil"/>
              <w:bottom w:val="single" w:sz="4" w:space="0" w:color="auto"/>
              <w:right w:val="single" w:sz="4" w:space="0" w:color="auto"/>
            </w:tcBorders>
            <w:shd w:val="clear" w:color="auto" w:fill="auto"/>
            <w:noWrap/>
            <w:vAlign w:val="center"/>
          </w:tcPr>
          <w:p w:rsidR="00B64E92" w:rsidRDefault="00B64E92" w:rsidP="00B64E92">
            <w:pPr>
              <w:ind w:left="0"/>
              <w:jc w:val="center"/>
              <w:rPr>
                <w:rFonts w:ascii="Bookman Old Style" w:hAnsi="Bookman Old Style"/>
                <w:color w:val="000000"/>
                <w:sz w:val="20"/>
                <w:szCs w:val="20"/>
              </w:rPr>
            </w:pPr>
            <w:r>
              <w:rPr>
                <w:rFonts w:ascii="Bookman Old Style" w:hAnsi="Bookman Old Style"/>
                <w:color w:val="000000"/>
                <w:sz w:val="20"/>
                <w:szCs w:val="20"/>
              </w:rPr>
              <w:t>12.351.402</w:t>
            </w:r>
          </w:p>
        </w:tc>
      </w:tr>
    </w:tbl>
    <w:p w:rsidR="00B64E92" w:rsidRPr="00757F63" w:rsidRDefault="00B64E92" w:rsidP="00B64E92">
      <w:pPr>
        <w:pStyle w:val="Prrafodelista"/>
        <w:jc w:val="both"/>
        <w:rPr>
          <w:rFonts w:ascii="Bookman Old Style" w:hAnsi="Bookman Old Style"/>
          <w:sz w:val="32"/>
          <w:szCs w:val="24"/>
        </w:rPr>
      </w:pPr>
    </w:p>
    <w:p w:rsidR="00B64E92" w:rsidRPr="004443F3" w:rsidRDefault="00B64E92" w:rsidP="00B64E92">
      <w:pPr>
        <w:pStyle w:val="Prrafodelista"/>
        <w:numPr>
          <w:ilvl w:val="0"/>
          <w:numId w:val="42"/>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B64E92">
        <w:rPr>
          <w:rFonts w:ascii="Bookman Old Style" w:hAnsi="Bookman Old Style"/>
          <w:iCs/>
          <w:sz w:val="24"/>
          <w:szCs w:val="24"/>
        </w:rPr>
        <w:t xml:space="preserve">, a continuación se muestra el conteo de cilindros por código de presentación para cada uno de los códigos SUI de las empresas. </w:t>
      </w:r>
    </w:p>
    <w:p w:rsidR="00B64E92" w:rsidRDefault="00B64E92" w:rsidP="00B64E92">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704"/>
      </w:tblGrid>
      <w:tr w:rsidR="00B64E92" w:rsidRPr="000768E2" w:rsidTr="00B64E92">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92" w:rsidRPr="000768E2" w:rsidRDefault="00B64E92" w:rsidP="00B64E92">
            <w:pPr>
              <w:ind w:left="0"/>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64E92" w:rsidRPr="00B64E92" w:rsidRDefault="00B64E92" w:rsidP="00B64E92">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B64E92" w:rsidRPr="00B64E92" w:rsidRDefault="00B64E92" w:rsidP="00B64E92">
            <w:pPr>
              <w:ind w:left="0"/>
              <w:jc w:val="center"/>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B64E92" w:rsidRPr="00B64E92" w:rsidRDefault="00B64E92" w:rsidP="00B64E92">
            <w:pPr>
              <w:ind w:left="71"/>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B64E92" w:rsidRPr="000768E2" w:rsidTr="00B64E92">
        <w:trPr>
          <w:trHeight w:val="22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B64E92" w:rsidRPr="0093479E" w:rsidRDefault="00B64E92" w:rsidP="00B64E92">
            <w:pPr>
              <w:ind w:left="0"/>
              <w:jc w:val="center"/>
              <w:rPr>
                <w:rFonts w:ascii="Bookman Old Style" w:hAnsi="Bookman Old Style"/>
                <w:color w:val="000000"/>
                <w:sz w:val="18"/>
                <w:szCs w:val="20"/>
              </w:rPr>
            </w:pPr>
            <w:r>
              <w:rPr>
                <w:rFonts w:ascii="Bookman Old Style" w:hAnsi="Bookman Old Style"/>
                <w:color w:val="000000"/>
                <w:sz w:val="18"/>
                <w:szCs w:val="20"/>
              </w:rPr>
              <w:t>3358</w:t>
            </w:r>
          </w:p>
        </w:tc>
        <w:tc>
          <w:tcPr>
            <w:tcW w:w="1700" w:type="dxa"/>
            <w:tcBorders>
              <w:top w:val="nil"/>
              <w:left w:val="nil"/>
              <w:bottom w:val="single" w:sz="4" w:space="0" w:color="auto"/>
              <w:right w:val="single" w:sz="4" w:space="0" w:color="auto"/>
            </w:tcBorders>
            <w:shd w:val="clear" w:color="auto" w:fill="auto"/>
            <w:noWrap/>
            <w:vAlign w:val="center"/>
          </w:tcPr>
          <w:p w:rsidR="00B64E92" w:rsidRDefault="00B64E92" w:rsidP="00B64E92">
            <w:pPr>
              <w:ind w:left="0"/>
              <w:jc w:val="center"/>
              <w:rPr>
                <w:rFonts w:ascii="Bookman Old Style" w:hAnsi="Bookman Old Style"/>
                <w:color w:val="000000"/>
                <w:sz w:val="20"/>
                <w:szCs w:val="20"/>
              </w:rPr>
            </w:pPr>
            <w:r>
              <w:rPr>
                <w:rFonts w:ascii="Bookman Old Style" w:hAnsi="Bookman Old Style"/>
                <w:color w:val="000000"/>
                <w:sz w:val="20"/>
                <w:szCs w:val="20"/>
              </w:rPr>
              <w:t>NR*</w:t>
            </w:r>
          </w:p>
        </w:tc>
        <w:tc>
          <w:tcPr>
            <w:tcW w:w="1704" w:type="dxa"/>
            <w:tcBorders>
              <w:top w:val="nil"/>
              <w:left w:val="nil"/>
              <w:bottom w:val="single" w:sz="4" w:space="0" w:color="auto"/>
              <w:right w:val="single" w:sz="4" w:space="0" w:color="auto"/>
            </w:tcBorders>
            <w:shd w:val="clear" w:color="auto" w:fill="auto"/>
            <w:noWrap/>
            <w:vAlign w:val="center"/>
          </w:tcPr>
          <w:p w:rsidR="00B64E92" w:rsidRDefault="00B64E92" w:rsidP="00B64E92">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12.351.402</w:t>
            </w:r>
          </w:p>
        </w:tc>
        <w:tc>
          <w:tcPr>
            <w:tcW w:w="1516" w:type="dxa"/>
            <w:tcBorders>
              <w:top w:val="nil"/>
              <w:left w:val="nil"/>
              <w:bottom w:val="single" w:sz="4" w:space="0" w:color="auto"/>
              <w:right w:val="single" w:sz="4" w:space="0" w:color="auto"/>
            </w:tcBorders>
            <w:shd w:val="clear" w:color="auto" w:fill="auto"/>
            <w:noWrap/>
            <w:vAlign w:val="center"/>
          </w:tcPr>
          <w:p w:rsidR="00B64E92" w:rsidRDefault="00B64E92" w:rsidP="00B64E92">
            <w:pPr>
              <w:jc w:val="center"/>
              <w:rPr>
                <w:rFonts w:ascii="Bookman Old Style" w:hAnsi="Bookman Old Style"/>
                <w:color w:val="000000"/>
                <w:sz w:val="20"/>
                <w:szCs w:val="20"/>
              </w:rPr>
            </w:pPr>
            <w:r>
              <w:rPr>
                <w:rFonts w:ascii="Bookman Old Style" w:hAnsi="Bookman Old Style"/>
                <w:color w:val="000000"/>
                <w:sz w:val="20"/>
                <w:szCs w:val="20"/>
              </w:rPr>
              <w:t>3.254.594</w:t>
            </w:r>
          </w:p>
        </w:tc>
      </w:tr>
    </w:tbl>
    <w:p w:rsidR="00B64E92" w:rsidRPr="002B4873" w:rsidRDefault="00B64E92" w:rsidP="00B64E92">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543721" w:rsidRDefault="00543721" w:rsidP="00543721">
      <w:pPr>
        <w:pStyle w:val="Textoindependiente2"/>
        <w:spacing w:after="0" w:line="240" w:lineRule="auto"/>
        <w:ind w:left="-142" w:right="-142"/>
        <w:jc w:val="both"/>
        <w:rPr>
          <w:rFonts w:ascii="Bookman Old Style" w:hAnsi="Bookman Old Style"/>
          <w:szCs w:val="27"/>
        </w:rPr>
      </w:pPr>
    </w:p>
    <w:p w:rsidR="002E4038" w:rsidRDefault="002E4038" w:rsidP="00543721">
      <w:pPr>
        <w:pStyle w:val="Textoindependiente2"/>
        <w:spacing w:after="0" w:line="240" w:lineRule="auto"/>
        <w:ind w:left="-142" w:right="-142"/>
        <w:jc w:val="both"/>
        <w:rPr>
          <w:rFonts w:ascii="Bookman Old Style" w:hAnsi="Bookman Old Style"/>
          <w:szCs w:val="27"/>
        </w:rPr>
      </w:pPr>
    </w:p>
    <w:p w:rsidR="00634DC7" w:rsidRPr="00634DC7" w:rsidRDefault="002E4038" w:rsidP="00543721">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5</w:t>
      </w:r>
      <w:r w:rsidR="00543721">
        <w:rPr>
          <w:rFonts w:ascii="Bookman Old Style" w:hAnsi="Bookman Old Style"/>
          <w:b/>
          <w:szCs w:val="27"/>
        </w:rPr>
        <w:t xml:space="preserve">. </w:t>
      </w:r>
      <w:r w:rsidR="00634DC7">
        <w:rPr>
          <w:rFonts w:ascii="Bookman Old Style" w:hAnsi="Bookman Old Style"/>
          <w:szCs w:val="27"/>
        </w:rPr>
        <w:t>Rechazar por improcedente el recurso de apelación interpuesto por la empresa Compañía de Servicios Públicos S.A. E.S.P. contra la Resolución CREG 075 de 2016 atendiendo lo dispuesto en el artículo 113 de la Ley 142 de 1994.</w:t>
      </w:r>
    </w:p>
    <w:p w:rsidR="00634DC7" w:rsidRDefault="00634DC7" w:rsidP="00543721">
      <w:pPr>
        <w:pStyle w:val="Textoindependiente2"/>
        <w:spacing w:after="0" w:line="240" w:lineRule="auto"/>
        <w:ind w:left="-142" w:right="-142"/>
        <w:jc w:val="both"/>
        <w:rPr>
          <w:rFonts w:ascii="Bookman Old Style" w:hAnsi="Bookman Old Style"/>
          <w:b/>
          <w:szCs w:val="27"/>
        </w:rPr>
      </w:pPr>
    </w:p>
    <w:p w:rsidR="00543721" w:rsidRDefault="00634DC7" w:rsidP="002E4038">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lastRenderedPageBreak/>
        <w:t>Art</w:t>
      </w:r>
      <w:r w:rsidR="002E4038">
        <w:rPr>
          <w:rFonts w:ascii="Bookman Old Style" w:hAnsi="Bookman Old Style"/>
          <w:b/>
          <w:szCs w:val="27"/>
        </w:rPr>
        <w:t>ículo 6</w:t>
      </w:r>
      <w:r>
        <w:rPr>
          <w:rFonts w:ascii="Bookman Old Style" w:hAnsi="Bookman Old Style"/>
          <w:b/>
          <w:szCs w:val="27"/>
        </w:rPr>
        <w:t xml:space="preserve">. </w:t>
      </w:r>
      <w:r w:rsidR="00543721">
        <w:rPr>
          <w:rFonts w:ascii="Bookman Old Style" w:hAnsi="Bookman Old Style"/>
          <w:szCs w:val="27"/>
        </w:rPr>
        <w:t>La presente r</w:t>
      </w:r>
      <w:r w:rsidR="00543721" w:rsidRPr="003E59E7">
        <w:rPr>
          <w:rFonts w:ascii="Bookman Old Style" w:hAnsi="Bookman Old Style"/>
          <w:szCs w:val="27"/>
        </w:rPr>
        <w:t xml:space="preserve">esolución deberá notificarse a la empresa </w:t>
      </w:r>
      <w:r w:rsidR="00543721">
        <w:rPr>
          <w:rFonts w:ascii="Bookman Old Style" w:hAnsi="Bookman Old Style"/>
          <w:szCs w:val="27"/>
        </w:rPr>
        <w:t xml:space="preserve">Compañía de Servicios Públicos S.A. E.S.P. </w:t>
      </w:r>
      <w:r w:rsidR="00543721"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757F63" w:rsidRDefault="00757F63" w:rsidP="002E4038">
      <w:pPr>
        <w:pStyle w:val="Textoindependiente2"/>
        <w:spacing w:after="0" w:line="240" w:lineRule="auto"/>
        <w:ind w:left="-142" w:right="-142"/>
        <w:jc w:val="both"/>
        <w:rPr>
          <w:rFonts w:ascii="Bookman Old Style" w:hAnsi="Bookman Old Style"/>
          <w:szCs w:val="27"/>
        </w:rPr>
      </w:pPr>
    </w:p>
    <w:p w:rsidR="00757F63" w:rsidRPr="002E4038" w:rsidRDefault="00757F63" w:rsidP="002E4038">
      <w:pPr>
        <w:pStyle w:val="Textoindependiente2"/>
        <w:spacing w:after="0" w:line="240" w:lineRule="auto"/>
        <w:ind w:left="-142" w:right="-142"/>
        <w:jc w:val="both"/>
        <w:rPr>
          <w:rFonts w:ascii="Bookman Old Style" w:hAnsi="Bookman Old Style"/>
          <w:szCs w:val="27"/>
        </w:rPr>
      </w:pPr>
    </w:p>
    <w:p w:rsidR="00543721" w:rsidRPr="005023D3" w:rsidRDefault="00543721" w:rsidP="00543721">
      <w:pPr>
        <w:ind w:left="-181"/>
        <w:jc w:val="center"/>
        <w:rPr>
          <w:rFonts w:ascii="Bookman Old Style" w:hAnsi="Bookman Old Style" w:cs="Arial"/>
          <w:b/>
        </w:rPr>
      </w:pPr>
      <w:r>
        <w:rPr>
          <w:rFonts w:ascii="Bookman Old Style" w:hAnsi="Bookman Old Style" w:cs="Arial"/>
          <w:b/>
        </w:rPr>
        <w:t xml:space="preserve">     NOTIFÍQUESE </w:t>
      </w:r>
      <w:r w:rsidR="002E4038">
        <w:rPr>
          <w:rFonts w:ascii="Bookman Old Style" w:hAnsi="Bookman Old Style" w:cs="Arial"/>
          <w:b/>
        </w:rPr>
        <w:t>Y CÚMPLASE</w:t>
      </w:r>
    </w:p>
    <w:p w:rsidR="00543721" w:rsidRPr="003234E2" w:rsidRDefault="00543721" w:rsidP="00543721">
      <w:pPr>
        <w:ind w:left="0"/>
        <w:rPr>
          <w:rFonts w:ascii="Bookman Old Style" w:hAnsi="Bookman Old Style" w:cs="Arial"/>
          <w:sz w:val="20"/>
          <w:szCs w:val="20"/>
        </w:rPr>
      </w:pPr>
    </w:p>
    <w:p w:rsidR="00543721" w:rsidRDefault="00543721" w:rsidP="00543721">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2E4038" w:rsidRPr="00A14C71" w:rsidTr="005D266B">
        <w:trPr>
          <w:tblCellSpacing w:w="0" w:type="dxa"/>
          <w:jc w:val="center"/>
        </w:trPr>
        <w:tc>
          <w:tcPr>
            <w:tcW w:w="5529" w:type="dxa"/>
            <w:hideMark/>
          </w:tcPr>
          <w:p w:rsidR="002E4038" w:rsidRPr="00A14C71" w:rsidRDefault="002E4038" w:rsidP="005D266B">
            <w:pPr>
              <w:ind w:left="0"/>
              <w:rPr>
                <w:rFonts w:ascii="Bookman Old Style" w:hAnsi="Bookman Old Style" w:cs="Arial"/>
                <w:b/>
                <w:spacing w:val="-3"/>
              </w:rPr>
            </w:pPr>
          </w:p>
          <w:p w:rsidR="002E4038" w:rsidRPr="00A14C71" w:rsidRDefault="002E4038" w:rsidP="005D266B">
            <w:pPr>
              <w:ind w:left="0"/>
              <w:rPr>
                <w:rFonts w:ascii="Bookman Old Style" w:hAnsi="Bookman Old Style" w:cs="Arial"/>
                <w:b/>
                <w:spacing w:val="-3"/>
              </w:rPr>
            </w:pPr>
          </w:p>
          <w:p w:rsidR="002E4038" w:rsidRPr="00A14C71" w:rsidRDefault="002E4038" w:rsidP="005D266B">
            <w:pPr>
              <w:ind w:left="0"/>
              <w:rPr>
                <w:rFonts w:ascii="Bookman Old Style" w:hAnsi="Bookman Old Style" w:cs="Arial"/>
                <w:b/>
                <w:spacing w:val="-3"/>
              </w:rPr>
            </w:pPr>
          </w:p>
          <w:p w:rsidR="002E4038" w:rsidRPr="00A14C71" w:rsidRDefault="002E4038" w:rsidP="005D266B">
            <w:pPr>
              <w:ind w:left="66"/>
              <w:jc w:val="center"/>
              <w:rPr>
                <w:rFonts w:ascii="Bookman Old Style" w:hAnsi="Bookman Old Style" w:cs="Arial"/>
                <w:b/>
                <w:spacing w:val="-3"/>
              </w:rPr>
            </w:pPr>
          </w:p>
          <w:p w:rsidR="002E4038" w:rsidRPr="00A14C71" w:rsidRDefault="002E4038"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2E4038" w:rsidRPr="00A14C71" w:rsidRDefault="002E4038" w:rsidP="005D266B">
            <w:pPr>
              <w:ind w:left="89"/>
              <w:jc w:val="center"/>
              <w:rPr>
                <w:rFonts w:ascii="Bookman Old Style" w:hAnsi="Bookman Old Style" w:cs="Arial"/>
                <w:b/>
                <w:spacing w:val="-3"/>
              </w:rPr>
            </w:pPr>
          </w:p>
          <w:p w:rsidR="002E4038" w:rsidRPr="00A14C71" w:rsidRDefault="002E4038" w:rsidP="005D266B">
            <w:pPr>
              <w:ind w:left="89"/>
              <w:jc w:val="center"/>
              <w:rPr>
                <w:rFonts w:ascii="Bookman Old Style" w:hAnsi="Bookman Old Style" w:cs="Arial"/>
                <w:b/>
                <w:spacing w:val="-3"/>
              </w:rPr>
            </w:pPr>
          </w:p>
          <w:p w:rsidR="002E4038" w:rsidRPr="00A14C71" w:rsidRDefault="002E4038" w:rsidP="005D266B">
            <w:pPr>
              <w:ind w:left="89"/>
              <w:jc w:val="center"/>
              <w:rPr>
                <w:rFonts w:ascii="Bookman Old Style" w:hAnsi="Bookman Old Style" w:cs="Arial"/>
                <w:b/>
                <w:spacing w:val="-3"/>
              </w:rPr>
            </w:pPr>
          </w:p>
          <w:p w:rsidR="002E4038" w:rsidRPr="00A14C71" w:rsidRDefault="002E4038" w:rsidP="005D266B">
            <w:pPr>
              <w:ind w:left="89"/>
              <w:jc w:val="center"/>
              <w:rPr>
                <w:rFonts w:ascii="Bookman Old Style" w:hAnsi="Bookman Old Style" w:cs="Arial"/>
                <w:b/>
                <w:spacing w:val="-3"/>
              </w:rPr>
            </w:pPr>
          </w:p>
          <w:p w:rsidR="002E4038" w:rsidRPr="00A14C71" w:rsidRDefault="002E4038"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2E4038" w:rsidRPr="00A14C71" w:rsidTr="005D266B">
        <w:trPr>
          <w:tblCellSpacing w:w="0" w:type="dxa"/>
          <w:jc w:val="center"/>
        </w:trPr>
        <w:tc>
          <w:tcPr>
            <w:tcW w:w="5529" w:type="dxa"/>
            <w:hideMark/>
          </w:tcPr>
          <w:p w:rsidR="002E4038" w:rsidRDefault="002E4038"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757F63" w:rsidRPr="00A14C71" w:rsidRDefault="00757F63"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2E4038" w:rsidRPr="00A14C71" w:rsidRDefault="002E4038"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2E4038" w:rsidRPr="00A14C71" w:rsidTr="005D266B">
        <w:trPr>
          <w:tblCellSpacing w:w="0" w:type="dxa"/>
          <w:jc w:val="center"/>
        </w:trPr>
        <w:tc>
          <w:tcPr>
            <w:tcW w:w="5529" w:type="dxa"/>
            <w:hideMark/>
          </w:tcPr>
          <w:p w:rsidR="002E4038" w:rsidRPr="00A14C71" w:rsidRDefault="002E4038"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2E4038" w:rsidRPr="00A14C71" w:rsidRDefault="002E4038" w:rsidP="005D266B">
            <w:pPr>
              <w:ind w:left="0"/>
              <w:jc w:val="center"/>
              <w:rPr>
                <w:rFonts w:ascii="Bookman Old Style" w:eastAsia="Arial Unicode MS" w:hAnsi="Bookman Old Style" w:cs="Arial"/>
                <w:color w:val="000000"/>
              </w:rPr>
            </w:pPr>
          </w:p>
        </w:tc>
      </w:tr>
    </w:tbl>
    <w:p w:rsidR="002E4038" w:rsidRPr="00BA698C" w:rsidRDefault="002E4038" w:rsidP="00543721">
      <w:pPr>
        <w:ind w:left="0"/>
        <w:rPr>
          <w:rFonts w:ascii="Bookman Old Style" w:hAnsi="Bookman Old Style" w:cs="Arial"/>
          <w:szCs w:val="20"/>
        </w:rPr>
      </w:pPr>
    </w:p>
    <w:p w:rsidR="00543721" w:rsidRDefault="00543721" w:rsidP="00543721">
      <w:pPr>
        <w:ind w:left="0"/>
        <w:rPr>
          <w:rFonts w:ascii="Bookman Old Style" w:hAnsi="Bookman Old Style" w:cs="Arial"/>
          <w:sz w:val="22"/>
          <w:szCs w:val="20"/>
        </w:rPr>
      </w:pPr>
    </w:p>
    <w:p w:rsidR="00543721" w:rsidRPr="00FE2D9D" w:rsidRDefault="00543721" w:rsidP="00543721">
      <w:pPr>
        <w:ind w:left="0"/>
        <w:rPr>
          <w:rFonts w:ascii="Bookman Old Style" w:hAnsi="Bookman Old Style" w:cs="Arial"/>
          <w:sz w:val="22"/>
          <w:szCs w:val="20"/>
        </w:rPr>
      </w:pPr>
    </w:p>
    <w:p w:rsidR="00543721" w:rsidRDefault="00543721" w:rsidP="00543721">
      <w:pPr>
        <w:rPr>
          <w:rFonts w:ascii="Bookman Old Style" w:hAnsi="Bookman Old Style" w:cs="Arial"/>
          <w:szCs w:val="20"/>
        </w:rPr>
      </w:pPr>
    </w:p>
    <w:p w:rsidR="00543721" w:rsidRDefault="00543721" w:rsidP="00543721">
      <w:pPr>
        <w:rPr>
          <w:rFonts w:ascii="Bookman Old Style" w:hAnsi="Bookman Old Style" w:cs="Arial"/>
          <w:szCs w:val="20"/>
        </w:rPr>
      </w:pPr>
    </w:p>
    <w:p w:rsidR="00543721" w:rsidRPr="00FE2D9D" w:rsidRDefault="00543721" w:rsidP="00543721">
      <w:pPr>
        <w:rPr>
          <w:rFonts w:ascii="Bookman Old Style" w:hAnsi="Bookman Old Style" w:cs="Arial"/>
          <w:szCs w:val="20"/>
        </w:rPr>
      </w:pPr>
    </w:p>
    <w:p w:rsidR="00543721" w:rsidRPr="003234E2" w:rsidRDefault="00543721" w:rsidP="00543721">
      <w:pPr>
        <w:ind w:left="0"/>
        <w:rPr>
          <w:sz w:val="20"/>
        </w:rPr>
      </w:pPr>
    </w:p>
    <w:p w:rsidR="00543721" w:rsidRDefault="00543721" w:rsidP="00543721">
      <w:pPr>
        <w:pStyle w:val="Textoindependiente2"/>
        <w:spacing w:after="0" w:line="240" w:lineRule="auto"/>
        <w:ind w:left="-142" w:right="-142"/>
        <w:jc w:val="both"/>
        <w:rPr>
          <w:rFonts w:ascii="Bookman Old Style" w:hAnsi="Bookman Old Style"/>
          <w:szCs w:val="27"/>
        </w:rPr>
      </w:pPr>
    </w:p>
    <w:p w:rsidR="00900CA0" w:rsidRDefault="00900CA0" w:rsidP="00C63FC3">
      <w:pPr>
        <w:pStyle w:val="Textoindependiente2"/>
        <w:spacing w:after="0" w:line="240" w:lineRule="auto"/>
        <w:ind w:left="-142" w:right="-142"/>
        <w:jc w:val="both"/>
        <w:rPr>
          <w:rFonts w:ascii="Bookman Old Style" w:hAnsi="Bookman Old Style"/>
          <w:szCs w:val="27"/>
        </w:rPr>
      </w:pPr>
    </w:p>
    <w:sectPr w:rsidR="00900CA0"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DCC" w:rsidRDefault="00514DCC">
      <w:r>
        <w:separator/>
      </w:r>
    </w:p>
  </w:endnote>
  <w:endnote w:type="continuationSeparator" w:id="0">
    <w:p w:rsidR="00514DCC" w:rsidRDefault="0051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DCC" w:rsidRDefault="00514DCC">
      <w:r>
        <w:separator/>
      </w:r>
    </w:p>
  </w:footnote>
  <w:footnote w:type="continuationSeparator" w:id="0">
    <w:p w:rsidR="00514DCC" w:rsidRDefault="00514DCC">
      <w:r>
        <w:continuationSeparator/>
      </w:r>
    </w:p>
  </w:footnote>
  <w:footnote w:id="1">
    <w:p w:rsidR="002201BD" w:rsidRPr="00EC3BB2" w:rsidRDefault="002201BD"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2201BD" w:rsidRPr="00BD1622" w:rsidRDefault="002201BD"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2201BD" w:rsidRPr="00FC2C01" w:rsidRDefault="002201BD"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2201BD" w:rsidRPr="00FC2C01" w:rsidRDefault="002201BD" w:rsidP="00BA05D2">
      <w:pPr>
        <w:pStyle w:val="Textonotapie"/>
        <w:jc w:val="both"/>
        <w:rPr>
          <w:rFonts w:ascii="Bookman Old Style" w:hAnsi="Bookman Old Style" w:cs="Arial"/>
          <w:sz w:val="16"/>
          <w:szCs w:val="16"/>
        </w:rPr>
      </w:pPr>
    </w:p>
    <w:p w:rsidR="002201BD" w:rsidRPr="00CD67E2" w:rsidRDefault="002201BD"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2201BD" w:rsidRPr="00FA7CDB" w:rsidRDefault="002201BD" w:rsidP="00CD67E2">
      <w:pPr>
        <w:pStyle w:val="Textonotapie"/>
        <w:jc w:val="both"/>
        <w:rPr>
          <w:rFonts w:ascii="Bookman Old Style" w:hAnsi="Bookman Old Style" w:cs="Arial"/>
          <w:sz w:val="16"/>
          <w:szCs w:val="16"/>
        </w:rPr>
      </w:pPr>
    </w:p>
    <w:p w:rsidR="002201BD" w:rsidRPr="002201BD" w:rsidRDefault="002201BD" w:rsidP="00CD67E2">
      <w:pPr>
        <w:pStyle w:val="Textonotapie"/>
        <w:jc w:val="both"/>
        <w:rPr>
          <w:rFonts w:ascii="Bookman Old Style" w:hAnsi="Bookman Old Style" w:cs="Arial"/>
          <w:sz w:val="16"/>
          <w:szCs w:val="16"/>
        </w:rPr>
      </w:pPr>
      <w:r w:rsidRPr="002201BD">
        <w:rPr>
          <w:rFonts w:ascii="Bookman Old Style" w:hAnsi="Bookman Old Style" w:cs="Arial"/>
          <w:sz w:val="16"/>
          <w:szCs w:val="16"/>
        </w:rPr>
        <w:footnoteRef/>
      </w:r>
      <w:r w:rsidRPr="002201BD">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2201BD" w:rsidRPr="002201BD" w:rsidRDefault="002201BD" w:rsidP="00CD67E2">
      <w:pPr>
        <w:pStyle w:val="Textonotapie"/>
        <w:jc w:val="both"/>
        <w:rPr>
          <w:rFonts w:ascii="Bookman Old Style" w:hAnsi="Bookman Old Style" w:cs="Arial"/>
          <w:sz w:val="16"/>
          <w:szCs w:val="16"/>
        </w:rPr>
      </w:pPr>
      <w:r w:rsidRPr="002201BD">
        <w:rPr>
          <w:rFonts w:ascii="Bookman Old Style" w:hAnsi="Bookman Old Style" w:cs="Arial"/>
          <w:sz w:val="16"/>
          <w:szCs w:val="16"/>
        </w:rPr>
        <w:t>1. Interponerse dentro del plazo legal, por el interesado o su representante o apoderado debidamente constituido.</w:t>
      </w:r>
    </w:p>
    <w:p w:rsidR="002201BD" w:rsidRPr="002201BD" w:rsidRDefault="002201BD" w:rsidP="00CD67E2">
      <w:pPr>
        <w:pStyle w:val="Textonotapie"/>
        <w:jc w:val="both"/>
        <w:rPr>
          <w:rFonts w:ascii="Bookman Old Style" w:hAnsi="Bookman Old Style" w:cs="Arial"/>
          <w:sz w:val="16"/>
          <w:szCs w:val="16"/>
        </w:rPr>
      </w:pPr>
      <w:r w:rsidRPr="002201BD">
        <w:rPr>
          <w:rFonts w:ascii="Bookman Old Style" w:hAnsi="Bookman Old Style" w:cs="Arial"/>
          <w:sz w:val="16"/>
          <w:szCs w:val="16"/>
        </w:rPr>
        <w:t>2. Sustentarse con expresión concreta de los motivos de inconformidad.</w:t>
      </w:r>
    </w:p>
    <w:p w:rsidR="002201BD" w:rsidRPr="002201BD" w:rsidRDefault="002201BD" w:rsidP="00CD67E2">
      <w:pPr>
        <w:pStyle w:val="Textonotapie"/>
        <w:jc w:val="both"/>
        <w:rPr>
          <w:rFonts w:ascii="Bookman Old Style" w:hAnsi="Bookman Old Style" w:cs="Arial"/>
          <w:sz w:val="16"/>
          <w:szCs w:val="16"/>
        </w:rPr>
      </w:pPr>
      <w:r w:rsidRPr="002201BD">
        <w:rPr>
          <w:rFonts w:ascii="Bookman Old Style" w:hAnsi="Bookman Old Style" w:cs="Arial"/>
          <w:sz w:val="16"/>
          <w:szCs w:val="16"/>
        </w:rPr>
        <w:t>3. Solicitar y aportar las pruebas que se pretende hacer valer.</w:t>
      </w:r>
    </w:p>
    <w:p w:rsidR="002201BD" w:rsidRPr="002201BD" w:rsidRDefault="002201BD" w:rsidP="00CD67E2">
      <w:pPr>
        <w:pStyle w:val="Textonotapie"/>
        <w:jc w:val="both"/>
        <w:rPr>
          <w:rFonts w:ascii="Bookman Old Style" w:hAnsi="Bookman Old Style"/>
          <w:sz w:val="16"/>
          <w:szCs w:val="16"/>
        </w:rPr>
      </w:pPr>
      <w:r w:rsidRPr="002201BD">
        <w:rPr>
          <w:rFonts w:ascii="Bookman Old Style" w:hAnsi="Bookman Old Style" w:cs="Arial"/>
          <w:sz w:val="16"/>
          <w:szCs w:val="16"/>
        </w:rPr>
        <w:t>4. Indicar el nombre y la dirección del recurrente, así como la dirección electrónica si desea ser notificado por este medio. (…)”</w:t>
      </w:r>
    </w:p>
  </w:footnote>
  <w:footnote w:id="5">
    <w:p w:rsidR="002201BD" w:rsidRPr="002201BD" w:rsidRDefault="002201BD" w:rsidP="002201BD">
      <w:pPr>
        <w:pStyle w:val="Textonotapie"/>
        <w:rPr>
          <w:rFonts w:ascii="Bookman Old Style" w:hAnsi="Bookman Old Style" w:cs="Arial"/>
          <w:sz w:val="16"/>
          <w:szCs w:val="16"/>
        </w:rPr>
      </w:pPr>
      <w:r w:rsidRPr="002201BD">
        <w:rPr>
          <w:rStyle w:val="Refdenotaalpie"/>
          <w:rFonts w:ascii="Bookman Old Style" w:hAnsi="Bookman Old Style"/>
          <w:sz w:val="16"/>
          <w:szCs w:val="16"/>
        </w:rPr>
        <w:footnoteRef/>
      </w:r>
      <w:r w:rsidRPr="002201BD">
        <w:rPr>
          <w:rFonts w:ascii="Bookman Old Style" w:hAnsi="Bookman Old Style" w:cs="Arial"/>
          <w:sz w:val="16"/>
          <w:szCs w:val="16"/>
        </w:rPr>
        <w:t xml:space="preserve"> Corte Constitucional, Sentencia C-150 de 2003.</w:t>
      </w:r>
    </w:p>
  </w:footnote>
  <w:footnote w:id="6">
    <w:p w:rsidR="002201BD" w:rsidRPr="002201BD" w:rsidRDefault="002201BD" w:rsidP="002201BD">
      <w:pPr>
        <w:pStyle w:val="Textonotapie"/>
        <w:rPr>
          <w:rFonts w:ascii="Bookman Old Style" w:hAnsi="Bookman Old Style" w:cs="Arial"/>
          <w:sz w:val="16"/>
          <w:szCs w:val="16"/>
        </w:rPr>
      </w:pPr>
      <w:r w:rsidRPr="002201BD">
        <w:rPr>
          <w:rStyle w:val="Refdenotaalpie"/>
          <w:rFonts w:ascii="Bookman Old Style" w:hAnsi="Bookman Old Style"/>
          <w:sz w:val="16"/>
          <w:szCs w:val="16"/>
        </w:rPr>
        <w:footnoteRef/>
      </w:r>
      <w:r w:rsidRPr="002201BD">
        <w:rPr>
          <w:rFonts w:ascii="Bookman Old Style" w:hAnsi="Bookman Old Style" w:cs="Arial"/>
          <w:sz w:val="16"/>
          <w:szCs w:val="16"/>
        </w:rPr>
        <w:t xml:space="preserve"> Corte Constitucional, Sentencia C-124 de 2011.</w:t>
      </w:r>
    </w:p>
  </w:footnote>
  <w:footnote w:id="7">
    <w:p w:rsidR="002201BD" w:rsidRPr="002201BD" w:rsidRDefault="002201BD" w:rsidP="00745669">
      <w:pPr>
        <w:pStyle w:val="Textonotapie"/>
        <w:jc w:val="both"/>
        <w:rPr>
          <w:rFonts w:ascii="Bookman Old Style" w:hAnsi="Bookman Old Style" w:cs="Arial"/>
          <w:sz w:val="16"/>
          <w:szCs w:val="16"/>
        </w:rPr>
      </w:pPr>
      <w:r w:rsidRPr="002201BD">
        <w:rPr>
          <w:rFonts w:ascii="Bookman Old Style" w:hAnsi="Bookman Old Style" w:cs="Arial"/>
          <w:sz w:val="16"/>
          <w:szCs w:val="16"/>
          <w:vertAlign w:val="superscript"/>
        </w:rPr>
        <w:footnoteRef/>
      </w:r>
      <w:r w:rsidRPr="002201BD">
        <w:rPr>
          <w:rFonts w:ascii="Bookman Old Style" w:hAnsi="Bookman Old Style" w:cs="Arial"/>
          <w:sz w:val="16"/>
          <w:szCs w:val="16"/>
        </w:rPr>
        <w:t xml:space="preserve"> Corte Constitucional, Sentencia </w:t>
      </w:r>
      <w:r w:rsidRPr="002201BD">
        <w:rPr>
          <w:rFonts w:ascii="Bookman Old Style" w:hAnsi="Bookman Old Style" w:cs="Arial"/>
          <w:sz w:val="16"/>
          <w:szCs w:val="16"/>
          <w:lang w:eastAsia="es-CO"/>
        </w:rPr>
        <w:t>T-417 de 2008.</w:t>
      </w:r>
    </w:p>
  </w:footnote>
  <w:footnote w:id="8">
    <w:p w:rsidR="002201BD" w:rsidRPr="002201BD" w:rsidRDefault="002201BD" w:rsidP="00745669">
      <w:pPr>
        <w:pStyle w:val="Textonotapie"/>
        <w:jc w:val="both"/>
        <w:rPr>
          <w:rFonts w:ascii="Bookman Old Style" w:hAnsi="Bookman Old Style" w:cs="Arial"/>
          <w:sz w:val="16"/>
          <w:szCs w:val="16"/>
        </w:rPr>
      </w:pPr>
      <w:r w:rsidRPr="002201BD">
        <w:rPr>
          <w:rStyle w:val="Refdenotaalpie"/>
          <w:rFonts w:ascii="Bookman Old Style" w:hAnsi="Bookman Old Style"/>
          <w:sz w:val="16"/>
          <w:szCs w:val="16"/>
        </w:rPr>
        <w:footnoteRef/>
      </w:r>
      <w:r w:rsidRPr="002201BD">
        <w:rPr>
          <w:rFonts w:ascii="Bookman Old Style" w:hAnsi="Bookman Old Style" w:cs="Arial"/>
          <w:sz w:val="16"/>
          <w:szCs w:val="16"/>
        </w:rPr>
        <w:t xml:space="preserve"> DEVIS ECHANDÍA, Hernando, Compendio de Derecho Procesal, Tomo II, Pruebas Judiciales, Editorial ABC, 1984, págs. 339 y ss.</w:t>
      </w:r>
    </w:p>
  </w:footnote>
  <w:footnote w:id="9">
    <w:p w:rsidR="002201BD" w:rsidRPr="002201BD" w:rsidRDefault="002201BD" w:rsidP="00745669">
      <w:pPr>
        <w:pStyle w:val="Textonotapie"/>
        <w:jc w:val="both"/>
        <w:rPr>
          <w:rFonts w:ascii="Bookman Old Style" w:hAnsi="Bookman Old Style" w:cs="Arial"/>
          <w:sz w:val="16"/>
          <w:szCs w:val="16"/>
        </w:rPr>
      </w:pPr>
      <w:r w:rsidRPr="002201BD">
        <w:rPr>
          <w:rStyle w:val="Refdenotaalpie"/>
          <w:rFonts w:ascii="Bookman Old Style" w:hAnsi="Bookman Old Style"/>
          <w:sz w:val="16"/>
          <w:szCs w:val="16"/>
        </w:rPr>
        <w:footnoteRef/>
      </w:r>
      <w:r w:rsidRPr="002201BD">
        <w:rPr>
          <w:rFonts w:ascii="Bookman Old Style" w:hAnsi="Bookman Old Style" w:cs="Arial"/>
          <w:sz w:val="16"/>
          <w:szCs w:val="16"/>
        </w:rPr>
        <w:t xml:space="preserve"> DEVIS ECHANDÍA, Hernando, Ob. Cit. Págs. 346 a 350 y ss.</w:t>
      </w:r>
    </w:p>
  </w:footnote>
  <w:footnote w:id="10">
    <w:p w:rsidR="002201BD" w:rsidRPr="002201BD" w:rsidRDefault="002201BD" w:rsidP="00745669">
      <w:pPr>
        <w:pStyle w:val="Textonotapie"/>
        <w:jc w:val="both"/>
        <w:rPr>
          <w:rFonts w:ascii="Bookman Old Style" w:hAnsi="Bookman Old Style" w:cs="Arial"/>
          <w:sz w:val="16"/>
          <w:szCs w:val="16"/>
        </w:rPr>
      </w:pPr>
      <w:r w:rsidRPr="002201BD">
        <w:rPr>
          <w:rStyle w:val="Refdenotaalpie"/>
          <w:rFonts w:ascii="Bookman Old Style" w:hAnsi="Bookman Old Style"/>
          <w:sz w:val="16"/>
          <w:szCs w:val="16"/>
        </w:rPr>
        <w:footnoteRef/>
      </w:r>
      <w:r w:rsidRPr="002201BD">
        <w:rPr>
          <w:rFonts w:ascii="Bookman Old Style" w:hAnsi="Bookman Old Style" w:cs="Arial"/>
          <w:sz w:val="16"/>
          <w:szCs w:val="16"/>
        </w:rPr>
        <w:t xml:space="preserve"> PARRA QUIJANO, Jairo, Manual de Derecho Probatorio, Librería Ediciones del Profesional Ltda., 2004, Pág. 649.</w:t>
      </w:r>
    </w:p>
  </w:footnote>
  <w:footnote w:id="11">
    <w:p w:rsidR="002201BD" w:rsidRPr="00C870E1" w:rsidRDefault="002201BD" w:rsidP="00745669">
      <w:pPr>
        <w:pStyle w:val="Textonotapie"/>
        <w:jc w:val="both"/>
        <w:rPr>
          <w:rFonts w:cs="Arial"/>
          <w:sz w:val="18"/>
          <w:szCs w:val="18"/>
        </w:rPr>
      </w:pPr>
      <w:r w:rsidRPr="002201BD">
        <w:rPr>
          <w:rStyle w:val="Refdenotaalpie"/>
          <w:rFonts w:ascii="Bookman Old Style" w:hAnsi="Bookman Old Style"/>
          <w:sz w:val="16"/>
          <w:szCs w:val="16"/>
        </w:rPr>
        <w:footnoteRef/>
      </w:r>
      <w:r w:rsidRPr="002201BD">
        <w:rPr>
          <w:rFonts w:ascii="Bookman Old Style" w:hAnsi="Bookman Old Style" w:cs="Arial"/>
          <w:sz w:val="16"/>
          <w:szCs w:val="16"/>
        </w:rPr>
        <w:t xml:space="preserve"> </w:t>
      </w:r>
      <w:proofErr w:type="spellStart"/>
      <w:r w:rsidRPr="002201BD">
        <w:rPr>
          <w:rFonts w:ascii="Bookman Old Style" w:hAnsi="Bookman Old Style" w:cs="Arial"/>
          <w:sz w:val="16"/>
          <w:szCs w:val="16"/>
        </w:rPr>
        <w:t>Devis</w:t>
      </w:r>
      <w:proofErr w:type="spellEnd"/>
      <w:r w:rsidRPr="002201BD">
        <w:rPr>
          <w:rFonts w:ascii="Bookman Old Style" w:hAnsi="Bookman Old Style" w:cs="Arial"/>
          <w:sz w:val="16"/>
          <w:szCs w:val="16"/>
        </w:rPr>
        <w:t xml:space="preserve"> </w:t>
      </w:r>
      <w:proofErr w:type="spellStart"/>
      <w:r w:rsidRPr="002201BD">
        <w:rPr>
          <w:rFonts w:ascii="Bookman Old Style" w:hAnsi="Bookman Old Style" w:cs="Arial"/>
          <w:sz w:val="16"/>
          <w:szCs w:val="16"/>
        </w:rPr>
        <w:t>Echandía</w:t>
      </w:r>
      <w:proofErr w:type="spellEnd"/>
      <w:r w:rsidRPr="002201BD">
        <w:rPr>
          <w:rFonts w:ascii="Bookman Old Style" w:hAnsi="Bookman Old Style" w:cs="Arial"/>
          <w:sz w:val="16"/>
          <w:szCs w:val="16"/>
        </w:rPr>
        <w:t>, Hernando, Compendio de Derecho Procesal, Tomo I, Pruebas Judiciales, Editorial Temis, 2002, págs. 264 y siguientes.</w:t>
      </w:r>
    </w:p>
  </w:footnote>
  <w:footnote w:id="12">
    <w:p w:rsidR="002201BD" w:rsidRPr="00745669" w:rsidRDefault="002201BD" w:rsidP="00745669">
      <w:pPr>
        <w:pStyle w:val="Textonotapie"/>
        <w:jc w:val="both"/>
        <w:rPr>
          <w:rFonts w:ascii="Bookman Old Style" w:hAnsi="Bookman Old Style" w:cs="Arial"/>
          <w:sz w:val="16"/>
          <w:szCs w:val="16"/>
        </w:rPr>
      </w:pPr>
      <w:r w:rsidRPr="00745669">
        <w:rPr>
          <w:rStyle w:val="Refdenotaalpie"/>
          <w:rFonts w:ascii="Bookman Old Style" w:hAnsi="Bookman Old Style"/>
          <w:sz w:val="16"/>
          <w:szCs w:val="16"/>
        </w:rPr>
        <w:footnoteRef/>
      </w:r>
      <w:r w:rsidRPr="00745669">
        <w:rPr>
          <w:rFonts w:ascii="Bookman Old Style" w:hAnsi="Bookman Old Style" w:cs="Arial"/>
          <w:sz w:val="16"/>
          <w:szCs w:val="16"/>
        </w:rPr>
        <w:t xml:space="preserve"> Consejo de Estado, Sala de lo Contencioso Administrativo, Sección Primera. C.P. Martha Sofía Sanz Tobón. Rad: 25000-23-24-000-2003-90943-01. Providencia del 26 de abril de 2007.</w:t>
      </w:r>
    </w:p>
  </w:footnote>
  <w:footnote w:id="13">
    <w:p w:rsidR="002201BD" w:rsidRPr="00745669" w:rsidRDefault="002201BD" w:rsidP="00745669">
      <w:pPr>
        <w:pStyle w:val="Textonotapie"/>
        <w:jc w:val="both"/>
        <w:rPr>
          <w:rFonts w:ascii="Bookman Old Style" w:hAnsi="Bookman Old Style" w:cs="Arial"/>
          <w:sz w:val="16"/>
          <w:szCs w:val="16"/>
        </w:rPr>
      </w:pPr>
      <w:r w:rsidRPr="00745669">
        <w:rPr>
          <w:rStyle w:val="Refdenotaalpie"/>
          <w:rFonts w:ascii="Bookman Old Style" w:hAnsi="Bookman Old Style"/>
          <w:sz w:val="16"/>
          <w:szCs w:val="16"/>
        </w:rPr>
        <w:footnoteRef/>
      </w:r>
      <w:r w:rsidRPr="00745669">
        <w:rPr>
          <w:rFonts w:ascii="Bookman Old Style" w:hAnsi="Bookman Old Style" w:cs="Arial"/>
          <w:sz w:val="16"/>
          <w:szCs w:val="16"/>
        </w:rPr>
        <w:t xml:space="preserve"> Consejo de Estado, Sala de lo Contencioso Administrativo, Sección Tercera. C.P. María Elena Giraldo Gómez. Rad. 52001-23-31-000-2002-00057-02(AP). Sentencia del 26 de enero de 2006.</w:t>
      </w:r>
    </w:p>
  </w:footnote>
  <w:footnote w:id="14">
    <w:p w:rsidR="002201BD" w:rsidRPr="00745669" w:rsidRDefault="002201BD" w:rsidP="00745669">
      <w:pPr>
        <w:pStyle w:val="Textonotapie"/>
        <w:jc w:val="both"/>
        <w:rPr>
          <w:rFonts w:ascii="Bookman Old Style" w:hAnsi="Bookman Old Style" w:cs="Arial"/>
          <w:sz w:val="16"/>
          <w:szCs w:val="16"/>
        </w:rPr>
      </w:pPr>
      <w:r w:rsidRPr="00745669">
        <w:rPr>
          <w:rStyle w:val="Refdenotaalpie"/>
          <w:rFonts w:ascii="Bookman Old Style" w:hAnsi="Bookman Old Style"/>
          <w:sz w:val="16"/>
          <w:szCs w:val="16"/>
        </w:rPr>
        <w:footnoteRef/>
      </w:r>
      <w:r w:rsidRPr="00745669">
        <w:rPr>
          <w:rFonts w:ascii="Bookman Old Style" w:hAnsi="Bookman Old Style" w:cs="Arial"/>
          <w:sz w:val="16"/>
          <w:szCs w:val="16"/>
        </w:rPr>
        <w:t xml:space="preserve"> Consejo de Estado, Sala de lo Contencioso Administrativo, Sección Segunda. C.P. Gustavo Eduardo Gómez Aranguren. Rad. 25000-23-25-000-2007-01109-02(1732-10). Sentencia del 17 de enero de 2011.</w:t>
      </w:r>
    </w:p>
  </w:footnote>
  <w:footnote w:id="15">
    <w:p w:rsidR="002201BD" w:rsidRPr="00745669" w:rsidRDefault="002201BD" w:rsidP="00745669">
      <w:pPr>
        <w:pStyle w:val="Textonotapie"/>
        <w:jc w:val="both"/>
        <w:rPr>
          <w:rFonts w:ascii="Bookman Old Style" w:hAnsi="Bookman Old Style" w:cs="Arial"/>
          <w:sz w:val="16"/>
          <w:szCs w:val="16"/>
        </w:rPr>
      </w:pPr>
      <w:r w:rsidRPr="00745669">
        <w:rPr>
          <w:rStyle w:val="Refdenotaalpie"/>
          <w:rFonts w:ascii="Bookman Old Style" w:hAnsi="Bookman Old Style"/>
          <w:sz w:val="16"/>
          <w:szCs w:val="16"/>
        </w:rPr>
        <w:footnoteRef/>
      </w:r>
      <w:r w:rsidRPr="00745669">
        <w:rPr>
          <w:rFonts w:ascii="Bookman Old Style" w:hAnsi="Bookman Old Style" w:cs="Arial"/>
          <w:sz w:val="16"/>
          <w:szCs w:val="16"/>
        </w:rPr>
        <w:t xml:space="preserve"> Corte Constitucional. Sentencia T-452 de 1998. M.P. Hernando Herrera Vergara.</w:t>
      </w:r>
    </w:p>
  </w:footnote>
  <w:footnote w:id="16">
    <w:p w:rsidR="002201BD" w:rsidRPr="00C870E1" w:rsidRDefault="002201BD" w:rsidP="00745669">
      <w:pPr>
        <w:pStyle w:val="Textonotapie"/>
        <w:jc w:val="both"/>
        <w:rPr>
          <w:rFonts w:cs="Arial"/>
          <w:sz w:val="18"/>
          <w:szCs w:val="18"/>
        </w:rPr>
      </w:pPr>
      <w:r w:rsidRPr="00745669">
        <w:rPr>
          <w:rStyle w:val="Refdenotaalpie"/>
          <w:rFonts w:ascii="Bookman Old Style" w:hAnsi="Bookman Old Style"/>
          <w:sz w:val="16"/>
          <w:szCs w:val="16"/>
        </w:rPr>
        <w:footnoteRef/>
      </w:r>
      <w:r w:rsidRPr="00745669">
        <w:rPr>
          <w:rFonts w:ascii="Bookman Old Style" w:hAnsi="Bookman Old Style" w:cs="Arial"/>
          <w:sz w:val="16"/>
          <w:szCs w:val="16"/>
        </w:rPr>
        <w:t xml:space="preserve"> Consejo de Estado, Sala de lo contencioso administrativo, Sección Primera, Consejero ponente: RAFAEL E. OSTAU DE LAFONT PIANETA, Bogotá D.C., cinco (5) de agosto de dos mil diez (2010) Radicación núm.: 11001 0324 000 2000 06252 01.</w:t>
      </w:r>
    </w:p>
  </w:footnote>
  <w:footnote w:id="17">
    <w:p w:rsidR="002201BD" w:rsidRPr="00BB7AEA" w:rsidRDefault="002201BD" w:rsidP="00543721">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1BD" w:rsidRDefault="002201BD" w:rsidP="00951F79">
    <w:pPr>
      <w:pStyle w:val="Ttulo1"/>
      <w:ind w:right="6"/>
      <w:jc w:val="left"/>
      <w:rPr>
        <w:rFonts w:ascii="Bookman Old Style" w:hAnsi="Bookman Old Style" w:cs="Arial"/>
        <w:b w:val="0"/>
        <w:sz w:val="22"/>
        <w:szCs w:val="22"/>
      </w:rPr>
    </w:pPr>
  </w:p>
  <w:p w:rsidR="002201BD" w:rsidRPr="00951F79" w:rsidRDefault="002201B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B6DD7">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B6DD7" w:rsidRPr="004B6DD7">
        <w:rPr>
          <w:rFonts w:ascii="Bookman Old Style" w:hAnsi="Bookman Old Style" w:cs="Arial"/>
          <w:b w:val="0"/>
          <w:noProof/>
          <w:sz w:val="22"/>
          <w:szCs w:val="22"/>
        </w:rPr>
        <w:t>25</w:t>
      </w:r>
    </w:fldSimple>
  </w:p>
  <w:p w:rsidR="002201BD" w:rsidRDefault="002201BD"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8A18C"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01BD" w:rsidRPr="00616D65" w:rsidRDefault="002201BD"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Pr>
        <w:rFonts w:ascii="Bookman Old Style" w:hAnsi="Bookman Old Style" w:cs="Arial"/>
        <w:sz w:val="22"/>
        <w:szCs w:val="22"/>
      </w:rPr>
      <w:t xml:space="preserve">Compañía de Servicios Públicos S.A. E.S.P.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2201BD" w:rsidRPr="00730C9E" w:rsidRDefault="002201BD"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8FD63D"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1BD" w:rsidRDefault="002201B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01BD" w:rsidRDefault="002201BD">
    <w:pPr>
      <w:pStyle w:val="Encabezado"/>
      <w:jc w:val="center"/>
      <w:rPr>
        <w:rFonts w:ascii="Arial" w:hAnsi="Arial" w:cs="Arial"/>
        <w:spacing w:val="20"/>
        <w:sz w:val="20"/>
      </w:rPr>
    </w:pPr>
  </w:p>
  <w:p w:rsidR="002201BD" w:rsidRDefault="002201BD"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2E11F"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0603AA"/>
    <w:multiLevelType w:val="hybridMultilevel"/>
    <w:tmpl w:val="6336A47C"/>
    <w:lvl w:ilvl="0" w:tplc="19CCFD62">
      <w:start w:val="190"/>
      <w:numFmt w:val="bullet"/>
      <w:lvlText w:val="-"/>
      <w:lvlJc w:val="left"/>
      <w:pPr>
        <w:ind w:left="1004" w:hanging="360"/>
      </w:pPr>
      <w:rPr>
        <w:rFonts w:ascii="Bookman Old Style" w:eastAsia="Times New Roman" w:hAnsi="Bookman Old Style"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3"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9" w15:restartNumberingAfterBreak="0">
    <w:nsid w:val="3EC01567"/>
    <w:multiLevelType w:val="hybridMultilevel"/>
    <w:tmpl w:val="AC723F76"/>
    <w:lvl w:ilvl="0" w:tplc="1AC07D2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DB57EF"/>
    <w:multiLevelType w:val="hybridMultilevel"/>
    <w:tmpl w:val="3000E24A"/>
    <w:lvl w:ilvl="0" w:tplc="301273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5"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C232DA5"/>
    <w:multiLevelType w:val="hybridMultilevel"/>
    <w:tmpl w:val="A1CA3EF2"/>
    <w:lvl w:ilvl="0" w:tplc="C5049EB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64B532B"/>
    <w:multiLevelType w:val="hybridMultilevel"/>
    <w:tmpl w:val="89D2C1A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5"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9680EF2"/>
    <w:multiLevelType w:val="hybridMultilevel"/>
    <w:tmpl w:val="DDB860DC"/>
    <w:lvl w:ilvl="0" w:tplc="7BB08B6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7"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1"/>
  </w:num>
  <w:num w:numId="4">
    <w:abstractNumId w:val="15"/>
  </w:num>
  <w:num w:numId="5">
    <w:abstractNumId w:val="30"/>
  </w:num>
  <w:num w:numId="6">
    <w:abstractNumId w:val="4"/>
  </w:num>
  <w:num w:numId="7">
    <w:abstractNumId w:val="3"/>
  </w:num>
  <w:num w:numId="8">
    <w:abstractNumId w:val="33"/>
  </w:num>
  <w:num w:numId="9">
    <w:abstractNumId w:val="31"/>
  </w:num>
  <w:num w:numId="10">
    <w:abstractNumId w:val="23"/>
  </w:num>
  <w:num w:numId="11">
    <w:abstractNumId w:val="42"/>
  </w:num>
  <w:num w:numId="12">
    <w:abstractNumId w:val="39"/>
  </w:num>
  <w:num w:numId="13">
    <w:abstractNumId w:val="17"/>
  </w:num>
  <w:num w:numId="14">
    <w:abstractNumId w:val="2"/>
  </w:num>
  <w:num w:numId="15">
    <w:abstractNumId w:val="24"/>
  </w:num>
  <w:num w:numId="16">
    <w:abstractNumId w:val="1"/>
  </w:num>
  <w:num w:numId="17">
    <w:abstractNumId w:val="40"/>
  </w:num>
  <w:num w:numId="18">
    <w:abstractNumId w:val="10"/>
  </w:num>
  <w:num w:numId="19">
    <w:abstractNumId w:val="25"/>
  </w:num>
  <w:num w:numId="20">
    <w:abstractNumId w:val="28"/>
  </w:num>
  <w:num w:numId="21">
    <w:abstractNumId w:val="38"/>
  </w:num>
  <w:num w:numId="22">
    <w:abstractNumId w:val="32"/>
  </w:num>
  <w:num w:numId="23">
    <w:abstractNumId w:val="37"/>
  </w:num>
  <w:num w:numId="24">
    <w:abstractNumId w:val="14"/>
  </w:num>
  <w:num w:numId="25">
    <w:abstractNumId w:val="11"/>
  </w:num>
  <w:num w:numId="26">
    <w:abstractNumId w:val="29"/>
  </w:num>
  <w:num w:numId="27">
    <w:abstractNumId w:val="8"/>
  </w:num>
  <w:num w:numId="28">
    <w:abstractNumId w:val="9"/>
  </w:num>
  <w:num w:numId="29">
    <w:abstractNumId w:val="16"/>
  </w:num>
  <w:num w:numId="30">
    <w:abstractNumId w:val="35"/>
  </w:num>
  <w:num w:numId="31">
    <w:abstractNumId w:val="13"/>
  </w:num>
  <w:num w:numId="32">
    <w:abstractNumId w:val="18"/>
  </w:num>
  <w:num w:numId="33">
    <w:abstractNumId w:val="34"/>
  </w:num>
  <w:num w:numId="34">
    <w:abstractNumId w:val="43"/>
  </w:num>
  <w:num w:numId="35">
    <w:abstractNumId w:val="5"/>
  </w:num>
  <w:num w:numId="36">
    <w:abstractNumId w:val="6"/>
  </w:num>
  <w:num w:numId="37">
    <w:abstractNumId w:val="0"/>
  </w:num>
  <w:num w:numId="38">
    <w:abstractNumId w:val="19"/>
  </w:num>
  <w:num w:numId="39">
    <w:abstractNumId w:val="12"/>
  </w:num>
  <w:num w:numId="40">
    <w:abstractNumId w:val="36"/>
  </w:num>
  <w:num w:numId="41">
    <w:abstractNumId w:val="27"/>
  </w:num>
  <w:num w:numId="42">
    <w:abstractNumId w:val="20"/>
  </w:num>
  <w:num w:numId="43">
    <w:abstractNumId w:val="2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034D"/>
    <w:rsid w:val="000337A6"/>
    <w:rsid w:val="00034816"/>
    <w:rsid w:val="00034C6F"/>
    <w:rsid w:val="00034F40"/>
    <w:rsid w:val="000432F7"/>
    <w:rsid w:val="0004674A"/>
    <w:rsid w:val="00050346"/>
    <w:rsid w:val="000537E8"/>
    <w:rsid w:val="00060D57"/>
    <w:rsid w:val="000623A6"/>
    <w:rsid w:val="00063657"/>
    <w:rsid w:val="00065504"/>
    <w:rsid w:val="000657E2"/>
    <w:rsid w:val="00066D23"/>
    <w:rsid w:val="00067308"/>
    <w:rsid w:val="00070222"/>
    <w:rsid w:val="00070B2B"/>
    <w:rsid w:val="0007175C"/>
    <w:rsid w:val="00072400"/>
    <w:rsid w:val="0007402F"/>
    <w:rsid w:val="0007548D"/>
    <w:rsid w:val="00076680"/>
    <w:rsid w:val="00076A1D"/>
    <w:rsid w:val="0008073E"/>
    <w:rsid w:val="00084B8C"/>
    <w:rsid w:val="000867FA"/>
    <w:rsid w:val="00087733"/>
    <w:rsid w:val="0009092F"/>
    <w:rsid w:val="00090E52"/>
    <w:rsid w:val="00091CDB"/>
    <w:rsid w:val="00092215"/>
    <w:rsid w:val="00096E1F"/>
    <w:rsid w:val="00097013"/>
    <w:rsid w:val="000A061F"/>
    <w:rsid w:val="000A19AC"/>
    <w:rsid w:val="000A2705"/>
    <w:rsid w:val="000B03C2"/>
    <w:rsid w:val="000B20EA"/>
    <w:rsid w:val="000B27E6"/>
    <w:rsid w:val="000B48BF"/>
    <w:rsid w:val="000B4B19"/>
    <w:rsid w:val="000B52EA"/>
    <w:rsid w:val="000B667A"/>
    <w:rsid w:val="000C27EB"/>
    <w:rsid w:val="000C6FE5"/>
    <w:rsid w:val="000D22D4"/>
    <w:rsid w:val="000D26F8"/>
    <w:rsid w:val="000E01B8"/>
    <w:rsid w:val="000E38F7"/>
    <w:rsid w:val="000E4A6C"/>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291"/>
    <w:rsid w:val="001635F2"/>
    <w:rsid w:val="0016590D"/>
    <w:rsid w:val="001670CB"/>
    <w:rsid w:val="00167993"/>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6767"/>
    <w:rsid w:val="00217BEC"/>
    <w:rsid w:val="002201BD"/>
    <w:rsid w:val="002205E2"/>
    <w:rsid w:val="00221498"/>
    <w:rsid w:val="00223B98"/>
    <w:rsid w:val="00226B1A"/>
    <w:rsid w:val="00233E7D"/>
    <w:rsid w:val="00240455"/>
    <w:rsid w:val="00241399"/>
    <w:rsid w:val="00241733"/>
    <w:rsid w:val="00241898"/>
    <w:rsid w:val="00241F57"/>
    <w:rsid w:val="00244B23"/>
    <w:rsid w:val="00244C3F"/>
    <w:rsid w:val="00246AA1"/>
    <w:rsid w:val="00246C1A"/>
    <w:rsid w:val="002528AF"/>
    <w:rsid w:val="00253E07"/>
    <w:rsid w:val="002606C2"/>
    <w:rsid w:val="002606F0"/>
    <w:rsid w:val="00260CE3"/>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5546"/>
    <w:rsid w:val="002D23DD"/>
    <w:rsid w:val="002D3AE9"/>
    <w:rsid w:val="002D4510"/>
    <w:rsid w:val="002D656D"/>
    <w:rsid w:val="002D6B5D"/>
    <w:rsid w:val="002D7D3D"/>
    <w:rsid w:val="002E06B1"/>
    <w:rsid w:val="002E3349"/>
    <w:rsid w:val="002E4038"/>
    <w:rsid w:val="002F0734"/>
    <w:rsid w:val="002F32A4"/>
    <w:rsid w:val="002F46E7"/>
    <w:rsid w:val="002F5A0E"/>
    <w:rsid w:val="002F6DFF"/>
    <w:rsid w:val="00304121"/>
    <w:rsid w:val="00306779"/>
    <w:rsid w:val="003101DA"/>
    <w:rsid w:val="00314757"/>
    <w:rsid w:val="00316A9A"/>
    <w:rsid w:val="00317791"/>
    <w:rsid w:val="003211CE"/>
    <w:rsid w:val="003234E2"/>
    <w:rsid w:val="0032669A"/>
    <w:rsid w:val="00332B81"/>
    <w:rsid w:val="00332BE1"/>
    <w:rsid w:val="003330F3"/>
    <w:rsid w:val="00333DFB"/>
    <w:rsid w:val="00335916"/>
    <w:rsid w:val="00341341"/>
    <w:rsid w:val="00346E50"/>
    <w:rsid w:val="0035403A"/>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6B33"/>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90647"/>
    <w:rsid w:val="00491E18"/>
    <w:rsid w:val="004926FE"/>
    <w:rsid w:val="00493726"/>
    <w:rsid w:val="00495A52"/>
    <w:rsid w:val="004960E9"/>
    <w:rsid w:val="004A2E88"/>
    <w:rsid w:val="004A3A4A"/>
    <w:rsid w:val="004A5305"/>
    <w:rsid w:val="004A6EE1"/>
    <w:rsid w:val="004B0C00"/>
    <w:rsid w:val="004B6DD7"/>
    <w:rsid w:val="004B78C1"/>
    <w:rsid w:val="004C0BFE"/>
    <w:rsid w:val="004C19C2"/>
    <w:rsid w:val="004C7BD8"/>
    <w:rsid w:val="004D19FA"/>
    <w:rsid w:val="004D1BE8"/>
    <w:rsid w:val="004D3045"/>
    <w:rsid w:val="004D7634"/>
    <w:rsid w:val="004D7892"/>
    <w:rsid w:val="004E1536"/>
    <w:rsid w:val="004E198F"/>
    <w:rsid w:val="004E33F2"/>
    <w:rsid w:val="004F3744"/>
    <w:rsid w:val="004F7D1F"/>
    <w:rsid w:val="0050015E"/>
    <w:rsid w:val="00503267"/>
    <w:rsid w:val="0051257C"/>
    <w:rsid w:val="00513865"/>
    <w:rsid w:val="00514DCC"/>
    <w:rsid w:val="005150C7"/>
    <w:rsid w:val="00515932"/>
    <w:rsid w:val="00521349"/>
    <w:rsid w:val="005217A1"/>
    <w:rsid w:val="005256C8"/>
    <w:rsid w:val="005300D3"/>
    <w:rsid w:val="00535B16"/>
    <w:rsid w:val="00536323"/>
    <w:rsid w:val="0054284F"/>
    <w:rsid w:val="00543721"/>
    <w:rsid w:val="00544F82"/>
    <w:rsid w:val="005457C2"/>
    <w:rsid w:val="00547183"/>
    <w:rsid w:val="005536C8"/>
    <w:rsid w:val="005544E8"/>
    <w:rsid w:val="00554FFF"/>
    <w:rsid w:val="00557C22"/>
    <w:rsid w:val="00562ADC"/>
    <w:rsid w:val="00567915"/>
    <w:rsid w:val="00573970"/>
    <w:rsid w:val="00573C98"/>
    <w:rsid w:val="005750EF"/>
    <w:rsid w:val="00575ABF"/>
    <w:rsid w:val="00581094"/>
    <w:rsid w:val="0058201E"/>
    <w:rsid w:val="00593C4F"/>
    <w:rsid w:val="005946A8"/>
    <w:rsid w:val="00596B5A"/>
    <w:rsid w:val="00596EEA"/>
    <w:rsid w:val="00596EFA"/>
    <w:rsid w:val="005972F1"/>
    <w:rsid w:val="005A0D57"/>
    <w:rsid w:val="005A1309"/>
    <w:rsid w:val="005A4407"/>
    <w:rsid w:val="005A59EF"/>
    <w:rsid w:val="005A6E1A"/>
    <w:rsid w:val="005B1B14"/>
    <w:rsid w:val="005B47F5"/>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2CEA"/>
    <w:rsid w:val="00616D65"/>
    <w:rsid w:val="0062102E"/>
    <w:rsid w:val="00621590"/>
    <w:rsid w:val="006234BC"/>
    <w:rsid w:val="00625DC6"/>
    <w:rsid w:val="00630F5A"/>
    <w:rsid w:val="00631E8F"/>
    <w:rsid w:val="00634DC7"/>
    <w:rsid w:val="00635B0A"/>
    <w:rsid w:val="00640301"/>
    <w:rsid w:val="00640E4D"/>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3C10"/>
    <w:rsid w:val="006D3E42"/>
    <w:rsid w:val="006D5418"/>
    <w:rsid w:val="006D6139"/>
    <w:rsid w:val="006D79D9"/>
    <w:rsid w:val="006E6198"/>
    <w:rsid w:val="006E73A5"/>
    <w:rsid w:val="006F02B8"/>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0F3F"/>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45669"/>
    <w:rsid w:val="007507BF"/>
    <w:rsid w:val="00751023"/>
    <w:rsid w:val="00755165"/>
    <w:rsid w:val="00755A34"/>
    <w:rsid w:val="00757F63"/>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75"/>
    <w:rsid w:val="007974F9"/>
    <w:rsid w:val="007A0C7B"/>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7F278C"/>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8CB"/>
    <w:rsid w:val="00836006"/>
    <w:rsid w:val="008403F6"/>
    <w:rsid w:val="00850F85"/>
    <w:rsid w:val="00854C37"/>
    <w:rsid w:val="0085598C"/>
    <w:rsid w:val="00862B36"/>
    <w:rsid w:val="00864289"/>
    <w:rsid w:val="00865BD4"/>
    <w:rsid w:val="008679A0"/>
    <w:rsid w:val="00873150"/>
    <w:rsid w:val="00875358"/>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C1130"/>
    <w:rsid w:val="008C3095"/>
    <w:rsid w:val="008C6481"/>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0CA0"/>
    <w:rsid w:val="009011F4"/>
    <w:rsid w:val="00902D87"/>
    <w:rsid w:val="0090417A"/>
    <w:rsid w:val="0090775A"/>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3809"/>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0879"/>
    <w:rsid w:val="00A04C6F"/>
    <w:rsid w:val="00A10A0B"/>
    <w:rsid w:val="00A1296D"/>
    <w:rsid w:val="00A16385"/>
    <w:rsid w:val="00A21A33"/>
    <w:rsid w:val="00A22D58"/>
    <w:rsid w:val="00A23A1B"/>
    <w:rsid w:val="00A25FD7"/>
    <w:rsid w:val="00A30197"/>
    <w:rsid w:val="00A35FEF"/>
    <w:rsid w:val="00A40EC5"/>
    <w:rsid w:val="00A419BB"/>
    <w:rsid w:val="00A42FAB"/>
    <w:rsid w:val="00A433C5"/>
    <w:rsid w:val="00A43AFF"/>
    <w:rsid w:val="00A478A0"/>
    <w:rsid w:val="00A47F3A"/>
    <w:rsid w:val="00A50502"/>
    <w:rsid w:val="00A5373F"/>
    <w:rsid w:val="00A54052"/>
    <w:rsid w:val="00A631A3"/>
    <w:rsid w:val="00A654DC"/>
    <w:rsid w:val="00A658CC"/>
    <w:rsid w:val="00A70F81"/>
    <w:rsid w:val="00A74AF2"/>
    <w:rsid w:val="00A7793A"/>
    <w:rsid w:val="00A8027B"/>
    <w:rsid w:val="00A87B7A"/>
    <w:rsid w:val="00AA4CC7"/>
    <w:rsid w:val="00AA4F68"/>
    <w:rsid w:val="00AA5E8E"/>
    <w:rsid w:val="00AB2A7D"/>
    <w:rsid w:val="00AB2ACC"/>
    <w:rsid w:val="00AB6CA7"/>
    <w:rsid w:val="00AB6CE2"/>
    <w:rsid w:val="00AC20F9"/>
    <w:rsid w:val="00AC453E"/>
    <w:rsid w:val="00AC4A3F"/>
    <w:rsid w:val="00AC7A58"/>
    <w:rsid w:val="00AD01E4"/>
    <w:rsid w:val="00AD0844"/>
    <w:rsid w:val="00AD0858"/>
    <w:rsid w:val="00AD1559"/>
    <w:rsid w:val="00AD4DB6"/>
    <w:rsid w:val="00AD5E02"/>
    <w:rsid w:val="00AE556C"/>
    <w:rsid w:val="00AE7340"/>
    <w:rsid w:val="00AE7DA4"/>
    <w:rsid w:val="00AF1558"/>
    <w:rsid w:val="00AF1BBD"/>
    <w:rsid w:val="00AF3B72"/>
    <w:rsid w:val="00AF6DEF"/>
    <w:rsid w:val="00B01B73"/>
    <w:rsid w:val="00B04B81"/>
    <w:rsid w:val="00B05626"/>
    <w:rsid w:val="00B05914"/>
    <w:rsid w:val="00B10207"/>
    <w:rsid w:val="00B13E0A"/>
    <w:rsid w:val="00B13E74"/>
    <w:rsid w:val="00B141E7"/>
    <w:rsid w:val="00B16D10"/>
    <w:rsid w:val="00B23A09"/>
    <w:rsid w:val="00B309B2"/>
    <w:rsid w:val="00B31959"/>
    <w:rsid w:val="00B351B4"/>
    <w:rsid w:val="00B36712"/>
    <w:rsid w:val="00B36FE8"/>
    <w:rsid w:val="00B46BCA"/>
    <w:rsid w:val="00B4775D"/>
    <w:rsid w:val="00B526A3"/>
    <w:rsid w:val="00B54F3C"/>
    <w:rsid w:val="00B55F26"/>
    <w:rsid w:val="00B563ED"/>
    <w:rsid w:val="00B60A3F"/>
    <w:rsid w:val="00B60A77"/>
    <w:rsid w:val="00B63B12"/>
    <w:rsid w:val="00B64E92"/>
    <w:rsid w:val="00B747A1"/>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67CD"/>
    <w:rsid w:val="00BA698C"/>
    <w:rsid w:val="00BB076C"/>
    <w:rsid w:val="00BC2BE8"/>
    <w:rsid w:val="00BC38FD"/>
    <w:rsid w:val="00BC4AE4"/>
    <w:rsid w:val="00BC794F"/>
    <w:rsid w:val="00BD0385"/>
    <w:rsid w:val="00BD0898"/>
    <w:rsid w:val="00BD1622"/>
    <w:rsid w:val="00BD3267"/>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670B"/>
    <w:rsid w:val="00C322F9"/>
    <w:rsid w:val="00C350E9"/>
    <w:rsid w:val="00C3527A"/>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517C"/>
    <w:rsid w:val="00C7629F"/>
    <w:rsid w:val="00C820DC"/>
    <w:rsid w:val="00C85364"/>
    <w:rsid w:val="00C856A2"/>
    <w:rsid w:val="00C8661B"/>
    <w:rsid w:val="00C90ED8"/>
    <w:rsid w:val="00C9491C"/>
    <w:rsid w:val="00CA139A"/>
    <w:rsid w:val="00CA2899"/>
    <w:rsid w:val="00CA2B1D"/>
    <w:rsid w:val="00CA3A3D"/>
    <w:rsid w:val="00CA77FB"/>
    <w:rsid w:val="00CB379B"/>
    <w:rsid w:val="00CB3D87"/>
    <w:rsid w:val="00CB460F"/>
    <w:rsid w:val="00CB4ACB"/>
    <w:rsid w:val="00CB5DD0"/>
    <w:rsid w:val="00CB605B"/>
    <w:rsid w:val="00CB7F94"/>
    <w:rsid w:val="00CC0B0B"/>
    <w:rsid w:val="00CC51D4"/>
    <w:rsid w:val="00CC65DA"/>
    <w:rsid w:val="00CC782F"/>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A42"/>
    <w:rsid w:val="00D74BAC"/>
    <w:rsid w:val="00D82268"/>
    <w:rsid w:val="00D83101"/>
    <w:rsid w:val="00D83249"/>
    <w:rsid w:val="00D84F46"/>
    <w:rsid w:val="00D92EC6"/>
    <w:rsid w:val="00D95493"/>
    <w:rsid w:val="00D96E9A"/>
    <w:rsid w:val="00DA0D65"/>
    <w:rsid w:val="00DA3ED9"/>
    <w:rsid w:val="00DA4135"/>
    <w:rsid w:val="00DA4BB6"/>
    <w:rsid w:val="00DB122B"/>
    <w:rsid w:val="00DB7AC1"/>
    <w:rsid w:val="00DC2818"/>
    <w:rsid w:val="00DC2D17"/>
    <w:rsid w:val="00DC3340"/>
    <w:rsid w:val="00DD192E"/>
    <w:rsid w:val="00DD3CE8"/>
    <w:rsid w:val="00DD4F0E"/>
    <w:rsid w:val="00DE4017"/>
    <w:rsid w:val="00DF070D"/>
    <w:rsid w:val="00DF0BF0"/>
    <w:rsid w:val="00DF465D"/>
    <w:rsid w:val="00DF4E15"/>
    <w:rsid w:val="00DF4F58"/>
    <w:rsid w:val="00DF5A57"/>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E6670"/>
    <w:rsid w:val="00EF3822"/>
    <w:rsid w:val="00EF78A2"/>
    <w:rsid w:val="00F0000A"/>
    <w:rsid w:val="00F01F07"/>
    <w:rsid w:val="00F03154"/>
    <w:rsid w:val="00F0499E"/>
    <w:rsid w:val="00F06BB2"/>
    <w:rsid w:val="00F0759E"/>
    <w:rsid w:val="00F1260B"/>
    <w:rsid w:val="00F14B80"/>
    <w:rsid w:val="00F15477"/>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30ED"/>
    <w:rsid w:val="00F75127"/>
    <w:rsid w:val="00F75280"/>
    <w:rsid w:val="00F821A3"/>
    <w:rsid w:val="00F9314A"/>
    <w:rsid w:val="00F95C9F"/>
    <w:rsid w:val="00FA0494"/>
    <w:rsid w:val="00FA049B"/>
    <w:rsid w:val="00FA717D"/>
    <w:rsid w:val="00FA79AB"/>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06D5DCB-FF00-4F32-9548-02C7EA7F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 w:type="character" w:customStyle="1" w:styleId="CharStyle10">
    <w:name w:val="Char Style 10"/>
    <w:link w:val="Style9"/>
    <w:uiPriority w:val="99"/>
    <w:rsid w:val="008403F6"/>
    <w:rPr>
      <w:shd w:val="clear" w:color="auto" w:fill="FFFFFF"/>
    </w:rPr>
  </w:style>
  <w:style w:type="character" w:customStyle="1" w:styleId="CharStyle23">
    <w:name w:val="Char Style 23"/>
    <w:uiPriority w:val="99"/>
    <w:rsid w:val="008403F6"/>
    <w:rPr>
      <w:b/>
      <w:bCs/>
      <w:sz w:val="20"/>
      <w:szCs w:val="20"/>
      <w:shd w:val="clear" w:color="auto" w:fill="FFFFFF"/>
    </w:rPr>
  </w:style>
  <w:style w:type="character" w:customStyle="1" w:styleId="CharStyle24">
    <w:name w:val="Char Style 24"/>
    <w:uiPriority w:val="99"/>
    <w:rsid w:val="008403F6"/>
  </w:style>
  <w:style w:type="paragraph" w:customStyle="1" w:styleId="Style9">
    <w:name w:val="Style 9"/>
    <w:basedOn w:val="Normal"/>
    <w:link w:val="CharStyle10"/>
    <w:uiPriority w:val="99"/>
    <w:rsid w:val="008403F6"/>
    <w:pPr>
      <w:widowControl w:val="0"/>
      <w:shd w:val="clear" w:color="auto" w:fill="FFFFFF"/>
      <w:spacing w:line="240" w:lineRule="atLeast"/>
      <w:ind w:left="0" w:hanging="360"/>
      <w:jc w:val="both"/>
    </w:pPr>
    <w:rPr>
      <w:sz w:val="20"/>
      <w:szCs w:val="20"/>
      <w:lang w:val="es-CO" w:eastAsia="es-CO"/>
    </w:rPr>
  </w:style>
  <w:style w:type="character" w:customStyle="1" w:styleId="CharStyle29">
    <w:name w:val="Char Style 29"/>
    <w:link w:val="Style28"/>
    <w:uiPriority w:val="99"/>
    <w:rsid w:val="005B47F5"/>
    <w:rPr>
      <w:spacing w:val="-10"/>
      <w:sz w:val="22"/>
      <w:szCs w:val="22"/>
      <w:shd w:val="clear" w:color="auto" w:fill="FFFFFF"/>
    </w:rPr>
  </w:style>
  <w:style w:type="character" w:customStyle="1" w:styleId="CharStyle31">
    <w:name w:val="Char Style 31"/>
    <w:uiPriority w:val="99"/>
    <w:rsid w:val="005B47F5"/>
    <w:rPr>
      <w:spacing w:val="0"/>
      <w:sz w:val="17"/>
      <w:szCs w:val="17"/>
      <w:shd w:val="clear" w:color="auto" w:fill="FFFFFF"/>
    </w:rPr>
  </w:style>
  <w:style w:type="paragraph" w:customStyle="1" w:styleId="Style28">
    <w:name w:val="Style 28"/>
    <w:basedOn w:val="Normal"/>
    <w:link w:val="CharStyle29"/>
    <w:uiPriority w:val="99"/>
    <w:rsid w:val="005B47F5"/>
    <w:pPr>
      <w:widowControl w:val="0"/>
      <w:shd w:val="clear" w:color="auto" w:fill="FFFFFF"/>
      <w:spacing w:after="60" w:line="240" w:lineRule="atLeast"/>
      <w:ind w:left="0" w:hanging="1060"/>
    </w:pPr>
    <w:rPr>
      <w:spacing w:val="-10"/>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1324-FF56-4C48-B153-70DF74CE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25</Pages>
  <Words>10434</Words>
  <Characters>55125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2016-12-07T17:20:00Z</dcterms:created>
  <dcterms:modified xsi:type="dcterms:W3CDTF">2016-12-07T17:20:00Z</dcterms:modified>
</cp:coreProperties>
</file>