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8548DB"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083"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264921">
        <w:rPr>
          <w:rFonts w:ascii="Bookman Old Style" w:hAnsi="Bookman Old Style"/>
          <w:bCs/>
          <w:lang w:val="es-CO"/>
        </w:rPr>
        <w:t>Electrogas</w:t>
      </w:r>
      <w:r w:rsidR="00C11DE1">
        <w:rPr>
          <w:rFonts w:ascii="Bookman Old Style" w:hAnsi="Bookman Old Style"/>
          <w:bCs/>
          <w:lang w:val="es-CO"/>
        </w:rPr>
        <w:t xml:space="preserve"> S.A.</w:t>
      </w:r>
      <w:r w:rsidR="00970C82">
        <w:rPr>
          <w:rFonts w:ascii="Bookman Old Style" w:hAnsi="Bookman Old Style"/>
          <w:bCs/>
          <w:lang w:val="es-CO"/>
        </w:rPr>
        <w:t xml:space="preserve"> E.S.P.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E0255B" w:rsidRDefault="00E0255B"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E0255B"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8548DB"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8548DB"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8548DB"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E0255B"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E0255B"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E0255B" w:rsidRDefault="008548DB"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8548DB"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8548DB"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E0255B" w:rsidRDefault="00E0255B"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E0255B"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E0255B"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E0255B" w:rsidRDefault="00E0255B"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E0255B" w:rsidRDefault="00E0255B"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E0255B"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E0255B" w:rsidRDefault="00E0255B"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E0255B"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E0255B"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E65043">
        <w:rPr>
          <w:rFonts w:ascii="Bookman Old Style" w:hAnsi="Bookman Old Style" w:cs="Arial"/>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E65043">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FC5D62" w:rsidRDefault="00EC3BB2" w:rsidP="00BD1622">
      <w:pPr>
        <w:ind w:left="284" w:right="284"/>
        <w:jc w:val="both"/>
        <w:rPr>
          <w:rFonts w:ascii="Bookman Old Style" w:hAnsi="Bookman Old Style" w:cs="Arial"/>
          <w:color w:val="000000"/>
          <w:sz w:val="22"/>
          <w:szCs w:val="22"/>
          <w:lang w:val="es-CO" w:eastAsia="es-CO"/>
        </w:rPr>
      </w:pPr>
      <w:r w:rsidRPr="00FC5D62">
        <w:rPr>
          <w:rFonts w:ascii="Bookman Old Style" w:eastAsia="MS Mincho" w:hAnsi="Bookman Old Style" w:cs="Arial"/>
          <w:b/>
          <w:sz w:val="22"/>
          <w:szCs w:val="22"/>
          <w:lang w:eastAsia="en-US"/>
        </w:rPr>
        <w:t xml:space="preserve">“Artículo 1º. Capacidad de Compra: </w:t>
      </w:r>
      <w:r w:rsidRPr="00FC5D62">
        <w:rPr>
          <w:rFonts w:ascii="Bookman Old Style" w:eastAsia="MS Mincho" w:hAnsi="Bookman Old Style" w:cs="Arial"/>
          <w:sz w:val="22"/>
          <w:szCs w:val="22"/>
          <w:lang w:eastAsia="en-US"/>
        </w:rPr>
        <w:t xml:space="preserve">La siguiente corresponde a la Capacidad de Compra </w:t>
      </w:r>
      <w:r w:rsidRPr="00FC5D62">
        <w:rPr>
          <w:rFonts w:ascii="Bookman Old Style" w:hAnsi="Bookman Old Style" w:cs="Arial"/>
          <w:iCs/>
          <w:sz w:val="22"/>
          <w:szCs w:val="22"/>
          <w:lang w:val="es-CO" w:eastAsia="en-US"/>
        </w:rPr>
        <w:t>para cada uno de los códigos SUI de las empresas</w:t>
      </w:r>
      <w:r w:rsidRPr="00FC5D62">
        <w:rPr>
          <w:rFonts w:ascii="Bookman Old Style" w:hAnsi="Bookman Old Style" w:cs="Arial"/>
          <w:color w:val="000000"/>
          <w:sz w:val="22"/>
          <w:szCs w:val="22"/>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7856" w:type="dxa"/>
        <w:jc w:val="center"/>
        <w:tblCellMar>
          <w:left w:w="70" w:type="dxa"/>
          <w:right w:w="70" w:type="dxa"/>
        </w:tblCellMar>
        <w:tblLook w:val="04A0" w:firstRow="1" w:lastRow="0" w:firstColumn="1" w:lastColumn="0" w:noHBand="0" w:noVBand="1"/>
      </w:tblPr>
      <w:tblGrid>
        <w:gridCol w:w="1421"/>
        <w:gridCol w:w="4460"/>
        <w:gridCol w:w="1975"/>
      </w:tblGrid>
      <w:tr w:rsidR="00EC3BB2" w:rsidRPr="00BD1622" w:rsidTr="00E0255B">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E0255B">
            <w:pPr>
              <w:ind w:left="68"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460"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E0255B">
            <w:pPr>
              <w:ind w:left="68"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975"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E0255B">
            <w:pPr>
              <w:ind w:left="68"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6D7643" w:rsidRPr="00834338" w:rsidTr="00E0255B">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vAlign w:val="center"/>
            <w:hideMark/>
          </w:tcPr>
          <w:p w:rsidR="006D7643" w:rsidRPr="00834338" w:rsidRDefault="006D7643" w:rsidP="00E0255B">
            <w:pPr>
              <w:ind w:left="68"/>
              <w:rPr>
                <w:rFonts w:ascii="Bookman Old Style" w:hAnsi="Bookman Old Style"/>
                <w:sz w:val="20"/>
                <w:szCs w:val="20"/>
              </w:rPr>
            </w:pPr>
            <w:r w:rsidRPr="00834338">
              <w:rPr>
                <w:rFonts w:ascii="Bookman Old Style" w:hAnsi="Bookman Old Style"/>
                <w:sz w:val="20"/>
                <w:szCs w:val="20"/>
              </w:rPr>
              <w:t>1564</w:t>
            </w:r>
          </w:p>
        </w:tc>
        <w:tc>
          <w:tcPr>
            <w:tcW w:w="4460" w:type="dxa"/>
            <w:tcBorders>
              <w:top w:val="nil"/>
              <w:left w:val="nil"/>
              <w:bottom w:val="single" w:sz="4" w:space="0" w:color="auto"/>
              <w:right w:val="single" w:sz="4" w:space="0" w:color="auto"/>
            </w:tcBorders>
            <w:shd w:val="clear" w:color="auto" w:fill="auto"/>
            <w:noWrap/>
            <w:vAlign w:val="center"/>
            <w:hideMark/>
          </w:tcPr>
          <w:p w:rsidR="006D7643" w:rsidRPr="00834338" w:rsidRDefault="006D7643" w:rsidP="00E0255B">
            <w:pPr>
              <w:ind w:left="68"/>
              <w:rPr>
                <w:rFonts w:ascii="Bookman Old Style" w:hAnsi="Bookman Old Style"/>
                <w:sz w:val="20"/>
                <w:szCs w:val="20"/>
              </w:rPr>
            </w:pPr>
            <w:r w:rsidRPr="00834338">
              <w:rPr>
                <w:rFonts w:ascii="Bookman Old Style" w:hAnsi="Bookman Old Style"/>
                <w:sz w:val="20"/>
                <w:szCs w:val="20"/>
              </w:rPr>
              <w:t>ELECTROGAS S.A. E.S.P.</w:t>
            </w:r>
          </w:p>
        </w:tc>
        <w:tc>
          <w:tcPr>
            <w:tcW w:w="1975" w:type="dxa"/>
            <w:tcBorders>
              <w:top w:val="nil"/>
              <w:left w:val="nil"/>
              <w:bottom w:val="single" w:sz="4" w:space="0" w:color="auto"/>
              <w:right w:val="single" w:sz="4" w:space="0" w:color="auto"/>
            </w:tcBorders>
            <w:shd w:val="clear" w:color="auto" w:fill="auto"/>
            <w:noWrap/>
            <w:vAlign w:val="center"/>
            <w:hideMark/>
          </w:tcPr>
          <w:p w:rsidR="006D7643" w:rsidRPr="00834338" w:rsidRDefault="006D7643" w:rsidP="00E0255B">
            <w:pPr>
              <w:ind w:left="68"/>
              <w:rPr>
                <w:rFonts w:ascii="Bookman Old Style" w:hAnsi="Bookman Old Style"/>
                <w:sz w:val="20"/>
                <w:szCs w:val="20"/>
              </w:rPr>
            </w:pPr>
            <w:r w:rsidRPr="00834338">
              <w:rPr>
                <w:rFonts w:ascii="Bookman Old Style" w:hAnsi="Bookman Old Style"/>
                <w:sz w:val="20"/>
                <w:szCs w:val="20"/>
              </w:rPr>
              <w:t>1.813.431</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FC5D62" w:rsidRDefault="00EC3BB2" w:rsidP="00BD1622">
      <w:pPr>
        <w:ind w:left="284" w:right="284"/>
        <w:jc w:val="both"/>
        <w:rPr>
          <w:rFonts w:ascii="Bookman Old Style" w:eastAsia="MS Mincho" w:hAnsi="Bookman Old Style" w:cs="Arial"/>
          <w:sz w:val="22"/>
          <w:szCs w:val="22"/>
          <w:lang w:val="es-CO" w:eastAsia="en-US"/>
        </w:rPr>
      </w:pPr>
      <w:r w:rsidRPr="00FC5D62">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834338">
        <w:rPr>
          <w:rFonts w:ascii="Bookman Old Style" w:hAnsi="Bookman Old Style" w:cs="Arial"/>
          <w:spacing w:val="-5"/>
          <w:lang w:val="es-CO" w:eastAsia="en-US"/>
        </w:rPr>
        <w:t>008044</w:t>
      </w:r>
      <w:r w:rsidRPr="00EC3BB2">
        <w:rPr>
          <w:rFonts w:ascii="Bookman Old Style" w:hAnsi="Bookman Old Style" w:cs="Arial"/>
          <w:spacing w:val="-5"/>
          <w:lang w:val="es-CO" w:eastAsia="en-US"/>
        </w:rPr>
        <w:t xml:space="preserve"> de </w:t>
      </w:r>
      <w:r w:rsidR="00834338">
        <w:rPr>
          <w:rFonts w:ascii="Bookman Old Style" w:hAnsi="Bookman Old Style" w:cs="Arial"/>
          <w:spacing w:val="-5"/>
          <w:lang w:val="es-CO" w:eastAsia="en-US"/>
        </w:rPr>
        <w:t>18</w:t>
      </w:r>
      <w:r w:rsidRPr="00EC3BB2">
        <w:rPr>
          <w:rFonts w:ascii="Bookman Old Style" w:hAnsi="Bookman Old Style" w:cs="Arial"/>
          <w:spacing w:val="-5"/>
          <w:lang w:val="es-CO" w:eastAsia="en-US"/>
        </w:rPr>
        <w:t xml:space="preserve"> de </w:t>
      </w:r>
      <w:r w:rsidR="000E38F7">
        <w:rPr>
          <w:rFonts w:ascii="Bookman Old Style" w:hAnsi="Bookman Old Style" w:cs="Arial"/>
          <w:spacing w:val="-5"/>
          <w:lang w:val="es-CO" w:eastAsia="en-US"/>
        </w:rPr>
        <w:t>julio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834338">
        <w:rPr>
          <w:rFonts w:ascii="Bookman Old Style" w:hAnsi="Bookman Old Style" w:cs="Arial"/>
          <w:spacing w:val="-5"/>
          <w:lang w:val="es-CO" w:eastAsia="en-US"/>
        </w:rPr>
        <w:t>Electrogas</w:t>
      </w:r>
      <w:r w:rsidR="009004E0">
        <w:rPr>
          <w:rFonts w:ascii="Bookman Old Style" w:hAnsi="Bookman Old Style" w:cs="Arial"/>
          <w:spacing w:val="-5"/>
          <w:lang w:val="es-CO" w:eastAsia="en-US"/>
        </w:rPr>
        <w:t xml:space="preserve"> S.A.</w:t>
      </w:r>
      <w:r w:rsidR="000E38F7">
        <w:rPr>
          <w:rFonts w:ascii="Bookman Old Style" w:hAnsi="Bookman Old Style" w:cs="Arial"/>
          <w:spacing w:val="-5"/>
          <w:lang w:val="es-CO" w:eastAsia="en-US"/>
        </w:rPr>
        <w:t xml:space="preserve"> E.S</w:t>
      </w:r>
      <w:r w:rsidR="00EA1547">
        <w:rPr>
          <w:rFonts w:ascii="Bookman Old Style" w:hAnsi="Bookman Old Style" w:cs="Arial"/>
          <w:spacing w:val="-5"/>
          <w:lang w:val="es-CO" w:eastAsia="en-US"/>
        </w:rPr>
        <w:t>.</w:t>
      </w:r>
      <w:r w:rsidR="000E38F7">
        <w:rPr>
          <w:rFonts w:ascii="Bookman Old Style" w:hAnsi="Bookman Old Style" w:cs="Arial"/>
          <w:spacing w:val="-5"/>
          <w:lang w:val="es-CO" w:eastAsia="en-US"/>
        </w:rPr>
        <w:t>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834338" w:rsidRDefault="00EC3BB2" w:rsidP="00834338">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834338">
        <w:rPr>
          <w:rFonts w:ascii="Bookman Old Style" w:hAnsi="Bookman Old Style" w:cs="Arial"/>
          <w:i/>
          <w:sz w:val="22"/>
          <w:szCs w:val="22"/>
        </w:rPr>
        <w:t>1. Que se modifique la Resolución CREG 075 del 25 de mayo de 2016.</w:t>
      </w:r>
    </w:p>
    <w:p w:rsidR="00834338" w:rsidRDefault="00834338" w:rsidP="00834338">
      <w:pPr>
        <w:ind w:left="284" w:right="284"/>
        <w:jc w:val="both"/>
        <w:rPr>
          <w:rFonts w:ascii="Bookman Old Style" w:hAnsi="Bookman Old Style" w:cs="Arial"/>
          <w:i/>
          <w:sz w:val="22"/>
          <w:szCs w:val="22"/>
        </w:rPr>
      </w:pPr>
    </w:p>
    <w:p w:rsidR="00EC3BB2" w:rsidRPr="00EC3BB2" w:rsidRDefault="00834338" w:rsidP="00834338">
      <w:pPr>
        <w:ind w:left="284" w:right="284"/>
        <w:jc w:val="both"/>
        <w:rPr>
          <w:rFonts w:ascii="Bookman Old Style" w:hAnsi="Bookman Old Style" w:cs="Arial"/>
          <w:i/>
          <w:sz w:val="22"/>
          <w:szCs w:val="22"/>
        </w:rPr>
      </w:pPr>
      <w:r>
        <w:rPr>
          <w:rFonts w:ascii="Bookman Old Style" w:hAnsi="Bookman Old Style" w:cs="Arial"/>
          <w:i/>
          <w:sz w:val="22"/>
          <w:szCs w:val="22"/>
        </w:rPr>
        <w:t>2. Que se dicte otra resolución, en la que se establezca la capacidad de compra de ELECTROGAS, es de mínimo 65.856 cilindros</w:t>
      </w:r>
      <w:r w:rsidR="00EC3BB2" w:rsidRPr="00EC3BB2">
        <w:rPr>
          <w:rFonts w:ascii="Bookman Old Style" w:hAnsi="Bookman Old Style" w:cs="Arial"/>
          <w:i/>
          <w:sz w:val="22"/>
          <w:szCs w:val="22"/>
        </w:rPr>
        <w:t>”</w:t>
      </w:r>
    </w:p>
    <w:p w:rsidR="009004E0" w:rsidRDefault="009004E0" w:rsidP="009004E0">
      <w:pPr>
        <w:pStyle w:val="Textoindependiente2"/>
        <w:spacing w:after="0" w:line="240" w:lineRule="auto"/>
        <w:ind w:left="0" w:right="-142"/>
        <w:jc w:val="both"/>
        <w:rPr>
          <w:rFonts w:ascii="Bookman Old Style" w:hAnsi="Bookman Old Style" w:cs="Arial"/>
          <w:spacing w:val="-5"/>
          <w:lang w:val="es-CO" w:eastAsia="en-US"/>
        </w:rPr>
      </w:pPr>
    </w:p>
    <w:p w:rsidR="009004E0" w:rsidRDefault="009004E0" w:rsidP="00EE6670">
      <w:pPr>
        <w:pStyle w:val="Textoindependiente2"/>
        <w:spacing w:after="0" w:line="240" w:lineRule="auto"/>
        <w:ind w:left="-142" w:right="-142"/>
        <w:jc w:val="both"/>
        <w:rPr>
          <w:rFonts w:ascii="Bookman Old Style" w:hAnsi="Bookman Old Style" w:cs="Arial"/>
          <w:spacing w:val="-5"/>
          <w:lang w:val="es-CO" w:eastAsia="en-US"/>
        </w:rPr>
      </w:pPr>
      <w:r w:rsidRPr="009004E0">
        <w:rPr>
          <w:rFonts w:ascii="Bookman Old Style" w:hAnsi="Bookman Old Style" w:cs="Arial"/>
          <w:spacing w:val="-5"/>
          <w:lang w:val="es-CO" w:eastAsia="en-US"/>
        </w:rPr>
        <w:t xml:space="preserve">La Resolución CREG 075 de 2016 fue notificada a </w:t>
      </w:r>
      <w:r w:rsidR="00834338">
        <w:rPr>
          <w:rFonts w:ascii="Bookman Old Style" w:hAnsi="Bookman Old Style" w:cs="Arial"/>
          <w:spacing w:val="-5"/>
          <w:lang w:val="es-CO" w:eastAsia="en-US"/>
        </w:rPr>
        <w:t>Electrogas</w:t>
      </w:r>
      <w:r w:rsidRPr="009004E0">
        <w:rPr>
          <w:rFonts w:ascii="Bookman Old Style" w:hAnsi="Bookman Old Style" w:cs="Arial"/>
          <w:spacing w:val="-5"/>
          <w:lang w:val="es-CO" w:eastAsia="en-US"/>
        </w:rPr>
        <w:t xml:space="preserve"> mediante Aviso 114 de 2016, </w:t>
      </w:r>
      <w:r w:rsidR="00321C61">
        <w:rPr>
          <w:rFonts w:ascii="Bookman Old Style" w:hAnsi="Bookman Old Style" w:cs="Arial"/>
          <w:spacing w:val="-5"/>
          <w:lang w:val="es-CO" w:eastAsia="en-US"/>
        </w:rPr>
        <w:t>con fecha de notificación del 19</w:t>
      </w:r>
      <w:r w:rsidRPr="009004E0">
        <w:rPr>
          <w:rFonts w:ascii="Bookman Old Style" w:hAnsi="Bookman Old Style" w:cs="Arial"/>
          <w:spacing w:val="-5"/>
          <w:lang w:val="es-CO" w:eastAsia="en-US"/>
        </w:rPr>
        <w:t xml:space="preserve"> de julio de 2016 atendiendo lo dispuesto en el artículo 69  de la Ley 1437 de 2011</w:t>
      </w:r>
      <w:r w:rsidR="00EE6670">
        <w:rPr>
          <w:rFonts w:ascii="Bookman Old Style" w:hAnsi="Bookman Old Style" w:cs="Arial"/>
          <w:spacing w:val="-5"/>
          <w:lang w:val="es-CO" w:eastAsia="en-US"/>
        </w:rPr>
        <w:t xml:space="preserve">, </w:t>
      </w:r>
      <w:r w:rsidR="00EE6670" w:rsidRPr="00EE6670">
        <w:rPr>
          <w:rFonts w:ascii="Bookman Old Style" w:hAnsi="Bookman Old Style" w:cs="Arial"/>
          <w:spacing w:val="-5"/>
          <w:lang w:val="es-CO" w:eastAsia="en-US"/>
        </w:rPr>
        <w:t>el cual establece que dicha notificación por aviso se considerará surtida al finalizar el día siguiente al de la entrega del aviso en el lugar de destin</w:t>
      </w:r>
      <w:r w:rsidR="00EE6670">
        <w:rPr>
          <w:rFonts w:ascii="Bookman Old Style" w:hAnsi="Bookman Old Style" w:cs="Arial"/>
          <w:spacing w:val="-5"/>
          <w:lang w:val="es-CO" w:eastAsia="en-US"/>
        </w:rPr>
        <w:t>o</w:t>
      </w:r>
      <w:r>
        <w:rPr>
          <w:rFonts w:ascii="Bookman Old Style" w:hAnsi="Bookman Old Style" w:cs="Arial"/>
          <w:spacing w:val="-5"/>
          <w:lang w:val="es-CO" w:eastAsia="en-US"/>
        </w:rPr>
        <w:t>.</w:t>
      </w:r>
    </w:p>
    <w:p w:rsidR="002C5546" w:rsidRPr="00EC3BB2" w:rsidRDefault="002C5546" w:rsidP="009004E0">
      <w:pPr>
        <w:pStyle w:val="Textoindependiente2"/>
        <w:spacing w:after="0" w:line="240" w:lineRule="auto"/>
        <w:ind w:left="0" w:right="-142"/>
        <w:jc w:val="both"/>
        <w:rPr>
          <w:rFonts w:ascii="Bookman Old Style" w:hAnsi="Bookman Old Style" w:cs="Arial"/>
          <w:spacing w:val="-5"/>
          <w:lang w:val="es-CO" w:eastAsia="en-US"/>
        </w:rPr>
      </w:pPr>
    </w:p>
    <w:p w:rsidR="002C5546" w:rsidRDefault="002C5546" w:rsidP="002C5546">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321C61">
        <w:rPr>
          <w:rFonts w:ascii="Bookman Old Style" w:hAnsi="Bookman Old Style" w:cs="Arial"/>
          <w:spacing w:val="-5"/>
          <w:lang w:val="es-CO" w:eastAsia="en-US"/>
        </w:rPr>
        <w:t>19</w:t>
      </w:r>
      <w:r>
        <w:rPr>
          <w:rFonts w:ascii="Bookman Old Style" w:hAnsi="Bookman Old Style" w:cs="Arial"/>
          <w:spacing w:val="-5"/>
          <w:lang w:val="es-CO" w:eastAsia="en-US"/>
        </w:rPr>
        <w:t xml:space="preserve"> de </w:t>
      </w:r>
      <w:r w:rsidR="009E6478">
        <w:rPr>
          <w:rFonts w:ascii="Bookman Old Style" w:hAnsi="Bookman Old Style" w:cs="Arial"/>
          <w:spacing w:val="-5"/>
          <w:lang w:val="es-CO" w:eastAsia="en-US"/>
        </w:rPr>
        <w:t>julio</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3"/>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EE6670">
        <w:rPr>
          <w:rFonts w:ascii="Bookman Old Style" w:hAnsi="Bookman Old Style"/>
          <w:szCs w:val="27"/>
        </w:rPr>
        <w:t>Gases Popayán</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B86758" w:rsidRDefault="008563F0" w:rsidP="00EE6670">
      <w:pPr>
        <w:ind w:left="284" w:right="284"/>
        <w:jc w:val="both"/>
        <w:rPr>
          <w:rFonts w:ascii="Bookman Old Style" w:hAnsi="Bookman Old Style" w:cs="Arial"/>
          <w:i/>
          <w:sz w:val="22"/>
          <w:szCs w:val="22"/>
        </w:rPr>
      </w:pPr>
      <w:r>
        <w:rPr>
          <w:rFonts w:ascii="Bookman Old Style" w:hAnsi="Bookman Old Style" w:cs="Arial"/>
          <w:i/>
          <w:sz w:val="22"/>
          <w:szCs w:val="22"/>
        </w:rPr>
        <w:t>“Esti</w:t>
      </w:r>
      <w:r w:rsidR="00321C61">
        <w:rPr>
          <w:rFonts w:ascii="Bookman Old Style" w:hAnsi="Bookman Old Style" w:cs="Arial"/>
          <w:i/>
          <w:sz w:val="22"/>
          <w:szCs w:val="22"/>
        </w:rPr>
        <w:t xml:space="preserve">ma la CREG, para efectos de definir la capacidad de compra de la empresa Electrogas S.A. E.S.P., que esta se determina con un total de 58.153 cilindros. Sin embargo, debe </w:t>
      </w:r>
      <w:r w:rsidR="00B86758">
        <w:rPr>
          <w:rFonts w:ascii="Bookman Old Style" w:hAnsi="Bookman Old Style" w:cs="Arial"/>
          <w:i/>
          <w:sz w:val="22"/>
          <w:szCs w:val="22"/>
        </w:rPr>
        <w:t>observarse</w:t>
      </w:r>
      <w:r w:rsidR="00321C61">
        <w:rPr>
          <w:rFonts w:ascii="Bookman Old Style" w:hAnsi="Bookman Old Style" w:cs="Arial"/>
          <w:i/>
          <w:sz w:val="22"/>
          <w:szCs w:val="22"/>
        </w:rPr>
        <w:t xml:space="preserve"> que la empresa Electrogas tiene más </w:t>
      </w:r>
      <w:r w:rsidR="00B86758">
        <w:rPr>
          <w:rFonts w:ascii="Bookman Old Style" w:hAnsi="Bookman Old Style" w:cs="Arial"/>
          <w:i/>
          <w:sz w:val="22"/>
          <w:szCs w:val="22"/>
        </w:rPr>
        <w:t xml:space="preserve">capacidad de compra por cuanto el conteo de cilindros por parte de la CREG tiene inconsistencias serias, </w:t>
      </w:r>
      <w:r w:rsidR="00B86758" w:rsidRPr="00B86758">
        <w:rPr>
          <w:rFonts w:ascii="Bookman Old Style" w:hAnsi="Bookman Old Style" w:cs="Arial"/>
          <w:i/>
          <w:sz w:val="22"/>
          <w:szCs w:val="22"/>
          <w:u w:val="single"/>
        </w:rPr>
        <w:t>debido principalmente a que la información recopilada acusa vacíos debido a la eta</w:t>
      </w:r>
      <w:r w:rsidR="00B86758">
        <w:rPr>
          <w:rFonts w:ascii="Bookman Old Style" w:hAnsi="Bookman Old Style" w:cs="Arial"/>
          <w:i/>
          <w:sz w:val="22"/>
          <w:szCs w:val="22"/>
          <w:u w:val="single"/>
        </w:rPr>
        <w:t>p</w:t>
      </w:r>
      <w:r w:rsidR="00B86758" w:rsidRPr="00B86758">
        <w:rPr>
          <w:rFonts w:ascii="Bookman Old Style" w:hAnsi="Bookman Old Style" w:cs="Arial"/>
          <w:i/>
          <w:sz w:val="22"/>
          <w:szCs w:val="22"/>
          <w:u w:val="single"/>
        </w:rPr>
        <w:t>a de transición entre el desaparecido SIGMA y la migración del SUI</w:t>
      </w:r>
      <w:r w:rsidR="00B86758">
        <w:rPr>
          <w:rFonts w:ascii="Bookman Old Style" w:hAnsi="Bookman Old Style" w:cs="Arial"/>
          <w:i/>
          <w:sz w:val="22"/>
          <w:szCs w:val="22"/>
        </w:rPr>
        <w:t>.</w:t>
      </w:r>
    </w:p>
    <w:p w:rsidR="00B86758" w:rsidRDefault="00B86758" w:rsidP="00EE6670">
      <w:pPr>
        <w:ind w:left="284" w:right="284"/>
        <w:jc w:val="both"/>
        <w:rPr>
          <w:rFonts w:ascii="Bookman Old Style" w:hAnsi="Bookman Old Style" w:cs="Arial"/>
          <w:i/>
          <w:sz w:val="22"/>
          <w:szCs w:val="22"/>
        </w:rPr>
      </w:pPr>
    </w:p>
    <w:p w:rsidR="004F2B19" w:rsidRDefault="00B86758" w:rsidP="00EE6670">
      <w:pPr>
        <w:ind w:left="284" w:right="284"/>
        <w:jc w:val="both"/>
        <w:rPr>
          <w:rFonts w:ascii="Bookman Old Style" w:hAnsi="Bookman Old Style" w:cs="Arial"/>
          <w:i/>
          <w:sz w:val="22"/>
          <w:szCs w:val="22"/>
        </w:rPr>
      </w:pPr>
      <w:r>
        <w:rPr>
          <w:rFonts w:ascii="Bookman Old Style" w:hAnsi="Bookman Old Style" w:cs="Arial"/>
          <w:i/>
          <w:sz w:val="22"/>
          <w:szCs w:val="22"/>
        </w:rPr>
        <w:t>Entonces para el efecto de fundamentar el recurso y sobre todo para dejar clara nuestra capacidad de compra hemos de hacer llegar al ente rector este escrito, con los anexos que prueban que nuestra capacidad de compra debe basarse en 65.856 cilindros, suma que no es arbitraria y nace u origina en el censo de cilindros nuevos y adecuados conforme a las actas de entrega y registro</w:t>
      </w:r>
      <w:r w:rsidR="004F2B19">
        <w:rPr>
          <w:rFonts w:ascii="Bookman Old Style" w:hAnsi="Bookman Old Style" w:cs="Arial"/>
          <w:i/>
          <w:sz w:val="22"/>
          <w:szCs w:val="22"/>
        </w:rPr>
        <w:t xml:space="preserve"> en el SIGMA de cilindros nuevos marcados y adecuados. Al efecto le hago un resumen sintético de las Actas y de las fechas de entrega.</w:t>
      </w:r>
    </w:p>
    <w:p w:rsidR="004F2B19" w:rsidRDefault="004F2B19" w:rsidP="00EE6670">
      <w:pPr>
        <w:ind w:left="284" w:right="284"/>
        <w:jc w:val="both"/>
        <w:rPr>
          <w:rFonts w:ascii="Bookman Old Style" w:hAnsi="Bookman Old Style" w:cs="Arial"/>
          <w:i/>
          <w:sz w:val="22"/>
          <w:szCs w:val="22"/>
        </w:rPr>
      </w:pPr>
    </w:p>
    <w:p w:rsidR="004F2B19" w:rsidRDefault="004F2B19" w:rsidP="00EE6670">
      <w:pPr>
        <w:ind w:left="284" w:right="284"/>
        <w:jc w:val="both"/>
        <w:rPr>
          <w:rFonts w:ascii="Bookman Old Style" w:hAnsi="Bookman Old Style" w:cs="Arial"/>
          <w:i/>
          <w:sz w:val="22"/>
          <w:szCs w:val="22"/>
        </w:rPr>
      </w:pPr>
      <w:r>
        <w:rPr>
          <w:rFonts w:ascii="Bookman Old Style" w:hAnsi="Bookman Old Style" w:cs="Arial"/>
          <w:i/>
          <w:sz w:val="22"/>
          <w:szCs w:val="22"/>
        </w:rPr>
        <w:t>Debemos hacer notar que Electrogas no era responsable de registrar los cilindros nuevos y adecuados en el SIGMA, era responsabilidad de la fábrica y la empresa interventora. Así las cosas, cada acta era suscrita, en ese orden de ideas, por la empresa que fabricaba los cilindros y por el interventor. Al no tener ninguna intervención la empresa en este conteo, pues naturalmente no podíamos quitar ni poner, y, en honor a la verdad, debemos aceptar el resultado de las actas como vamos a aclarar más adelante.</w:t>
      </w:r>
    </w:p>
    <w:p w:rsidR="004F2B19" w:rsidRDefault="004F2B19" w:rsidP="00EE6670">
      <w:pPr>
        <w:ind w:left="284" w:right="284"/>
        <w:jc w:val="both"/>
        <w:rPr>
          <w:rFonts w:ascii="Bookman Old Style" w:hAnsi="Bookman Old Style" w:cs="Arial"/>
          <w:i/>
          <w:sz w:val="22"/>
          <w:szCs w:val="22"/>
        </w:rPr>
      </w:pPr>
    </w:p>
    <w:p w:rsidR="004F2B19" w:rsidRDefault="004F2B19" w:rsidP="00EE6670">
      <w:pPr>
        <w:ind w:left="284" w:right="284"/>
        <w:jc w:val="both"/>
        <w:rPr>
          <w:rFonts w:ascii="Bookman Old Style" w:hAnsi="Bookman Old Style" w:cs="Arial"/>
          <w:i/>
          <w:sz w:val="22"/>
          <w:szCs w:val="22"/>
        </w:rPr>
      </w:pPr>
      <w:r>
        <w:rPr>
          <w:rFonts w:ascii="Bookman Old Style" w:hAnsi="Bookman Old Style" w:cs="Arial"/>
          <w:i/>
          <w:sz w:val="22"/>
          <w:szCs w:val="22"/>
        </w:rPr>
        <w:t>También debemos hacer notar que en momento de cerrar el SIGMA no se nos entregó un consolidado de la información, lo que para efectos de la publicidad y de transparencia, hubiera sido lo más adecuado, teniendo en cuenta que el sistema iba a cambiar y naturalmente, como quiera que sin datos recogidos por un ente estatal autorizado para ello, son importantísimos para las empresas, lo más normal era que arrojara un dato fiable sobre el número de cilindros. Pero el paso del SIGMA al SUI y el tiempo de migración de la información entre los dos entes, tardo mucho tiempo, y en ese tiempo ninguno de los dos sistemas se podía consultar.</w:t>
      </w:r>
    </w:p>
    <w:p w:rsidR="004F2B19" w:rsidRDefault="004F2B19" w:rsidP="00EE6670">
      <w:pPr>
        <w:ind w:left="284" w:right="284"/>
        <w:jc w:val="both"/>
        <w:rPr>
          <w:rFonts w:ascii="Bookman Old Style" w:hAnsi="Bookman Old Style" w:cs="Arial"/>
          <w:i/>
          <w:sz w:val="22"/>
          <w:szCs w:val="22"/>
        </w:rPr>
      </w:pPr>
    </w:p>
    <w:p w:rsidR="000F3985" w:rsidRDefault="00C248D0" w:rsidP="00EE6670">
      <w:pPr>
        <w:ind w:left="284" w:right="284"/>
        <w:jc w:val="both"/>
        <w:rPr>
          <w:rFonts w:ascii="Bookman Old Style" w:hAnsi="Bookman Old Style" w:cs="Arial"/>
          <w:i/>
          <w:sz w:val="22"/>
          <w:szCs w:val="22"/>
        </w:rPr>
      </w:pPr>
      <w:r>
        <w:rPr>
          <w:rFonts w:ascii="Bookman Old Style" w:hAnsi="Bookman Old Style" w:cs="Arial"/>
          <w:i/>
          <w:sz w:val="22"/>
          <w:szCs w:val="22"/>
        </w:rPr>
        <w:t>Una vez en funcionamiento el SUI, no se informó a los distribuidores que la información estaba disponible y como consultarla</w:t>
      </w:r>
      <w:r w:rsidR="000F3985">
        <w:rPr>
          <w:rFonts w:ascii="Bookman Old Style" w:hAnsi="Bookman Old Style" w:cs="Arial"/>
          <w:i/>
          <w:sz w:val="22"/>
          <w:szCs w:val="22"/>
        </w:rPr>
        <w:t>.</w:t>
      </w:r>
    </w:p>
    <w:p w:rsidR="000F3985" w:rsidRDefault="000F3985" w:rsidP="00EE6670">
      <w:pPr>
        <w:ind w:left="284" w:right="284"/>
        <w:jc w:val="both"/>
        <w:rPr>
          <w:rFonts w:ascii="Bookman Old Style" w:hAnsi="Bookman Old Style" w:cs="Arial"/>
          <w:i/>
          <w:sz w:val="22"/>
          <w:szCs w:val="22"/>
        </w:rPr>
      </w:pPr>
    </w:p>
    <w:p w:rsidR="000F3985" w:rsidRDefault="000F3985" w:rsidP="00EE6670">
      <w:pPr>
        <w:ind w:left="284" w:right="284"/>
        <w:jc w:val="both"/>
        <w:rPr>
          <w:rFonts w:ascii="Bookman Old Style" w:hAnsi="Bookman Old Style" w:cs="Arial"/>
          <w:i/>
          <w:sz w:val="22"/>
          <w:szCs w:val="22"/>
        </w:rPr>
      </w:pPr>
      <w:r>
        <w:rPr>
          <w:rFonts w:ascii="Bookman Old Style" w:hAnsi="Bookman Old Style" w:cs="Arial"/>
          <w:i/>
          <w:sz w:val="22"/>
          <w:szCs w:val="22"/>
        </w:rPr>
        <w:t>El SUI, como era de esperarse, no ofrece un consolidado de la información para  realizar la verificación de rápidamente, hay que bajar archivo pro archivo y sumar, incurriendo en posibles errores, para obtener esta información, consolidada y confiables hay que solicitarla a la Superservicios, la cual tarda su tiempo en entregarla, por ejemplo se solicitó el 16 de junio de 2016 y a la fecha de elaboración de este recurso no se ha recibido.</w:t>
      </w:r>
    </w:p>
    <w:p w:rsidR="000F3985" w:rsidRDefault="000F3985" w:rsidP="00EE6670">
      <w:pPr>
        <w:ind w:left="284" w:right="284"/>
        <w:jc w:val="both"/>
        <w:rPr>
          <w:rFonts w:ascii="Bookman Old Style" w:hAnsi="Bookman Old Style" w:cs="Arial"/>
          <w:i/>
          <w:sz w:val="22"/>
          <w:szCs w:val="22"/>
        </w:rPr>
      </w:pPr>
    </w:p>
    <w:p w:rsidR="000F3985" w:rsidRDefault="000F3985" w:rsidP="00EE6670">
      <w:pPr>
        <w:ind w:left="284" w:right="284"/>
        <w:jc w:val="both"/>
        <w:rPr>
          <w:rFonts w:ascii="Bookman Old Style" w:hAnsi="Bookman Old Style" w:cs="Arial"/>
          <w:i/>
          <w:sz w:val="22"/>
          <w:szCs w:val="22"/>
        </w:rPr>
      </w:pPr>
      <w:r>
        <w:rPr>
          <w:rFonts w:ascii="Bookman Old Style" w:hAnsi="Bookman Old Style" w:cs="Arial"/>
          <w:i/>
          <w:sz w:val="22"/>
          <w:szCs w:val="22"/>
        </w:rPr>
        <w:t>Empero también allegaremos como material probatorio fundante del recurso, todas y cada una d las actas donde fueron suscritas para el registro en el SIGMA. Esta la metología (sic) que utilizamos, por cuanto, se reitera, el consolidado tarda en llegar.</w:t>
      </w:r>
    </w:p>
    <w:p w:rsidR="000F3985" w:rsidRDefault="000F3985" w:rsidP="00EE6670">
      <w:pPr>
        <w:ind w:left="284" w:right="284"/>
        <w:jc w:val="both"/>
        <w:rPr>
          <w:rFonts w:ascii="Bookman Old Style" w:hAnsi="Bookman Old Style" w:cs="Arial"/>
          <w:i/>
          <w:sz w:val="22"/>
          <w:szCs w:val="22"/>
        </w:rPr>
      </w:pPr>
    </w:p>
    <w:p w:rsidR="00BA698C" w:rsidRDefault="000F3985" w:rsidP="001102F8">
      <w:pPr>
        <w:ind w:left="284" w:right="284"/>
        <w:jc w:val="both"/>
        <w:rPr>
          <w:rFonts w:ascii="Bookman Old Style" w:hAnsi="Bookman Old Style" w:cs="Arial"/>
          <w:i/>
          <w:sz w:val="22"/>
          <w:szCs w:val="22"/>
        </w:rPr>
      </w:pPr>
      <w:r>
        <w:rPr>
          <w:rFonts w:ascii="Bookman Old Style" w:hAnsi="Bookman Old Style" w:cs="Arial"/>
          <w:i/>
          <w:sz w:val="22"/>
          <w:szCs w:val="22"/>
        </w:rPr>
        <w:lastRenderedPageBreak/>
        <w:t xml:space="preserve">Como podemos observar a simple vista se trata de verificar la suma de la totalidad de los cilindros contenidos en las actas para darnos cuenta que lo allegado por Electrogas S.A. E.S.P. es cierto, que su capacidad de compra excede lo consignado en la Resolución CREG 075 de 2016. Bástenos pues agregar el ente rector el caudal probatorio de donde fluye inequívocamente que la suma de la totalidad de las actas registradas en el SIGMA, establece un margen de error censal por parte de la Superintendencia de Servicios Públicos Domiciliarios. Ahora, como lo hicimos notar antes, esto obedece a la transición entre dos sistemas, es decir el paso del </w:t>
      </w:r>
      <w:r w:rsidR="001102F8">
        <w:rPr>
          <w:rFonts w:ascii="Bookman Old Style" w:hAnsi="Bookman Old Style" w:cs="Arial"/>
          <w:i/>
          <w:sz w:val="22"/>
          <w:szCs w:val="22"/>
        </w:rPr>
        <w:t>sistema SIGMA al sistema SUI, normalmente este cambio trae consecuencias en la información dispersa y alguna se pierde. Sin embargo la empresa ha sido juiciosa y consiente en que su actuar tenga huella indeleble, por ello en nuestros archivos reposa toda la información sobre la marcación de cilindros, los cilindros nuevos y adecuados. Entonces dejamos que el material probatorio de la existencia de los cilindros hable por si sólo y que la CREG por la meda comprobación aritmética de la suma de las actas, revoque la Resolución CREG 075 de 2015, en lo que atinente a la capacidad de compra de la empresa para reformarla teniendo en cuenta los cilindros de más que se censan en este recurso</w:t>
      </w:r>
      <w:r w:rsidR="00C248D0">
        <w:rPr>
          <w:rFonts w:ascii="Bookman Old Style" w:hAnsi="Bookman Old Style" w:cs="Arial"/>
          <w:i/>
          <w:sz w:val="22"/>
          <w:szCs w:val="22"/>
        </w:rPr>
        <w:t>”</w:t>
      </w:r>
    </w:p>
    <w:p w:rsidR="00EE6670" w:rsidRDefault="00EE6670" w:rsidP="00D126E3">
      <w:pPr>
        <w:widowControl w:val="0"/>
        <w:tabs>
          <w:tab w:val="right" w:pos="9498"/>
        </w:tabs>
        <w:adjustRightInd w:val="0"/>
        <w:ind w:left="0" w:right="-142"/>
        <w:jc w:val="both"/>
        <w:rPr>
          <w:rFonts w:ascii="Bookman Old Style" w:hAnsi="Bookman Old Style" w:cs="Arial"/>
          <w:i/>
          <w:sz w:val="22"/>
          <w:szCs w:val="22"/>
        </w:rPr>
      </w:pPr>
    </w:p>
    <w:p w:rsidR="001102F8" w:rsidRPr="008563F0" w:rsidRDefault="001102F8" w:rsidP="008563F0">
      <w:pPr>
        <w:pStyle w:val="Textoindependiente2"/>
        <w:spacing w:after="0" w:line="240" w:lineRule="auto"/>
        <w:ind w:left="-142" w:right="-142"/>
        <w:jc w:val="both"/>
        <w:rPr>
          <w:rFonts w:ascii="Bookman Old Style" w:hAnsi="Bookman Old Style"/>
          <w:szCs w:val="27"/>
        </w:rPr>
      </w:pPr>
      <w:r w:rsidRPr="008563F0">
        <w:rPr>
          <w:rFonts w:ascii="Bookman Old Style" w:hAnsi="Bookman Old Style"/>
          <w:szCs w:val="27"/>
        </w:rPr>
        <w:t xml:space="preserve">En este sentido, la empresa </w:t>
      </w:r>
      <w:r w:rsidR="008563F0">
        <w:rPr>
          <w:rFonts w:ascii="Bookman Old Style" w:hAnsi="Bookman Old Style"/>
          <w:szCs w:val="27"/>
        </w:rPr>
        <w:t xml:space="preserve">adjunta </w:t>
      </w:r>
      <w:r w:rsidRPr="008563F0">
        <w:rPr>
          <w:rFonts w:ascii="Bookman Old Style" w:hAnsi="Bookman Old Style"/>
          <w:szCs w:val="27"/>
        </w:rPr>
        <w:t>como prueba copia de las actas que manifiesta en el contenido del recurso.</w:t>
      </w:r>
    </w:p>
    <w:p w:rsidR="001102F8" w:rsidRDefault="001102F8" w:rsidP="00D126E3">
      <w:pPr>
        <w:widowControl w:val="0"/>
        <w:tabs>
          <w:tab w:val="right" w:pos="9498"/>
        </w:tabs>
        <w:adjustRightInd w:val="0"/>
        <w:ind w:left="0" w:right="-142"/>
        <w:jc w:val="both"/>
        <w:rPr>
          <w:rFonts w:ascii="Bookman Old Style" w:hAnsi="Bookman Old Style" w:cs="Arial"/>
          <w:i/>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relación con el número de cilindros efectivamente reportados por </w:t>
      </w:r>
      <w:r w:rsidR="001102F8">
        <w:rPr>
          <w:rFonts w:ascii="Bookman Old Style" w:hAnsi="Bookman Old Style"/>
          <w:szCs w:val="27"/>
        </w:rPr>
        <w:t>Electrogas</w:t>
      </w:r>
      <w:r w:rsidR="008563F0">
        <w:rPr>
          <w:rFonts w:ascii="Bookman Old Style" w:hAnsi="Bookman Old Style"/>
          <w:szCs w:val="27"/>
        </w:rPr>
        <w:t xml:space="preserve"> a m</w:t>
      </w:r>
      <w:r w:rsidRPr="00EE6670">
        <w:rPr>
          <w:rFonts w:ascii="Bookman Old Style" w:hAnsi="Bookman Old Style"/>
          <w:szCs w:val="27"/>
        </w:rPr>
        <w:t xml:space="preserve">ayo de 2016, esta Comisión atendiendo a sus facultades en 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w:t>
      </w:r>
      <w:r w:rsidRPr="00EE6670">
        <w:rPr>
          <w:rFonts w:ascii="Bookman Old Style" w:hAnsi="Bookman Old Style" w:cs="Arial"/>
          <w:i/>
          <w:sz w:val="22"/>
          <w:szCs w:val="22"/>
        </w:rPr>
        <w:lastRenderedPageBreak/>
        <w:t>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D5953" w:rsidP="00ED5953">
      <w:pPr>
        <w:pStyle w:val="Textoindependiente2"/>
        <w:spacing w:after="0" w:line="240" w:lineRule="auto"/>
        <w:ind w:left="-142" w:right="-142"/>
        <w:jc w:val="both"/>
        <w:rPr>
          <w:rFonts w:ascii="Bookman Old Style" w:hAnsi="Bookman Old Style"/>
          <w:szCs w:val="27"/>
        </w:rPr>
      </w:pPr>
      <w:r w:rsidRPr="00ED5953">
        <w:rPr>
          <w:rFonts w:ascii="Bookman Old Style" w:hAnsi="Bookman Old Style"/>
          <w:szCs w:val="27"/>
        </w:rPr>
        <w:t>Mediante oficios con radicado CREG E-2016-010390 de 23 de septiembre y E-2016-010452 de septiembre 30 de 2016 la Superintendencia de Servicios Públicos Domiciliarios</w:t>
      </w:r>
      <w:r>
        <w:rPr>
          <w:rFonts w:ascii="Bookman Old Style" w:hAnsi="Bookman Old Style"/>
          <w:szCs w:val="27"/>
        </w:rPr>
        <w:t xml:space="preserve"> </w:t>
      </w:r>
      <w:r w:rsidR="004822BE">
        <w:rPr>
          <w:rFonts w:ascii="Bookman Old Style" w:hAnsi="Bookman Old Style"/>
          <w:szCs w:val="27"/>
        </w:rPr>
        <w:t xml:space="preserve">remitió la información solicitada por esta Comisión. En atención a lo anterior procederá esta Comisión a exponer el análisis de los resultados de la misma, así como resolver las consideraciones y argumentos expuestos por parte de </w:t>
      </w:r>
      <w:r w:rsidR="008563F0">
        <w:rPr>
          <w:rFonts w:ascii="Bookman Old Style" w:hAnsi="Bookman Old Style"/>
          <w:szCs w:val="27"/>
        </w:rPr>
        <w:t>Electrogas</w:t>
      </w:r>
      <w:r w:rsidR="004822BE">
        <w:rPr>
          <w:rFonts w:ascii="Bookman Old Style" w:hAnsi="Bookman Old Style"/>
          <w:szCs w:val="27"/>
        </w:rPr>
        <w:t xml:space="preserve"> en su recurso frente a la Resolución CREG 075 de 2016.</w:t>
      </w:r>
    </w:p>
    <w:p w:rsidR="00EE6670" w:rsidRDefault="00EE6670"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21349" w:rsidRDefault="00380F4F"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1102F8">
        <w:rPr>
          <w:rFonts w:ascii="Bookman Old Style" w:hAnsi="Bookman Old Style"/>
          <w:szCs w:val="27"/>
        </w:rPr>
        <w:t>Electrogas</w:t>
      </w:r>
      <w:r>
        <w:rPr>
          <w:rFonts w:ascii="Bookman Old Style" w:hAnsi="Bookman Old Style"/>
          <w:szCs w:val="27"/>
        </w:rPr>
        <w:t xml:space="preserve">, </w:t>
      </w:r>
      <w:r w:rsidR="00521349">
        <w:rPr>
          <w:rFonts w:ascii="Bookman Old Style" w:hAnsi="Bookman Old Style"/>
          <w:szCs w:val="27"/>
        </w:rPr>
        <w:t>en la medida que esta empresa advierte una diferencia en la información reportada en el Sistema Único de Información – SUI, utilizada por esta Comisión para efectos de llevar a cabo la definición de la capacidad de compra.</w:t>
      </w:r>
    </w:p>
    <w:p w:rsidR="00521349" w:rsidRDefault="00521349" w:rsidP="00090E52">
      <w:pPr>
        <w:pStyle w:val="Textoindependiente2"/>
        <w:spacing w:after="0" w:line="240" w:lineRule="auto"/>
        <w:ind w:left="-142" w:right="-142"/>
        <w:jc w:val="both"/>
        <w:rPr>
          <w:rFonts w:ascii="Bookman Old Style" w:hAnsi="Bookman Old Style"/>
          <w:szCs w:val="27"/>
        </w:rPr>
      </w:pPr>
    </w:p>
    <w:p w:rsidR="0068712F" w:rsidRPr="00360026" w:rsidRDefault="0068712F" w:rsidP="0068712F">
      <w:pPr>
        <w:ind w:left="-142" w:right="-142"/>
        <w:jc w:val="both"/>
        <w:rPr>
          <w:rFonts w:ascii="Bookman Old Style" w:hAnsi="Bookman Old Style"/>
          <w:szCs w:val="27"/>
        </w:rPr>
      </w:pPr>
      <w:r w:rsidRPr="00360026">
        <w:rPr>
          <w:rFonts w:ascii="Bookman Old Style" w:hAnsi="Bookman Old Style"/>
          <w:szCs w:val="27"/>
        </w:rPr>
        <w:lastRenderedPageBreak/>
        <w:t>Frente a la información remitida a esta Comisión en atención a los autos de prueba decretados, la Superintendencia de Servicios Públicos Domiciliarios informa lo siguiente</w:t>
      </w:r>
      <w:r w:rsidRPr="00360026">
        <w:rPr>
          <w:rFonts w:ascii="Bookman Old Style" w:hAnsi="Bookman Old Style"/>
          <w:szCs w:val="27"/>
          <w:vertAlign w:val="superscript"/>
        </w:rPr>
        <w:footnoteReference w:id="4"/>
      </w:r>
      <w:r w:rsidRPr="00360026">
        <w:rPr>
          <w:rFonts w:ascii="Bookman Old Style" w:hAnsi="Bookman Old Style"/>
          <w:szCs w:val="27"/>
        </w:rPr>
        <w:t>:</w:t>
      </w:r>
    </w:p>
    <w:p w:rsidR="0068712F" w:rsidRDefault="0068712F" w:rsidP="00090E52">
      <w:pPr>
        <w:pStyle w:val="Textoindependiente2"/>
        <w:spacing w:after="0" w:line="240" w:lineRule="auto"/>
        <w:ind w:left="-142" w:right="-142"/>
        <w:jc w:val="both"/>
        <w:rPr>
          <w:rFonts w:ascii="Bookman Old Style" w:hAnsi="Bookman Old Style"/>
          <w:szCs w:val="27"/>
        </w:rPr>
      </w:pPr>
    </w:p>
    <w:p w:rsidR="0068712F" w:rsidRDefault="00E0255B" w:rsidP="0068712F">
      <w:pPr>
        <w:pStyle w:val="Textoindependiente2"/>
        <w:spacing w:after="0" w:line="240" w:lineRule="auto"/>
        <w:ind w:left="-142" w:right="-142"/>
        <w:jc w:val="center"/>
        <w:rPr>
          <w:rFonts w:ascii="Bookman Old Style" w:hAnsi="Bookman Old Style"/>
          <w:szCs w:val="27"/>
        </w:rPr>
      </w:pPr>
      <w:r w:rsidRPr="0068712F">
        <w:rPr>
          <w:rFonts w:ascii="Bookman Old Style" w:hAnsi="Bookman Old Style"/>
          <w:noProof/>
          <w:szCs w:val="27"/>
          <w:lang w:val="es-CO" w:eastAsia="es-CO"/>
        </w:rPr>
        <w:drawing>
          <wp:inline distT="0" distB="0" distL="0" distR="0">
            <wp:extent cx="5314315" cy="4895850"/>
            <wp:effectExtent l="0" t="0" r="63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315" cy="4895850"/>
                    </a:xfrm>
                    <a:prstGeom prst="rect">
                      <a:avLst/>
                    </a:prstGeom>
                    <a:noFill/>
                    <a:ln>
                      <a:noFill/>
                    </a:ln>
                  </pic:spPr>
                </pic:pic>
              </a:graphicData>
            </a:graphic>
          </wp:inline>
        </w:drawing>
      </w:r>
    </w:p>
    <w:p w:rsidR="0068712F" w:rsidRDefault="00E0255B" w:rsidP="0068712F">
      <w:pPr>
        <w:pStyle w:val="Textoindependiente2"/>
        <w:spacing w:after="0" w:line="240" w:lineRule="auto"/>
        <w:ind w:left="-142" w:right="-142"/>
        <w:jc w:val="center"/>
        <w:rPr>
          <w:rFonts w:ascii="Bookman Old Style" w:hAnsi="Bookman Old Style"/>
          <w:szCs w:val="27"/>
        </w:rPr>
      </w:pPr>
      <w:r w:rsidRPr="0068712F">
        <w:rPr>
          <w:rFonts w:ascii="Bookman Old Style" w:hAnsi="Bookman Old Style"/>
          <w:noProof/>
          <w:szCs w:val="27"/>
          <w:lang w:val="es-CO" w:eastAsia="es-CO"/>
        </w:rPr>
        <w:drawing>
          <wp:inline distT="0" distB="0" distL="0" distR="0">
            <wp:extent cx="5080635" cy="636270"/>
            <wp:effectExtent l="0" t="0" r="5715"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635" cy="636270"/>
                    </a:xfrm>
                    <a:prstGeom prst="rect">
                      <a:avLst/>
                    </a:prstGeom>
                    <a:noFill/>
                    <a:ln>
                      <a:noFill/>
                    </a:ln>
                  </pic:spPr>
                </pic:pic>
              </a:graphicData>
            </a:graphic>
          </wp:inline>
        </w:drawing>
      </w:r>
    </w:p>
    <w:p w:rsidR="0068712F" w:rsidRPr="00EE6670" w:rsidRDefault="0068712F" w:rsidP="0068712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Auto 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68712F" w:rsidRPr="00EE6670" w:rsidRDefault="0068712F" w:rsidP="0068712F">
      <w:pPr>
        <w:ind w:left="284" w:right="284"/>
        <w:jc w:val="both"/>
        <w:rPr>
          <w:rFonts w:ascii="Bookman Old Style" w:hAnsi="Bookman Old Style" w:cs="Arial"/>
          <w:i/>
          <w:sz w:val="22"/>
          <w:szCs w:val="22"/>
        </w:rPr>
      </w:pPr>
    </w:p>
    <w:p w:rsidR="0068712F" w:rsidRPr="00EE6670" w:rsidRDefault="0068712F" w:rsidP="0068712F">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8712F" w:rsidRPr="00EE6670" w:rsidRDefault="0068712F" w:rsidP="0068712F">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8712F" w:rsidRPr="006B1C94" w:rsidTr="00764EB1">
        <w:trPr>
          <w:jc w:val="center"/>
        </w:trPr>
        <w:tc>
          <w:tcPr>
            <w:tcW w:w="2408" w:type="dxa"/>
            <w:shd w:val="clear" w:color="auto" w:fill="auto"/>
            <w:vAlign w:val="center"/>
          </w:tcPr>
          <w:p w:rsidR="0068712F" w:rsidRPr="006B1C94" w:rsidRDefault="0068712F" w:rsidP="00764EB1">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68712F" w:rsidRPr="006B1C94" w:rsidRDefault="0068712F" w:rsidP="00764EB1">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68712F" w:rsidRPr="006B1C94" w:rsidRDefault="0068712F" w:rsidP="00764EB1">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68712F" w:rsidRDefault="0068712F" w:rsidP="0068712F">
      <w:pPr>
        <w:pStyle w:val="Textoindependiente"/>
        <w:rPr>
          <w:sz w:val="22"/>
          <w:szCs w:val="22"/>
        </w:rPr>
      </w:pPr>
    </w:p>
    <w:p w:rsidR="0068712F" w:rsidRPr="00EE6670" w:rsidRDefault="0068712F" w:rsidP="0068712F">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68712F" w:rsidRDefault="0068712F" w:rsidP="0068712F">
      <w:pPr>
        <w:pStyle w:val="Textoindependiente2"/>
        <w:spacing w:after="0" w:line="240" w:lineRule="auto"/>
        <w:ind w:left="-142" w:right="-142"/>
        <w:jc w:val="both"/>
        <w:rPr>
          <w:rFonts w:ascii="Bookman Old Style" w:hAnsi="Bookman Old Style"/>
          <w:szCs w:val="27"/>
        </w:rPr>
      </w:pPr>
    </w:p>
    <w:p w:rsidR="0068712F" w:rsidRDefault="0068712F" w:rsidP="0068712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68712F" w:rsidRDefault="0068712F" w:rsidP="0068712F">
      <w:pPr>
        <w:pStyle w:val="Textoindependiente2"/>
        <w:spacing w:after="0" w:line="240" w:lineRule="auto"/>
        <w:ind w:left="0" w:right="-142"/>
        <w:jc w:val="both"/>
        <w:rPr>
          <w:rFonts w:ascii="Bookman Old Style" w:hAnsi="Bookman Old Style"/>
          <w:szCs w:val="27"/>
        </w:rPr>
      </w:pPr>
    </w:p>
    <w:p w:rsidR="0068712F" w:rsidRDefault="00E0255B" w:rsidP="008563F0">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68712F" w:rsidRDefault="0068712F" w:rsidP="0068712F">
      <w:pPr>
        <w:pStyle w:val="Textoindependiente2"/>
        <w:spacing w:after="0" w:line="240" w:lineRule="auto"/>
        <w:ind w:left="-142" w:right="-142"/>
        <w:jc w:val="both"/>
        <w:rPr>
          <w:rFonts w:ascii="Bookman Old Style" w:hAnsi="Bookman Old Style"/>
          <w:szCs w:val="27"/>
        </w:rPr>
      </w:pPr>
    </w:p>
    <w:p w:rsidR="004D7F41" w:rsidRDefault="0068712F" w:rsidP="004D7F4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la anterior información y de lo expuesto por la Superintendencia de Servicios Púb</w:t>
      </w:r>
      <w:r w:rsidR="001855E5">
        <w:rPr>
          <w:rFonts w:ascii="Bookman Old Style" w:hAnsi="Bookman Old Style"/>
          <w:szCs w:val="27"/>
        </w:rPr>
        <w:t xml:space="preserve">licos se establece que no existe un mayor número de cilindros en el Sistema </w:t>
      </w:r>
      <w:r w:rsidR="004D7F41">
        <w:rPr>
          <w:rFonts w:ascii="Bookman Old Style" w:hAnsi="Bookman Old Style"/>
          <w:szCs w:val="27"/>
        </w:rPr>
        <w:t>Único de Información – SUI de acuerdo con lo que informa Electrogas en su recurso de reposición</w:t>
      </w:r>
      <w:r w:rsidR="008563F0">
        <w:rPr>
          <w:rFonts w:ascii="Bookman Old Style" w:hAnsi="Bookman Old Style"/>
          <w:szCs w:val="27"/>
        </w:rPr>
        <w:t>,</w:t>
      </w:r>
      <w:r w:rsidR="004D7F41">
        <w:rPr>
          <w:rFonts w:ascii="Bookman Old Style" w:hAnsi="Bookman Old Style"/>
          <w:szCs w:val="27"/>
        </w:rPr>
        <w:t xml:space="preserve"> </w:t>
      </w:r>
      <w:r w:rsidR="004D7F41" w:rsidRPr="003A3DA9">
        <w:rPr>
          <w:rFonts w:ascii="Bookman Old Style" w:hAnsi="Bookman Old Style"/>
          <w:szCs w:val="27"/>
        </w:rPr>
        <w:t>razón por la cual</w:t>
      </w:r>
      <w:r w:rsidR="008563F0">
        <w:rPr>
          <w:rFonts w:ascii="Bookman Old Style" w:hAnsi="Bookman Old Style"/>
          <w:szCs w:val="27"/>
        </w:rPr>
        <w:t>,</w:t>
      </w:r>
      <w:r w:rsidR="004D7F41" w:rsidRPr="003A3DA9">
        <w:rPr>
          <w:rFonts w:ascii="Bookman Old Style" w:hAnsi="Bookman Old Style"/>
          <w:szCs w:val="27"/>
        </w:rPr>
        <w:t xml:space="preserve"> </w:t>
      </w:r>
      <w:r w:rsidR="008563F0" w:rsidRPr="003A3DA9">
        <w:rPr>
          <w:rFonts w:ascii="Bookman Old Style" w:hAnsi="Bookman Old Style"/>
          <w:szCs w:val="27"/>
        </w:rPr>
        <w:t>dicho</w:t>
      </w:r>
      <w:r w:rsidR="008563F0">
        <w:rPr>
          <w:rFonts w:ascii="Bookman Old Style" w:hAnsi="Bookman Old Style"/>
          <w:szCs w:val="27"/>
        </w:rPr>
        <w:t>s argumentos no son procedentes y</w:t>
      </w:r>
      <w:r w:rsidR="008563F0" w:rsidRPr="003A3DA9">
        <w:rPr>
          <w:rFonts w:ascii="Bookman Old Style" w:hAnsi="Bookman Old Style"/>
          <w:szCs w:val="27"/>
        </w:rPr>
        <w:t xml:space="preserve"> </w:t>
      </w:r>
      <w:r w:rsidR="004D7F41" w:rsidRPr="003A3DA9">
        <w:rPr>
          <w:rFonts w:ascii="Bookman Old Style" w:hAnsi="Bookman Old Style"/>
          <w:szCs w:val="27"/>
        </w:rPr>
        <w:t>no llevan a revocar o modificar la decisión adoptada por la CREG en la Resolución CREG 075 de 2016.</w:t>
      </w:r>
    </w:p>
    <w:p w:rsidR="004D7F41" w:rsidRDefault="004D7F41" w:rsidP="004D7F41">
      <w:pPr>
        <w:pStyle w:val="Textoindependiente2"/>
        <w:spacing w:after="0" w:line="240" w:lineRule="auto"/>
        <w:ind w:left="0" w:right="-142"/>
        <w:jc w:val="both"/>
        <w:rPr>
          <w:rFonts w:ascii="Bookman Old Style" w:hAnsi="Bookman Old Style"/>
          <w:szCs w:val="27"/>
        </w:rPr>
      </w:pPr>
    </w:p>
    <w:p w:rsidR="004D7F41" w:rsidRDefault="004D7F41" w:rsidP="004D7F4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w:t>
      </w:r>
      <w:r w:rsidR="008563F0">
        <w:rPr>
          <w:rFonts w:ascii="Bookman Old Style" w:hAnsi="Bookman Old Style"/>
          <w:szCs w:val="27"/>
        </w:rPr>
        <w:t>con base en</w:t>
      </w:r>
      <w:r>
        <w:rPr>
          <w:rFonts w:ascii="Bookman Old Style" w:hAnsi="Bookman Old Style"/>
          <w:szCs w:val="27"/>
        </w:rPr>
        <w:t xml:space="preserve">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4D7F41" w:rsidRDefault="004D7F41" w:rsidP="004D7F41">
      <w:pPr>
        <w:pStyle w:val="Textoindependiente2"/>
        <w:spacing w:after="0" w:line="240" w:lineRule="auto"/>
        <w:ind w:left="0" w:right="-142"/>
        <w:jc w:val="both"/>
        <w:rPr>
          <w:rFonts w:ascii="Bookman Old Style" w:hAnsi="Bookman Old Style"/>
          <w:szCs w:val="27"/>
        </w:rPr>
      </w:pPr>
    </w:p>
    <w:p w:rsidR="004D7F41" w:rsidRDefault="004D7F41" w:rsidP="004D7F4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el caso particular de Electrogas se establece que el resultado de la aplicación de dicha información genera una menor capacidad de compra</w:t>
      </w:r>
      <w:r w:rsidR="008563F0">
        <w:rPr>
          <w:rFonts w:ascii="Bookman Old Style" w:hAnsi="Bookman Old Style"/>
          <w:szCs w:val="27"/>
        </w:rPr>
        <w:t xml:space="preserve"> a la definida en la Resolución CREG 075 de 2016. S</w:t>
      </w:r>
      <w:r>
        <w:rPr>
          <w:rFonts w:ascii="Bookman Old Style" w:hAnsi="Bookman Old Style"/>
          <w:szCs w:val="27"/>
        </w:rPr>
        <w:t xml:space="preserve">in embargo, no es posible la aplicación de esta información a efectos de establecer el recurso de reposición, toda vez que esto no se ajustaría al principio 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5"/>
      </w:r>
      <w:r w:rsidRPr="00CE445E">
        <w:rPr>
          <w:rFonts w:ascii="Bookman Old Style" w:hAnsi="Bookman Old Style"/>
          <w:szCs w:val="27"/>
        </w:rPr>
        <w:t xml:space="preserve">, </w:t>
      </w:r>
      <w:r>
        <w:rPr>
          <w:rFonts w:ascii="Bookman Old Style" w:hAnsi="Bookman Old Style"/>
          <w:szCs w:val="27"/>
        </w:rPr>
        <w:t>en la medida que se considera que este elemento no hace parte de lo solicitado ni que tiene</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el recurrente, las cuales están ligadas de manera específica al reconocimiento de una definición de la capacidad de compra por un mayor número de cilindros reportados al SUI.  </w:t>
      </w:r>
    </w:p>
    <w:p w:rsidR="004D7F41" w:rsidRDefault="004D7F41" w:rsidP="004D7F41">
      <w:pPr>
        <w:pStyle w:val="Textoindependiente2"/>
        <w:spacing w:after="0" w:line="240" w:lineRule="auto"/>
        <w:ind w:left="-142" w:right="-142"/>
        <w:jc w:val="both"/>
        <w:rPr>
          <w:rFonts w:ascii="Bookman Old Style" w:hAnsi="Bookman Old Style"/>
          <w:szCs w:val="27"/>
        </w:rPr>
      </w:pPr>
    </w:p>
    <w:p w:rsidR="004D7F41" w:rsidRPr="003E59E7" w:rsidRDefault="004D7F41" w:rsidP="004D7F41">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7F67E6">
        <w:rPr>
          <w:rFonts w:ascii="Bookman Old Style" w:hAnsi="Bookman Old Style"/>
          <w:szCs w:val="27"/>
        </w:rPr>
        <w:t>746</w:t>
      </w:r>
      <w:r w:rsidRPr="003E59E7">
        <w:rPr>
          <w:rFonts w:ascii="Bookman Old Style" w:hAnsi="Bookman Old Style"/>
          <w:szCs w:val="27"/>
        </w:rPr>
        <w:t xml:space="preserve"> de </w:t>
      </w:r>
      <w:r w:rsidR="007F67E6">
        <w:rPr>
          <w:rFonts w:ascii="Bookman Old Style" w:hAnsi="Bookman Old Style"/>
          <w:szCs w:val="27"/>
        </w:rPr>
        <w:t>noviembre</w:t>
      </w:r>
      <w:r w:rsidRPr="003E59E7">
        <w:rPr>
          <w:rFonts w:ascii="Bookman Old Style" w:hAnsi="Bookman Old Style"/>
          <w:szCs w:val="27"/>
        </w:rPr>
        <w:t xml:space="preserve"> </w:t>
      </w:r>
      <w:r w:rsidR="008563F0">
        <w:rPr>
          <w:rFonts w:ascii="Bookman Old Style" w:hAnsi="Bookman Old Style"/>
          <w:szCs w:val="27"/>
        </w:rPr>
        <w:t xml:space="preserve">21 </w:t>
      </w:r>
      <w:r w:rsidRPr="003E59E7">
        <w:rPr>
          <w:rFonts w:ascii="Bookman Old Style" w:hAnsi="Bookman Old Style"/>
          <w:szCs w:val="27"/>
        </w:rPr>
        <w:t>de 201</w:t>
      </w:r>
      <w:r>
        <w:rPr>
          <w:rFonts w:ascii="Bookman Old Style" w:hAnsi="Bookman Old Style"/>
          <w:szCs w:val="27"/>
        </w:rPr>
        <w:t>6, acordó expedir la presente r</w:t>
      </w:r>
      <w:r w:rsidRPr="003E59E7">
        <w:rPr>
          <w:rFonts w:ascii="Bookman Old Style" w:hAnsi="Bookman Old Style"/>
          <w:szCs w:val="27"/>
        </w:rPr>
        <w:t>esolución.</w:t>
      </w:r>
    </w:p>
    <w:p w:rsidR="004D7F41" w:rsidRPr="003234E2" w:rsidRDefault="004D7F41" w:rsidP="004D7F41">
      <w:pPr>
        <w:tabs>
          <w:tab w:val="right" w:pos="9498"/>
        </w:tabs>
        <w:ind w:left="0" w:right="-142"/>
        <w:jc w:val="both"/>
        <w:rPr>
          <w:rFonts w:ascii="Bookman Old Style" w:hAnsi="Bookman Old Style"/>
          <w:bCs/>
          <w:sz w:val="20"/>
        </w:rPr>
      </w:pPr>
    </w:p>
    <w:p w:rsidR="004D7F41" w:rsidRPr="00945A3C" w:rsidRDefault="004D7F41" w:rsidP="004D7F41">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4D7F41" w:rsidRPr="003234E2" w:rsidRDefault="004D7F41" w:rsidP="004D7F41">
      <w:pPr>
        <w:tabs>
          <w:tab w:val="right" w:pos="9498"/>
        </w:tabs>
        <w:ind w:left="0" w:right="-142"/>
        <w:jc w:val="both"/>
        <w:rPr>
          <w:rFonts w:ascii="Bookman Old Style" w:hAnsi="Bookman Old Style" w:cs="Arial"/>
          <w:b/>
          <w:spacing w:val="-3"/>
          <w:sz w:val="20"/>
        </w:rPr>
      </w:pPr>
    </w:p>
    <w:p w:rsidR="004D7F41" w:rsidRDefault="004D7F41" w:rsidP="004D7F41">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Pr="00D04BAF">
        <w:rPr>
          <w:rFonts w:ascii="Bookman Old Style" w:hAnsi="Bookman Old Style"/>
          <w:szCs w:val="27"/>
        </w:rPr>
        <w:t xml:space="preserve">No reponer y confirmar la Resolución CREG 075 de 2016 y su Anexo en relación con la capacidad de compra definida para la empresa </w:t>
      </w:r>
      <w:r>
        <w:rPr>
          <w:rFonts w:ascii="Bookman Old Style" w:hAnsi="Bookman Old Style"/>
          <w:szCs w:val="27"/>
        </w:rPr>
        <w:t>Electrogas</w:t>
      </w:r>
      <w:r w:rsidRPr="00D04BAF">
        <w:rPr>
          <w:rFonts w:ascii="Bookman Old Style" w:hAnsi="Bookman Old Style"/>
          <w:szCs w:val="27"/>
        </w:rPr>
        <w:t xml:space="preserve"> S.A. E.S.P.</w:t>
      </w:r>
    </w:p>
    <w:p w:rsidR="004D7F41" w:rsidRDefault="004D7F41" w:rsidP="004D7F41">
      <w:pPr>
        <w:pStyle w:val="Textoindependiente2"/>
        <w:spacing w:after="0" w:line="240" w:lineRule="auto"/>
        <w:ind w:left="-142" w:right="-142"/>
        <w:jc w:val="both"/>
        <w:rPr>
          <w:rFonts w:ascii="Bookman Old Style" w:hAnsi="Bookman Old Style"/>
          <w:b/>
          <w:szCs w:val="27"/>
        </w:rPr>
      </w:pPr>
    </w:p>
    <w:p w:rsidR="004D7F41" w:rsidRPr="004620F7" w:rsidRDefault="004D7F41" w:rsidP="004D7F41">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2</w:t>
      </w:r>
      <w:r w:rsidRPr="004620F7">
        <w:rPr>
          <w:rFonts w:ascii="Bookman Old Style" w:hAnsi="Bookman Old Style"/>
          <w:b/>
          <w:szCs w:val="27"/>
        </w:rPr>
        <w:t xml:space="preserve">. </w:t>
      </w:r>
      <w:r w:rsidRPr="004620F7">
        <w:rPr>
          <w:rFonts w:ascii="Bookman Old Style" w:hAnsi="Bookman Old Style"/>
          <w:szCs w:val="27"/>
        </w:rPr>
        <w:t xml:space="preserve">La presente resolución deberá notificarse a la empresa </w:t>
      </w:r>
      <w:r w:rsidR="008563F0">
        <w:rPr>
          <w:rFonts w:ascii="Bookman Old Style" w:hAnsi="Bookman Old Style"/>
          <w:szCs w:val="27"/>
        </w:rPr>
        <w:t xml:space="preserve">Electrogas </w:t>
      </w:r>
      <w:r w:rsidRPr="004620F7">
        <w:rPr>
          <w:rFonts w:ascii="Bookman Old Style" w:hAnsi="Bookman Old Style"/>
          <w:szCs w:val="27"/>
        </w:rPr>
        <w:t>S.A. E.S.P. Contra lo aquí dispuesto no procede recurso alguno por haber finalizado la actuación administrativa correspondiente a la presentación de recursos previsto en la Ley.</w:t>
      </w:r>
    </w:p>
    <w:p w:rsidR="004D7F41" w:rsidRDefault="004D7F41" w:rsidP="004D7F41">
      <w:pPr>
        <w:pStyle w:val="Textoindependiente2"/>
        <w:spacing w:after="0" w:line="240" w:lineRule="auto"/>
        <w:ind w:left="0" w:right="-142"/>
        <w:jc w:val="both"/>
        <w:rPr>
          <w:rFonts w:ascii="Bookman Old Style" w:hAnsi="Bookman Old Style"/>
          <w:szCs w:val="27"/>
        </w:rPr>
      </w:pPr>
    </w:p>
    <w:p w:rsidR="004D7F41" w:rsidRPr="005023D3" w:rsidRDefault="004D7F41" w:rsidP="004D7F41">
      <w:pPr>
        <w:ind w:left="-181"/>
        <w:jc w:val="center"/>
        <w:rPr>
          <w:rFonts w:ascii="Bookman Old Style" w:hAnsi="Bookman Old Style" w:cs="Arial"/>
          <w:b/>
        </w:rPr>
      </w:pPr>
      <w:r>
        <w:rPr>
          <w:rFonts w:ascii="Bookman Old Style" w:hAnsi="Bookman Old Style" w:cs="Arial"/>
          <w:b/>
        </w:rPr>
        <w:t xml:space="preserve">     NOTIFÍQUESE </w:t>
      </w:r>
      <w:r w:rsidR="008563F0">
        <w:rPr>
          <w:rFonts w:ascii="Bookman Old Style" w:hAnsi="Bookman Old Style" w:cs="Arial"/>
          <w:b/>
        </w:rPr>
        <w:t>Y CÚMPLASE</w:t>
      </w:r>
    </w:p>
    <w:p w:rsidR="004D7F41" w:rsidRPr="003234E2" w:rsidRDefault="004D7F41" w:rsidP="004D7F41">
      <w:pPr>
        <w:ind w:left="0"/>
        <w:rPr>
          <w:rFonts w:ascii="Bookman Old Style" w:hAnsi="Bookman Old Style" w:cs="Arial"/>
          <w:sz w:val="20"/>
          <w:szCs w:val="20"/>
        </w:rPr>
      </w:pPr>
    </w:p>
    <w:p w:rsidR="008563F0" w:rsidRDefault="004D7F41" w:rsidP="008563F0">
      <w:pPr>
        <w:ind w:left="0"/>
        <w:rPr>
          <w:rFonts w:ascii="Bookman Old Style" w:hAnsi="Bookman Old Style" w:cs="Arial"/>
          <w:szCs w:val="20"/>
        </w:rPr>
      </w:pPr>
      <w:r w:rsidRPr="005023D3">
        <w:rPr>
          <w:rFonts w:ascii="Bookman Old Style" w:hAnsi="Bookman Old Style" w:cs="Arial"/>
          <w:szCs w:val="20"/>
        </w:rPr>
        <w:t>Dada en Bogotá, D.C.</w:t>
      </w:r>
    </w:p>
    <w:p w:rsidR="008563F0" w:rsidRPr="00FE2D9D" w:rsidRDefault="008563F0" w:rsidP="008563F0">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8563F0" w:rsidRPr="00A14C71" w:rsidTr="005D266B">
        <w:trPr>
          <w:tblCellSpacing w:w="0" w:type="dxa"/>
          <w:jc w:val="center"/>
        </w:trPr>
        <w:tc>
          <w:tcPr>
            <w:tcW w:w="5529" w:type="dxa"/>
            <w:hideMark/>
          </w:tcPr>
          <w:p w:rsidR="008563F0" w:rsidRPr="00A14C71" w:rsidRDefault="008563F0" w:rsidP="005D266B">
            <w:pPr>
              <w:ind w:left="0"/>
              <w:rPr>
                <w:rFonts w:ascii="Bookman Old Style" w:hAnsi="Bookman Old Style" w:cs="Arial"/>
                <w:b/>
                <w:spacing w:val="-3"/>
              </w:rPr>
            </w:pPr>
          </w:p>
          <w:p w:rsidR="008563F0" w:rsidRPr="00A14C71" w:rsidRDefault="008563F0" w:rsidP="005D266B">
            <w:pPr>
              <w:ind w:left="0"/>
              <w:rPr>
                <w:rFonts w:ascii="Bookman Old Style" w:hAnsi="Bookman Old Style" w:cs="Arial"/>
                <w:b/>
                <w:spacing w:val="-3"/>
              </w:rPr>
            </w:pPr>
          </w:p>
          <w:p w:rsidR="008563F0" w:rsidRPr="00A14C71" w:rsidRDefault="008563F0" w:rsidP="005D266B">
            <w:pPr>
              <w:ind w:left="0"/>
              <w:rPr>
                <w:rFonts w:ascii="Bookman Old Style" w:hAnsi="Bookman Old Style" w:cs="Arial"/>
                <w:b/>
                <w:spacing w:val="-3"/>
              </w:rPr>
            </w:pPr>
          </w:p>
          <w:p w:rsidR="008563F0" w:rsidRPr="00A14C71" w:rsidRDefault="008563F0" w:rsidP="005D266B">
            <w:pPr>
              <w:ind w:left="66"/>
              <w:jc w:val="center"/>
              <w:rPr>
                <w:rFonts w:ascii="Bookman Old Style" w:hAnsi="Bookman Old Style" w:cs="Arial"/>
                <w:b/>
                <w:spacing w:val="-3"/>
              </w:rPr>
            </w:pPr>
          </w:p>
          <w:p w:rsidR="008563F0" w:rsidRPr="00A14C71" w:rsidRDefault="008563F0"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8563F0" w:rsidRPr="00A14C71" w:rsidRDefault="008563F0" w:rsidP="005D266B">
            <w:pPr>
              <w:ind w:left="89"/>
              <w:jc w:val="center"/>
              <w:rPr>
                <w:rFonts w:ascii="Bookman Old Style" w:hAnsi="Bookman Old Style" w:cs="Arial"/>
                <w:b/>
                <w:spacing w:val="-3"/>
              </w:rPr>
            </w:pPr>
          </w:p>
          <w:p w:rsidR="008563F0" w:rsidRPr="00A14C71" w:rsidRDefault="008563F0" w:rsidP="005D266B">
            <w:pPr>
              <w:ind w:left="89"/>
              <w:jc w:val="center"/>
              <w:rPr>
                <w:rFonts w:ascii="Bookman Old Style" w:hAnsi="Bookman Old Style" w:cs="Arial"/>
                <w:b/>
                <w:spacing w:val="-3"/>
              </w:rPr>
            </w:pPr>
          </w:p>
          <w:p w:rsidR="008563F0" w:rsidRPr="00A14C71" w:rsidRDefault="008563F0" w:rsidP="005D266B">
            <w:pPr>
              <w:ind w:left="89"/>
              <w:jc w:val="center"/>
              <w:rPr>
                <w:rFonts w:ascii="Bookman Old Style" w:hAnsi="Bookman Old Style" w:cs="Arial"/>
                <w:b/>
                <w:spacing w:val="-3"/>
              </w:rPr>
            </w:pPr>
          </w:p>
          <w:p w:rsidR="008563F0" w:rsidRPr="00A14C71" w:rsidRDefault="008563F0" w:rsidP="005D266B">
            <w:pPr>
              <w:ind w:left="89"/>
              <w:jc w:val="center"/>
              <w:rPr>
                <w:rFonts w:ascii="Bookman Old Style" w:hAnsi="Bookman Old Style" w:cs="Arial"/>
                <w:b/>
                <w:spacing w:val="-3"/>
              </w:rPr>
            </w:pPr>
          </w:p>
          <w:p w:rsidR="008563F0" w:rsidRPr="00A14C71" w:rsidRDefault="008563F0"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8563F0" w:rsidRPr="00A14C71" w:rsidTr="005D266B">
        <w:trPr>
          <w:tblCellSpacing w:w="0" w:type="dxa"/>
          <w:jc w:val="center"/>
        </w:trPr>
        <w:tc>
          <w:tcPr>
            <w:tcW w:w="5529" w:type="dxa"/>
            <w:hideMark/>
          </w:tcPr>
          <w:p w:rsidR="008563F0" w:rsidRDefault="008563F0"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FC5D62" w:rsidRPr="00A14C71" w:rsidRDefault="00FC5D62"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8563F0" w:rsidRPr="00A14C71" w:rsidRDefault="008563F0"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8563F0" w:rsidRPr="00A14C71" w:rsidTr="005D266B">
        <w:trPr>
          <w:tblCellSpacing w:w="0" w:type="dxa"/>
          <w:jc w:val="center"/>
        </w:trPr>
        <w:tc>
          <w:tcPr>
            <w:tcW w:w="5529" w:type="dxa"/>
            <w:hideMark/>
          </w:tcPr>
          <w:p w:rsidR="008563F0" w:rsidRPr="00A14C71" w:rsidRDefault="008563F0"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8563F0" w:rsidRPr="00A14C71" w:rsidRDefault="008563F0" w:rsidP="005D266B">
            <w:pPr>
              <w:ind w:left="0"/>
              <w:jc w:val="center"/>
              <w:rPr>
                <w:rFonts w:ascii="Bookman Old Style" w:eastAsia="Arial Unicode MS" w:hAnsi="Bookman Old Style" w:cs="Arial"/>
                <w:color w:val="000000"/>
              </w:rPr>
            </w:pPr>
          </w:p>
        </w:tc>
      </w:tr>
    </w:tbl>
    <w:p w:rsidR="0068712F" w:rsidRDefault="0068712F" w:rsidP="00090E52">
      <w:pPr>
        <w:pStyle w:val="Textoindependiente2"/>
        <w:spacing w:after="0" w:line="240" w:lineRule="auto"/>
        <w:ind w:left="-142" w:right="-142"/>
        <w:jc w:val="both"/>
        <w:rPr>
          <w:rFonts w:ascii="Bookman Old Style" w:hAnsi="Bookman Old Style"/>
          <w:szCs w:val="27"/>
        </w:rPr>
      </w:pPr>
    </w:p>
    <w:p w:rsidR="0068712F" w:rsidRDefault="0068712F" w:rsidP="00090E52">
      <w:pPr>
        <w:pStyle w:val="Textoindependiente2"/>
        <w:spacing w:after="0" w:line="240" w:lineRule="auto"/>
        <w:ind w:left="-142" w:right="-142"/>
        <w:jc w:val="both"/>
        <w:rPr>
          <w:rFonts w:ascii="Bookman Old Style" w:hAnsi="Bookman Old Style"/>
          <w:szCs w:val="27"/>
        </w:rPr>
      </w:pPr>
    </w:p>
    <w:p w:rsidR="0068712F" w:rsidRDefault="0068712F" w:rsidP="00090E52">
      <w:pPr>
        <w:pStyle w:val="Textoindependiente2"/>
        <w:spacing w:after="0" w:line="240" w:lineRule="auto"/>
        <w:ind w:left="-142" w:right="-142"/>
        <w:jc w:val="both"/>
        <w:rPr>
          <w:rFonts w:ascii="Bookman Old Style" w:hAnsi="Bookman Old Style"/>
          <w:szCs w:val="27"/>
        </w:rPr>
      </w:pPr>
    </w:p>
    <w:sectPr w:rsidR="0068712F"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BC" w:rsidRDefault="00CD00BC">
      <w:r>
        <w:separator/>
      </w:r>
    </w:p>
  </w:endnote>
  <w:endnote w:type="continuationSeparator" w:id="0">
    <w:p w:rsidR="00CD00BC" w:rsidRDefault="00CD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BC" w:rsidRDefault="00CD00BC">
      <w:r>
        <w:separator/>
      </w:r>
    </w:p>
  </w:footnote>
  <w:footnote w:type="continuationSeparator" w:id="0">
    <w:p w:rsidR="00CD00BC" w:rsidRDefault="00CD00BC">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4">
    <w:p w:rsidR="0068712F" w:rsidRPr="00BB7AEA" w:rsidRDefault="0068712F" w:rsidP="0068712F">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 w:id="5">
    <w:p w:rsidR="004D7F41" w:rsidRPr="004E1287" w:rsidRDefault="004D7F41" w:rsidP="004D7F41">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4D7F41" w:rsidRPr="004E1287" w:rsidRDefault="004D7F41" w:rsidP="004D7F41">
      <w:pPr>
        <w:pStyle w:val="Textonotapie"/>
        <w:jc w:val="both"/>
        <w:rPr>
          <w:rFonts w:ascii="Bookman Old Style" w:hAnsi="Bookman Old Style" w:cs="Arial"/>
          <w:sz w:val="16"/>
          <w:szCs w:val="16"/>
        </w:rPr>
      </w:pPr>
    </w:p>
    <w:p w:rsidR="004D7F41" w:rsidRPr="00321EAE" w:rsidRDefault="004D7F41" w:rsidP="004D7F41">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548DB">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548DB">
      <w:fldChar w:fldCharType="begin"/>
    </w:r>
    <w:r w:rsidR="008548DB">
      <w:instrText xml:space="preserve"> NUMPAGES  \* MERGEFORMAT </w:instrText>
    </w:r>
    <w:r w:rsidR="008548DB">
      <w:fldChar w:fldCharType="separate"/>
    </w:r>
    <w:r w:rsidR="008548DB" w:rsidRPr="008548DB">
      <w:rPr>
        <w:rFonts w:ascii="Bookman Old Style" w:hAnsi="Bookman Old Style" w:cs="Arial"/>
        <w:b w:val="0"/>
        <w:noProof/>
        <w:sz w:val="22"/>
        <w:szCs w:val="22"/>
      </w:rPr>
      <w:t>13</w:t>
    </w:r>
    <w:r w:rsidR="008548DB">
      <w:rPr>
        <w:rFonts w:ascii="Bookman Old Style" w:hAnsi="Bookman Old Style" w:cs="Arial"/>
        <w:b w:val="0"/>
        <w:noProof/>
        <w:sz w:val="22"/>
        <w:szCs w:val="22"/>
      </w:rPr>
      <w:fldChar w:fldCharType="end"/>
    </w:r>
  </w:p>
  <w:p w:rsidR="00967468" w:rsidRDefault="00E0255B"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CBC09"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81562F"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264921">
      <w:rPr>
        <w:rFonts w:ascii="Bookman Old Style" w:hAnsi="Bookman Old Style" w:cs="Arial"/>
        <w:sz w:val="22"/>
        <w:szCs w:val="22"/>
      </w:rPr>
      <w:t>Electrogas</w:t>
    </w:r>
    <w:r w:rsidR="00970C82" w:rsidRPr="00970C82">
      <w:rPr>
        <w:rFonts w:ascii="Bookman Old Style" w:hAnsi="Bookman Old Style" w:cs="Arial"/>
        <w:sz w:val="22"/>
        <w:szCs w:val="22"/>
      </w:rPr>
      <w:t xml:space="preserve"> </w:t>
    </w:r>
    <w:r w:rsidR="00C11DE1">
      <w:rPr>
        <w:rFonts w:ascii="Bookman Old Style" w:hAnsi="Bookman Old Style" w:cs="Arial"/>
        <w:sz w:val="22"/>
        <w:szCs w:val="22"/>
      </w:rPr>
      <w:t xml:space="preserve">S.A. </w:t>
    </w:r>
    <w:r w:rsidR="00970C82" w:rsidRPr="00970C82">
      <w:rPr>
        <w:rFonts w:ascii="Bookman Old Style" w:hAnsi="Bookman Old Style" w:cs="Arial"/>
        <w:sz w:val="22"/>
        <w:szCs w:val="22"/>
      </w:rPr>
      <w:t xml:space="preserve">E.S.P. </w:t>
    </w:r>
    <w:r w:rsidR="0081562F" w:rsidRPr="0081562F">
      <w:rPr>
        <w:rFonts w:ascii="Bookman Old Style" w:hAnsi="Bookman Old Style" w:cs="Arial"/>
        <w:sz w:val="22"/>
        <w:szCs w:val="22"/>
      </w:rPr>
      <w:t xml:space="preserve">contra la Resolución CREG </w:t>
    </w:r>
    <w:r w:rsidR="000A78FA">
      <w:rPr>
        <w:rFonts w:ascii="Bookman Old Style" w:hAnsi="Bookman Old Style" w:cs="Arial"/>
        <w:sz w:val="22"/>
        <w:szCs w:val="22"/>
      </w:rPr>
      <w:t>075</w:t>
    </w:r>
    <w:r w:rsidR="0081562F" w:rsidRPr="0081562F">
      <w:rPr>
        <w:rFonts w:ascii="Bookman Old Style" w:hAnsi="Bookman Old Style" w:cs="Arial"/>
        <w:sz w:val="22"/>
        <w:szCs w:val="22"/>
      </w:rPr>
      <w:t xml:space="preserve"> de 2016</w:t>
    </w:r>
  </w:p>
  <w:p w:rsidR="00967468" w:rsidRPr="00730C9E" w:rsidRDefault="00E0255B"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47C82"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E0255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429B"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6742F"/>
    <w:multiLevelType w:val="hybridMultilevel"/>
    <w:tmpl w:val="B5BC7040"/>
    <w:lvl w:ilvl="0" w:tplc="B46289D2">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0"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5"/>
  </w:num>
  <w:num w:numId="4">
    <w:abstractNumId w:val="15"/>
  </w:num>
  <w:num w:numId="5">
    <w:abstractNumId w:val="25"/>
  </w:num>
  <w:num w:numId="6">
    <w:abstractNumId w:val="4"/>
  </w:num>
  <w:num w:numId="7">
    <w:abstractNumId w:val="3"/>
  </w:num>
  <w:num w:numId="8">
    <w:abstractNumId w:val="28"/>
  </w:num>
  <w:num w:numId="9">
    <w:abstractNumId w:val="26"/>
  </w:num>
  <w:num w:numId="10">
    <w:abstractNumId w:val="20"/>
  </w:num>
  <w:num w:numId="11">
    <w:abstractNumId w:val="36"/>
  </w:num>
  <w:num w:numId="12">
    <w:abstractNumId w:val="33"/>
  </w:num>
  <w:num w:numId="13">
    <w:abstractNumId w:val="17"/>
  </w:num>
  <w:num w:numId="14">
    <w:abstractNumId w:val="2"/>
  </w:num>
  <w:num w:numId="15">
    <w:abstractNumId w:val="21"/>
  </w:num>
  <w:num w:numId="16">
    <w:abstractNumId w:val="1"/>
  </w:num>
  <w:num w:numId="17">
    <w:abstractNumId w:val="34"/>
  </w:num>
  <w:num w:numId="18">
    <w:abstractNumId w:val="11"/>
  </w:num>
  <w:num w:numId="19">
    <w:abstractNumId w:val="22"/>
  </w:num>
  <w:num w:numId="20">
    <w:abstractNumId w:val="23"/>
  </w:num>
  <w:num w:numId="21">
    <w:abstractNumId w:val="32"/>
  </w:num>
  <w:num w:numId="22">
    <w:abstractNumId w:val="27"/>
  </w:num>
  <w:num w:numId="23">
    <w:abstractNumId w:val="31"/>
  </w:num>
  <w:num w:numId="24">
    <w:abstractNumId w:val="14"/>
  </w:num>
  <w:num w:numId="25">
    <w:abstractNumId w:val="12"/>
  </w:num>
  <w:num w:numId="26">
    <w:abstractNumId w:val="24"/>
  </w:num>
  <w:num w:numId="27">
    <w:abstractNumId w:val="9"/>
  </w:num>
  <w:num w:numId="28">
    <w:abstractNumId w:val="10"/>
  </w:num>
  <w:num w:numId="29">
    <w:abstractNumId w:val="16"/>
  </w:num>
  <w:num w:numId="30">
    <w:abstractNumId w:val="30"/>
  </w:num>
  <w:num w:numId="31">
    <w:abstractNumId w:val="13"/>
  </w:num>
  <w:num w:numId="32">
    <w:abstractNumId w:val="18"/>
  </w:num>
  <w:num w:numId="33">
    <w:abstractNumId w:val="29"/>
  </w:num>
  <w:num w:numId="34">
    <w:abstractNumId w:val="37"/>
  </w:num>
  <w:num w:numId="35">
    <w:abstractNumId w:val="5"/>
  </w:num>
  <w:num w:numId="36">
    <w:abstractNumId w:val="7"/>
  </w:num>
  <w:num w:numId="37">
    <w:abstractNumId w:val="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337E"/>
    <w:rsid w:val="00024FE0"/>
    <w:rsid w:val="00025383"/>
    <w:rsid w:val="000275B9"/>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A78FA"/>
    <w:rsid w:val="000B03C2"/>
    <w:rsid w:val="000B20EA"/>
    <w:rsid w:val="000B27E6"/>
    <w:rsid w:val="000B48BF"/>
    <w:rsid w:val="000B4B19"/>
    <w:rsid w:val="000B52EA"/>
    <w:rsid w:val="000B667A"/>
    <w:rsid w:val="000C27EB"/>
    <w:rsid w:val="000C6FE5"/>
    <w:rsid w:val="000D22D4"/>
    <w:rsid w:val="000D26F8"/>
    <w:rsid w:val="000E01B8"/>
    <w:rsid w:val="000E38F7"/>
    <w:rsid w:val="000F1132"/>
    <w:rsid w:val="000F3985"/>
    <w:rsid w:val="000F410B"/>
    <w:rsid w:val="000F5641"/>
    <w:rsid w:val="00100A80"/>
    <w:rsid w:val="00100EBA"/>
    <w:rsid w:val="001038CA"/>
    <w:rsid w:val="00103ECB"/>
    <w:rsid w:val="0010707E"/>
    <w:rsid w:val="001102F8"/>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855E5"/>
    <w:rsid w:val="00192CBF"/>
    <w:rsid w:val="00192FF1"/>
    <w:rsid w:val="001946B2"/>
    <w:rsid w:val="00195B37"/>
    <w:rsid w:val="00195E5B"/>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375C4"/>
    <w:rsid w:val="00240455"/>
    <w:rsid w:val="00241399"/>
    <w:rsid w:val="00241733"/>
    <w:rsid w:val="00241898"/>
    <w:rsid w:val="00241F57"/>
    <w:rsid w:val="00244C3F"/>
    <w:rsid w:val="00246AA1"/>
    <w:rsid w:val="00246C1A"/>
    <w:rsid w:val="002528AF"/>
    <w:rsid w:val="00253E07"/>
    <w:rsid w:val="002606C2"/>
    <w:rsid w:val="002606F0"/>
    <w:rsid w:val="00260CE3"/>
    <w:rsid w:val="00264921"/>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1C61"/>
    <w:rsid w:val="003234E2"/>
    <w:rsid w:val="0032669A"/>
    <w:rsid w:val="00332B81"/>
    <w:rsid w:val="00332BE1"/>
    <w:rsid w:val="00333DFB"/>
    <w:rsid w:val="00335916"/>
    <w:rsid w:val="00341341"/>
    <w:rsid w:val="00346E50"/>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D7F41"/>
    <w:rsid w:val="004E1536"/>
    <w:rsid w:val="004E33F2"/>
    <w:rsid w:val="004F2B19"/>
    <w:rsid w:val="004F3744"/>
    <w:rsid w:val="004F7D1F"/>
    <w:rsid w:val="0050015E"/>
    <w:rsid w:val="00503267"/>
    <w:rsid w:val="0051257C"/>
    <w:rsid w:val="00513865"/>
    <w:rsid w:val="00515932"/>
    <w:rsid w:val="00521349"/>
    <w:rsid w:val="005217A1"/>
    <w:rsid w:val="005300D3"/>
    <w:rsid w:val="00535B16"/>
    <w:rsid w:val="00536323"/>
    <w:rsid w:val="0053688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3C4F"/>
    <w:rsid w:val="005946A8"/>
    <w:rsid w:val="00596B5A"/>
    <w:rsid w:val="00596EEA"/>
    <w:rsid w:val="00596EFA"/>
    <w:rsid w:val="005972F1"/>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1BE6"/>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8712F"/>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643"/>
    <w:rsid w:val="006D79D9"/>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4EB1"/>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7F67E6"/>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338"/>
    <w:rsid w:val="008348CB"/>
    <w:rsid w:val="00836006"/>
    <w:rsid w:val="00850F85"/>
    <w:rsid w:val="008548DB"/>
    <w:rsid w:val="00854C37"/>
    <w:rsid w:val="0085598C"/>
    <w:rsid w:val="008563F0"/>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541F"/>
    <w:rsid w:val="00936888"/>
    <w:rsid w:val="00937565"/>
    <w:rsid w:val="009410CB"/>
    <w:rsid w:val="009438AD"/>
    <w:rsid w:val="00945A3C"/>
    <w:rsid w:val="00950E0A"/>
    <w:rsid w:val="00951F79"/>
    <w:rsid w:val="00952ADF"/>
    <w:rsid w:val="00952F4A"/>
    <w:rsid w:val="00960049"/>
    <w:rsid w:val="00960FB7"/>
    <w:rsid w:val="00962962"/>
    <w:rsid w:val="009629EE"/>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4C6F"/>
    <w:rsid w:val="00A100F0"/>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78A0"/>
    <w:rsid w:val="00A47F3A"/>
    <w:rsid w:val="00A50502"/>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207"/>
    <w:rsid w:val="00B13E74"/>
    <w:rsid w:val="00B141E7"/>
    <w:rsid w:val="00B23A09"/>
    <w:rsid w:val="00B309B2"/>
    <w:rsid w:val="00B31959"/>
    <w:rsid w:val="00B351B4"/>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6758"/>
    <w:rsid w:val="00B87806"/>
    <w:rsid w:val="00B87EC9"/>
    <w:rsid w:val="00B905E0"/>
    <w:rsid w:val="00B92BC9"/>
    <w:rsid w:val="00B92EAC"/>
    <w:rsid w:val="00BA3201"/>
    <w:rsid w:val="00BA3338"/>
    <w:rsid w:val="00BA67CD"/>
    <w:rsid w:val="00BA698C"/>
    <w:rsid w:val="00BB076C"/>
    <w:rsid w:val="00BC2BE8"/>
    <w:rsid w:val="00BC38FD"/>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48D0"/>
    <w:rsid w:val="00C2670B"/>
    <w:rsid w:val="00C322F9"/>
    <w:rsid w:val="00C350E9"/>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0BC"/>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2E97"/>
    <w:rsid w:val="00D27114"/>
    <w:rsid w:val="00D313EC"/>
    <w:rsid w:val="00D32669"/>
    <w:rsid w:val="00D342A6"/>
    <w:rsid w:val="00D356D0"/>
    <w:rsid w:val="00D35AB2"/>
    <w:rsid w:val="00D36ABB"/>
    <w:rsid w:val="00D40598"/>
    <w:rsid w:val="00D42A15"/>
    <w:rsid w:val="00D460EB"/>
    <w:rsid w:val="00D464BF"/>
    <w:rsid w:val="00D47AB0"/>
    <w:rsid w:val="00D527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3CE8"/>
    <w:rsid w:val="00DD4F0E"/>
    <w:rsid w:val="00DE4017"/>
    <w:rsid w:val="00DF070D"/>
    <w:rsid w:val="00DF0BF0"/>
    <w:rsid w:val="00DF465D"/>
    <w:rsid w:val="00DF4E15"/>
    <w:rsid w:val="00DF4F58"/>
    <w:rsid w:val="00DF7B9C"/>
    <w:rsid w:val="00E010B3"/>
    <w:rsid w:val="00E0158D"/>
    <w:rsid w:val="00E0255B"/>
    <w:rsid w:val="00E0456C"/>
    <w:rsid w:val="00E048D6"/>
    <w:rsid w:val="00E05E0A"/>
    <w:rsid w:val="00E06ECE"/>
    <w:rsid w:val="00E101ED"/>
    <w:rsid w:val="00E14E26"/>
    <w:rsid w:val="00E15D29"/>
    <w:rsid w:val="00E20A83"/>
    <w:rsid w:val="00E20AA8"/>
    <w:rsid w:val="00E21057"/>
    <w:rsid w:val="00E233B4"/>
    <w:rsid w:val="00E3198B"/>
    <w:rsid w:val="00E31DF3"/>
    <w:rsid w:val="00E35D4F"/>
    <w:rsid w:val="00E37248"/>
    <w:rsid w:val="00E37400"/>
    <w:rsid w:val="00E41DFD"/>
    <w:rsid w:val="00E436A8"/>
    <w:rsid w:val="00E43916"/>
    <w:rsid w:val="00E534CF"/>
    <w:rsid w:val="00E56ED5"/>
    <w:rsid w:val="00E57338"/>
    <w:rsid w:val="00E61467"/>
    <w:rsid w:val="00E61DA0"/>
    <w:rsid w:val="00E65043"/>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D5953"/>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B"/>
    <w:rsid w:val="00FA717D"/>
    <w:rsid w:val="00FA79AB"/>
    <w:rsid w:val="00FA7CDB"/>
    <w:rsid w:val="00FB5E09"/>
    <w:rsid w:val="00FB6E4D"/>
    <w:rsid w:val="00FC462E"/>
    <w:rsid w:val="00FC55EF"/>
    <w:rsid w:val="00FC58EF"/>
    <w:rsid w:val="00FC5D62"/>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D417D84-0B16-4E2E-8BEB-124882A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4214-F577-46A7-BCF5-E19F8F49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13</Pages>
  <Words>5094</Words>
  <Characters>26949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2016-12-07T17:15:00Z</dcterms:created>
  <dcterms:modified xsi:type="dcterms:W3CDTF">2016-12-07T17:15:00Z</dcterms:modified>
</cp:coreProperties>
</file>