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666D" w14:textId="77777777" w:rsidR="00766357" w:rsidRDefault="00781069" w:rsidP="00766357">
      <w:bookmarkStart w:id="0" w:name="_Hlk91579309"/>
      <w:r>
        <w:rPr>
          <w:noProof/>
        </w:rPr>
        <w:object w:dxaOrig="1440" w:dyaOrig="1440" w14:anchorId="52450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202.9pt;margin-top:-16.6pt;width:52.5pt;height:48.75pt;z-index:251658240" fillcolor="#0c9">
            <v:imagedata r:id="rId11" o:title=""/>
          </v:shape>
          <o:OLEObject Type="Embed" ProgID="PBrush" ShapeID="_x0000_s2068" DrawAspect="Content" ObjectID="_1705233838" r:id="rId12"/>
        </w:object>
      </w:r>
      <w:r w:rsidR="00766357">
        <w:t xml:space="preserve">   </w:t>
      </w:r>
    </w:p>
    <w:p w14:paraId="205CE38C" w14:textId="77777777" w:rsidR="00766357" w:rsidRPr="00DF40E1" w:rsidRDefault="00766357" w:rsidP="00766357">
      <w:pPr>
        <w:jc w:val="center"/>
        <w:rPr>
          <w:b/>
          <w:noProof/>
        </w:rPr>
      </w:pPr>
      <w:r w:rsidRPr="00DF40E1">
        <w:t>Ministerio de Minas y Energía</w:t>
      </w:r>
    </w:p>
    <w:p w14:paraId="52EB00AB" w14:textId="707F0168" w:rsidR="00766357" w:rsidRDefault="00766357" w:rsidP="00DE0460">
      <w:pPr>
        <w:spacing w:before="480" w:after="0"/>
        <w:jc w:val="center"/>
        <w:rPr>
          <w:b/>
        </w:rPr>
      </w:pPr>
      <w:r w:rsidRPr="00E5689C">
        <w:rPr>
          <w:b/>
        </w:rPr>
        <w:t>COMISIÓN DE REGULACIÓN DE ENERGÍA Y GAS</w:t>
      </w:r>
    </w:p>
    <w:p w14:paraId="5365EF16" w14:textId="77777777" w:rsidR="00DE0460" w:rsidRPr="00DF40E1" w:rsidRDefault="00DE0460" w:rsidP="00DE0460">
      <w:pPr>
        <w:spacing w:before="0" w:after="0"/>
        <w:jc w:val="center"/>
      </w:pPr>
    </w:p>
    <w:p w14:paraId="1C857BE9" w14:textId="2BEEF8B4" w:rsidR="00766357" w:rsidRPr="00713159" w:rsidRDefault="00766357" w:rsidP="00DE0460">
      <w:pPr>
        <w:spacing w:before="0" w:after="0"/>
        <w:jc w:val="center"/>
        <w:rPr>
          <w:b/>
        </w:rPr>
      </w:pPr>
      <w:r w:rsidRPr="00713159">
        <w:rPr>
          <w:b/>
        </w:rPr>
        <w:t xml:space="preserve">RESOLUCIÓN No. </w:t>
      </w:r>
      <w:r w:rsidR="00FF37BE">
        <w:rPr>
          <w:b/>
          <w:sz w:val="32"/>
          <w:szCs w:val="32"/>
        </w:rPr>
        <w:t>701</w:t>
      </w:r>
      <w:r w:rsidRPr="00DE0460">
        <w:rPr>
          <w:b/>
          <w:sz w:val="32"/>
          <w:szCs w:val="32"/>
        </w:rPr>
        <w:t xml:space="preserve"> </w:t>
      </w:r>
      <w:r w:rsidR="00FF37BE">
        <w:rPr>
          <w:b/>
          <w:sz w:val="32"/>
          <w:szCs w:val="32"/>
        </w:rPr>
        <w:t>002</w:t>
      </w:r>
      <w:r w:rsidRPr="00713159">
        <w:rPr>
          <w:b/>
        </w:rPr>
        <w:t xml:space="preserve">      DE 20</w:t>
      </w:r>
      <w:r w:rsidR="00946500">
        <w:rPr>
          <w:b/>
        </w:rPr>
        <w:t>2</w:t>
      </w:r>
      <w:r w:rsidR="003D2769">
        <w:rPr>
          <w:b/>
        </w:rPr>
        <w:t>2</w:t>
      </w:r>
    </w:p>
    <w:p w14:paraId="0F92F2AE" w14:textId="0DE1EAD5" w:rsidR="00766357" w:rsidRDefault="00766357" w:rsidP="00E635B2">
      <w:pPr>
        <w:spacing w:before="360" w:after="360"/>
        <w:jc w:val="center"/>
        <w:rPr>
          <w:b/>
        </w:rPr>
      </w:pPr>
      <w:proofErr w:type="gramStart"/>
      <w:r w:rsidRPr="00E5689C">
        <w:rPr>
          <w:b/>
        </w:rPr>
        <w:t xml:space="preserve">(  </w:t>
      </w:r>
      <w:r w:rsidR="00FF37BE">
        <w:rPr>
          <w:b/>
          <w:sz w:val="32"/>
          <w:szCs w:val="32"/>
        </w:rPr>
        <w:t>25</w:t>
      </w:r>
      <w:proofErr w:type="gramEnd"/>
      <w:r w:rsidR="00DE0460" w:rsidRPr="00DE0460">
        <w:rPr>
          <w:b/>
          <w:sz w:val="32"/>
          <w:szCs w:val="32"/>
        </w:rPr>
        <w:t xml:space="preserve"> </w:t>
      </w:r>
      <w:r w:rsidR="00FF37BE">
        <w:rPr>
          <w:b/>
          <w:sz w:val="32"/>
          <w:szCs w:val="32"/>
        </w:rPr>
        <w:t>ENE</w:t>
      </w:r>
      <w:r w:rsidR="00DE0460" w:rsidRPr="00DE0460">
        <w:rPr>
          <w:b/>
          <w:sz w:val="32"/>
          <w:szCs w:val="32"/>
        </w:rPr>
        <w:t>. 202</w:t>
      </w:r>
      <w:r w:rsidR="003D2769">
        <w:rPr>
          <w:b/>
          <w:sz w:val="32"/>
          <w:szCs w:val="32"/>
        </w:rPr>
        <w:t>2</w:t>
      </w:r>
      <w:r w:rsidRPr="00E5689C">
        <w:rPr>
          <w:b/>
        </w:rPr>
        <w:t xml:space="preserve">  )</w:t>
      </w:r>
    </w:p>
    <w:p w14:paraId="3F73EE1D" w14:textId="77777777" w:rsidR="00DE0460" w:rsidRDefault="00DE0460" w:rsidP="00DE0460">
      <w:pPr>
        <w:spacing w:before="0" w:after="0"/>
        <w:jc w:val="center"/>
        <w:rPr>
          <w:lang w:val="es-ES_tradnl"/>
        </w:rPr>
      </w:pPr>
    </w:p>
    <w:p w14:paraId="5B502954" w14:textId="5717E4CC" w:rsidR="006565FF" w:rsidRDefault="006565FF" w:rsidP="006565FF">
      <w:pPr>
        <w:spacing w:before="0" w:after="0"/>
        <w:rPr>
          <w:color w:val="000000" w:themeColor="text1"/>
        </w:rPr>
      </w:pPr>
      <w:r w:rsidRPr="006565FF">
        <w:rPr>
          <w:color w:val="000000" w:themeColor="text1"/>
        </w:rPr>
        <w:t>La Comisión de Regulación de Energía y Gas, en su sesión 1147 de</w:t>
      </w:r>
      <w:r>
        <w:rPr>
          <w:color w:val="000000" w:themeColor="text1"/>
        </w:rPr>
        <w:t xml:space="preserve">l 25 de enero de </w:t>
      </w:r>
      <w:r w:rsidRPr="006565FF">
        <w:rPr>
          <w:color w:val="000000" w:themeColor="text1"/>
        </w:rPr>
        <w:t>2022, aprobó someter a consulta pública el presente proyecto de resolución por el término de tres días hábiles contados a partir del día siguiente a su publicación en el portal web de la CREG.</w:t>
      </w:r>
    </w:p>
    <w:p w14:paraId="16E3ADB9" w14:textId="26C7EE68" w:rsidR="006565FF" w:rsidRPr="00845C44" w:rsidRDefault="006565FF" w:rsidP="006565FF">
      <w:pPr>
        <w:rPr>
          <w:bCs/>
        </w:rPr>
      </w:pPr>
      <w:r w:rsidRPr="00845C44">
        <w:rPr>
          <w:bCs/>
        </w:rPr>
        <w:t>Se invita a los agentes regulados, usuarios, autoridades competentes y demás interesados, para que remitan sus observaciones o sugerencias sobre la propuesta, dentro</w:t>
      </w:r>
      <w:r w:rsidR="00AB2960">
        <w:rPr>
          <w:bCs/>
        </w:rPr>
        <w:t xml:space="preserve"> del plazo establecido</w:t>
      </w:r>
      <w:r w:rsidRPr="00845C44">
        <w:rPr>
          <w:bCs/>
        </w:rPr>
        <w:t>.</w:t>
      </w:r>
    </w:p>
    <w:p w14:paraId="378C57AB" w14:textId="6F4BBC31" w:rsidR="006565FF" w:rsidRDefault="006565FF" w:rsidP="006565FF">
      <w:pPr>
        <w:rPr>
          <w:rFonts w:cs="Arial"/>
          <w:color w:val="000000"/>
          <w:szCs w:val="27"/>
        </w:rPr>
      </w:pPr>
      <w:r>
        <w:rPr>
          <w:rFonts w:cs="Arial"/>
          <w:color w:val="000000"/>
          <w:szCs w:val="27"/>
        </w:rPr>
        <w:t xml:space="preserve">Los interesados podrán dirigir </w:t>
      </w:r>
      <w:r w:rsidRPr="00A65FFE">
        <w:rPr>
          <w:rFonts w:cs="Arial"/>
          <w:color w:val="000000"/>
          <w:szCs w:val="27"/>
        </w:rPr>
        <w:t xml:space="preserve">sus </w:t>
      </w:r>
      <w:r>
        <w:rPr>
          <w:rFonts w:cs="Arial"/>
          <w:color w:val="000000"/>
          <w:szCs w:val="27"/>
        </w:rPr>
        <w:t xml:space="preserve">comentarios al </w:t>
      </w:r>
      <w:proofErr w:type="gramStart"/>
      <w:r>
        <w:rPr>
          <w:rFonts w:cs="Arial"/>
          <w:color w:val="000000"/>
          <w:szCs w:val="27"/>
        </w:rPr>
        <w:t>Director Ejecutivo</w:t>
      </w:r>
      <w:proofErr w:type="gramEnd"/>
      <w:r>
        <w:rPr>
          <w:rFonts w:cs="Arial"/>
          <w:color w:val="000000"/>
          <w:szCs w:val="27"/>
        </w:rPr>
        <w:t xml:space="preserve"> de la </w:t>
      </w:r>
      <w:r w:rsidRPr="00A65FFE">
        <w:rPr>
          <w:rFonts w:cs="Arial"/>
          <w:color w:val="000000"/>
          <w:szCs w:val="27"/>
        </w:rPr>
        <w:t>Comisión de Regulación de Energía y Gas,</w:t>
      </w:r>
      <w:r>
        <w:rPr>
          <w:rFonts w:cs="Arial"/>
          <w:color w:val="000000"/>
          <w:szCs w:val="27"/>
        </w:rPr>
        <w:t xml:space="preserve"> al correo electrónico </w:t>
      </w:r>
      <w:hyperlink r:id="rId13" w:history="1">
        <w:r w:rsidRPr="00704255">
          <w:rPr>
            <w:rStyle w:val="Hipervnculo"/>
            <w:rFonts w:cs="Arial"/>
            <w:szCs w:val="27"/>
          </w:rPr>
          <w:t>creg@creg.gov.co</w:t>
        </w:r>
      </w:hyperlink>
      <w:r>
        <w:rPr>
          <w:rFonts w:cs="Arial"/>
          <w:color w:val="000000"/>
          <w:szCs w:val="27"/>
        </w:rPr>
        <w:t>, identificando el mensaje con el siguiente asunto “Comentarios a Ajuste de Plazo de Transición Artículo 9 Resolución CREG 148 de 2021” en el formato en Excel “RDFNC.xls”, dispuesto para tal fin.</w:t>
      </w:r>
    </w:p>
    <w:p w14:paraId="477F8BF3" w14:textId="3CFBA02B" w:rsidR="00074345" w:rsidRDefault="00074345" w:rsidP="006565FF">
      <w:pPr>
        <w:rPr>
          <w:rFonts w:ascii="Segoe UI" w:hAnsi="Segoe UI" w:cs="Segoe UI"/>
          <w:color w:val="242424"/>
          <w:shd w:val="clear" w:color="auto" w:fill="FFFFFF"/>
        </w:rPr>
      </w:pPr>
      <w:r w:rsidRPr="006C477E">
        <w:t>Al vencimiento de la consulta pública, la CREG determinará si el proyecto debe ser informado a la Superintendencia de Industria y Comercio, para el ejercicio de la Abogacía de la Competencia, con fundamento en las disposiciones del Decreto 1074 de 2015, Artículo 2.2.2.30.5.</w:t>
      </w:r>
      <w:r>
        <w:rPr>
          <w:rFonts w:ascii="Segoe UI" w:hAnsi="Segoe UI" w:cs="Segoe UI"/>
          <w:color w:val="242424"/>
          <w:shd w:val="clear" w:color="auto" w:fill="FFFFFF"/>
        </w:rPr>
        <w:t>  </w:t>
      </w:r>
    </w:p>
    <w:p w14:paraId="1C3C5E20" w14:textId="77777777" w:rsidR="006136C0" w:rsidRDefault="006136C0" w:rsidP="006565FF">
      <w:pPr>
        <w:rPr>
          <w:rFonts w:cs="Arial"/>
          <w:color w:val="000000"/>
          <w:szCs w:val="27"/>
        </w:rPr>
      </w:pPr>
    </w:p>
    <w:p w14:paraId="0C28AD35" w14:textId="41EB2E5D" w:rsidR="00A62C66" w:rsidRDefault="00A62C66" w:rsidP="00A62C66">
      <w:pPr>
        <w:spacing w:before="0" w:after="0"/>
        <w:jc w:val="center"/>
      </w:pPr>
      <w:r w:rsidRPr="00A62C66">
        <w:t xml:space="preserve">Por la cual se </w:t>
      </w:r>
      <w:r w:rsidR="003D2769">
        <w:t xml:space="preserve">modifica el plazo de transición dado </w:t>
      </w:r>
      <w:r w:rsidR="004D1FDE">
        <w:t>en el</w:t>
      </w:r>
      <w:r w:rsidR="005D303D">
        <w:t xml:space="preserve"> artículo 9 de la Resolución CREG 148 de 2021</w:t>
      </w:r>
    </w:p>
    <w:p w14:paraId="3F618C6B" w14:textId="77777777" w:rsidR="006136C0" w:rsidRPr="00BC06BF" w:rsidRDefault="006136C0" w:rsidP="00A62C66">
      <w:pPr>
        <w:spacing w:before="0" w:after="0"/>
        <w:jc w:val="center"/>
      </w:pPr>
    </w:p>
    <w:p w14:paraId="07DB0110" w14:textId="77777777" w:rsidR="00A62C66" w:rsidRDefault="00A62C66" w:rsidP="00ED5C3C">
      <w:pPr>
        <w:spacing w:before="360" w:after="360"/>
        <w:jc w:val="center"/>
        <w:rPr>
          <w:b/>
        </w:rPr>
      </w:pPr>
      <w:r w:rsidRPr="00AC0F14">
        <w:rPr>
          <w:b/>
        </w:rPr>
        <w:t>LA COMISIÓN DE REGULACIÓN DE ENERGÍA Y GAS</w:t>
      </w:r>
    </w:p>
    <w:p w14:paraId="22BA8DC0" w14:textId="528EF550" w:rsidR="004D48E4" w:rsidRPr="00C552CA" w:rsidRDefault="004D48E4" w:rsidP="004D48E4">
      <w:pPr>
        <w:pStyle w:val="Textoindependiente3"/>
        <w:rPr>
          <w:rFonts w:ascii="Bookman Old Style" w:hAnsi="Bookman Old Style"/>
          <w:b w:val="0"/>
          <w:color w:val="000000"/>
        </w:rPr>
      </w:pPr>
      <w:r w:rsidRPr="00C552CA">
        <w:rPr>
          <w:rFonts w:ascii="Bookman Old Style" w:hAnsi="Bookman Old Style"/>
          <w:b w:val="0"/>
          <w:color w:val="000000"/>
        </w:rPr>
        <w:t>En ejercicio de sus atribuciones constitucionales y legales, en especial las conferidas por las Leyes 142 y 143 de 1994, y en desarrollo de los Decretos 1524 y 2253 de 1994</w:t>
      </w:r>
      <w:r>
        <w:rPr>
          <w:rFonts w:ascii="Bookman Old Style" w:hAnsi="Bookman Old Style"/>
          <w:b w:val="0"/>
          <w:color w:val="000000"/>
        </w:rPr>
        <w:t xml:space="preserve">, </w:t>
      </w:r>
      <w:r w:rsidR="00AB2960">
        <w:rPr>
          <w:rFonts w:ascii="Bookman Old Style" w:hAnsi="Bookman Old Style"/>
          <w:b w:val="0"/>
          <w:color w:val="000000"/>
        </w:rPr>
        <w:t xml:space="preserve">y </w:t>
      </w:r>
      <w:r w:rsidRPr="00C552CA">
        <w:rPr>
          <w:rFonts w:ascii="Bookman Old Style" w:hAnsi="Bookman Old Style"/>
          <w:b w:val="0"/>
          <w:color w:val="000000"/>
        </w:rPr>
        <w:t>1260 de 2013</w:t>
      </w:r>
      <w:r w:rsidR="00AB2960">
        <w:rPr>
          <w:rFonts w:ascii="Bookman Old Style" w:hAnsi="Bookman Old Style"/>
          <w:b w:val="0"/>
          <w:color w:val="000000"/>
        </w:rPr>
        <w:t xml:space="preserve"> </w:t>
      </w:r>
      <w:r w:rsidR="006136C0">
        <w:rPr>
          <w:rFonts w:ascii="Bookman Old Style" w:hAnsi="Bookman Old Style"/>
          <w:b w:val="0"/>
          <w:color w:val="000000"/>
        </w:rPr>
        <w:t>y,</w:t>
      </w:r>
    </w:p>
    <w:p w14:paraId="621DA896" w14:textId="0FC9A546" w:rsidR="00766357" w:rsidRPr="00A716FF" w:rsidRDefault="00766357" w:rsidP="00BE68FE">
      <w:pPr>
        <w:spacing w:before="600" w:after="600"/>
        <w:jc w:val="center"/>
        <w:rPr>
          <w:rFonts w:cs="Arial"/>
          <w:b/>
        </w:rPr>
      </w:pPr>
      <w:r w:rsidRPr="00A716FF">
        <w:rPr>
          <w:b/>
        </w:rPr>
        <w:t>C O N S I D E R A N D O</w:t>
      </w:r>
      <w:r w:rsidR="00946500">
        <w:rPr>
          <w:b/>
        </w:rPr>
        <w:t xml:space="preserve"> QUE</w:t>
      </w:r>
      <w:r w:rsidRPr="00A716FF">
        <w:rPr>
          <w:rFonts w:cs="Arial"/>
          <w:b/>
        </w:rPr>
        <w:t>:</w:t>
      </w:r>
    </w:p>
    <w:p w14:paraId="22059CC8" w14:textId="4EDD4639" w:rsidR="006E7A1B" w:rsidRDefault="00C86C75" w:rsidP="006E7A1B">
      <w:pPr>
        <w:rPr>
          <w:color w:val="000000"/>
        </w:rPr>
      </w:pPr>
      <w:r>
        <w:rPr>
          <w:color w:val="000000"/>
        </w:rPr>
        <w:t>L</w:t>
      </w:r>
      <w:r w:rsidR="006E7A1B">
        <w:rPr>
          <w:color w:val="000000"/>
        </w:rPr>
        <w:t>a Comisión, en la Sesión 1124 del 24 de septiembre de 2021, aprobó expedir la Resolución CREG 148 de 2021</w:t>
      </w:r>
      <w:r w:rsidR="00926FB2">
        <w:rPr>
          <w:color w:val="000000"/>
        </w:rPr>
        <w:t xml:space="preserve">, </w:t>
      </w:r>
      <w:r w:rsidR="00926FB2" w:rsidRPr="00A771CD">
        <w:rPr>
          <w:i/>
          <w:iCs/>
          <w:color w:val="000000"/>
        </w:rPr>
        <w:t xml:space="preserve">Por la cual se adiciona un Capítulo Transitorio al Anexo General del Reglamento de Distribución contenido en la Resolución CREG 070 de 1998, para permitir la conexión y operación de plantas solares </w:t>
      </w:r>
      <w:r w:rsidR="00926FB2" w:rsidRPr="00A771CD">
        <w:rPr>
          <w:i/>
          <w:iCs/>
          <w:color w:val="000000"/>
        </w:rPr>
        <w:lastRenderedPageBreak/>
        <w:t>fotovoltaicas y eólicas en el SDL con capacidad efectiva neta o potencia máxima declarada igual o mayor a 5 MW y se dictan otras disposiciones</w:t>
      </w:r>
      <w:r w:rsidR="006E7A1B">
        <w:rPr>
          <w:color w:val="000000"/>
        </w:rPr>
        <w:t>.</w:t>
      </w:r>
    </w:p>
    <w:p w14:paraId="12499F07" w14:textId="383BB8ED" w:rsidR="00766357" w:rsidRPr="00487005" w:rsidRDefault="00926FB2" w:rsidP="006C477E">
      <w:pPr>
        <w:pStyle w:val="Artculo"/>
        <w:numPr>
          <w:ilvl w:val="0"/>
          <w:numId w:val="0"/>
        </w:numPr>
        <w:tabs>
          <w:tab w:val="clear" w:pos="1701"/>
        </w:tabs>
        <w:spacing w:before="200" w:after="120"/>
        <w:outlineLvl w:val="2"/>
        <w:rPr>
          <w:b w:val="0"/>
          <w:bCs/>
        </w:rPr>
      </w:pPr>
      <w:proofErr w:type="gramStart"/>
      <w:r w:rsidRPr="00487005">
        <w:rPr>
          <w:b w:val="0"/>
          <w:bCs/>
        </w:rPr>
        <w:t>Que</w:t>
      </w:r>
      <w:proofErr w:type="gramEnd"/>
      <w:r w:rsidRPr="00487005">
        <w:rPr>
          <w:b w:val="0"/>
          <w:bCs/>
        </w:rPr>
        <w:t xml:space="preserve"> </w:t>
      </w:r>
      <w:r w:rsidR="00A771CD" w:rsidRPr="00487005">
        <w:rPr>
          <w:b w:val="0"/>
          <w:bCs/>
        </w:rPr>
        <w:t xml:space="preserve">en </w:t>
      </w:r>
      <w:r w:rsidRPr="00487005">
        <w:rPr>
          <w:b w:val="0"/>
          <w:bCs/>
        </w:rPr>
        <w:t>la citada Resolución</w:t>
      </w:r>
      <w:r w:rsidR="008B1959">
        <w:rPr>
          <w:b w:val="0"/>
          <w:bCs/>
        </w:rPr>
        <w:t>,</w:t>
      </w:r>
      <w:r w:rsidRPr="00487005">
        <w:rPr>
          <w:b w:val="0"/>
          <w:bCs/>
        </w:rPr>
        <w:t xml:space="preserve"> en su artículo 9</w:t>
      </w:r>
      <w:r w:rsidR="008B1959">
        <w:rPr>
          <w:b w:val="0"/>
          <w:bCs/>
        </w:rPr>
        <w:t>,</w:t>
      </w:r>
      <w:r w:rsidRPr="00487005">
        <w:rPr>
          <w:b w:val="0"/>
          <w:bCs/>
        </w:rPr>
        <w:t xml:space="preserve"> </w:t>
      </w:r>
      <w:r w:rsidR="008B1959">
        <w:rPr>
          <w:b w:val="0"/>
          <w:bCs/>
        </w:rPr>
        <w:t xml:space="preserve">se define </w:t>
      </w:r>
      <w:r w:rsidR="00584B15" w:rsidRPr="00487005">
        <w:rPr>
          <w:b w:val="0"/>
          <w:bCs/>
        </w:rPr>
        <w:t>una transición para permitir la conexión y operación de plantas solares fotovoltaicas y eólicas en el SDL con capacidad efectiva neta o potencia máxima declarada igual o mayor a 5 MW, por medio de los siguientes</w:t>
      </w:r>
      <w:r w:rsidR="00581D19" w:rsidRPr="00487005">
        <w:rPr>
          <w:b w:val="0"/>
          <w:bCs/>
        </w:rPr>
        <w:t xml:space="preserve"> literales</w:t>
      </w:r>
      <w:r w:rsidR="00584B15" w:rsidRPr="00487005">
        <w:rPr>
          <w:b w:val="0"/>
          <w:bCs/>
        </w:rPr>
        <w:t>:</w:t>
      </w:r>
    </w:p>
    <w:p w14:paraId="669FE905" w14:textId="68B77DCB" w:rsidR="00A06707" w:rsidRPr="00A06707" w:rsidRDefault="00D24FE2" w:rsidP="006C477E">
      <w:pPr>
        <w:spacing w:before="0" w:after="0"/>
        <w:ind w:left="426"/>
        <w:rPr>
          <w:i/>
          <w:iCs/>
          <w:color w:val="000000"/>
        </w:rPr>
      </w:pPr>
      <w:r>
        <w:rPr>
          <w:i/>
          <w:iCs/>
          <w:color w:val="000000"/>
        </w:rPr>
        <w:t>“</w:t>
      </w:r>
      <w:r w:rsidR="00A06707" w:rsidRPr="00A06707">
        <w:rPr>
          <w:i/>
          <w:iCs/>
          <w:color w:val="000000"/>
        </w:rPr>
        <w:t>(…)</w:t>
      </w:r>
    </w:p>
    <w:p w14:paraId="5CD7D060" w14:textId="6551E308" w:rsidR="00A06707" w:rsidRPr="00A06707" w:rsidRDefault="00A06707" w:rsidP="006C477E">
      <w:pPr>
        <w:pStyle w:val="Artculo"/>
        <w:numPr>
          <w:ilvl w:val="0"/>
          <w:numId w:val="20"/>
        </w:numPr>
        <w:tabs>
          <w:tab w:val="clear" w:pos="1701"/>
        </w:tabs>
        <w:spacing w:before="120" w:after="200"/>
        <w:ind w:right="284"/>
        <w:outlineLvl w:val="2"/>
        <w:rPr>
          <w:b w:val="0"/>
          <w:bCs/>
          <w:i/>
          <w:iCs/>
        </w:rPr>
      </w:pPr>
      <w:r w:rsidRPr="00A06707">
        <w:rPr>
          <w:b w:val="0"/>
          <w:bCs/>
          <w:i/>
          <w:iCs/>
        </w:rPr>
        <w:t xml:space="preserve">Las plantas que estén en operación en el sistema al momento de la publicación de la presente Resolución en el Diario </w:t>
      </w:r>
      <w:proofErr w:type="gramStart"/>
      <w:r w:rsidRPr="00A06707">
        <w:rPr>
          <w:b w:val="0"/>
          <w:bCs/>
          <w:i/>
          <w:iCs/>
        </w:rPr>
        <w:t>Oficial,</w:t>
      </w:r>
      <w:proofErr w:type="gramEnd"/>
      <w:r w:rsidRPr="00A06707">
        <w:rPr>
          <w:b w:val="0"/>
          <w:bCs/>
          <w:i/>
          <w:iCs/>
        </w:rPr>
        <w:t xml:space="preserve"> deberán cumplir los requisitos técnicos definidos en la presente resolución en un término máximo de treinta y seis (36) meses contados a partir de la vigencia de la presente resolución. </w:t>
      </w:r>
    </w:p>
    <w:p w14:paraId="5E61DAA6" w14:textId="77777777" w:rsidR="00A06707" w:rsidRPr="00A06707" w:rsidRDefault="00A06707" w:rsidP="006C477E">
      <w:pPr>
        <w:pStyle w:val="Artculo"/>
        <w:numPr>
          <w:ilvl w:val="0"/>
          <w:numId w:val="20"/>
        </w:numPr>
        <w:tabs>
          <w:tab w:val="clear" w:pos="1701"/>
        </w:tabs>
        <w:spacing w:before="200" w:after="200"/>
        <w:ind w:right="284"/>
        <w:outlineLvl w:val="2"/>
        <w:rPr>
          <w:b w:val="0"/>
          <w:bCs/>
          <w:i/>
          <w:iCs/>
        </w:rPr>
      </w:pPr>
      <w:r w:rsidRPr="00A06707">
        <w:rPr>
          <w:b w:val="0"/>
          <w:bCs/>
          <w:i/>
          <w:iCs/>
        </w:rPr>
        <w:t xml:space="preserve">Las plantas que aún no están en operación en el sistema al momento de la publicación de la presente Resolución en el Diario Oficial y que tengan un concepto de estado aprobado por la UPME, deberán cumplir todos los requisitos técnicos de la presente resolución en un término de treinta y seis (36) meses luego de su conexión al sistema. </w:t>
      </w:r>
    </w:p>
    <w:p w14:paraId="3C042073" w14:textId="3933AF5C" w:rsidR="00A06707" w:rsidRDefault="00A06707" w:rsidP="006C477E">
      <w:pPr>
        <w:pStyle w:val="Artculo"/>
        <w:numPr>
          <w:ilvl w:val="0"/>
          <w:numId w:val="20"/>
        </w:numPr>
        <w:tabs>
          <w:tab w:val="clear" w:pos="1701"/>
        </w:tabs>
        <w:spacing w:before="200" w:after="200"/>
        <w:ind w:right="284"/>
        <w:outlineLvl w:val="2"/>
        <w:rPr>
          <w:b w:val="0"/>
          <w:bCs/>
          <w:i/>
          <w:iCs/>
        </w:rPr>
      </w:pPr>
      <w:r w:rsidRPr="00A06707">
        <w:rPr>
          <w:b w:val="0"/>
          <w:bCs/>
          <w:i/>
          <w:iCs/>
        </w:rPr>
        <w:t>Las plantas que aún no han entrado en servicio en el sistema y no cuenten con un concepto de estado aprobado UPME, aplicarán todos los requisitos técnicos de la presente resolución desde su entrada en operación. (…)</w:t>
      </w:r>
      <w:r w:rsidR="00D24FE2">
        <w:rPr>
          <w:b w:val="0"/>
          <w:bCs/>
          <w:i/>
          <w:iCs/>
        </w:rPr>
        <w:t>”</w:t>
      </w:r>
    </w:p>
    <w:p w14:paraId="2E8C2056" w14:textId="7ADC876E" w:rsidR="006F301B" w:rsidRDefault="006F301B" w:rsidP="006F301B">
      <w:pPr>
        <w:pStyle w:val="Artculo"/>
        <w:numPr>
          <w:ilvl w:val="0"/>
          <w:numId w:val="0"/>
        </w:numPr>
        <w:tabs>
          <w:tab w:val="clear" w:pos="1701"/>
        </w:tabs>
        <w:spacing w:before="200" w:after="200"/>
        <w:outlineLvl w:val="2"/>
        <w:rPr>
          <w:b w:val="0"/>
          <w:bCs/>
        </w:rPr>
      </w:pPr>
      <w:r>
        <w:rPr>
          <w:b w:val="0"/>
          <w:bCs/>
        </w:rPr>
        <w:t xml:space="preserve">Que conforme el artículo 6 de la Resolución CREG 148 de 2021, el C.N.O tiene un plazo de </w:t>
      </w:r>
      <w:r w:rsidRPr="00585A6C">
        <w:rPr>
          <w:b w:val="0"/>
          <w:bCs/>
        </w:rPr>
        <w:t xml:space="preserve">setenta días hábiles (70) siguientes a la </w:t>
      </w:r>
      <w:proofErr w:type="gramStart"/>
      <w:r w:rsidRPr="00585A6C">
        <w:rPr>
          <w:b w:val="0"/>
          <w:bCs/>
        </w:rPr>
        <w:t>entrada en vigencia</w:t>
      </w:r>
      <w:proofErr w:type="gramEnd"/>
      <w:r w:rsidRPr="00585A6C">
        <w:rPr>
          <w:b w:val="0"/>
          <w:bCs/>
        </w:rPr>
        <w:t xml:space="preserve"> de la </w:t>
      </w:r>
      <w:r>
        <w:rPr>
          <w:b w:val="0"/>
          <w:bCs/>
        </w:rPr>
        <w:t>citada</w:t>
      </w:r>
      <w:r w:rsidRPr="00585A6C">
        <w:rPr>
          <w:b w:val="0"/>
          <w:bCs/>
        </w:rPr>
        <w:t xml:space="preserve"> resolución para expedir los Acuerdos encargados</w:t>
      </w:r>
      <w:r w:rsidR="00991A4D">
        <w:rPr>
          <w:b w:val="0"/>
          <w:bCs/>
        </w:rPr>
        <w:t>, con excepción del que trata el numeral 11.5 del Capítulo 11 del Reglamento de Distribución incluido como Anexo en la misma Resolución</w:t>
      </w:r>
      <w:r>
        <w:rPr>
          <w:b w:val="0"/>
          <w:bCs/>
        </w:rPr>
        <w:t>.</w:t>
      </w:r>
    </w:p>
    <w:p w14:paraId="43A69B63" w14:textId="202EBDAE" w:rsidR="00BB7BF0" w:rsidRDefault="00A06707" w:rsidP="007360E9">
      <w:pPr>
        <w:pStyle w:val="Artculo"/>
        <w:numPr>
          <w:ilvl w:val="0"/>
          <w:numId w:val="0"/>
        </w:numPr>
        <w:tabs>
          <w:tab w:val="clear" w:pos="1701"/>
        </w:tabs>
        <w:spacing w:before="200" w:after="200"/>
        <w:outlineLvl w:val="2"/>
        <w:rPr>
          <w:b w:val="0"/>
          <w:bCs/>
        </w:rPr>
      </w:pPr>
      <w:r>
        <w:rPr>
          <w:b w:val="0"/>
          <w:bCs/>
        </w:rPr>
        <w:t xml:space="preserve">Que se recibió una comunicación </w:t>
      </w:r>
      <w:r w:rsidR="0022765B">
        <w:rPr>
          <w:b w:val="0"/>
          <w:bCs/>
        </w:rPr>
        <w:t xml:space="preserve">mediante radicado CREG </w:t>
      </w:r>
      <w:r w:rsidR="0022765B" w:rsidRPr="0022765B">
        <w:rPr>
          <w:b w:val="0"/>
          <w:bCs/>
        </w:rPr>
        <w:t>E-2021-015286</w:t>
      </w:r>
      <w:r w:rsidR="00496413">
        <w:rPr>
          <w:b w:val="0"/>
          <w:bCs/>
        </w:rPr>
        <w:t xml:space="preserve">, solicitando una extensión </w:t>
      </w:r>
      <w:r w:rsidR="008F2748">
        <w:rPr>
          <w:b w:val="0"/>
          <w:bCs/>
        </w:rPr>
        <w:t>en</w:t>
      </w:r>
      <w:r w:rsidR="00496413">
        <w:rPr>
          <w:b w:val="0"/>
          <w:bCs/>
        </w:rPr>
        <w:t xml:space="preserve"> </w:t>
      </w:r>
      <w:r w:rsidR="00D60F26">
        <w:rPr>
          <w:b w:val="0"/>
          <w:bCs/>
        </w:rPr>
        <w:t xml:space="preserve">la anterior </w:t>
      </w:r>
      <w:r w:rsidR="0022765B">
        <w:rPr>
          <w:b w:val="0"/>
          <w:bCs/>
        </w:rPr>
        <w:t xml:space="preserve">transición </w:t>
      </w:r>
      <w:r w:rsidR="00825D15">
        <w:rPr>
          <w:b w:val="0"/>
          <w:bCs/>
        </w:rPr>
        <w:t>para</w:t>
      </w:r>
      <w:r w:rsidR="0022765B">
        <w:rPr>
          <w:b w:val="0"/>
          <w:bCs/>
        </w:rPr>
        <w:t xml:space="preserve"> plantas con</w:t>
      </w:r>
      <w:r w:rsidR="007360E9">
        <w:rPr>
          <w:b w:val="0"/>
          <w:bCs/>
        </w:rPr>
        <w:t xml:space="preserve"> c</w:t>
      </w:r>
      <w:r w:rsidR="00825D15">
        <w:rPr>
          <w:b w:val="0"/>
          <w:bCs/>
        </w:rPr>
        <w:t>oncepto de conexión con estado</w:t>
      </w:r>
      <w:r w:rsidR="0022765B">
        <w:rPr>
          <w:b w:val="0"/>
          <w:bCs/>
        </w:rPr>
        <w:t xml:space="preserve"> aprobado UPME justo después de la expedición de la Resolución CREG 148 de 2021</w:t>
      </w:r>
      <w:r w:rsidR="008B1959">
        <w:rPr>
          <w:b w:val="0"/>
          <w:bCs/>
        </w:rPr>
        <w:t>,</w:t>
      </w:r>
      <w:r w:rsidR="007360E9">
        <w:rPr>
          <w:b w:val="0"/>
          <w:bCs/>
        </w:rPr>
        <w:t xml:space="preserve"> </w:t>
      </w:r>
      <w:r w:rsidR="00A14FCB">
        <w:rPr>
          <w:b w:val="0"/>
          <w:bCs/>
        </w:rPr>
        <w:t>y</w:t>
      </w:r>
      <w:r w:rsidR="007360E9">
        <w:rPr>
          <w:b w:val="0"/>
          <w:bCs/>
        </w:rPr>
        <w:t xml:space="preserve"> con f</w:t>
      </w:r>
      <w:r w:rsidR="0022765B">
        <w:rPr>
          <w:b w:val="0"/>
          <w:bCs/>
        </w:rPr>
        <w:t xml:space="preserve">echa de entrada en operación inferior </w:t>
      </w:r>
      <w:r w:rsidR="00BD4DBE">
        <w:rPr>
          <w:b w:val="0"/>
          <w:bCs/>
        </w:rPr>
        <w:t xml:space="preserve">o cercana </w:t>
      </w:r>
      <w:r w:rsidR="0022765B">
        <w:rPr>
          <w:b w:val="0"/>
          <w:bCs/>
        </w:rPr>
        <w:t xml:space="preserve">a </w:t>
      </w:r>
      <w:r w:rsidR="008A163B">
        <w:rPr>
          <w:b w:val="0"/>
          <w:bCs/>
        </w:rPr>
        <w:t>un (</w:t>
      </w:r>
      <w:r w:rsidR="0022765B">
        <w:rPr>
          <w:b w:val="0"/>
          <w:bCs/>
        </w:rPr>
        <w:t>1</w:t>
      </w:r>
      <w:r w:rsidR="008A163B">
        <w:rPr>
          <w:b w:val="0"/>
          <w:bCs/>
        </w:rPr>
        <w:t>)</w:t>
      </w:r>
      <w:r w:rsidR="0022765B">
        <w:rPr>
          <w:b w:val="0"/>
          <w:bCs/>
        </w:rPr>
        <w:t xml:space="preserve"> año posterior a la publicación de la misma resolución</w:t>
      </w:r>
      <w:r w:rsidR="00B568C4">
        <w:rPr>
          <w:b w:val="0"/>
          <w:bCs/>
        </w:rPr>
        <w:t>.</w:t>
      </w:r>
    </w:p>
    <w:p w14:paraId="68ECA335" w14:textId="3037BF42" w:rsidR="00A06707" w:rsidRDefault="00B568C4" w:rsidP="00B568C4">
      <w:pPr>
        <w:pStyle w:val="Artculo"/>
        <w:numPr>
          <w:ilvl w:val="0"/>
          <w:numId w:val="0"/>
        </w:numPr>
        <w:tabs>
          <w:tab w:val="clear" w:pos="1701"/>
        </w:tabs>
        <w:spacing w:before="200" w:after="200"/>
        <w:outlineLvl w:val="2"/>
        <w:rPr>
          <w:b w:val="0"/>
          <w:bCs/>
        </w:rPr>
      </w:pPr>
      <w:r>
        <w:rPr>
          <w:b w:val="0"/>
          <w:bCs/>
        </w:rPr>
        <w:t>Es</w:t>
      </w:r>
      <w:r w:rsidR="009F368A">
        <w:rPr>
          <w:b w:val="0"/>
          <w:bCs/>
        </w:rPr>
        <w:t>t</w:t>
      </w:r>
      <w:r>
        <w:rPr>
          <w:b w:val="0"/>
          <w:bCs/>
        </w:rPr>
        <w:t xml:space="preserve">o </w:t>
      </w:r>
      <w:proofErr w:type="gramStart"/>
      <w:r>
        <w:rPr>
          <w:b w:val="0"/>
          <w:bCs/>
        </w:rPr>
        <w:t>en razón de</w:t>
      </w:r>
      <w:proofErr w:type="gramEnd"/>
      <w:r>
        <w:rPr>
          <w:b w:val="0"/>
          <w:bCs/>
        </w:rPr>
        <w:t xml:space="preserve"> que l</w:t>
      </w:r>
      <w:r w:rsidR="001A28A6">
        <w:rPr>
          <w:b w:val="0"/>
          <w:bCs/>
        </w:rPr>
        <w:t>as anteriores plantas no</w:t>
      </w:r>
      <w:r w:rsidR="006F6D52">
        <w:rPr>
          <w:b w:val="0"/>
          <w:bCs/>
        </w:rPr>
        <w:t xml:space="preserve"> </w:t>
      </w:r>
      <w:r w:rsidR="00D33A05">
        <w:rPr>
          <w:b w:val="0"/>
          <w:bCs/>
        </w:rPr>
        <w:t xml:space="preserve">tienen la posibilidad </w:t>
      </w:r>
      <w:r w:rsidR="003975CB">
        <w:rPr>
          <w:b w:val="0"/>
          <w:bCs/>
        </w:rPr>
        <w:t xml:space="preserve">de </w:t>
      </w:r>
      <w:r w:rsidR="006F6D52">
        <w:rPr>
          <w:b w:val="0"/>
          <w:bCs/>
        </w:rPr>
        <w:t>conoce</w:t>
      </w:r>
      <w:r w:rsidR="003975CB">
        <w:rPr>
          <w:b w:val="0"/>
          <w:bCs/>
        </w:rPr>
        <w:t>r</w:t>
      </w:r>
      <w:r w:rsidR="001A28A6">
        <w:rPr>
          <w:b w:val="0"/>
          <w:bCs/>
        </w:rPr>
        <w:t xml:space="preserve"> los requisitos técnicos</w:t>
      </w:r>
      <w:r w:rsidR="000F424D">
        <w:rPr>
          <w:b w:val="0"/>
          <w:bCs/>
        </w:rPr>
        <w:t xml:space="preserve"> </w:t>
      </w:r>
      <w:r w:rsidR="003975CB">
        <w:rPr>
          <w:b w:val="0"/>
          <w:bCs/>
        </w:rPr>
        <w:t xml:space="preserve">antes de que el </w:t>
      </w:r>
      <w:r w:rsidR="001373EB">
        <w:rPr>
          <w:b w:val="0"/>
          <w:bCs/>
        </w:rPr>
        <w:t xml:space="preserve">C.N.O </w:t>
      </w:r>
      <w:r w:rsidR="003975CB">
        <w:rPr>
          <w:b w:val="0"/>
          <w:bCs/>
        </w:rPr>
        <w:t xml:space="preserve">haya </w:t>
      </w:r>
      <w:r w:rsidR="008A163B">
        <w:rPr>
          <w:b w:val="0"/>
          <w:bCs/>
        </w:rPr>
        <w:t>expedi</w:t>
      </w:r>
      <w:r w:rsidR="003975CB">
        <w:rPr>
          <w:b w:val="0"/>
          <w:bCs/>
        </w:rPr>
        <w:t>do</w:t>
      </w:r>
      <w:r w:rsidR="008A163B">
        <w:rPr>
          <w:b w:val="0"/>
          <w:bCs/>
        </w:rPr>
        <w:t xml:space="preserve"> los Acuerdos</w:t>
      </w:r>
      <w:r w:rsidR="003975CB">
        <w:rPr>
          <w:b w:val="0"/>
          <w:bCs/>
        </w:rPr>
        <w:t xml:space="preserve"> correspondientes</w:t>
      </w:r>
      <w:r w:rsidR="00475338">
        <w:rPr>
          <w:b w:val="0"/>
          <w:bCs/>
        </w:rPr>
        <w:t xml:space="preserve"> y</w:t>
      </w:r>
      <w:r w:rsidR="008B1959">
        <w:rPr>
          <w:b w:val="0"/>
          <w:bCs/>
        </w:rPr>
        <w:t>,</w:t>
      </w:r>
      <w:r w:rsidR="00242B70">
        <w:rPr>
          <w:b w:val="0"/>
          <w:bCs/>
        </w:rPr>
        <w:t xml:space="preserve"> por tanto, no</w:t>
      </w:r>
      <w:r w:rsidR="00475338">
        <w:rPr>
          <w:b w:val="0"/>
          <w:bCs/>
        </w:rPr>
        <w:t xml:space="preserve"> tendrían tiempo suficiente para adelantar las acciones necesarias para su </w:t>
      </w:r>
      <w:r w:rsidR="002B0D28">
        <w:rPr>
          <w:b w:val="0"/>
          <w:bCs/>
        </w:rPr>
        <w:t>cumplimiento</w:t>
      </w:r>
      <w:r w:rsidR="00242B70">
        <w:rPr>
          <w:b w:val="0"/>
          <w:bCs/>
        </w:rPr>
        <w:t>.</w:t>
      </w:r>
    </w:p>
    <w:p w14:paraId="6A6CA28F" w14:textId="188AE3E5" w:rsidR="001A28A6" w:rsidRDefault="001A28A6" w:rsidP="00B568C4">
      <w:pPr>
        <w:pStyle w:val="Artculo"/>
        <w:numPr>
          <w:ilvl w:val="0"/>
          <w:numId w:val="0"/>
        </w:numPr>
        <w:tabs>
          <w:tab w:val="clear" w:pos="1701"/>
        </w:tabs>
        <w:spacing w:before="200" w:after="200"/>
        <w:outlineLvl w:val="2"/>
        <w:rPr>
          <w:b w:val="0"/>
          <w:bCs/>
        </w:rPr>
      </w:pPr>
      <w:r>
        <w:rPr>
          <w:b w:val="0"/>
          <w:bCs/>
        </w:rPr>
        <w:t xml:space="preserve">De no </w:t>
      </w:r>
      <w:r w:rsidR="008A163B">
        <w:rPr>
          <w:b w:val="0"/>
          <w:bCs/>
        </w:rPr>
        <w:t xml:space="preserve">alcanzar </w:t>
      </w:r>
      <w:r w:rsidR="00F35094">
        <w:rPr>
          <w:b w:val="0"/>
          <w:bCs/>
        </w:rPr>
        <w:t>a cumplir</w:t>
      </w:r>
      <w:r>
        <w:rPr>
          <w:b w:val="0"/>
          <w:bCs/>
        </w:rPr>
        <w:t xml:space="preserve"> con los requisitos técnicos</w:t>
      </w:r>
      <w:r w:rsidR="00F35094">
        <w:rPr>
          <w:b w:val="0"/>
          <w:bCs/>
        </w:rPr>
        <w:t xml:space="preserve"> en el tiempo remanente entre la publicación de los Acuerdos y la fecha de entrada en operación</w:t>
      </w:r>
      <w:r>
        <w:rPr>
          <w:b w:val="0"/>
          <w:bCs/>
        </w:rPr>
        <w:t xml:space="preserve">, </w:t>
      </w:r>
      <w:r w:rsidR="00D24FE2">
        <w:rPr>
          <w:b w:val="0"/>
          <w:bCs/>
        </w:rPr>
        <w:t>una planta no</w:t>
      </w:r>
      <w:r>
        <w:rPr>
          <w:b w:val="0"/>
          <w:bCs/>
        </w:rPr>
        <w:t xml:space="preserve"> </w:t>
      </w:r>
      <w:r w:rsidR="00F35094">
        <w:rPr>
          <w:b w:val="0"/>
          <w:bCs/>
        </w:rPr>
        <w:t xml:space="preserve">podría </w:t>
      </w:r>
      <w:r>
        <w:rPr>
          <w:b w:val="0"/>
          <w:bCs/>
        </w:rPr>
        <w:t>entrar en operación y</w:t>
      </w:r>
      <w:r w:rsidR="008B1959">
        <w:rPr>
          <w:b w:val="0"/>
          <w:bCs/>
        </w:rPr>
        <w:t>,</w:t>
      </w:r>
      <w:r>
        <w:rPr>
          <w:b w:val="0"/>
          <w:bCs/>
        </w:rPr>
        <w:t xml:space="preserve"> por tanto</w:t>
      </w:r>
      <w:r w:rsidR="008B1959">
        <w:rPr>
          <w:b w:val="0"/>
          <w:bCs/>
        </w:rPr>
        <w:t>,</w:t>
      </w:r>
      <w:r>
        <w:rPr>
          <w:b w:val="0"/>
          <w:bCs/>
        </w:rPr>
        <w:t xml:space="preserve"> </w:t>
      </w:r>
      <w:r w:rsidR="002B0D28">
        <w:rPr>
          <w:b w:val="0"/>
          <w:bCs/>
        </w:rPr>
        <w:t xml:space="preserve">se ejecutarían las garantías de reserva de capacidad </w:t>
      </w:r>
      <w:r w:rsidR="00DE641C">
        <w:rPr>
          <w:b w:val="0"/>
          <w:bCs/>
        </w:rPr>
        <w:t xml:space="preserve">y </w:t>
      </w:r>
      <w:r>
        <w:rPr>
          <w:b w:val="0"/>
          <w:bCs/>
        </w:rPr>
        <w:t xml:space="preserve">podría perderse la capacidad de </w:t>
      </w:r>
      <w:r w:rsidR="001373EB">
        <w:rPr>
          <w:b w:val="0"/>
          <w:bCs/>
        </w:rPr>
        <w:t>transporte</w:t>
      </w:r>
      <w:r>
        <w:rPr>
          <w:b w:val="0"/>
          <w:bCs/>
        </w:rPr>
        <w:t xml:space="preserve"> asignada </w:t>
      </w:r>
      <w:r w:rsidR="000F424D">
        <w:rPr>
          <w:b w:val="0"/>
          <w:bCs/>
        </w:rPr>
        <w:t xml:space="preserve">por medio de las </w:t>
      </w:r>
      <w:r w:rsidR="002B0D28">
        <w:rPr>
          <w:b w:val="0"/>
          <w:bCs/>
        </w:rPr>
        <w:t>r</w:t>
      </w:r>
      <w:r w:rsidR="000F424D">
        <w:rPr>
          <w:b w:val="0"/>
          <w:bCs/>
        </w:rPr>
        <w:t>eglas de la Resolución CREG 075 de 2021.</w:t>
      </w:r>
    </w:p>
    <w:p w14:paraId="7E2E5AA4" w14:textId="5E28E155" w:rsidR="00F330CF" w:rsidRDefault="00620051" w:rsidP="006D3052">
      <w:pPr>
        <w:pStyle w:val="Artculo"/>
        <w:numPr>
          <w:ilvl w:val="0"/>
          <w:numId w:val="0"/>
        </w:numPr>
        <w:tabs>
          <w:tab w:val="clear" w:pos="1701"/>
        </w:tabs>
        <w:spacing w:before="200" w:after="200"/>
        <w:outlineLvl w:val="2"/>
        <w:rPr>
          <w:b w:val="0"/>
          <w:bCs/>
        </w:rPr>
      </w:pPr>
      <w:r>
        <w:rPr>
          <w:b w:val="0"/>
          <w:bCs/>
        </w:rPr>
        <w:t>Que la Comisión</w:t>
      </w:r>
      <w:r w:rsidR="008B1959">
        <w:rPr>
          <w:b w:val="0"/>
          <w:bCs/>
        </w:rPr>
        <w:t>,</w:t>
      </w:r>
      <w:r>
        <w:rPr>
          <w:b w:val="0"/>
          <w:bCs/>
        </w:rPr>
        <w:t xml:space="preserve"> luego de </w:t>
      </w:r>
      <w:r w:rsidR="00D24FE2">
        <w:rPr>
          <w:b w:val="0"/>
          <w:bCs/>
        </w:rPr>
        <w:t>analizar esta situación</w:t>
      </w:r>
      <w:r w:rsidR="008B1959">
        <w:rPr>
          <w:b w:val="0"/>
          <w:bCs/>
        </w:rPr>
        <w:t>,</w:t>
      </w:r>
      <w:r>
        <w:rPr>
          <w:b w:val="0"/>
          <w:bCs/>
        </w:rPr>
        <w:t xml:space="preserve"> encuentra conveniente realizar un ajuste en el tiempo de transición dado en el citado artículo</w:t>
      </w:r>
      <w:r w:rsidR="005538A1">
        <w:rPr>
          <w:b w:val="0"/>
          <w:bCs/>
        </w:rPr>
        <w:t>,</w:t>
      </w:r>
      <w:r w:rsidR="00E036EF">
        <w:rPr>
          <w:b w:val="0"/>
          <w:bCs/>
        </w:rPr>
        <w:t xml:space="preserve"> </w:t>
      </w:r>
      <w:r w:rsidR="00D24FE2">
        <w:rPr>
          <w:b w:val="0"/>
          <w:bCs/>
        </w:rPr>
        <w:t>unificando el</w:t>
      </w:r>
      <w:r w:rsidR="005538A1">
        <w:rPr>
          <w:b w:val="0"/>
          <w:bCs/>
        </w:rPr>
        <w:t xml:space="preserve"> tiempo de transición </w:t>
      </w:r>
      <w:r w:rsidR="00D24FE2">
        <w:rPr>
          <w:b w:val="0"/>
          <w:bCs/>
        </w:rPr>
        <w:t>par</w:t>
      </w:r>
      <w:r w:rsidR="005538A1">
        <w:rPr>
          <w:b w:val="0"/>
          <w:bCs/>
        </w:rPr>
        <w:t>a todos los proyectos</w:t>
      </w:r>
      <w:r w:rsidR="00B143A0">
        <w:rPr>
          <w:b w:val="0"/>
          <w:bCs/>
        </w:rPr>
        <w:t xml:space="preserve"> afectados,</w:t>
      </w:r>
      <w:r w:rsidR="005538A1">
        <w:rPr>
          <w:b w:val="0"/>
          <w:bCs/>
        </w:rPr>
        <w:t xml:space="preserve"> </w:t>
      </w:r>
      <w:r w:rsidR="001867DC">
        <w:rPr>
          <w:b w:val="0"/>
          <w:bCs/>
        </w:rPr>
        <w:lastRenderedPageBreak/>
        <w:t>independientemente de si están en operación o no</w:t>
      </w:r>
      <w:r w:rsidR="005538A1">
        <w:rPr>
          <w:b w:val="0"/>
          <w:bCs/>
        </w:rPr>
        <w:t xml:space="preserve">. </w:t>
      </w:r>
      <w:r w:rsidR="00EF1AA0">
        <w:rPr>
          <w:b w:val="0"/>
          <w:bCs/>
        </w:rPr>
        <w:t>El tiempo de transición será de</w:t>
      </w:r>
      <w:r w:rsidR="006D3052">
        <w:rPr>
          <w:b w:val="0"/>
          <w:bCs/>
        </w:rPr>
        <w:t xml:space="preserve"> </w:t>
      </w:r>
      <w:r w:rsidR="00EF1AA0">
        <w:rPr>
          <w:b w:val="0"/>
          <w:bCs/>
        </w:rPr>
        <w:t>treinta y seis (36) meses</w:t>
      </w:r>
      <w:r w:rsidR="008B1959">
        <w:rPr>
          <w:b w:val="0"/>
          <w:bCs/>
        </w:rPr>
        <w:t>,</w:t>
      </w:r>
      <w:r w:rsidR="006D3052">
        <w:rPr>
          <w:b w:val="0"/>
          <w:bCs/>
        </w:rPr>
        <w:t xml:space="preserve"> y </w:t>
      </w:r>
      <w:r w:rsidR="00EF750D">
        <w:rPr>
          <w:b w:val="0"/>
          <w:bCs/>
        </w:rPr>
        <w:t>se contará</w:t>
      </w:r>
      <w:r w:rsidR="004C3B6F">
        <w:rPr>
          <w:b w:val="0"/>
          <w:bCs/>
        </w:rPr>
        <w:t xml:space="preserve"> a partir de que el C.N.O</w:t>
      </w:r>
      <w:r w:rsidR="00B143A0">
        <w:rPr>
          <w:b w:val="0"/>
          <w:bCs/>
        </w:rPr>
        <w:t>.</w:t>
      </w:r>
      <w:r w:rsidR="004C3B6F">
        <w:rPr>
          <w:b w:val="0"/>
          <w:bCs/>
        </w:rPr>
        <w:t xml:space="preserve"> expida </w:t>
      </w:r>
      <w:r w:rsidR="00075DEC">
        <w:rPr>
          <w:b w:val="0"/>
          <w:bCs/>
        </w:rPr>
        <w:t xml:space="preserve">por primera vez </w:t>
      </w:r>
      <w:r w:rsidR="004C3B6F">
        <w:rPr>
          <w:b w:val="0"/>
          <w:bCs/>
        </w:rPr>
        <w:t xml:space="preserve">los acuerdos técnicos </w:t>
      </w:r>
      <w:r w:rsidR="00B143A0">
        <w:rPr>
          <w:b w:val="0"/>
          <w:bCs/>
        </w:rPr>
        <w:t xml:space="preserve">para </w:t>
      </w:r>
      <w:r w:rsidR="004C3B6F">
        <w:rPr>
          <w:b w:val="0"/>
          <w:bCs/>
        </w:rPr>
        <w:t xml:space="preserve">los cuales se le concedió un </w:t>
      </w:r>
      <w:r w:rsidR="00DA4D36">
        <w:rPr>
          <w:b w:val="0"/>
          <w:bCs/>
        </w:rPr>
        <w:t>término</w:t>
      </w:r>
      <w:r w:rsidR="004C3B6F">
        <w:rPr>
          <w:b w:val="0"/>
          <w:bCs/>
        </w:rPr>
        <w:t xml:space="preserve"> de </w:t>
      </w:r>
      <w:r w:rsidR="0062033E">
        <w:rPr>
          <w:b w:val="0"/>
          <w:bCs/>
        </w:rPr>
        <w:t xml:space="preserve">desarrollo de </w:t>
      </w:r>
      <w:r w:rsidR="004C3B6F">
        <w:rPr>
          <w:b w:val="0"/>
          <w:bCs/>
        </w:rPr>
        <w:t>setenta días hábiles (70)</w:t>
      </w:r>
      <w:r w:rsidR="00DC1AF9">
        <w:rPr>
          <w:b w:val="0"/>
          <w:bCs/>
        </w:rPr>
        <w:t xml:space="preserve"> </w:t>
      </w:r>
      <w:r w:rsidR="0062033E">
        <w:rPr>
          <w:b w:val="0"/>
          <w:bCs/>
        </w:rPr>
        <w:t xml:space="preserve">siguientes a </w:t>
      </w:r>
      <w:r w:rsidR="00293E58">
        <w:rPr>
          <w:b w:val="0"/>
          <w:bCs/>
        </w:rPr>
        <w:t>la</w:t>
      </w:r>
      <w:r w:rsidR="0062033E">
        <w:rPr>
          <w:b w:val="0"/>
          <w:bCs/>
        </w:rPr>
        <w:t xml:space="preserve"> expedición </w:t>
      </w:r>
      <w:r w:rsidR="005012DB">
        <w:rPr>
          <w:b w:val="0"/>
          <w:bCs/>
        </w:rPr>
        <w:t xml:space="preserve">de la </w:t>
      </w:r>
      <w:r w:rsidR="00293E58">
        <w:rPr>
          <w:b w:val="0"/>
          <w:bCs/>
        </w:rPr>
        <w:t>Resolución</w:t>
      </w:r>
      <w:r w:rsidR="00D70617">
        <w:rPr>
          <w:b w:val="0"/>
          <w:bCs/>
        </w:rPr>
        <w:t xml:space="preserve"> CREG 148 de 2021</w:t>
      </w:r>
      <w:r w:rsidR="00B143A0">
        <w:rPr>
          <w:b w:val="0"/>
          <w:bCs/>
        </w:rPr>
        <w:t>; a</w:t>
      </w:r>
      <w:r w:rsidR="003433C2">
        <w:rPr>
          <w:b w:val="0"/>
          <w:bCs/>
        </w:rPr>
        <w:t>ctualizaciones posteriores de los Acuerdos</w:t>
      </w:r>
      <w:r w:rsidR="00B143A0">
        <w:rPr>
          <w:b w:val="0"/>
          <w:bCs/>
        </w:rPr>
        <w:t xml:space="preserve"> no afectarán el período de transición establecido</w:t>
      </w:r>
      <w:r w:rsidR="003433C2">
        <w:rPr>
          <w:b w:val="0"/>
          <w:bCs/>
        </w:rPr>
        <w:t xml:space="preserve">. </w:t>
      </w:r>
      <w:r w:rsidR="003F451D">
        <w:rPr>
          <w:b w:val="0"/>
          <w:bCs/>
        </w:rPr>
        <w:t>Se aclara que</w:t>
      </w:r>
      <w:r w:rsidR="005577F8">
        <w:rPr>
          <w:b w:val="0"/>
          <w:bCs/>
        </w:rPr>
        <w:t>,</w:t>
      </w:r>
      <w:r w:rsidR="003F451D">
        <w:rPr>
          <w:b w:val="0"/>
          <w:bCs/>
        </w:rPr>
        <w:t xml:space="preserve"> p</w:t>
      </w:r>
      <w:r w:rsidR="00293E58">
        <w:rPr>
          <w:b w:val="0"/>
          <w:bCs/>
        </w:rPr>
        <w:t>ara lo anterior</w:t>
      </w:r>
      <w:r w:rsidR="00DB116A">
        <w:rPr>
          <w:b w:val="0"/>
          <w:bCs/>
        </w:rPr>
        <w:t>,</w:t>
      </w:r>
      <w:r w:rsidR="00293E58">
        <w:rPr>
          <w:b w:val="0"/>
          <w:bCs/>
        </w:rPr>
        <w:t xml:space="preserve"> e</w:t>
      </w:r>
      <w:r w:rsidR="00EF750D">
        <w:rPr>
          <w:b w:val="0"/>
          <w:bCs/>
        </w:rPr>
        <w:t xml:space="preserve">l Acuerdo </w:t>
      </w:r>
      <w:r w:rsidR="003166C7">
        <w:rPr>
          <w:b w:val="0"/>
          <w:bCs/>
        </w:rPr>
        <w:t xml:space="preserve">encargado en el numeral 11.5 del </w:t>
      </w:r>
      <w:r w:rsidR="00BC5DF6">
        <w:rPr>
          <w:b w:val="0"/>
          <w:bCs/>
        </w:rPr>
        <w:t>Capítulo</w:t>
      </w:r>
      <w:r w:rsidR="003166C7">
        <w:rPr>
          <w:b w:val="0"/>
          <w:bCs/>
        </w:rPr>
        <w:t xml:space="preserve"> 11 </w:t>
      </w:r>
      <w:r w:rsidR="000F4382">
        <w:rPr>
          <w:b w:val="0"/>
          <w:bCs/>
        </w:rPr>
        <w:t xml:space="preserve">del Reglamento de Distribución </w:t>
      </w:r>
      <w:r w:rsidR="006F1A13">
        <w:rPr>
          <w:b w:val="0"/>
          <w:bCs/>
        </w:rPr>
        <w:t>incluido</w:t>
      </w:r>
      <w:r w:rsidR="00BC5DF6">
        <w:rPr>
          <w:b w:val="0"/>
          <w:bCs/>
        </w:rPr>
        <w:t xml:space="preserve"> como Anexo </w:t>
      </w:r>
      <w:r w:rsidR="006F1A13">
        <w:rPr>
          <w:b w:val="0"/>
          <w:bCs/>
        </w:rPr>
        <w:t xml:space="preserve">en la Resolución CREG 148 de 2021 </w:t>
      </w:r>
      <w:r w:rsidR="00B143A0">
        <w:rPr>
          <w:b w:val="0"/>
          <w:bCs/>
        </w:rPr>
        <w:t xml:space="preserve">no </w:t>
      </w:r>
      <w:r w:rsidR="006F1A13">
        <w:rPr>
          <w:b w:val="0"/>
          <w:bCs/>
        </w:rPr>
        <w:t>es referencia para</w:t>
      </w:r>
      <w:r w:rsidR="00D70617">
        <w:rPr>
          <w:b w:val="0"/>
          <w:bCs/>
        </w:rPr>
        <w:t xml:space="preserve"> </w:t>
      </w:r>
      <w:r w:rsidR="00B143A0">
        <w:rPr>
          <w:b w:val="0"/>
          <w:bCs/>
        </w:rPr>
        <w:t xml:space="preserve">contabilizar </w:t>
      </w:r>
      <w:r w:rsidR="00D70617">
        <w:rPr>
          <w:b w:val="0"/>
          <w:bCs/>
        </w:rPr>
        <w:t xml:space="preserve">el tiempo de transición </w:t>
      </w:r>
      <w:r w:rsidR="00766574">
        <w:rPr>
          <w:b w:val="0"/>
          <w:bCs/>
        </w:rPr>
        <w:t>dado</w:t>
      </w:r>
      <w:r w:rsidR="00EF750D">
        <w:rPr>
          <w:b w:val="0"/>
          <w:bCs/>
        </w:rPr>
        <w:t>.</w:t>
      </w:r>
      <w:r>
        <w:rPr>
          <w:b w:val="0"/>
          <w:bCs/>
        </w:rPr>
        <w:t xml:space="preserve"> </w:t>
      </w:r>
    </w:p>
    <w:p w14:paraId="58C75720" w14:textId="615965C6" w:rsidR="006F301B" w:rsidRPr="00A06707" w:rsidRDefault="00F330CF" w:rsidP="006D3052">
      <w:pPr>
        <w:pStyle w:val="Artculo"/>
        <w:numPr>
          <w:ilvl w:val="0"/>
          <w:numId w:val="0"/>
        </w:numPr>
        <w:tabs>
          <w:tab w:val="clear" w:pos="1701"/>
        </w:tabs>
        <w:spacing w:before="200" w:after="200"/>
        <w:outlineLvl w:val="2"/>
        <w:rPr>
          <w:b w:val="0"/>
          <w:bCs/>
        </w:rPr>
      </w:pPr>
      <w:r>
        <w:rPr>
          <w:b w:val="0"/>
          <w:bCs/>
        </w:rPr>
        <w:t xml:space="preserve">Que con el cambio propuesto se unifican las reglas </w:t>
      </w:r>
      <w:r w:rsidR="004104CF">
        <w:rPr>
          <w:b w:val="0"/>
          <w:bCs/>
        </w:rPr>
        <w:t xml:space="preserve">del periodo de transición </w:t>
      </w:r>
      <w:r w:rsidR="00477C4C">
        <w:rPr>
          <w:b w:val="0"/>
          <w:bCs/>
        </w:rPr>
        <w:t xml:space="preserve">para todas las plantas del objeto de la citada resolución. </w:t>
      </w:r>
      <w:r w:rsidR="00620051">
        <w:rPr>
          <w:b w:val="0"/>
          <w:bCs/>
        </w:rPr>
        <w:t xml:space="preserve">Por tanto, </w:t>
      </w:r>
    </w:p>
    <w:p w14:paraId="5ACE2B60" w14:textId="1C74D94F" w:rsidR="00766357" w:rsidRDefault="002C12D7" w:rsidP="002C12D7">
      <w:pPr>
        <w:tabs>
          <w:tab w:val="left" w:pos="1693"/>
          <w:tab w:val="center" w:pos="4678"/>
        </w:tabs>
        <w:spacing w:before="480" w:after="480"/>
        <w:jc w:val="left"/>
        <w:rPr>
          <w:b/>
          <w:spacing w:val="40"/>
        </w:rPr>
      </w:pPr>
      <w:r>
        <w:rPr>
          <w:b/>
        </w:rPr>
        <w:tab/>
      </w:r>
      <w:r>
        <w:rPr>
          <w:b/>
        </w:rPr>
        <w:tab/>
      </w:r>
      <w:r w:rsidR="00766357" w:rsidRPr="00A716FF">
        <w:rPr>
          <w:b/>
        </w:rPr>
        <w:t xml:space="preserve">R E S U E L V </w:t>
      </w:r>
      <w:r w:rsidR="00766357" w:rsidRPr="00A716FF">
        <w:rPr>
          <w:b/>
          <w:spacing w:val="40"/>
        </w:rPr>
        <w:t>E</w:t>
      </w:r>
    </w:p>
    <w:p w14:paraId="6DFC1B6C" w14:textId="047B56E2" w:rsidR="004104CF" w:rsidRDefault="004104CF" w:rsidP="0089252C">
      <w:pPr>
        <w:pStyle w:val="Artculo"/>
        <w:ind w:left="0" w:firstLine="0"/>
        <w:rPr>
          <w:bCs/>
        </w:rPr>
      </w:pPr>
      <w:r w:rsidRPr="002030CE">
        <w:rPr>
          <w:bCs/>
        </w:rPr>
        <w:t>Modificar el artículo 9</w:t>
      </w:r>
      <w:r w:rsidR="002030CE">
        <w:rPr>
          <w:bCs/>
        </w:rPr>
        <w:t xml:space="preserve"> de la Resolución CREG 148 de 2021. </w:t>
      </w:r>
      <w:r w:rsidR="002030CE" w:rsidRPr="00146DFD">
        <w:rPr>
          <w:b w:val="0"/>
        </w:rPr>
        <w:t>El artículo 9 de la Resolución CREG 148 de 2021 quedar</w:t>
      </w:r>
      <w:r w:rsidR="0081067F">
        <w:rPr>
          <w:b w:val="0"/>
        </w:rPr>
        <w:t>á</w:t>
      </w:r>
      <w:r w:rsidR="002030CE" w:rsidRPr="00146DFD">
        <w:rPr>
          <w:b w:val="0"/>
        </w:rPr>
        <w:t xml:space="preserve"> de la siguiente manera:</w:t>
      </w:r>
    </w:p>
    <w:p w14:paraId="7152D9E6" w14:textId="40922DF9" w:rsidR="00560C6A" w:rsidRDefault="005B48D6" w:rsidP="006C477E">
      <w:pPr>
        <w:pStyle w:val="Artculo"/>
        <w:numPr>
          <w:ilvl w:val="0"/>
          <w:numId w:val="0"/>
        </w:numPr>
        <w:spacing w:before="200" w:after="200"/>
        <w:ind w:left="567" w:right="284"/>
        <w:outlineLvl w:val="2"/>
        <w:rPr>
          <w:b w:val="0"/>
          <w:bCs/>
          <w:i/>
          <w:iCs/>
        </w:rPr>
      </w:pPr>
      <w:r>
        <w:rPr>
          <w:b w:val="0"/>
          <w:bCs/>
          <w:i/>
          <w:iCs/>
        </w:rPr>
        <w:t>“</w:t>
      </w:r>
      <w:r w:rsidR="00560C6A">
        <w:rPr>
          <w:b w:val="0"/>
          <w:bCs/>
          <w:i/>
          <w:iCs/>
        </w:rPr>
        <w:t>Artículo 9. Transi</w:t>
      </w:r>
      <w:r w:rsidR="00856E33">
        <w:rPr>
          <w:b w:val="0"/>
          <w:bCs/>
          <w:i/>
          <w:iCs/>
        </w:rPr>
        <w:t>ción</w:t>
      </w:r>
    </w:p>
    <w:p w14:paraId="32624209" w14:textId="00B9C1F7" w:rsidR="00146DFD" w:rsidRPr="00146DFD" w:rsidRDefault="00146DFD" w:rsidP="006C477E">
      <w:pPr>
        <w:pStyle w:val="Artculo"/>
        <w:numPr>
          <w:ilvl w:val="0"/>
          <w:numId w:val="0"/>
        </w:numPr>
        <w:spacing w:before="200" w:after="200"/>
        <w:ind w:left="567" w:right="284"/>
        <w:outlineLvl w:val="2"/>
        <w:rPr>
          <w:b w:val="0"/>
          <w:bCs/>
          <w:i/>
          <w:iCs/>
        </w:rPr>
      </w:pPr>
      <w:r w:rsidRPr="00146DFD">
        <w:rPr>
          <w:b w:val="0"/>
          <w:bCs/>
          <w:i/>
          <w:iCs/>
        </w:rPr>
        <w:t>Las plantas SFV y eólicas objeto de esta resolución tendrán las siguientes reglas de transición:</w:t>
      </w:r>
    </w:p>
    <w:p w14:paraId="7E8C137B" w14:textId="5DDE92CD" w:rsidR="00146DFD" w:rsidRPr="00146DFD" w:rsidRDefault="00146DFD" w:rsidP="006C477E">
      <w:pPr>
        <w:pStyle w:val="Artculo"/>
        <w:numPr>
          <w:ilvl w:val="0"/>
          <w:numId w:val="29"/>
        </w:numPr>
        <w:tabs>
          <w:tab w:val="clear" w:pos="1701"/>
        </w:tabs>
        <w:spacing w:before="200" w:after="200"/>
        <w:ind w:left="993" w:right="284" w:hanging="426"/>
        <w:outlineLvl w:val="2"/>
        <w:rPr>
          <w:b w:val="0"/>
          <w:bCs/>
          <w:i/>
          <w:iCs/>
        </w:rPr>
      </w:pPr>
      <w:r w:rsidRPr="00146DFD">
        <w:rPr>
          <w:b w:val="0"/>
          <w:bCs/>
          <w:i/>
          <w:iCs/>
        </w:rPr>
        <w:t xml:space="preserve">Las plantas que estén en operación en el sistema </w:t>
      </w:r>
      <w:r w:rsidR="0095031D">
        <w:rPr>
          <w:b w:val="0"/>
          <w:bCs/>
          <w:i/>
          <w:iCs/>
        </w:rPr>
        <w:t>antes de la</w:t>
      </w:r>
      <w:r w:rsidRPr="00146DFD">
        <w:rPr>
          <w:b w:val="0"/>
          <w:bCs/>
          <w:i/>
          <w:iCs/>
        </w:rPr>
        <w:t xml:space="preserve"> </w:t>
      </w:r>
      <w:r w:rsidR="00BC472A">
        <w:rPr>
          <w:b w:val="0"/>
          <w:bCs/>
          <w:i/>
          <w:iCs/>
        </w:rPr>
        <w:t xml:space="preserve">entrada en vigencia </w:t>
      </w:r>
      <w:r w:rsidRPr="00146DFD">
        <w:rPr>
          <w:b w:val="0"/>
          <w:bCs/>
          <w:i/>
          <w:iCs/>
        </w:rPr>
        <w:t xml:space="preserve">de la presente </w:t>
      </w:r>
      <w:proofErr w:type="gramStart"/>
      <w:r w:rsidRPr="00146DFD">
        <w:rPr>
          <w:b w:val="0"/>
          <w:bCs/>
          <w:i/>
          <w:iCs/>
        </w:rPr>
        <w:t>Resolución,</w:t>
      </w:r>
      <w:proofErr w:type="gramEnd"/>
      <w:r w:rsidRPr="00146DFD">
        <w:rPr>
          <w:b w:val="0"/>
          <w:bCs/>
          <w:i/>
          <w:iCs/>
        </w:rPr>
        <w:t xml:space="preserve"> deberán cumplir</w:t>
      </w:r>
      <w:r w:rsidR="00E67AB5">
        <w:rPr>
          <w:b w:val="0"/>
          <w:bCs/>
          <w:i/>
          <w:iCs/>
        </w:rPr>
        <w:t xml:space="preserve"> todos</w:t>
      </w:r>
      <w:r w:rsidRPr="00146DFD">
        <w:rPr>
          <w:b w:val="0"/>
          <w:bCs/>
          <w:i/>
          <w:iCs/>
        </w:rPr>
        <w:t xml:space="preserve"> los requisitos técnicos definidos </w:t>
      </w:r>
      <w:r w:rsidR="00E67AB5">
        <w:rPr>
          <w:b w:val="0"/>
          <w:bCs/>
          <w:i/>
          <w:iCs/>
        </w:rPr>
        <w:t>en</w:t>
      </w:r>
      <w:r w:rsidRPr="00146DFD">
        <w:rPr>
          <w:b w:val="0"/>
          <w:bCs/>
          <w:i/>
          <w:iCs/>
        </w:rPr>
        <w:t xml:space="preserve"> la presente resolución en un término máximo de treinta y seis (36) meses contados a partir </w:t>
      </w:r>
      <w:r w:rsidR="00841170">
        <w:rPr>
          <w:b w:val="0"/>
          <w:i/>
          <w:iCs/>
        </w:rPr>
        <w:t>de la fecha en la</w:t>
      </w:r>
      <w:r w:rsidR="00574807" w:rsidRPr="000D09CA">
        <w:rPr>
          <w:b w:val="0"/>
          <w:i/>
          <w:iCs/>
        </w:rPr>
        <w:t xml:space="preserve"> </w:t>
      </w:r>
      <w:r w:rsidR="00574807">
        <w:rPr>
          <w:b w:val="0"/>
          <w:i/>
          <w:iCs/>
        </w:rPr>
        <w:t>que el C.N.O expida</w:t>
      </w:r>
      <w:r w:rsidR="00856E33">
        <w:rPr>
          <w:b w:val="0"/>
          <w:i/>
          <w:iCs/>
        </w:rPr>
        <w:t xml:space="preserve"> por primera vez</w:t>
      </w:r>
      <w:r w:rsidR="00574807">
        <w:rPr>
          <w:b w:val="0"/>
          <w:i/>
          <w:iCs/>
        </w:rPr>
        <w:t xml:space="preserve"> los acuerdos encargados en el artículo 6 de la presente resolución</w:t>
      </w:r>
      <w:r w:rsidRPr="00146DFD">
        <w:rPr>
          <w:b w:val="0"/>
          <w:bCs/>
          <w:i/>
          <w:iCs/>
        </w:rPr>
        <w:t xml:space="preserve">. </w:t>
      </w:r>
    </w:p>
    <w:p w14:paraId="6191BE91" w14:textId="682B7F23" w:rsidR="000E5C71" w:rsidRDefault="000E5C71" w:rsidP="006C477E">
      <w:pPr>
        <w:pStyle w:val="Artculo"/>
        <w:numPr>
          <w:ilvl w:val="0"/>
          <w:numId w:val="29"/>
        </w:numPr>
        <w:tabs>
          <w:tab w:val="clear" w:pos="1701"/>
        </w:tabs>
        <w:spacing w:before="200" w:after="200"/>
        <w:ind w:left="993" w:right="284" w:hanging="426"/>
        <w:outlineLvl w:val="2"/>
        <w:rPr>
          <w:b w:val="0"/>
          <w:bCs/>
          <w:i/>
          <w:iCs/>
        </w:rPr>
      </w:pPr>
      <w:r>
        <w:rPr>
          <w:b w:val="0"/>
          <w:bCs/>
          <w:i/>
          <w:iCs/>
        </w:rPr>
        <w:t xml:space="preserve">Las plantas que entren en operación </w:t>
      </w:r>
      <w:r w:rsidR="00E67AB5">
        <w:rPr>
          <w:b w:val="0"/>
          <w:bCs/>
          <w:i/>
          <w:iCs/>
        </w:rPr>
        <w:t xml:space="preserve">a partir de la </w:t>
      </w:r>
      <w:proofErr w:type="gramStart"/>
      <w:r w:rsidR="00E67AB5">
        <w:rPr>
          <w:b w:val="0"/>
          <w:bCs/>
          <w:i/>
          <w:iCs/>
        </w:rPr>
        <w:t>entrada en vigencia</w:t>
      </w:r>
      <w:proofErr w:type="gramEnd"/>
      <w:r w:rsidR="00E67AB5">
        <w:rPr>
          <w:b w:val="0"/>
          <w:bCs/>
          <w:i/>
          <w:iCs/>
        </w:rPr>
        <w:t xml:space="preserve"> de </w:t>
      </w:r>
      <w:r>
        <w:rPr>
          <w:b w:val="0"/>
          <w:bCs/>
          <w:i/>
          <w:iCs/>
        </w:rPr>
        <w:t xml:space="preserve">la presente Resolución y hasta la fecha en </w:t>
      </w:r>
      <w:r w:rsidRPr="005B48D6">
        <w:rPr>
          <w:b w:val="0"/>
          <w:bCs/>
          <w:i/>
          <w:iCs/>
        </w:rPr>
        <w:t>la que el C.N.O</w:t>
      </w:r>
      <w:r w:rsidR="00176B9B" w:rsidRPr="005B48D6">
        <w:rPr>
          <w:b w:val="0"/>
          <w:bCs/>
          <w:i/>
          <w:iCs/>
        </w:rPr>
        <w:t>.</w:t>
      </w:r>
      <w:r w:rsidRPr="005B48D6">
        <w:rPr>
          <w:b w:val="0"/>
          <w:bCs/>
          <w:i/>
          <w:iCs/>
        </w:rPr>
        <w:t xml:space="preserve"> expida por primera vez los acuerdos encargados en el artículo 6 de la presente resolución, </w:t>
      </w:r>
      <w:r w:rsidRPr="00146DFD">
        <w:rPr>
          <w:b w:val="0"/>
          <w:bCs/>
          <w:i/>
          <w:iCs/>
        </w:rPr>
        <w:t>deberán cumplir</w:t>
      </w:r>
      <w:r w:rsidR="00E67AB5">
        <w:rPr>
          <w:b w:val="0"/>
          <w:bCs/>
          <w:i/>
          <w:iCs/>
        </w:rPr>
        <w:t xml:space="preserve"> todos</w:t>
      </w:r>
      <w:r w:rsidRPr="00146DFD">
        <w:rPr>
          <w:b w:val="0"/>
          <w:bCs/>
          <w:i/>
          <w:iCs/>
        </w:rPr>
        <w:t xml:space="preserve"> los requisitos técnicos de la presente resolución en un término </w:t>
      </w:r>
      <w:r w:rsidR="00E6560F">
        <w:rPr>
          <w:b w:val="0"/>
          <w:bCs/>
          <w:i/>
          <w:iCs/>
        </w:rPr>
        <w:t xml:space="preserve">máximo </w:t>
      </w:r>
      <w:r w:rsidRPr="00146DFD">
        <w:rPr>
          <w:b w:val="0"/>
          <w:bCs/>
          <w:i/>
          <w:iCs/>
        </w:rPr>
        <w:t xml:space="preserve">de treinta y seis (36) meses luego </w:t>
      </w:r>
      <w:r w:rsidRPr="005B48D6">
        <w:rPr>
          <w:b w:val="0"/>
          <w:bCs/>
          <w:i/>
          <w:iCs/>
        </w:rPr>
        <w:t>de que el C.N.O expida por primera vez los citados acuerdos.</w:t>
      </w:r>
    </w:p>
    <w:p w14:paraId="5ED44912" w14:textId="5848006B" w:rsidR="00146DFD" w:rsidRPr="00146DFD" w:rsidRDefault="00146DFD" w:rsidP="006C477E">
      <w:pPr>
        <w:pStyle w:val="Artculo"/>
        <w:numPr>
          <w:ilvl w:val="0"/>
          <w:numId w:val="29"/>
        </w:numPr>
        <w:tabs>
          <w:tab w:val="clear" w:pos="1701"/>
        </w:tabs>
        <w:spacing w:before="200" w:after="200"/>
        <w:ind w:left="993" w:right="284" w:hanging="426"/>
        <w:outlineLvl w:val="2"/>
        <w:rPr>
          <w:b w:val="0"/>
          <w:bCs/>
          <w:i/>
          <w:iCs/>
        </w:rPr>
      </w:pPr>
      <w:r w:rsidRPr="00146DFD">
        <w:rPr>
          <w:b w:val="0"/>
          <w:bCs/>
          <w:i/>
          <w:iCs/>
        </w:rPr>
        <w:t xml:space="preserve">Las plantas que </w:t>
      </w:r>
      <w:r w:rsidR="00BA7D6F">
        <w:rPr>
          <w:b w:val="0"/>
          <w:bCs/>
          <w:i/>
          <w:iCs/>
        </w:rPr>
        <w:t xml:space="preserve">entren </w:t>
      </w:r>
      <w:r w:rsidR="00D37E7D">
        <w:rPr>
          <w:b w:val="0"/>
          <w:bCs/>
          <w:i/>
          <w:iCs/>
        </w:rPr>
        <w:t xml:space="preserve">en operación </w:t>
      </w:r>
      <w:r w:rsidR="00BA7D6F">
        <w:rPr>
          <w:b w:val="0"/>
          <w:bCs/>
          <w:i/>
          <w:iCs/>
        </w:rPr>
        <w:t xml:space="preserve">en un plazo </w:t>
      </w:r>
      <w:r w:rsidR="0074187C">
        <w:rPr>
          <w:b w:val="0"/>
          <w:bCs/>
          <w:i/>
          <w:iCs/>
        </w:rPr>
        <w:t>no superior</w:t>
      </w:r>
      <w:r w:rsidR="00BA7D6F">
        <w:rPr>
          <w:b w:val="0"/>
          <w:bCs/>
          <w:i/>
          <w:iCs/>
        </w:rPr>
        <w:t xml:space="preserve"> a </w:t>
      </w:r>
      <w:r w:rsidR="00D37E7D">
        <w:rPr>
          <w:b w:val="0"/>
          <w:bCs/>
          <w:i/>
          <w:iCs/>
        </w:rPr>
        <w:t>treinta y seis (36) meses</w:t>
      </w:r>
      <w:r w:rsidR="0048746C">
        <w:rPr>
          <w:b w:val="0"/>
          <w:bCs/>
          <w:i/>
          <w:iCs/>
        </w:rPr>
        <w:t xml:space="preserve"> </w:t>
      </w:r>
      <w:r w:rsidR="00875903">
        <w:rPr>
          <w:b w:val="0"/>
          <w:bCs/>
          <w:i/>
          <w:iCs/>
        </w:rPr>
        <w:t xml:space="preserve">contados a partir de </w:t>
      </w:r>
      <w:r w:rsidR="00D6636A">
        <w:rPr>
          <w:b w:val="0"/>
          <w:bCs/>
          <w:i/>
          <w:iCs/>
        </w:rPr>
        <w:t xml:space="preserve">la </w:t>
      </w:r>
      <w:r w:rsidR="00D6636A" w:rsidRPr="005B48D6">
        <w:rPr>
          <w:b w:val="0"/>
          <w:bCs/>
          <w:i/>
          <w:iCs/>
        </w:rPr>
        <w:t>fecha en la que el</w:t>
      </w:r>
      <w:r w:rsidR="00875903" w:rsidRPr="005B48D6">
        <w:rPr>
          <w:b w:val="0"/>
          <w:bCs/>
          <w:i/>
          <w:iCs/>
        </w:rPr>
        <w:t xml:space="preserve"> C.N.O expida </w:t>
      </w:r>
      <w:r w:rsidR="00856E33" w:rsidRPr="005B48D6">
        <w:rPr>
          <w:b w:val="0"/>
          <w:bCs/>
          <w:i/>
          <w:iCs/>
        </w:rPr>
        <w:t xml:space="preserve">por primera vez </w:t>
      </w:r>
      <w:r w:rsidR="00875903" w:rsidRPr="005B48D6">
        <w:rPr>
          <w:b w:val="0"/>
          <w:bCs/>
          <w:i/>
          <w:iCs/>
        </w:rPr>
        <w:t>los acuerdos encargados en el artículo 6 de la presente resolución</w:t>
      </w:r>
      <w:r w:rsidRPr="00146DFD">
        <w:rPr>
          <w:b w:val="0"/>
          <w:bCs/>
          <w:i/>
          <w:iCs/>
        </w:rPr>
        <w:t>, deberán cumplir todos los requisitos técnicos de la presente resolución en un término</w:t>
      </w:r>
      <w:r w:rsidR="00E6560F">
        <w:rPr>
          <w:b w:val="0"/>
          <w:bCs/>
          <w:i/>
          <w:iCs/>
        </w:rPr>
        <w:t xml:space="preserve"> máximo</w:t>
      </w:r>
      <w:r w:rsidRPr="00146DFD">
        <w:rPr>
          <w:b w:val="0"/>
          <w:bCs/>
          <w:i/>
          <w:iCs/>
        </w:rPr>
        <w:t xml:space="preserve"> de treinta y seis (36) meses luego </w:t>
      </w:r>
      <w:r w:rsidR="00875903" w:rsidRPr="005B48D6">
        <w:rPr>
          <w:b w:val="0"/>
          <w:bCs/>
          <w:i/>
          <w:iCs/>
        </w:rPr>
        <w:t xml:space="preserve">de que el C.N.O expida </w:t>
      </w:r>
      <w:r w:rsidR="00C02E0F" w:rsidRPr="005B48D6">
        <w:rPr>
          <w:b w:val="0"/>
          <w:bCs/>
          <w:i/>
          <w:iCs/>
        </w:rPr>
        <w:t xml:space="preserve">por primera vez </w:t>
      </w:r>
      <w:r w:rsidR="00875903" w:rsidRPr="005B48D6">
        <w:rPr>
          <w:b w:val="0"/>
          <w:bCs/>
          <w:i/>
          <w:iCs/>
        </w:rPr>
        <w:t xml:space="preserve">los </w:t>
      </w:r>
      <w:r w:rsidR="00370CDF" w:rsidRPr="005B48D6">
        <w:rPr>
          <w:b w:val="0"/>
          <w:bCs/>
          <w:i/>
          <w:iCs/>
        </w:rPr>
        <w:t>citados acuerdos</w:t>
      </w:r>
      <w:r w:rsidR="000F581C" w:rsidRPr="005B48D6">
        <w:rPr>
          <w:b w:val="0"/>
          <w:bCs/>
          <w:i/>
          <w:iCs/>
        </w:rPr>
        <w:t>.</w:t>
      </w:r>
    </w:p>
    <w:p w14:paraId="11042D41" w14:textId="79452DE6" w:rsidR="00146DFD" w:rsidRPr="00146DFD" w:rsidRDefault="00146DFD" w:rsidP="006C477E">
      <w:pPr>
        <w:pStyle w:val="Artculo"/>
        <w:numPr>
          <w:ilvl w:val="0"/>
          <w:numId w:val="29"/>
        </w:numPr>
        <w:tabs>
          <w:tab w:val="clear" w:pos="1701"/>
        </w:tabs>
        <w:spacing w:before="200" w:after="200"/>
        <w:ind w:left="993" w:right="284" w:hanging="426"/>
        <w:outlineLvl w:val="2"/>
        <w:rPr>
          <w:b w:val="0"/>
          <w:bCs/>
          <w:i/>
          <w:iCs/>
        </w:rPr>
      </w:pPr>
      <w:r w:rsidRPr="00146DFD">
        <w:rPr>
          <w:b w:val="0"/>
          <w:bCs/>
          <w:i/>
          <w:iCs/>
        </w:rPr>
        <w:t>Las plantas</w:t>
      </w:r>
      <w:r w:rsidR="00EC57E1">
        <w:rPr>
          <w:b w:val="0"/>
          <w:bCs/>
          <w:i/>
          <w:iCs/>
        </w:rPr>
        <w:t xml:space="preserve"> </w:t>
      </w:r>
      <w:r w:rsidR="00673E4F">
        <w:rPr>
          <w:b w:val="0"/>
          <w:bCs/>
          <w:i/>
          <w:iCs/>
        </w:rPr>
        <w:t xml:space="preserve">que entren en operación después de un plazo de treinta y seis (36) meses </w:t>
      </w:r>
      <w:r w:rsidR="00673E4F" w:rsidRPr="005B48D6">
        <w:rPr>
          <w:b w:val="0"/>
          <w:bCs/>
          <w:i/>
          <w:iCs/>
        </w:rPr>
        <w:t xml:space="preserve">luego de que el C.N.O expida </w:t>
      </w:r>
      <w:r w:rsidR="00C02E0F" w:rsidRPr="005B48D6">
        <w:rPr>
          <w:b w:val="0"/>
          <w:bCs/>
          <w:i/>
          <w:iCs/>
        </w:rPr>
        <w:t xml:space="preserve">por primera vez </w:t>
      </w:r>
      <w:r w:rsidR="00673E4F" w:rsidRPr="005B48D6">
        <w:rPr>
          <w:b w:val="0"/>
          <w:bCs/>
          <w:i/>
          <w:iCs/>
        </w:rPr>
        <w:t>los acuerdos encargados en el artículo 6 de la presente resolución</w:t>
      </w:r>
      <w:r w:rsidRPr="00146DFD">
        <w:rPr>
          <w:b w:val="0"/>
          <w:bCs/>
          <w:i/>
          <w:iCs/>
        </w:rPr>
        <w:t>, aplicarán todos los requisitos técnicos de la presente resolución desde su entrada en operación.</w:t>
      </w:r>
    </w:p>
    <w:p w14:paraId="6848D7CC" w14:textId="5D44F418" w:rsidR="00146DFD" w:rsidRPr="00146DFD" w:rsidRDefault="00146DFD" w:rsidP="006C477E">
      <w:pPr>
        <w:pStyle w:val="Artculo"/>
        <w:numPr>
          <w:ilvl w:val="0"/>
          <w:numId w:val="0"/>
        </w:numPr>
        <w:spacing w:before="200" w:after="200"/>
        <w:ind w:left="567" w:right="284"/>
        <w:outlineLvl w:val="2"/>
        <w:rPr>
          <w:bCs/>
          <w:i/>
          <w:iCs/>
        </w:rPr>
      </w:pPr>
      <w:r w:rsidRPr="00146DFD">
        <w:rPr>
          <w:bCs/>
          <w:i/>
          <w:iCs/>
        </w:rPr>
        <w:lastRenderedPageBreak/>
        <w:t xml:space="preserve">Parágrafo 1. </w:t>
      </w:r>
      <w:r w:rsidRPr="00146DFD">
        <w:rPr>
          <w:b w:val="0"/>
          <w:i/>
          <w:iCs/>
        </w:rPr>
        <w:t>Una vez se cumpla el periodo de transición, se deberán realizar las pruebas de las funcionalidades establecidas en esta resolución y se deberán aprobar para seguir operando en el sistema. De no aprobarse, se podrán realizar pruebas hasta cumplir con las disposiciones reguladas para poder seguir conectado al SDL. En todo caso, para la realización de pruebas se permite la conexión al SDL.</w:t>
      </w:r>
    </w:p>
    <w:p w14:paraId="4D8BAE5C" w14:textId="395513C9" w:rsidR="00146DFD" w:rsidRPr="00146DFD" w:rsidRDefault="00146DFD" w:rsidP="006C477E">
      <w:pPr>
        <w:pStyle w:val="Artculo"/>
        <w:numPr>
          <w:ilvl w:val="0"/>
          <w:numId w:val="0"/>
        </w:numPr>
        <w:spacing w:before="200" w:after="200"/>
        <w:ind w:left="567" w:right="284"/>
        <w:outlineLvl w:val="2"/>
        <w:rPr>
          <w:b w:val="0"/>
          <w:i/>
          <w:iCs/>
        </w:rPr>
      </w:pPr>
      <w:r w:rsidRPr="00146DFD">
        <w:rPr>
          <w:bCs/>
          <w:i/>
          <w:iCs/>
        </w:rPr>
        <w:t>Parágraf</w:t>
      </w:r>
      <w:r w:rsidR="005B48D6">
        <w:rPr>
          <w:bCs/>
          <w:i/>
          <w:iCs/>
        </w:rPr>
        <w:t>o</w:t>
      </w:r>
      <w:r w:rsidRPr="00146DFD">
        <w:rPr>
          <w:bCs/>
          <w:i/>
          <w:iCs/>
        </w:rPr>
        <w:t xml:space="preserve"> 2.  </w:t>
      </w:r>
      <w:r w:rsidRPr="00146DFD">
        <w:rPr>
          <w:b w:val="0"/>
          <w:i/>
          <w:iCs/>
        </w:rPr>
        <w:t>Las disposiciones de esta resolución son transitorias y regulan los aspectos técnicos de plantas SFV y eólicas en el SDL que se encuentren dentro del ámbito de aplicación. Por tanto, estará sujeta a las modificaciones y ajustes que considere la CREG.</w:t>
      </w:r>
    </w:p>
    <w:p w14:paraId="02ACE5EE" w14:textId="7FD2B7CA" w:rsidR="00146DFD" w:rsidRDefault="00146DFD" w:rsidP="006C477E">
      <w:pPr>
        <w:pStyle w:val="Artculo"/>
        <w:numPr>
          <w:ilvl w:val="0"/>
          <w:numId w:val="0"/>
        </w:numPr>
        <w:spacing w:before="200" w:after="200"/>
        <w:ind w:left="567" w:right="284"/>
        <w:outlineLvl w:val="2"/>
        <w:rPr>
          <w:b w:val="0"/>
          <w:bCs/>
          <w:i/>
          <w:iCs/>
        </w:rPr>
      </w:pPr>
      <w:r w:rsidRPr="00146DFD">
        <w:rPr>
          <w:bCs/>
          <w:i/>
          <w:iCs/>
        </w:rPr>
        <w:t xml:space="preserve">Parágrafo 3. </w:t>
      </w:r>
      <w:r w:rsidRPr="00146DFD">
        <w:rPr>
          <w:b w:val="0"/>
          <w:i/>
          <w:iCs/>
        </w:rPr>
        <w:t xml:space="preserve">El operador de red deberá ajustar sus procedimientos para cumplir con los acuerdos de supervisión, coordinación y control de la operación en un tiempo máximo de treinta y seis </w:t>
      </w:r>
      <w:r w:rsidRPr="00146DFD">
        <w:rPr>
          <w:b w:val="0"/>
          <w:bCs/>
          <w:i/>
          <w:iCs/>
        </w:rPr>
        <w:t>meses (36) contados a partir de la vigencia de la presente resolución.</w:t>
      </w:r>
    </w:p>
    <w:p w14:paraId="70AE7664" w14:textId="34336487" w:rsidR="0072484F" w:rsidRPr="00146DFD" w:rsidRDefault="0072484F" w:rsidP="006C477E">
      <w:pPr>
        <w:pStyle w:val="Artculo"/>
        <w:numPr>
          <w:ilvl w:val="0"/>
          <w:numId w:val="0"/>
        </w:numPr>
        <w:spacing w:before="200" w:after="360"/>
        <w:ind w:left="567" w:right="284"/>
        <w:outlineLvl w:val="2"/>
        <w:rPr>
          <w:bCs/>
          <w:i/>
          <w:iCs/>
        </w:rPr>
      </w:pPr>
      <w:r w:rsidRPr="00146DFD">
        <w:rPr>
          <w:bCs/>
          <w:i/>
          <w:iCs/>
        </w:rPr>
        <w:t xml:space="preserve">Parágrafo </w:t>
      </w:r>
      <w:r>
        <w:rPr>
          <w:bCs/>
          <w:i/>
          <w:iCs/>
        </w:rPr>
        <w:t>4</w:t>
      </w:r>
      <w:r w:rsidRPr="00146DFD">
        <w:rPr>
          <w:bCs/>
          <w:i/>
          <w:iCs/>
        </w:rPr>
        <w:t xml:space="preserve">. </w:t>
      </w:r>
      <w:r w:rsidRPr="0072484F">
        <w:rPr>
          <w:b w:val="0"/>
          <w:i/>
          <w:iCs/>
        </w:rPr>
        <w:t>La fecha en que se expida el Acuerdo C.N.O</w:t>
      </w:r>
      <w:r w:rsidR="00176B9B">
        <w:rPr>
          <w:b w:val="0"/>
          <w:i/>
          <w:iCs/>
        </w:rPr>
        <w:t>.</w:t>
      </w:r>
      <w:r w:rsidRPr="0072484F">
        <w:rPr>
          <w:b w:val="0"/>
          <w:i/>
          <w:iCs/>
        </w:rPr>
        <w:t xml:space="preserve"> encargado en el numeral 11.5 del Capítulo 11 del Reglamento de Distribución incluido como Anexo en la presente resolución</w:t>
      </w:r>
      <w:r w:rsidR="008B1959">
        <w:rPr>
          <w:b w:val="0"/>
          <w:i/>
          <w:iCs/>
        </w:rPr>
        <w:t xml:space="preserve">, </w:t>
      </w:r>
      <w:r w:rsidR="00F63887">
        <w:rPr>
          <w:b w:val="0"/>
          <w:i/>
          <w:iCs/>
        </w:rPr>
        <w:t xml:space="preserve">no </w:t>
      </w:r>
      <w:r w:rsidRPr="0072484F">
        <w:rPr>
          <w:b w:val="0"/>
          <w:i/>
          <w:iCs/>
        </w:rPr>
        <w:t>es referencia para conta</w:t>
      </w:r>
      <w:r w:rsidR="00176B9B">
        <w:rPr>
          <w:b w:val="0"/>
          <w:i/>
          <w:iCs/>
        </w:rPr>
        <w:t>biliza</w:t>
      </w:r>
      <w:r w:rsidRPr="0072484F">
        <w:rPr>
          <w:b w:val="0"/>
          <w:i/>
          <w:iCs/>
        </w:rPr>
        <w:t>r el tiempo de transición</w:t>
      </w:r>
      <w:r>
        <w:rPr>
          <w:b w:val="0"/>
          <w:i/>
          <w:iCs/>
        </w:rPr>
        <w:t xml:space="preserve"> de que trata este artículo</w:t>
      </w:r>
      <w:r w:rsidRPr="0072484F">
        <w:rPr>
          <w:b w:val="0"/>
          <w:i/>
          <w:iCs/>
        </w:rPr>
        <w:t xml:space="preserve"> y cumplir con los requisitos técnicos establecidos en la presente resolución.</w:t>
      </w:r>
      <w:r w:rsidR="005B48D6">
        <w:rPr>
          <w:b w:val="0"/>
          <w:i/>
          <w:iCs/>
        </w:rPr>
        <w:t>”</w:t>
      </w:r>
    </w:p>
    <w:p w14:paraId="11A8C008" w14:textId="2DC64D92" w:rsidR="00766357" w:rsidRPr="0018297E" w:rsidRDefault="00766357" w:rsidP="0089252C">
      <w:pPr>
        <w:pStyle w:val="Artculo"/>
        <w:ind w:left="0" w:firstLine="0"/>
        <w:rPr>
          <w:b w:val="0"/>
        </w:rPr>
      </w:pPr>
      <w:r>
        <w:t xml:space="preserve">Vigencia. </w:t>
      </w:r>
      <w:r w:rsidR="0018297E" w:rsidRPr="0018297E">
        <w:rPr>
          <w:b w:val="0"/>
        </w:rPr>
        <w:t>La presente resolución rige a partir de la fecha de su publicación en el Diario Oficial</w:t>
      </w:r>
      <w:r w:rsidR="00F14257">
        <w:rPr>
          <w:b w:val="0"/>
        </w:rPr>
        <w:t>.</w:t>
      </w:r>
      <w:r w:rsidRPr="00BB616B">
        <w:rPr>
          <w:b w:val="0"/>
          <w:spacing w:val="-3"/>
        </w:rPr>
        <w:t xml:space="preserve"> </w:t>
      </w:r>
    </w:p>
    <w:p w14:paraId="78EFE755" w14:textId="77777777" w:rsidR="00F14257" w:rsidRDefault="00F14257" w:rsidP="00766357">
      <w:pPr>
        <w:jc w:val="center"/>
        <w:rPr>
          <w:b/>
        </w:rPr>
      </w:pPr>
    </w:p>
    <w:p w14:paraId="332EA7E7" w14:textId="7761AB27" w:rsidR="00766357" w:rsidRDefault="00766357" w:rsidP="00766357">
      <w:pPr>
        <w:jc w:val="center"/>
        <w:rPr>
          <w:b/>
        </w:rPr>
      </w:pPr>
      <w:r w:rsidRPr="005F46C2">
        <w:rPr>
          <w:b/>
        </w:rPr>
        <w:t>PUBLÍQUESE Y CÚMPLASE</w:t>
      </w:r>
    </w:p>
    <w:p w14:paraId="1FEC1D97" w14:textId="5D8423BB" w:rsidR="00766357" w:rsidRPr="00AC6E96" w:rsidRDefault="00766357" w:rsidP="00AC6E96">
      <w:pPr>
        <w:jc w:val="left"/>
      </w:pPr>
    </w:p>
    <w:tbl>
      <w:tblPr>
        <w:tblW w:w="0" w:type="auto"/>
        <w:jc w:val="center"/>
        <w:tblLayout w:type="fixed"/>
        <w:tblCellMar>
          <w:left w:w="70" w:type="dxa"/>
          <w:right w:w="70" w:type="dxa"/>
        </w:tblCellMar>
        <w:tblLook w:val="04A0" w:firstRow="1" w:lastRow="0" w:firstColumn="1" w:lastColumn="0" w:noHBand="0" w:noVBand="1"/>
      </w:tblPr>
      <w:tblGrid>
        <w:gridCol w:w="4395"/>
        <w:gridCol w:w="4677"/>
      </w:tblGrid>
      <w:tr w:rsidR="00766357" w14:paraId="1D19956A" w14:textId="77777777" w:rsidTr="006C477E">
        <w:trPr>
          <w:trHeight w:val="329"/>
          <w:jc w:val="center"/>
        </w:trPr>
        <w:tc>
          <w:tcPr>
            <w:tcW w:w="4395" w:type="dxa"/>
            <w:shd w:val="clear" w:color="auto" w:fill="FFFFFF" w:themeFill="background1"/>
            <w:vAlign w:val="center"/>
          </w:tcPr>
          <w:p w14:paraId="20524289" w14:textId="49C1A67F" w:rsidR="00766357" w:rsidRPr="00461DDC" w:rsidRDefault="00766357" w:rsidP="00BE68FE">
            <w:pPr>
              <w:spacing w:before="0" w:after="0"/>
              <w:jc w:val="center"/>
              <w:rPr>
                <w:b/>
                <w:spacing w:val="-3"/>
              </w:rPr>
            </w:pPr>
          </w:p>
        </w:tc>
        <w:tc>
          <w:tcPr>
            <w:tcW w:w="4677" w:type="dxa"/>
            <w:vAlign w:val="center"/>
          </w:tcPr>
          <w:p w14:paraId="5AC39AE1" w14:textId="6AE065D6" w:rsidR="00766357" w:rsidRPr="00461DDC" w:rsidRDefault="00766357" w:rsidP="00850560">
            <w:pPr>
              <w:spacing w:before="0" w:after="0"/>
              <w:rPr>
                <w:b/>
              </w:rPr>
            </w:pPr>
          </w:p>
        </w:tc>
      </w:tr>
      <w:tr w:rsidR="00766357" w14:paraId="4A66FDD3" w14:textId="77777777" w:rsidTr="006C477E">
        <w:trPr>
          <w:trHeight w:val="329"/>
          <w:jc w:val="center"/>
        </w:trPr>
        <w:tc>
          <w:tcPr>
            <w:tcW w:w="4395" w:type="dxa"/>
            <w:vAlign w:val="center"/>
          </w:tcPr>
          <w:p w14:paraId="7985B7A8" w14:textId="3DAFB2E9" w:rsidR="00766357" w:rsidRDefault="00766357" w:rsidP="00850560">
            <w:pPr>
              <w:spacing w:before="0" w:after="0"/>
              <w:jc w:val="center"/>
            </w:pPr>
          </w:p>
        </w:tc>
        <w:tc>
          <w:tcPr>
            <w:tcW w:w="4677" w:type="dxa"/>
            <w:vAlign w:val="center"/>
          </w:tcPr>
          <w:p w14:paraId="19E3920F" w14:textId="186F6B57" w:rsidR="00766357" w:rsidRDefault="00766357" w:rsidP="00850560">
            <w:pPr>
              <w:spacing w:before="0" w:after="0"/>
              <w:jc w:val="center"/>
            </w:pPr>
          </w:p>
        </w:tc>
      </w:tr>
      <w:tr w:rsidR="00766357" w14:paraId="69D91F7C" w14:textId="77777777" w:rsidTr="006C477E">
        <w:trPr>
          <w:trHeight w:val="329"/>
          <w:jc w:val="center"/>
        </w:trPr>
        <w:tc>
          <w:tcPr>
            <w:tcW w:w="4395" w:type="dxa"/>
            <w:vAlign w:val="center"/>
          </w:tcPr>
          <w:p w14:paraId="4A8C12A5" w14:textId="0CDA78D4" w:rsidR="00766357" w:rsidRDefault="00766357" w:rsidP="00850560">
            <w:pPr>
              <w:spacing w:before="0" w:after="0"/>
              <w:jc w:val="center"/>
            </w:pPr>
          </w:p>
        </w:tc>
        <w:tc>
          <w:tcPr>
            <w:tcW w:w="4677" w:type="dxa"/>
            <w:vAlign w:val="center"/>
          </w:tcPr>
          <w:p w14:paraId="7AB416BC" w14:textId="77777777" w:rsidR="00766357" w:rsidRDefault="00766357" w:rsidP="00850560">
            <w:pPr>
              <w:tabs>
                <w:tab w:val="left" w:pos="-720"/>
              </w:tabs>
              <w:suppressAutoHyphens/>
              <w:spacing w:line="216" w:lineRule="auto"/>
              <w:rPr>
                <w:rFonts w:cs="Arial"/>
                <w:b/>
                <w:spacing w:val="-3"/>
              </w:rPr>
            </w:pPr>
          </w:p>
        </w:tc>
      </w:tr>
    </w:tbl>
    <w:p w14:paraId="38DF65E3" w14:textId="77777777" w:rsidR="00627AF1" w:rsidRPr="00766357" w:rsidRDefault="00627AF1" w:rsidP="00F91D14">
      <w:pPr>
        <w:pStyle w:val="Ttulo1"/>
        <w:numPr>
          <w:ilvl w:val="0"/>
          <w:numId w:val="0"/>
        </w:numPr>
        <w:ind w:left="360" w:hanging="360"/>
      </w:pPr>
      <w:bookmarkStart w:id="1" w:name="_A_N_E"/>
      <w:bookmarkEnd w:id="0"/>
      <w:bookmarkEnd w:id="1"/>
    </w:p>
    <w:sectPr w:rsidR="00627AF1" w:rsidRPr="00766357" w:rsidSect="00761613">
      <w:headerReference w:type="default" r:id="rId14"/>
      <w:headerReference w:type="first" r:id="rId15"/>
      <w:pgSz w:w="12242" w:h="18722" w:code="123"/>
      <w:pgMar w:top="1191"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86E4" w14:textId="77777777" w:rsidR="00357F8E" w:rsidRDefault="00357F8E">
      <w:r>
        <w:separator/>
      </w:r>
    </w:p>
  </w:endnote>
  <w:endnote w:type="continuationSeparator" w:id="0">
    <w:p w14:paraId="3DB47922" w14:textId="77777777" w:rsidR="00357F8E" w:rsidRDefault="00357F8E">
      <w:r>
        <w:continuationSeparator/>
      </w:r>
    </w:p>
  </w:endnote>
  <w:endnote w:type="continuationNotice" w:id="1">
    <w:p w14:paraId="12B24749" w14:textId="77777777" w:rsidR="00357F8E" w:rsidRDefault="00357F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7C4E" w14:textId="77777777" w:rsidR="00357F8E" w:rsidRDefault="00357F8E">
      <w:r>
        <w:separator/>
      </w:r>
    </w:p>
  </w:footnote>
  <w:footnote w:type="continuationSeparator" w:id="0">
    <w:p w14:paraId="1B7EB1B7" w14:textId="77777777" w:rsidR="00357F8E" w:rsidRDefault="00357F8E">
      <w:r>
        <w:continuationSeparator/>
      </w:r>
    </w:p>
  </w:footnote>
  <w:footnote w:type="continuationNotice" w:id="1">
    <w:p w14:paraId="1F339A42" w14:textId="77777777" w:rsidR="00357F8E" w:rsidRDefault="00357F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6111" w14:textId="77777777" w:rsidR="00706019" w:rsidRDefault="00706019" w:rsidP="0020511E"/>
  <w:p w14:paraId="422A832C" w14:textId="168781E5" w:rsidR="00706019" w:rsidRPr="00951F79" w:rsidRDefault="00706019" w:rsidP="00DE0460">
    <w:pPr>
      <w:spacing w:after="0"/>
    </w:pPr>
    <w:r w:rsidRPr="00654384">
      <w:t>RESOLUCIÓN No.</w:t>
    </w:r>
    <w:r>
      <w:t xml:space="preserve"> </w:t>
    </w:r>
    <w:r w:rsidR="00FF37BE" w:rsidRPr="00FF37BE">
      <w:rPr>
        <w:b/>
        <w:bCs/>
        <w:u w:val="single"/>
      </w:rPr>
      <w:t xml:space="preserve">701 </w:t>
    </w:r>
    <w:proofErr w:type="gramStart"/>
    <w:r w:rsidR="00FF37BE" w:rsidRPr="00FF37BE">
      <w:rPr>
        <w:b/>
        <w:bCs/>
        <w:u w:val="single"/>
      </w:rPr>
      <w:t>002</w:t>
    </w:r>
    <w:r w:rsidR="00DE0460" w:rsidRPr="00FF37BE">
      <w:t xml:space="preserve">  D</w:t>
    </w:r>
    <w:r w:rsidRPr="00FF37BE">
      <w:t>E</w:t>
    </w:r>
    <w:proofErr w:type="gramEnd"/>
    <w:r w:rsidRPr="00FF37BE">
      <w:t xml:space="preserve"> </w:t>
    </w:r>
    <w:r w:rsidR="00FF37BE" w:rsidRPr="00FF37BE">
      <w:rPr>
        <w:b/>
        <w:bCs/>
        <w:u w:val="single"/>
      </w:rPr>
      <w:t>25 ENE</w:t>
    </w:r>
    <w:r w:rsidR="00DE0460" w:rsidRPr="00FF37BE">
      <w:rPr>
        <w:b/>
        <w:bCs/>
        <w:u w:val="single"/>
      </w:rPr>
      <w:t>. 202</w:t>
    </w:r>
    <w:r w:rsidR="00EF3A1A" w:rsidRPr="00FF37BE">
      <w:rPr>
        <w:b/>
        <w:bCs/>
        <w:u w:val="single"/>
      </w:rPr>
      <w:t>2</w:t>
    </w:r>
    <w:r>
      <w:tab/>
    </w:r>
    <w:r w:rsidRPr="00654384">
      <w:t xml:space="preserve">HOJA No. </w:t>
    </w:r>
    <w:r>
      <w:fldChar w:fldCharType="begin"/>
    </w:r>
    <w:r>
      <w:instrText xml:space="preserve"> PAGE   \* MERGEFORMAT </w:instrText>
    </w:r>
    <w:r>
      <w:fldChar w:fldCharType="separate"/>
    </w:r>
    <w:r w:rsidR="005A1033">
      <w:rPr>
        <w:noProof/>
      </w:rPr>
      <w:t>2</w:t>
    </w:r>
    <w:r>
      <w:rPr>
        <w:noProof/>
      </w:rPr>
      <w:fldChar w:fldCharType="end"/>
    </w:r>
    <w:r w:rsidRPr="00654384">
      <w:t>/</w:t>
    </w:r>
    <w:r w:rsidR="00781069">
      <w:fldChar w:fldCharType="begin"/>
    </w:r>
    <w:r w:rsidR="00781069">
      <w:instrText xml:space="preserve"> NUMPAGES  \* MERGEFORMAT </w:instrText>
    </w:r>
    <w:r w:rsidR="00781069">
      <w:fldChar w:fldCharType="separate"/>
    </w:r>
    <w:r w:rsidR="005A1033">
      <w:rPr>
        <w:noProof/>
      </w:rPr>
      <w:t>26</w:t>
    </w:r>
    <w:r w:rsidR="00781069">
      <w:rPr>
        <w:noProof/>
      </w:rPr>
      <w:fldChar w:fldCharType="end"/>
    </w:r>
  </w:p>
  <w:p w14:paraId="73F6F916" w14:textId="77777777" w:rsidR="00706019" w:rsidRDefault="00706019" w:rsidP="00AD01E4">
    <w:pPr>
      <w:ind w:left="142" w:right="148"/>
      <w:rPr>
        <w:rFonts w:cs="Arial"/>
      </w:rPr>
    </w:pPr>
    <w:r>
      <w:rPr>
        <w:noProof/>
        <w:lang w:val="es-CO" w:eastAsia="es-CO"/>
      </w:rPr>
      <mc:AlternateContent>
        <mc:Choice Requires="wps">
          <w:drawing>
            <wp:anchor distT="0" distB="0" distL="114300" distR="114300" simplePos="0" relativeHeight="251658240" behindDoc="0" locked="0" layoutInCell="1" allowOverlap="1" wp14:anchorId="628405E7" wp14:editId="7DE3561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DB7A8"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64BEB37B" w14:textId="0A5E58CE" w:rsidR="00706019" w:rsidRPr="00606B2E" w:rsidRDefault="008A5557" w:rsidP="006C477E">
    <w:pPr>
      <w:pBdr>
        <w:bottom w:val="single" w:sz="4" w:space="3" w:color="auto"/>
      </w:pBdr>
      <w:tabs>
        <w:tab w:val="left" w:pos="-851"/>
        <w:tab w:val="left" w:pos="-720"/>
        <w:tab w:val="left" w:pos="-567"/>
      </w:tabs>
      <w:rPr>
        <w:rFonts w:cs="Arial"/>
        <w:spacing w:val="-3"/>
        <w:sz w:val="14"/>
        <w:szCs w:val="22"/>
      </w:rPr>
    </w:pPr>
    <w:r w:rsidRPr="008A5557">
      <w:rPr>
        <w:sz w:val="22"/>
      </w:rPr>
      <w:t xml:space="preserve">Por la cual se ordena hacer público un proyecto de resolución de carácter general </w:t>
    </w:r>
    <w:r w:rsidR="00D11804">
      <w:rPr>
        <w:sz w:val="22"/>
      </w:rPr>
      <w:t>“</w:t>
    </w:r>
    <w:r w:rsidR="00A05D1A" w:rsidRPr="00A05D1A">
      <w:rPr>
        <w:sz w:val="22"/>
      </w:rPr>
      <w:t>Por la cual se modifica el plazo de transición dado en el artículo 9 de la Resolución CREG 148 de 2021</w:t>
    </w:r>
    <w:r w:rsidR="00D11804">
      <w:rPr>
        <w:sz w:val="22"/>
      </w:rPr>
      <w:t>”</w:t>
    </w:r>
    <w:r w:rsidR="00706019" w:rsidRPr="00F47D57">
      <w:rPr>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7525" w14:textId="77777777" w:rsidR="00706019" w:rsidRDefault="00706019"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14:paraId="0D7EBC7A" w14:textId="77777777" w:rsidR="00706019" w:rsidRDefault="00706019">
    <w:pPr>
      <w:pStyle w:val="Encabezado"/>
      <w:jc w:val="center"/>
      <w:rPr>
        <w:rFonts w:ascii="Arial" w:hAnsi="Arial" w:cs="Arial"/>
        <w:spacing w:val="20"/>
        <w:sz w:val="20"/>
      </w:rPr>
    </w:pPr>
  </w:p>
  <w:p w14:paraId="521148FE" w14:textId="77777777" w:rsidR="00706019" w:rsidRDefault="0070601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156AB522" wp14:editId="39B387BC">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31548"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6547BA9"/>
    <w:multiLevelType w:val="hybridMultilevel"/>
    <w:tmpl w:val="3B243A10"/>
    <w:lvl w:ilvl="0" w:tplc="823223C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6CB51B6"/>
    <w:multiLevelType w:val="hybridMultilevel"/>
    <w:tmpl w:val="0D889D26"/>
    <w:lvl w:ilvl="0" w:tplc="24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FB53D26"/>
    <w:multiLevelType w:val="hybridMultilevel"/>
    <w:tmpl w:val="8A7E71A8"/>
    <w:lvl w:ilvl="0" w:tplc="85EE5A52">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 w15:restartNumberingAfterBreak="0">
    <w:nsid w:val="16033740"/>
    <w:multiLevelType w:val="hybridMultilevel"/>
    <w:tmpl w:val="87B47EC4"/>
    <w:lvl w:ilvl="0" w:tplc="24E005AE">
      <w:start w:val="1"/>
      <w:numFmt w:val="bullet"/>
      <w:pStyle w:val="Prrafodelista"/>
      <w:lvlText w:val=""/>
      <w:lvlJc w:val="left"/>
      <w:pPr>
        <w:ind w:left="720" w:hanging="360"/>
      </w:pPr>
      <w:rPr>
        <w:rFonts w:ascii="Symbol" w:hAnsi="Symbol" w:hint="default"/>
      </w:rPr>
    </w:lvl>
    <w:lvl w:ilvl="1" w:tplc="252A424C">
      <w:start w:val="1"/>
      <w:numFmt w:val="bullet"/>
      <w:lvlText w:val="o"/>
      <w:lvlJc w:val="left"/>
      <w:pPr>
        <w:ind w:left="1440" w:hanging="360"/>
      </w:pPr>
      <w:rPr>
        <w:rFonts w:ascii="Courier New" w:hAnsi="Courier New" w:cs="Courier New" w:hint="default"/>
      </w:rPr>
    </w:lvl>
    <w:lvl w:ilvl="2" w:tplc="BC861566" w:tentative="1">
      <w:start w:val="1"/>
      <w:numFmt w:val="bullet"/>
      <w:lvlText w:val=""/>
      <w:lvlJc w:val="left"/>
      <w:pPr>
        <w:ind w:left="2160" w:hanging="360"/>
      </w:pPr>
      <w:rPr>
        <w:rFonts w:ascii="Wingdings" w:hAnsi="Wingdings" w:hint="default"/>
      </w:rPr>
    </w:lvl>
    <w:lvl w:ilvl="3" w:tplc="532C128E" w:tentative="1">
      <w:start w:val="1"/>
      <w:numFmt w:val="bullet"/>
      <w:lvlText w:val=""/>
      <w:lvlJc w:val="left"/>
      <w:pPr>
        <w:ind w:left="2880" w:hanging="360"/>
      </w:pPr>
      <w:rPr>
        <w:rFonts w:ascii="Symbol" w:hAnsi="Symbol" w:hint="default"/>
      </w:rPr>
    </w:lvl>
    <w:lvl w:ilvl="4" w:tplc="2A4022FE" w:tentative="1">
      <w:start w:val="1"/>
      <w:numFmt w:val="bullet"/>
      <w:lvlText w:val="o"/>
      <w:lvlJc w:val="left"/>
      <w:pPr>
        <w:ind w:left="3600" w:hanging="360"/>
      </w:pPr>
      <w:rPr>
        <w:rFonts w:ascii="Courier New" w:hAnsi="Courier New" w:cs="Courier New" w:hint="default"/>
      </w:rPr>
    </w:lvl>
    <w:lvl w:ilvl="5" w:tplc="BC941F30" w:tentative="1">
      <w:start w:val="1"/>
      <w:numFmt w:val="bullet"/>
      <w:lvlText w:val=""/>
      <w:lvlJc w:val="left"/>
      <w:pPr>
        <w:ind w:left="4320" w:hanging="360"/>
      </w:pPr>
      <w:rPr>
        <w:rFonts w:ascii="Wingdings" w:hAnsi="Wingdings" w:hint="default"/>
      </w:rPr>
    </w:lvl>
    <w:lvl w:ilvl="6" w:tplc="F8708C06" w:tentative="1">
      <w:start w:val="1"/>
      <w:numFmt w:val="bullet"/>
      <w:lvlText w:val=""/>
      <w:lvlJc w:val="left"/>
      <w:pPr>
        <w:ind w:left="5040" w:hanging="360"/>
      </w:pPr>
      <w:rPr>
        <w:rFonts w:ascii="Symbol" w:hAnsi="Symbol" w:hint="default"/>
      </w:rPr>
    </w:lvl>
    <w:lvl w:ilvl="7" w:tplc="247E4F06" w:tentative="1">
      <w:start w:val="1"/>
      <w:numFmt w:val="bullet"/>
      <w:lvlText w:val="o"/>
      <w:lvlJc w:val="left"/>
      <w:pPr>
        <w:ind w:left="5760" w:hanging="360"/>
      </w:pPr>
      <w:rPr>
        <w:rFonts w:ascii="Courier New" w:hAnsi="Courier New" w:cs="Courier New" w:hint="default"/>
      </w:rPr>
    </w:lvl>
    <w:lvl w:ilvl="8" w:tplc="EF16B678" w:tentative="1">
      <w:start w:val="1"/>
      <w:numFmt w:val="bullet"/>
      <w:lvlText w:val=""/>
      <w:lvlJc w:val="left"/>
      <w:pPr>
        <w:ind w:left="6480" w:hanging="360"/>
      </w:pPr>
      <w:rPr>
        <w:rFonts w:ascii="Wingdings" w:hAnsi="Wingdings" w:hint="default"/>
      </w:rPr>
    </w:lvl>
  </w:abstractNum>
  <w:abstractNum w:abstractNumId="6" w15:restartNumberingAfterBreak="0">
    <w:nsid w:val="17526398"/>
    <w:multiLevelType w:val="multilevel"/>
    <w:tmpl w:val="2AD206AE"/>
    <w:lvl w:ilvl="0">
      <w:start w:val="1"/>
      <w:numFmt w:val="decimal"/>
      <w:pStyle w:val="Ttulo1"/>
      <w:lvlText w:val="%1."/>
      <w:lvlJc w:val="left"/>
      <w:pPr>
        <w:ind w:left="360" w:hanging="360"/>
      </w:pPr>
      <w:rPr>
        <w:rFonts w:hint="default"/>
        <w:b/>
        <w:i w:val="0"/>
        <w:lang w:val="es-ES_tradnl"/>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3839"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1C4776A8"/>
    <w:multiLevelType w:val="hybridMultilevel"/>
    <w:tmpl w:val="96FCE2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40F798C"/>
    <w:multiLevelType w:val="hybridMultilevel"/>
    <w:tmpl w:val="65DE879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BAA622F"/>
    <w:multiLevelType w:val="hybridMultilevel"/>
    <w:tmpl w:val="21621316"/>
    <w:lvl w:ilvl="0" w:tplc="6694938E">
      <w:start w:val="1"/>
      <w:numFmt w:val="decimal"/>
      <w:lvlText w:val="(%1)"/>
      <w:lvlJc w:val="left"/>
      <w:pPr>
        <w:ind w:left="450" w:hanging="45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0FB4C82"/>
    <w:multiLevelType w:val="hybridMultilevel"/>
    <w:tmpl w:val="FC56FE38"/>
    <w:lvl w:ilvl="0" w:tplc="D574596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 w15:restartNumberingAfterBreak="0">
    <w:nsid w:val="30FC738D"/>
    <w:multiLevelType w:val="hybridMultilevel"/>
    <w:tmpl w:val="55D2DF14"/>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0D44A35"/>
    <w:multiLevelType w:val="multilevel"/>
    <w:tmpl w:val="C36C83EA"/>
    <w:name w:val="Lista4"/>
    <w:lvl w:ilvl="0">
      <w:start w:val="1"/>
      <w:numFmt w:val="decimal"/>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14" w15:restartNumberingAfterBreak="0">
    <w:nsid w:val="47AD0571"/>
    <w:multiLevelType w:val="hybridMultilevel"/>
    <w:tmpl w:val="ED7AFE4A"/>
    <w:lvl w:ilvl="0" w:tplc="24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EAC71DA"/>
    <w:multiLevelType w:val="hybridMultilevel"/>
    <w:tmpl w:val="E01EA2C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4F471EEB"/>
    <w:multiLevelType w:val="multilevel"/>
    <w:tmpl w:val="7F48610C"/>
    <w:name w:val="Nueva lista 3"/>
    <w:lvl w:ilvl="0">
      <w:start w:val="1"/>
      <w:numFmt w:val="decimal"/>
      <w:suff w:val="space"/>
      <w:lvlText w:val="Artículo %1."/>
      <w:lvlJc w:val="left"/>
      <w:pPr>
        <w:ind w:left="426" w:firstLine="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486681C"/>
    <w:multiLevelType w:val="hybridMultilevel"/>
    <w:tmpl w:val="7E9E145C"/>
    <w:lvl w:ilvl="0" w:tplc="24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5845E45"/>
    <w:multiLevelType w:val="hybridMultilevel"/>
    <w:tmpl w:val="8168FAE8"/>
    <w:lvl w:ilvl="0" w:tplc="24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6D27F51"/>
    <w:multiLevelType w:val="hybridMultilevel"/>
    <w:tmpl w:val="5978ADF8"/>
    <w:lvl w:ilvl="0" w:tplc="3028EF44">
      <w:start w:val="1"/>
      <w:numFmt w:val="decimal"/>
      <w:pStyle w:val="Anexo"/>
      <w:lvlText w:val="ANEXO %1."/>
      <w:lvlJc w:val="left"/>
      <w:pPr>
        <w:ind w:left="3054" w:hanging="360"/>
      </w:pPr>
      <w:rPr>
        <w:rFonts w:hint="default"/>
      </w:rPr>
    </w:lvl>
    <w:lvl w:ilvl="1" w:tplc="240A0019" w:tentative="1">
      <w:start w:val="1"/>
      <w:numFmt w:val="lowerLetter"/>
      <w:lvlText w:val="%2."/>
      <w:lvlJc w:val="left"/>
      <w:pPr>
        <w:ind w:left="3774" w:hanging="360"/>
      </w:pPr>
    </w:lvl>
    <w:lvl w:ilvl="2" w:tplc="240A001B" w:tentative="1">
      <w:start w:val="1"/>
      <w:numFmt w:val="lowerRoman"/>
      <w:lvlText w:val="%3."/>
      <w:lvlJc w:val="right"/>
      <w:pPr>
        <w:ind w:left="4494" w:hanging="180"/>
      </w:pPr>
    </w:lvl>
    <w:lvl w:ilvl="3" w:tplc="240A000F" w:tentative="1">
      <w:start w:val="1"/>
      <w:numFmt w:val="decimal"/>
      <w:lvlText w:val="%4."/>
      <w:lvlJc w:val="left"/>
      <w:pPr>
        <w:ind w:left="5214" w:hanging="360"/>
      </w:pPr>
    </w:lvl>
    <w:lvl w:ilvl="4" w:tplc="240A0019" w:tentative="1">
      <w:start w:val="1"/>
      <w:numFmt w:val="lowerLetter"/>
      <w:lvlText w:val="%5."/>
      <w:lvlJc w:val="left"/>
      <w:pPr>
        <w:ind w:left="5934" w:hanging="360"/>
      </w:pPr>
    </w:lvl>
    <w:lvl w:ilvl="5" w:tplc="240A001B" w:tentative="1">
      <w:start w:val="1"/>
      <w:numFmt w:val="lowerRoman"/>
      <w:lvlText w:val="%6."/>
      <w:lvlJc w:val="right"/>
      <w:pPr>
        <w:ind w:left="6654" w:hanging="180"/>
      </w:pPr>
    </w:lvl>
    <w:lvl w:ilvl="6" w:tplc="240A000F" w:tentative="1">
      <w:start w:val="1"/>
      <w:numFmt w:val="decimal"/>
      <w:lvlText w:val="%7."/>
      <w:lvlJc w:val="left"/>
      <w:pPr>
        <w:ind w:left="7374" w:hanging="360"/>
      </w:pPr>
    </w:lvl>
    <w:lvl w:ilvl="7" w:tplc="240A0019" w:tentative="1">
      <w:start w:val="1"/>
      <w:numFmt w:val="lowerLetter"/>
      <w:lvlText w:val="%8."/>
      <w:lvlJc w:val="left"/>
      <w:pPr>
        <w:ind w:left="8094" w:hanging="360"/>
      </w:pPr>
    </w:lvl>
    <w:lvl w:ilvl="8" w:tplc="240A001B" w:tentative="1">
      <w:start w:val="1"/>
      <w:numFmt w:val="lowerRoman"/>
      <w:lvlText w:val="%9."/>
      <w:lvlJc w:val="right"/>
      <w:pPr>
        <w:ind w:left="8814" w:hanging="180"/>
      </w:pPr>
    </w:lvl>
  </w:abstractNum>
  <w:abstractNum w:abstractNumId="20" w15:restartNumberingAfterBreak="0">
    <w:nsid w:val="571B7718"/>
    <w:multiLevelType w:val="hybridMultilevel"/>
    <w:tmpl w:val="1CBA4EA8"/>
    <w:lvl w:ilvl="0" w:tplc="19EA924E">
      <w:start w:val="1"/>
      <w:numFmt w:val="decimal"/>
      <w:pStyle w:val="Artculo"/>
      <w:lvlText w:val="Artículo %1."/>
      <w:lvlJc w:val="left"/>
      <w:pPr>
        <w:ind w:left="502"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AAB13D7"/>
    <w:multiLevelType w:val="hybridMultilevel"/>
    <w:tmpl w:val="7FEAD01E"/>
    <w:name w:val="Lista4322"/>
    <w:lvl w:ilvl="0" w:tplc="A2B81818">
      <w:start w:val="1"/>
      <w:numFmt w:val="decimal"/>
      <w:lvlText w:val="CAPÍTULO %1."/>
      <w:lvlJc w:val="left"/>
      <w:pPr>
        <w:ind w:left="360" w:hanging="360"/>
      </w:pPr>
      <w:rPr>
        <w:rFonts w:ascii="Bookman Old Style" w:hAnsi="Bookman Old Style" w:hint="default"/>
        <w:b/>
        <w:i w:val="0"/>
        <w:sz w:val="24"/>
      </w:rPr>
    </w:lvl>
    <w:lvl w:ilvl="1" w:tplc="BC7212C6" w:tentative="1">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22" w15:restartNumberingAfterBreak="0">
    <w:nsid w:val="6B474413"/>
    <w:multiLevelType w:val="hybridMultilevel"/>
    <w:tmpl w:val="80D020B0"/>
    <w:lvl w:ilvl="0" w:tplc="24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D6E640E"/>
    <w:multiLevelType w:val="hybridMultilevel"/>
    <w:tmpl w:val="6DCEF6AC"/>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80B10EA"/>
    <w:multiLevelType w:val="hybridMultilevel"/>
    <w:tmpl w:val="F11AF128"/>
    <w:lvl w:ilvl="0" w:tplc="3DC0451E">
      <w:start w:val="1"/>
      <w:numFmt w:val="decimal"/>
      <w:lvlText w:val="Artículo %1."/>
      <w:lvlJc w:val="left"/>
      <w:pPr>
        <w:ind w:left="177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F6A5840"/>
    <w:multiLevelType w:val="hybridMultilevel"/>
    <w:tmpl w:val="E01EA2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
  </w:num>
  <w:num w:numId="2">
    <w:abstractNumId w:val="6"/>
  </w:num>
  <w:num w:numId="3">
    <w:abstractNumId w:val="0"/>
  </w:num>
  <w:num w:numId="4">
    <w:abstractNumId w:val="9"/>
  </w:num>
  <w:num w:numId="5">
    <w:abstractNumId w:val="20"/>
  </w:num>
  <w:num w:numId="6">
    <w:abstractNumId w:val="1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3"/>
  </w:num>
  <w:num w:numId="10">
    <w:abstractNumId w:val="22"/>
  </w:num>
  <w:num w:numId="11">
    <w:abstractNumId w:val="17"/>
  </w:num>
  <w:num w:numId="12">
    <w:abstractNumId w:val="18"/>
  </w:num>
  <w:num w:numId="13">
    <w:abstractNumId w:val="2"/>
  </w:num>
  <w:num w:numId="14">
    <w:abstractNumId w:val="14"/>
  </w:num>
  <w:num w:numId="15">
    <w:abstractNumId w:val="20"/>
  </w:num>
  <w:num w:numId="16">
    <w:abstractNumId w:val="7"/>
  </w:num>
  <w:num w:numId="17">
    <w:abstractNumId w:val="24"/>
  </w:num>
  <w:num w:numId="18">
    <w:abstractNumId w:val="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
  </w:num>
  <w:num w:numId="23">
    <w:abstractNumId w:val="10"/>
  </w:num>
  <w:num w:numId="24">
    <w:abstractNumId w:val="20"/>
  </w:num>
  <w:num w:numId="25">
    <w:abstractNumId w:val="20"/>
  </w:num>
  <w:num w:numId="26">
    <w:abstractNumId w:val="20"/>
  </w:num>
  <w:num w:numId="27">
    <w:abstractNumId w:val="16"/>
  </w:num>
  <w:num w:numId="28">
    <w:abstractNumId w:val="15"/>
  </w:num>
  <w:num w:numId="29">
    <w:abstractNumId w:val="25"/>
  </w:num>
  <w:num w:numId="30">
    <w:abstractNumId w:val="20"/>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drawingGridHorizontalSpacing w:val="120"/>
  <w:displayHorizontalDrawingGridEvery w:val="2"/>
  <w:noPunctuationKerning/>
  <w:characterSpacingControl w:val="doNotCompress"/>
  <w:hdrShapeDefaults>
    <o:shapedefaults v:ext="edit" spidmax="20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FB3"/>
    <w:rsid w:val="0000308B"/>
    <w:rsid w:val="00004A40"/>
    <w:rsid w:val="0000582E"/>
    <w:rsid w:val="00006AE2"/>
    <w:rsid w:val="00006CD8"/>
    <w:rsid w:val="000076A1"/>
    <w:rsid w:val="00007A3D"/>
    <w:rsid w:val="00012259"/>
    <w:rsid w:val="000131FF"/>
    <w:rsid w:val="000139CC"/>
    <w:rsid w:val="0001575E"/>
    <w:rsid w:val="00021A33"/>
    <w:rsid w:val="00022EC1"/>
    <w:rsid w:val="0002393C"/>
    <w:rsid w:val="00025383"/>
    <w:rsid w:val="00027821"/>
    <w:rsid w:val="0003258B"/>
    <w:rsid w:val="00032E95"/>
    <w:rsid w:val="00037D8A"/>
    <w:rsid w:val="00040D46"/>
    <w:rsid w:val="00041697"/>
    <w:rsid w:val="00042E45"/>
    <w:rsid w:val="00043881"/>
    <w:rsid w:val="00045BDF"/>
    <w:rsid w:val="00050E53"/>
    <w:rsid w:val="00051727"/>
    <w:rsid w:val="00052ED2"/>
    <w:rsid w:val="00052EE4"/>
    <w:rsid w:val="00052F77"/>
    <w:rsid w:val="00053047"/>
    <w:rsid w:val="0005497E"/>
    <w:rsid w:val="00057118"/>
    <w:rsid w:val="000611C9"/>
    <w:rsid w:val="0006147A"/>
    <w:rsid w:val="00062922"/>
    <w:rsid w:val="00062CED"/>
    <w:rsid w:val="00062E9E"/>
    <w:rsid w:val="00063657"/>
    <w:rsid w:val="00063FBD"/>
    <w:rsid w:val="00065B12"/>
    <w:rsid w:val="00066279"/>
    <w:rsid w:val="0007027E"/>
    <w:rsid w:val="00070CA9"/>
    <w:rsid w:val="000710F0"/>
    <w:rsid w:val="00071FF8"/>
    <w:rsid w:val="0007282E"/>
    <w:rsid w:val="000740B4"/>
    <w:rsid w:val="00074345"/>
    <w:rsid w:val="00075DEC"/>
    <w:rsid w:val="00076680"/>
    <w:rsid w:val="00076B3A"/>
    <w:rsid w:val="0007779F"/>
    <w:rsid w:val="0008073E"/>
    <w:rsid w:val="00080B91"/>
    <w:rsid w:val="000813E1"/>
    <w:rsid w:val="000818DA"/>
    <w:rsid w:val="0008422C"/>
    <w:rsid w:val="00084D8F"/>
    <w:rsid w:val="00085CF2"/>
    <w:rsid w:val="00090960"/>
    <w:rsid w:val="00091199"/>
    <w:rsid w:val="00091CDB"/>
    <w:rsid w:val="00093F75"/>
    <w:rsid w:val="000947DE"/>
    <w:rsid w:val="00095772"/>
    <w:rsid w:val="0009633E"/>
    <w:rsid w:val="000A0835"/>
    <w:rsid w:val="000A19AC"/>
    <w:rsid w:val="000A532F"/>
    <w:rsid w:val="000A54D8"/>
    <w:rsid w:val="000A6084"/>
    <w:rsid w:val="000A635F"/>
    <w:rsid w:val="000B11F9"/>
    <w:rsid w:val="000B1B94"/>
    <w:rsid w:val="000B2861"/>
    <w:rsid w:val="000B440B"/>
    <w:rsid w:val="000B4F0F"/>
    <w:rsid w:val="000B741C"/>
    <w:rsid w:val="000B762B"/>
    <w:rsid w:val="000C1A48"/>
    <w:rsid w:val="000C24D1"/>
    <w:rsid w:val="000C2C83"/>
    <w:rsid w:val="000C49F8"/>
    <w:rsid w:val="000C4CAE"/>
    <w:rsid w:val="000C611F"/>
    <w:rsid w:val="000C66E0"/>
    <w:rsid w:val="000C7963"/>
    <w:rsid w:val="000D05FC"/>
    <w:rsid w:val="000D09CA"/>
    <w:rsid w:val="000D19DA"/>
    <w:rsid w:val="000D1A42"/>
    <w:rsid w:val="000D26F8"/>
    <w:rsid w:val="000D27C3"/>
    <w:rsid w:val="000D7687"/>
    <w:rsid w:val="000E07D9"/>
    <w:rsid w:val="000E0839"/>
    <w:rsid w:val="000E1EA6"/>
    <w:rsid w:val="000E23C3"/>
    <w:rsid w:val="000E2741"/>
    <w:rsid w:val="000E2A6C"/>
    <w:rsid w:val="000E34A6"/>
    <w:rsid w:val="000E40A4"/>
    <w:rsid w:val="000E5C71"/>
    <w:rsid w:val="000E7F41"/>
    <w:rsid w:val="000F06E1"/>
    <w:rsid w:val="000F0917"/>
    <w:rsid w:val="000F25E1"/>
    <w:rsid w:val="000F2EBA"/>
    <w:rsid w:val="000F424D"/>
    <w:rsid w:val="000F4382"/>
    <w:rsid w:val="000F5186"/>
    <w:rsid w:val="000F53CA"/>
    <w:rsid w:val="000F5532"/>
    <w:rsid w:val="000F581C"/>
    <w:rsid w:val="000F606F"/>
    <w:rsid w:val="000F692F"/>
    <w:rsid w:val="00100074"/>
    <w:rsid w:val="001026D4"/>
    <w:rsid w:val="00103B01"/>
    <w:rsid w:val="00103E6B"/>
    <w:rsid w:val="00103EA6"/>
    <w:rsid w:val="001103C5"/>
    <w:rsid w:val="00113281"/>
    <w:rsid w:val="00114B2E"/>
    <w:rsid w:val="0011690F"/>
    <w:rsid w:val="0012000A"/>
    <w:rsid w:val="001252CD"/>
    <w:rsid w:val="00126129"/>
    <w:rsid w:val="00126319"/>
    <w:rsid w:val="00126975"/>
    <w:rsid w:val="00127FEB"/>
    <w:rsid w:val="00130044"/>
    <w:rsid w:val="00130A01"/>
    <w:rsid w:val="001332A0"/>
    <w:rsid w:val="00136054"/>
    <w:rsid w:val="001373EB"/>
    <w:rsid w:val="00137417"/>
    <w:rsid w:val="001405C6"/>
    <w:rsid w:val="00141013"/>
    <w:rsid w:val="001412F7"/>
    <w:rsid w:val="001419AB"/>
    <w:rsid w:val="00143F16"/>
    <w:rsid w:val="00146DFD"/>
    <w:rsid w:val="00150167"/>
    <w:rsid w:val="0015513A"/>
    <w:rsid w:val="00156411"/>
    <w:rsid w:val="00156744"/>
    <w:rsid w:val="001567C3"/>
    <w:rsid w:val="00160F9C"/>
    <w:rsid w:val="00161392"/>
    <w:rsid w:val="00161F75"/>
    <w:rsid w:val="001644AD"/>
    <w:rsid w:val="00164CA8"/>
    <w:rsid w:val="001670C8"/>
    <w:rsid w:val="001704F2"/>
    <w:rsid w:val="0017132F"/>
    <w:rsid w:val="00172601"/>
    <w:rsid w:val="00172887"/>
    <w:rsid w:val="0017324C"/>
    <w:rsid w:val="0017385E"/>
    <w:rsid w:val="00176B9B"/>
    <w:rsid w:val="001775E0"/>
    <w:rsid w:val="001777E4"/>
    <w:rsid w:val="00181810"/>
    <w:rsid w:val="0018297E"/>
    <w:rsid w:val="00182EB1"/>
    <w:rsid w:val="00183DD7"/>
    <w:rsid w:val="00184A60"/>
    <w:rsid w:val="0018544E"/>
    <w:rsid w:val="0018581C"/>
    <w:rsid w:val="00185B53"/>
    <w:rsid w:val="001867DC"/>
    <w:rsid w:val="001870B6"/>
    <w:rsid w:val="001877A4"/>
    <w:rsid w:val="00192093"/>
    <w:rsid w:val="00192CBF"/>
    <w:rsid w:val="00192F8A"/>
    <w:rsid w:val="00192FF1"/>
    <w:rsid w:val="00193251"/>
    <w:rsid w:val="00193DAA"/>
    <w:rsid w:val="00194FA9"/>
    <w:rsid w:val="00195D59"/>
    <w:rsid w:val="0019686C"/>
    <w:rsid w:val="001A0733"/>
    <w:rsid w:val="001A1063"/>
    <w:rsid w:val="001A15DA"/>
    <w:rsid w:val="001A28A6"/>
    <w:rsid w:val="001A2B0F"/>
    <w:rsid w:val="001A2B19"/>
    <w:rsid w:val="001A2E92"/>
    <w:rsid w:val="001A5F1B"/>
    <w:rsid w:val="001A6051"/>
    <w:rsid w:val="001A62C6"/>
    <w:rsid w:val="001A6AE9"/>
    <w:rsid w:val="001B1121"/>
    <w:rsid w:val="001B1C22"/>
    <w:rsid w:val="001B1FC2"/>
    <w:rsid w:val="001B2154"/>
    <w:rsid w:val="001B34C6"/>
    <w:rsid w:val="001B38E3"/>
    <w:rsid w:val="001B44FE"/>
    <w:rsid w:val="001B4DE4"/>
    <w:rsid w:val="001B50A5"/>
    <w:rsid w:val="001B61F1"/>
    <w:rsid w:val="001C156E"/>
    <w:rsid w:val="001C2AFA"/>
    <w:rsid w:val="001C4B6A"/>
    <w:rsid w:val="001C6F7E"/>
    <w:rsid w:val="001C72BB"/>
    <w:rsid w:val="001D16E6"/>
    <w:rsid w:val="001D3333"/>
    <w:rsid w:val="001D39C8"/>
    <w:rsid w:val="001D417A"/>
    <w:rsid w:val="001D4BC1"/>
    <w:rsid w:val="001D4C98"/>
    <w:rsid w:val="001D4D42"/>
    <w:rsid w:val="001D70F4"/>
    <w:rsid w:val="001D779C"/>
    <w:rsid w:val="001D7832"/>
    <w:rsid w:val="001D7BB5"/>
    <w:rsid w:val="001E09D4"/>
    <w:rsid w:val="001E2C3E"/>
    <w:rsid w:val="001E30A0"/>
    <w:rsid w:val="001E3CF3"/>
    <w:rsid w:val="001E5710"/>
    <w:rsid w:val="001E5738"/>
    <w:rsid w:val="001E58BC"/>
    <w:rsid w:val="001E6096"/>
    <w:rsid w:val="001E72DA"/>
    <w:rsid w:val="001E7D33"/>
    <w:rsid w:val="001F2074"/>
    <w:rsid w:val="001F2626"/>
    <w:rsid w:val="001F3643"/>
    <w:rsid w:val="001F3B6A"/>
    <w:rsid w:val="001F4EC6"/>
    <w:rsid w:val="001F7C24"/>
    <w:rsid w:val="001F7C74"/>
    <w:rsid w:val="00200A7B"/>
    <w:rsid w:val="00201C5F"/>
    <w:rsid w:val="00202533"/>
    <w:rsid w:val="002030CE"/>
    <w:rsid w:val="00204286"/>
    <w:rsid w:val="0020511E"/>
    <w:rsid w:val="0020712C"/>
    <w:rsid w:val="00207B63"/>
    <w:rsid w:val="00210CF4"/>
    <w:rsid w:val="00211D34"/>
    <w:rsid w:val="00212ACC"/>
    <w:rsid w:val="00214064"/>
    <w:rsid w:val="002142C6"/>
    <w:rsid w:val="00214C5D"/>
    <w:rsid w:val="00214F04"/>
    <w:rsid w:val="00215AA2"/>
    <w:rsid w:val="002171DF"/>
    <w:rsid w:val="002208C4"/>
    <w:rsid w:val="00221D16"/>
    <w:rsid w:val="00223088"/>
    <w:rsid w:val="00224505"/>
    <w:rsid w:val="00224C89"/>
    <w:rsid w:val="00225D88"/>
    <w:rsid w:val="00226382"/>
    <w:rsid w:val="0022655A"/>
    <w:rsid w:val="0022765B"/>
    <w:rsid w:val="002276FD"/>
    <w:rsid w:val="0023149D"/>
    <w:rsid w:val="00231F8E"/>
    <w:rsid w:val="00233926"/>
    <w:rsid w:val="00234A50"/>
    <w:rsid w:val="00236069"/>
    <w:rsid w:val="00237980"/>
    <w:rsid w:val="00237BCA"/>
    <w:rsid w:val="00241F6A"/>
    <w:rsid w:val="002425A8"/>
    <w:rsid w:val="00242633"/>
    <w:rsid w:val="00242B70"/>
    <w:rsid w:val="002436D0"/>
    <w:rsid w:val="002456A9"/>
    <w:rsid w:val="00245D5A"/>
    <w:rsid w:val="0024606D"/>
    <w:rsid w:val="002479FB"/>
    <w:rsid w:val="00255E85"/>
    <w:rsid w:val="00256952"/>
    <w:rsid w:val="00260039"/>
    <w:rsid w:val="002636A8"/>
    <w:rsid w:val="00264123"/>
    <w:rsid w:val="00265F8B"/>
    <w:rsid w:val="00266CD6"/>
    <w:rsid w:val="00271DB2"/>
    <w:rsid w:val="00272BE7"/>
    <w:rsid w:val="00273218"/>
    <w:rsid w:val="00277918"/>
    <w:rsid w:val="0028218F"/>
    <w:rsid w:val="002823D3"/>
    <w:rsid w:val="00283791"/>
    <w:rsid w:val="00283AC0"/>
    <w:rsid w:val="00284AA1"/>
    <w:rsid w:val="00285350"/>
    <w:rsid w:val="00286061"/>
    <w:rsid w:val="0028778C"/>
    <w:rsid w:val="00287CF8"/>
    <w:rsid w:val="00290430"/>
    <w:rsid w:val="00290936"/>
    <w:rsid w:val="002911CF"/>
    <w:rsid w:val="00293E58"/>
    <w:rsid w:val="00294352"/>
    <w:rsid w:val="0029476F"/>
    <w:rsid w:val="00294B96"/>
    <w:rsid w:val="0029503F"/>
    <w:rsid w:val="0029562C"/>
    <w:rsid w:val="00295C7B"/>
    <w:rsid w:val="0029640E"/>
    <w:rsid w:val="002969E7"/>
    <w:rsid w:val="002A008D"/>
    <w:rsid w:val="002A040B"/>
    <w:rsid w:val="002A1661"/>
    <w:rsid w:val="002A3A71"/>
    <w:rsid w:val="002A40EB"/>
    <w:rsid w:val="002A4945"/>
    <w:rsid w:val="002A5675"/>
    <w:rsid w:val="002A5A04"/>
    <w:rsid w:val="002A5F3B"/>
    <w:rsid w:val="002A6477"/>
    <w:rsid w:val="002A6805"/>
    <w:rsid w:val="002A6CE5"/>
    <w:rsid w:val="002A77CA"/>
    <w:rsid w:val="002A7856"/>
    <w:rsid w:val="002B0D28"/>
    <w:rsid w:val="002B11E2"/>
    <w:rsid w:val="002B184A"/>
    <w:rsid w:val="002B21E4"/>
    <w:rsid w:val="002B24B8"/>
    <w:rsid w:val="002B25FF"/>
    <w:rsid w:val="002B29BD"/>
    <w:rsid w:val="002B2BDB"/>
    <w:rsid w:val="002B4DC6"/>
    <w:rsid w:val="002B5457"/>
    <w:rsid w:val="002B5B77"/>
    <w:rsid w:val="002B707A"/>
    <w:rsid w:val="002B7B66"/>
    <w:rsid w:val="002C04B9"/>
    <w:rsid w:val="002C073B"/>
    <w:rsid w:val="002C12D7"/>
    <w:rsid w:val="002C1805"/>
    <w:rsid w:val="002C197F"/>
    <w:rsid w:val="002C257D"/>
    <w:rsid w:val="002C31EC"/>
    <w:rsid w:val="002C3E19"/>
    <w:rsid w:val="002C5298"/>
    <w:rsid w:val="002C60A2"/>
    <w:rsid w:val="002D0129"/>
    <w:rsid w:val="002D2357"/>
    <w:rsid w:val="002D2E0E"/>
    <w:rsid w:val="002D34E5"/>
    <w:rsid w:val="002D3AE9"/>
    <w:rsid w:val="002D3CC7"/>
    <w:rsid w:val="002D4793"/>
    <w:rsid w:val="002D4B4F"/>
    <w:rsid w:val="002D6087"/>
    <w:rsid w:val="002D6CE6"/>
    <w:rsid w:val="002D6E5C"/>
    <w:rsid w:val="002D732C"/>
    <w:rsid w:val="002E62C3"/>
    <w:rsid w:val="002E7F07"/>
    <w:rsid w:val="002F0232"/>
    <w:rsid w:val="002F0734"/>
    <w:rsid w:val="002F0F37"/>
    <w:rsid w:val="002F14EE"/>
    <w:rsid w:val="002F1EFE"/>
    <w:rsid w:val="002F2080"/>
    <w:rsid w:val="002F3960"/>
    <w:rsid w:val="002F46E7"/>
    <w:rsid w:val="002F48D2"/>
    <w:rsid w:val="002F4FD0"/>
    <w:rsid w:val="002F52E1"/>
    <w:rsid w:val="002F5D05"/>
    <w:rsid w:val="002F5FEA"/>
    <w:rsid w:val="002F7744"/>
    <w:rsid w:val="00306719"/>
    <w:rsid w:val="00307847"/>
    <w:rsid w:val="003101DA"/>
    <w:rsid w:val="0031181C"/>
    <w:rsid w:val="00311A75"/>
    <w:rsid w:val="003121C2"/>
    <w:rsid w:val="00312B4D"/>
    <w:rsid w:val="00313227"/>
    <w:rsid w:val="00314690"/>
    <w:rsid w:val="003146EB"/>
    <w:rsid w:val="00314757"/>
    <w:rsid w:val="00315185"/>
    <w:rsid w:val="003166C7"/>
    <w:rsid w:val="00316779"/>
    <w:rsid w:val="0031763B"/>
    <w:rsid w:val="00317F4E"/>
    <w:rsid w:val="00320872"/>
    <w:rsid w:val="003211CE"/>
    <w:rsid w:val="00321688"/>
    <w:rsid w:val="00322DB3"/>
    <w:rsid w:val="00323F10"/>
    <w:rsid w:val="00323F77"/>
    <w:rsid w:val="0032403B"/>
    <w:rsid w:val="00327DC7"/>
    <w:rsid w:val="00330806"/>
    <w:rsid w:val="00332519"/>
    <w:rsid w:val="00332E66"/>
    <w:rsid w:val="00334DD9"/>
    <w:rsid w:val="00335AC3"/>
    <w:rsid w:val="0033671A"/>
    <w:rsid w:val="00341540"/>
    <w:rsid w:val="00341C5E"/>
    <w:rsid w:val="003433C2"/>
    <w:rsid w:val="00344053"/>
    <w:rsid w:val="00345434"/>
    <w:rsid w:val="00347544"/>
    <w:rsid w:val="0035403A"/>
    <w:rsid w:val="003553B8"/>
    <w:rsid w:val="00357F8E"/>
    <w:rsid w:val="0036055C"/>
    <w:rsid w:val="003605B4"/>
    <w:rsid w:val="003607FC"/>
    <w:rsid w:val="00361176"/>
    <w:rsid w:val="003617F7"/>
    <w:rsid w:val="00361FFC"/>
    <w:rsid w:val="003624C0"/>
    <w:rsid w:val="00362540"/>
    <w:rsid w:val="00362795"/>
    <w:rsid w:val="00363254"/>
    <w:rsid w:val="0036394B"/>
    <w:rsid w:val="00365353"/>
    <w:rsid w:val="00365F09"/>
    <w:rsid w:val="003666D5"/>
    <w:rsid w:val="00366A71"/>
    <w:rsid w:val="00367196"/>
    <w:rsid w:val="00370379"/>
    <w:rsid w:val="003709B5"/>
    <w:rsid w:val="00370CDF"/>
    <w:rsid w:val="00371673"/>
    <w:rsid w:val="003719AE"/>
    <w:rsid w:val="00372710"/>
    <w:rsid w:val="00372B11"/>
    <w:rsid w:val="003730B0"/>
    <w:rsid w:val="003759C2"/>
    <w:rsid w:val="00375AC4"/>
    <w:rsid w:val="00377171"/>
    <w:rsid w:val="0037748B"/>
    <w:rsid w:val="003778A8"/>
    <w:rsid w:val="00382E3B"/>
    <w:rsid w:val="00385326"/>
    <w:rsid w:val="003858F2"/>
    <w:rsid w:val="00385FCD"/>
    <w:rsid w:val="00386A41"/>
    <w:rsid w:val="00387CA8"/>
    <w:rsid w:val="0039110A"/>
    <w:rsid w:val="003911FD"/>
    <w:rsid w:val="003912AA"/>
    <w:rsid w:val="003915AF"/>
    <w:rsid w:val="00391941"/>
    <w:rsid w:val="00394334"/>
    <w:rsid w:val="00396F37"/>
    <w:rsid w:val="00397365"/>
    <w:rsid w:val="003975CB"/>
    <w:rsid w:val="003976EE"/>
    <w:rsid w:val="00397AAC"/>
    <w:rsid w:val="003A0AAB"/>
    <w:rsid w:val="003A2753"/>
    <w:rsid w:val="003A29B2"/>
    <w:rsid w:val="003A2F93"/>
    <w:rsid w:val="003A31F6"/>
    <w:rsid w:val="003A3BB6"/>
    <w:rsid w:val="003A722A"/>
    <w:rsid w:val="003A7480"/>
    <w:rsid w:val="003B0C12"/>
    <w:rsid w:val="003B105C"/>
    <w:rsid w:val="003B1420"/>
    <w:rsid w:val="003B2F52"/>
    <w:rsid w:val="003B3201"/>
    <w:rsid w:val="003B32C4"/>
    <w:rsid w:val="003B4096"/>
    <w:rsid w:val="003B526C"/>
    <w:rsid w:val="003C0D08"/>
    <w:rsid w:val="003C15CF"/>
    <w:rsid w:val="003C2C74"/>
    <w:rsid w:val="003C2F77"/>
    <w:rsid w:val="003C3447"/>
    <w:rsid w:val="003C3561"/>
    <w:rsid w:val="003C65D7"/>
    <w:rsid w:val="003C6D4C"/>
    <w:rsid w:val="003C77D8"/>
    <w:rsid w:val="003D076C"/>
    <w:rsid w:val="003D2769"/>
    <w:rsid w:val="003D3C4C"/>
    <w:rsid w:val="003E0C6A"/>
    <w:rsid w:val="003E13ED"/>
    <w:rsid w:val="003E14B1"/>
    <w:rsid w:val="003E21A4"/>
    <w:rsid w:val="003E244C"/>
    <w:rsid w:val="003E26BD"/>
    <w:rsid w:val="003E2EC3"/>
    <w:rsid w:val="003E3FC6"/>
    <w:rsid w:val="003E5659"/>
    <w:rsid w:val="003F1772"/>
    <w:rsid w:val="003F2BD4"/>
    <w:rsid w:val="003F2E01"/>
    <w:rsid w:val="003F309D"/>
    <w:rsid w:val="003F451D"/>
    <w:rsid w:val="003F566A"/>
    <w:rsid w:val="003F620A"/>
    <w:rsid w:val="004005F4"/>
    <w:rsid w:val="00400A12"/>
    <w:rsid w:val="00403570"/>
    <w:rsid w:val="00405E60"/>
    <w:rsid w:val="00406DF9"/>
    <w:rsid w:val="0041044A"/>
    <w:rsid w:val="004104CF"/>
    <w:rsid w:val="00411C16"/>
    <w:rsid w:val="00413A60"/>
    <w:rsid w:val="00414DFD"/>
    <w:rsid w:val="0041514D"/>
    <w:rsid w:val="00415427"/>
    <w:rsid w:val="00415625"/>
    <w:rsid w:val="00415BAB"/>
    <w:rsid w:val="00415ED2"/>
    <w:rsid w:val="00417B99"/>
    <w:rsid w:val="0042068C"/>
    <w:rsid w:val="00420FF0"/>
    <w:rsid w:val="004228F7"/>
    <w:rsid w:val="0042320B"/>
    <w:rsid w:val="00424637"/>
    <w:rsid w:val="004249D2"/>
    <w:rsid w:val="00431B2D"/>
    <w:rsid w:val="00432422"/>
    <w:rsid w:val="00432D0D"/>
    <w:rsid w:val="00433586"/>
    <w:rsid w:val="0043421B"/>
    <w:rsid w:val="004347C4"/>
    <w:rsid w:val="00436F9F"/>
    <w:rsid w:val="00440AA6"/>
    <w:rsid w:val="00441813"/>
    <w:rsid w:val="0044287F"/>
    <w:rsid w:val="00443FFE"/>
    <w:rsid w:val="0044401F"/>
    <w:rsid w:val="004453BB"/>
    <w:rsid w:val="00445544"/>
    <w:rsid w:val="0044571F"/>
    <w:rsid w:val="004466E4"/>
    <w:rsid w:val="00446B9F"/>
    <w:rsid w:val="00447DD0"/>
    <w:rsid w:val="00452653"/>
    <w:rsid w:val="00452CAE"/>
    <w:rsid w:val="00452E1C"/>
    <w:rsid w:val="0045321D"/>
    <w:rsid w:val="004532FB"/>
    <w:rsid w:val="00454DB2"/>
    <w:rsid w:val="00455868"/>
    <w:rsid w:val="00455C01"/>
    <w:rsid w:val="00456254"/>
    <w:rsid w:val="004563A3"/>
    <w:rsid w:val="00457622"/>
    <w:rsid w:val="00457A02"/>
    <w:rsid w:val="0046041E"/>
    <w:rsid w:val="0046041F"/>
    <w:rsid w:val="00462DFE"/>
    <w:rsid w:val="00464C93"/>
    <w:rsid w:val="0046528E"/>
    <w:rsid w:val="004658A4"/>
    <w:rsid w:val="0046650C"/>
    <w:rsid w:val="00467033"/>
    <w:rsid w:val="00467F57"/>
    <w:rsid w:val="00470616"/>
    <w:rsid w:val="0047122B"/>
    <w:rsid w:val="00472F66"/>
    <w:rsid w:val="00473B7A"/>
    <w:rsid w:val="00474564"/>
    <w:rsid w:val="00474C3C"/>
    <w:rsid w:val="00475338"/>
    <w:rsid w:val="00476242"/>
    <w:rsid w:val="00477C4C"/>
    <w:rsid w:val="00481379"/>
    <w:rsid w:val="00481AEB"/>
    <w:rsid w:val="00481E97"/>
    <w:rsid w:val="00483A70"/>
    <w:rsid w:val="00486B39"/>
    <w:rsid w:val="00486E57"/>
    <w:rsid w:val="00487005"/>
    <w:rsid w:val="0048746C"/>
    <w:rsid w:val="004905F0"/>
    <w:rsid w:val="00490D0A"/>
    <w:rsid w:val="00491B5D"/>
    <w:rsid w:val="00491C70"/>
    <w:rsid w:val="00492072"/>
    <w:rsid w:val="00493AAA"/>
    <w:rsid w:val="0049470E"/>
    <w:rsid w:val="004957BE"/>
    <w:rsid w:val="00495854"/>
    <w:rsid w:val="004960E9"/>
    <w:rsid w:val="00496413"/>
    <w:rsid w:val="00496605"/>
    <w:rsid w:val="00497131"/>
    <w:rsid w:val="0049775B"/>
    <w:rsid w:val="00497FD2"/>
    <w:rsid w:val="004A0082"/>
    <w:rsid w:val="004A2E88"/>
    <w:rsid w:val="004A3AFA"/>
    <w:rsid w:val="004A4B27"/>
    <w:rsid w:val="004A4E89"/>
    <w:rsid w:val="004A5305"/>
    <w:rsid w:val="004A5FED"/>
    <w:rsid w:val="004A66A7"/>
    <w:rsid w:val="004A6B5F"/>
    <w:rsid w:val="004A74AD"/>
    <w:rsid w:val="004B08DF"/>
    <w:rsid w:val="004B6C0E"/>
    <w:rsid w:val="004B70AA"/>
    <w:rsid w:val="004B74A3"/>
    <w:rsid w:val="004B7C71"/>
    <w:rsid w:val="004C3016"/>
    <w:rsid w:val="004C3691"/>
    <w:rsid w:val="004C3B6F"/>
    <w:rsid w:val="004C44DB"/>
    <w:rsid w:val="004C5C00"/>
    <w:rsid w:val="004C68AC"/>
    <w:rsid w:val="004C6CA2"/>
    <w:rsid w:val="004D1FDE"/>
    <w:rsid w:val="004D40B9"/>
    <w:rsid w:val="004D48E4"/>
    <w:rsid w:val="004D5883"/>
    <w:rsid w:val="004D7634"/>
    <w:rsid w:val="004E09FA"/>
    <w:rsid w:val="004E1402"/>
    <w:rsid w:val="004E14DD"/>
    <w:rsid w:val="004E2C69"/>
    <w:rsid w:val="004E570E"/>
    <w:rsid w:val="004E79B6"/>
    <w:rsid w:val="004F1976"/>
    <w:rsid w:val="004F19AC"/>
    <w:rsid w:val="004F1CA9"/>
    <w:rsid w:val="004F6941"/>
    <w:rsid w:val="004F6943"/>
    <w:rsid w:val="004F74ED"/>
    <w:rsid w:val="00500C17"/>
    <w:rsid w:val="00500E96"/>
    <w:rsid w:val="005012DB"/>
    <w:rsid w:val="005025BD"/>
    <w:rsid w:val="005038F0"/>
    <w:rsid w:val="00504CE5"/>
    <w:rsid w:val="00506B38"/>
    <w:rsid w:val="005078C7"/>
    <w:rsid w:val="00507D52"/>
    <w:rsid w:val="0051066E"/>
    <w:rsid w:val="00510733"/>
    <w:rsid w:val="00510A89"/>
    <w:rsid w:val="005114E4"/>
    <w:rsid w:val="00511864"/>
    <w:rsid w:val="00513E7A"/>
    <w:rsid w:val="00514B51"/>
    <w:rsid w:val="00517B61"/>
    <w:rsid w:val="00521A5A"/>
    <w:rsid w:val="00521BBE"/>
    <w:rsid w:val="005221B9"/>
    <w:rsid w:val="00523457"/>
    <w:rsid w:val="00527359"/>
    <w:rsid w:val="00527D56"/>
    <w:rsid w:val="005300D3"/>
    <w:rsid w:val="005312CE"/>
    <w:rsid w:val="00531933"/>
    <w:rsid w:val="00531A71"/>
    <w:rsid w:val="0053398D"/>
    <w:rsid w:val="005358C7"/>
    <w:rsid w:val="00541294"/>
    <w:rsid w:val="00541377"/>
    <w:rsid w:val="00544F7E"/>
    <w:rsid w:val="00544F82"/>
    <w:rsid w:val="0054503A"/>
    <w:rsid w:val="00550551"/>
    <w:rsid w:val="00553302"/>
    <w:rsid w:val="005538A1"/>
    <w:rsid w:val="005547C4"/>
    <w:rsid w:val="00554820"/>
    <w:rsid w:val="0055598B"/>
    <w:rsid w:val="00555E6A"/>
    <w:rsid w:val="005577F8"/>
    <w:rsid w:val="00560473"/>
    <w:rsid w:val="00560C6A"/>
    <w:rsid w:val="0056102D"/>
    <w:rsid w:val="005614BA"/>
    <w:rsid w:val="005626CC"/>
    <w:rsid w:val="00564381"/>
    <w:rsid w:val="00565AA5"/>
    <w:rsid w:val="00565FCB"/>
    <w:rsid w:val="00567681"/>
    <w:rsid w:val="00567F63"/>
    <w:rsid w:val="00571110"/>
    <w:rsid w:val="00571E48"/>
    <w:rsid w:val="00574351"/>
    <w:rsid w:val="00574807"/>
    <w:rsid w:val="005762A0"/>
    <w:rsid w:val="005770CC"/>
    <w:rsid w:val="005778A0"/>
    <w:rsid w:val="00577D0A"/>
    <w:rsid w:val="00581D19"/>
    <w:rsid w:val="00584B15"/>
    <w:rsid w:val="005852FE"/>
    <w:rsid w:val="00585A6C"/>
    <w:rsid w:val="00587F3B"/>
    <w:rsid w:val="00593491"/>
    <w:rsid w:val="005935BE"/>
    <w:rsid w:val="00593C4F"/>
    <w:rsid w:val="005946A8"/>
    <w:rsid w:val="00596E82"/>
    <w:rsid w:val="00597496"/>
    <w:rsid w:val="005978DE"/>
    <w:rsid w:val="005A0945"/>
    <w:rsid w:val="005A0C10"/>
    <w:rsid w:val="005A1033"/>
    <w:rsid w:val="005A190A"/>
    <w:rsid w:val="005A20A3"/>
    <w:rsid w:val="005A28E2"/>
    <w:rsid w:val="005A2957"/>
    <w:rsid w:val="005A4407"/>
    <w:rsid w:val="005A570A"/>
    <w:rsid w:val="005A59EF"/>
    <w:rsid w:val="005A5A59"/>
    <w:rsid w:val="005A644C"/>
    <w:rsid w:val="005A64C5"/>
    <w:rsid w:val="005B11E5"/>
    <w:rsid w:val="005B133C"/>
    <w:rsid w:val="005B3D3C"/>
    <w:rsid w:val="005B48D6"/>
    <w:rsid w:val="005B53C9"/>
    <w:rsid w:val="005B583D"/>
    <w:rsid w:val="005B6BFB"/>
    <w:rsid w:val="005C00F1"/>
    <w:rsid w:val="005C1E1A"/>
    <w:rsid w:val="005C2376"/>
    <w:rsid w:val="005C246F"/>
    <w:rsid w:val="005C2F90"/>
    <w:rsid w:val="005C3234"/>
    <w:rsid w:val="005C3A2B"/>
    <w:rsid w:val="005C3DBC"/>
    <w:rsid w:val="005C4CC1"/>
    <w:rsid w:val="005C540D"/>
    <w:rsid w:val="005C771F"/>
    <w:rsid w:val="005D0BDE"/>
    <w:rsid w:val="005D303D"/>
    <w:rsid w:val="005D30D6"/>
    <w:rsid w:val="005D3B49"/>
    <w:rsid w:val="005D4D4C"/>
    <w:rsid w:val="005D670B"/>
    <w:rsid w:val="005D6B8C"/>
    <w:rsid w:val="005D7408"/>
    <w:rsid w:val="005D7BA7"/>
    <w:rsid w:val="005E183F"/>
    <w:rsid w:val="005E1ADA"/>
    <w:rsid w:val="005E26B8"/>
    <w:rsid w:val="005E421A"/>
    <w:rsid w:val="005E4C39"/>
    <w:rsid w:val="005E4D6D"/>
    <w:rsid w:val="005E5177"/>
    <w:rsid w:val="005E56C7"/>
    <w:rsid w:val="005F161A"/>
    <w:rsid w:val="005F6634"/>
    <w:rsid w:val="005F6C9C"/>
    <w:rsid w:val="005F728D"/>
    <w:rsid w:val="006003F6"/>
    <w:rsid w:val="0060256E"/>
    <w:rsid w:val="0060306A"/>
    <w:rsid w:val="006040B1"/>
    <w:rsid w:val="006043CB"/>
    <w:rsid w:val="00606B2E"/>
    <w:rsid w:val="00611621"/>
    <w:rsid w:val="0061213A"/>
    <w:rsid w:val="00612963"/>
    <w:rsid w:val="006136C0"/>
    <w:rsid w:val="00613AD5"/>
    <w:rsid w:val="00613BF7"/>
    <w:rsid w:val="0061567E"/>
    <w:rsid w:val="00616124"/>
    <w:rsid w:val="00616E25"/>
    <w:rsid w:val="00617C62"/>
    <w:rsid w:val="00620051"/>
    <w:rsid w:val="0062033E"/>
    <w:rsid w:val="0062244D"/>
    <w:rsid w:val="0062261A"/>
    <w:rsid w:val="00622B09"/>
    <w:rsid w:val="00624F14"/>
    <w:rsid w:val="006254BE"/>
    <w:rsid w:val="0062598A"/>
    <w:rsid w:val="00625B26"/>
    <w:rsid w:val="00625DC6"/>
    <w:rsid w:val="00626069"/>
    <w:rsid w:val="0062659A"/>
    <w:rsid w:val="0062739B"/>
    <w:rsid w:val="006277CD"/>
    <w:rsid w:val="00627AF1"/>
    <w:rsid w:val="00627F8D"/>
    <w:rsid w:val="006302C6"/>
    <w:rsid w:val="0063158D"/>
    <w:rsid w:val="006320D8"/>
    <w:rsid w:val="00634CDE"/>
    <w:rsid w:val="00635BBB"/>
    <w:rsid w:val="00635FA7"/>
    <w:rsid w:val="00637D5B"/>
    <w:rsid w:val="0064063A"/>
    <w:rsid w:val="00641601"/>
    <w:rsid w:val="00643C18"/>
    <w:rsid w:val="00645821"/>
    <w:rsid w:val="00646A6D"/>
    <w:rsid w:val="00650733"/>
    <w:rsid w:val="00651821"/>
    <w:rsid w:val="0065215F"/>
    <w:rsid w:val="00654384"/>
    <w:rsid w:val="006558A3"/>
    <w:rsid w:val="00655F61"/>
    <w:rsid w:val="00656302"/>
    <w:rsid w:val="00656577"/>
    <w:rsid w:val="006565FF"/>
    <w:rsid w:val="00657B78"/>
    <w:rsid w:val="00657FDE"/>
    <w:rsid w:val="0066093E"/>
    <w:rsid w:val="00660D34"/>
    <w:rsid w:val="00661367"/>
    <w:rsid w:val="006646C1"/>
    <w:rsid w:val="00665F95"/>
    <w:rsid w:val="00666372"/>
    <w:rsid w:val="006675CD"/>
    <w:rsid w:val="0067393B"/>
    <w:rsid w:val="00673E4F"/>
    <w:rsid w:val="00675EDA"/>
    <w:rsid w:val="00676BE1"/>
    <w:rsid w:val="00682352"/>
    <w:rsid w:val="00683639"/>
    <w:rsid w:val="00684123"/>
    <w:rsid w:val="00684D9B"/>
    <w:rsid w:val="00685864"/>
    <w:rsid w:val="00685997"/>
    <w:rsid w:val="00685E32"/>
    <w:rsid w:val="00687B8D"/>
    <w:rsid w:val="00690386"/>
    <w:rsid w:val="006904F3"/>
    <w:rsid w:val="006915AA"/>
    <w:rsid w:val="00691666"/>
    <w:rsid w:val="00691C02"/>
    <w:rsid w:val="00692986"/>
    <w:rsid w:val="006930FC"/>
    <w:rsid w:val="00694EBF"/>
    <w:rsid w:val="00697556"/>
    <w:rsid w:val="006A04A0"/>
    <w:rsid w:val="006A1D70"/>
    <w:rsid w:val="006A2FFF"/>
    <w:rsid w:val="006A3160"/>
    <w:rsid w:val="006A3285"/>
    <w:rsid w:val="006A4223"/>
    <w:rsid w:val="006A68BF"/>
    <w:rsid w:val="006A6D70"/>
    <w:rsid w:val="006B0FE2"/>
    <w:rsid w:val="006B4638"/>
    <w:rsid w:val="006B4BC5"/>
    <w:rsid w:val="006B4C2B"/>
    <w:rsid w:val="006B6D47"/>
    <w:rsid w:val="006B7728"/>
    <w:rsid w:val="006C006C"/>
    <w:rsid w:val="006C046E"/>
    <w:rsid w:val="006C374F"/>
    <w:rsid w:val="006C46F3"/>
    <w:rsid w:val="006C477E"/>
    <w:rsid w:val="006C5F03"/>
    <w:rsid w:val="006C6560"/>
    <w:rsid w:val="006D1099"/>
    <w:rsid w:val="006D19D8"/>
    <w:rsid w:val="006D3052"/>
    <w:rsid w:val="006D5261"/>
    <w:rsid w:val="006D7162"/>
    <w:rsid w:val="006E1613"/>
    <w:rsid w:val="006E2889"/>
    <w:rsid w:val="006E2C9C"/>
    <w:rsid w:val="006E2D30"/>
    <w:rsid w:val="006E525C"/>
    <w:rsid w:val="006E56AD"/>
    <w:rsid w:val="006E69E7"/>
    <w:rsid w:val="006E7A1B"/>
    <w:rsid w:val="006F165A"/>
    <w:rsid w:val="006F1A13"/>
    <w:rsid w:val="006F20CB"/>
    <w:rsid w:val="006F2D7A"/>
    <w:rsid w:val="006F301B"/>
    <w:rsid w:val="006F46B4"/>
    <w:rsid w:val="006F57DA"/>
    <w:rsid w:val="006F6C20"/>
    <w:rsid w:val="006F6D52"/>
    <w:rsid w:val="006F6D95"/>
    <w:rsid w:val="006F6DDA"/>
    <w:rsid w:val="006F780C"/>
    <w:rsid w:val="006F7BB7"/>
    <w:rsid w:val="007008C5"/>
    <w:rsid w:val="00701D3E"/>
    <w:rsid w:val="00701F00"/>
    <w:rsid w:val="007027FD"/>
    <w:rsid w:val="0070382A"/>
    <w:rsid w:val="00706019"/>
    <w:rsid w:val="00706F13"/>
    <w:rsid w:val="007072E8"/>
    <w:rsid w:val="00710D8D"/>
    <w:rsid w:val="00712CE2"/>
    <w:rsid w:val="00713159"/>
    <w:rsid w:val="0071618D"/>
    <w:rsid w:val="00716318"/>
    <w:rsid w:val="00716636"/>
    <w:rsid w:val="00716C00"/>
    <w:rsid w:val="00717662"/>
    <w:rsid w:val="007207B3"/>
    <w:rsid w:val="0072161E"/>
    <w:rsid w:val="00721F49"/>
    <w:rsid w:val="00722B80"/>
    <w:rsid w:val="00723682"/>
    <w:rsid w:val="00723D94"/>
    <w:rsid w:val="0072484F"/>
    <w:rsid w:val="007259A8"/>
    <w:rsid w:val="00725FA4"/>
    <w:rsid w:val="00731E3B"/>
    <w:rsid w:val="00733004"/>
    <w:rsid w:val="00733123"/>
    <w:rsid w:val="007333A2"/>
    <w:rsid w:val="00734934"/>
    <w:rsid w:val="007360E9"/>
    <w:rsid w:val="0073682C"/>
    <w:rsid w:val="0073762C"/>
    <w:rsid w:val="00740446"/>
    <w:rsid w:val="0074136D"/>
    <w:rsid w:val="0074179C"/>
    <w:rsid w:val="0074187C"/>
    <w:rsid w:val="00741F1D"/>
    <w:rsid w:val="00742AA2"/>
    <w:rsid w:val="00743101"/>
    <w:rsid w:val="00743521"/>
    <w:rsid w:val="007438A9"/>
    <w:rsid w:val="007443E1"/>
    <w:rsid w:val="0074491E"/>
    <w:rsid w:val="00745172"/>
    <w:rsid w:val="0074674F"/>
    <w:rsid w:val="0074724C"/>
    <w:rsid w:val="007475D8"/>
    <w:rsid w:val="0075077A"/>
    <w:rsid w:val="00753BD4"/>
    <w:rsid w:val="00753DD5"/>
    <w:rsid w:val="007555BE"/>
    <w:rsid w:val="00755951"/>
    <w:rsid w:val="00755985"/>
    <w:rsid w:val="00756D90"/>
    <w:rsid w:val="007571D6"/>
    <w:rsid w:val="00761613"/>
    <w:rsid w:val="00761917"/>
    <w:rsid w:val="007639F5"/>
    <w:rsid w:val="00764A67"/>
    <w:rsid w:val="00765848"/>
    <w:rsid w:val="00765F3F"/>
    <w:rsid w:val="00766357"/>
    <w:rsid w:val="00766574"/>
    <w:rsid w:val="00766D8B"/>
    <w:rsid w:val="00771E3A"/>
    <w:rsid w:val="007725C4"/>
    <w:rsid w:val="00772CBE"/>
    <w:rsid w:val="00773A34"/>
    <w:rsid w:val="00774B7D"/>
    <w:rsid w:val="007754E4"/>
    <w:rsid w:val="00775964"/>
    <w:rsid w:val="007761A3"/>
    <w:rsid w:val="00776FC2"/>
    <w:rsid w:val="007802F9"/>
    <w:rsid w:val="00780714"/>
    <w:rsid w:val="00781069"/>
    <w:rsid w:val="007816F5"/>
    <w:rsid w:val="007822A8"/>
    <w:rsid w:val="00782898"/>
    <w:rsid w:val="00783648"/>
    <w:rsid w:val="0078476C"/>
    <w:rsid w:val="00784A51"/>
    <w:rsid w:val="00784A67"/>
    <w:rsid w:val="007856F8"/>
    <w:rsid w:val="0078613E"/>
    <w:rsid w:val="00790F71"/>
    <w:rsid w:val="00790FB5"/>
    <w:rsid w:val="00792285"/>
    <w:rsid w:val="00792C18"/>
    <w:rsid w:val="0079348D"/>
    <w:rsid w:val="007934FE"/>
    <w:rsid w:val="00793E16"/>
    <w:rsid w:val="00795BFB"/>
    <w:rsid w:val="007A15B9"/>
    <w:rsid w:val="007A1990"/>
    <w:rsid w:val="007A3DD6"/>
    <w:rsid w:val="007A7701"/>
    <w:rsid w:val="007A7AB0"/>
    <w:rsid w:val="007B2760"/>
    <w:rsid w:val="007B2904"/>
    <w:rsid w:val="007B2A3F"/>
    <w:rsid w:val="007B5B7C"/>
    <w:rsid w:val="007B6009"/>
    <w:rsid w:val="007C0224"/>
    <w:rsid w:val="007C0F5F"/>
    <w:rsid w:val="007C38DD"/>
    <w:rsid w:val="007C6851"/>
    <w:rsid w:val="007C6AD7"/>
    <w:rsid w:val="007C6E1E"/>
    <w:rsid w:val="007C7354"/>
    <w:rsid w:val="007D09BA"/>
    <w:rsid w:val="007D1BEB"/>
    <w:rsid w:val="007D251F"/>
    <w:rsid w:val="007D4DA8"/>
    <w:rsid w:val="007D4F8F"/>
    <w:rsid w:val="007E055E"/>
    <w:rsid w:val="007E0F5B"/>
    <w:rsid w:val="007E10B5"/>
    <w:rsid w:val="007E15D5"/>
    <w:rsid w:val="007E379C"/>
    <w:rsid w:val="007E4682"/>
    <w:rsid w:val="007E5639"/>
    <w:rsid w:val="007E618E"/>
    <w:rsid w:val="007E6DA4"/>
    <w:rsid w:val="007E6E52"/>
    <w:rsid w:val="007E7BC1"/>
    <w:rsid w:val="007F1B0B"/>
    <w:rsid w:val="007F1ECD"/>
    <w:rsid w:val="007F3E48"/>
    <w:rsid w:val="007F4339"/>
    <w:rsid w:val="008023DE"/>
    <w:rsid w:val="008028CC"/>
    <w:rsid w:val="008033F7"/>
    <w:rsid w:val="00803A58"/>
    <w:rsid w:val="00804079"/>
    <w:rsid w:val="008045EB"/>
    <w:rsid w:val="00804865"/>
    <w:rsid w:val="00805D8F"/>
    <w:rsid w:val="0080627F"/>
    <w:rsid w:val="00806970"/>
    <w:rsid w:val="00806C01"/>
    <w:rsid w:val="008100EF"/>
    <w:rsid w:val="0081067F"/>
    <w:rsid w:val="008121D0"/>
    <w:rsid w:val="0081249A"/>
    <w:rsid w:val="0081358D"/>
    <w:rsid w:val="00813870"/>
    <w:rsid w:val="008148CC"/>
    <w:rsid w:val="00816A47"/>
    <w:rsid w:val="00817264"/>
    <w:rsid w:val="0081760B"/>
    <w:rsid w:val="008207F3"/>
    <w:rsid w:val="00820BFE"/>
    <w:rsid w:val="0082109B"/>
    <w:rsid w:val="008211A4"/>
    <w:rsid w:val="00824573"/>
    <w:rsid w:val="008252CE"/>
    <w:rsid w:val="00825D15"/>
    <w:rsid w:val="00826F07"/>
    <w:rsid w:val="008312A3"/>
    <w:rsid w:val="00831333"/>
    <w:rsid w:val="008321E9"/>
    <w:rsid w:val="00833376"/>
    <w:rsid w:val="00834EDE"/>
    <w:rsid w:val="00836BC1"/>
    <w:rsid w:val="008403FA"/>
    <w:rsid w:val="00841170"/>
    <w:rsid w:val="008415DB"/>
    <w:rsid w:val="00841B77"/>
    <w:rsid w:val="00843590"/>
    <w:rsid w:val="008466E3"/>
    <w:rsid w:val="00850308"/>
    <w:rsid w:val="00850560"/>
    <w:rsid w:val="008523B5"/>
    <w:rsid w:val="0085555F"/>
    <w:rsid w:val="00855706"/>
    <w:rsid w:val="008558C6"/>
    <w:rsid w:val="00855F38"/>
    <w:rsid w:val="00856651"/>
    <w:rsid w:val="00856E33"/>
    <w:rsid w:val="00856EBF"/>
    <w:rsid w:val="00857285"/>
    <w:rsid w:val="00857696"/>
    <w:rsid w:val="00857F2C"/>
    <w:rsid w:val="00860395"/>
    <w:rsid w:val="00860922"/>
    <w:rsid w:val="008631C1"/>
    <w:rsid w:val="00863487"/>
    <w:rsid w:val="00863769"/>
    <w:rsid w:val="00864B3B"/>
    <w:rsid w:val="00865F6E"/>
    <w:rsid w:val="00866E2B"/>
    <w:rsid w:val="0086706E"/>
    <w:rsid w:val="00867C51"/>
    <w:rsid w:val="008714DA"/>
    <w:rsid w:val="00872054"/>
    <w:rsid w:val="008725C7"/>
    <w:rsid w:val="00873150"/>
    <w:rsid w:val="00875903"/>
    <w:rsid w:val="00875908"/>
    <w:rsid w:val="0087657D"/>
    <w:rsid w:val="008807D5"/>
    <w:rsid w:val="00880832"/>
    <w:rsid w:val="00881232"/>
    <w:rsid w:val="00881A32"/>
    <w:rsid w:val="00882284"/>
    <w:rsid w:val="008828C6"/>
    <w:rsid w:val="0088377B"/>
    <w:rsid w:val="008837D1"/>
    <w:rsid w:val="00883E11"/>
    <w:rsid w:val="0088528A"/>
    <w:rsid w:val="008852D1"/>
    <w:rsid w:val="00885F4B"/>
    <w:rsid w:val="00886EE1"/>
    <w:rsid w:val="0088727D"/>
    <w:rsid w:val="0088787C"/>
    <w:rsid w:val="00891402"/>
    <w:rsid w:val="00892245"/>
    <w:rsid w:val="0089252C"/>
    <w:rsid w:val="008938D1"/>
    <w:rsid w:val="00893C8A"/>
    <w:rsid w:val="008959EE"/>
    <w:rsid w:val="00897C75"/>
    <w:rsid w:val="008A163B"/>
    <w:rsid w:val="008A370F"/>
    <w:rsid w:val="008A3EEA"/>
    <w:rsid w:val="008A4BF1"/>
    <w:rsid w:val="008A5557"/>
    <w:rsid w:val="008A5756"/>
    <w:rsid w:val="008A6531"/>
    <w:rsid w:val="008B08FA"/>
    <w:rsid w:val="008B0A84"/>
    <w:rsid w:val="008B0E54"/>
    <w:rsid w:val="008B1959"/>
    <w:rsid w:val="008B405B"/>
    <w:rsid w:val="008C04BC"/>
    <w:rsid w:val="008C059F"/>
    <w:rsid w:val="008C1130"/>
    <w:rsid w:val="008C1B2C"/>
    <w:rsid w:val="008C1C2A"/>
    <w:rsid w:val="008C2424"/>
    <w:rsid w:val="008C3AF2"/>
    <w:rsid w:val="008C4638"/>
    <w:rsid w:val="008C463D"/>
    <w:rsid w:val="008C6473"/>
    <w:rsid w:val="008C6ED5"/>
    <w:rsid w:val="008C7DC1"/>
    <w:rsid w:val="008D03D2"/>
    <w:rsid w:val="008D1723"/>
    <w:rsid w:val="008D18E6"/>
    <w:rsid w:val="008D2B16"/>
    <w:rsid w:val="008D2CF9"/>
    <w:rsid w:val="008D4C8D"/>
    <w:rsid w:val="008D4FF6"/>
    <w:rsid w:val="008D5441"/>
    <w:rsid w:val="008D75EC"/>
    <w:rsid w:val="008D7A9B"/>
    <w:rsid w:val="008E065F"/>
    <w:rsid w:val="008E193C"/>
    <w:rsid w:val="008E1DBA"/>
    <w:rsid w:val="008E25E3"/>
    <w:rsid w:val="008E26E4"/>
    <w:rsid w:val="008E44B3"/>
    <w:rsid w:val="008E5A74"/>
    <w:rsid w:val="008E5D2B"/>
    <w:rsid w:val="008E7051"/>
    <w:rsid w:val="008E7397"/>
    <w:rsid w:val="008E76AC"/>
    <w:rsid w:val="008E7B86"/>
    <w:rsid w:val="008F21F6"/>
    <w:rsid w:val="008F2748"/>
    <w:rsid w:val="008F2ADF"/>
    <w:rsid w:val="0090023E"/>
    <w:rsid w:val="00900465"/>
    <w:rsid w:val="00900FF5"/>
    <w:rsid w:val="00902483"/>
    <w:rsid w:val="009027D4"/>
    <w:rsid w:val="00903144"/>
    <w:rsid w:val="00905349"/>
    <w:rsid w:val="009078A0"/>
    <w:rsid w:val="00910A83"/>
    <w:rsid w:val="009112C5"/>
    <w:rsid w:val="00911FBC"/>
    <w:rsid w:val="0091238A"/>
    <w:rsid w:val="00912558"/>
    <w:rsid w:val="009143D2"/>
    <w:rsid w:val="00916301"/>
    <w:rsid w:val="0092042C"/>
    <w:rsid w:val="00923512"/>
    <w:rsid w:val="00924B89"/>
    <w:rsid w:val="00925E3E"/>
    <w:rsid w:val="00926FB2"/>
    <w:rsid w:val="00927D21"/>
    <w:rsid w:val="00927F59"/>
    <w:rsid w:val="00930AEF"/>
    <w:rsid w:val="00933387"/>
    <w:rsid w:val="00934DE6"/>
    <w:rsid w:val="00934E08"/>
    <w:rsid w:val="00937B09"/>
    <w:rsid w:val="009426B0"/>
    <w:rsid w:val="009437C4"/>
    <w:rsid w:val="00943CD3"/>
    <w:rsid w:val="00944345"/>
    <w:rsid w:val="0094455A"/>
    <w:rsid w:val="00944C17"/>
    <w:rsid w:val="0094578D"/>
    <w:rsid w:val="00946500"/>
    <w:rsid w:val="00946E6A"/>
    <w:rsid w:val="0095031D"/>
    <w:rsid w:val="009505AB"/>
    <w:rsid w:val="00951D46"/>
    <w:rsid w:val="00951F79"/>
    <w:rsid w:val="00953338"/>
    <w:rsid w:val="00953B40"/>
    <w:rsid w:val="00953B7B"/>
    <w:rsid w:val="00953FC4"/>
    <w:rsid w:val="00955834"/>
    <w:rsid w:val="00957549"/>
    <w:rsid w:val="00957FEE"/>
    <w:rsid w:val="00960BAC"/>
    <w:rsid w:val="00961F63"/>
    <w:rsid w:val="0096378D"/>
    <w:rsid w:val="00966592"/>
    <w:rsid w:val="009671E8"/>
    <w:rsid w:val="00967F2C"/>
    <w:rsid w:val="00970178"/>
    <w:rsid w:val="00970A3D"/>
    <w:rsid w:val="009717BE"/>
    <w:rsid w:val="00972593"/>
    <w:rsid w:val="00974AB5"/>
    <w:rsid w:val="00975031"/>
    <w:rsid w:val="00975B13"/>
    <w:rsid w:val="009773CC"/>
    <w:rsid w:val="00977F9E"/>
    <w:rsid w:val="0098280B"/>
    <w:rsid w:val="0098399A"/>
    <w:rsid w:val="00985882"/>
    <w:rsid w:val="00985B14"/>
    <w:rsid w:val="0098706D"/>
    <w:rsid w:val="00987746"/>
    <w:rsid w:val="00991A4D"/>
    <w:rsid w:val="009935FB"/>
    <w:rsid w:val="00993F69"/>
    <w:rsid w:val="009940BA"/>
    <w:rsid w:val="0099550B"/>
    <w:rsid w:val="00995E12"/>
    <w:rsid w:val="009A1770"/>
    <w:rsid w:val="009A17A1"/>
    <w:rsid w:val="009A1A06"/>
    <w:rsid w:val="009A505E"/>
    <w:rsid w:val="009A5B36"/>
    <w:rsid w:val="009A6EF7"/>
    <w:rsid w:val="009A7078"/>
    <w:rsid w:val="009B0441"/>
    <w:rsid w:val="009B0B2D"/>
    <w:rsid w:val="009B2690"/>
    <w:rsid w:val="009B4313"/>
    <w:rsid w:val="009B6298"/>
    <w:rsid w:val="009C0B48"/>
    <w:rsid w:val="009C1389"/>
    <w:rsid w:val="009C17BE"/>
    <w:rsid w:val="009C1D3C"/>
    <w:rsid w:val="009C6D91"/>
    <w:rsid w:val="009C73C7"/>
    <w:rsid w:val="009C7DC7"/>
    <w:rsid w:val="009D1319"/>
    <w:rsid w:val="009D1499"/>
    <w:rsid w:val="009D1DA5"/>
    <w:rsid w:val="009D293A"/>
    <w:rsid w:val="009D513F"/>
    <w:rsid w:val="009E01BA"/>
    <w:rsid w:val="009E0C95"/>
    <w:rsid w:val="009E0CE7"/>
    <w:rsid w:val="009E47D7"/>
    <w:rsid w:val="009E4980"/>
    <w:rsid w:val="009E50EF"/>
    <w:rsid w:val="009E5783"/>
    <w:rsid w:val="009E5C5D"/>
    <w:rsid w:val="009E65E5"/>
    <w:rsid w:val="009F0152"/>
    <w:rsid w:val="009F2E0E"/>
    <w:rsid w:val="009F368A"/>
    <w:rsid w:val="009F3F00"/>
    <w:rsid w:val="009F3F61"/>
    <w:rsid w:val="009F4366"/>
    <w:rsid w:val="009F4883"/>
    <w:rsid w:val="009F4A54"/>
    <w:rsid w:val="009F4BEC"/>
    <w:rsid w:val="009F619C"/>
    <w:rsid w:val="00A03BCE"/>
    <w:rsid w:val="00A05C11"/>
    <w:rsid w:val="00A05D1A"/>
    <w:rsid w:val="00A06707"/>
    <w:rsid w:val="00A106E9"/>
    <w:rsid w:val="00A12BAF"/>
    <w:rsid w:val="00A14838"/>
    <w:rsid w:val="00A14FCB"/>
    <w:rsid w:val="00A1645A"/>
    <w:rsid w:val="00A17EBE"/>
    <w:rsid w:val="00A2114F"/>
    <w:rsid w:val="00A22C62"/>
    <w:rsid w:val="00A25B4A"/>
    <w:rsid w:val="00A25FD7"/>
    <w:rsid w:val="00A31DE2"/>
    <w:rsid w:val="00A32E1F"/>
    <w:rsid w:val="00A33003"/>
    <w:rsid w:val="00A33318"/>
    <w:rsid w:val="00A335C1"/>
    <w:rsid w:val="00A33D86"/>
    <w:rsid w:val="00A341A6"/>
    <w:rsid w:val="00A3665A"/>
    <w:rsid w:val="00A36CF1"/>
    <w:rsid w:val="00A374F7"/>
    <w:rsid w:val="00A41308"/>
    <w:rsid w:val="00A43AFF"/>
    <w:rsid w:val="00A447B2"/>
    <w:rsid w:val="00A45326"/>
    <w:rsid w:val="00A456ED"/>
    <w:rsid w:val="00A47D61"/>
    <w:rsid w:val="00A51E8A"/>
    <w:rsid w:val="00A543E2"/>
    <w:rsid w:val="00A55A2F"/>
    <w:rsid w:val="00A55B34"/>
    <w:rsid w:val="00A611A6"/>
    <w:rsid w:val="00A61723"/>
    <w:rsid w:val="00A61AD2"/>
    <w:rsid w:val="00A61C5D"/>
    <w:rsid w:val="00A62C66"/>
    <w:rsid w:val="00A65851"/>
    <w:rsid w:val="00A6641F"/>
    <w:rsid w:val="00A66F16"/>
    <w:rsid w:val="00A67F33"/>
    <w:rsid w:val="00A70C68"/>
    <w:rsid w:val="00A71AFD"/>
    <w:rsid w:val="00A71B19"/>
    <w:rsid w:val="00A721B7"/>
    <w:rsid w:val="00A7260A"/>
    <w:rsid w:val="00A747F7"/>
    <w:rsid w:val="00A771CD"/>
    <w:rsid w:val="00A7746B"/>
    <w:rsid w:val="00A7793A"/>
    <w:rsid w:val="00A8662C"/>
    <w:rsid w:val="00A86C52"/>
    <w:rsid w:val="00A86D0F"/>
    <w:rsid w:val="00A8761D"/>
    <w:rsid w:val="00A90F3F"/>
    <w:rsid w:val="00A91655"/>
    <w:rsid w:val="00A92565"/>
    <w:rsid w:val="00A92ED3"/>
    <w:rsid w:val="00A93239"/>
    <w:rsid w:val="00A9458F"/>
    <w:rsid w:val="00A94687"/>
    <w:rsid w:val="00A94D84"/>
    <w:rsid w:val="00A975D0"/>
    <w:rsid w:val="00AA05F3"/>
    <w:rsid w:val="00AA109F"/>
    <w:rsid w:val="00AA1B99"/>
    <w:rsid w:val="00AA4C02"/>
    <w:rsid w:val="00AA4DC6"/>
    <w:rsid w:val="00AA5CCF"/>
    <w:rsid w:val="00AA5CF8"/>
    <w:rsid w:val="00AA664C"/>
    <w:rsid w:val="00AA70EF"/>
    <w:rsid w:val="00AA7609"/>
    <w:rsid w:val="00AA763B"/>
    <w:rsid w:val="00AB0CDA"/>
    <w:rsid w:val="00AB186A"/>
    <w:rsid w:val="00AB206E"/>
    <w:rsid w:val="00AB2960"/>
    <w:rsid w:val="00AB29FD"/>
    <w:rsid w:val="00AB3C5F"/>
    <w:rsid w:val="00AB3F7F"/>
    <w:rsid w:val="00AB6CA7"/>
    <w:rsid w:val="00AC135F"/>
    <w:rsid w:val="00AC1D88"/>
    <w:rsid w:val="00AC2E76"/>
    <w:rsid w:val="00AC3792"/>
    <w:rsid w:val="00AC51C0"/>
    <w:rsid w:val="00AC5743"/>
    <w:rsid w:val="00AC5FE1"/>
    <w:rsid w:val="00AC6A66"/>
    <w:rsid w:val="00AC6DD8"/>
    <w:rsid w:val="00AC6E96"/>
    <w:rsid w:val="00AD01E4"/>
    <w:rsid w:val="00AD0858"/>
    <w:rsid w:val="00AD1BB6"/>
    <w:rsid w:val="00AD1D31"/>
    <w:rsid w:val="00AD289B"/>
    <w:rsid w:val="00AD3689"/>
    <w:rsid w:val="00AD3692"/>
    <w:rsid w:val="00AE0E72"/>
    <w:rsid w:val="00AE33DC"/>
    <w:rsid w:val="00AE3404"/>
    <w:rsid w:val="00AE3DB6"/>
    <w:rsid w:val="00AE3F9A"/>
    <w:rsid w:val="00AE413E"/>
    <w:rsid w:val="00AE4CD3"/>
    <w:rsid w:val="00AE5C4A"/>
    <w:rsid w:val="00AE7340"/>
    <w:rsid w:val="00AF1B3B"/>
    <w:rsid w:val="00AF1BBD"/>
    <w:rsid w:val="00AF317A"/>
    <w:rsid w:val="00AF3C18"/>
    <w:rsid w:val="00AF44C8"/>
    <w:rsid w:val="00AF683F"/>
    <w:rsid w:val="00AF6C1F"/>
    <w:rsid w:val="00B0283B"/>
    <w:rsid w:val="00B03460"/>
    <w:rsid w:val="00B03E84"/>
    <w:rsid w:val="00B04841"/>
    <w:rsid w:val="00B04ABC"/>
    <w:rsid w:val="00B04E26"/>
    <w:rsid w:val="00B0528E"/>
    <w:rsid w:val="00B065C7"/>
    <w:rsid w:val="00B07387"/>
    <w:rsid w:val="00B077FE"/>
    <w:rsid w:val="00B07ACB"/>
    <w:rsid w:val="00B10207"/>
    <w:rsid w:val="00B10341"/>
    <w:rsid w:val="00B1071D"/>
    <w:rsid w:val="00B107EA"/>
    <w:rsid w:val="00B11C42"/>
    <w:rsid w:val="00B1230B"/>
    <w:rsid w:val="00B12A73"/>
    <w:rsid w:val="00B131D9"/>
    <w:rsid w:val="00B141E7"/>
    <w:rsid w:val="00B143A0"/>
    <w:rsid w:val="00B152E2"/>
    <w:rsid w:val="00B15F9D"/>
    <w:rsid w:val="00B1652E"/>
    <w:rsid w:val="00B173D4"/>
    <w:rsid w:val="00B2264A"/>
    <w:rsid w:val="00B23C25"/>
    <w:rsid w:val="00B23EC3"/>
    <w:rsid w:val="00B266F7"/>
    <w:rsid w:val="00B27B7F"/>
    <w:rsid w:val="00B27CD9"/>
    <w:rsid w:val="00B325AF"/>
    <w:rsid w:val="00B3329A"/>
    <w:rsid w:val="00B34CD9"/>
    <w:rsid w:val="00B34DC9"/>
    <w:rsid w:val="00B351B4"/>
    <w:rsid w:val="00B35332"/>
    <w:rsid w:val="00B35F6B"/>
    <w:rsid w:val="00B3689E"/>
    <w:rsid w:val="00B37B6F"/>
    <w:rsid w:val="00B37D2F"/>
    <w:rsid w:val="00B41027"/>
    <w:rsid w:val="00B416BA"/>
    <w:rsid w:val="00B46903"/>
    <w:rsid w:val="00B46BCA"/>
    <w:rsid w:val="00B470B1"/>
    <w:rsid w:val="00B47A1E"/>
    <w:rsid w:val="00B50311"/>
    <w:rsid w:val="00B50C3E"/>
    <w:rsid w:val="00B51EB2"/>
    <w:rsid w:val="00B53E44"/>
    <w:rsid w:val="00B544E8"/>
    <w:rsid w:val="00B5514D"/>
    <w:rsid w:val="00B568C4"/>
    <w:rsid w:val="00B57EEB"/>
    <w:rsid w:val="00B61C99"/>
    <w:rsid w:val="00B623CD"/>
    <w:rsid w:val="00B625EB"/>
    <w:rsid w:val="00B627D6"/>
    <w:rsid w:val="00B64455"/>
    <w:rsid w:val="00B64656"/>
    <w:rsid w:val="00B66E81"/>
    <w:rsid w:val="00B67C0F"/>
    <w:rsid w:val="00B67CD1"/>
    <w:rsid w:val="00B70038"/>
    <w:rsid w:val="00B71AA8"/>
    <w:rsid w:val="00B72BB1"/>
    <w:rsid w:val="00B771AA"/>
    <w:rsid w:val="00B77462"/>
    <w:rsid w:val="00B77C5C"/>
    <w:rsid w:val="00B81168"/>
    <w:rsid w:val="00B811B3"/>
    <w:rsid w:val="00B813AF"/>
    <w:rsid w:val="00B818BD"/>
    <w:rsid w:val="00B81DDF"/>
    <w:rsid w:val="00B85CF1"/>
    <w:rsid w:val="00B87806"/>
    <w:rsid w:val="00B87DD6"/>
    <w:rsid w:val="00B87EC9"/>
    <w:rsid w:val="00B92E84"/>
    <w:rsid w:val="00B9336E"/>
    <w:rsid w:val="00B93B92"/>
    <w:rsid w:val="00B94C2E"/>
    <w:rsid w:val="00BA1013"/>
    <w:rsid w:val="00BA22D1"/>
    <w:rsid w:val="00BA3384"/>
    <w:rsid w:val="00BA3628"/>
    <w:rsid w:val="00BA37EF"/>
    <w:rsid w:val="00BA4BDC"/>
    <w:rsid w:val="00BA6F2F"/>
    <w:rsid w:val="00BA7D6F"/>
    <w:rsid w:val="00BB03F0"/>
    <w:rsid w:val="00BB1161"/>
    <w:rsid w:val="00BB27B3"/>
    <w:rsid w:val="00BB4AB1"/>
    <w:rsid w:val="00BB53DC"/>
    <w:rsid w:val="00BB58C9"/>
    <w:rsid w:val="00BB616B"/>
    <w:rsid w:val="00BB63BB"/>
    <w:rsid w:val="00BB6D74"/>
    <w:rsid w:val="00BB7038"/>
    <w:rsid w:val="00BB74A4"/>
    <w:rsid w:val="00BB7BF0"/>
    <w:rsid w:val="00BC12ED"/>
    <w:rsid w:val="00BC2E86"/>
    <w:rsid w:val="00BC38FD"/>
    <w:rsid w:val="00BC472A"/>
    <w:rsid w:val="00BC4C62"/>
    <w:rsid w:val="00BC505C"/>
    <w:rsid w:val="00BC5DF6"/>
    <w:rsid w:val="00BD0125"/>
    <w:rsid w:val="00BD1D08"/>
    <w:rsid w:val="00BD4196"/>
    <w:rsid w:val="00BD4DBE"/>
    <w:rsid w:val="00BD78A1"/>
    <w:rsid w:val="00BD7C8D"/>
    <w:rsid w:val="00BE0881"/>
    <w:rsid w:val="00BE0B95"/>
    <w:rsid w:val="00BE232F"/>
    <w:rsid w:val="00BE4E66"/>
    <w:rsid w:val="00BE5FC6"/>
    <w:rsid w:val="00BE68FE"/>
    <w:rsid w:val="00BE76E0"/>
    <w:rsid w:val="00BF25C9"/>
    <w:rsid w:val="00BF2BB4"/>
    <w:rsid w:val="00BF56A5"/>
    <w:rsid w:val="00BF69DC"/>
    <w:rsid w:val="00BF6F22"/>
    <w:rsid w:val="00C00A30"/>
    <w:rsid w:val="00C0100B"/>
    <w:rsid w:val="00C0144A"/>
    <w:rsid w:val="00C02E0F"/>
    <w:rsid w:val="00C034CB"/>
    <w:rsid w:val="00C03570"/>
    <w:rsid w:val="00C051A8"/>
    <w:rsid w:val="00C054BC"/>
    <w:rsid w:val="00C0556A"/>
    <w:rsid w:val="00C055A3"/>
    <w:rsid w:val="00C055B9"/>
    <w:rsid w:val="00C05B97"/>
    <w:rsid w:val="00C05FCD"/>
    <w:rsid w:val="00C06EB7"/>
    <w:rsid w:val="00C10C37"/>
    <w:rsid w:val="00C12486"/>
    <w:rsid w:val="00C138C7"/>
    <w:rsid w:val="00C1452F"/>
    <w:rsid w:val="00C14D52"/>
    <w:rsid w:val="00C163C0"/>
    <w:rsid w:val="00C17897"/>
    <w:rsid w:val="00C21310"/>
    <w:rsid w:val="00C216DD"/>
    <w:rsid w:val="00C226CF"/>
    <w:rsid w:val="00C25730"/>
    <w:rsid w:val="00C26C6F"/>
    <w:rsid w:val="00C27278"/>
    <w:rsid w:val="00C36990"/>
    <w:rsid w:val="00C36B11"/>
    <w:rsid w:val="00C37254"/>
    <w:rsid w:val="00C409D5"/>
    <w:rsid w:val="00C40C58"/>
    <w:rsid w:val="00C43C68"/>
    <w:rsid w:val="00C46636"/>
    <w:rsid w:val="00C46940"/>
    <w:rsid w:val="00C47EC6"/>
    <w:rsid w:val="00C54225"/>
    <w:rsid w:val="00C559CB"/>
    <w:rsid w:val="00C572AD"/>
    <w:rsid w:val="00C60403"/>
    <w:rsid w:val="00C60C31"/>
    <w:rsid w:val="00C622D8"/>
    <w:rsid w:val="00C6234B"/>
    <w:rsid w:val="00C63EAE"/>
    <w:rsid w:val="00C70064"/>
    <w:rsid w:val="00C711F4"/>
    <w:rsid w:val="00C71BA0"/>
    <w:rsid w:val="00C7232F"/>
    <w:rsid w:val="00C730B2"/>
    <w:rsid w:val="00C74BD9"/>
    <w:rsid w:val="00C7629F"/>
    <w:rsid w:val="00C77D99"/>
    <w:rsid w:val="00C80618"/>
    <w:rsid w:val="00C83EC0"/>
    <w:rsid w:val="00C8661B"/>
    <w:rsid w:val="00C86C75"/>
    <w:rsid w:val="00C87829"/>
    <w:rsid w:val="00C90B53"/>
    <w:rsid w:val="00C92269"/>
    <w:rsid w:val="00C92562"/>
    <w:rsid w:val="00C92BD5"/>
    <w:rsid w:val="00C92DB6"/>
    <w:rsid w:val="00C93379"/>
    <w:rsid w:val="00C94CA7"/>
    <w:rsid w:val="00C9596B"/>
    <w:rsid w:val="00C95AFC"/>
    <w:rsid w:val="00C968A6"/>
    <w:rsid w:val="00C9708B"/>
    <w:rsid w:val="00C974AC"/>
    <w:rsid w:val="00CA1036"/>
    <w:rsid w:val="00CA139A"/>
    <w:rsid w:val="00CA2899"/>
    <w:rsid w:val="00CA3D8A"/>
    <w:rsid w:val="00CA43D9"/>
    <w:rsid w:val="00CA5090"/>
    <w:rsid w:val="00CA68EA"/>
    <w:rsid w:val="00CA75B9"/>
    <w:rsid w:val="00CA7621"/>
    <w:rsid w:val="00CA77FB"/>
    <w:rsid w:val="00CB1370"/>
    <w:rsid w:val="00CB2015"/>
    <w:rsid w:val="00CB2A18"/>
    <w:rsid w:val="00CB2FD6"/>
    <w:rsid w:val="00CB379B"/>
    <w:rsid w:val="00CB3863"/>
    <w:rsid w:val="00CB38FA"/>
    <w:rsid w:val="00CB3924"/>
    <w:rsid w:val="00CB47B5"/>
    <w:rsid w:val="00CB50AD"/>
    <w:rsid w:val="00CB5DD0"/>
    <w:rsid w:val="00CC17F1"/>
    <w:rsid w:val="00CC18C0"/>
    <w:rsid w:val="00CC1E82"/>
    <w:rsid w:val="00CC3FEA"/>
    <w:rsid w:val="00CC51D4"/>
    <w:rsid w:val="00CC65DA"/>
    <w:rsid w:val="00CC6781"/>
    <w:rsid w:val="00CC6D48"/>
    <w:rsid w:val="00CC6DC6"/>
    <w:rsid w:val="00CC7060"/>
    <w:rsid w:val="00CC7940"/>
    <w:rsid w:val="00CD1A8F"/>
    <w:rsid w:val="00CD3938"/>
    <w:rsid w:val="00CD3FF2"/>
    <w:rsid w:val="00CD4159"/>
    <w:rsid w:val="00CD4FD6"/>
    <w:rsid w:val="00CD52E7"/>
    <w:rsid w:val="00CD62CA"/>
    <w:rsid w:val="00CE0120"/>
    <w:rsid w:val="00CE3779"/>
    <w:rsid w:val="00CE4B8B"/>
    <w:rsid w:val="00CE742A"/>
    <w:rsid w:val="00CF0478"/>
    <w:rsid w:val="00CF0C33"/>
    <w:rsid w:val="00CF0FC7"/>
    <w:rsid w:val="00CF1A7E"/>
    <w:rsid w:val="00CF21B9"/>
    <w:rsid w:val="00CF2D79"/>
    <w:rsid w:val="00CF3796"/>
    <w:rsid w:val="00CF4544"/>
    <w:rsid w:val="00CF5946"/>
    <w:rsid w:val="00CF5EED"/>
    <w:rsid w:val="00CF6BF9"/>
    <w:rsid w:val="00CF777F"/>
    <w:rsid w:val="00D00292"/>
    <w:rsid w:val="00D01388"/>
    <w:rsid w:val="00D01408"/>
    <w:rsid w:val="00D019AB"/>
    <w:rsid w:val="00D021BF"/>
    <w:rsid w:val="00D02F3D"/>
    <w:rsid w:val="00D03800"/>
    <w:rsid w:val="00D039E1"/>
    <w:rsid w:val="00D062D8"/>
    <w:rsid w:val="00D065D3"/>
    <w:rsid w:val="00D06934"/>
    <w:rsid w:val="00D1075C"/>
    <w:rsid w:val="00D11524"/>
    <w:rsid w:val="00D11804"/>
    <w:rsid w:val="00D1406D"/>
    <w:rsid w:val="00D14C94"/>
    <w:rsid w:val="00D15240"/>
    <w:rsid w:val="00D15DB3"/>
    <w:rsid w:val="00D166A4"/>
    <w:rsid w:val="00D179E8"/>
    <w:rsid w:val="00D20714"/>
    <w:rsid w:val="00D2105E"/>
    <w:rsid w:val="00D21531"/>
    <w:rsid w:val="00D221EF"/>
    <w:rsid w:val="00D2340F"/>
    <w:rsid w:val="00D2342A"/>
    <w:rsid w:val="00D23C1D"/>
    <w:rsid w:val="00D24B45"/>
    <w:rsid w:val="00D24FE2"/>
    <w:rsid w:val="00D266BB"/>
    <w:rsid w:val="00D3023C"/>
    <w:rsid w:val="00D3105E"/>
    <w:rsid w:val="00D31832"/>
    <w:rsid w:val="00D32306"/>
    <w:rsid w:val="00D33A05"/>
    <w:rsid w:val="00D33D50"/>
    <w:rsid w:val="00D3425E"/>
    <w:rsid w:val="00D342A6"/>
    <w:rsid w:val="00D3435A"/>
    <w:rsid w:val="00D35442"/>
    <w:rsid w:val="00D37E7D"/>
    <w:rsid w:val="00D41D34"/>
    <w:rsid w:val="00D43372"/>
    <w:rsid w:val="00D44067"/>
    <w:rsid w:val="00D448B7"/>
    <w:rsid w:val="00D45AC6"/>
    <w:rsid w:val="00D464BF"/>
    <w:rsid w:val="00D4753D"/>
    <w:rsid w:val="00D47AB5"/>
    <w:rsid w:val="00D47ED9"/>
    <w:rsid w:val="00D47EDB"/>
    <w:rsid w:val="00D52B16"/>
    <w:rsid w:val="00D53E26"/>
    <w:rsid w:val="00D56DB2"/>
    <w:rsid w:val="00D57462"/>
    <w:rsid w:val="00D5792F"/>
    <w:rsid w:val="00D60F26"/>
    <w:rsid w:val="00D610A9"/>
    <w:rsid w:val="00D62B74"/>
    <w:rsid w:val="00D62F83"/>
    <w:rsid w:val="00D63E25"/>
    <w:rsid w:val="00D6636A"/>
    <w:rsid w:val="00D70617"/>
    <w:rsid w:val="00D70B5A"/>
    <w:rsid w:val="00D7122F"/>
    <w:rsid w:val="00D71D15"/>
    <w:rsid w:val="00D72AD7"/>
    <w:rsid w:val="00D72BC6"/>
    <w:rsid w:val="00D749E1"/>
    <w:rsid w:val="00D755CB"/>
    <w:rsid w:val="00D7732F"/>
    <w:rsid w:val="00D8130F"/>
    <w:rsid w:val="00D8303A"/>
    <w:rsid w:val="00D8359A"/>
    <w:rsid w:val="00D8512D"/>
    <w:rsid w:val="00D86574"/>
    <w:rsid w:val="00D8689E"/>
    <w:rsid w:val="00D8776D"/>
    <w:rsid w:val="00D87933"/>
    <w:rsid w:val="00D87A89"/>
    <w:rsid w:val="00D903F9"/>
    <w:rsid w:val="00D90910"/>
    <w:rsid w:val="00D90D19"/>
    <w:rsid w:val="00D90E74"/>
    <w:rsid w:val="00D91823"/>
    <w:rsid w:val="00D93D8A"/>
    <w:rsid w:val="00D94F76"/>
    <w:rsid w:val="00DA17D9"/>
    <w:rsid w:val="00DA25D7"/>
    <w:rsid w:val="00DA407E"/>
    <w:rsid w:val="00DA4D36"/>
    <w:rsid w:val="00DA66AC"/>
    <w:rsid w:val="00DA7E99"/>
    <w:rsid w:val="00DB116A"/>
    <w:rsid w:val="00DB1A5C"/>
    <w:rsid w:val="00DB28ED"/>
    <w:rsid w:val="00DB2B1C"/>
    <w:rsid w:val="00DB45AF"/>
    <w:rsid w:val="00DB557E"/>
    <w:rsid w:val="00DB5E93"/>
    <w:rsid w:val="00DB774F"/>
    <w:rsid w:val="00DC1AF9"/>
    <w:rsid w:val="00DC216E"/>
    <w:rsid w:val="00DC26B0"/>
    <w:rsid w:val="00DD1B0C"/>
    <w:rsid w:val="00DD2E40"/>
    <w:rsid w:val="00DD3282"/>
    <w:rsid w:val="00DD4F0E"/>
    <w:rsid w:val="00DD7EC5"/>
    <w:rsid w:val="00DE0460"/>
    <w:rsid w:val="00DE313D"/>
    <w:rsid w:val="00DE3F7C"/>
    <w:rsid w:val="00DE62E3"/>
    <w:rsid w:val="00DE641C"/>
    <w:rsid w:val="00DE7C96"/>
    <w:rsid w:val="00DF28BB"/>
    <w:rsid w:val="00DF3A3E"/>
    <w:rsid w:val="00DF40E1"/>
    <w:rsid w:val="00DF40E2"/>
    <w:rsid w:val="00DF500C"/>
    <w:rsid w:val="00DF7DE0"/>
    <w:rsid w:val="00E0030E"/>
    <w:rsid w:val="00E01327"/>
    <w:rsid w:val="00E03224"/>
    <w:rsid w:val="00E034F6"/>
    <w:rsid w:val="00E036EF"/>
    <w:rsid w:val="00E047A1"/>
    <w:rsid w:val="00E05162"/>
    <w:rsid w:val="00E05E0A"/>
    <w:rsid w:val="00E06E75"/>
    <w:rsid w:val="00E10CEF"/>
    <w:rsid w:val="00E11FD5"/>
    <w:rsid w:val="00E1266C"/>
    <w:rsid w:val="00E1291B"/>
    <w:rsid w:val="00E13092"/>
    <w:rsid w:val="00E1348E"/>
    <w:rsid w:val="00E14E26"/>
    <w:rsid w:val="00E1630C"/>
    <w:rsid w:val="00E16FA0"/>
    <w:rsid w:val="00E213CE"/>
    <w:rsid w:val="00E21A52"/>
    <w:rsid w:val="00E22553"/>
    <w:rsid w:val="00E23A05"/>
    <w:rsid w:val="00E2462A"/>
    <w:rsid w:val="00E24E29"/>
    <w:rsid w:val="00E27721"/>
    <w:rsid w:val="00E32726"/>
    <w:rsid w:val="00E334F8"/>
    <w:rsid w:val="00E34298"/>
    <w:rsid w:val="00E34875"/>
    <w:rsid w:val="00E350C5"/>
    <w:rsid w:val="00E36777"/>
    <w:rsid w:val="00E36AFA"/>
    <w:rsid w:val="00E37013"/>
    <w:rsid w:val="00E37B32"/>
    <w:rsid w:val="00E41912"/>
    <w:rsid w:val="00E42045"/>
    <w:rsid w:val="00E420E6"/>
    <w:rsid w:val="00E42FB2"/>
    <w:rsid w:val="00E473EE"/>
    <w:rsid w:val="00E47D68"/>
    <w:rsid w:val="00E500D2"/>
    <w:rsid w:val="00E51EC8"/>
    <w:rsid w:val="00E534CF"/>
    <w:rsid w:val="00E56109"/>
    <w:rsid w:val="00E564CC"/>
    <w:rsid w:val="00E5689C"/>
    <w:rsid w:val="00E569F0"/>
    <w:rsid w:val="00E60A1F"/>
    <w:rsid w:val="00E621D2"/>
    <w:rsid w:val="00E622CD"/>
    <w:rsid w:val="00E62759"/>
    <w:rsid w:val="00E632B8"/>
    <w:rsid w:val="00E635B2"/>
    <w:rsid w:val="00E638DD"/>
    <w:rsid w:val="00E63E2E"/>
    <w:rsid w:val="00E6560F"/>
    <w:rsid w:val="00E66B4C"/>
    <w:rsid w:val="00E67738"/>
    <w:rsid w:val="00E67AB5"/>
    <w:rsid w:val="00E73392"/>
    <w:rsid w:val="00E76C35"/>
    <w:rsid w:val="00E80DF8"/>
    <w:rsid w:val="00E81CB4"/>
    <w:rsid w:val="00E83388"/>
    <w:rsid w:val="00E85752"/>
    <w:rsid w:val="00E8585B"/>
    <w:rsid w:val="00E85956"/>
    <w:rsid w:val="00E8683E"/>
    <w:rsid w:val="00E86F46"/>
    <w:rsid w:val="00E902AC"/>
    <w:rsid w:val="00E908C3"/>
    <w:rsid w:val="00E90B21"/>
    <w:rsid w:val="00E90C58"/>
    <w:rsid w:val="00E92B5C"/>
    <w:rsid w:val="00E92E92"/>
    <w:rsid w:val="00E93DEC"/>
    <w:rsid w:val="00E95545"/>
    <w:rsid w:val="00E9693B"/>
    <w:rsid w:val="00E97330"/>
    <w:rsid w:val="00E978FD"/>
    <w:rsid w:val="00EA12DA"/>
    <w:rsid w:val="00EA31EC"/>
    <w:rsid w:val="00EA3F15"/>
    <w:rsid w:val="00EA4984"/>
    <w:rsid w:val="00EA4DAC"/>
    <w:rsid w:val="00EA5028"/>
    <w:rsid w:val="00EA5B11"/>
    <w:rsid w:val="00EA652A"/>
    <w:rsid w:val="00EA7847"/>
    <w:rsid w:val="00EA7EF1"/>
    <w:rsid w:val="00EB0E8B"/>
    <w:rsid w:val="00EB1546"/>
    <w:rsid w:val="00EB18FE"/>
    <w:rsid w:val="00EB1E5C"/>
    <w:rsid w:val="00EB3F8E"/>
    <w:rsid w:val="00EB5F29"/>
    <w:rsid w:val="00EB77F2"/>
    <w:rsid w:val="00EC016A"/>
    <w:rsid w:val="00EC0CEE"/>
    <w:rsid w:val="00EC23E5"/>
    <w:rsid w:val="00EC2815"/>
    <w:rsid w:val="00EC3369"/>
    <w:rsid w:val="00EC3CAE"/>
    <w:rsid w:val="00EC506E"/>
    <w:rsid w:val="00EC57E1"/>
    <w:rsid w:val="00EC7F19"/>
    <w:rsid w:val="00ED0200"/>
    <w:rsid w:val="00ED448C"/>
    <w:rsid w:val="00ED5C3C"/>
    <w:rsid w:val="00EE0B5F"/>
    <w:rsid w:val="00EE0E74"/>
    <w:rsid w:val="00EE1E89"/>
    <w:rsid w:val="00EE296F"/>
    <w:rsid w:val="00EE2E6E"/>
    <w:rsid w:val="00EF081B"/>
    <w:rsid w:val="00EF0820"/>
    <w:rsid w:val="00EF0F78"/>
    <w:rsid w:val="00EF1AA0"/>
    <w:rsid w:val="00EF3A1A"/>
    <w:rsid w:val="00EF3E7B"/>
    <w:rsid w:val="00EF6542"/>
    <w:rsid w:val="00EF6607"/>
    <w:rsid w:val="00EF70E4"/>
    <w:rsid w:val="00EF750D"/>
    <w:rsid w:val="00F009C9"/>
    <w:rsid w:val="00F03868"/>
    <w:rsid w:val="00F03968"/>
    <w:rsid w:val="00F0759E"/>
    <w:rsid w:val="00F1011E"/>
    <w:rsid w:val="00F121C5"/>
    <w:rsid w:val="00F14254"/>
    <w:rsid w:val="00F14257"/>
    <w:rsid w:val="00F151E2"/>
    <w:rsid w:val="00F160D9"/>
    <w:rsid w:val="00F164DE"/>
    <w:rsid w:val="00F166FD"/>
    <w:rsid w:val="00F16D68"/>
    <w:rsid w:val="00F17E8D"/>
    <w:rsid w:val="00F202E1"/>
    <w:rsid w:val="00F217C3"/>
    <w:rsid w:val="00F2492A"/>
    <w:rsid w:val="00F26118"/>
    <w:rsid w:val="00F27275"/>
    <w:rsid w:val="00F27942"/>
    <w:rsid w:val="00F27FEC"/>
    <w:rsid w:val="00F30E45"/>
    <w:rsid w:val="00F32393"/>
    <w:rsid w:val="00F330CF"/>
    <w:rsid w:val="00F34884"/>
    <w:rsid w:val="00F35094"/>
    <w:rsid w:val="00F356E5"/>
    <w:rsid w:val="00F3582D"/>
    <w:rsid w:val="00F44064"/>
    <w:rsid w:val="00F44627"/>
    <w:rsid w:val="00F44D1D"/>
    <w:rsid w:val="00F46AFF"/>
    <w:rsid w:val="00F46D27"/>
    <w:rsid w:val="00F47D57"/>
    <w:rsid w:val="00F525DF"/>
    <w:rsid w:val="00F53CCD"/>
    <w:rsid w:val="00F5532D"/>
    <w:rsid w:val="00F55DC3"/>
    <w:rsid w:val="00F609DB"/>
    <w:rsid w:val="00F627A0"/>
    <w:rsid w:val="00F62847"/>
    <w:rsid w:val="00F62A77"/>
    <w:rsid w:val="00F630D3"/>
    <w:rsid w:val="00F63887"/>
    <w:rsid w:val="00F645F1"/>
    <w:rsid w:val="00F6671A"/>
    <w:rsid w:val="00F7269B"/>
    <w:rsid w:val="00F732CD"/>
    <w:rsid w:val="00F7522F"/>
    <w:rsid w:val="00F7776D"/>
    <w:rsid w:val="00F77A2C"/>
    <w:rsid w:val="00F77F53"/>
    <w:rsid w:val="00F80900"/>
    <w:rsid w:val="00F8104C"/>
    <w:rsid w:val="00F821A3"/>
    <w:rsid w:val="00F828A1"/>
    <w:rsid w:val="00F82AD7"/>
    <w:rsid w:val="00F82F2A"/>
    <w:rsid w:val="00F83043"/>
    <w:rsid w:val="00F836A3"/>
    <w:rsid w:val="00F84878"/>
    <w:rsid w:val="00F8499F"/>
    <w:rsid w:val="00F84E70"/>
    <w:rsid w:val="00F85148"/>
    <w:rsid w:val="00F874D6"/>
    <w:rsid w:val="00F90815"/>
    <w:rsid w:val="00F91533"/>
    <w:rsid w:val="00F91D14"/>
    <w:rsid w:val="00F9314A"/>
    <w:rsid w:val="00F94082"/>
    <w:rsid w:val="00F956C1"/>
    <w:rsid w:val="00F97183"/>
    <w:rsid w:val="00FA1C52"/>
    <w:rsid w:val="00FA2495"/>
    <w:rsid w:val="00FA2697"/>
    <w:rsid w:val="00FA2B73"/>
    <w:rsid w:val="00FA4201"/>
    <w:rsid w:val="00FA46AB"/>
    <w:rsid w:val="00FA61E7"/>
    <w:rsid w:val="00FA7E56"/>
    <w:rsid w:val="00FB20F3"/>
    <w:rsid w:val="00FB2968"/>
    <w:rsid w:val="00FB2BC2"/>
    <w:rsid w:val="00FB2EC5"/>
    <w:rsid w:val="00FB5D17"/>
    <w:rsid w:val="00FB6510"/>
    <w:rsid w:val="00FB7670"/>
    <w:rsid w:val="00FC0AE2"/>
    <w:rsid w:val="00FC0C9A"/>
    <w:rsid w:val="00FC15B9"/>
    <w:rsid w:val="00FC30B6"/>
    <w:rsid w:val="00FC3BA3"/>
    <w:rsid w:val="00FC58B4"/>
    <w:rsid w:val="00FC58EF"/>
    <w:rsid w:val="00FC6BC5"/>
    <w:rsid w:val="00FC6E96"/>
    <w:rsid w:val="00FD0ADF"/>
    <w:rsid w:val="00FD1205"/>
    <w:rsid w:val="00FD1825"/>
    <w:rsid w:val="00FD1833"/>
    <w:rsid w:val="00FD33DF"/>
    <w:rsid w:val="00FD3992"/>
    <w:rsid w:val="00FD41B5"/>
    <w:rsid w:val="00FD4213"/>
    <w:rsid w:val="00FD58D1"/>
    <w:rsid w:val="00FD711F"/>
    <w:rsid w:val="00FE1F25"/>
    <w:rsid w:val="00FE2849"/>
    <w:rsid w:val="00FE39D7"/>
    <w:rsid w:val="00FE4A49"/>
    <w:rsid w:val="00FE59C5"/>
    <w:rsid w:val="00FE77EF"/>
    <w:rsid w:val="00FE7A3A"/>
    <w:rsid w:val="00FF02A2"/>
    <w:rsid w:val="00FF2A70"/>
    <w:rsid w:val="00FF37BE"/>
    <w:rsid w:val="00FF3EF1"/>
    <w:rsid w:val="00FF4287"/>
    <w:rsid w:val="00FF5FD3"/>
    <w:rsid w:val="00FF690A"/>
    <w:rsid w:val="00FF705C"/>
    <w:rsid w:val="00FF7A7B"/>
    <w:rsid w:val="0E2FC43C"/>
    <w:rsid w:val="38ABB571"/>
    <w:rsid w:val="46B5C2F4"/>
  </w:rsids>
  <m:mathPr>
    <m:mathFont m:val="Cambria Math"/>
    <m:brkBin m:val="before"/>
    <m:brkBinSub m:val="--"/>
    <m:smallFrac m:val="0"/>
    <m:dispDef/>
    <m:lMargin m:val="0"/>
    <m:rMargin m:val="0"/>
    <m:defJc m:val="centerGroup"/>
    <m:wrapIndent m:val="1440"/>
    <m:intLim m:val="undOvr"/>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1968FE73"/>
  <w15:docId w15:val="{BF4BE269-0ECE-4534-B082-A8010E44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07E"/>
    <w:pPr>
      <w:spacing w:before="180" w:after="180"/>
      <w:jc w:val="both"/>
    </w:pPr>
    <w:rPr>
      <w:rFonts w:ascii="Bookman Old Style" w:hAnsi="Bookman Old Style"/>
      <w:sz w:val="24"/>
      <w:szCs w:val="24"/>
    </w:rPr>
  </w:style>
  <w:style w:type="paragraph" w:styleId="Ttulo1">
    <w:name w:val="heading 1"/>
    <w:basedOn w:val="Prrafodelista"/>
    <w:next w:val="Normal"/>
    <w:link w:val="Ttulo1Car"/>
    <w:qFormat/>
    <w:rsid w:val="00FC6BC5"/>
    <w:pPr>
      <w:keepNext/>
      <w:numPr>
        <w:numId w:val="2"/>
      </w:numPr>
      <w:spacing w:before="240" w:after="240"/>
      <w:jc w:val="left"/>
      <w:outlineLvl w:val="0"/>
    </w:pPr>
    <w:rPr>
      <w:b/>
      <w:caps/>
      <w:spacing w:val="4"/>
      <w:szCs w:val="24"/>
      <w:lang w:val="es-ES"/>
    </w:rPr>
  </w:style>
  <w:style w:type="paragraph" w:styleId="Ttulo2">
    <w:name w:val="heading 2"/>
    <w:basedOn w:val="Ttulo1"/>
    <w:next w:val="Normal"/>
    <w:link w:val="Ttulo2Car"/>
    <w:autoRedefine/>
    <w:qFormat/>
    <w:rsid w:val="00221D16"/>
    <w:pPr>
      <w:numPr>
        <w:ilvl w:val="1"/>
      </w:numPr>
      <w:ind w:left="578" w:hanging="578"/>
      <w:outlineLvl w:val="1"/>
    </w:pPr>
    <w:rPr>
      <w:caps w:val="0"/>
    </w:r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6BC5"/>
    <w:rPr>
      <w:rFonts w:ascii="Bookman Old Style" w:hAnsi="Bookman Old Style"/>
      <w:b/>
      <w:caps/>
      <w:spacing w:val="4"/>
      <w:sz w:val="24"/>
      <w:szCs w:val="24"/>
    </w:rPr>
  </w:style>
  <w:style w:type="character" w:customStyle="1" w:styleId="Ttulo2Car">
    <w:name w:val="Título 2 Car"/>
    <w:basedOn w:val="Fuentedeprrafopredeter"/>
    <w:link w:val="Ttulo2"/>
    <w:rsid w:val="00221D16"/>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BF2BB4"/>
    <w:pPr>
      <w:numPr>
        <w:numId w:val="1"/>
      </w:numPr>
    </w:pPr>
    <w:rPr>
      <w:szCs w:val="20"/>
      <w:lang w:val="es-CO"/>
    </w:rPr>
  </w:style>
  <w:style w:type="character" w:customStyle="1" w:styleId="PrrafodelistaCar">
    <w:name w:val="Párrafo de lista Car"/>
    <w:basedOn w:val="Fuentedeprrafopredeter"/>
    <w:link w:val="Prrafodelista"/>
    <w:rsid w:val="00BF2BB4"/>
    <w:rPr>
      <w:rFonts w:ascii="Bookman Old Style" w:hAnsi="Bookman Old Style"/>
      <w:sz w:val="24"/>
      <w:lang w:val="es-CO"/>
    </w:rPr>
  </w:style>
  <w:style w:type="paragraph" w:styleId="TDC1">
    <w:name w:val="toc 1"/>
    <w:basedOn w:val="Normal"/>
    <w:next w:val="Normal"/>
    <w:autoRedefine/>
    <w:uiPriority w:val="39"/>
    <w:qFormat/>
    <w:rsid w:val="00CC6DC6"/>
    <w:pPr>
      <w:tabs>
        <w:tab w:val="left" w:pos="480"/>
        <w:tab w:val="right" w:leader="dot" w:pos="9214"/>
      </w:tabs>
      <w:spacing w:before="120"/>
      <w:ind w:left="1418" w:right="142" w:hanging="1418"/>
    </w:pPr>
    <w:rPr>
      <w:b/>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Descripcin">
    <w:name w:val="caption"/>
    <w:basedOn w:val="Normal"/>
    <w:next w:val="Normal"/>
    <w:link w:val="DescripcinCar"/>
    <w:qFormat/>
    <w:rsid w:val="00985882"/>
    <w:pPr>
      <w:widowControl w:val="0"/>
      <w:adjustRightInd w:val="0"/>
      <w:spacing w:before="120" w:after="120" w:line="360" w:lineRule="atLeast"/>
      <w:jc w:val="center"/>
      <w:textAlignment w:val="baseline"/>
    </w:pPr>
    <w:rPr>
      <w:szCs w:val="20"/>
    </w:rPr>
  </w:style>
  <w:style w:type="character" w:customStyle="1" w:styleId="DescripcinCar">
    <w:name w:val="Descripción Car"/>
    <w:basedOn w:val="Fuentedeprrafopredeter"/>
    <w:link w:val="Descripcin"/>
    <w:rsid w:val="00985882"/>
    <w:rPr>
      <w:rFonts w:ascii="Bookman Old Style" w:hAnsi="Bookman Old Style"/>
      <w:sz w:val="24"/>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qFormat/>
    <w:rsid w:val="00436F9F"/>
    <w:pPr>
      <w:numPr>
        <w:numId w:val="5"/>
      </w:numPr>
      <w:tabs>
        <w:tab w:val="left" w:pos="1701"/>
      </w:tabs>
      <w:spacing w:before="240" w:after="240"/>
    </w:pPr>
    <w:rPr>
      <w:b/>
      <w:snapToGrid w:val="0"/>
      <w:color w:val="000000"/>
      <w:w w:val="0"/>
      <w:lang w:val="es-ES_tradnl"/>
    </w:rPr>
  </w:style>
  <w:style w:type="character" w:customStyle="1" w:styleId="ArtculoCar">
    <w:name w:val="Artículo Car"/>
    <w:basedOn w:val="Fuentedeprrafopredeter"/>
    <w:link w:val="Artculo"/>
    <w:rsid w:val="00436F9F"/>
    <w:rPr>
      <w:rFonts w:ascii="Bookman Old Style" w:hAnsi="Bookman Old Style"/>
      <w:b/>
      <w:snapToGrid w:val="0"/>
      <w:color w:val="000000"/>
      <w:w w:val="0"/>
      <w:sz w:val="24"/>
      <w:szCs w:val="24"/>
      <w:lang w:val="es-ES_tradnl"/>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uiPriority w:val="99"/>
    <w:semiHidden/>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basedOn w:val="Fuentedeprrafopredeter"/>
    <w:rsid w:val="006E56AD"/>
    <w:rPr>
      <w:vertAlign w:val="superscript"/>
    </w:rPr>
  </w:style>
  <w:style w:type="paragraph" w:styleId="Listaconvietas">
    <w:name w:val="List Bullet"/>
    <w:basedOn w:val="Normal"/>
    <w:autoRedefine/>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B0528E"/>
    <w:pPr>
      <w:tabs>
        <w:tab w:val="left" w:pos="1418"/>
        <w:tab w:val="right" w:leader="dot" w:pos="9214"/>
      </w:tabs>
      <w:spacing w:before="160"/>
      <w:ind w:left="1418" w:hanging="709"/>
      <w:jc w:val="left"/>
    </w:pPr>
    <w:rPr>
      <w:bCs/>
      <w:noProof/>
      <w:szCs w:val="20"/>
      <w:lang w:val="es-CO"/>
    </w:rPr>
  </w:style>
  <w:style w:type="paragraph" w:styleId="TDC3">
    <w:name w:val="toc 3"/>
    <w:basedOn w:val="Normal"/>
    <w:next w:val="Normal"/>
    <w:autoRedefine/>
    <w:uiPriority w:val="39"/>
    <w:qFormat/>
    <w:rsid w:val="00CC6DC6"/>
    <w:pPr>
      <w:tabs>
        <w:tab w:val="left" w:pos="2126"/>
        <w:tab w:val="right" w:leader="dot" w:pos="9214"/>
      </w:tabs>
      <w:spacing w:before="100"/>
      <w:ind w:left="1418"/>
    </w:pPr>
    <w:rPr>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uiPriority w:val="99"/>
    <w:semiHidden/>
    <w:unhideWhenUsed/>
    <w:rsid w:val="006E56AD"/>
    <w:rPr>
      <w:sz w:val="16"/>
      <w:szCs w:val="16"/>
    </w:rPr>
  </w:style>
  <w:style w:type="paragraph" w:styleId="Textocomentario">
    <w:name w:val="annotation text"/>
    <w:basedOn w:val="Normal"/>
    <w:link w:val="TextocomentarioCar"/>
    <w:uiPriority w:val="99"/>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TDC">
    <w:name w:val="TOC Heading"/>
    <w:basedOn w:val="Ttulo1"/>
    <w:next w:val="Normal"/>
    <w:uiPriority w:val="39"/>
    <w:unhideWhenUsed/>
    <w:qFormat/>
    <w:rsid w:val="006E56AD"/>
    <w:pPr>
      <w:keepLines/>
      <w:spacing w:before="480" w:line="276" w:lineRule="auto"/>
      <w:ind w:left="0"/>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CE3779"/>
    <w:pPr>
      <w:numPr>
        <w:numId w:val="6"/>
      </w:numPr>
      <w:suppressAutoHyphens/>
      <w:spacing w:before="360" w:after="360"/>
      <w:ind w:left="0" w:firstLine="0"/>
      <w:jc w:val="center"/>
    </w:pPr>
    <w:rPr>
      <w:rFonts w:cs="Arial"/>
      <w:b/>
      <w:bCs/>
      <w:spacing w:val="-4"/>
    </w:rPr>
  </w:style>
  <w:style w:type="character" w:customStyle="1" w:styleId="AnexoCar">
    <w:name w:val="Anexo Car"/>
    <w:basedOn w:val="Fuentedeprrafopredeter"/>
    <w:link w:val="Anexo"/>
    <w:rsid w:val="00CE3779"/>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lang w:val="es-ES"/>
    </w:rPr>
  </w:style>
  <w:style w:type="paragraph" w:customStyle="1" w:styleId="Vietas">
    <w:name w:val="Viñetas"/>
    <w:basedOn w:val="Prrafodelista"/>
    <w:rsid w:val="008207F3"/>
    <w:pPr>
      <w:spacing w:before="120"/>
    </w:pPr>
    <w:rPr>
      <w:spacing w:val="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textAlignment w:val="baseline"/>
    </w:pPr>
    <w:rPr>
      <w:bC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Descripcin"/>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DescripcinCar"/>
    <w:link w:val="Tabla"/>
    <w:rsid w:val="008207F3"/>
    <w:rPr>
      <w:rFonts w:ascii="Arial" w:hAnsi="Arial"/>
      <w:b/>
      <w:bCs/>
      <w:iCs/>
      <w:sz w:val="24"/>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806970"/>
    <w:rPr>
      <w:rFonts w:ascii="Bookman Old Style" w:hAnsi="Bookman Old Style"/>
      <w:sz w:val="24"/>
      <w:szCs w:val="24"/>
    </w:rPr>
  </w:style>
  <w:style w:type="paragraph" w:styleId="Saludo">
    <w:name w:val="Salutation"/>
    <w:basedOn w:val="Normal"/>
    <w:next w:val="Normal"/>
    <w:link w:val="SaludoCar"/>
    <w:uiPriority w:val="99"/>
    <w:unhideWhenUsed/>
    <w:rsid w:val="00806970"/>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06970"/>
    <w:rPr>
      <w:rFonts w:ascii="Bookman Old Style" w:hAnsi="Bookman Old Style"/>
      <w:sz w:val="24"/>
      <w:szCs w:val="24"/>
      <w:lang w:val="es-CO"/>
    </w:rPr>
  </w:style>
  <w:style w:type="paragraph" w:customStyle="1" w:styleId="Vietaletra">
    <w:name w:val="Viñeta letra"/>
    <w:basedOn w:val="Normal"/>
    <w:next w:val="Normal"/>
    <w:rsid w:val="005D670B"/>
    <w:pPr>
      <w:numPr>
        <w:numId w:val="3"/>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5D670B"/>
    <w:pPr>
      <w:suppressLineNumbers/>
      <w:suppressAutoHyphens/>
      <w:jc w:val="center"/>
    </w:pPr>
    <w:rPr>
      <w:rFonts w:ascii="Arial" w:hAnsi="Arial"/>
      <w:b/>
      <w:bCs/>
      <w:sz w:val="22"/>
      <w:lang w:eastAsia="ar-SA"/>
    </w:rPr>
  </w:style>
  <w:style w:type="paragraph" w:customStyle="1" w:styleId="Textoindependiente21">
    <w:name w:val="Texto independiente 21"/>
    <w:basedOn w:val="Normal"/>
    <w:rsid w:val="005D670B"/>
    <w:pPr>
      <w:overflowPunct w:val="0"/>
      <w:autoSpaceDE w:val="0"/>
      <w:autoSpaceDN w:val="0"/>
      <w:adjustRightInd w:val="0"/>
      <w:ind w:right="20"/>
      <w:textAlignment w:val="baseline"/>
    </w:pPr>
    <w:rPr>
      <w:sz w:val="22"/>
      <w:szCs w:val="20"/>
      <w:lang w:val="es-ES_tradnl"/>
    </w:rPr>
  </w:style>
  <w:style w:type="paragraph" w:customStyle="1" w:styleId="xl24">
    <w:name w:val="xl24"/>
    <w:basedOn w:val="Normal"/>
    <w:rsid w:val="005D670B"/>
    <w:pPr>
      <w:pBdr>
        <w:left w:val="single" w:sz="8" w:space="0" w:color="auto"/>
        <w:right w:val="single" w:sz="8" w:space="0" w:color="auto"/>
      </w:pBdr>
      <w:spacing w:before="100" w:beforeAutospacing="1" w:after="100" w:afterAutospacing="1"/>
      <w:ind w:right="45"/>
    </w:pPr>
    <w:rPr>
      <w:rFonts w:ascii="Arial Unicode MS" w:eastAsia="Arial Unicode MS" w:hAnsi="Arial Unicode MS" w:cs="Arial Unicode MS"/>
    </w:rPr>
  </w:style>
  <w:style w:type="paragraph" w:customStyle="1" w:styleId="independiente">
    <w:name w:val="independiente"/>
    <w:basedOn w:val="Ttulo5"/>
    <w:rsid w:val="005D670B"/>
    <w:pPr>
      <w:jc w:val="both"/>
    </w:pPr>
    <w:rPr>
      <w:rFonts w:cs="Times New Roman"/>
      <w:bCs/>
      <w:snapToGrid/>
      <w:color w:val="auto"/>
      <w:spacing w:val="0"/>
      <w:sz w:val="24"/>
      <w:szCs w:val="24"/>
    </w:rPr>
  </w:style>
  <w:style w:type="paragraph" w:customStyle="1" w:styleId="BalloonText1">
    <w:name w:val="Balloon Text1"/>
    <w:basedOn w:val="Normal"/>
    <w:semiHidden/>
    <w:rsid w:val="005D670B"/>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67898">
      <w:bodyDiv w:val="1"/>
      <w:marLeft w:val="0"/>
      <w:marRight w:val="0"/>
      <w:marTop w:val="0"/>
      <w:marBottom w:val="0"/>
      <w:divBdr>
        <w:top w:val="none" w:sz="0" w:space="0" w:color="auto"/>
        <w:left w:val="none" w:sz="0" w:space="0" w:color="auto"/>
        <w:bottom w:val="none" w:sz="0" w:space="0" w:color="auto"/>
        <w:right w:val="none" w:sz="0" w:space="0" w:color="auto"/>
      </w:divBdr>
    </w:div>
    <w:div w:id="845247023">
      <w:bodyDiv w:val="1"/>
      <w:marLeft w:val="0"/>
      <w:marRight w:val="0"/>
      <w:marTop w:val="0"/>
      <w:marBottom w:val="0"/>
      <w:divBdr>
        <w:top w:val="none" w:sz="0" w:space="0" w:color="auto"/>
        <w:left w:val="none" w:sz="0" w:space="0" w:color="auto"/>
        <w:bottom w:val="none" w:sz="0" w:space="0" w:color="auto"/>
        <w:right w:val="none" w:sz="0" w:space="0" w:color="auto"/>
      </w:divBdr>
    </w:div>
    <w:div w:id="1025521700">
      <w:bodyDiv w:val="1"/>
      <w:marLeft w:val="0"/>
      <w:marRight w:val="0"/>
      <w:marTop w:val="0"/>
      <w:marBottom w:val="0"/>
      <w:divBdr>
        <w:top w:val="none" w:sz="0" w:space="0" w:color="auto"/>
        <w:left w:val="none" w:sz="0" w:space="0" w:color="auto"/>
        <w:bottom w:val="none" w:sz="0" w:space="0" w:color="auto"/>
        <w:right w:val="none" w:sz="0" w:space="0" w:color="auto"/>
      </w:divBdr>
    </w:div>
    <w:div w:id="1315640113">
      <w:bodyDiv w:val="1"/>
      <w:marLeft w:val="0"/>
      <w:marRight w:val="0"/>
      <w:marTop w:val="0"/>
      <w:marBottom w:val="0"/>
      <w:divBdr>
        <w:top w:val="none" w:sz="0" w:space="0" w:color="auto"/>
        <w:left w:val="none" w:sz="0" w:space="0" w:color="auto"/>
        <w:bottom w:val="none" w:sz="0" w:space="0" w:color="auto"/>
        <w:right w:val="none" w:sz="0" w:space="0" w:color="auto"/>
      </w:divBdr>
    </w:div>
    <w:div w:id="1376615039">
      <w:bodyDiv w:val="1"/>
      <w:marLeft w:val="0"/>
      <w:marRight w:val="0"/>
      <w:marTop w:val="0"/>
      <w:marBottom w:val="0"/>
      <w:divBdr>
        <w:top w:val="none" w:sz="0" w:space="0" w:color="auto"/>
        <w:left w:val="none" w:sz="0" w:space="0" w:color="auto"/>
        <w:bottom w:val="none" w:sz="0" w:space="0" w:color="auto"/>
        <w:right w:val="none" w:sz="0" w:space="0" w:color="auto"/>
      </w:divBdr>
    </w:div>
    <w:div w:id="1399206743">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533616597">
      <w:bodyDiv w:val="1"/>
      <w:marLeft w:val="0"/>
      <w:marRight w:val="0"/>
      <w:marTop w:val="0"/>
      <w:marBottom w:val="0"/>
      <w:divBdr>
        <w:top w:val="none" w:sz="0" w:space="0" w:color="auto"/>
        <w:left w:val="none" w:sz="0" w:space="0" w:color="auto"/>
        <w:bottom w:val="none" w:sz="0" w:space="0" w:color="auto"/>
        <w:right w:val="none" w:sz="0" w:space="0" w:color="auto"/>
      </w:divBdr>
    </w:div>
    <w:div w:id="1578127906">
      <w:bodyDiv w:val="1"/>
      <w:marLeft w:val="0"/>
      <w:marRight w:val="0"/>
      <w:marTop w:val="0"/>
      <w:marBottom w:val="0"/>
      <w:divBdr>
        <w:top w:val="none" w:sz="0" w:space="0" w:color="auto"/>
        <w:left w:val="none" w:sz="0" w:space="0" w:color="auto"/>
        <w:bottom w:val="none" w:sz="0" w:space="0" w:color="auto"/>
        <w:right w:val="none" w:sz="0" w:space="0" w:color="auto"/>
      </w:divBdr>
    </w:div>
    <w:div w:id="1611161714">
      <w:bodyDiv w:val="1"/>
      <w:marLeft w:val="0"/>
      <w:marRight w:val="0"/>
      <w:marTop w:val="0"/>
      <w:marBottom w:val="0"/>
      <w:divBdr>
        <w:top w:val="none" w:sz="0" w:space="0" w:color="auto"/>
        <w:left w:val="none" w:sz="0" w:space="0" w:color="auto"/>
        <w:bottom w:val="none" w:sz="0" w:space="0" w:color="auto"/>
        <w:right w:val="none" w:sz="0" w:space="0" w:color="auto"/>
      </w:divBdr>
    </w:div>
    <w:div w:id="1689984510">
      <w:bodyDiv w:val="1"/>
      <w:marLeft w:val="0"/>
      <w:marRight w:val="0"/>
      <w:marTop w:val="0"/>
      <w:marBottom w:val="0"/>
      <w:divBdr>
        <w:top w:val="none" w:sz="0" w:space="0" w:color="auto"/>
        <w:left w:val="none" w:sz="0" w:space="0" w:color="auto"/>
        <w:bottom w:val="none" w:sz="0" w:space="0" w:color="auto"/>
        <w:right w:val="none" w:sz="0" w:space="0" w:color="auto"/>
      </w:divBdr>
    </w:div>
    <w:div w:id="1903783827">
      <w:bodyDiv w:val="1"/>
      <w:marLeft w:val="0"/>
      <w:marRight w:val="0"/>
      <w:marTop w:val="0"/>
      <w:marBottom w:val="0"/>
      <w:divBdr>
        <w:top w:val="none" w:sz="0" w:space="0" w:color="auto"/>
        <w:left w:val="none" w:sz="0" w:space="0" w:color="auto"/>
        <w:bottom w:val="none" w:sz="0" w:space="0" w:color="auto"/>
        <w:right w:val="none" w:sz="0" w:space="0" w:color="auto"/>
      </w:divBdr>
    </w:div>
    <w:div w:id="199251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971B5B30B2FD543B5EAD1ED7215646C" ma:contentTypeVersion="9" ma:contentTypeDescription="Crear nuevo documento." ma:contentTypeScope="" ma:versionID="e00aa0a3d00a1294198c2a39107be4af">
  <xsd:schema xmlns:xsd="http://www.w3.org/2001/XMLSchema" xmlns:xs="http://www.w3.org/2001/XMLSchema" xmlns:p="http://schemas.microsoft.com/office/2006/metadata/properties" xmlns:ns2="c1b04ed1-e132-4f26-872e-c8cb5872f4d8" xmlns:ns3="e1780c3a-e764-44d8-b7c8-e0d37798fe89" targetNamespace="http://schemas.microsoft.com/office/2006/metadata/properties" ma:root="true" ma:fieldsID="b146b04011f8350f1e4eac9443191093" ns2:_="" ns3:_="">
    <xsd:import namespace="c1b04ed1-e132-4f26-872e-c8cb5872f4d8"/>
    <xsd:import namespace="e1780c3a-e764-44d8-b7c8-e0d37798f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04ed1-e132-4f26-872e-c8cb5872f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80c3a-e764-44d8-b7c8-e0d37798fe8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50904-E23F-4732-8764-B018907D41FD}">
  <ds:schemaRefs>
    <ds:schemaRef ds:uri="http://schemas.microsoft.com/sharepoint/v3/contenttype/forms"/>
  </ds:schemaRefs>
</ds:datastoreItem>
</file>

<file path=customXml/itemProps2.xml><?xml version="1.0" encoding="utf-8"?>
<ds:datastoreItem xmlns:ds="http://schemas.openxmlformats.org/officeDocument/2006/customXml" ds:itemID="{55A753C6-951B-4B72-AAEE-B23B09A54134}">
  <ds:schemaRefs>
    <ds:schemaRef ds:uri="http://schemas.openxmlformats.org/officeDocument/2006/bibliography"/>
  </ds:schemaRefs>
</ds:datastoreItem>
</file>

<file path=customXml/itemProps3.xml><?xml version="1.0" encoding="utf-8"?>
<ds:datastoreItem xmlns:ds="http://schemas.openxmlformats.org/officeDocument/2006/customXml" ds:itemID="{B968315E-2116-4090-AA21-57E7B0442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04ed1-e132-4f26-872e-c8cb5872f4d8"/>
    <ds:schemaRef ds:uri="e1780c3a-e764-44d8-b7c8-e0d37798f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253D9-836F-42AF-919A-28A2AAE999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1498</Words>
  <Characters>7332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2021-12-28T16:07:00Z</cp:lastPrinted>
  <dcterms:created xsi:type="dcterms:W3CDTF">2022-02-01T20:18:00Z</dcterms:created>
  <dcterms:modified xsi:type="dcterms:W3CDTF">2022-02-01T20:18:00Z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0x0101004971B5B30B2FD543B5EAD1ED7215646C</vt:lpwstr>
  </property>
</Properties>
</file>