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CBBDF" w14:textId="77777777" w:rsidR="00CA77FB" w:rsidRPr="00BF69C9" w:rsidRDefault="00000000" w:rsidP="00977EA8">
      <w:pPr>
        <w:pStyle w:val="Encabezado"/>
        <w:tabs>
          <w:tab w:val="clear" w:pos="8504"/>
          <w:tab w:val="left" w:pos="0"/>
          <w:tab w:val="right" w:pos="9356"/>
        </w:tabs>
        <w:spacing w:before="600"/>
        <w:jc w:val="center"/>
        <w:rPr>
          <w:rFonts w:ascii="Bookman Old Style" w:hAnsi="Bookman Old Style"/>
          <w:b/>
          <w:bCs/>
          <w:noProof/>
          <w:szCs w:val="24"/>
          <w:lang w:val="es-ES"/>
        </w:rPr>
      </w:pPr>
      <w:r>
        <w:rPr>
          <w:rFonts w:ascii="Bookman Old Style" w:hAnsi="Bookman Old Style"/>
          <w:noProof/>
          <w:szCs w:val="24"/>
        </w:rPr>
        <w:object w:dxaOrig="1440" w:dyaOrig="1440" w14:anchorId="660A8D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207.35pt;margin-top:-39.15pt;width:38pt;height:39.05pt;z-index:251658240" fillcolor="#0c9">
            <v:imagedata r:id="rId11" o:title=""/>
          </v:shape>
          <o:OLEObject Type="Embed" ProgID="PBrush" ShapeID="_x0000_s2050" DrawAspect="Content" ObjectID="_1733815285" r:id="rId12"/>
        </w:object>
      </w:r>
      <w:r w:rsidR="00CA77FB" w:rsidRPr="00BF69C9">
        <w:rPr>
          <w:rFonts w:ascii="Bookman Old Style" w:hAnsi="Bookman Old Style"/>
          <w:bCs/>
          <w:szCs w:val="24"/>
        </w:rPr>
        <w:t>Ministerio de Minas y Energía</w:t>
      </w:r>
    </w:p>
    <w:p w14:paraId="39C03CFE" w14:textId="77777777" w:rsidR="00CA77FB" w:rsidRPr="00BF69C9" w:rsidRDefault="00CA77FB" w:rsidP="00977EA8">
      <w:pPr>
        <w:pStyle w:val="Ttulo3"/>
        <w:tabs>
          <w:tab w:val="left" w:pos="0"/>
          <w:tab w:val="right" w:pos="9356"/>
        </w:tabs>
        <w:spacing w:before="480" w:after="480"/>
        <w:rPr>
          <w:rFonts w:ascii="Bookman Old Style" w:hAnsi="Bookman Old Style" w:cs="Arial"/>
          <w:spacing w:val="20"/>
          <w:szCs w:val="24"/>
        </w:rPr>
      </w:pPr>
      <w:r w:rsidRPr="00BF69C9">
        <w:rPr>
          <w:rFonts w:ascii="Bookman Old Style" w:hAnsi="Bookman Old Style" w:cs="Arial"/>
          <w:spacing w:val="20"/>
          <w:szCs w:val="24"/>
        </w:rPr>
        <w:t>COMISIÓN DE REGULACIÓN DE ENERGÍA Y GAS</w:t>
      </w:r>
    </w:p>
    <w:p w14:paraId="2D533D29" w14:textId="058DCCBF" w:rsidR="00F707F6" w:rsidRPr="0065261E" w:rsidRDefault="00F707F6" w:rsidP="00977EA8">
      <w:pPr>
        <w:tabs>
          <w:tab w:val="left" w:pos="0"/>
        </w:tabs>
        <w:ind w:left="142" w:right="-142"/>
        <w:jc w:val="center"/>
        <w:rPr>
          <w:rFonts w:cs="Arial"/>
          <w:bCs/>
          <w:color w:val="000000"/>
        </w:rPr>
      </w:pPr>
      <w:r w:rsidRPr="0065261E">
        <w:rPr>
          <w:rFonts w:cs="Arial"/>
          <w:b/>
          <w:color w:val="000000"/>
        </w:rPr>
        <w:t>PROYECTO DE RESOLUCIÓN No</w:t>
      </w:r>
      <w:r w:rsidRPr="0065261E">
        <w:rPr>
          <w:rFonts w:cs="Arial"/>
          <w:bCs/>
          <w:color w:val="000000"/>
        </w:rPr>
        <w:t xml:space="preserve">. </w:t>
      </w:r>
      <w:r w:rsidRPr="0065261E">
        <w:rPr>
          <w:rFonts w:cs="Arial"/>
          <w:b/>
          <w:color w:val="000000"/>
          <w:sz w:val="32"/>
          <w:szCs w:val="32"/>
        </w:rPr>
        <w:t>70</w:t>
      </w:r>
      <w:r>
        <w:rPr>
          <w:rFonts w:cs="Arial"/>
          <w:b/>
          <w:color w:val="000000"/>
          <w:sz w:val="32"/>
          <w:szCs w:val="32"/>
        </w:rPr>
        <w:t xml:space="preserve">1 </w:t>
      </w:r>
      <w:r w:rsidR="003E6AC6">
        <w:rPr>
          <w:rFonts w:cs="Arial"/>
          <w:b/>
          <w:color w:val="000000"/>
          <w:sz w:val="32"/>
          <w:szCs w:val="32"/>
        </w:rPr>
        <w:t>024</w:t>
      </w:r>
    </w:p>
    <w:p w14:paraId="6D5E2ABA" w14:textId="77777777" w:rsidR="00F707F6" w:rsidRPr="0065261E" w:rsidRDefault="00F707F6" w:rsidP="00977EA8">
      <w:pPr>
        <w:tabs>
          <w:tab w:val="left" w:pos="0"/>
        </w:tabs>
        <w:ind w:left="142" w:right="-142"/>
        <w:jc w:val="center"/>
        <w:rPr>
          <w:rFonts w:cs="Arial"/>
          <w:bCs/>
          <w:color w:val="000000"/>
        </w:rPr>
      </w:pPr>
    </w:p>
    <w:p w14:paraId="509A23CC" w14:textId="3E96D18D" w:rsidR="00F707F6" w:rsidRPr="002A106B" w:rsidRDefault="00F707F6" w:rsidP="00977EA8">
      <w:pPr>
        <w:tabs>
          <w:tab w:val="left" w:pos="0"/>
        </w:tabs>
        <w:ind w:left="142" w:right="-142"/>
        <w:jc w:val="center"/>
        <w:rPr>
          <w:rFonts w:cs="Arial"/>
          <w:bCs/>
          <w:color w:val="000000"/>
          <w:sz w:val="32"/>
          <w:szCs w:val="32"/>
        </w:rPr>
      </w:pPr>
      <w:r w:rsidRPr="002A106B">
        <w:rPr>
          <w:rFonts w:cs="Arial"/>
          <w:bCs/>
          <w:color w:val="000000"/>
          <w:sz w:val="32"/>
          <w:szCs w:val="32"/>
        </w:rPr>
        <w:t>(</w:t>
      </w:r>
      <w:r w:rsidR="003E6AC6">
        <w:rPr>
          <w:rFonts w:cs="Arial"/>
          <w:b/>
          <w:color w:val="000000"/>
          <w:sz w:val="32"/>
          <w:szCs w:val="32"/>
        </w:rPr>
        <w:t>18</w:t>
      </w:r>
      <w:r>
        <w:rPr>
          <w:rFonts w:cs="Arial"/>
          <w:b/>
          <w:color w:val="000000"/>
          <w:sz w:val="32"/>
          <w:szCs w:val="32"/>
        </w:rPr>
        <w:t xml:space="preserve"> </w:t>
      </w:r>
      <w:r w:rsidR="003E6AC6">
        <w:rPr>
          <w:rFonts w:cs="Arial"/>
          <w:b/>
          <w:color w:val="000000"/>
          <w:sz w:val="32"/>
          <w:szCs w:val="32"/>
        </w:rPr>
        <w:t>NOV</w:t>
      </w:r>
      <w:r>
        <w:rPr>
          <w:rFonts w:cs="Arial"/>
          <w:b/>
          <w:color w:val="000000"/>
          <w:sz w:val="32"/>
          <w:szCs w:val="32"/>
        </w:rPr>
        <w:t xml:space="preserve">. </w:t>
      </w:r>
      <w:r w:rsidRPr="002A106B">
        <w:rPr>
          <w:rFonts w:cs="Arial"/>
          <w:b/>
          <w:color w:val="000000"/>
          <w:sz w:val="32"/>
          <w:szCs w:val="32"/>
        </w:rPr>
        <w:t>2022</w:t>
      </w:r>
      <w:r w:rsidRPr="002A106B">
        <w:rPr>
          <w:rFonts w:cs="Arial"/>
          <w:bCs/>
          <w:color w:val="000000"/>
          <w:sz w:val="32"/>
          <w:szCs w:val="32"/>
        </w:rPr>
        <w:t>)</w:t>
      </w:r>
    </w:p>
    <w:p w14:paraId="445C1742" w14:textId="77777777" w:rsidR="00F707F6" w:rsidRDefault="00F707F6" w:rsidP="00977EA8">
      <w:pPr>
        <w:tabs>
          <w:tab w:val="left" w:pos="0"/>
        </w:tabs>
        <w:ind w:left="142" w:right="-142"/>
        <w:jc w:val="center"/>
        <w:rPr>
          <w:rFonts w:cs="Arial"/>
          <w:b/>
          <w:color w:val="000000"/>
        </w:rPr>
      </w:pPr>
    </w:p>
    <w:p w14:paraId="1BF52A20" w14:textId="77777777" w:rsidR="00F707F6" w:rsidRDefault="00F707F6" w:rsidP="00977EA8">
      <w:pPr>
        <w:ind w:right="-142"/>
        <w:rPr>
          <w:rFonts w:cs="Arial"/>
          <w:bCs/>
          <w:color w:val="000000"/>
        </w:rPr>
      </w:pPr>
    </w:p>
    <w:p w14:paraId="275DDDBA" w14:textId="55B80E1E" w:rsidR="00F707F6" w:rsidRPr="002821CE" w:rsidRDefault="00F707F6" w:rsidP="00977EA8">
      <w:pPr>
        <w:spacing w:before="0" w:after="0"/>
        <w:ind w:right="-142"/>
        <w:rPr>
          <w:rFonts w:cs="Arial"/>
          <w:bCs/>
          <w:color w:val="000000"/>
        </w:rPr>
      </w:pPr>
      <w:r w:rsidRPr="002821CE">
        <w:rPr>
          <w:rFonts w:cs="Arial"/>
          <w:bCs/>
          <w:color w:val="000000"/>
        </w:rPr>
        <w:t xml:space="preserve">La Comisión de Regulación de Energía y Gas, en su sesión </w:t>
      </w:r>
      <w:r w:rsidR="003E6AC6">
        <w:rPr>
          <w:rFonts w:cs="Arial"/>
          <w:bCs/>
          <w:color w:val="000000"/>
        </w:rPr>
        <w:t>1208</w:t>
      </w:r>
      <w:r w:rsidRPr="002821CE">
        <w:rPr>
          <w:rFonts w:cs="Arial"/>
          <w:bCs/>
          <w:color w:val="000000"/>
        </w:rPr>
        <w:t xml:space="preserve"> de 2022, aprobó someter a consulta pública el presente proyecto de resolución por el término de </w:t>
      </w:r>
      <w:r>
        <w:rPr>
          <w:rFonts w:cs="Arial"/>
        </w:rPr>
        <w:t>diez</w:t>
      </w:r>
      <w:r w:rsidRPr="002821CE">
        <w:rPr>
          <w:rFonts w:cs="Arial"/>
        </w:rPr>
        <w:t xml:space="preserve"> días hábiles contados a partir del día siguiente a su publicación</w:t>
      </w:r>
      <w:r w:rsidRPr="002821CE">
        <w:rPr>
          <w:rFonts w:cs="Arial"/>
          <w:bCs/>
          <w:color w:val="000000"/>
        </w:rPr>
        <w:t xml:space="preserve"> en el portal web de la CREG.</w:t>
      </w:r>
    </w:p>
    <w:p w14:paraId="570FE2B7" w14:textId="77777777" w:rsidR="00F707F6" w:rsidRPr="00BB0728" w:rsidRDefault="00F707F6" w:rsidP="00977EA8">
      <w:pPr>
        <w:spacing w:before="0" w:after="0"/>
        <w:ind w:right="-142"/>
        <w:rPr>
          <w:rFonts w:cs="Arial"/>
          <w:bCs/>
          <w:color w:val="000000"/>
        </w:rPr>
      </w:pPr>
    </w:p>
    <w:p w14:paraId="17795E86" w14:textId="15A766A3" w:rsidR="00F707F6" w:rsidRPr="00BB0728" w:rsidRDefault="00F707F6" w:rsidP="00977EA8">
      <w:pPr>
        <w:spacing w:before="0" w:after="0"/>
        <w:ind w:right="-142"/>
        <w:rPr>
          <w:rFonts w:cs="Arial"/>
          <w:bCs/>
          <w:color w:val="000000"/>
        </w:rPr>
      </w:pPr>
      <w:r w:rsidRPr="00BB0728">
        <w:rPr>
          <w:rFonts w:cs="Arial"/>
          <w:bCs/>
          <w:color w:val="000000"/>
        </w:rPr>
        <w:t>Se invita a las empresas, los usuarios</w:t>
      </w:r>
      <w:r w:rsidR="004900DC">
        <w:rPr>
          <w:rFonts w:cs="Arial"/>
          <w:bCs/>
          <w:color w:val="000000"/>
        </w:rPr>
        <w:t>,</w:t>
      </w:r>
      <w:r w:rsidRPr="00BB0728">
        <w:rPr>
          <w:rFonts w:cs="Arial"/>
          <w:bCs/>
          <w:color w:val="000000"/>
        </w:rPr>
        <w:t xml:space="preserve"> las autoridades y demás partes interesadas a presentar sus observaciones y sugerencias dentro del plazo establecido, mediante comunicaciones electrónicas dirigidas al </w:t>
      </w:r>
      <w:proofErr w:type="gramStart"/>
      <w:r w:rsidRPr="00BB0728">
        <w:rPr>
          <w:rFonts w:cs="Arial"/>
          <w:bCs/>
          <w:color w:val="000000"/>
        </w:rPr>
        <w:t>Director Ejecutivo</w:t>
      </w:r>
      <w:proofErr w:type="gramEnd"/>
      <w:r w:rsidRPr="00BB0728">
        <w:rPr>
          <w:rFonts w:cs="Arial"/>
          <w:bCs/>
          <w:color w:val="000000"/>
        </w:rPr>
        <w:t xml:space="preserve"> de la CREG, a la cuenta </w:t>
      </w:r>
      <w:hyperlink r:id="rId13" w:history="1">
        <w:r w:rsidR="000B6EAC" w:rsidRPr="000B6EAC">
          <w:rPr>
            <w:rStyle w:val="Hipervnculo"/>
            <w:rFonts w:cs="Arial"/>
            <w:bCs/>
          </w:rPr>
          <w:t>creg@creg.gov.co</w:t>
        </w:r>
      </w:hyperlink>
      <w:r>
        <w:rPr>
          <w:rFonts w:cs="Arial"/>
          <w:bCs/>
          <w:color w:val="000000"/>
        </w:rPr>
        <w:t xml:space="preserve">, </w:t>
      </w:r>
      <w:r w:rsidRPr="00E30F97">
        <w:rPr>
          <w:rFonts w:cs="Arial"/>
          <w:bCs/>
          <w:color w:val="000000"/>
        </w:rPr>
        <w:t xml:space="preserve">con asunto: “Comentarios sobre la Resolución </w:t>
      </w:r>
      <w:r w:rsidRPr="00D7686D">
        <w:rPr>
          <w:rFonts w:cs="Arial"/>
          <w:bCs/>
          <w:color w:val="000000"/>
        </w:rPr>
        <w:t xml:space="preserve">CREG 701 </w:t>
      </w:r>
      <w:r w:rsidR="00D7686D" w:rsidRPr="00D7686D">
        <w:rPr>
          <w:rFonts w:cs="Arial"/>
          <w:bCs/>
          <w:color w:val="000000"/>
        </w:rPr>
        <w:t>024</w:t>
      </w:r>
      <w:r w:rsidR="000B6EAC" w:rsidRPr="00D7686D">
        <w:rPr>
          <w:rFonts w:cs="Arial"/>
          <w:bCs/>
          <w:color w:val="000000"/>
        </w:rPr>
        <w:t xml:space="preserve"> de 2022</w:t>
      </w:r>
      <w:r w:rsidRPr="00D7686D">
        <w:rPr>
          <w:rFonts w:cs="Arial"/>
          <w:bCs/>
          <w:color w:val="000000"/>
        </w:rPr>
        <w:t>”, utilizando el formato anexo.</w:t>
      </w:r>
    </w:p>
    <w:p w14:paraId="262BFE91" w14:textId="77777777" w:rsidR="00F707F6" w:rsidRPr="00717AFB" w:rsidRDefault="00F707F6" w:rsidP="00977EA8">
      <w:pPr>
        <w:spacing w:before="0" w:after="0"/>
        <w:ind w:right="-142"/>
        <w:jc w:val="center"/>
        <w:rPr>
          <w:rFonts w:cs="Arial"/>
          <w:color w:val="000000"/>
        </w:rPr>
      </w:pPr>
    </w:p>
    <w:p w14:paraId="00D1C9E3" w14:textId="77777777" w:rsidR="00F707F6" w:rsidRDefault="00F707F6" w:rsidP="00977EA8">
      <w:pPr>
        <w:spacing w:before="0" w:after="0"/>
        <w:ind w:right="-142"/>
        <w:rPr>
          <w:rFonts w:cs="Arial"/>
          <w:color w:val="000000"/>
        </w:rPr>
      </w:pPr>
      <w:r w:rsidRPr="00E24D7F">
        <w:rPr>
          <w:rFonts w:cs="Arial"/>
          <w:color w:val="000000"/>
        </w:rPr>
        <w:t>Al vencimiento de la consulta pública, la CREG determinará si el proyecto debe ser informado a la Superintendencia de Industria y Comercio, para el ejercicio de la Abogacía de la Competencia, con fundamento en las disposiciones del Decreto 1074 de 2015, Artículo 2.2.2.30.5.</w:t>
      </w:r>
      <w:r w:rsidRPr="00291677">
        <w:rPr>
          <w:rFonts w:cs="Arial"/>
          <w:color w:val="000000"/>
        </w:rPr>
        <w:t xml:space="preserve">  </w:t>
      </w:r>
    </w:p>
    <w:p w14:paraId="777B81C1" w14:textId="1EDACDA6" w:rsidR="00621A8D" w:rsidRPr="007212F8" w:rsidRDefault="007212F8" w:rsidP="00977EA8">
      <w:pPr>
        <w:spacing w:before="480" w:after="360"/>
        <w:ind w:right="51"/>
        <w:jc w:val="center"/>
        <w:rPr>
          <w:b/>
        </w:rPr>
      </w:pPr>
      <w:r w:rsidRPr="007212F8">
        <w:rPr>
          <w:b/>
        </w:rPr>
        <w:t>PROYECTO DE RESOLUCIÓN</w:t>
      </w:r>
    </w:p>
    <w:p w14:paraId="0D3543DB" w14:textId="48C07B92" w:rsidR="00510CBD" w:rsidRPr="00F8183F" w:rsidRDefault="00B5231E" w:rsidP="00977EA8">
      <w:pPr>
        <w:spacing w:after="240"/>
        <w:jc w:val="center"/>
        <w:rPr>
          <w:rFonts w:cs="Arial"/>
        </w:rPr>
      </w:pPr>
      <w:bookmarkStart w:id="0" w:name="_Hlk80778688"/>
      <w:r w:rsidRPr="00B5231E">
        <w:t xml:space="preserve">Por la cual se </w:t>
      </w:r>
      <w:r w:rsidR="00D538B7" w:rsidRPr="00D538B7">
        <w:t xml:space="preserve">modifican algunas disposiciones </w:t>
      </w:r>
      <w:r w:rsidR="00977EA8">
        <w:br/>
      </w:r>
      <w:r w:rsidR="00D538B7" w:rsidRPr="00D538B7">
        <w:t>de la Resolución CREG 075 de 2021</w:t>
      </w:r>
    </w:p>
    <w:bookmarkEnd w:id="0"/>
    <w:p w14:paraId="1C01FCB2" w14:textId="77777777" w:rsidR="00045D3D" w:rsidRPr="00BF69C9" w:rsidRDefault="00045D3D" w:rsidP="00977EA8">
      <w:pPr>
        <w:spacing w:before="360" w:after="360"/>
        <w:ind w:right="51"/>
        <w:jc w:val="center"/>
        <w:rPr>
          <w:b/>
        </w:rPr>
      </w:pPr>
      <w:r w:rsidRPr="00BF69C9">
        <w:rPr>
          <w:b/>
        </w:rPr>
        <w:t xml:space="preserve">LA COMISIÓN DE REGULACIÓN </w:t>
      </w:r>
      <w:r w:rsidR="00A06C25" w:rsidRPr="00BF69C9">
        <w:rPr>
          <w:b/>
        </w:rPr>
        <w:t>DE ENERGÍA</w:t>
      </w:r>
      <w:r w:rsidRPr="00BF69C9">
        <w:rPr>
          <w:b/>
        </w:rPr>
        <w:t xml:space="preserve"> Y GAS</w:t>
      </w:r>
    </w:p>
    <w:p w14:paraId="616B2B78" w14:textId="3EEF8205" w:rsidR="00510CBD" w:rsidRPr="00C435C3" w:rsidRDefault="00510CBD" w:rsidP="00977EA8">
      <w:pPr>
        <w:pStyle w:val="Textoindependiente3"/>
        <w:rPr>
          <w:rFonts w:ascii="Bookman Old Style" w:hAnsi="Bookman Old Style"/>
          <w:b w:val="0"/>
        </w:rPr>
      </w:pPr>
      <w:r w:rsidRPr="00F8183F">
        <w:rPr>
          <w:rFonts w:ascii="Bookman Old Style" w:hAnsi="Bookman Old Style"/>
          <w:b w:val="0"/>
        </w:rPr>
        <w:t>En ejercicio de las atribuciones legales, en especial las conferidas por las Leyes 142 y 143 de 1994, y los decretos 1524 y 2253 de 1994</w:t>
      </w:r>
      <w:r w:rsidR="00E71D32">
        <w:rPr>
          <w:rFonts w:ascii="Bookman Old Style" w:hAnsi="Bookman Old Style"/>
          <w:b w:val="0"/>
        </w:rPr>
        <w:t>,</w:t>
      </w:r>
      <w:r w:rsidRPr="00F8183F">
        <w:rPr>
          <w:rFonts w:ascii="Bookman Old Style" w:hAnsi="Bookman Old Style"/>
          <w:b w:val="0"/>
        </w:rPr>
        <w:t xml:space="preserve"> y 1260 de 2013</w:t>
      </w:r>
      <w:r w:rsidRPr="00C435C3">
        <w:rPr>
          <w:rFonts w:ascii="Bookman Old Style" w:hAnsi="Bookman Old Style"/>
          <w:b w:val="0"/>
        </w:rPr>
        <w:t>.</w:t>
      </w:r>
    </w:p>
    <w:p w14:paraId="49DECB61" w14:textId="77777777" w:rsidR="00045D3D" w:rsidRPr="00BF69C9" w:rsidRDefault="00955F64" w:rsidP="00977EA8">
      <w:pPr>
        <w:suppressAutoHyphens/>
        <w:spacing w:before="480" w:after="480"/>
        <w:jc w:val="center"/>
        <w:rPr>
          <w:b/>
        </w:rPr>
      </w:pPr>
      <w:r w:rsidRPr="00BF69C9">
        <w:rPr>
          <w:b/>
        </w:rPr>
        <w:t>C</w:t>
      </w:r>
      <w:r w:rsidR="00045D3D" w:rsidRPr="00BF69C9">
        <w:rPr>
          <w:b/>
        </w:rPr>
        <w:t>ONSIDERAND</w:t>
      </w:r>
      <w:r w:rsidR="00A06C25" w:rsidRPr="00BF69C9">
        <w:rPr>
          <w:b/>
        </w:rPr>
        <w:t>O</w:t>
      </w:r>
      <w:r w:rsidRPr="00BF69C9">
        <w:rPr>
          <w:b/>
        </w:rPr>
        <w:t xml:space="preserve"> </w:t>
      </w:r>
      <w:r w:rsidR="00A06C25" w:rsidRPr="00BF69C9">
        <w:rPr>
          <w:b/>
        </w:rPr>
        <w:t>Q</w:t>
      </w:r>
      <w:r w:rsidR="00045D3D" w:rsidRPr="00BF69C9">
        <w:rPr>
          <w:b/>
        </w:rPr>
        <w:t>UE:</w:t>
      </w:r>
    </w:p>
    <w:p w14:paraId="38DA9207" w14:textId="77777777" w:rsidR="004D25A7" w:rsidRPr="0019336D" w:rsidRDefault="004D25A7" w:rsidP="004D25A7">
      <w:pPr>
        <w:spacing w:before="240"/>
        <w:rPr>
          <w:rFonts w:cs="Arial"/>
          <w:lang w:val="es-CO" w:eastAsia="es-CO"/>
        </w:rPr>
      </w:pPr>
      <w:r w:rsidRPr="0019336D">
        <w:rPr>
          <w:rFonts w:cs="Arial"/>
          <w:lang w:val="es-CO" w:eastAsia="es-CO"/>
        </w:rPr>
        <w:t>De conformidad con el artículo 20 de la Ley 143 de 1994, la función de regulación, en relación con el sector energético, tiene como objetivo básico asegurar una adecuada prestación</w:t>
      </w:r>
      <w:r w:rsidRPr="0019336D">
        <w:rPr>
          <w:lang w:val="es-CO"/>
        </w:rPr>
        <w:t xml:space="preserve"> del servicio </w:t>
      </w:r>
      <w:r w:rsidRPr="0019336D">
        <w:rPr>
          <w:rFonts w:cs="Arial"/>
          <w:lang w:val="es-CO" w:eastAsia="es-CO"/>
        </w:rPr>
        <w:t>mediante el aprovechamiento eficiente de los diferentes recursos energéticos, en beneficio del usuario en términos de calidad, oportunidad y costo del servicio.</w:t>
      </w:r>
    </w:p>
    <w:p w14:paraId="6BE6F179" w14:textId="77777777" w:rsidR="004D25A7" w:rsidRPr="0019336D" w:rsidRDefault="004D25A7" w:rsidP="004D25A7">
      <w:pPr>
        <w:spacing w:before="200" w:after="240"/>
        <w:rPr>
          <w:rFonts w:cs="Arial"/>
          <w:bCs/>
        </w:rPr>
      </w:pPr>
      <w:r w:rsidRPr="0019336D">
        <w:rPr>
          <w:rFonts w:cs="Arial"/>
          <w:bCs/>
        </w:rPr>
        <w:lastRenderedPageBreak/>
        <w:t>El artículo 18 de la Ley 143 de 1994 ordena que la CREG debe desarrollar el marco regulatorio que incentive la inversión en expansión de la capacidad de generación y transmisión del Sistema Interconectado Nacional por parte de inversionistas estratégicos, y establecer esquemas que promuevan la entrada de nueva capacidad de generación y transmisión.</w:t>
      </w:r>
    </w:p>
    <w:p w14:paraId="79F3FA7E" w14:textId="13761889" w:rsidR="0038402B" w:rsidRPr="00A63390" w:rsidRDefault="004D25A7" w:rsidP="004D25A7">
      <w:pPr>
        <w:rPr>
          <w:rFonts w:cs="Arial"/>
          <w:bCs/>
        </w:rPr>
      </w:pPr>
      <w:r w:rsidRPr="0019336D">
        <w:rPr>
          <w:rFonts w:cs="Arial"/>
          <w:bCs/>
        </w:rPr>
        <w:t xml:space="preserve">Mediante la Resolución CREG 075 de 2021 se definieron </w:t>
      </w:r>
      <w:r w:rsidRPr="0019336D">
        <w:rPr>
          <w:rFonts w:cs="Arial"/>
          <w:bCs/>
          <w:i/>
          <w:iCs/>
        </w:rPr>
        <w:t xml:space="preserve">“las disposiciones y procedimientos para la asignación de capacidad de transporte en el Sistema </w:t>
      </w:r>
      <w:r w:rsidRPr="00A63390">
        <w:rPr>
          <w:rFonts w:cs="Arial"/>
          <w:bCs/>
          <w:i/>
          <w:iCs/>
        </w:rPr>
        <w:t>Interconectado Nacional”</w:t>
      </w:r>
      <w:r w:rsidRPr="00A63390">
        <w:rPr>
          <w:rFonts w:cs="Arial"/>
          <w:bCs/>
        </w:rPr>
        <w:t>.</w:t>
      </w:r>
      <w:r w:rsidR="00B63FE9">
        <w:rPr>
          <w:rFonts w:cs="Arial"/>
          <w:bCs/>
        </w:rPr>
        <w:t xml:space="preserve"> Esta resolución ha tenido algunas modificaciones con la expedición de las resoluciones CREG 107 y 212 de 2021 y 101 010 y 101 025 de 2022.</w:t>
      </w:r>
    </w:p>
    <w:p w14:paraId="656E3B67" w14:textId="52742D4F" w:rsidR="00A3552A" w:rsidRPr="00A63390" w:rsidRDefault="005E6727" w:rsidP="004D25A7">
      <w:pPr>
        <w:rPr>
          <w:rFonts w:cs="Arial"/>
          <w:bCs/>
        </w:rPr>
      </w:pPr>
      <w:r w:rsidRPr="00A63390">
        <w:rPr>
          <w:rFonts w:cs="Arial"/>
          <w:bCs/>
        </w:rPr>
        <w:t xml:space="preserve">Durante la aplicación de las disposiciones establecidas en la Resolución CREG 075 de 2021 </w:t>
      </w:r>
      <w:r w:rsidR="00A3552A" w:rsidRPr="00A63390">
        <w:rPr>
          <w:rFonts w:cs="Arial"/>
          <w:bCs/>
        </w:rPr>
        <w:t>se han recibido diferentes consultas en la Comisión, solicitando aclarar la aplicación de algunas de las disposiciones establecidas en las reglas de asignación de capacidad de transporte</w:t>
      </w:r>
      <w:r w:rsidR="00127488">
        <w:rPr>
          <w:rFonts w:cs="Arial"/>
          <w:bCs/>
        </w:rPr>
        <w:t>.</w:t>
      </w:r>
      <w:r w:rsidR="00A3552A" w:rsidRPr="00A63390">
        <w:rPr>
          <w:rFonts w:cs="Arial"/>
          <w:bCs/>
        </w:rPr>
        <w:t xml:space="preserve"> </w:t>
      </w:r>
    </w:p>
    <w:p w14:paraId="3B6B694A" w14:textId="4C17324B" w:rsidR="005E6727" w:rsidRPr="00A63390" w:rsidRDefault="00A3552A" w:rsidP="004D25A7">
      <w:pPr>
        <w:rPr>
          <w:rFonts w:cs="Arial"/>
          <w:bCs/>
        </w:rPr>
      </w:pPr>
      <w:r w:rsidRPr="00A63390">
        <w:rPr>
          <w:rFonts w:cs="Arial"/>
          <w:bCs/>
        </w:rPr>
        <w:t xml:space="preserve">A partir de las consultas hechas a la Comisión </w:t>
      </w:r>
      <w:r w:rsidR="005E6727" w:rsidRPr="00A63390">
        <w:rPr>
          <w:rFonts w:cs="Arial"/>
          <w:bCs/>
        </w:rPr>
        <w:t xml:space="preserve">se ha identificado la necesidad de </w:t>
      </w:r>
      <w:r w:rsidR="007E642D" w:rsidRPr="00A63390">
        <w:rPr>
          <w:rFonts w:cs="Arial"/>
          <w:bCs/>
        </w:rPr>
        <w:t>ajustar</w:t>
      </w:r>
      <w:r w:rsidR="005E6727" w:rsidRPr="00A63390">
        <w:rPr>
          <w:rFonts w:cs="Arial"/>
          <w:bCs/>
        </w:rPr>
        <w:t xml:space="preserve"> algunas disposiciones </w:t>
      </w:r>
      <w:r w:rsidRPr="00A63390">
        <w:rPr>
          <w:rFonts w:cs="Arial"/>
          <w:bCs/>
        </w:rPr>
        <w:t>de la Resolución CREG 075 de 2021</w:t>
      </w:r>
      <w:r w:rsidR="009670E8">
        <w:rPr>
          <w:rFonts w:cs="Arial"/>
          <w:bCs/>
        </w:rPr>
        <w:t>,</w:t>
      </w:r>
      <w:r w:rsidRPr="00A63390">
        <w:rPr>
          <w:rFonts w:cs="Arial"/>
          <w:bCs/>
        </w:rPr>
        <w:t xml:space="preserve"> </w:t>
      </w:r>
      <w:r w:rsidR="005E6727" w:rsidRPr="00A63390">
        <w:rPr>
          <w:rFonts w:cs="Arial"/>
          <w:bCs/>
        </w:rPr>
        <w:t>con</w:t>
      </w:r>
      <w:r w:rsidR="007E642D" w:rsidRPr="00A63390">
        <w:rPr>
          <w:rFonts w:cs="Arial"/>
          <w:bCs/>
        </w:rPr>
        <w:t xml:space="preserve"> el fin de dar mayor</w:t>
      </w:r>
      <w:r w:rsidR="005E6727" w:rsidRPr="00A63390">
        <w:rPr>
          <w:rFonts w:cs="Arial"/>
          <w:bCs/>
        </w:rPr>
        <w:t xml:space="preserve"> </w:t>
      </w:r>
      <w:r w:rsidR="007E642D" w:rsidRPr="00A63390">
        <w:rPr>
          <w:rFonts w:cs="Arial"/>
          <w:bCs/>
        </w:rPr>
        <w:t>claridad a su aplicación</w:t>
      </w:r>
      <w:r w:rsidR="009670E8">
        <w:rPr>
          <w:rFonts w:cs="Arial"/>
          <w:bCs/>
        </w:rPr>
        <w:t>,</w:t>
      </w:r>
      <w:r w:rsidR="007E642D" w:rsidRPr="00A63390">
        <w:rPr>
          <w:rFonts w:cs="Arial"/>
          <w:bCs/>
        </w:rPr>
        <w:t xml:space="preserve"> y para agilizar el procedimiento de asignación en los casos en los que se identifica que es </w:t>
      </w:r>
      <w:r w:rsidR="00763468">
        <w:rPr>
          <w:rFonts w:cs="Arial"/>
          <w:bCs/>
        </w:rPr>
        <w:t>fact</w:t>
      </w:r>
      <w:r w:rsidR="00763468" w:rsidRPr="00A63390">
        <w:rPr>
          <w:rFonts w:cs="Arial"/>
          <w:bCs/>
        </w:rPr>
        <w:t>ible</w:t>
      </w:r>
      <w:r w:rsidR="007E642D" w:rsidRPr="00A63390">
        <w:rPr>
          <w:rFonts w:cs="Arial"/>
          <w:bCs/>
        </w:rPr>
        <w:t>.</w:t>
      </w:r>
      <w:r w:rsidR="00B63FE9" w:rsidRPr="00B63FE9">
        <w:rPr>
          <w:rFonts w:cs="Arial"/>
          <w:bCs/>
        </w:rPr>
        <w:t xml:space="preserve"> </w:t>
      </w:r>
      <w:r w:rsidR="00B63FE9">
        <w:rPr>
          <w:rFonts w:cs="Arial"/>
          <w:bCs/>
        </w:rPr>
        <w:t>Los radicados relacionados con algunas de las modificaciones propuestas y la descripción de las diferentes solicitudes se presentan en el documento soporte de esta resolución.</w:t>
      </w:r>
    </w:p>
    <w:p w14:paraId="4D6E7BD1" w14:textId="7AAAD596" w:rsidR="00510CBD" w:rsidRDefault="00405776" w:rsidP="00BA210E">
      <w:pPr>
        <w:spacing w:before="240" w:after="0"/>
      </w:pPr>
      <w:r>
        <w:t>L</w:t>
      </w:r>
      <w:r w:rsidR="00510CBD">
        <w:t xml:space="preserve">a Comisión de Regulación de Energía y Gas, en su </w:t>
      </w:r>
      <w:r w:rsidR="00510CBD" w:rsidRPr="00621A8D">
        <w:t xml:space="preserve">sesión </w:t>
      </w:r>
      <w:r w:rsidR="00B80BE8" w:rsidRPr="0044476A">
        <w:t>No.</w:t>
      </w:r>
      <w:r w:rsidR="00804FEF" w:rsidRPr="0044476A">
        <w:t xml:space="preserve"> </w:t>
      </w:r>
      <w:r w:rsidR="0044476A">
        <w:t>1208</w:t>
      </w:r>
      <w:r w:rsidR="0038402B" w:rsidRPr="0044476A">
        <w:t xml:space="preserve"> </w:t>
      </w:r>
      <w:r w:rsidR="00510CBD" w:rsidRPr="0044476A">
        <w:t xml:space="preserve">del </w:t>
      </w:r>
      <w:r w:rsidR="0044476A">
        <w:t>18</w:t>
      </w:r>
      <w:r w:rsidR="00510CBD" w:rsidRPr="0044476A">
        <w:t xml:space="preserve"> de</w:t>
      </w:r>
      <w:r w:rsidR="0044476A">
        <w:t xml:space="preserve"> noviembre</w:t>
      </w:r>
      <w:r w:rsidR="00C93442" w:rsidRPr="0044476A">
        <w:t xml:space="preserve"> </w:t>
      </w:r>
      <w:r w:rsidR="00510CBD" w:rsidRPr="0044476A">
        <w:t>de 20</w:t>
      </w:r>
      <w:r w:rsidR="0041451E" w:rsidRPr="0044476A">
        <w:t>2</w:t>
      </w:r>
      <w:r w:rsidR="00C93442" w:rsidRPr="0044476A">
        <w:t>2</w:t>
      </w:r>
      <w:r w:rsidRPr="0044476A">
        <w:t>,</w:t>
      </w:r>
      <w:r w:rsidR="00510CBD" w:rsidRPr="0044476A">
        <w:t xml:space="preserve"> acordó expedir esta resolución</w:t>
      </w:r>
      <w:r w:rsidRPr="0044476A">
        <w:t>.</w:t>
      </w:r>
    </w:p>
    <w:p w14:paraId="3ABC9B45" w14:textId="77777777" w:rsidR="00E71D32" w:rsidRDefault="00E71D32" w:rsidP="00BA210E">
      <w:pPr>
        <w:spacing w:before="240" w:after="0"/>
      </w:pPr>
    </w:p>
    <w:p w14:paraId="6E5B4B14" w14:textId="299B291F" w:rsidR="00595129" w:rsidRPr="00BF69C9" w:rsidRDefault="004B5A15" w:rsidP="00182528">
      <w:pPr>
        <w:keepNext/>
        <w:tabs>
          <w:tab w:val="center" w:pos="4678"/>
        </w:tabs>
        <w:spacing w:after="0"/>
        <w:rPr>
          <w:b/>
        </w:rPr>
      </w:pPr>
      <w:r>
        <w:rPr>
          <w:spacing w:val="-3"/>
        </w:rPr>
        <w:tab/>
      </w:r>
      <w:r w:rsidR="00595129" w:rsidRPr="00BF69C9">
        <w:rPr>
          <w:b/>
        </w:rPr>
        <w:t>RESUELVE:</w:t>
      </w:r>
    </w:p>
    <w:p w14:paraId="0A9DF346" w14:textId="2200B646" w:rsidR="00F65511" w:rsidRPr="00F0138E" w:rsidRDefault="00F0138E" w:rsidP="00F0138E">
      <w:pPr>
        <w:numPr>
          <w:ilvl w:val="0"/>
          <w:numId w:val="36"/>
        </w:numPr>
        <w:tabs>
          <w:tab w:val="left" w:pos="1701"/>
          <w:tab w:val="num" w:pos="2150"/>
        </w:tabs>
        <w:spacing w:before="240" w:after="240"/>
        <w:rPr>
          <w:rFonts w:cs="Arial"/>
        </w:rPr>
      </w:pPr>
      <w:r w:rsidRPr="00F0138E">
        <w:rPr>
          <w:rFonts w:cs="Arial"/>
        </w:rPr>
        <w:t xml:space="preserve">Modificar el artículo </w:t>
      </w:r>
      <w:r>
        <w:rPr>
          <w:rFonts w:cs="Arial"/>
        </w:rPr>
        <w:t>9</w:t>
      </w:r>
      <w:r w:rsidRPr="00F0138E">
        <w:rPr>
          <w:rFonts w:cs="Arial"/>
        </w:rPr>
        <w:t xml:space="preserve"> de la Resolución CREG 075 de 2021, el cual quedará así:</w:t>
      </w:r>
    </w:p>
    <w:p w14:paraId="189E12D7" w14:textId="3C547B2C" w:rsidR="00F65511" w:rsidRPr="00F65511" w:rsidRDefault="00F65511" w:rsidP="009670E8">
      <w:pPr>
        <w:pStyle w:val="Cita"/>
        <w:ind w:left="284" w:right="0"/>
        <w:rPr>
          <w:rFonts w:ascii="Bookman Old Style" w:hAnsi="Bookman Old Style"/>
          <w:sz w:val="24"/>
          <w:szCs w:val="24"/>
        </w:rPr>
      </w:pPr>
      <w:bookmarkStart w:id="1" w:name="_Ref56522755"/>
      <w:r>
        <w:rPr>
          <w:rFonts w:ascii="Bookman Old Style" w:hAnsi="Bookman Old Style"/>
          <w:b/>
          <w:bCs/>
          <w:sz w:val="24"/>
          <w:szCs w:val="24"/>
        </w:rPr>
        <w:t xml:space="preserve">Artículo 9. </w:t>
      </w:r>
      <w:r w:rsidRPr="00F65511">
        <w:rPr>
          <w:rFonts w:ascii="Bookman Old Style" w:hAnsi="Bookman Old Style"/>
          <w:b/>
          <w:bCs/>
          <w:sz w:val="24"/>
          <w:szCs w:val="24"/>
        </w:rPr>
        <w:t xml:space="preserve">Radicación de la solicitud. </w:t>
      </w:r>
      <w:r w:rsidRPr="00F65511">
        <w:rPr>
          <w:rFonts w:ascii="Bookman Old Style" w:hAnsi="Bookman Old Style"/>
          <w:sz w:val="24"/>
          <w:szCs w:val="24"/>
        </w:rPr>
        <w:t>Para radicar una solicitud de asignación de capacidad de transporte de un proyecto clase 1, el interesado deberá cumplir los requisitos que se establecen en este artículo.</w:t>
      </w:r>
      <w:bookmarkEnd w:id="1"/>
    </w:p>
    <w:p w14:paraId="034582FF" w14:textId="123EECFD"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 xml:space="preserve">Es requisito que los proyectos de generación tengan planeada una fecha de entrada en operación comercial que se encuentre dentro de un período máximo de quince (15) años, contados a partir de la radicación de la solicitud de asignación </w:t>
      </w:r>
      <w:r w:rsidR="00E129C9">
        <w:rPr>
          <w:rFonts w:ascii="Bookman Old Style" w:hAnsi="Bookman Old Style"/>
          <w:sz w:val="24"/>
          <w:szCs w:val="24"/>
        </w:rPr>
        <w:t xml:space="preserve">de </w:t>
      </w:r>
      <w:r w:rsidRPr="00F707F6">
        <w:rPr>
          <w:rFonts w:ascii="Bookman Old Style" w:hAnsi="Bookman Old Style"/>
          <w:sz w:val="24"/>
          <w:szCs w:val="24"/>
        </w:rPr>
        <w:t xml:space="preserve">capacidad de transporte. Por su parte, para los proyectos de conexión de </w:t>
      </w:r>
      <w:r w:rsidR="00FA79FB" w:rsidRPr="00F707F6">
        <w:rPr>
          <w:rFonts w:ascii="Bookman Old Style" w:hAnsi="Bookman Old Style"/>
          <w:sz w:val="24"/>
          <w:szCs w:val="24"/>
        </w:rPr>
        <w:t>demanda</w:t>
      </w:r>
      <w:r w:rsidRPr="00F707F6">
        <w:rPr>
          <w:rFonts w:ascii="Bookman Old Style" w:hAnsi="Bookman Old Style"/>
          <w:sz w:val="24"/>
          <w:szCs w:val="24"/>
        </w:rPr>
        <w:t>, la fecha planeada de entrada en operación comercial debe estar dentro de un período máximo de cinco (5) años, contados a partir de la fecha en que</w:t>
      </w:r>
      <w:r w:rsidRPr="00F65511">
        <w:rPr>
          <w:rFonts w:ascii="Bookman Old Style" w:hAnsi="Bookman Old Style"/>
          <w:sz w:val="24"/>
          <w:szCs w:val="24"/>
        </w:rPr>
        <w:t xml:space="preserve"> se radique la solicitud de asignación de capacidad de transporte. En la solicitud de asignación de capacidad de transporte deberá presentarse la justificación de la fecha planeada.</w:t>
      </w:r>
    </w:p>
    <w:p w14:paraId="1CBF2FA7" w14:textId="77777777"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 xml:space="preserve">Si el interesado considera que la fecha planeada para la entrada en operación comercial del proyecto debe ser superior al período máximo mencionado, deberá presentar una solicitud de exención de este requisito, con su debida </w:t>
      </w:r>
      <w:r w:rsidRPr="00F65511">
        <w:rPr>
          <w:rFonts w:ascii="Bookman Old Style" w:hAnsi="Bookman Old Style"/>
          <w:sz w:val="24"/>
          <w:szCs w:val="24"/>
        </w:rPr>
        <w:lastRenderedPageBreak/>
        <w:t>justificación, para que el responsable de la asignación de la capacidad de transporte decida si acepta la solicitud.</w:t>
      </w:r>
    </w:p>
    <w:p w14:paraId="28FFC91A" w14:textId="7A7C0B80" w:rsidR="00F65511" w:rsidRPr="000B6FF6"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 xml:space="preserve">Cada año calendario, el responsable de la asignación de capacidad de transporte </w:t>
      </w:r>
      <w:r w:rsidRPr="00F707F6">
        <w:rPr>
          <w:rFonts w:ascii="Bookman Old Style" w:hAnsi="Bookman Old Style"/>
          <w:sz w:val="24"/>
          <w:szCs w:val="24"/>
        </w:rPr>
        <w:t>estudiará las solicitudes que sean radicadas, a través de la ventanilla única, hasta el 31 de marzo de ese año. Las solicitudes</w:t>
      </w:r>
      <w:r w:rsidR="00220734" w:rsidRPr="00F707F6">
        <w:rPr>
          <w:rFonts w:ascii="Bookman Old Style" w:hAnsi="Bookman Old Style"/>
          <w:sz w:val="24"/>
          <w:szCs w:val="24"/>
        </w:rPr>
        <w:t xml:space="preserve"> de proyectos de generación</w:t>
      </w:r>
      <w:r w:rsidRPr="00F707F6">
        <w:rPr>
          <w:rFonts w:ascii="Bookman Old Style" w:hAnsi="Bookman Old Style"/>
          <w:sz w:val="24"/>
          <w:szCs w:val="24"/>
        </w:rPr>
        <w:t xml:space="preserve"> radicadas con posterioridad a esta fecha serán estudiadas en los análisis del siguiente año calendario. </w:t>
      </w:r>
      <w:r w:rsidR="000B6FF6" w:rsidRPr="00F707F6">
        <w:rPr>
          <w:rFonts w:ascii="Bookman Old Style" w:hAnsi="Bookman Old Style"/>
          <w:sz w:val="24"/>
          <w:szCs w:val="24"/>
        </w:rPr>
        <w:t>L</w:t>
      </w:r>
      <w:r w:rsidRPr="00F707F6">
        <w:rPr>
          <w:rFonts w:ascii="Bookman Old Style" w:hAnsi="Bookman Old Style"/>
          <w:sz w:val="24"/>
          <w:szCs w:val="24"/>
        </w:rPr>
        <w:t>as solicitudes de proyectos de conexión de demanda</w:t>
      </w:r>
      <w:r w:rsidR="000B6FF6" w:rsidRPr="00F707F6">
        <w:rPr>
          <w:rFonts w:ascii="Bookman Old Style" w:hAnsi="Bookman Old Style"/>
          <w:sz w:val="24"/>
          <w:szCs w:val="24"/>
        </w:rPr>
        <w:t xml:space="preserve"> </w:t>
      </w:r>
      <w:r w:rsidR="00220734" w:rsidRPr="00F707F6">
        <w:rPr>
          <w:rFonts w:ascii="Bookman Old Style" w:hAnsi="Bookman Old Style"/>
          <w:sz w:val="24"/>
          <w:szCs w:val="24"/>
        </w:rPr>
        <w:t xml:space="preserve">podrán radicarse en </w:t>
      </w:r>
      <w:r w:rsidR="00EE2C67" w:rsidRPr="00F707F6">
        <w:rPr>
          <w:rFonts w:ascii="Bookman Old Style" w:hAnsi="Bookman Old Style"/>
          <w:sz w:val="24"/>
          <w:szCs w:val="24"/>
        </w:rPr>
        <w:t>fechas</w:t>
      </w:r>
      <w:r w:rsidR="00220734" w:rsidRPr="00F707F6">
        <w:rPr>
          <w:rFonts w:ascii="Bookman Old Style" w:hAnsi="Bookman Old Style"/>
          <w:sz w:val="24"/>
          <w:szCs w:val="24"/>
        </w:rPr>
        <w:t xml:space="preserve"> diferentes a</w:t>
      </w:r>
      <w:r w:rsidR="00EE2C67" w:rsidRPr="00F707F6">
        <w:rPr>
          <w:rFonts w:ascii="Bookman Old Style" w:hAnsi="Bookman Old Style"/>
          <w:sz w:val="24"/>
          <w:szCs w:val="24"/>
        </w:rPr>
        <w:t xml:space="preserve"> la</w:t>
      </w:r>
      <w:r w:rsidR="00220734" w:rsidRPr="00F707F6">
        <w:rPr>
          <w:rFonts w:ascii="Bookman Old Style" w:hAnsi="Bookman Old Style"/>
          <w:sz w:val="24"/>
          <w:szCs w:val="24"/>
        </w:rPr>
        <w:t xml:space="preserve"> mencionad</w:t>
      </w:r>
      <w:r w:rsidR="00EE2C67" w:rsidRPr="00F707F6">
        <w:rPr>
          <w:rFonts w:ascii="Bookman Old Style" w:hAnsi="Bookman Old Style"/>
          <w:sz w:val="24"/>
          <w:szCs w:val="24"/>
        </w:rPr>
        <w:t>a</w:t>
      </w:r>
      <w:r w:rsidR="005C4ACE" w:rsidRPr="00F707F6">
        <w:rPr>
          <w:rFonts w:ascii="Bookman Old Style" w:hAnsi="Bookman Old Style"/>
          <w:sz w:val="24"/>
          <w:szCs w:val="24"/>
        </w:rPr>
        <w:t>.</w:t>
      </w:r>
    </w:p>
    <w:p w14:paraId="5E901ACF" w14:textId="77777777"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La radicación de una solicitud de asignación de capacidad de transporte de un proyecto clase 1 deberá hacerse a través de la ventanilla única siguiendo el procedimiento que para tal fin defina el responsable de la asignación. Junto con la solicitud se deberá incluir el estudio de conexión y el estudio de disponibilidad de espacio físico para la conexión del proyecto al SIN.</w:t>
      </w:r>
    </w:p>
    <w:p w14:paraId="59614FD7" w14:textId="77777777"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Para el caso de los generadores que estén interesados en acogerse a lo previsto en la Resolución CREG 200 de 2019, o la que la modifique o sustituya, deberán informarlo en su solicitud, indicando los otros proyectos de generación con los cuales se compartirán los activos de conexión.</w:t>
      </w:r>
    </w:p>
    <w:p w14:paraId="0540C061" w14:textId="659B2C0E"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En el caso de</w:t>
      </w:r>
      <w:r>
        <w:rPr>
          <w:rFonts w:ascii="Bookman Old Style" w:hAnsi="Bookman Old Style"/>
          <w:sz w:val="24"/>
          <w:szCs w:val="24"/>
        </w:rPr>
        <w:t xml:space="preserve"> proyectos</w:t>
      </w:r>
      <w:r w:rsidRPr="00F65511">
        <w:rPr>
          <w:rFonts w:ascii="Bookman Old Style" w:hAnsi="Bookman Old Style"/>
          <w:sz w:val="24"/>
          <w:szCs w:val="24"/>
        </w:rPr>
        <w:t xml:space="preserve"> conexión de </w:t>
      </w:r>
      <w:r>
        <w:rPr>
          <w:rFonts w:ascii="Bookman Old Style" w:hAnsi="Bookman Old Style"/>
          <w:sz w:val="24"/>
          <w:szCs w:val="24"/>
        </w:rPr>
        <w:t>demanda</w:t>
      </w:r>
      <w:r w:rsidRPr="00F65511">
        <w:rPr>
          <w:rFonts w:ascii="Bookman Old Style" w:hAnsi="Bookman Old Style"/>
          <w:sz w:val="24"/>
          <w:szCs w:val="24"/>
        </w:rPr>
        <w:t>, el interesado podrá solicitar la asignación de capacidad de transporte directamente, a través de un comercializador o a través de un tercero. El responsable de la asignación deberá estudiar la solicitud, sin perjuicio de quien la presente. Cuando el interesado no haga la solicitud directamente, el solicitante deberá acreditar que representa al interesado, mediante comunicación suscrita por este.</w:t>
      </w:r>
    </w:p>
    <w:p w14:paraId="2020F17A" w14:textId="77777777"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 xml:space="preserve">El responsable de la asignación definirá la tarifa que deberá cancelar el interesado por la revisión y análisis de la solicitud. </w:t>
      </w:r>
    </w:p>
    <w:p w14:paraId="2ADC9D8E" w14:textId="77777777"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 xml:space="preserve">El responsable de la asignación de capacidad de transporte deberá informar, dentro del plazo que defina en el procedimiento de asignación de capacidad de transporte y a través de la ventanilla única, sobre la completitud de la documentación del proyecto o, en caso de ser necesario, solicitar, por una única vez, la entrega de documento(s) faltante(s) o incompleto(s). </w:t>
      </w:r>
    </w:p>
    <w:p w14:paraId="6C9507F5" w14:textId="77777777"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 xml:space="preserve">El plazo para la entrega de documentación faltante o incompleta por parte del interesado será definido por el responsable de la asignación de capacidad de transporte en el procedimiento que implemente para tal fin. No obstante, todas las actividades efectuadas durante el proceso de asignación de capacidad de transporte deben realizarse y quedar registradas en la ventanilla única. </w:t>
      </w:r>
    </w:p>
    <w:p w14:paraId="2C5F24C3" w14:textId="77777777"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Cumplido el plazo para la entrega de los documentos faltantes o incompletos, el responsable de la asignación de capacidad de transporte informará, a través de la ventanilla única, si se ha completado la documentación con las características y en los plazos previstos. Ante el incumplimiento del plazo de entrega de la documentación solicitada, o si la entrega es insuficiente, se entenderá que el interesado desiste de la solicitud.</w:t>
      </w:r>
    </w:p>
    <w:p w14:paraId="59120FE6" w14:textId="77777777" w:rsidR="00F65511" w:rsidRPr="00F65511" w:rsidRDefault="00F65511" w:rsidP="009670E8">
      <w:pPr>
        <w:pStyle w:val="Cita"/>
        <w:ind w:left="284" w:right="0"/>
        <w:rPr>
          <w:rFonts w:ascii="Bookman Old Style" w:hAnsi="Bookman Old Style"/>
          <w:sz w:val="24"/>
          <w:szCs w:val="24"/>
        </w:rPr>
      </w:pPr>
      <w:r w:rsidRPr="00F65511">
        <w:rPr>
          <w:rFonts w:ascii="Bookman Old Style" w:hAnsi="Bookman Old Style"/>
          <w:sz w:val="24"/>
          <w:szCs w:val="24"/>
        </w:rPr>
        <w:t xml:space="preserve">Una solicitud de asignación de capacidad de transporte tendrá como fecha de radicación formal el día en que, cumplidos los requisitos y el procedimiento, </w:t>
      </w:r>
      <w:r w:rsidRPr="00F65511">
        <w:rPr>
          <w:rFonts w:ascii="Bookman Old Style" w:hAnsi="Bookman Old Style"/>
          <w:sz w:val="24"/>
          <w:szCs w:val="24"/>
        </w:rPr>
        <w:lastRenderedPageBreak/>
        <w:t xml:space="preserve">haya sido entregada la documentación completa. En este mismo día y de manera automática, a través de la ventanilla única, deberá notificársele al transportador que se ha radicado una solicitud de conexión a su sistema, para que este descargue de allí los documentos relacionados. </w:t>
      </w:r>
    </w:p>
    <w:p w14:paraId="24F8DA33" w14:textId="0A1A5638" w:rsidR="00F65511" w:rsidRPr="00F65511" w:rsidRDefault="00F65511" w:rsidP="009670E8">
      <w:pPr>
        <w:pStyle w:val="Cita"/>
        <w:ind w:left="284" w:right="0"/>
        <w:rPr>
          <w:rFonts w:ascii="Bookman Old Style" w:hAnsi="Bookman Old Style"/>
          <w:b/>
          <w:bCs/>
          <w:sz w:val="24"/>
          <w:szCs w:val="24"/>
        </w:rPr>
      </w:pPr>
      <w:r w:rsidRPr="00F65511">
        <w:rPr>
          <w:rFonts w:ascii="Bookman Old Style" w:hAnsi="Bookman Old Style"/>
          <w:b/>
          <w:bCs/>
          <w:sz w:val="24"/>
          <w:szCs w:val="24"/>
        </w:rPr>
        <w:t>Parágrafo.</w:t>
      </w:r>
      <w:r w:rsidRPr="00F65511">
        <w:rPr>
          <w:rFonts w:ascii="Bookman Old Style" w:hAnsi="Bookman Old Style"/>
          <w:sz w:val="24"/>
          <w:szCs w:val="24"/>
        </w:rPr>
        <w:t xml:space="preserve"> En los documentos de invitación a participar en las convocatorias abiertas para asignar obligaciones a generadores</w:t>
      </w:r>
      <w:r w:rsidR="007B1BD6">
        <w:rPr>
          <w:rFonts w:ascii="Bookman Old Style" w:hAnsi="Bookman Old Style"/>
          <w:sz w:val="24"/>
          <w:szCs w:val="24"/>
        </w:rPr>
        <w:t>,</w:t>
      </w:r>
      <w:r w:rsidRPr="00F65511">
        <w:rPr>
          <w:rFonts w:ascii="Bookman Old Style" w:hAnsi="Bookman Old Style"/>
          <w:sz w:val="24"/>
          <w:szCs w:val="24"/>
        </w:rPr>
        <w:t xml:space="preserve"> a través de mecanismos dispuestos por el Gobierno Nacional, el Ministerio de Minas y Energía o la CREG, se definirá el plazo máximo para presentar solicitudes de asignación de capacidad de transporte, en el caso de que los resultados de las convocatorias se conozcan después del 31 marzo del respectivo año.</w:t>
      </w:r>
    </w:p>
    <w:p w14:paraId="33315C49" w14:textId="02F33D5A" w:rsidR="00980152" w:rsidRDefault="00840277" w:rsidP="00F0138E">
      <w:pPr>
        <w:numPr>
          <w:ilvl w:val="0"/>
          <w:numId w:val="36"/>
        </w:numPr>
        <w:tabs>
          <w:tab w:val="left" w:pos="1701"/>
          <w:tab w:val="num" w:pos="2150"/>
        </w:tabs>
        <w:spacing w:before="240" w:after="240"/>
        <w:rPr>
          <w:rFonts w:cs="Arial"/>
        </w:rPr>
      </w:pPr>
      <w:r>
        <w:rPr>
          <w:rFonts w:cs="Arial"/>
        </w:rPr>
        <w:t>Adicionar un parágrafo a</w:t>
      </w:r>
      <w:r w:rsidR="00220734" w:rsidRPr="00220734">
        <w:rPr>
          <w:rFonts w:cs="Arial"/>
        </w:rPr>
        <w:t xml:space="preserve">l artículo </w:t>
      </w:r>
      <w:r w:rsidR="00220734">
        <w:rPr>
          <w:rFonts w:cs="Arial"/>
        </w:rPr>
        <w:t>11</w:t>
      </w:r>
      <w:r w:rsidR="00220734" w:rsidRPr="00220734">
        <w:rPr>
          <w:rFonts w:cs="Arial"/>
        </w:rPr>
        <w:t xml:space="preserve"> de la Resolución CREG 075 de 2021, el cual quedará así:</w:t>
      </w:r>
    </w:p>
    <w:p w14:paraId="72D63754" w14:textId="4BD14739" w:rsidR="003579E7" w:rsidRPr="00C16CA2" w:rsidRDefault="00840277" w:rsidP="00817F07">
      <w:pPr>
        <w:pStyle w:val="Cita"/>
        <w:ind w:left="284" w:right="0"/>
        <w:rPr>
          <w:rFonts w:ascii="Bookman Old Style" w:hAnsi="Bookman Old Style"/>
          <w:sz w:val="24"/>
          <w:szCs w:val="24"/>
        </w:rPr>
      </w:pPr>
      <w:r w:rsidRPr="00C16CA2">
        <w:rPr>
          <w:rFonts w:ascii="Bookman Old Style" w:hAnsi="Bookman Old Style"/>
          <w:b/>
          <w:bCs/>
          <w:sz w:val="24"/>
          <w:szCs w:val="24"/>
        </w:rPr>
        <w:t xml:space="preserve">Parágrafo. </w:t>
      </w:r>
      <w:r w:rsidR="00264030" w:rsidRPr="00C16CA2">
        <w:rPr>
          <w:rFonts w:ascii="Bookman Old Style" w:hAnsi="Bookman Old Style"/>
          <w:sz w:val="24"/>
          <w:szCs w:val="24"/>
        </w:rPr>
        <w:t>El responsable de la asignación de capacidad de transporte establecer</w:t>
      </w:r>
      <w:r w:rsidR="00D02B04" w:rsidRPr="00C16CA2">
        <w:rPr>
          <w:rFonts w:ascii="Bookman Old Style" w:hAnsi="Bookman Old Style"/>
          <w:sz w:val="24"/>
          <w:szCs w:val="24"/>
        </w:rPr>
        <w:t>á</w:t>
      </w:r>
      <w:r w:rsidR="00264030" w:rsidRPr="00C16CA2">
        <w:rPr>
          <w:rFonts w:ascii="Bookman Old Style" w:hAnsi="Bookman Old Style"/>
          <w:sz w:val="24"/>
          <w:szCs w:val="24"/>
        </w:rPr>
        <w:t xml:space="preserve"> un procedimiento especial para </w:t>
      </w:r>
      <w:r w:rsidR="003579E7" w:rsidRPr="00C16CA2">
        <w:rPr>
          <w:rFonts w:ascii="Bookman Old Style" w:hAnsi="Bookman Old Style"/>
          <w:sz w:val="24"/>
          <w:szCs w:val="24"/>
        </w:rPr>
        <w:t>asignación de capacidad de transporte de</w:t>
      </w:r>
      <w:r w:rsidR="00264030" w:rsidRPr="00C16CA2">
        <w:rPr>
          <w:rFonts w:ascii="Bookman Old Style" w:hAnsi="Bookman Old Style"/>
          <w:sz w:val="24"/>
          <w:szCs w:val="24"/>
        </w:rPr>
        <w:t xml:space="preserve"> los</w:t>
      </w:r>
      <w:r w:rsidR="003579E7" w:rsidRPr="00C16CA2">
        <w:rPr>
          <w:rFonts w:ascii="Bookman Old Style" w:hAnsi="Bookman Old Style"/>
          <w:sz w:val="24"/>
          <w:szCs w:val="24"/>
        </w:rPr>
        <w:t xml:space="preserve"> proyectos de</w:t>
      </w:r>
      <w:r w:rsidR="00953E66" w:rsidRPr="00C16CA2">
        <w:rPr>
          <w:rFonts w:ascii="Bookman Old Style" w:hAnsi="Bookman Old Style"/>
          <w:sz w:val="24"/>
          <w:szCs w:val="24"/>
        </w:rPr>
        <w:t xml:space="preserve"> conexión de demanda</w:t>
      </w:r>
      <w:r w:rsidR="003579E7" w:rsidRPr="00C16CA2">
        <w:rPr>
          <w:rFonts w:ascii="Bookman Old Style" w:hAnsi="Bookman Old Style"/>
          <w:sz w:val="24"/>
          <w:szCs w:val="24"/>
        </w:rPr>
        <w:t xml:space="preserve"> </w:t>
      </w:r>
      <w:r w:rsidR="00A378C7" w:rsidRPr="00C16CA2">
        <w:rPr>
          <w:rFonts w:ascii="Bookman Old Style" w:hAnsi="Bookman Old Style"/>
          <w:sz w:val="24"/>
          <w:szCs w:val="24"/>
        </w:rPr>
        <w:t>que,</w:t>
      </w:r>
      <w:r w:rsidR="003229A0" w:rsidRPr="00C16CA2">
        <w:rPr>
          <w:rFonts w:ascii="Bookman Old Style" w:hAnsi="Bookman Old Style"/>
          <w:sz w:val="24"/>
          <w:szCs w:val="24"/>
        </w:rPr>
        <w:t xml:space="preserve"> de acuerdo con sus análisis</w:t>
      </w:r>
      <w:r w:rsidR="00502F9C" w:rsidRPr="00C16CA2">
        <w:rPr>
          <w:rFonts w:ascii="Bookman Old Style" w:hAnsi="Bookman Old Style"/>
          <w:sz w:val="24"/>
          <w:szCs w:val="24"/>
        </w:rPr>
        <w:t>,</w:t>
      </w:r>
      <w:r w:rsidR="003229A0" w:rsidRPr="00C16CA2">
        <w:rPr>
          <w:rFonts w:ascii="Bookman Old Style" w:hAnsi="Bookman Old Style"/>
          <w:sz w:val="24"/>
          <w:szCs w:val="24"/>
        </w:rPr>
        <w:t xml:space="preserve"> </w:t>
      </w:r>
      <w:r w:rsidR="00264030" w:rsidRPr="00C16CA2">
        <w:rPr>
          <w:rFonts w:ascii="Bookman Old Style" w:hAnsi="Bookman Old Style"/>
          <w:sz w:val="24"/>
          <w:szCs w:val="24"/>
        </w:rPr>
        <w:t xml:space="preserve">no requieran ser </w:t>
      </w:r>
      <w:r w:rsidR="00C16CA2" w:rsidRPr="00C16CA2">
        <w:rPr>
          <w:rFonts w:ascii="Bookman Old Style" w:hAnsi="Bookman Old Style"/>
          <w:sz w:val="24"/>
          <w:szCs w:val="24"/>
        </w:rPr>
        <w:t>estudiados</w:t>
      </w:r>
      <w:r w:rsidR="00264030" w:rsidRPr="00C16CA2">
        <w:rPr>
          <w:rFonts w:ascii="Bookman Old Style" w:hAnsi="Bookman Old Style"/>
          <w:sz w:val="24"/>
          <w:szCs w:val="24"/>
        </w:rPr>
        <w:t xml:space="preserve"> de manera conjunta con </w:t>
      </w:r>
      <w:r w:rsidR="00A378C7" w:rsidRPr="00C16CA2">
        <w:rPr>
          <w:rFonts w:ascii="Bookman Old Style" w:hAnsi="Bookman Old Style"/>
          <w:sz w:val="24"/>
          <w:szCs w:val="24"/>
        </w:rPr>
        <w:t xml:space="preserve">los demás </w:t>
      </w:r>
      <w:r w:rsidR="00264030" w:rsidRPr="00C16CA2">
        <w:rPr>
          <w:rFonts w:ascii="Bookman Old Style" w:hAnsi="Bookman Old Style"/>
          <w:sz w:val="24"/>
          <w:szCs w:val="24"/>
        </w:rPr>
        <w:t>pro</w:t>
      </w:r>
      <w:r w:rsidR="00A378C7" w:rsidRPr="00C16CA2">
        <w:rPr>
          <w:rFonts w:ascii="Bookman Old Style" w:hAnsi="Bookman Old Style"/>
          <w:sz w:val="24"/>
          <w:szCs w:val="24"/>
        </w:rPr>
        <w:t>yectos</w:t>
      </w:r>
      <w:r w:rsidR="00476BF2" w:rsidRPr="00C16CA2">
        <w:rPr>
          <w:rFonts w:ascii="Bookman Old Style" w:hAnsi="Bookman Old Style"/>
          <w:sz w:val="24"/>
          <w:szCs w:val="24"/>
        </w:rPr>
        <w:t xml:space="preserve"> de generación o de demanda</w:t>
      </w:r>
      <w:r w:rsidR="003229A0" w:rsidRPr="00C16CA2">
        <w:rPr>
          <w:rFonts w:ascii="Bookman Old Style" w:hAnsi="Bookman Old Style"/>
          <w:sz w:val="24"/>
          <w:szCs w:val="24"/>
        </w:rPr>
        <w:t>.</w:t>
      </w:r>
      <w:r w:rsidR="00DF4100" w:rsidRPr="00C16CA2">
        <w:rPr>
          <w:rFonts w:ascii="Bookman Old Style" w:hAnsi="Bookman Old Style"/>
          <w:sz w:val="24"/>
          <w:szCs w:val="24"/>
        </w:rPr>
        <w:t xml:space="preserve"> </w:t>
      </w:r>
      <w:r w:rsidR="00FA79FB" w:rsidRPr="00C16CA2">
        <w:rPr>
          <w:rFonts w:ascii="Bookman Old Style" w:hAnsi="Bookman Old Style"/>
          <w:sz w:val="24"/>
          <w:szCs w:val="24"/>
        </w:rPr>
        <w:t>Este procedimiento</w:t>
      </w:r>
      <w:r w:rsidR="00A378C7" w:rsidRPr="00C16CA2">
        <w:rPr>
          <w:rFonts w:ascii="Bookman Old Style" w:hAnsi="Bookman Old Style"/>
          <w:sz w:val="24"/>
          <w:szCs w:val="24"/>
        </w:rPr>
        <w:t xml:space="preserve"> especial</w:t>
      </w:r>
      <w:r w:rsidR="00FA79FB" w:rsidRPr="00C16CA2">
        <w:rPr>
          <w:rFonts w:ascii="Bookman Old Style" w:hAnsi="Bookman Old Style"/>
          <w:sz w:val="24"/>
          <w:szCs w:val="24"/>
        </w:rPr>
        <w:t xml:space="preserve"> será definido </w:t>
      </w:r>
      <w:r w:rsidR="00BE0371" w:rsidRPr="00C16CA2">
        <w:rPr>
          <w:rFonts w:ascii="Bookman Old Style" w:hAnsi="Bookman Old Style"/>
          <w:sz w:val="24"/>
          <w:szCs w:val="24"/>
        </w:rPr>
        <w:t>por el</w:t>
      </w:r>
      <w:r w:rsidR="00FA79FB" w:rsidRPr="00C16CA2">
        <w:rPr>
          <w:rFonts w:ascii="Bookman Old Style" w:hAnsi="Bookman Old Style"/>
          <w:sz w:val="24"/>
          <w:szCs w:val="24"/>
        </w:rPr>
        <w:t xml:space="preserve"> responsable de la asignación de capacidad de transporte</w:t>
      </w:r>
      <w:r w:rsidR="003427F5" w:rsidRPr="00C16CA2">
        <w:rPr>
          <w:rFonts w:ascii="Bookman Old Style" w:hAnsi="Bookman Old Style"/>
          <w:sz w:val="24"/>
          <w:szCs w:val="24"/>
        </w:rPr>
        <w:t xml:space="preserve"> y </w:t>
      </w:r>
      <w:r w:rsidR="00BE0371" w:rsidRPr="00C16CA2">
        <w:rPr>
          <w:rFonts w:ascii="Bookman Old Style" w:hAnsi="Bookman Old Style"/>
          <w:sz w:val="24"/>
          <w:szCs w:val="24"/>
        </w:rPr>
        <w:t>será publicado en su sitio web. E</w:t>
      </w:r>
      <w:r w:rsidRPr="00C16CA2">
        <w:rPr>
          <w:rFonts w:ascii="Bookman Old Style" w:hAnsi="Bookman Old Style"/>
          <w:sz w:val="24"/>
          <w:szCs w:val="24"/>
        </w:rPr>
        <w:t>l plazo en que serán emitidos los conce</w:t>
      </w:r>
      <w:r w:rsidR="003427F5" w:rsidRPr="00C16CA2">
        <w:rPr>
          <w:rFonts w:ascii="Bookman Old Style" w:hAnsi="Bookman Old Style"/>
          <w:sz w:val="24"/>
          <w:szCs w:val="24"/>
        </w:rPr>
        <w:t>p</w:t>
      </w:r>
      <w:r w:rsidRPr="00C16CA2">
        <w:rPr>
          <w:rFonts w:ascii="Bookman Old Style" w:hAnsi="Bookman Old Style"/>
          <w:sz w:val="24"/>
          <w:szCs w:val="24"/>
        </w:rPr>
        <w:t>tos de conexión</w:t>
      </w:r>
      <w:r w:rsidR="00BE0371" w:rsidRPr="00C16CA2">
        <w:rPr>
          <w:rFonts w:ascii="Bookman Old Style" w:hAnsi="Bookman Old Style"/>
          <w:sz w:val="24"/>
          <w:szCs w:val="24"/>
        </w:rPr>
        <w:t xml:space="preserve"> de estos proyectos</w:t>
      </w:r>
      <w:r w:rsidRPr="00C16CA2">
        <w:rPr>
          <w:rFonts w:ascii="Bookman Old Style" w:hAnsi="Bookman Old Style"/>
          <w:sz w:val="24"/>
          <w:szCs w:val="24"/>
        </w:rPr>
        <w:t xml:space="preserve"> </w:t>
      </w:r>
      <w:r w:rsidR="00BE0371" w:rsidRPr="00C16CA2">
        <w:rPr>
          <w:rFonts w:ascii="Bookman Old Style" w:hAnsi="Bookman Old Style"/>
          <w:sz w:val="24"/>
          <w:szCs w:val="24"/>
        </w:rPr>
        <w:t>será fijado dentro de</w:t>
      </w:r>
      <w:r w:rsidR="0069546C" w:rsidRPr="00C16CA2">
        <w:rPr>
          <w:rFonts w:ascii="Bookman Old Style" w:hAnsi="Bookman Old Style"/>
          <w:sz w:val="24"/>
          <w:szCs w:val="24"/>
        </w:rPr>
        <w:t>l</w:t>
      </w:r>
      <w:r w:rsidRPr="00C16CA2">
        <w:rPr>
          <w:rFonts w:ascii="Bookman Old Style" w:hAnsi="Bookman Old Style"/>
          <w:sz w:val="24"/>
          <w:szCs w:val="24"/>
        </w:rPr>
        <w:t xml:space="preserve"> </w:t>
      </w:r>
      <w:r w:rsidR="003427F5" w:rsidRPr="00C16CA2">
        <w:rPr>
          <w:rFonts w:ascii="Bookman Old Style" w:hAnsi="Bookman Old Style"/>
          <w:sz w:val="24"/>
          <w:szCs w:val="24"/>
        </w:rPr>
        <w:t>procedimiento.</w:t>
      </w:r>
    </w:p>
    <w:p w14:paraId="3B5DDC7D" w14:textId="5514FA6B" w:rsidR="001105CA" w:rsidRPr="00C16CA2" w:rsidRDefault="001105CA" w:rsidP="00817F07">
      <w:pPr>
        <w:pStyle w:val="Cita"/>
        <w:ind w:left="284" w:right="0"/>
        <w:rPr>
          <w:b/>
          <w:szCs w:val="24"/>
        </w:rPr>
      </w:pPr>
      <w:r w:rsidRPr="00C16CA2">
        <w:rPr>
          <w:rFonts w:ascii="Bookman Old Style" w:hAnsi="Bookman Old Style"/>
          <w:sz w:val="24"/>
          <w:szCs w:val="24"/>
        </w:rPr>
        <w:t xml:space="preserve">El responsable de la asignación de capacidad de transporte informará a los interesados </w:t>
      </w:r>
      <w:r w:rsidR="00EB31C1" w:rsidRPr="00C16CA2">
        <w:rPr>
          <w:rFonts w:ascii="Bookman Old Style" w:hAnsi="Bookman Old Style"/>
          <w:sz w:val="24"/>
          <w:szCs w:val="24"/>
        </w:rPr>
        <w:t>cuando</w:t>
      </w:r>
      <w:r w:rsidRPr="00C16CA2">
        <w:rPr>
          <w:rFonts w:ascii="Bookman Old Style" w:hAnsi="Bookman Old Style"/>
          <w:sz w:val="24"/>
          <w:szCs w:val="24"/>
        </w:rPr>
        <w:t xml:space="preserve"> sus proyectos va</w:t>
      </w:r>
      <w:r w:rsidR="00EB31C1" w:rsidRPr="00C16CA2">
        <w:rPr>
          <w:rFonts w:ascii="Bookman Old Style" w:hAnsi="Bookman Old Style"/>
          <w:sz w:val="24"/>
          <w:szCs w:val="24"/>
        </w:rPr>
        <w:t>ya</w:t>
      </w:r>
      <w:r w:rsidRPr="00C16CA2">
        <w:rPr>
          <w:rFonts w:ascii="Bookman Old Style" w:hAnsi="Bookman Old Style"/>
          <w:sz w:val="24"/>
          <w:szCs w:val="24"/>
        </w:rPr>
        <w:t>n a ser analizados con base en el procedimiento especial antes mencionado.</w:t>
      </w:r>
    </w:p>
    <w:p w14:paraId="3494EAB5" w14:textId="434683F9" w:rsidR="00980152" w:rsidRDefault="001C78BE" w:rsidP="00F0138E">
      <w:pPr>
        <w:numPr>
          <w:ilvl w:val="0"/>
          <w:numId w:val="36"/>
        </w:numPr>
        <w:tabs>
          <w:tab w:val="left" w:pos="1701"/>
          <w:tab w:val="num" w:pos="2150"/>
        </w:tabs>
        <w:spacing w:before="240" w:after="240"/>
      </w:pPr>
      <w:r>
        <w:t>Modificar el artículo 14 de la Resolución CREG 075 de 2021, el cual quedará así:</w:t>
      </w:r>
    </w:p>
    <w:p w14:paraId="224896FF" w14:textId="77777777" w:rsidR="001C78BE" w:rsidRPr="001C78BE" w:rsidRDefault="001C78BE" w:rsidP="00817F07">
      <w:pPr>
        <w:pStyle w:val="Cita"/>
        <w:ind w:left="284" w:right="0"/>
        <w:rPr>
          <w:rFonts w:ascii="Bookman Old Style" w:hAnsi="Bookman Old Style"/>
          <w:sz w:val="24"/>
          <w:szCs w:val="24"/>
        </w:rPr>
      </w:pPr>
      <w:r w:rsidRPr="001C78BE">
        <w:rPr>
          <w:rFonts w:ascii="Bookman Old Style" w:hAnsi="Bookman Old Style"/>
          <w:b/>
          <w:bCs/>
          <w:sz w:val="24"/>
          <w:szCs w:val="24"/>
        </w:rPr>
        <w:t>Artículo 14.</w:t>
      </w:r>
      <w:r w:rsidRPr="001C78BE">
        <w:rPr>
          <w:rFonts w:ascii="Bookman Old Style" w:hAnsi="Bookman Old Style"/>
          <w:b/>
          <w:bCs/>
          <w:sz w:val="24"/>
          <w:szCs w:val="24"/>
        </w:rPr>
        <w:tab/>
        <w:t>Desarrollo de las obras para la conexión al sistema de distribución.</w:t>
      </w:r>
      <w:r w:rsidRPr="001C78BE">
        <w:rPr>
          <w:rFonts w:ascii="Bookman Old Style" w:hAnsi="Bookman Old Style"/>
          <w:sz w:val="24"/>
          <w:szCs w:val="24"/>
        </w:rPr>
        <w:t xml:space="preserve"> El desarrollo de las obras para la conexión de proyectos clase 1 al sistema de distribución deberá tener en cuenta los aspectos técnicos establecidos en el Reglamento de Distribución, acogido mediante la Resolución CREG 070 de 1998 o aquellas que la modifiquen, adicionen o sustituyan.</w:t>
      </w:r>
    </w:p>
    <w:p w14:paraId="55D567BD" w14:textId="686DA152" w:rsidR="001C78BE" w:rsidRPr="001C78BE" w:rsidRDefault="001C78BE" w:rsidP="00817F07">
      <w:pPr>
        <w:pStyle w:val="Cita"/>
        <w:ind w:left="284" w:right="0"/>
        <w:rPr>
          <w:rFonts w:ascii="Bookman Old Style" w:hAnsi="Bookman Old Style"/>
          <w:sz w:val="24"/>
          <w:szCs w:val="24"/>
        </w:rPr>
      </w:pPr>
      <w:r w:rsidRPr="001C78BE">
        <w:rPr>
          <w:rFonts w:ascii="Bookman Old Style" w:hAnsi="Bookman Old Style"/>
          <w:sz w:val="24"/>
          <w:szCs w:val="24"/>
        </w:rPr>
        <w:t xml:space="preserve">Los proyectos </w:t>
      </w:r>
      <w:r w:rsidRPr="00F707F6">
        <w:rPr>
          <w:rFonts w:ascii="Bookman Old Style" w:hAnsi="Bookman Old Style"/>
          <w:sz w:val="24"/>
          <w:szCs w:val="24"/>
        </w:rPr>
        <w:t>de conexión al STR deberán ser diseñados, refrendados y ejecutados por los profesionales competentes para ello, teniendo en cuenta lo que disponen las normas que regulan el ejercicio de las profesiones</w:t>
      </w:r>
      <w:r w:rsidR="00C654CD" w:rsidRPr="00F707F6">
        <w:rPr>
          <w:rFonts w:ascii="Bookman Old Style" w:hAnsi="Bookman Old Style"/>
          <w:sz w:val="24"/>
          <w:szCs w:val="24"/>
        </w:rPr>
        <w:t xml:space="preserve"> y </w:t>
      </w:r>
      <w:r w:rsidRPr="00F707F6">
        <w:rPr>
          <w:rFonts w:ascii="Bookman Old Style" w:hAnsi="Bookman Old Style"/>
          <w:sz w:val="24"/>
          <w:szCs w:val="24"/>
        </w:rPr>
        <w:t xml:space="preserve">las competencias profesionales </w:t>
      </w:r>
      <w:r w:rsidR="00C654CD" w:rsidRPr="00F707F6">
        <w:rPr>
          <w:rFonts w:ascii="Bookman Old Style" w:hAnsi="Bookman Old Style"/>
          <w:sz w:val="24"/>
          <w:szCs w:val="24"/>
        </w:rPr>
        <w:t xml:space="preserve">mencionadas en </w:t>
      </w:r>
      <w:r w:rsidRPr="00F707F6">
        <w:rPr>
          <w:rFonts w:ascii="Bookman Old Style" w:hAnsi="Bookman Old Style"/>
          <w:sz w:val="24"/>
          <w:szCs w:val="24"/>
        </w:rPr>
        <w:t>el Reglamento Técnico de Instalaciones Eléctricas, RETIE.</w:t>
      </w:r>
    </w:p>
    <w:p w14:paraId="76F992DA" w14:textId="2FF0CE41" w:rsidR="001C78BE" w:rsidRPr="001C78BE" w:rsidRDefault="001C78BE" w:rsidP="00817F07">
      <w:pPr>
        <w:pStyle w:val="Cita"/>
        <w:ind w:left="284" w:right="0"/>
        <w:rPr>
          <w:rFonts w:ascii="Bookman Old Style" w:hAnsi="Bookman Old Style"/>
          <w:sz w:val="24"/>
          <w:szCs w:val="24"/>
        </w:rPr>
      </w:pPr>
      <w:r w:rsidRPr="001C78BE">
        <w:rPr>
          <w:rFonts w:ascii="Bookman Old Style" w:hAnsi="Bookman Old Style"/>
          <w:sz w:val="24"/>
          <w:szCs w:val="24"/>
        </w:rPr>
        <w:t>Las obras de infraestructura requeridas por el interesado deberán ser realizadas bajo su responsabilidad. No obstante, previo acuerdo entre el interesado y el transportador</w:t>
      </w:r>
      <w:r w:rsidRPr="00F707F6">
        <w:rPr>
          <w:rFonts w:ascii="Bookman Old Style" w:hAnsi="Bookman Old Style"/>
          <w:sz w:val="24"/>
          <w:szCs w:val="24"/>
        </w:rPr>
        <w:t xml:space="preserve">, </w:t>
      </w:r>
      <w:r w:rsidR="003F2D0D" w:rsidRPr="00F707F6">
        <w:rPr>
          <w:rFonts w:ascii="Bookman Old Style" w:hAnsi="Bookman Old Style"/>
          <w:sz w:val="24"/>
          <w:szCs w:val="24"/>
        </w:rPr>
        <w:t>e</w:t>
      </w:r>
      <w:r w:rsidRPr="00F707F6">
        <w:rPr>
          <w:rFonts w:ascii="Bookman Old Style" w:hAnsi="Bookman Old Style"/>
          <w:sz w:val="24"/>
          <w:szCs w:val="24"/>
        </w:rPr>
        <w:t>ste</w:t>
      </w:r>
      <w:r w:rsidRPr="001C78BE">
        <w:rPr>
          <w:rFonts w:ascii="Bookman Old Style" w:hAnsi="Bookman Old Style"/>
          <w:sz w:val="24"/>
          <w:szCs w:val="24"/>
        </w:rPr>
        <w:t xml:space="preserve"> último podrá ejecutar las obras de conexión. En este caso se establecerán los cargos a que hubiere lugar y el cronograma de ejecución del proyecto</w:t>
      </w:r>
      <w:r w:rsidR="00AC2510">
        <w:rPr>
          <w:rFonts w:ascii="Bookman Old Style" w:hAnsi="Bookman Old Style"/>
          <w:sz w:val="24"/>
          <w:szCs w:val="24"/>
        </w:rPr>
        <w:t>,</w:t>
      </w:r>
      <w:r w:rsidRPr="001C78BE">
        <w:rPr>
          <w:rFonts w:ascii="Bookman Old Style" w:hAnsi="Bookman Old Style"/>
          <w:sz w:val="24"/>
          <w:szCs w:val="24"/>
        </w:rPr>
        <w:t xml:space="preserve"> </w:t>
      </w:r>
      <w:r w:rsidR="00DB2E34">
        <w:rPr>
          <w:rFonts w:ascii="Bookman Old Style" w:hAnsi="Bookman Old Style"/>
          <w:sz w:val="24"/>
          <w:szCs w:val="24"/>
        </w:rPr>
        <w:t>los cuales harán parte del</w:t>
      </w:r>
      <w:r w:rsidRPr="001C78BE">
        <w:rPr>
          <w:rFonts w:ascii="Bookman Old Style" w:hAnsi="Bookman Old Style"/>
          <w:sz w:val="24"/>
          <w:szCs w:val="24"/>
        </w:rPr>
        <w:t xml:space="preserve"> contrato de conexión.</w:t>
      </w:r>
    </w:p>
    <w:p w14:paraId="5F83A330" w14:textId="77777777" w:rsidR="001C78BE" w:rsidRPr="001C78BE" w:rsidRDefault="001C78BE" w:rsidP="00817F07">
      <w:pPr>
        <w:pStyle w:val="Cita"/>
        <w:ind w:left="284" w:right="0"/>
        <w:rPr>
          <w:rFonts w:ascii="Bookman Old Style" w:hAnsi="Bookman Old Style"/>
          <w:sz w:val="24"/>
          <w:szCs w:val="24"/>
        </w:rPr>
      </w:pPr>
      <w:r w:rsidRPr="001C78BE">
        <w:rPr>
          <w:rFonts w:ascii="Bookman Old Style" w:hAnsi="Bookman Old Style"/>
          <w:sz w:val="24"/>
          <w:szCs w:val="24"/>
        </w:rPr>
        <w:t>En el caso de nuevos activos de uso construidos por el interesado</w:t>
      </w:r>
      <w:r w:rsidRPr="00F707F6">
        <w:rPr>
          <w:rFonts w:ascii="Bookman Old Style" w:hAnsi="Bookman Old Style"/>
          <w:sz w:val="24"/>
          <w:szCs w:val="24"/>
        </w:rPr>
        <w:t>, este</w:t>
      </w:r>
      <w:r w:rsidRPr="001C78BE">
        <w:rPr>
          <w:rFonts w:ascii="Bookman Old Style" w:hAnsi="Bookman Old Style"/>
          <w:sz w:val="24"/>
          <w:szCs w:val="24"/>
        </w:rPr>
        <w:t xml:space="preserve"> deberá presentar ante el transportador un instrumento financiero que garantice el cumplimiento de las normas técnicas establecidas en la Resolución CREG 070 </w:t>
      </w:r>
      <w:r w:rsidRPr="001C78BE">
        <w:rPr>
          <w:rFonts w:ascii="Bookman Old Style" w:hAnsi="Bookman Old Style"/>
          <w:sz w:val="24"/>
          <w:szCs w:val="24"/>
        </w:rPr>
        <w:lastRenderedPageBreak/>
        <w:t>de 1998, o la que lo modifique, adicione o sustituya, por un monto igual al veinte por ciento (20%) de las obras, y vigente por un período de cinco (5) años a partir de la puesta en servicio de los activos correspondientes.</w:t>
      </w:r>
    </w:p>
    <w:p w14:paraId="67C3C8AB" w14:textId="58185B27" w:rsidR="001C78BE" w:rsidRPr="001C78BE" w:rsidRDefault="001C78BE" w:rsidP="00817F07">
      <w:pPr>
        <w:pStyle w:val="Cita"/>
        <w:ind w:left="284" w:right="0"/>
        <w:rPr>
          <w:rFonts w:ascii="Bookman Old Style" w:hAnsi="Bookman Old Style"/>
          <w:sz w:val="24"/>
          <w:szCs w:val="24"/>
        </w:rPr>
      </w:pPr>
      <w:r w:rsidRPr="001C78BE">
        <w:rPr>
          <w:rFonts w:ascii="Bookman Old Style" w:hAnsi="Bookman Old Style"/>
          <w:sz w:val="24"/>
          <w:szCs w:val="24"/>
        </w:rPr>
        <w:t>En la solicitud que presente un interesado en conectar un proyecto clase 1 se deberá anexar copia de las licencias, permisos y requisitos legales aplicables al tipo de conexión que sean exigidos por las autoridades competentes.</w:t>
      </w:r>
    </w:p>
    <w:p w14:paraId="04C216F1" w14:textId="66D75A71" w:rsidR="00D538B7" w:rsidRDefault="00D538B7" w:rsidP="00F0138E">
      <w:pPr>
        <w:numPr>
          <w:ilvl w:val="0"/>
          <w:numId w:val="36"/>
        </w:numPr>
        <w:tabs>
          <w:tab w:val="left" w:pos="1701"/>
          <w:tab w:val="num" w:pos="2150"/>
        </w:tabs>
        <w:spacing w:before="240" w:after="240"/>
        <w:rPr>
          <w:rFonts w:cs="Arial"/>
        </w:rPr>
      </w:pPr>
      <w:r>
        <w:rPr>
          <w:rFonts w:cs="Arial"/>
        </w:rPr>
        <w:t>Modificar el artículo 3</w:t>
      </w:r>
      <w:r w:rsidR="00404968">
        <w:rPr>
          <w:rFonts w:cs="Arial"/>
        </w:rPr>
        <w:t>0</w:t>
      </w:r>
      <w:r>
        <w:rPr>
          <w:rFonts w:cs="Arial"/>
        </w:rPr>
        <w:t xml:space="preserve"> de la </w:t>
      </w:r>
      <w:r w:rsidR="008C0DB6">
        <w:rPr>
          <w:rFonts w:cs="Arial"/>
        </w:rPr>
        <w:t xml:space="preserve">Resolución </w:t>
      </w:r>
      <w:r>
        <w:rPr>
          <w:rFonts w:cs="Arial"/>
        </w:rPr>
        <w:t>CREG 075 de 2021, el cual quedará así:</w:t>
      </w:r>
    </w:p>
    <w:p w14:paraId="5CBB2085" w14:textId="2EA76721" w:rsidR="00404968" w:rsidRPr="007838B1" w:rsidRDefault="00404968" w:rsidP="00817F07">
      <w:pPr>
        <w:pStyle w:val="Cita"/>
        <w:ind w:left="284" w:right="0"/>
        <w:rPr>
          <w:rFonts w:ascii="Bookman Old Style" w:hAnsi="Bookman Old Style"/>
          <w:sz w:val="24"/>
          <w:szCs w:val="24"/>
        </w:rPr>
      </w:pPr>
      <w:r w:rsidRPr="007838B1">
        <w:rPr>
          <w:rFonts w:ascii="Bookman Old Style" w:hAnsi="Bookman Old Style"/>
          <w:b/>
          <w:bCs/>
          <w:sz w:val="24"/>
          <w:szCs w:val="24"/>
        </w:rPr>
        <w:t>Artículo 30. Informes de seguimiento.</w:t>
      </w:r>
      <w:r w:rsidRPr="007838B1">
        <w:rPr>
          <w:rFonts w:ascii="Bookman Old Style" w:hAnsi="Bookman Old Style"/>
          <w:sz w:val="24"/>
          <w:szCs w:val="24"/>
        </w:rPr>
        <w:t xml:space="preserve"> Cada vez que se cumpla una fecha para completar uno de los hitos mencionados en el artículo 29, y cada vez que transcurran seis (6) meses desde el último hito que debió ser completado, el interesado deberá entregar un informe sobre el estado de avance del proyecto, donde se incluya la comparación </w:t>
      </w:r>
      <w:proofErr w:type="gramStart"/>
      <w:r w:rsidRPr="007838B1">
        <w:rPr>
          <w:rFonts w:ascii="Bookman Old Style" w:hAnsi="Bookman Old Style"/>
          <w:sz w:val="24"/>
          <w:szCs w:val="24"/>
        </w:rPr>
        <w:t>del mismo</w:t>
      </w:r>
      <w:proofErr w:type="gramEnd"/>
      <w:r w:rsidRPr="007838B1">
        <w:rPr>
          <w:rFonts w:ascii="Bookman Old Style" w:hAnsi="Bookman Old Style"/>
          <w:sz w:val="24"/>
          <w:szCs w:val="24"/>
        </w:rPr>
        <w:t xml:space="preserve"> con la “curva S de referencia”, y las explicaciones respectivas acerca de las diferencias.</w:t>
      </w:r>
    </w:p>
    <w:p w14:paraId="11DB6649" w14:textId="77777777" w:rsidR="00404968" w:rsidRPr="007838B1" w:rsidRDefault="00404968" w:rsidP="00817F07">
      <w:pPr>
        <w:pStyle w:val="Cita"/>
        <w:ind w:left="284" w:right="0"/>
        <w:rPr>
          <w:rFonts w:ascii="Bookman Old Style" w:hAnsi="Bookman Old Style"/>
          <w:sz w:val="24"/>
          <w:szCs w:val="24"/>
        </w:rPr>
      </w:pPr>
      <w:r w:rsidRPr="007838B1">
        <w:rPr>
          <w:rFonts w:ascii="Bookman Old Style" w:hAnsi="Bookman Old Style"/>
          <w:sz w:val="24"/>
          <w:szCs w:val="24"/>
        </w:rPr>
        <w:t>Si para la supervisión de la construcción del proyecto que se va a conectar se cuenta con una firma de interventoría, esta deberá ser la encargada de elaborar el respectivo informe. Si no se cuenta con dicha firma, el representante legal del interesado deberá suscribir el informe a entregar.</w:t>
      </w:r>
    </w:p>
    <w:p w14:paraId="28EFBB70" w14:textId="43698644" w:rsidR="00404968" w:rsidRPr="007838B1" w:rsidRDefault="000B6EAC" w:rsidP="00817F07">
      <w:pPr>
        <w:pStyle w:val="Cita"/>
        <w:ind w:left="284" w:right="0"/>
        <w:rPr>
          <w:rFonts w:ascii="Bookman Old Style" w:hAnsi="Bookman Old Style"/>
          <w:sz w:val="24"/>
          <w:szCs w:val="24"/>
        </w:rPr>
      </w:pPr>
      <w:r w:rsidRPr="000B6EAC">
        <w:rPr>
          <w:rFonts w:ascii="Bookman Old Style" w:hAnsi="Bookman Old Style"/>
          <w:sz w:val="24"/>
          <w:szCs w:val="24"/>
        </w:rPr>
        <w:t>Los informes deberán entregarse a través de la ventanilla única dentro de los treinta días calendario siguientes al evento que los origine, tal como se describe en el primer inciso de este artículo. El incumplimiento del plazo de entrega de los informes será equivalente al incumplimiento del hito a verificar</w:t>
      </w:r>
      <w:r w:rsidR="00404968" w:rsidRPr="00F707F6">
        <w:rPr>
          <w:rFonts w:ascii="Bookman Old Style" w:hAnsi="Bookman Old Style"/>
          <w:sz w:val="24"/>
          <w:szCs w:val="24"/>
        </w:rPr>
        <w:t>.</w:t>
      </w:r>
    </w:p>
    <w:p w14:paraId="2B7F7092" w14:textId="134DD069" w:rsidR="00D538B7" w:rsidRPr="007838B1" w:rsidRDefault="00404968" w:rsidP="00817F07">
      <w:pPr>
        <w:pStyle w:val="Cita"/>
        <w:ind w:left="284" w:right="0"/>
        <w:rPr>
          <w:rFonts w:ascii="Bookman Old Style" w:hAnsi="Bookman Old Style"/>
          <w:sz w:val="24"/>
          <w:szCs w:val="24"/>
        </w:rPr>
      </w:pPr>
      <w:r w:rsidRPr="007838B1">
        <w:rPr>
          <w:rFonts w:ascii="Bookman Old Style" w:hAnsi="Bookman Old Style"/>
          <w:b/>
          <w:bCs/>
          <w:sz w:val="24"/>
          <w:szCs w:val="24"/>
        </w:rPr>
        <w:t>Parágrafo.</w:t>
      </w:r>
      <w:r w:rsidRPr="007838B1">
        <w:rPr>
          <w:rFonts w:ascii="Bookman Old Style" w:hAnsi="Bookman Old Style"/>
          <w:sz w:val="24"/>
          <w:szCs w:val="24"/>
        </w:rPr>
        <w:t xml:space="preserve"> </w:t>
      </w:r>
      <w:r w:rsidR="007838B1" w:rsidRPr="007838B1">
        <w:rPr>
          <w:rFonts w:ascii="Bookman Old Style" w:hAnsi="Bookman Old Style"/>
          <w:sz w:val="24"/>
          <w:szCs w:val="24"/>
        </w:rPr>
        <w:t>Los informes definidos en este artículo deberán contener un resumen del avance del proyecto que pueda darse a conocer al público, el cual será divulgado por la UPME a través de la ventanilla única. Mientras entra en funcionamiento esta ventanilla, la UPME definirá la forma de dar a conocer los resúmenes recibidos. Como mínimo, el resumen del avance deberá informar el estado del proyecto, comparar la ejecución real con la proyectada, identificar los hitos cumplidos del artículo 29, y mostrar una fecha estimada del inicio de operación</w:t>
      </w:r>
      <w:r w:rsidR="003F15A3" w:rsidRPr="007838B1">
        <w:rPr>
          <w:rFonts w:ascii="Bookman Old Style" w:hAnsi="Bookman Old Style"/>
          <w:sz w:val="24"/>
          <w:szCs w:val="24"/>
        </w:rPr>
        <w:t>.</w:t>
      </w:r>
    </w:p>
    <w:p w14:paraId="2C28DB49" w14:textId="55DAD33A" w:rsidR="008C0DB6" w:rsidRDefault="008C0DB6" w:rsidP="00F0138E">
      <w:pPr>
        <w:numPr>
          <w:ilvl w:val="0"/>
          <w:numId w:val="36"/>
        </w:numPr>
        <w:tabs>
          <w:tab w:val="left" w:pos="1701"/>
          <w:tab w:val="num" w:pos="2150"/>
        </w:tabs>
        <w:spacing w:before="240" w:after="240"/>
        <w:rPr>
          <w:rFonts w:cs="Arial"/>
        </w:rPr>
      </w:pPr>
      <w:r>
        <w:rPr>
          <w:rFonts w:cs="Arial"/>
        </w:rPr>
        <w:t>Modificar el artículo 33 de la Resolución CREG 075 de 2021, el cual quedará así:</w:t>
      </w:r>
    </w:p>
    <w:p w14:paraId="7DF386F8" w14:textId="77777777" w:rsidR="008C0DB6" w:rsidRPr="008C0DB6" w:rsidRDefault="008C0DB6" w:rsidP="00817F07">
      <w:pPr>
        <w:pStyle w:val="Cita"/>
        <w:ind w:left="284" w:right="0"/>
        <w:rPr>
          <w:rFonts w:ascii="Bookman Old Style" w:hAnsi="Bookman Old Style"/>
          <w:sz w:val="24"/>
          <w:szCs w:val="24"/>
        </w:rPr>
      </w:pPr>
      <w:r w:rsidRPr="008C0DB6">
        <w:rPr>
          <w:rFonts w:ascii="Bookman Old Style" w:hAnsi="Bookman Old Style"/>
          <w:b/>
          <w:bCs/>
          <w:sz w:val="24"/>
          <w:szCs w:val="24"/>
        </w:rPr>
        <w:t>Artículo 33. Liberación de la capacidad de transporte.</w:t>
      </w:r>
      <w:r w:rsidRPr="008C0DB6">
        <w:rPr>
          <w:rFonts w:ascii="Bookman Old Style" w:hAnsi="Bookman Old Style"/>
          <w:sz w:val="24"/>
          <w:szCs w:val="24"/>
        </w:rPr>
        <w:t xml:space="preserve"> La capacidad de transporte asignada a un proyecto clase 1 en el concepto de conexión se liberará cuando ocurra al menos uno de los siguientes casos:</w:t>
      </w:r>
    </w:p>
    <w:p w14:paraId="028DD0CF" w14:textId="1ABD7507" w:rsidR="008C0DB6" w:rsidRPr="008C0DB6" w:rsidRDefault="008C0DB6" w:rsidP="00817F07">
      <w:pPr>
        <w:pStyle w:val="Cita"/>
        <w:numPr>
          <w:ilvl w:val="1"/>
          <w:numId w:val="33"/>
        </w:numPr>
        <w:ind w:right="0"/>
        <w:rPr>
          <w:rFonts w:ascii="Bookman Old Style" w:hAnsi="Bookman Old Style"/>
          <w:sz w:val="24"/>
          <w:szCs w:val="24"/>
        </w:rPr>
      </w:pPr>
      <w:r w:rsidRPr="008C0DB6">
        <w:rPr>
          <w:rFonts w:ascii="Bookman Old Style" w:hAnsi="Bookman Old Style"/>
          <w:sz w:val="24"/>
          <w:szCs w:val="24"/>
        </w:rPr>
        <w:t>Cuando en los informes de seguimiento se concluya que el proyecto no puede ser ejecutado.</w:t>
      </w:r>
    </w:p>
    <w:p w14:paraId="15903A4B" w14:textId="035019EC" w:rsidR="008C0DB6" w:rsidRPr="008C0DB6" w:rsidRDefault="008C0DB6" w:rsidP="00817F07">
      <w:pPr>
        <w:pStyle w:val="Cita"/>
        <w:numPr>
          <w:ilvl w:val="1"/>
          <w:numId w:val="33"/>
        </w:numPr>
        <w:ind w:right="0"/>
        <w:rPr>
          <w:rFonts w:ascii="Bookman Old Style" w:hAnsi="Bookman Old Style"/>
          <w:sz w:val="24"/>
          <w:szCs w:val="24"/>
        </w:rPr>
      </w:pPr>
      <w:r w:rsidRPr="008C0DB6">
        <w:rPr>
          <w:rFonts w:ascii="Bookman Old Style" w:hAnsi="Bookman Old Style"/>
          <w:sz w:val="24"/>
          <w:szCs w:val="24"/>
        </w:rPr>
        <w:t>El interesado no cumplió oportunamente las obligaciones establecidas en el último inciso del parágrafo 1 del artículo 24, en el artículo 28 o en el artículo 52.</w:t>
      </w:r>
    </w:p>
    <w:p w14:paraId="5918FF5A" w14:textId="32FF2D8E" w:rsidR="008C0DB6" w:rsidRPr="008C0DB6" w:rsidRDefault="008C0DB6" w:rsidP="00817F07">
      <w:pPr>
        <w:pStyle w:val="Cita"/>
        <w:numPr>
          <w:ilvl w:val="1"/>
          <w:numId w:val="33"/>
        </w:numPr>
        <w:ind w:right="0"/>
        <w:rPr>
          <w:rFonts w:ascii="Bookman Old Style" w:hAnsi="Bookman Old Style"/>
          <w:sz w:val="24"/>
          <w:szCs w:val="24"/>
        </w:rPr>
      </w:pPr>
      <w:r w:rsidRPr="008C0DB6">
        <w:rPr>
          <w:rFonts w:ascii="Bookman Old Style" w:hAnsi="Bookman Old Style"/>
          <w:sz w:val="24"/>
          <w:szCs w:val="24"/>
        </w:rPr>
        <w:lastRenderedPageBreak/>
        <w:t>El interesado no prorrogó la garantía de reserva de capacidad, o no actualizó el valor de la cobertura, en los términos establecidos en esta resolución.</w:t>
      </w:r>
    </w:p>
    <w:p w14:paraId="2F0901B4" w14:textId="450BE1B8" w:rsidR="008C0DB6" w:rsidRPr="00F707F6" w:rsidRDefault="008C0DB6" w:rsidP="00817F07">
      <w:pPr>
        <w:pStyle w:val="Cita"/>
        <w:numPr>
          <w:ilvl w:val="1"/>
          <w:numId w:val="33"/>
        </w:numPr>
        <w:ind w:right="0"/>
        <w:rPr>
          <w:rFonts w:ascii="Bookman Old Style" w:hAnsi="Bookman Old Style"/>
          <w:sz w:val="24"/>
          <w:szCs w:val="24"/>
        </w:rPr>
      </w:pPr>
      <w:r w:rsidRPr="008C0DB6">
        <w:rPr>
          <w:rFonts w:ascii="Bookman Old Style" w:hAnsi="Bookman Old Style"/>
          <w:sz w:val="24"/>
          <w:szCs w:val="24"/>
        </w:rPr>
        <w:t xml:space="preserve">Se llega a un tercer incumplimiento de acuerdo con lo previsto en el </w:t>
      </w:r>
      <w:r w:rsidRPr="00F707F6">
        <w:rPr>
          <w:rFonts w:ascii="Bookman Old Style" w:hAnsi="Bookman Old Style"/>
          <w:sz w:val="24"/>
          <w:szCs w:val="24"/>
        </w:rPr>
        <w:t>artículo 32.</w:t>
      </w:r>
    </w:p>
    <w:p w14:paraId="73DF2975" w14:textId="4D3428A2" w:rsidR="008C0DB6" w:rsidRPr="00F707F6" w:rsidRDefault="00E25DC1" w:rsidP="00817F07">
      <w:pPr>
        <w:pStyle w:val="Cita"/>
        <w:numPr>
          <w:ilvl w:val="1"/>
          <w:numId w:val="33"/>
        </w:numPr>
        <w:ind w:right="0"/>
        <w:rPr>
          <w:rFonts w:ascii="Bookman Old Style" w:hAnsi="Bookman Old Style"/>
          <w:sz w:val="24"/>
          <w:szCs w:val="24"/>
        </w:rPr>
      </w:pPr>
      <w:r w:rsidRPr="00F707F6">
        <w:rPr>
          <w:rFonts w:ascii="Bookman Old Style" w:hAnsi="Bookman Old Style"/>
          <w:sz w:val="24"/>
          <w:szCs w:val="24"/>
        </w:rPr>
        <w:t>Se cumple</w:t>
      </w:r>
      <w:r w:rsidR="00605FDB" w:rsidRPr="00F707F6">
        <w:rPr>
          <w:rFonts w:ascii="Bookman Old Style" w:hAnsi="Bookman Old Style"/>
          <w:sz w:val="24"/>
          <w:szCs w:val="24"/>
        </w:rPr>
        <w:t xml:space="preserve"> </w:t>
      </w:r>
      <w:r w:rsidR="008C0DB6" w:rsidRPr="00F707F6">
        <w:rPr>
          <w:rFonts w:ascii="Bookman Old Style" w:hAnsi="Bookman Old Style"/>
          <w:sz w:val="24"/>
          <w:szCs w:val="24"/>
        </w:rPr>
        <w:t>la FPO</w:t>
      </w:r>
      <w:r w:rsidR="00694585" w:rsidRPr="00F707F6">
        <w:rPr>
          <w:rFonts w:ascii="Bookman Old Style" w:hAnsi="Bookman Old Style"/>
          <w:sz w:val="24"/>
          <w:szCs w:val="24"/>
        </w:rPr>
        <w:t xml:space="preserve"> aprobada para el proyecto</w:t>
      </w:r>
      <w:r w:rsidR="008C0DB6" w:rsidRPr="00F707F6">
        <w:rPr>
          <w:rFonts w:ascii="Bookman Old Style" w:hAnsi="Bookman Old Style"/>
          <w:sz w:val="24"/>
          <w:szCs w:val="24"/>
        </w:rPr>
        <w:t xml:space="preserve"> </w:t>
      </w:r>
      <w:r w:rsidRPr="00F707F6">
        <w:rPr>
          <w:rFonts w:ascii="Bookman Old Style" w:hAnsi="Bookman Old Style"/>
          <w:sz w:val="24"/>
          <w:szCs w:val="24"/>
        </w:rPr>
        <w:t xml:space="preserve">y </w:t>
      </w:r>
      <w:r w:rsidR="00195EF2" w:rsidRPr="00F707F6">
        <w:rPr>
          <w:rFonts w:ascii="Bookman Old Style" w:hAnsi="Bookman Old Style"/>
          <w:sz w:val="24"/>
          <w:szCs w:val="24"/>
        </w:rPr>
        <w:t>este</w:t>
      </w:r>
      <w:r w:rsidR="0092659D" w:rsidRPr="00F707F6">
        <w:rPr>
          <w:rFonts w:ascii="Bookman Old Style" w:hAnsi="Bookman Old Style"/>
          <w:sz w:val="24"/>
          <w:szCs w:val="24"/>
        </w:rPr>
        <w:t xml:space="preserve"> </w:t>
      </w:r>
      <w:r w:rsidR="00387223" w:rsidRPr="00F707F6">
        <w:rPr>
          <w:rFonts w:ascii="Bookman Old Style" w:hAnsi="Bookman Old Style"/>
          <w:sz w:val="24"/>
          <w:szCs w:val="24"/>
        </w:rPr>
        <w:t xml:space="preserve">no </w:t>
      </w:r>
      <w:r w:rsidR="0092659D" w:rsidRPr="00F707F6">
        <w:rPr>
          <w:rFonts w:ascii="Bookman Old Style" w:hAnsi="Bookman Old Style"/>
          <w:sz w:val="24"/>
          <w:szCs w:val="24"/>
        </w:rPr>
        <w:t>ha entrado en operación comercial</w:t>
      </w:r>
      <w:r w:rsidR="00387223" w:rsidRPr="00F707F6">
        <w:rPr>
          <w:rFonts w:ascii="Bookman Old Style" w:hAnsi="Bookman Old Style"/>
          <w:sz w:val="24"/>
          <w:szCs w:val="24"/>
        </w:rPr>
        <w:t xml:space="preserve"> </w:t>
      </w:r>
      <w:r w:rsidR="00D02B04" w:rsidRPr="00F707F6">
        <w:rPr>
          <w:rFonts w:ascii="Bookman Old Style" w:hAnsi="Bookman Old Style"/>
          <w:sz w:val="24"/>
          <w:szCs w:val="24"/>
        </w:rPr>
        <w:t>con al menos el 90% de la capacidad asignada</w:t>
      </w:r>
      <w:r w:rsidR="008C0DB6" w:rsidRPr="00F707F6">
        <w:rPr>
          <w:rFonts w:ascii="Bookman Old Style" w:hAnsi="Bookman Old Style"/>
          <w:sz w:val="24"/>
          <w:szCs w:val="24"/>
        </w:rPr>
        <w:t xml:space="preserve">. </w:t>
      </w:r>
    </w:p>
    <w:p w14:paraId="07932059" w14:textId="0341B516" w:rsidR="008C0DB6" w:rsidRPr="008C0DB6" w:rsidRDefault="008C0DB6" w:rsidP="00817F07">
      <w:pPr>
        <w:pStyle w:val="Cita"/>
        <w:ind w:left="284" w:right="0"/>
        <w:rPr>
          <w:rFonts w:ascii="Bookman Old Style" w:hAnsi="Bookman Old Style"/>
          <w:sz w:val="24"/>
          <w:szCs w:val="24"/>
        </w:rPr>
      </w:pPr>
      <w:r w:rsidRPr="00F707F6">
        <w:rPr>
          <w:rFonts w:ascii="Bookman Old Style" w:hAnsi="Bookman Old Style"/>
          <w:sz w:val="24"/>
          <w:szCs w:val="24"/>
        </w:rPr>
        <w:t>Si se presenta al menos uno de los anteriores casos se liberará la</w:t>
      </w:r>
      <w:r w:rsidRPr="008C0DB6">
        <w:rPr>
          <w:rFonts w:ascii="Bookman Old Style" w:hAnsi="Bookman Old Style"/>
          <w:sz w:val="24"/>
          <w:szCs w:val="24"/>
        </w:rPr>
        <w:t xml:space="preserve"> capacidad de transporte asignada al proyecto, a no ser que se trate de proyectos de generación con obligaciones asignadas a través de los mecanismos dispuestos por el Gobierno Nacional, el Ministerio de Minas y Energía o la CREG, o que, de acuerdo con la ponderación de las actividades descritas en la curva S que ya estén ejecutadas y con base en los informes de seguimiento, se determine que el avance del proyecto supera el 60%; casos en los cuales se mantendrá la capacidad de transporte asignada. Esta excepción no aplica cuando</w:t>
      </w:r>
      <w:r w:rsidR="00FC7D0C">
        <w:rPr>
          <w:rFonts w:ascii="Bookman Old Style" w:hAnsi="Bookman Old Style"/>
          <w:sz w:val="24"/>
          <w:szCs w:val="24"/>
        </w:rPr>
        <w:t>: i)</w:t>
      </w:r>
      <w:r w:rsidRPr="008C0DB6">
        <w:rPr>
          <w:rFonts w:ascii="Bookman Old Style" w:hAnsi="Bookman Old Style"/>
          <w:sz w:val="24"/>
          <w:szCs w:val="24"/>
        </w:rPr>
        <w:t xml:space="preserve"> se trate del incumplimiento de lo previsto en el último inciso del parágrafo 1 del</w:t>
      </w:r>
      <w:r w:rsidR="00D02B04">
        <w:rPr>
          <w:rFonts w:ascii="Bookman Old Style" w:hAnsi="Bookman Old Style"/>
          <w:sz w:val="24"/>
          <w:szCs w:val="24"/>
        </w:rPr>
        <w:t xml:space="preserve"> </w:t>
      </w:r>
      <w:r w:rsidRPr="00F707F6">
        <w:rPr>
          <w:rFonts w:ascii="Bookman Old Style" w:hAnsi="Bookman Old Style"/>
          <w:sz w:val="24"/>
          <w:szCs w:val="24"/>
        </w:rPr>
        <w:t>artículo 24</w:t>
      </w:r>
      <w:r w:rsidR="00FC7D0C" w:rsidRPr="00F707F6">
        <w:rPr>
          <w:rFonts w:ascii="Bookman Old Style" w:hAnsi="Bookman Old Style"/>
          <w:sz w:val="24"/>
          <w:szCs w:val="24"/>
        </w:rPr>
        <w:t xml:space="preserve"> o </w:t>
      </w:r>
      <w:proofErr w:type="spellStart"/>
      <w:r w:rsidR="00FC7D0C" w:rsidRPr="00F707F6">
        <w:rPr>
          <w:rFonts w:ascii="Bookman Old Style" w:hAnsi="Bookman Old Style"/>
          <w:sz w:val="24"/>
          <w:szCs w:val="24"/>
        </w:rPr>
        <w:t>ii</w:t>
      </w:r>
      <w:proofErr w:type="spellEnd"/>
      <w:r w:rsidR="00FC7D0C" w:rsidRPr="00F707F6">
        <w:rPr>
          <w:rFonts w:ascii="Bookman Old Style" w:hAnsi="Bookman Old Style"/>
          <w:sz w:val="24"/>
          <w:szCs w:val="24"/>
        </w:rPr>
        <w:t xml:space="preserve">) </w:t>
      </w:r>
      <w:r w:rsidR="00D02B04" w:rsidRPr="00F707F6">
        <w:rPr>
          <w:rFonts w:ascii="Bookman Old Style" w:hAnsi="Bookman Old Style"/>
          <w:sz w:val="24"/>
          <w:szCs w:val="24"/>
        </w:rPr>
        <w:t xml:space="preserve">para </w:t>
      </w:r>
      <w:r w:rsidR="00FC7D0C" w:rsidRPr="00F707F6">
        <w:rPr>
          <w:rFonts w:ascii="Bookman Old Style" w:hAnsi="Bookman Old Style"/>
          <w:sz w:val="24"/>
          <w:szCs w:val="24"/>
        </w:rPr>
        <w:t xml:space="preserve">el proyecto no </w:t>
      </w:r>
      <w:r w:rsidR="00293074" w:rsidRPr="00F707F6">
        <w:rPr>
          <w:rFonts w:ascii="Bookman Old Style" w:hAnsi="Bookman Old Style"/>
          <w:sz w:val="24"/>
          <w:szCs w:val="24"/>
        </w:rPr>
        <w:t xml:space="preserve">se </w:t>
      </w:r>
      <w:r w:rsidR="00D02B04" w:rsidRPr="00F707F6">
        <w:rPr>
          <w:rFonts w:ascii="Bookman Old Style" w:hAnsi="Bookman Old Style"/>
          <w:sz w:val="24"/>
          <w:szCs w:val="24"/>
        </w:rPr>
        <w:t xml:space="preserve">haya entregado </w:t>
      </w:r>
      <w:r w:rsidR="00293074" w:rsidRPr="00F707F6">
        <w:rPr>
          <w:rFonts w:ascii="Bookman Old Style" w:hAnsi="Bookman Old Style"/>
          <w:sz w:val="24"/>
          <w:szCs w:val="24"/>
        </w:rPr>
        <w:t xml:space="preserve">curva S y/o copia de la </w:t>
      </w:r>
      <w:r w:rsidR="00FC7D0C" w:rsidRPr="00F707F6">
        <w:rPr>
          <w:rFonts w:ascii="Bookman Old Style" w:hAnsi="Bookman Old Style"/>
          <w:sz w:val="24"/>
          <w:szCs w:val="24"/>
        </w:rPr>
        <w:t xml:space="preserve">garantía de reserva de capacidad vigente </w:t>
      </w:r>
      <w:r w:rsidR="00293074" w:rsidRPr="00F707F6">
        <w:rPr>
          <w:rFonts w:ascii="Bookman Old Style" w:hAnsi="Bookman Old Style"/>
          <w:sz w:val="24"/>
          <w:szCs w:val="24"/>
        </w:rPr>
        <w:t>aprobada por el ASIC.</w:t>
      </w:r>
    </w:p>
    <w:p w14:paraId="324CB486" w14:textId="6507B98C" w:rsidR="008C0DB6" w:rsidRPr="008C0DB6" w:rsidRDefault="008C0DB6" w:rsidP="00817F07">
      <w:pPr>
        <w:pStyle w:val="Cita"/>
        <w:ind w:left="284" w:right="0"/>
        <w:rPr>
          <w:rFonts w:ascii="Bookman Old Style" w:hAnsi="Bookman Old Style"/>
          <w:sz w:val="24"/>
          <w:szCs w:val="24"/>
          <w:lang w:val="es-ES"/>
        </w:rPr>
      </w:pPr>
      <w:r w:rsidRPr="008C0DB6">
        <w:rPr>
          <w:rFonts w:ascii="Bookman Old Style" w:hAnsi="Bookman Old Style"/>
          <w:sz w:val="24"/>
          <w:szCs w:val="24"/>
          <w:lang w:val="es-ES"/>
        </w:rPr>
        <w:t>Si después de la ejecución parcial de la garantía, prevista en el artículo 25, el interesado manifiesta su intención de continuar con la ejecución del proyecto deberá, dentro del plazo establecido en el artículo 28, actualizar la vigencia de la garantía, multiplicar por dos (2) el valor restante de la cobertura y, además, deberá poner en operación el proyecto en la fecha prevista o en la modificada de acuerdo con lo establecido en esta resolución. Si se alcanza esta fecha sin que el proyecto haya entrado en operación, se ejecutará la garantía.</w:t>
      </w:r>
    </w:p>
    <w:p w14:paraId="43B64961" w14:textId="77777777" w:rsidR="008C0DB6" w:rsidRPr="008C0DB6" w:rsidRDefault="008C0DB6" w:rsidP="00817F07">
      <w:pPr>
        <w:pStyle w:val="Cita"/>
        <w:ind w:left="284" w:right="0"/>
        <w:rPr>
          <w:rFonts w:ascii="Bookman Old Style" w:hAnsi="Bookman Old Style"/>
          <w:sz w:val="24"/>
          <w:szCs w:val="24"/>
          <w:lang w:val="es-ES"/>
        </w:rPr>
      </w:pPr>
      <w:r w:rsidRPr="008C0DB6">
        <w:rPr>
          <w:rFonts w:ascii="Bookman Old Style" w:hAnsi="Bookman Old Style"/>
          <w:b/>
          <w:bCs/>
          <w:sz w:val="24"/>
          <w:szCs w:val="24"/>
          <w:lang w:val="es-ES"/>
        </w:rPr>
        <w:t>Parágrafo 1.</w:t>
      </w:r>
      <w:r w:rsidRPr="008C0DB6">
        <w:rPr>
          <w:rFonts w:ascii="Bookman Old Style" w:hAnsi="Bookman Old Style"/>
          <w:sz w:val="24"/>
          <w:szCs w:val="24"/>
          <w:lang w:val="es-ES"/>
        </w:rPr>
        <w:t xml:space="preserve"> También se liberará la capacidad de transporte cuando se presente la situación prevista en el segundo inciso del artículo 22, o la planta no reingresa de acuerdo con lo previsto en el artículo 23.</w:t>
      </w:r>
    </w:p>
    <w:p w14:paraId="4329D9C4" w14:textId="7067F999" w:rsidR="008C0DB6" w:rsidRPr="0018782B" w:rsidRDefault="008C0DB6" w:rsidP="00817F07">
      <w:pPr>
        <w:pStyle w:val="Cita"/>
        <w:ind w:left="284" w:right="0"/>
        <w:rPr>
          <w:sz w:val="23"/>
          <w:szCs w:val="23"/>
          <w:lang w:val="es-ES"/>
        </w:rPr>
      </w:pPr>
      <w:r w:rsidRPr="008C0DB6">
        <w:rPr>
          <w:rFonts w:ascii="Bookman Old Style" w:hAnsi="Bookman Old Style"/>
          <w:b/>
          <w:bCs/>
          <w:sz w:val="24"/>
          <w:szCs w:val="24"/>
          <w:lang w:val="es-ES"/>
        </w:rPr>
        <w:t>Parágrafo 2.</w:t>
      </w:r>
      <w:r w:rsidRPr="008C0DB6">
        <w:rPr>
          <w:rFonts w:ascii="Bookman Old Style" w:hAnsi="Bookman Old Style"/>
          <w:sz w:val="24"/>
          <w:szCs w:val="24"/>
          <w:lang w:val="es-ES"/>
        </w:rPr>
        <w:t xml:space="preserve"> El interesado</w:t>
      </w:r>
      <w:r w:rsidR="009C3E52">
        <w:rPr>
          <w:rFonts w:ascii="Bookman Old Style" w:hAnsi="Bookman Old Style"/>
          <w:sz w:val="24"/>
          <w:szCs w:val="24"/>
          <w:lang w:val="es-ES"/>
        </w:rPr>
        <w:t xml:space="preserve"> </w:t>
      </w:r>
      <w:r w:rsidRPr="008C0DB6">
        <w:rPr>
          <w:rFonts w:ascii="Bookman Old Style" w:hAnsi="Bookman Old Style"/>
          <w:sz w:val="24"/>
          <w:szCs w:val="24"/>
          <w:lang w:val="es-ES"/>
        </w:rPr>
        <w:t>cuyo</w:t>
      </w:r>
      <w:r w:rsidR="009C3E52">
        <w:rPr>
          <w:rFonts w:ascii="Bookman Old Style" w:hAnsi="Bookman Old Style"/>
          <w:sz w:val="24"/>
          <w:szCs w:val="24"/>
          <w:lang w:val="es-ES"/>
        </w:rPr>
        <w:t xml:space="preserve"> </w:t>
      </w:r>
      <w:r w:rsidRPr="008C0DB6">
        <w:rPr>
          <w:rFonts w:ascii="Bookman Old Style" w:hAnsi="Bookman Old Style"/>
          <w:sz w:val="24"/>
          <w:szCs w:val="24"/>
          <w:lang w:val="es-ES"/>
        </w:rPr>
        <w:t xml:space="preserve">proyecto pierda la capacidad de transporte </w:t>
      </w:r>
      <w:r w:rsidRPr="00F707F6">
        <w:rPr>
          <w:rFonts w:ascii="Bookman Old Style" w:hAnsi="Bookman Old Style"/>
          <w:sz w:val="24"/>
          <w:szCs w:val="24"/>
          <w:lang w:val="es-ES"/>
        </w:rPr>
        <w:t xml:space="preserve">asignada podrá </w:t>
      </w:r>
      <w:r w:rsidR="00D02B04" w:rsidRPr="00F707F6">
        <w:rPr>
          <w:rFonts w:ascii="Bookman Old Style" w:hAnsi="Bookman Old Style"/>
          <w:sz w:val="24"/>
          <w:szCs w:val="24"/>
          <w:lang w:val="es-ES"/>
        </w:rPr>
        <w:t>iniciar nuevamente su solicitud</w:t>
      </w:r>
      <w:r w:rsidR="00187C76" w:rsidRPr="00F707F6">
        <w:rPr>
          <w:rFonts w:ascii="Bookman Old Style" w:hAnsi="Bookman Old Style"/>
          <w:sz w:val="24"/>
          <w:szCs w:val="24"/>
          <w:lang w:val="es-ES"/>
        </w:rPr>
        <w:t xml:space="preserve">, </w:t>
      </w:r>
      <w:r w:rsidR="004F2E69" w:rsidRPr="00F707F6">
        <w:rPr>
          <w:rFonts w:ascii="Bookman Old Style" w:hAnsi="Bookman Old Style"/>
          <w:sz w:val="24"/>
          <w:szCs w:val="24"/>
          <w:lang w:val="es-ES"/>
        </w:rPr>
        <w:t>con base en</w:t>
      </w:r>
      <w:r w:rsidRPr="00F707F6">
        <w:rPr>
          <w:rFonts w:ascii="Bookman Old Style" w:hAnsi="Bookman Old Style"/>
          <w:sz w:val="24"/>
          <w:szCs w:val="24"/>
          <w:lang w:val="es-ES"/>
        </w:rPr>
        <w:t xml:space="preserve"> </w:t>
      </w:r>
      <w:r w:rsidR="00187C76" w:rsidRPr="00F707F6">
        <w:rPr>
          <w:rFonts w:ascii="Bookman Old Style" w:hAnsi="Bookman Old Style"/>
          <w:sz w:val="24"/>
          <w:szCs w:val="24"/>
          <w:lang w:val="es-ES"/>
        </w:rPr>
        <w:t>las reglas para asignación de transporte</w:t>
      </w:r>
      <w:r w:rsidRPr="00F707F6">
        <w:rPr>
          <w:rFonts w:ascii="Bookman Old Style" w:hAnsi="Bookman Old Style"/>
          <w:sz w:val="24"/>
          <w:szCs w:val="24"/>
          <w:lang w:val="es-ES"/>
        </w:rPr>
        <w:t xml:space="preserve"> establecid</w:t>
      </w:r>
      <w:r w:rsidR="004F2E69" w:rsidRPr="00F707F6">
        <w:rPr>
          <w:rFonts w:ascii="Bookman Old Style" w:hAnsi="Bookman Old Style"/>
          <w:sz w:val="24"/>
          <w:szCs w:val="24"/>
          <w:lang w:val="es-ES"/>
        </w:rPr>
        <w:t>a</w:t>
      </w:r>
      <w:r w:rsidRPr="00F707F6">
        <w:rPr>
          <w:rFonts w:ascii="Bookman Old Style" w:hAnsi="Bookman Old Style"/>
          <w:sz w:val="24"/>
          <w:szCs w:val="24"/>
          <w:lang w:val="es-ES"/>
        </w:rPr>
        <w:t>s en esta resolución.</w:t>
      </w:r>
    </w:p>
    <w:p w14:paraId="1332E9D7" w14:textId="34E03CFC" w:rsidR="000F7F46" w:rsidRDefault="000F7F46" w:rsidP="00F0138E">
      <w:pPr>
        <w:numPr>
          <w:ilvl w:val="0"/>
          <w:numId w:val="36"/>
        </w:numPr>
        <w:tabs>
          <w:tab w:val="left" w:pos="1701"/>
          <w:tab w:val="num" w:pos="2150"/>
        </w:tabs>
        <w:spacing w:before="240" w:after="240"/>
        <w:rPr>
          <w:rFonts w:cs="Arial"/>
        </w:rPr>
      </w:pPr>
      <w:r>
        <w:rPr>
          <w:rFonts w:cs="Arial"/>
        </w:rPr>
        <w:t>Modificar el artículo 4</w:t>
      </w:r>
      <w:r w:rsidR="00FD1A92">
        <w:rPr>
          <w:rFonts w:cs="Arial"/>
        </w:rPr>
        <w:t>4</w:t>
      </w:r>
      <w:r>
        <w:rPr>
          <w:rFonts w:cs="Arial"/>
        </w:rPr>
        <w:t xml:space="preserve"> de la Resolución CREG 075 de 2021, </w:t>
      </w:r>
      <w:r w:rsidR="002F71F4">
        <w:rPr>
          <w:rFonts w:cs="Arial"/>
        </w:rPr>
        <w:t>el</w:t>
      </w:r>
      <w:r>
        <w:rPr>
          <w:rFonts w:cs="Arial"/>
        </w:rPr>
        <w:t xml:space="preserve"> cual quedará así:</w:t>
      </w:r>
    </w:p>
    <w:p w14:paraId="4ECD2C79" w14:textId="092B4075" w:rsidR="002F71F4" w:rsidRPr="002F71F4" w:rsidRDefault="002F71F4" w:rsidP="00817F07">
      <w:pPr>
        <w:pStyle w:val="Cita"/>
        <w:ind w:left="284" w:right="0"/>
        <w:rPr>
          <w:rFonts w:ascii="Bookman Old Style" w:hAnsi="Bookman Old Style"/>
          <w:sz w:val="24"/>
          <w:szCs w:val="24"/>
          <w:lang w:val="es-ES"/>
        </w:rPr>
      </w:pPr>
      <w:r w:rsidRPr="00E920A5">
        <w:rPr>
          <w:rFonts w:ascii="Bookman Old Style" w:hAnsi="Bookman Old Style"/>
          <w:b/>
          <w:bCs/>
          <w:sz w:val="24"/>
          <w:szCs w:val="24"/>
          <w:lang w:val="es-ES"/>
        </w:rPr>
        <w:t>Artículo 44.</w:t>
      </w:r>
      <w:r w:rsidRPr="002F71F4">
        <w:rPr>
          <w:rFonts w:ascii="Bookman Old Style" w:hAnsi="Bookman Old Style"/>
          <w:sz w:val="24"/>
          <w:szCs w:val="24"/>
          <w:lang w:val="es-ES"/>
        </w:rPr>
        <w:tab/>
      </w:r>
      <w:r w:rsidRPr="00E920A5">
        <w:rPr>
          <w:rFonts w:ascii="Bookman Old Style" w:hAnsi="Bookman Old Style"/>
          <w:b/>
          <w:bCs/>
          <w:sz w:val="24"/>
          <w:szCs w:val="24"/>
          <w:lang w:val="es-ES"/>
        </w:rPr>
        <w:t>Estudio o diseño del proyecto.</w:t>
      </w:r>
      <w:r w:rsidRPr="002F71F4">
        <w:rPr>
          <w:rFonts w:ascii="Bookman Old Style" w:hAnsi="Bookman Old Style"/>
          <w:sz w:val="24"/>
          <w:szCs w:val="24"/>
          <w:lang w:val="es-ES"/>
        </w:rPr>
        <w:t xml:space="preserve"> Para la asignación de capacidad de transporte a un proyecto clase 2 podrá requerirse</w:t>
      </w:r>
      <w:r w:rsidR="005F6E11">
        <w:rPr>
          <w:rFonts w:ascii="Bookman Old Style" w:hAnsi="Bookman Old Style"/>
          <w:sz w:val="24"/>
          <w:szCs w:val="24"/>
          <w:lang w:val="es-ES"/>
        </w:rPr>
        <w:t>,</w:t>
      </w:r>
      <w:r w:rsidRPr="002F71F4">
        <w:rPr>
          <w:rFonts w:ascii="Bookman Old Style" w:hAnsi="Bookman Old Style"/>
          <w:sz w:val="24"/>
          <w:szCs w:val="24"/>
          <w:lang w:val="es-ES"/>
        </w:rPr>
        <w:t xml:space="preserve"> para aprobación</w:t>
      </w:r>
      <w:r w:rsidR="005F6E11">
        <w:rPr>
          <w:rFonts w:ascii="Bookman Old Style" w:hAnsi="Bookman Old Style"/>
          <w:sz w:val="24"/>
          <w:szCs w:val="24"/>
          <w:lang w:val="es-ES"/>
        </w:rPr>
        <w:t>,</w:t>
      </w:r>
      <w:r w:rsidRPr="002F71F4">
        <w:rPr>
          <w:rFonts w:ascii="Bookman Old Style" w:hAnsi="Bookman Old Style"/>
          <w:sz w:val="24"/>
          <w:szCs w:val="24"/>
          <w:lang w:val="es-ES"/>
        </w:rPr>
        <w:t xml:space="preserve"> la entrega de un estudio y/o diseño del proyecto, dependiendo de sus características. Para esto, el Comité de Expertos de la CREG publicará mediante circular las características de los proyectos que requieren la presentación de estos estudios o diseños, así como el contenido que deben tener. Sobre esto, el CNO deberá presentar una propuesta a la CREG, en un plazo máximo de dos (2) meses contados a partir de la fecha de </w:t>
      </w:r>
      <w:proofErr w:type="gramStart"/>
      <w:r w:rsidRPr="002F71F4">
        <w:rPr>
          <w:rFonts w:ascii="Bookman Old Style" w:hAnsi="Bookman Old Style"/>
          <w:sz w:val="24"/>
          <w:szCs w:val="24"/>
          <w:lang w:val="es-ES"/>
        </w:rPr>
        <w:t>entrada en vigencia</w:t>
      </w:r>
      <w:proofErr w:type="gramEnd"/>
      <w:r w:rsidRPr="002F71F4">
        <w:rPr>
          <w:rFonts w:ascii="Bookman Old Style" w:hAnsi="Bookman Old Style"/>
          <w:sz w:val="24"/>
          <w:szCs w:val="24"/>
          <w:lang w:val="es-ES"/>
        </w:rPr>
        <w:t xml:space="preserve"> de la presente resolución, la cual podrá servir de insumo para los análisis del Comité de Expertos de la CREG.</w:t>
      </w:r>
    </w:p>
    <w:p w14:paraId="30300895" w14:textId="77777777" w:rsidR="002F71F4" w:rsidRPr="002F71F4" w:rsidRDefault="002F71F4" w:rsidP="00817F07">
      <w:pPr>
        <w:pStyle w:val="Cita"/>
        <w:ind w:left="284" w:right="0"/>
        <w:rPr>
          <w:rFonts w:ascii="Bookman Old Style" w:hAnsi="Bookman Old Style"/>
          <w:sz w:val="24"/>
          <w:szCs w:val="24"/>
          <w:lang w:val="es-ES"/>
        </w:rPr>
      </w:pPr>
      <w:r w:rsidRPr="002F71F4">
        <w:rPr>
          <w:rFonts w:ascii="Bookman Old Style" w:hAnsi="Bookman Old Style"/>
          <w:sz w:val="24"/>
          <w:szCs w:val="24"/>
          <w:lang w:val="es-ES"/>
        </w:rPr>
        <w:lastRenderedPageBreak/>
        <w:t xml:space="preserve">El OR deberá mantener disponible la información que pueda ser requerida por el interesado para la elaboración de la solicitud de la factibilidad del servicio o para la realización de los estudios o diseños necesarios del proyecto, y suministrarla en un plazo máximo de cinco (5) días hábiles después de que le sea solicitada. </w:t>
      </w:r>
    </w:p>
    <w:p w14:paraId="3DC601D0" w14:textId="77777777" w:rsidR="002F71F4" w:rsidRPr="002F71F4" w:rsidRDefault="002F71F4" w:rsidP="00817F07">
      <w:pPr>
        <w:pStyle w:val="Cita"/>
        <w:ind w:left="284" w:right="0"/>
        <w:rPr>
          <w:rFonts w:ascii="Bookman Old Style" w:hAnsi="Bookman Old Style"/>
          <w:sz w:val="24"/>
          <w:szCs w:val="24"/>
          <w:lang w:val="es-ES"/>
        </w:rPr>
      </w:pPr>
      <w:r w:rsidRPr="002F71F4">
        <w:rPr>
          <w:rFonts w:ascii="Bookman Old Style" w:hAnsi="Bookman Old Style"/>
          <w:sz w:val="24"/>
          <w:szCs w:val="24"/>
          <w:lang w:val="es-ES"/>
        </w:rPr>
        <w:t>La información mínima que debe mantener disponible el OR será definida por el Comité de Expertos de la CREG y publicada mediante circular. El OR deberá actualizar esta información cada semana, siempre y cuando se hayan producido modificaciones. La responsabilidad de actualizar la información, en las condiciones y el plazo definido en esta resolución, se entenderá como una obligación que debe cumplir el OR con base en lo establecido en los artículos 7 y 8 de la Resolución CREG 080 de 2019.</w:t>
      </w:r>
    </w:p>
    <w:p w14:paraId="70405F8D" w14:textId="77777777" w:rsidR="002F71F4" w:rsidRPr="002F71F4" w:rsidRDefault="002F71F4" w:rsidP="00817F07">
      <w:pPr>
        <w:pStyle w:val="Cita"/>
        <w:ind w:left="284" w:right="0"/>
        <w:rPr>
          <w:rFonts w:ascii="Bookman Old Style" w:hAnsi="Bookman Old Style"/>
          <w:sz w:val="24"/>
          <w:szCs w:val="24"/>
          <w:lang w:val="es-ES"/>
        </w:rPr>
      </w:pPr>
      <w:r w:rsidRPr="002F71F4">
        <w:rPr>
          <w:rFonts w:ascii="Bookman Old Style" w:hAnsi="Bookman Old Style"/>
          <w:sz w:val="24"/>
          <w:szCs w:val="24"/>
          <w:lang w:val="es-ES"/>
        </w:rPr>
        <w:t xml:space="preserve">El responsable de la asignación de capacidad de transporte deberá revisar y responder sobre la solicitud de aprobación del estudio y/o diseño de conexiones en el nivel de tensión 1, dentro de los siete (7) días hábiles siguientes a la fecha en que haya sido radicado, y dentro de los quince (15) días hábiles para los demás niveles de tensión. </w:t>
      </w:r>
    </w:p>
    <w:p w14:paraId="709EA000" w14:textId="77777777" w:rsidR="002F71F4" w:rsidRPr="002F71F4" w:rsidRDefault="002F71F4" w:rsidP="00817F07">
      <w:pPr>
        <w:pStyle w:val="Cita"/>
        <w:ind w:left="284" w:right="0"/>
        <w:rPr>
          <w:rFonts w:ascii="Bookman Old Style" w:hAnsi="Bookman Old Style"/>
          <w:sz w:val="24"/>
          <w:szCs w:val="24"/>
          <w:lang w:val="es-ES"/>
        </w:rPr>
      </w:pPr>
      <w:r w:rsidRPr="002F71F4">
        <w:rPr>
          <w:rFonts w:ascii="Bookman Old Style" w:hAnsi="Bookman Old Style"/>
          <w:sz w:val="24"/>
          <w:szCs w:val="24"/>
          <w:lang w:val="es-ES"/>
        </w:rPr>
        <w:t>A través de los canales que disponga el responsable de la asignación, el interesado podrá hacer observaciones acerca del resultado de la revisión del estudio o diseño del proyecto. Estas observaciones deberán hacerse dentro de los treinta (30) días calendario siguientes, contados a partir de que se le haya entregado el resultado de la revisión. El responsable de la asignación deberá dar respuesta a estas observaciones dentro de los quince (15) días hábiles siguientes a la radicación de las observaciones del interesado. En el caso de que se solicite hacer modificaciones o ajustes al estudio o diseño del proyecto, estos deberán realizarse en un plazo máximo de treinta (30) días hábiles, y el incumplimiento de este plazo podrá entenderse como el desistimiento de la solicitud.</w:t>
      </w:r>
    </w:p>
    <w:p w14:paraId="2FDB01DA" w14:textId="38284D5D" w:rsidR="002F71F4" w:rsidRDefault="002F71F4" w:rsidP="00817F07">
      <w:pPr>
        <w:pStyle w:val="Cita"/>
        <w:ind w:left="284" w:right="0"/>
        <w:rPr>
          <w:rFonts w:ascii="Bookman Old Style" w:hAnsi="Bookman Old Style"/>
          <w:sz w:val="24"/>
          <w:szCs w:val="24"/>
          <w:lang w:val="es-ES"/>
        </w:rPr>
      </w:pPr>
      <w:r w:rsidRPr="00F707F6">
        <w:rPr>
          <w:rFonts w:ascii="Bookman Old Style" w:hAnsi="Bookman Old Style"/>
          <w:sz w:val="24"/>
          <w:szCs w:val="24"/>
          <w:lang w:val="es-ES"/>
        </w:rPr>
        <w:t>Los proyectos deberán ser diseñados, refrendados y ejecutados por los profesionales competentes para ello, teniendo en cuenta lo que disponen las normas que regulan el ejercicio de las profesiones</w:t>
      </w:r>
      <w:r w:rsidR="00C654CD" w:rsidRPr="00F707F6">
        <w:rPr>
          <w:rFonts w:ascii="Bookman Old Style" w:hAnsi="Bookman Old Style"/>
          <w:sz w:val="24"/>
          <w:szCs w:val="24"/>
          <w:lang w:val="es-ES"/>
        </w:rPr>
        <w:t xml:space="preserve"> y </w:t>
      </w:r>
      <w:r w:rsidRPr="00F707F6">
        <w:rPr>
          <w:rFonts w:ascii="Bookman Old Style" w:hAnsi="Bookman Old Style"/>
          <w:sz w:val="24"/>
          <w:szCs w:val="24"/>
          <w:lang w:val="es-ES"/>
        </w:rPr>
        <w:t xml:space="preserve">las competencias profesionales </w:t>
      </w:r>
      <w:r w:rsidR="00C654CD" w:rsidRPr="00F707F6">
        <w:rPr>
          <w:rFonts w:ascii="Bookman Old Style" w:hAnsi="Bookman Old Style"/>
          <w:sz w:val="24"/>
          <w:szCs w:val="24"/>
          <w:lang w:val="es-ES"/>
        </w:rPr>
        <w:t xml:space="preserve">mencionadas en </w:t>
      </w:r>
      <w:r w:rsidRPr="00F707F6">
        <w:rPr>
          <w:rFonts w:ascii="Bookman Old Style" w:hAnsi="Bookman Old Style"/>
          <w:sz w:val="24"/>
          <w:szCs w:val="24"/>
          <w:lang w:val="es-ES"/>
        </w:rPr>
        <w:t>el Reglamento Técnico de Instalaciones Eléctricas, RETIE.</w:t>
      </w:r>
    </w:p>
    <w:p w14:paraId="58FEFDA3" w14:textId="32ACF25F" w:rsidR="002F71F4" w:rsidRPr="002F71F4" w:rsidRDefault="002F71F4" w:rsidP="00817F07">
      <w:pPr>
        <w:pStyle w:val="Cita"/>
        <w:ind w:left="284" w:right="0"/>
        <w:rPr>
          <w:rFonts w:ascii="Bookman Old Style" w:hAnsi="Bookman Old Style"/>
          <w:sz w:val="24"/>
          <w:szCs w:val="24"/>
          <w:lang w:val="es-ES"/>
        </w:rPr>
      </w:pPr>
      <w:r w:rsidRPr="002F71F4">
        <w:rPr>
          <w:rFonts w:ascii="Bookman Old Style" w:hAnsi="Bookman Old Style"/>
          <w:sz w:val="24"/>
          <w:szCs w:val="24"/>
          <w:lang w:val="es-ES"/>
        </w:rPr>
        <w:t>En la solicitud que presente ante el OR, el interesado deberá anexar copia de las licencias, permisos y requisitos legales aplicables al tipo de conexión que sean exigidos por las autoridades competentes.</w:t>
      </w:r>
    </w:p>
    <w:p w14:paraId="49552DCE" w14:textId="77777777" w:rsidR="002F71F4" w:rsidRPr="002F71F4" w:rsidRDefault="002F71F4" w:rsidP="00817F07">
      <w:pPr>
        <w:pStyle w:val="Cita"/>
        <w:ind w:left="284" w:right="0"/>
        <w:rPr>
          <w:rFonts w:ascii="Bookman Old Style" w:hAnsi="Bookman Old Style"/>
          <w:sz w:val="24"/>
          <w:szCs w:val="24"/>
          <w:lang w:val="es-ES"/>
        </w:rPr>
      </w:pPr>
      <w:r w:rsidRPr="002F71F4">
        <w:rPr>
          <w:rFonts w:ascii="Bookman Old Style" w:hAnsi="Bookman Old Style"/>
          <w:sz w:val="24"/>
          <w:szCs w:val="24"/>
          <w:lang w:val="es-ES"/>
        </w:rPr>
        <w:t>El estudio sólo podrá ser objeto de cobro al interesado en las situaciones establecidas en el artículo 4 de la Resolución CREG 225 de 1997 o aquellas que las modifiquen o sustituyan.</w:t>
      </w:r>
    </w:p>
    <w:p w14:paraId="45540B18" w14:textId="29424B34" w:rsidR="000F7F46" w:rsidRPr="000F7F46" w:rsidRDefault="002F71F4" w:rsidP="00817F07">
      <w:pPr>
        <w:pStyle w:val="Cita"/>
        <w:ind w:left="284" w:right="0"/>
        <w:rPr>
          <w:rFonts w:ascii="Bookman Old Style" w:hAnsi="Bookman Old Style"/>
          <w:sz w:val="24"/>
          <w:szCs w:val="24"/>
          <w:lang w:val="es-ES"/>
        </w:rPr>
      </w:pPr>
      <w:r w:rsidRPr="002F71F4">
        <w:rPr>
          <w:rFonts w:ascii="Bookman Old Style" w:hAnsi="Bookman Old Style"/>
          <w:b/>
          <w:bCs/>
          <w:sz w:val="24"/>
          <w:szCs w:val="24"/>
          <w:lang w:val="es-ES"/>
        </w:rPr>
        <w:t>Parágrafo.</w:t>
      </w:r>
      <w:r w:rsidRPr="002F71F4">
        <w:rPr>
          <w:rFonts w:ascii="Bookman Old Style" w:hAnsi="Bookman Old Style"/>
          <w:sz w:val="24"/>
          <w:szCs w:val="24"/>
          <w:lang w:val="es-ES"/>
        </w:rPr>
        <w:t xml:space="preserve"> Cuando la solicitud haya sido presentada para la migración de un usuario a un nivel de tensión superior, el plazo máximo con el que contará el responsable de la asignación para dar respuesta será el establecido en la Resolución CREG 015 de 2018, o aquella que la modifique, adicione o sustituya.</w:t>
      </w:r>
    </w:p>
    <w:p w14:paraId="56CD01C2" w14:textId="0171F261" w:rsidR="00510CBD" w:rsidRDefault="00510CBD" w:rsidP="00F0138E">
      <w:pPr>
        <w:numPr>
          <w:ilvl w:val="0"/>
          <w:numId w:val="36"/>
        </w:numPr>
        <w:tabs>
          <w:tab w:val="left" w:pos="1701"/>
          <w:tab w:val="num" w:pos="2150"/>
        </w:tabs>
        <w:spacing w:before="240" w:after="240"/>
        <w:rPr>
          <w:rFonts w:cs="Arial"/>
        </w:rPr>
      </w:pPr>
      <w:r w:rsidRPr="001618B6">
        <w:rPr>
          <w:rFonts w:cs="Arial"/>
          <w:b/>
        </w:rPr>
        <w:lastRenderedPageBreak/>
        <w:t>Vigencia</w:t>
      </w:r>
      <w:r w:rsidR="000C1B8A">
        <w:rPr>
          <w:rFonts w:cs="Arial"/>
          <w:b/>
        </w:rPr>
        <w:t xml:space="preserve"> y derogatorias</w:t>
      </w:r>
      <w:r w:rsidRPr="001618B6">
        <w:rPr>
          <w:rFonts w:cs="Arial"/>
          <w:b/>
        </w:rPr>
        <w:t>.</w:t>
      </w:r>
      <w:r w:rsidRPr="001618B6">
        <w:rPr>
          <w:rFonts w:cs="Arial"/>
        </w:rPr>
        <w:t xml:space="preserve"> </w:t>
      </w:r>
      <w:r w:rsidR="009D7709" w:rsidRPr="009D7709">
        <w:rPr>
          <w:rFonts w:cs="Arial"/>
        </w:rPr>
        <w:t xml:space="preserve">La presente resolución rige a partir de su publicación en el </w:t>
      </w:r>
      <w:r w:rsidR="009D7709" w:rsidRPr="00472E5E">
        <w:rPr>
          <w:rFonts w:cs="Arial"/>
          <w:i/>
          <w:iCs/>
        </w:rPr>
        <w:t>Diario Oficial</w:t>
      </w:r>
      <w:r w:rsidR="009D7709" w:rsidRPr="009D7709">
        <w:rPr>
          <w:rFonts w:cs="Arial"/>
        </w:rPr>
        <w:t xml:space="preserve"> y deroga las normas que le sean contrarias</w:t>
      </w:r>
      <w:r w:rsidR="0066708E">
        <w:rPr>
          <w:rFonts w:cs="Arial"/>
        </w:rPr>
        <w:t>.</w:t>
      </w:r>
    </w:p>
    <w:p w14:paraId="5A0DD590" w14:textId="77777777" w:rsidR="00977EA8" w:rsidRDefault="00977EA8" w:rsidP="00510CBD">
      <w:pPr>
        <w:jc w:val="center"/>
        <w:rPr>
          <w:b/>
        </w:rPr>
      </w:pPr>
    </w:p>
    <w:p w14:paraId="11C95C20" w14:textId="0EA7E521" w:rsidR="00510CBD" w:rsidRPr="005D18D5" w:rsidRDefault="00510CBD" w:rsidP="00510CBD">
      <w:pPr>
        <w:jc w:val="center"/>
        <w:rPr>
          <w:b/>
        </w:rPr>
      </w:pPr>
      <w:r w:rsidRPr="005D18D5">
        <w:rPr>
          <w:b/>
        </w:rPr>
        <w:t>PUBLÍQUESE Y CÚMPLASE</w:t>
      </w:r>
    </w:p>
    <w:sectPr w:rsidR="00510CBD" w:rsidRPr="005D18D5" w:rsidSect="000B7990">
      <w:headerReference w:type="default" r:id="rId14"/>
      <w:headerReference w:type="first" r:id="rId15"/>
      <w:type w:val="continuous"/>
      <w:pgSz w:w="12242" w:h="18722" w:code="123"/>
      <w:pgMar w:top="2268"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238249" w14:textId="77777777" w:rsidR="00BC1622" w:rsidRDefault="00BC1622">
      <w:r>
        <w:separator/>
      </w:r>
    </w:p>
    <w:p w14:paraId="504A0721" w14:textId="77777777" w:rsidR="00BC1622" w:rsidRDefault="00BC1622"/>
    <w:p w14:paraId="43006A4F" w14:textId="77777777" w:rsidR="00BC1622" w:rsidRDefault="00BC1622" w:rsidP="00C851C0"/>
  </w:endnote>
  <w:endnote w:type="continuationSeparator" w:id="0">
    <w:p w14:paraId="1CE2C8E7" w14:textId="77777777" w:rsidR="00BC1622" w:rsidRDefault="00BC1622">
      <w:r>
        <w:continuationSeparator/>
      </w:r>
    </w:p>
    <w:p w14:paraId="43420276" w14:textId="77777777" w:rsidR="00BC1622" w:rsidRDefault="00BC1622"/>
    <w:p w14:paraId="566550B7" w14:textId="77777777" w:rsidR="00BC1622" w:rsidRDefault="00BC1622" w:rsidP="00C851C0"/>
  </w:endnote>
  <w:endnote w:type="continuationNotice" w:id="1">
    <w:p w14:paraId="490FE78A" w14:textId="77777777" w:rsidR="00BC1622" w:rsidRDefault="00BC1622">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G Times">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DejaVu Sans">
    <w:altName w:val="Times New Roman"/>
    <w:charset w:val="00"/>
    <w:family w:val="auto"/>
    <w:pitch w:val="variable"/>
  </w:font>
  <w:font w:name="Arial Black">
    <w:panose1 w:val="020B0A04020102020204"/>
    <w:charset w:val="00"/>
    <w:family w:val="swiss"/>
    <w:pitch w:val="variable"/>
    <w:sig w:usb0="A00002AF" w:usb1="400078FB"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D5BF71" w14:textId="77777777" w:rsidR="00BC1622" w:rsidRDefault="00BC1622">
      <w:r>
        <w:separator/>
      </w:r>
    </w:p>
    <w:p w14:paraId="561E3195" w14:textId="77777777" w:rsidR="00BC1622" w:rsidRDefault="00BC1622"/>
    <w:p w14:paraId="5F6111AB" w14:textId="77777777" w:rsidR="00BC1622" w:rsidRDefault="00BC1622" w:rsidP="00C851C0"/>
  </w:footnote>
  <w:footnote w:type="continuationSeparator" w:id="0">
    <w:p w14:paraId="6EA20676" w14:textId="77777777" w:rsidR="00BC1622" w:rsidRDefault="00BC1622">
      <w:r>
        <w:continuationSeparator/>
      </w:r>
    </w:p>
    <w:p w14:paraId="58DECFE2" w14:textId="77777777" w:rsidR="00BC1622" w:rsidRDefault="00BC1622"/>
    <w:p w14:paraId="76D9E40B" w14:textId="77777777" w:rsidR="00BC1622" w:rsidRDefault="00BC1622" w:rsidP="00C851C0"/>
  </w:footnote>
  <w:footnote w:type="continuationNotice" w:id="1">
    <w:p w14:paraId="66E2E34E" w14:textId="77777777" w:rsidR="00BC1622" w:rsidRDefault="00BC1622">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9D277" w14:textId="23A02C60" w:rsidR="009C1EF5" w:rsidRPr="002560C5" w:rsidRDefault="009C1EF5" w:rsidP="00621A8D">
    <w:pPr>
      <w:pStyle w:val="Ttulo1"/>
      <w:numPr>
        <w:ilvl w:val="0"/>
        <w:numId w:val="0"/>
      </w:numPr>
      <w:spacing w:after="0"/>
      <w:ind w:right="6"/>
      <w:jc w:val="left"/>
      <w:rPr>
        <w:rFonts w:cs="Arial"/>
        <w:b w:val="0"/>
        <w:sz w:val="22"/>
        <w:szCs w:val="22"/>
      </w:rPr>
    </w:pPr>
    <w:r w:rsidRPr="002560C5">
      <w:rPr>
        <w:rFonts w:cs="Arial"/>
        <w:b w:val="0"/>
        <w:sz w:val="22"/>
        <w:szCs w:val="22"/>
      </w:rPr>
      <w:t xml:space="preserve">RESOLUCIÓN </w:t>
    </w:r>
    <w:proofErr w:type="gramStart"/>
    <w:r w:rsidR="00D7686D" w:rsidRPr="002560C5">
      <w:rPr>
        <w:rFonts w:cs="Arial"/>
        <w:b w:val="0"/>
        <w:sz w:val="22"/>
        <w:szCs w:val="22"/>
      </w:rPr>
      <w:t xml:space="preserve">No. </w:t>
    </w:r>
    <w:r w:rsidR="00D7686D" w:rsidRPr="00621A8D">
      <w:rPr>
        <w:rFonts w:cs="Arial"/>
        <w:bCs/>
        <w:szCs w:val="24"/>
        <w:u w:val="single"/>
      </w:rPr>
      <w:t xml:space="preserve"> </w:t>
    </w:r>
    <w:r w:rsidR="00D7686D">
      <w:rPr>
        <w:rFonts w:cs="Arial"/>
        <w:bCs/>
        <w:szCs w:val="24"/>
        <w:u w:val="single"/>
      </w:rPr>
      <w:t>701</w:t>
    </w:r>
    <w:proofErr w:type="gramEnd"/>
    <w:r w:rsidR="00D7686D">
      <w:rPr>
        <w:rFonts w:cs="Arial"/>
        <w:bCs/>
        <w:szCs w:val="24"/>
        <w:u w:val="single"/>
      </w:rPr>
      <w:t xml:space="preserve"> 024  </w:t>
    </w:r>
    <w:r w:rsidRPr="002560C5">
      <w:rPr>
        <w:rFonts w:cs="Arial"/>
        <w:b w:val="0"/>
        <w:sz w:val="22"/>
        <w:szCs w:val="22"/>
      </w:rPr>
      <w:tab/>
      <w:t xml:space="preserve">DE </w:t>
    </w:r>
    <w:r w:rsidR="0038402B">
      <w:rPr>
        <w:rFonts w:cs="Arial"/>
        <w:bCs/>
        <w:szCs w:val="24"/>
        <w:u w:val="single"/>
      </w:rPr>
      <w:t>__</w:t>
    </w:r>
    <w:r w:rsidR="00D7686D">
      <w:rPr>
        <w:rFonts w:cs="Arial"/>
        <w:bCs/>
        <w:szCs w:val="24"/>
        <w:u w:val="single"/>
      </w:rPr>
      <w:t>18 NOV.2022</w:t>
    </w:r>
    <w:r w:rsidR="0038402B">
      <w:rPr>
        <w:rFonts w:cs="Arial"/>
        <w:bCs/>
        <w:szCs w:val="24"/>
        <w:u w:val="single"/>
      </w:rPr>
      <w:t>_</w:t>
    </w:r>
    <w:r w:rsidRPr="002560C5">
      <w:rPr>
        <w:rFonts w:cs="Arial"/>
        <w:b w:val="0"/>
        <w:sz w:val="22"/>
        <w:szCs w:val="22"/>
      </w:rPr>
      <w:tab/>
      <w:t xml:space="preserve">HOJA No. </w:t>
    </w:r>
    <w:r w:rsidRPr="002560C5">
      <w:rPr>
        <w:rFonts w:cs="Arial"/>
        <w:b w:val="0"/>
        <w:sz w:val="22"/>
        <w:szCs w:val="22"/>
      </w:rPr>
      <w:fldChar w:fldCharType="begin"/>
    </w:r>
    <w:r w:rsidRPr="002560C5">
      <w:rPr>
        <w:rFonts w:cs="Arial"/>
        <w:b w:val="0"/>
        <w:sz w:val="22"/>
        <w:szCs w:val="22"/>
      </w:rPr>
      <w:instrText xml:space="preserve"> PAGE   \* MERGEFORMAT </w:instrText>
    </w:r>
    <w:r w:rsidRPr="002560C5">
      <w:rPr>
        <w:rFonts w:cs="Arial"/>
        <w:b w:val="0"/>
        <w:sz w:val="22"/>
        <w:szCs w:val="22"/>
      </w:rPr>
      <w:fldChar w:fldCharType="separate"/>
    </w:r>
    <w:r>
      <w:rPr>
        <w:rFonts w:cs="Arial"/>
        <w:b w:val="0"/>
        <w:noProof/>
        <w:sz w:val="22"/>
        <w:szCs w:val="22"/>
      </w:rPr>
      <w:t>3</w:t>
    </w:r>
    <w:r w:rsidRPr="002560C5">
      <w:rPr>
        <w:rFonts w:cs="Arial"/>
        <w:b w:val="0"/>
        <w:sz w:val="22"/>
        <w:szCs w:val="22"/>
      </w:rPr>
      <w:fldChar w:fldCharType="end"/>
    </w:r>
    <w:r w:rsidRPr="002560C5">
      <w:rPr>
        <w:rFonts w:cs="Arial"/>
        <w:b w:val="0"/>
        <w:sz w:val="22"/>
        <w:szCs w:val="22"/>
      </w:rPr>
      <w:t>/</w:t>
    </w:r>
    <w:fldSimple w:instr="NUMPAGES  \* MERGEFORMAT">
      <w:r w:rsidRPr="007E6C4A">
        <w:rPr>
          <w:rFonts w:cs="Arial"/>
          <w:b w:val="0"/>
          <w:noProof/>
          <w:sz w:val="22"/>
          <w:szCs w:val="22"/>
        </w:rPr>
        <w:t>7</w:t>
      </w:r>
    </w:fldSimple>
  </w:p>
  <w:p w14:paraId="5EEBDD92" w14:textId="77777777" w:rsidR="009C1EF5" w:rsidRDefault="009C1EF5" w:rsidP="00AD01E4">
    <w:pPr>
      <w:ind w:left="142" w:right="148"/>
      <w:rPr>
        <w:rFonts w:cs="Arial"/>
      </w:rPr>
    </w:pPr>
    <w:r w:rsidRPr="0042068C">
      <w:rPr>
        <w:noProof/>
        <w:lang w:val="es-CO" w:eastAsia="es-CO"/>
      </w:rPr>
      <mc:AlternateContent>
        <mc:Choice Requires="wps">
          <w:drawing>
            <wp:anchor distT="0" distB="0" distL="114300" distR="114300" simplePos="0" relativeHeight="251658240" behindDoc="0" locked="0" layoutInCell="1" allowOverlap="1" wp14:anchorId="00F492FC" wp14:editId="41B78FEF">
              <wp:simplePos x="0" y="0"/>
              <wp:positionH relativeFrom="column">
                <wp:posOffset>-121285</wp:posOffset>
              </wp:positionH>
              <wp:positionV relativeFrom="paragraph">
                <wp:posOffset>141605</wp:posOffset>
              </wp:positionV>
              <wp:extent cx="6267450" cy="9944100"/>
              <wp:effectExtent l="0" t="0" r="19050" b="1905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441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74DE9E" id="Rectangle 1" o:spid="_x0000_s1026" style="position:absolute;margin-left:-9.55pt;margin-top:11.15pt;width:493.5pt;height:78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" filled="f" strokeweight="1.5pt"/>
          </w:pict>
        </mc:Fallback>
      </mc:AlternateContent>
    </w:r>
  </w:p>
  <w:p w14:paraId="19A008AD" w14:textId="7AECA8CD" w:rsidR="009C1EF5" w:rsidRPr="00977EA8" w:rsidRDefault="00B5231E" w:rsidP="00977EA8">
    <w:pPr>
      <w:pBdr>
        <w:bottom w:val="single" w:sz="4" w:space="9" w:color="auto"/>
      </w:pBdr>
      <w:spacing w:after="240"/>
      <w:rPr>
        <w:i/>
        <w:iCs/>
        <w:sz w:val="22"/>
        <w:szCs w:val="22"/>
      </w:rPr>
    </w:pPr>
    <w:r w:rsidRPr="00977EA8">
      <w:rPr>
        <w:i/>
        <w:iCs/>
        <w:sz w:val="22"/>
        <w:szCs w:val="22"/>
      </w:rPr>
      <w:t>Por la cual se ordena hacer público un proyecto de resolución “</w:t>
    </w:r>
    <w:bookmarkStart w:id="2" w:name="_Hlk97628091"/>
    <w:r w:rsidR="005E6727" w:rsidRPr="00977EA8">
      <w:rPr>
        <w:i/>
        <w:iCs/>
        <w:sz w:val="22"/>
        <w:szCs w:val="22"/>
      </w:rPr>
      <w:t>Por la cual se modifican algunas disposiciones de la Resolución CREG 075 de 2021</w:t>
    </w:r>
    <w:bookmarkEnd w:id="2"/>
    <w:r w:rsidRPr="00977EA8">
      <w:rPr>
        <w:i/>
        <w:iCs/>
        <w:sz w:val="22"/>
        <w:szCs w:val="22"/>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E2E89" w14:textId="77777777" w:rsidR="009C1EF5" w:rsidRDefault="009C1EF5" w:rsidP="000B7990">
    <w:pPr>
      <w:pStyle w:val="Encabezado"/>
      <w:jc w:val="center"/>
      <w:rPr>
        <w:rFonts w:ascii="Arial" w:hAnsi="Arial" w:cs="Arial"/>
        <w:spacing w:val="20"/>
        <w:sz w:val="20"/>
      </w:rPr>
    </w:pPr>
    <w:r>
      <w:rPr>
        <w:rFonts w:ascii="Arial" w:hAnsi="Arial" w:cs="Arial"/>
        <w:spacing w:val="20"/>
        <w:sz w:val="20"/>
      </w:rPr>
      <w:t>República de Colombia</w:t>
    </w:r>
  </w:p>
  <w:p w14:paraId="6ADC23F8" w14:textId="77777777" w:rsidR="009C1EF5" w:rsidRDefault="009C1EF5">
    <w:pPr>
      <w:pStyle w:val="Encabezado"/>
      <w:jc w:val="center"/>
      <w:rPr>
        <w:rFonts w:ascii="Arial" w:hAnsi="Arial" w:cs="Arial"/>
        <w:spacing w:val="20"/>
        <w:sz w:val="20"/>
      </w:rPr>
    </w:pPr>
  </w:p>
  <w:p w14:paraId="1A5CD802" w14:textId="77777777" w:rsidR="009C1EF5" w:rsidRDefault="009C1EF5"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3A199B1E" wp14:editId="0360A44B">
              <wp:simplePos x="0" y="0"/>
              <wp:positionH relativeFrom="column">
                <wp:posOffset>-213360</wp:posOffset>
              </wp:positionH>
              <wp:positionV relativeFrom="paragraph">
                <wp:posOffset>265223</wp:posOffset>
              </wp:positionV>
              <wp:extent cx="6343650" cy="9839325"/>
              <wp:effectExtent l="9525" t="12065" r="9525" b="1651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6B45CE" id="Rectangle 2" o:spid="_x0000_s1026" style="position:absolute;margin-left:-16.8pt;margin-top:20.9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3061BFF"/>
    <w:multiLevelType w:val="hybridMultilevel"/>
    <w:tmpl w:val="79682F9A"/>
    <w:lvl w:ilvl="0" w:tplc="CB589430">
      <w:start w:val="1"/>
      <w:numFmt w:val="decimal"/>
      <w:lvlText w:val="Artículo %1."/>
      <w:lvlJc w:val="left"/>
      <w:pPr>
        <w:tabs>
          <w:tab w:val="num" w:pos="1440"/>
        </w:tabs>
        <w:ind w:left="0" w:firstLine="0"/>
      </w:pPr>
      <w:rPr>
        <w:rFonts w:hint="default"/>
        <w:b/>
        <w:i w:val="0"/>
      </w:rPr>
    </w:lvl>
    <w:lvl w:ilvl="1" w:tplc="8F10E000">
      <w:start w:val="1"/>
      <w:numFmt w:val="lowerLetter"/>
      <w:lvlText w:val="%2)"/>
      <w:lvlJc w:val="left"/>
      <w:pPr>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36853DE"/>
    <w:multiLevelType w:val="hybridMultilevel"/>
    <w:tmpl w:val="81A64FF0"/>
    <w:lvl w:ilvl="0" w:tplc="B76C1F0E">
      <w:start w:val="1"/>
      <w:numFmt w:val="bullet"/>
      <w:lvlText w:val=""/>
      <w:lvlJc w:val="left"/>
      <w:pPr>
        <w:ind w:left="1287" w:hanging="360"/>
      </w:pPr>
      <w:rPr>
        <w:rFonts w:ascii="Symbol" w:hAnsi="Symbol" w:hint="default"/>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4" w15:restartNumberingAfterBreak="0">
    <w:nsid w:val="048E5D3D"/>
    <w:multiLevelType w:val="hybridMultilevel"/>
    <w:tmpl w:val="8A289554"/>
    <w:name w:val="Nueva lista 42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07FD1BF8"/>
    <w:multiLevelType w:val="hybridMultilevel"/>
    <w:tmpl w:val="3A461224"/>
    <w:lvl w:ilvl="0" w:tplc="240A0017">
      <w:start w:val="1"/>
      <w:numFmt w:val="lowerLetter"/>
      <w:lvlText w:val="%1)"/>
      <w:lvlJc w:val="left"/>
      <w:pPr>
        <w:ind w:left="802" w:hanging="360"/>
      </w:pPr>
    </w:lvl>
    <w:lvl w:ilvl="1" w:tplc="240A0019" w:tentative="1">
      <w:start w:val="1"/>
      <w:numFmt w:val="lowerLetter"/>
      <w:lvlText w:val="%2."/>
      <w:lvlJc w:val="left"/>
      <w:pPr>
        <w:ind w:left="1522" w:hanging="360"/>
      </w:pPr>
    </w:lvl>
    <w:lvl w:ilvl="2" w:tplc="240A001B" w:tentative="1">
      <w:start w:val="1"/>
      <w:numFmt w:val="lowerRoman"/>
      <w:lvlText w:val="%3."/>
      <w:lvlJc w:val="right"/>
      <w:pPr>
        <w:ind w:left="2242" w:hanging="180"/>
      </w:pPr>
    </w:lvl>
    <w:lvl w:ilvl="3" w:tplc="240A000F" w:tentative="1">
      <w:start w:val="1"/>
      <w:numFmt w:val="decimal"/>
      <w:lvlText w:val="%4."/>
      <w:lvlJc w:val="left"/>
      <w:pPr>
        <w:ind w:left="2962" w:hanging="360"/>
      </w:pPr>
    </w:lvl>
    <w:lvl w:ilvl="4" w:tplc="240A0019" w:tentative="1">
      <w:start w:val="1"/>
      <w:numFmt w:val="lowerLetter"/>
      <w:lvlText w:val="%5."/>
      <w:lvlJc w:val="left"/>
      <w:pPr>
        <w:ind w:left="3682" w:hanging="360"/>
      </w:pPr>
    </w:lvl>
    <w:lvl w:ilvl="5" w:tplc="240A001B" w:tentative="1">
      <w:start w:val="1"/>
      <w:numFmt w:val="lowerRoman"/>
      <w:lvlText w:val="%6."/>
      <w:lvlJc w:val="right"/>
      <w:pPr>
        <w:ind w:left="4402" w:hanging="180"/>
      </w:pPr>
    </w:lvl>
    <w:lvl w:ilvl="6" w:tplc="240A000F" w:tentative="1">
      <w:start w:val="1"/>
      <w:numFmt w:val="decimal"/>
      <w:lvlText w:val="%7."/>
      <w:lvlJc w:val="left"/>
      <w:pPr>
        <w:ind w:left="5122" w:hanging="360"/>
      </w:pPr>
    </w:lvl>
    <w:lvl w:ilvl="7" w:tplc="240A0019" w:tentative="1">
      <w:start w:val="1"/>
      <w:numFmt w:val="lowerLetter"/>
      <w:lvlText w:val="%8."/>
      <w:lvlJc w:val="left"/>
      <w:pPr>
        <w:ind w:left="5842" w:hanging="360"/>
      </w:pPr>
    </w:lvl>
    <w:lvl w:ilvl="8" w:tplc="240A001B" w:tentative="1">
      <w:start w:val="1"/>
      <w:numFmt w:val="lowerRoman"/>
      <w:lvlText w:val="%9."/>
      <w:lvlJc w:val="right"/>
      <w:pPr>
        <w:ind w:left="6562" w:hanging="180"/>
      </w:pPr>
    </w:lvl>
  </w:abstractNum>
  <w:abstractNum w:abstractNumId="6" w15:restartNumberingAfterBreak="0">
    <w:nsid w:val="12642EBA"/>
    <w:multiLevelType w:val="hybridMultilevel"/>
    <w:tmpl w:val="8D8E0D72"/>
    <w:lvl w:ilvl="0" w:tplc="2A986BAE">
      <w:start w:val="1"/>
      <w:numFmt w:val="decimal"/>
      <w:lvlText w:val="Artículo %1."/>
      <w:lvlJc w:val="left"/>
      <w:pPr>
        <w:ind w:left="2204" w:hanging="360"/>
      </w:pPr>
      <w:rPr>
        <w:rFonts w:ascii="Bookman Old Style" w:hAnsi="Bookman Old Style" w:hint="default"/>
        <w:b/>
        <w:i w:val="0"/>
        <w:color w:val="auto"/>
        <w:sz w:val="24"/>
        <w:szCs w:val="24"/>
      </w:rPr>
    </w:lvl>
    <w:lvl w:ilvl="1" w:tplc="240A0019" w:tentative="1">
      <w:start w:val="1"/>
      <w:numFmt w:val="lowerLetter"/>
      <w:lvlText w:val="%2."/>
      <w:lvlJc w:val="left"/>
      <w:pPr>
        <w:ind w:left="873" w:hanging="360"/>
      </w:pPr>
    </w:lvl>
    <w:lvl w:ilvl="2" w:tplc="240A001B" w:tentative="1">
      <w:start w:val="1"/>
      <w:numFmt w:val="lowerRoman"/>
      <w:lvlText w:val="%3."/>
      <w:lvlJc w:val="right"/>
      <w:pPr>
        <w:ind w:left="1593" w:hanging="180"/>
      </w:pPr>
    </w:lvl>
    <w:lvl w:ilvl="3" w:tplc="240A000F" w:tentative="1">
      <w:start w:val="1"/>
      <w:numFmt w:val="decimal"/>
      <w:lvlText w:val="%4."/>
      <w:lvlJc w:val="left"/>
      <w:pPr>
        <w:ind w:left="2313" w:hanging="360"/>
      </w:pPr>
    </w:lvl>
    <w:lvl w:ilvl="4" w:tplc="240A0019" w:tentative="1">
      <w:start w:val="1"/>
      <w:numFmt w:val="lowerLetter"/>
      <w:lvlText w:val="%5."/>
      <w:lvlJc w:val="left"/>
      <w:pPr>
        <w:ind w:left="3033" w:hanging="360"/>
      </w:pPr>
    </w:lvl>
    <w:lvl w:ilvl="5" w:tplc="240A001B" w:tentative="1">
      <w:start w:val="1"/>
      <w:numFmt w:val="lowerRoman"/>
      <w:lvlText w:val="%6."/>
      <w:lvlJc w:val="right"/>
      <w:pPr>
        <w:ind w:left="3753" w:hanging="180"/>
      </w:pPr>
    </w:lvl>
    <w:lvl w:ilvl="6" w:tplc="240A000F" w:tentative="1">
      <w:start w:val="1"/>
      <w:numFmt w:val="decimal"/>
      <w:lvlText w:val="%7."/>
      <w:lvlJc w:val="left"/>
      <w:pPr>
        <w:ind w:left="4473" w:hanging="360"/>
      </w:pPr>
    </w:lvl>
    <w:lvl w:ilvl="7" w:tplc="240A0019" w:tentative="1">
      <w:start w:val="1"/>
      <w:numFmt w:val="lowerLetter"/>
      <w:lvlText w:val="%8."/>
      <w:lvlJc w:val="left"/>
      <w:pPr>
        <w:ind w:left="5193" w:hanging="360"/>
      </w:pPr>
    </w:lvl>
    <w:lvl w:ilvl="8" w:tplc="240A001B" w:tentative="1">
      <w:start w:val="1"/>
      <w:numFmt w:val="lowerRoman"/>
      <w:lvlText w:val="%9."/>
      <w:lvlJc w:val="right"/>
      <w:pPr>
        <w:ind w:left="5913" w:hanging="180"/>
      </w:pPr>
    </w:lvl>
  </w:abstractNum>
  <w:abstractNum w:abstractNumId="7" w15:restartNumberingAfterBreak="0">
    <w:nsid w:val="12A909E6"/>
    <w:multiLevelType w:val="multilevel"/>
    <w:tmpl w:val="5AB06492"/>
    <w:lvl w:ilvl="0">
      <w:start w:val="1"/>
      <w:numFmt w:val="decimal"/>
      <w:lvlText w:val="CAPÍTULO %1."/>
      <w:lvlJc w:val="center"/>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524" w:hanging="720"/>
      </w:pPr>
      <w:rPr>
        <w:rFonts w:hint="default"/>
      </w:rPr>
    </w:lvl>
    <w:lvl w:ilvl="3">
      <w:start w:val="1"/>
      <w:numFmt w:val="decimal"/>
      <w:lvlText w:val="%1.%2.%3.%4"/>
      <w:lvlJc w:val="left"/>
      <w:pPr>
        <w:ind w:left="864" w:hanging="864"/>
      </w:pPr>
      <w:rPr>
        <w:rFonts w:hint="default"/>
        <w:lang w:val="es-ES"/>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171F30B1"/>
    <w:multiLevelType w:val="hybridMultilevel"/>
    <w:tmpl w:val="581456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CB62BAB"/>
    <w:multiLevelType w:val="hybridMultilevel"/>
    <w:tmpl w:val="076AB0DA"/>
    <w:name w:val="Nueva lista 4"/>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10" w15:restartNumberingAfterBreak="0">
    <w:nsid w:val="20644B41"/>
    <w:multiLevelType w:val="hybridMultilevel"/>
    <w:tmpl w:val="79682F9A"/>
    <w:lvl w:ilvl="0" w:tplc="FFFFFFFF">
      <w:start w:val="1"/>
      <w:numFmt w:val="decimal"/>
      <w:lvlText w:val="Artículo %1."/>
      <w:lvlJc w:val="left"/>
      <w:pPr>
        <w:tabs>
          <w:tab w:val="num" w:pos="1440"/>
        </w:tabs>
        <w:ind w:left="0" w:firstLine="0"/>
      </w:pPr>
      <w:rPr>
        <w:rFonts w:hint="default"/>
        <w:b/>
        <w:i w:val="0"/>
      </w:rPr>
    </w:lvl>
    <w:lvl w:ilvl="1" w:tplc="FFFFFFFF">
      <w:start w:val="1"/>
      <w:numFmt w:val="lowerLetter"/>
      <w:lvlText w:val="%2)"/>
      <w:lvlJc w:val="left"/>
      <w:pPr>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26DD22E6"/>
    <w:multiLevelType w:val="hybridMultilevel"/>
    <w:tmpl w:val="1A487DD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C7A7C88"/>
    <w:multiLevelType w:val="multilevel"/>
    <w:tmpl w:val="3C96A534"/>
    <w:name w:val="Artículo"/>
    <w:lvl w:ilvl="0">
      <w:start w:val="1"/>
      <w:numFmt w:val="decimal"/>
      <w:pStyle w:val="Ttulo1"/>
      <w:suff w:val="space"/>
      <w:lvlText w:val="Capítulo %1"/>
      <w:lvlJc w:val="left"/>
      <w:pPr>
        <w:ind w:left="0" w:firstLine="0"/>
      </w:pPr>
    </w:lvl>
    <w:lvl w:ilvl="1">
      <w:start w:val="1"/>
      <w:numFmt w:val="none"/>
      <w:pStyle w:val="Ttulo2"/>
      <w:suff w:val="nothing"/>
      <w:lvlText w:val=""/>
      <w:lvlJc w:val="left"/>
      <w:pPr>
        <w:ind w:left="0" w:firstLine="0"/>
      </w:pPr>
    </w:lvl>
    <w:lvl w:ilvl="2">
      <w:start w:val="1"/>
      <w:numFmt w:val="none"/>
      <w:pStyle w:val="Ttulo3"/>
      <w:suff w:val="nothing"/>
      <w:lvlText w:val=""/>
      <w:lvlJc w:val="left"/>
      <w:pPr>
        <w:ind w:left="0" w:firstLine="0"/>
      </w:pPr>
    </w:lvl>
    <w:lvl w:ilvl="3">
      <w:start w:val="1"/>
      <w:numFmt w:val="none"/>
      <w:pStyle w:val="Ttulo4"/>
      <w:suff w:val="nothing"/>
      <w:lvlText w:val=""/>
      <w:lvlJc w:val="left"/>
      <w:pPr>
        <w:ind w:left="0" w:firstLine="0"/>
      </w:pPr>
    </w:lvl>
    <w:lvl w:ilvl="4">
      <w:start w:val="1"/>
      <w:numFmt w:val="none"/>
      <w:pStyle w:val="Ttulo5"/>
      <w:suff w:val="nothing"/>
      <w:lvlText w:val=""/>
      <w:lvlJc w:val="left"/>
      <w:pPr>
        <w:ind w:left="0" w:firstLine="0"/>
      </w:pPr>
    </w:lvl>
    <w:lvl w:ilvl="5">
      <w:start w:val="1"/>
      <w:numFmt w:val="none"/>
      <w:pStyle w:val="Ttulo6"/>
      <w:suff w:val="nothing"/>
      <w:lvlText w:val=""/>
      <w:lvlJc w:val="left"/>
      <w:pPr>
        <w:ind w:left="0" w:firstLine="0"/>
      </w:pPr>
    </w:lvl>
    <w:lvl w:ilvl="6">
      <w:start w:val="1"/>
      <w:numFmt w:val="none"/>
      <w:pStyle w:val="Ttulo7"/>
      <w:suff w:val="nothing"/>
      <w:lvlText w:val=""/>
      <w:lvlJc w:val="left"/>
      <w:pPr>
        <w:ind w:left="0" w:firstLine="0"/>
      </w:pPr>
    </w:lvl>
    <w:lvl w:ilvl="7">
      <w:start w:val="1"/>
      <w:numFmt w:val="none"/>
      <w:pStyle w:val="Ttulo8"/>
      <w:suff w:val="nothing"/>
      <w:lvlText w:val=""/>
      <w:lvlJc w:val="left"/>
      <w:pPr>
        <w:ind w:left="0" w:firstLine="0"/>
      </w:pPr>
    </w:lvl>
    <w:lvl w:ilvl="8">
      <w:start w:val="1"/>
      <w:numFmt w:val="none"/>
      <w:pStyle w:val="Ttulo9"/>
      <w:suff w:val="nothing"/>
      <w:lvlText w:val=""/>
      <w:lvlJc w:val="left"/>
      <w:pPr>
        <w:ind w:left="0" w:firstLine="0"/>
      </w:pPr>
    </w:lvl>
  </w:abstractNum>
  <w:abstractNum w:abstractNumId="13" w15:restartNumberingAfterBreak="0">
    <w:nsid w:val="2E1E7587"/>
    <w:multiLevelType w:val="hybridMultilevel"/>
    <w:tmpl w:val="C5F00CC8"/>
    <w:lvl w:ilvl="0" w:tplc="240A0017">
      <w:start w:val="1"/>
      <w:numFmt w:val="lowerLetter"/>
      <w:lvlText w:val="%1)"/>
      <w:lvlJc w:val="left"/>
      <w:pPr>
        <w:ind w:left="644" w:hanging="360"/>
      </w:pPr>
      <w:rPr>
        <w:rFonts w:hint="default"/>
      </w:rPr>
    </w:lvl>
    <w:lvl w:ilvl="1" w:tplc="240A0019" w:tentative="1">
      <w:start w:val="1"/>
      <w:numFmt w:val="lowerLetter"/>
      <w:lvlText w:val="%2."/>
      <w:lvlJc w:val="left"/>
      <w:pPr>
        <w:ind w:left="1364" w:hanging="360"/>
      </w:pPr>
    </w:lvl>
    <w:lvl w:ilvl="2" w:tplc="240A001B" w:tentative="1">
      <w:start w:val="1"/>
      <w:numFmt w:val="lowerRoman"/>
      <w:lvlText w:val="%3."/>
      <w:lvlJc w:val="right"/>
      <w:pPr>
        <w:ind w:left="2084" w:hanging="180"/>
      </w:pPr>
    </w:lvl>
    <w:lvl w:ilvl="3" w:tplc="240A000F" w:tentative="1">
      <w:start w:val="1"/>
      <w:numFmt w:val="decimal"/>
      <w:lvlText w:val="%4."/>
      <w:lvlJc w:val="left"/>
      <w:pPr>
        <w:ind w:left="2804" w:hanging="360"/>
      </w:pPr>
    </w:lvl>
    <w:lvl w:ilvl="4" w:tplc="240A0019" w:tentative="1">
      <w:start w:val="1"/>
      <w:numFmt w:val="lowerLetter"/>
      <w:lvlText w:val="%5."/>
      <w:lvlJc w:val="left"/>
      <w:pPr>
        <w:ind w:left="3524" w:hanging="360"/>
      </w:pPr>
    </w:lvl>
    <w:lvl w:ilvl="5" w:tplc="240A001B" w:tentative="1">
      <w:start w:val="1"/>
      <w:numFmt w:val="lowerRoman"/>
      <w:lvlText w:val="%6."/>
      <w:lvlJc w:val="right"/>
      <w:pPr>
        <w:ind w:left="4244" w:hanging="180"/>
      </w:pPr>
    </w:lvl>
    <w:lvl w:ilvl="6" w:tplc="240A000F" w:tentative="1">
      <w:start w:val="1"/>
      <w:numFmt w:val="decimal"/>
      <w:lvlText w:val="%7."/>
      <w:lvlJc w:val="left"/>
      <w:pPr>
        <w:ind w:left="4964" w:hanging="360"/>
      </w:pPr>
    </w:lvl>
    <w:lvl w:ilvl="7" w:tplc="240A0019" w:tentative="1">
      <w:start w:val="1"/>
      <w:numFmt w:val="lowerLetter"/>
      <w:lvlText w:val="%8."/>
      <w:lvlJc w:val="left"/>
      <w:pPr>
        <w:ind w:left="5684" w:hanging="360"/>
      </w:pPr>
    </w:lvl>
    <w:lvl w:ilvl="8" w:tplc="240A001B" w:tentative="1">
      <w:start w:val="1"/>
      <w:numFmt w:val="lowerRoman"/>
      <w:lvlText w:val="%9."/>
      <w:lvlJc w:val="right"/>
      <w:pPr>
        <w:ind w:left="6404" w:hanging="180"/>
      </w:pPr>
    </w:lvl>
  </w:abstractNum>
  <w:abstractNum w:abstractNumId="14" w15:restartNumberingAfterBreak="0">
    <w:nsid w:val="2FEE05E1"/>
    <w:multiLevelType w:val="hybridMultilevel"/>
    <w:tmpl w:val="94ACFD7C"/>
    <w:lvl w:ilvl="0" w:tplc="778469C6">
      <w:start w:val="1"/>
      <w:numFmt w:val="decimal"/>
      <w:pStyle w:val="Ttulo"/>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43C2754"/>
    <w:multiLevelType w:val="hybridMultilevel"/>
    <w:tmpl w:val="0D245F9C"/>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37EA50BC"/>
    <w:multiLevelType w:val="hybridMultilevel"/>
    <w:tmpl w:val="089464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3884614F"/>
    <w:multiLevelType w:val="hybridMultilevel"/>
    <w:tmpl w:val="A3487ED4"/>
    <w:lvl w:ilvl="0" w:tplc="240A0011">
      <w:start w:val="1"/>
      <w:numFmt w:val="decimal"/>
      <w:lvlText w:val="%1)"/>
      <w:lvlJc w:val="left"/>
      <w:pPr>
        <w:ind w:left="720" w:hanging="360"/>
      </w:pPr>
      <w:rPr>
        <w:rFonts w:hint="default"/>
        <w:b w:val="0"/>
        <w:bCs/>
        <w:i w:val="0"/>
        <w:caps w:val="0"/>
        <w:strike w:val="0"/>
        <w:dstrike w:val="0"/>
        <w:vanish w:val="0"/>
        <w:spacing w:val="0"/>
        <w:w w:val="100"/>
        <w:vertAlign w:val="baselin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3983173C"/>
    <w:multiLevelType w:val="hybridMultilevel"/>
    <w:tmpl w:val="FC74A41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CBF1CCF"/>
    <w:multiLevelType w:val="hybridMultilevel"/>
    <w:tmpl w:val="CC5A456A"/>
    <w:name w:val="Nueva lista 42"/>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20" w15:restartNumberingAfterBreak="0">
    <w:nsid w:val="423C3640"/>
    <w:multiLevelType w:val="hybridMultilevel"/>
    <w:tmpl w:val="C72466B2"/>
    <w:lvl w:ilvl="0" w:tplc="240A0001">
      <w:start w:val="1"/>
      <w:numFmt w:val="bullet"/>
      <w:lvlText w:val=""/>
      <w:lvlJc w:val="left"/>
      <w:pPr>
        <w:ind w:left="1287" w:hanging="360"/>
      </w:pPr>
      <w:rPr>
        <w:rFonts w:ascii="Symbol" w:hAnsi="Symbol" w:hint="default"/>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21" w15:restartNumberingAfterBreak="0">
    <w:nsid w:val="465D2B1B"/>
    <w:multiLevelType w:val="hybridMultilevel"/>
    <w:tmpl w:val="B40E17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4CE83496"/>
    <w:multiLevelType w:val="hybridMultilevel"/>
    <w:tmpl w:val="01684B7E"/>
    <w:lvl w:ilvl="0" w:tplc="A84C015E">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4F471EEB"/>
    <w:multiLevelType w:val="multilevel"/>
    <w:tmpl w:val="7F48610C"/>
    <w:name w:val="Nueva lista 3"/>
    <w:lvl w:ilvl="0">
      <w:start w:val="1"/>
      <w:numFmt w:val="decimal"/>
      <w:pStyle w:val="Artculo"/>
      <w:suff w:val="space"/>
      <w:lvlText w:val="Artículo %1."/>
      <w:lvlJc w:val="left"/>
      <w:pPr>
        <w:ind w:left="426" w:firstLine="0"/>
      </w:pPr>
      <w:rPr>
        <w:rFonts w:hint="default"/>
        <w:b/>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4" w15:restartNumberingAfterBreak="0">
    <w:nsid w:val="51CD7EDD"/>
    <w:multiLevelType w:val="hybridMultilevel"/>
    <w:tmpl w:val="6664666E"/>
    <w:lvl w:ilvl="0" w:tplc="240A0001">
      <w:start w:val="1"/>
      <w:numFmt w:val="bullet"/>
      <w:lvlText w:val=""/>
      <w:lvlJc w:val="left"/>
      <w:pPr>
        <w:ind w:left="1287" w:hanging="360"/>
      </w:pPr>
      <w:rPr>
        <w:rFonts w:ascii="Symbol" w:hAnsi="Symbol" w:hint="default"/>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25" w15:restartNumberingAfterBreak="0">
    <w:nsid w:val="5C14336D"/>
    <w:multiLevelType w:val="hybridMultilevel"/>
    <w:tmpl w:val="4FA61826"/>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D3A550D"/>
    <w:multiLevelType w:val="multilevel"/>
    <w:tmpl w:val="894C9FD2"/>
    <w:name w:val="Nueva lista 2"/>
    <w:lvl w:ilvl="0">
      <w:start w:val="1"/>
      <w:numFmt w:val="upperRoman"/>
      <w:pStyle w:val="Subttulo"/>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15:restartNumberingAfterBreak="0">
    <w:nsid w:val="5E52444B"/>
    <w:multiLevelType w:val="hybridMultilevel"/>
    <w:tmpl w:val="6136AA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604A41CE"/>
    <w:multiLevelType w:val="hybridMultilevel"/>
    <w:tmpl w:val="78E46086"/>
    <w:lvl w:ilvl="0" w:tplc="240A0019">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68AF4FAF"/>
    <w:multiLevelType w:val="multilevel"/>
    <w:tmpl w:val="4F2264AA"/>
    <w:name w:val="Nueva lista"/>
    <w:lvl w:ilvl="0">
      <w:start w:val="1"/>
      <w:numFmt w:val="upperRoman"/>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0" w15:restartNumberingAfterBreak="0">
    <w:nsid w:val="6BD33A09"/>
    <w:multiLevelType w:val="hybridMultilevel"/>
    <w:tmpl w:val="3DD0CB04"/>
    <w:lvl w:ilvl="0" w:tplc="240A0017">
      <w:start w:val="1"/>
      <w:numFmt w:val="lowerLetter"/>
      <w:lvlText w:val="%1)"/>
      <w:lvlJc w:val="left"/>
      <w:pPr>
        <w:ind w:left="1288" w:hanging="360"/>
      </w:pPr>
    </w:lvl>
    <w:lvl w:ilvl="1" w:tplc="240A0019">
      <w:start w:val="1"/>
      <w:numFmt w:val="lowerLetter"/>
      <w:lvlText w:val="%2."/>
      <w:lvlJc w:val="left"/>
      <w:pPr>
        <w:ind w:left="2008" w:hanging="360"/>
      </w:pPr>
    </w:lvl>
    <w:lvl w:ilvl="2" w:tplc="240A001B" w:tentative="1">
      <w:start w:val="1"/>
      <w:numFmt w:val="lowerRoman"/>
      <w:lvlText w:val="%3."/>
      <w:lvlJc w:val="right"/>
      <w:pPr>
        <w:ind w:left="2728" w:hanging="180"/>
      </w:pPr>
    </w:lvl>
    <w:lvl w:ilvl="3" w:tplc="240A000F" w:tentative="1">
      <w:start w:val="1"/>
      <w:numFmt w:val="decimal"/>
      <w:lvlText w:val="%4."/>
      <w:lvlJc w:val="left"/>
      <w:pPr>
        <w:ind w:left="3448" w:hanging="360"/>
      </w:pPr>
    </w:lvl>
    <w:lvl w:ilvl="4" w:tplc="240A0019" w:tentative="1">
      <w:start w:val="1"/>
      <w:numFmt w:val="lowerLetter"/>
      <w:lvlText w:val="%5."/>
      <w:lvlJc w:val="left"/>
      <w:pPr>
        <w:ind w:left="4168" w:hanging="360"/>
      </w:pPr>
    </w:lvl>
    <w:lvl w:ilvl="5" w:tplc="240A001B" w:tentative="1">
      <w:start w:val="1"/>
      <w:numFmt w:val="lowerRoman"/>
      <w:lvlText w:val="%6."/>
      <w:lvlJc w:val="right"/>
      <w:pPr>
        <w:ind w:left="4888" w:hanging="180"/>
      </w:pPr>
    </w:lvl>
    <w:lvl w:ilvl="6" w:tplc="240A000F" w:tentative="1">
      <w:start w:val="1"/>
      <w:numFmt w:val="decimal"/>
      <w:lvlText w:val="%7."/>
      <w:lvlJc w:val="left"/>
      <w:pPr>
        <w:ind w:left="5608" w:hanging="360"/>
      </w:pPr>
    </w:lvl>
    <w:lvl w:ilvl="7" w:tplc="240A0019" w:tentative="1">
      <w:start w:val="1"/>
      <w:numFmt w:val="lowerLetter"/>
      <w:lvlText w:val="%8."/>
      <w:lvlJc w:val="left"/>
      <w:pPr>
        <w:ind w:left="6328" w:hanging="360"/>
      </w:pPr>
    </w:lvl>
    <w:lvl w:ilvl="8" w:tplc="240A001B" w:tentative="1">
      <w:start w:val="1"/>
      <w:numFmt w:val="lowerRoman"/>
      <w:lvlText w:val="%9."/>
      <w:lvlJc w:val="right"/>
      <w:pPr>
        <w:ind w:left="7048" w:hanging="180"/>
      </w:pPr>
    </w:lvl>
  </w:abstractNum>
  <w:abstractNum w:abstractNumId="31" w15:restartNumberingAfterBreak="0">
    <w:nsid w:val="6D5C36D8"/>
    <w:multiLevelType w:val="hybridMultilevel"/>
    <w:tmpl w:val="29BA0DB8"/>
    <w:lvl w:ilvl="0" w:tplc="68B442E6">
      <w:start w:val="1"/>
      <w:numFmt w:val="lowerLetter"/>
      <w:pStyle w:val="Prrafodelista"/>
      <w:lvlText w:val="%1)"/>
      <w:lvlJc w:val="left"/>
      <w:pPr>
        <w:ind w:left="360" w:hanging="360"/>
      </w:pPr>
    </w:lvl>
    <w:lvl w:ilvl="1" w:tplc="B7FA99B4">
      <w:start w:val="1"/>
      <w:numFmt w:val="decimal"/>
      <w:lvlText w:val="%2."/>
      <w:lvlJc w:val="left"/>
      <w:pPr>
        <w:ind w:left="1080" w:hanging="36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2" w15:restartNumberingAfterBreak="0">
    <w:nsid w:val="6D757C89"/>
    <w:multiLevelType w:val="hybridMultilevel"/>
    <w:tmpl w:val="52C6CA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71C609E9"/>
    <w:multiLevelType w:val="hybridMultilevel"/>
    <w:tmpl w:val="0360B968"/>
    <w:lvl w:ilvl="0" w:tplc="66A8B02C">
      <w:numFmt w:val="bullet"/>
      <w:lvlText w:val=""/>
      <w:lvlJc w:val="left"/>
      <w:pPr>
        <w:ind w:left="927" w:hanging="360"/>
      </w:pPr>
      <w:rPr>
        <w:rFonts w:ascii="Bookman Old Style" w:eastAsia="Times New Roman" w:hAnsi="Bookman Old Style" w:cs="Times New Roman" w:hint="default"/>
      </w:rPr>
    </w:lvl>
    <w:lvl w:ilvl="1" w:tplc="240A0003" w:tentative="1">
      <w:start w:val="1"/>
      <w:numFmt w:val="bullet"/>
      <w:lvlText w:val="o"/>
      <w:lvlJc w:val="left"/>
      <w:pPr>
        <w:ind w:left="1647" w:hanging="360"/>
      </w:pPr>
      <w:rPr>
        <w:rFonts w:ascii="Courier New" w:hAnsi="Courier New" w:cs="Courier New" w:hint="default"/>
      </w:rPr>
    </w:lvl>
    <w:lvl w:ilvl="2" w:tplc="240A0005" w:tentative="1">
      <w:start w:val="1"/>
      <w:numFmt w:val="bullet"/>
      <w:lvlText w:val=""/>
      <w:lvlJc w:val="left"/>
      <w:pPr>
        <w:ind w:left="2367" w:hanging="360"/>
      </w:pPr>
      <w:rPr>
        <w:rFonts w:ascii="Wingdings" w:hAnsi="Wingdings" w:hint="default"/>
      </w:rPr>
    </w:lvl>
    <w:lvl w:ilvl="3" w:tplc="240A0001" w:tentative="1">
      <w:start w:val="1"/>
      <w:numFmt w:val="bullet"/>
      <w:lvlText w:val=""/>
      <w:lvlJc w:val="left"/>
      <w:pPr>
        <w:ind w:left="3087" w:hanging="360"/>
      </w:pPr>
      <w:rPr>
        <w:rFonts w:ascii="Symbol" w:hAnsi="Symbol" w:hint="default"/>
      </w:rPr>
    </w:lvl>
    <w:lvl w:ilvl="4" w:tplc="240A0003" w:tentative="1">
      <w:start w:val="1"/>
      <w:numFmt w:val="bullet"/>
      <w:lvlText w:val="o"/>
      <w:lvlJc w:val="left"/>
      <w:pPr>
        <w:ind w:left="3807" w:hanging="360"/>
      </w:pPr>
      <w:rPr>
        <w:rFonts w:ascii="Courier New" w:hAnsi="Courier New" w:cs="Courier New" w:hint="default"/>
      </w:rPr>
    </w:lvl>
    <w:lvl w:ilvl="5" w:tplc="240A0005" w:tentative="1">
      <w:start w:val="1"/>
      <w:numFmt w:val="bullet"/>
      <w:lvlText w:val=""/>
      <w:lvlJc w:val="left"/>
      <w:pPr>
        <w:ind w:left="4527" w:hanging="360"/>
      </w:pPr>
      <w:rPr>
        <w:rFonts w:ascii="Wingdings" w:hAnsi="Wingdings" w:hint="default"/>
      </w:rPr>
    </w:lvl>
    <w:lvl w:ilvl="6" w:tplc="240A0001" w:tentative="1">
      <w:start w:val="1"/>
      <w:numFmt w:val="bullet"/>
      <w:lvlText w:val=""/>
      <w:lvlJc w:val="left"/>
      <w:pPr>
        <w:ind w:left="5247" w:hanging="360"/>
      </w:pPr>
      <w:rPr>
        <w:rFonts w:ascii="Symbol" w:hAnsi="Symbol" w:hint="default"/>
      </w:rPr>
    </w:lvl>
    <w:lvl w:ilvl="7" w:tplc="240A0003" w:tentative="1">
      <w:start w:val="1"/>
      <w:numFmt w:val="bullet"/>
      <w:lvlText w:val="o"/>
      <w:lvlJc w:val="left"/>
      <w:pPr>
        <w:ind w:left="5967" w:hanging="360"/>
      </w:pPr>
      <w:rPr>
        <w:rFonts w:ascii="Courier New" w:hAnsi="Courier New" w:cs="Courier New" w:hint="default"/>
      </w:rPr>
    </w:lvl>
    <w:lvl w:ilvl="8" w:tplc="240A0005" w:tentative="1">
      <w:start w:val="1"/>
      <w:numFmt w:val="bullet"/>
      <w:lvlText w:val=""/>
      <w:lvlJc w:val="left"/>
      <w:pPr>
        <w:ind w:left="6687" w:hanging="360"/>
      </w:pPr>
      <w:rPr>
        <w:rFonts w:ascii="Wingdings" w:hAnsi="Wingdings" w:hint="default"/>
      </w:rPr>
    </w:lvl>
  </w:abstractNum>
  <w:abstractNum w:abstractNumId="34" w15:restartNumberingAfterBreak="0">
    <w:nsid w:val="73002394"/>
    <w:multiLevelType w:val="hybridMultilevel"/>
    <w:tmpl w:val="7AD48430"/>
    <w:lvl w:ilvl="0" w:tplc="FFFFFFFF">
      <w:start w:val="1"/>
      <w:numFmt w:val="lowerLetter"/>
      <w:lvlText w:val="%1)"/>
      <w:lvlJc w:val="left"/>
      <w:pPr>
        <w:ind w:left="1288" w:hanging="360"/>
      </w:pPr>
    </w:lvl>
    <w:lvl w:ilvl="1" w:tplc="240A0017">
      <w:start w:val="1"/>
      <w:numFmt w:val="lowerLetter"/>
      <w:lvlText w:val="%2)"/>
      <w:lvlJc w:val="left"/>
      <w:pPr>
        <w:ind w:left="802" w:hanging="360"/>
      </w:pPr>
    </w:lvl>
    <w:lvl w:ilvl="2" w:tplc="FFFFFFFF" w:tentative="1">
      <w:start w:val="1"/>
      <w:numFmt w:val="lowerRoman"/>
      <w:lvlText w:val="%3."/>
      <w:lvlJc w:val="right"/>
      <w:pPr>
        <w:ind w:left="2728" w:hanging="180"/>
      </w:pPr>
    </w:lvl>
    <w:lvl w:ilvl="3" w:tplc="FFFFFFFF" w:tentative="1">
      <w:start w:val="1"/>
      <w:numFmt w:val="decimal"/>
      <w:lvlText w:val="%4."/>
      <w:lvlJc w:val="left"/>
      <w:pPr>
        <w:ind w:left="3448" w:hanging="360"/>
      </w:pPr>
    </w:lvl>
    <w:lvl w:ilvl="4" w:tplc="FFFFFFFF" w:tentative="1">
      <w:start w:val="1"/>
      <w:numFmt w:val="lowerLetter"/>
      <w:lvlText w:val="%5."/>
      <w:lvlJc w:val="left"/>
      <w:pPr>
        <w:ind w:left="4168" w:hanging="360"/>
      </w:pPr>
    </w:lvl>
    <w:lvl w:ilvl="5" w:tplc="FFFFFFFF" w:tentative="1">
      <w:start w:val="1"/>
      <w:numFmt w:val="lowerRoman"/>
      <w:lvlText w:val="%6."/>
      <w:lvlJc w:val="right"/>
      <w:pPr>
        <w:ind w:left="4888" w:hanging="180"/>
      </w:pPr>
    </w:lvl>
    <w:lvl w:ilvl="6" w:tplc="FFFFFFFF" w:tentative="1">
      <w:start w:val="1"/>
      <w:numFmt w:val="decimal"/>
      <w:lvlText w:val="%7."/>
      <w:lvlJc w:val="left"/>
      <w:pPr>
        <w:ind w:left="5608" w:hanging="360"/>
      </w:pPr>
    </w:lvl>
    <w:lvl w:ilvl="7" w:tplc="FFFFFFFF" w:tentative="1">
      <w:start w:val="1"/>
      <w:numFmt w:val="lowerLetter"/>
      <w:lvlText w:val="%8."/>
      <w:lvlJc w:val="left"/>
      <w:pPr>
        <w:ind w:left="6328" w:hanging="360"/>
      </w:pPr>
    </w:lvl>
    <w:lvl w:ilvl="8" w:tplc="FFFFFFFF" w:tentative="1">
      <w:start w:val="1"/>
      <w:numFmt w:val="lowerRoman"/>
      <w:lvlText w:val="%9."/>
      <w:lvlJc w:val="right"/>
      <w:pPr>
        <w:ind w:left="7048" w:hanging="180"/>
      </w:pPr>
    </w:lvl>
  </w:abstractNum>
  <w:abstractNum w:abstractNumId="35" w15:restartNumberingAfterBreak="0">
    <w:nsid w:val="73432BD8"/>
    <w:multiLevelType w:val="hybridMultilevel"/>
    <w:tmpl w:val="5614A73C"/>
    <w:lvl w:ilvl="0" w:tplc="4C2498CA">
      <w:start w:val="1"/>
      <w:numFmt w:val="decimal"/>
      <w:pStyle w:val="ARTICULOS"/>
      <w:lvlText w:val="Artículo %1."/>
      <w:lvlJc w:val="left"/>
      <w:pPr>
        <w:ind w:left="360" w:hanging="360"/>
      </w:pPr>
      <w:rPr>
        <w:rFonts w:ascii="Bookman Old Style" w:hAnsi="Bookman Old Style" w:hint="default"/>
        <w:b/>
        <w:i w:val="0"/>
        <w:caps w:val="0"/>
        <w:strike w:val="0"/>
        <w:dstrike w:val="0"/>
        <w:vanish w:val="0"/>
        <w:sz w:val="24"/>
        <w:vertAlign w:val="baseline"/>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DFAE9A9E">
      <w:start w:val="1"/>
      <w:numFmt w:val="decimal"/>
      <w:lvlText w:val="%4."/>
      <w:lvlJc w:val="left"/>
      <w:pPr>
        <w:ind w:left="3285" w:hanging="765"/>
      </w:pPr>
      <w:rPr>
        <w:rFonts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594747475">
    <w:abstractNumId w:val="1"/>
  </w:num>
  <w:num w:numId="2" w16cid:durableId="1273786885">
    <w:abstractNumId w:val="12"/>
  </w:num>
  <w:num w:numId="3" w16cid:durableId="1091241083">
    <w:abstractNumId w:val="26"/>
  </w:num>
  <w:num w:numId="4" w16cid:durableId="408312824">
    <w:abstractNumId w:val="23"/>
  </w:num>
  <w:num w:numId="5" w16cid:durableId="1213736307">
    <w:abstractNumId w:val="31"/>
  </w:num>
  <w:num w:numId="6" w16cid:durableId="101851133">
    <w:abstractNumId w:val="7"/>
  </w:num>
  <w:num w:numId="7" w16cid:durableId="858153893">
    <w:abstractNumId w:val="14"/>
  </w:num>
  <w:num w:numId="8" w16cid:durableId="1298027957">
    <w:abstractNumId w:val="35"/>
  </w:num>
  <w:num w:numId="9" w16cid:durableId="403265730">
    <w:abstractNumId w:val="3"/>
  </w:num>
  <w:num w:numId="10" w16cid:durableId="165099404">
    <w:abstractNumId w:val="27"/>
  </w:num>
  <w:num w:numId="11" w16cid:durableId="2014604899">
    <w:abstractNumId w:val="24"/>
  </w:num>
  <w:num w:numId="12" w16cid:durableId="1533298993">
    <w:abstractNumId w:val="4"/>
  </w:num>
  <w:num w:numId="13" w16cid:durableId="323512651">
    <w:abstractNumId w:val="16"/>
  </w:num>
  <w:num w:numId="14" w16cid:durableId="88933412">
    <w:abstractNumId w:val="25"/>
  </w:num>
  <w:num w:numId="15" w16cid:durableId="2053187091">
    <w:abstractNumId w:val="31"/>
  </w:num>
  <w:num w:numId="16" w16cid:durableId="1771508710">
    <w:abstractNumId w:val="31"/>
  </w:num>
  <w:num w:numId="17" w16cid:durableId="1145859326">
    <w:abstractNumId w:val="31"/>
  </w:num>
  <w:num w:numId="18" w16cid:durableId="589580799">
    <w:abstractNumId w:val="31"/>
  </w:num>
  <w:num w:numId="19" w16cid:durableId="943611856">
    <w:abstractNumId w:val="8"/>
  </w:num>
  <w:num w:numId="20" w16cid:durableId="1596208993">
    <w:abstractNumId w:val="20"/>
  </w:num>
  <w:num w:numId="21" w16cid:durableId="119421990">
    <w:abstractNumId w:val="33"/>
  </w:num>
  <w:num w:numId="22" w16cid:durableId="1756781482">
    <w:abstractNumId w:val="32"/>
  </w:num>
  <w:num w:numId="23" w16cid:durableId="1111707523">
    <w:abstractNumId w:val="21"/>
  </w:num>
  <w:num w:numId="24" w16cid:durableId="2105106593">
    <w:abstractNumId w:val="11"/>
  </w:num>
  <w:num w:numId="25" w16cid:durableId="751505492">
    <w:abstractNumId w:val="15"/>
  </w:num>
  <w:num w:numId="26" w16cid:durableId="792212495">
    <w:abstractNumId w:val="28"/>
  </w:num>
  <w:num w:numId="27" w16cid:durableId="1174027473">
    <w:abstractNumId w:val="2"/>
  </w:num>
  <w:num w:numId="28" w16cid:durableId="130365219">
    <w:abstractNumId w:val="18"/>
  </w:num>
  <w:num w:numId="29" w16cid:durableId="608052630">
    <w:abstractNumId w:val="13"/>
  </w:num>
  <w:num w:numId="30" w16cid:durableId="774862222">
    <w:abstractNumId w:val="22"/>
  </w:num>
  <w:num w:numId="31" w16cid:durableId="60568156">
    <w:abstractNumId w:val="5"/>
  </w:num>
  <w:num w:numId="32" w16cid:durableId="345404109">
    <w:abstractNumId w:val="30"/>
  </w:num>
  <w:num w:numId="33" w16cid:durableId="311451068">
    <w:abstractNumId w:val="34"/>
  </w:num>
  <w:num w:numId="34" w16cid:durableId="292172840">
    <w:abstractNumId w:val="6"/>
  </w:num>
  <w:num w:numId="35" w16cid:durableId="1621181867">
    <w:abstractNumId w:val="17"/>
  </w:num>
  <w:num w:numId="36" w16cid:durableId="962151041">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2C5"/>
    <w:rsid w:val="000014A8"/>
    <w:rsid w:val="0000191D"/>
    <w:rsid w:val="0000215F"/>
    <w:rsid w:val="00003049"/>
    <w:rsid w:val="00004906"/>
    <w:rsid w:val="00005326"/>
    <w:rsid w:val="000056FB"/>
    <w:rsid w:val="00006585"/>
    <w:rsid w:val="00006AE2"/>
    <w:rsid w:val="00006EF5"/>
    <w:rsid w:val="000076A1"/>
    <w:rsid w:val="0001188A"/>
    <w:rsid w:val="0001209B"/>
    <w:rsid w:val="00012259"/>
    <w:rsid w:val="0001228C"/>
    <w:rsid w:val="00012D6A"/>
    <w:rsid w:val="0001368F"/>
    <w:rsid w:val="00015F4C"/>
    <w:rsid w:val="00016B85"/>
    <w:rsid w:val="00017104"/>
    <w:rsid w:val="00017396"/>
    <w:rsid w:val="000203BE"/>
    <w:rsid w:val="0002117B"/>
    <w:rsid w:val="00022832"/>
    <w:rsid w:val="00023275"/>
    <w:rsid w:val="00023841"/>
    <w:rsid w:val="00023D77"/>
    <w:rsid w:val="00024EEB"/>
    <w:rsid w:val="00025383"/>
    <w:rsid w:val="00025D05"/>
    <w:rsid w:val="000268D6"/>
    <w:rsid w:val="00027C0A"/>
    <w:rsid w:val="00027C0E"/>
    <w:rsid w:val="00032C8E"/>
    <w:rsid w:val="00033717"/>
    <w:rsid w:val="00034669"/>
    <w:rsid w:val="00034F65"/>
    <w:rsid w:val="0003547A"/>
    <w:rsid w:val="0003568E"/>
    <w:rsid w:val="000356FD"/>
    <w:rsid w:val="0003695A"/>
    <w:rsid w:val="00036BD0"/>
    <w:rsid w:val="00040250"/>
    <w:rsid w:val="00042A98"/>
    <w:rsid w:val="000432E2"/>
    <w:rsid w:val="000446EC"/>
    <w:rsid w:val="00045094"/>
    <w:rsid w:val="00045D3D"/>
    <w:rsid w:val="0005171B"/>
    <w:rsid w:val="00051D1F"/>
    <w:rsid w:val="00053BE6"/>
    <w:rsid w:val="00055984"/>
    <w:rsid w:val="000564D0"/>
    <w:rsid w:val="00056ECE"/>
    <w:rsid w:val="00056F59"/>
    <w:rsid w:val="0005705F"/>
    <w:rsid w:val="0005740C"/>
    <w:rsid w:val="00057D60"/>
    <w:rsid w:val="00063454"/>
    <w:rsid w:val="00063657"/>
    <w:rsid w:val="0007160D"/>
    <w:rsid w:val="000718BC"/>
    <w:rsid w:val="00071E46"/>
    <w:rsid w:val="0007409E"/>
    <w:rsid w:val="00076680"/>
    <w:rsid w:val="00076A1D"/>
    <w:rsid w:val="000771FB"/>
    <w:rsid w:val="0008073E"/>
    <w:rsid w:val="0008115D"/>
    <w:rsid w:val="000817C0"/>
    <w:rsid w:val="000821D9"/>
    <w:rsid w:val="00082B34"/>
    <w:rsid w:val="00082FE9"/>
    <w:rsid w:val="000831AC"/>
    <w:rsid w:val="000837A5"/>
    <w:rsid w:val="00083AA8"/>
    <w:rsid w:val="00084F74"/>
    <w:rsid w:val="000857D1"/>
    <w:rsid w:val="000858CD"/>
    <w:rsid w:val="0008751B"/>
    <w:rsid w:val="0008776A"/>
    <w:rsid w:val="0009104E"/>
    <w:rsid w:val="0009196C"/>
    <w:rsid w:val="00091CDB"/>
    <w:rsid w:val="000930F3"/>
    <w:rsid w:val="000952BC"/>
    <w:rsid w:val="00095DCF"/>
    <w:rsid w:val="00095EA2"/>
    <w:rsid w:val="000A11FA"/>
    <w:rsid w:val="000A1319"/>
    <w:rsid w:val="000A19AC"/>
    <w:rsid w:val="000A1ADD"/>
    <w:rsid w:val="000A38CC"/>
    <w:rsid w:val="000A4691"/>
    <w:rsid w:val="000B2E8E"/>
    <w:rsid w:val="000B2EC9"/>
    <w:rsid w:val="000B3167"/>
    <w:rsid w:val="000B3688"/>
    <w:rsid w:val="000B62DD"/>
    <w:rsid w:val="000B65BD"/>
    <w:rsid w:val="000B6EAC"/>
    <w:rsid w:val="000B6FF6"/>
    <w:rsid w:val="000B7990"/>
    <w:rsid w:val="000C06AF"/>
    <w:rsid w:val="000C1951"/>
    <w:rsid w:val="000C1B8A"/>
    <w:rsid w:val="000C1DE0"/>
    <w:rsid w:val="000C266A"/>
    <w:rsid w:val="000C2C36"/>
    <w:rsid w:val="000C549E"/>
    <w:rsid w:val="000C5565"/>
    <w:rsid w:val="000C57A9"/>
    <w:rsid w:val="000C5DF4"/>
    <w:rsid w:val="000C64D6"/>
    <w:rsid w:val="000C6881"/>
    <w:rsid w:val="000C743D"/>
    <w:rsid w:val="000C7488"/>
    <w:rsid w:val="000C784A"/>
    <w:rsid w:val="000D08E3"/>
    <w:rsid w:val="000D1E36"/>
    <w:rsid w:val="000D26F8"/>
    <w:rsid w:val="000D2A00"/>
    <w:rsid w:val="000D35DA"/>
    <w:rsid w:val="000D360A"/>
    <w:rsid w:val="000D36AF"/>
    <w:rsid w:val="000D36D0"/>
    <w:rsid w:val="000D3884"/>
    <w:rsid w:val="000D3FC2"/>
    <w:rsid w:val="000D5201"/>
    <w:rsid w:val="000D5C79"/>
    <w:rsid w:val="000E28E0"/>
    <w:rsid w:val="000E2A42"/>
    <w:rsid w:val="000E395B"/>
    <w:rsid w:val="000E3D26"/>
    <w:rsid w:val="000E438C"/>
    <w:rsid w:val="000E7F3C"/>
    <w:rsid w:val="000F30B5"/>
    <w:rsid w:val="000F3A75"/>
    <w:rsid w:val="000F4463"/>
    <w:rsid w:val="000F47C4"/>
    <w:rsid w:val="000F5392"/>
    <w:rsid w:val="000F563E"/>
    <w:rsid w:val="000F68AA"/>
    <w:rsid w:val="000F77DD"/>
    <w:rsid w:val="000F7AE9"/>
    <w:rsid w:val="000F7C81"/>
    <w:rsid w:val="000F7F46"/>
    <w:rsid w:val="0010087D"/>
    <w:rsid w:val="0010101F"/>
    <w:rsid w:val="00101F35"/>
    <w:rsid w:val="0010333D"/>
    <w:rsid w:val="00105E02"/>
    <w:rsid w:val="0010658E"/>
    <w:rsid w:val="00106654"/>
    <w:rsid w:val="001067D3"/>
    <w:rsid w:val="001105CA"/>
    <w:rsid w:val="001106AF"/>
    <w:rsid w:val="00111B3C"/>
    <w:rsid w:val="001129C7"/>
    <w:rsid w:val="00112F16"/>
    <w:rsid w:val="001147FF"/>
    <w:rsid w:val="001177E6"/>
    <w:rsid w:val="00126B7F"/>
    <w:rsid w:val="00127488"/>
    <w:rsid w:val="0012783F"/>
    <w:rsid w:val="00130D85"/>
    <w:rsid w:val="00132FE3"/>
    <w:rsid w:val="001333FC"/>
    <w:rsid w:val="0013384D"/>
    <w:rsid w:val="00133EC9"/>
    <w:rsid w:val="001344C2"/>
    <w:rsid w:val="0013526C"/>
    <w:rsid w:val="00135C1F"/>
    <w:rsid w:val="00136F57"/>
    <w:rsid w:val="001405C6"/>
    <w:rsid w:val="0014064C"/>
    <w:rsid w:val="00141013"/>
    <w:rsid w:val="0014166A"/>
    <w:rsid w:val="00142021"/>
    <w:rsid w:val="0014208F"/>
    <w:rsid w:val="0014220A"/>
    <w:rsid w:val="0014256F"/>
    <w:rsid w:val="0014363D"/>
    <w:rsid w:val="00144681"/>
    <w:rsid w:val="00144EE3"/>
    <w:rsid w:val="00145736"/>
    <w:rsid w:val="001459D6"/>
    <w:rsid w:val="001478B5"/>
    <w:rsid w:val="00151239"/>
    <w:rsid w:val="00151A0F"/>
    <w:rsid w:val="0015228B"/>
    <w:rsid w:val="00152D9A"/>
    <w:rsid w:val="00152E0C"/>
    <w:rsid w:val="0015338C"/>
    <w:rsid w:val="001541F3"/>
    <w:rsid w:val="00154D0C"/>
    <w:rsid w:val="001560A7"/>
    <w:rsid w:val="00157B49"/>
    <w:rsid w:val="00160BCF"/>
    <w:rsid w:val="00161084"/>
    <w:rsid w:val="00164E00"/>
    <w:rsid w:val="00165CEB"/>
    <w:rsid w:val="00166AA9"/>
    <w:rsid w:val="00166B53"/>
    <w:rsid w:val="001710F9"/>
    <w:rsid w:val="00171B59"/>
    <w:rsid w:val="001762DD"/>
    <w:rsid w:val="00177652"/>
    <w:rsid w:val="001778BC"/>
    <w:rsid w:val="00177D48"/>
    <w:rsid w:val="0018241F"/>
    <w:rsid w:val="00182528"/>
    <w:rsid w:val="001827DF"/>
    <w:rsid w:val="00184170"/>
    <w:rsid w:val="00185200"/>
    <w:rsid w:val="00185BB0"/>
    <w:rsid w:val="00185F79"/>
    <w:rsid w:val="001876F9"/>
    <w:rsid w:val="00187C76"/>
    <w:rsid w:val="00190184"/>
    <w:rsid w:val="00190C2D"/>
    <w:rsid w:val="00192229"/>
    <w:rsid w:val="00192CBF"/>
    <w:rsid w:val="00192FF1"/>
    <w:rsid w:val="0019373B"/>
    <w:rsid w:val="00194947"/>
    <w:rsid w:val="001949D2"/>
    <w:rsid w:val="00194C52"/>
    <w:rsid w:val="00194CF7"/>
    <w:rsid w:val="00195EF2"/>
    <w:rsid w:val="0019667F"/>
    <w:rsid w:val="00196AF9"/>
    <w:rsid w:val="00196D8C"/>
    <w:rsid w:val="00197F32"/>
    <w:rsid w:val="001A1422"/>
    <w:rsid w:val="001A2B6E"/>
    <w:rsid w:val="001A3643"/>
    <w:rsid w:val="001A39D5"/>
    <w:rsid w:val="001A3DF6"/>
    <w:rsid w:val="001A44FC"/>
    <w:rsid w:val="001A4971"/>
    <w:rsid w:val="001A5F1B"/>
    <w:rsid w:val="001A6488"/>
    <w:rsid w:val="001A6E91"/>
    <w:rsid w:val="001A7613"/>
    <w:rsid w:val="001B03F7"/>
    <w:rsid w:val="001B05A4"/>
    <w:rsid w:val="001B0C92"/>
    <w:rsid w:val="001B17F4"/>
    <w:rsid w:val="001B1C22"/>
    <w:rsid w:val="001B3456"/>
    <w:rsid w:val="001B34C6"/>
    <w:rsid w:val="001B5239"/>
    <w:rsid w:val="001B6055"/>
    <w:rsid w:val="001C0452"/>
    <w:rsid w:val="001C0C42"/>
    <w:rsid w:val="001C0F9B"/>
    <w:rsid w:val="001C2018"/>
    <w:rsid w:val="001C36F4"/>
    <w:rsid w:val="001C3877"/>
    <w:rsid w:val="001C4A3C"/>
    <w:rsid w:val="001C78BE"/>
    <w:rsid w:val="001D0772"/>
    <w:rsid w:val="001D31E0"/>
    <w:rsid w:val="001D3333"/>
    <w:rsid w:val="001D3868"/>
    <w:rsid w:val="001D4C99"/>
    <w:rsid w:val="001D516B"/>
    <w:rsid w:val="001D70E9"/>
    <w:rsid w:val="001D7832"/>
    <w:rsid w:val="001E3911"/>
    <w:rsid w:val="001E485E"/>
    <w:rsid w:val="001E692F"/>
    <w:rsid w:val="001F0527"/>
    <w:rsid w:val="001F13C8"/>
    <w:rsid w:val="001F2C5B"/>
    <w:rsid w:val="001F2FD8"/>
    <w:rsid w:val="001F3551"/>
    <w:rsid w:val="001F35B0"/>
    <w:rsid w:val="001F4256"/>
    <w:rsid w:val="001F5A53"/>
    <w:rsid w:val="001F5AFE"/>
    <w:rsid w:val="001F780F"/>
    <w:rsid w:val="002012D8"/>
    <w:rsid w:val="002015A0"/>
    <w:rsid w:val="002038CE"/>
    <w:rsid w:val="002039D6"/>
    <w:rsid w:val="00204D82"/>
    <w:rsid w:val="0020533E"/>
    <w:rsid w:val="00205F99"/>
    <w:rsid w:val="00206349"/>
    <w:rsid w:val="00207D99"/>
    <w:rsid w:val="00210436"/>
    <w:rsid w:val="00210DC1"/>
    <w:rsid w:val="0021157A"/>
    <w:rsid w:val="00211D34"/>
    <w:rsid w:val="0021304E"/>
    <w:rsid w:val="002133FA"/>
    <w:rsid w:val="00214328"/>
    <w:rsid w:val="00214F04"/>
    <w:rsid w:val="00217D47"/>
    <w:rsid w:val="00220019"/>
    <w:rsid w:val="00220734"/>
    <w:rsid w:val="00221BED"/>
    <w:rsid w:val="00222C8F"/>
    <w:rsid w:val="00222FF3"/>
    <w:rsid w:val="00223DAE"/>
    <w:rsid w:val="00223E50"/>
    <w:rsid w:val="002243F3"/>
    <w:rsid w:val="0022483E"/>
    <w:rsid w:val="0022498D"/>
    <w:rsid w:val="00224FC9"/>
    <w:rsid w:val="00227061"/>
    <w:rsid w:val="00227E1E"/>
    <w:rsid w:val="00231D67"/>
    <w:rsid w:val="0023338E"/>
    <w:rsid w:val="002352B9"/>
    <w:rsid w:val="0023598E"/>
    <w:rsid w:val="0023621E"/>
    <w:rsid w:val="002367F5"/>
    <w:rsid w:val="00237EDC"/>
    <w:rsid w:val="00240640"/>
    <w:rsid w:val="00241B47"/>
    <w:rsid w:val="00242040"/>
    <w:rsid w:val="00242A95"/>
    <w:rsid w:val="00242F2B"/>
    <w:rsid w:val="002436B9"/>
    <w:rsid w:val="00243A0A"/>
    <w:rsid w:val="00243DBF"/>
    <w:rsid w:val="002441CD"/>
    <w:rsid w:val="002444FF"/>
    <w:rsid w:val="00245E5D"/>
    <w:rsid w:val="00246761"/>
    <w:rsid w:val="0025525F"/>
    <w:rsid w:val="00255960"/>
    <w:rsid w:val="002560C5"/>
    <w:rsid w:val="00256DBC"/>
    <w:rsid w:val="00256EA4"/>
    <w:rsid w:val="002571C8"/>
    <w:rsid w:val="002578B3"/>
    <w:rsid w:val="002579DC"/>
    <w:rsid w:val="00257A41"/>
    <w:rsid w:val="002603B0"/>
    <w:rsid w:val="002603CD"/>
    <w:rsid w:val="00260906"/>
    <w:rsid w:val="00261479"/>
    <w:rsid w:val="00261CF7"/>
    <w:rsid w:val="00262248"/>
    <w:rsid w:val="0026282C"/>
    <w:rsid w:val="002631B1"/>
    <w:rsid w:val="00264030"/>
    <w:rsid w:val="00264F14"/>
    <w:rsid w:val="0026521A"/>
    <w:rsid w:val="002654BA"/>
    <w:rsid w:val="002657E2"/>
    <w:rsid w:val="00266CD6"/>
    <w:rsid w:val="002673AC"/>
    <w:rsid w:val="00270C4A"/>
    <w:rsid w:val="0027278C"/>
    <w:rsid w:val="00273484"/>
    <w:rsid w:val="002739BD"/>
    <w:rsid w:val="00274C95"/>
    <w:rsid w:val="00275DAB"/>
    <w:rsid w:val="00275F7E"/>
    <w:rsid w:val="00276059"/>
    <w:rsid w:val="00280F65"/>
    <w:rsid w:val="00281C7F"/>
    <w:rsid w:val="002821BE"/>
    <w:rsid w:val="002836E2"/>
    <w:rsid w:val="0028662C"/>
    <w:rsid w:val="002903C0"/>
    <w:rsid w:val="002903D1"/>
    <w:rsid w:val="00290FF0"/>
    <w:rsid w:val="00291726"/>
    <w:rsid w:val="002922A7"/>
    <w:rsid w:val="00292FE9"/>
    <w:rsid w:val="00293074"/>
    <w:rsid w:val="00295857"/>
    <w:rsid w:val="00295ACD"/>
    <w:rsid w:val="0029698E"/>
    <w:rsid w:val="002A128C"/>
    <w:rsid w:val="002A49E5"/>
    <w:rsid w:val="002A51EF"/>
    <w:rsid w:val="002A782A"/>
    <w:rsid w:val="002A7D62"/>
    <w:rsid w:val="002B11E2"/>
    <w:rsid w:val="002B1B4C"/>
    <w:rsid w:val="002B24B8"/>
    <w:rsid w:val="002B289A"/>
    <w:rsid w:val="002B5E28"/>
    <w:rsid w:val="002B5E3C"/>
    <w:rsid w:val="002B71B1"/>
    <w:rsid w:val="002B798E"/>
    <w:rsid w:val="002C01FA"/>
    <w:rsid w:val="002C07A6"/>
    <w:rsid w:val="002C23FF"/>
    <w:rsid w:val="002C3488"/>
    <w:rsid w:val="002C3802"/>
    <w:rsid w:val="002C5023"/>
    <w:rsid w:val="002C5612"/>
    <w:rsid w:val="002C7252"/>
    <w:rsid w:val="002D12D7"/>
    <w:rsid w:val="002D1BBA"/>
    <w:rsid w:val="002D3AE9"/>
    <w:rsid w:val="002D3CE7"/>
    <w:rsid w:val="002D3E96"/>
    <w:rsid w:val="002D4510"/>
    <w:rsid w:val="002D4CA4"/>
    <w:rsid w:val="002D75FD"/>
    <w:rsid w:val="002D77FC"/>
    <w:rsid w:val="002D7D6C"/>
    <w:rsid w:val="002E09F5"/>
    <w:rsid w:val="002E1770"/>
    <w:rsid w:val="002E1AF2"/>
    <w:rsid w:val="002E1F65"/>
    <w:rsid w:val="002E4581"/>
    <w:rsid w:val="002E635C"/>
    <w:rsid w:val="002E7997"/>
    <w:rsid w:val="002F026E"/>
    <w:rsid w:val="002F0734"/>
    <w:rsid w:val="002F0FFF"/>
    <w:rsid w:val="002F22EB"/>
    <w:rsid w:val="002F34E7"/>
    <w:rsid w:val="002F3712"/>
    <w:rsid w:val="002F46E7"/>
    <w:rsid w:val="002F71F4"/>
    <w:rsid w:val="002F72DB"/>
    <w:rsid w:val="002F75C0"/>
    <w:rsid w:val="002F7B19"/>
    <w:rsid w:val="002F7DC5"/>
    <w:rsid w:val="003008A1"/>
    <w:rsid w:val="00302CAC"/>
    <w:rsid w:val="00302EFB"/>
    <w:rsid w:val="0030336F"/>
    <w:rsid w:val="003040BE"/>
    <w:rsid w:val="0030641B"/>
    <w:rsid w:val="003066B8"/>
    <w:rsid w:val="00306F7F"/>
    <w:rsid w:val="00307E9C"/>
    <w:rsid w:val="00307F8B"/>
    <w:rsid w:val="00307F96"/>
    <w:rsid w:val="003101DA"/>
    <w:rsid w:val="003111C3"/>
    <w:rsid w:val="00312443"/>
    <w:rsid w:val="00312CBC"/>
    <w:rsid w:val="00312DDD"/>
    <w:rsid w:val="00313B84"/>
    <w:rsid w:val="00314757"/>
    <w:rsid w:val="00315689"/>
    <w:rsid w:val="00315CD0"/>
    <w:rsid w:val="0031623B"/>
    <w:rsid w:val="003163BC"/>
    <w:rsid w:val="00317410"/>
    <w:rsid w:val="003211CE"/>
    <w:rsid w:val="0032190A"/>
    <w:rsid w:val="00321B6E"/>
    <w:rsid w:val="003229A0"/>
    <w:rsid w:val="0032714E"/>
    <w:rsid w:val="00327412"/>
    <w:rsid w:val="00327443"/>
    <w:rsid w:val="00327C42"/>
    <w:rsid w:val="00330E17"/>
    <w:rsid w:val="00331C8C"/>
    <w:rsid w:val="0033319F"/>
    <w:rsid w:val="003343C8"/>
    <w:rsid w:val="003343FE"/>
    <w:rsid w:val="003344C3"/>
    <w:rsid w:val="0033564E"/>
    <w:rsid w:val="00335EAC"/>
    <w:rsid w:val="0033715F"/>
    <w:rsid w:val="003373A2"/>
    <w:rsid w:val="00337C84"/>
    <w:rsid w:val="00341928"/>
    <w:rsid w:val="003427F5"/>
    <w:rsid w:val="00343BDA"/>
    <w:rsid w:val="003473A2"/>
    <w:rsid w:val="00350A8C"/>
    <w:rsid w:val="00350DE4"/>
    <w:rsid w:val="00351E6B"/>
    <w:rsid w:val="00352C2F"/>
    <w:rsid w:val="0035403A"/>
    <w:rsid w:val="003579E7"/>
    <w:rsid w:val="00361BAC"/>
    <w:rsid w:val="00361EF5"/>
    <w:rsid w:val="0036394B"/>
    <w:rsid w:val="003650A6"/>
    <w:rsid w:val="00366AC7"/>
    <w:rsid w:val="00366DB6"/>
    <w:rsid w:val="003671B0"/>
    <w:rsid w:val="0036724C"/>
    <w:rsid w:val="0036763F"/>
    <w:rsid w:val="00370325"/>
    <w:rsid w:val="003706AD"/>
    <w:rsid w:val="003709B5"/>
    <w:rsid w:val="0037156B"/>
    <w:rsid w:val="003735E3"/>
    <w:rsid w:val="003742B8"/>
    <w:rsid w:val="00374855"/>
    <w:rsid w:val="0037566A"/>
    <w:rsid w:val="003759C2"/>
    <w:rsid w:val="00376A70"/>
    <w:rsid w:val="0037710B"/>
    <w:rsid w:val="00377FCD"/>
    <w:rsid w:val="003800A1"/>
    <w:rsid w:val="00380F32"/>
    <w:rsid w:val="00381AAD"/>
    <w:rsid w:val="00383AB4"/>
    <w:rsid w:val="0038402B"/>
    <w:rsid w:val="00384E4D"/>
    <w:rsid w:val="00385A73"/>
    <w:rsid w:val="00386A9A"/>
    <w:rsid w:val="00387223"/>
    <w:rsid w:val="00387C27"/>
    <w:rsid w:val="00390681"/>
    <w:rsid w:val="0039127D"/>
    <w:rsid w:val="0039155D"/>
    <w:rsid w:val="0039172F"/>
    <w:rsid w:val="003920AF"/>
    <w:rsid w:val="003923CF"/>
    <w:rsid w:val="0039240B"/>
    <w:rsid w:val="0039337E"/>
    <w:rsid w:val="00393F9F"/>
    <w:rsid w:val="0039489C"/>
    <w:rsid w:val="00395DA5"/>
    <w:rsid w:val="00396389"/>
    <w:rsid w:val="0039666B"/>
    <w:rsid w:val="00397365"/>
    <w:rsid w:val="00397540"/>
    <w:rsid w:val="00397DA6"/>
    <w:rsid w:val="003A0389"/>
    <w:rsid w:val="003A09A2"/>
    <w:rsid w:val="003A1451"/>
    <w:rsid w:val="003A1A65"/>
    <w:rsid w:val="003A31F6"/>
    <w:rsid w:val="003A3A6C"/>
    <w:rsid w:val="003A3E98"/>
    <w:rsid w:val="003A4D67"/>
    <w:rsid w:val="003A6FE1"/>
    <w:rsid w:val="003B1627"/>
    <w:rsid w:val="003B1DFC"/>
    <w:rsid w:val="003B2C98"/>
    <w:rsid w:val="003B3EF0"/>
    <w:rsid w:val="003B4485"/>
    <w:rsid w:val="003B4F63"/>
    <w:rsid w:val="003B534A"/>
    <w:rsid w:val="003B75C7"/>
    <w:rsid w:val="003B79D4"/>
    <w:rsid w:val="003B7AE8"/>
    <w:rsid w:val="003C0474"/>
    <w:rsid w:val="003C156A"/>
    <w:rsid w:val="003C242C"/>
    <w:rsid w:val="003C3447"/>
    <w:rsid w:val="003C4072"/>
    <w:rsid w:val="003D00DD"/>
    <w:rsid w:val="003D0607"/>
    <w:rsid w:val="003D076C"/>
    <w:rsid w:val="003D1367"/>
    <w:rsid w:val="003D160E"/>
    <w:rsid w:val="003D1FD8"/>
    <w:rsid w:val="003D34F9"/>
    <w:rsid w:val="003D38E3"/>
    <w:rsid w:val="003D6335"/>
    <w:rsid w:val="003D7344"/>
    <w:rsid w:val="003E01CE"/>
    <w:rsid w:val="003E0745"/>
    <w:rsid w:val="003E090C"/>
    <w:rsid w:val="003E1DFC"/>
    <w:rsid w:val="003E217D"/>
    <w:rsid w:val="003E3442"/>
    <w:rsid w:val="003E3CED"/>
    <w:rsid w:val="003E5626"/>
    <w:rsid w:val="003E6AC6"/>
    <w:rsid w:val="003E7112"/>
    <w:rsid w:val="003E7817"/>
    <w:rsid w:val="003E78B5"/>
    <w:rsid w:val="003F15A3"/>
    <w:rsid w:val="003F1778"/>
    <w:rsid w:val="003F2D0D"/>
    <w:rsid w:val="003F54A4"/>
    <w:rsid w:val="003F65FB"/>
    <w:rsid w:val="003F70F2"/>
    <w:rsid w:val="003F77E3"/>
    <w:rsid w:val="003F7F77"/>
    <w:rsid w:val="00400A3D"/>
    <w:rsid w:val="004013AF"/>
    <w:rsid w:val="0040199C"/>
    <w:rsid w:val="004019EC"/>
    <w:rsid w:val="00402C03"/>
    <w:rsid w:val="00404968"/>
    <w:rsid w:val="00405029"/>
    <w:rsid w:val="00405776"/>
    <w:rsid w:val="0040781C"/>
    <w:rsid w:val="00407A25"/>
    <w:rsid w:val="00407C33"/>
    <w:rsid w:val="00410552"/>
    <w:rsid w:val="004135D1"/>
    <w:rsid w:val="0041451E"/>
    <w:rsid w:val="004151D9"/>
    <w:rsid w:val="00415255"/>
    <w:rsid w:val="0041597A"/>
    <w:rsid w:val="00415BAB"/>
    <w:rsid w:val="00415ED2"/>
    <w:rsid w:val="00420205"/>
    <w:rsid w:val="0042068C"/>
    <w:rsid w:val="00421E96"/>
    <w:rsid w:val="00423679"/>
    <w:rsid w:val="004237FF"/>
    <w:rsid w:val="00424FE3"/>
    <w:rsid w:val="0042557A"/>
    <w:rsid w:val="004255DF"/>
    <w:rsid w:val="00425A70"/>
    <w:rsid w:val="00425E93"/>
    <w:rsid w:val="00425F7D"/>
    <w:rsid w:val="004272FF"/>
    <w:rsid w:val="00430EC7"/>
    <w:rsid w:val="00431492"/>
    <w:rsid w:val="004315C7"/>
    <w:rsid w:val="00431F25"/>
    <w:rsid w:val="00432822"/>
    <w:rsid w:val="00440840"/>
    <w:rsid w:val="00440DC7"/>
    <w:rsid w:val="00441774"/>
    <w:rsid w:val="00441C8E"/>
    <w:rsid w:val="00441FD9"/>
    <w:rsid w:val="004429D9"/>
    <w:rsid w:val="00442CCF"/>
    <w:rsid w:val="0044318E"/>
    <w:rsid w:val="00443B35"/>
    <w:rsid w:val="0044476A"/>
    <w:rsid w:val="004453BB"/>
    <w:rsid w:val="00446813"/>
    <w:rsid w:val="00446BEE"/>
    <w:rsid w:val="00446C55"/>
    <w:rsid w:val="0045009B"/>
    <w:rsid w:val="004508F2"/>
    <w:rsid w:val="00450A9D"/>
    <w:rsid w:val="00451303"/>
    <w:rsid w:val="0045178C"/>
    <w:rsid w:val="00452577"/>
    <w:rsid w:val="004526AC"/>
    <w:rsid w:val="0045293D"/>
    <w:rsid w:val="004541F0"/>
    <w:rsid w:val="0045463B"/>
    <w:rsid w:val="00455DAE"/>
    <w:rsid w:val="00455E26"/>
    <w:rsid w:val="00456622"/>
    <w:rsid w:val="004575B9"/>
    <w:rsid w:val="00461628"/>
    <w:rsid w:val="00461D9A"/>
    <w:rsid w:val="00463785"/>
    <w:rsid w:val="00465300"/>
    <w:rsid w:val="00466988"/>
    <w:rsid w:val="0047092D"/>
    <w:rsid w:val="0047122B"/>
    <w:rsid w:val="004712F4"/>
    <w:rsid w:val="00472125"/>
    <w:rsid w:val="00472720"/>
    <w:rsid w:val="00472E5E"/>
    <w:rsid w:val="00473B7A"/>
    <w:rsid w:val="00474922"/>
    <w:rsid w:val="00476BF2"/>
    <w:rsid w:val="004771D9"/>
    <w:rsid w:val="004779B4"/>
    <w:rsid w:val="00481F5D"/>
    <w:rsid w:val="0048216C"/>
    <w:rsid w:val="00482D44"/>
    <w:rsid w:val="004836D4"/>
    <w:rsid w:val="00483D96"/>
    <w:rsid w:val="00485CA3"/>
    <w:rsid w:val="004900DC"/>
    <w:rsid w:val="00490CC9"/>
    <w:rsid w:val="00490F58"/>
    <w:rsid w:val="00492230"/>
    <w:rsid w:val="00492C4A"/>
    <w:rsid w:val="00493ADB"/>
    <w:rsid w:val="004957FD"/>
    <w:rsid w:val="00495EFD"/>
    <w:rsid w:val="004960E9"/>
    <w:rsid w:val="00496685"/>
    <w:rsid w:val="00497384"/>
    <w:rsid w:val="00497DC9"/>
    <w:rsid w:val="004A2E88"/>
    <w:rsid w:val="004A5305"/>
    <w:rsid w:val="004A6144"/>
    <w:rsid w:val="004A6274"/>
    <w:rsid w:val="004A6D92"/>
    <w:rsid w:val="004B132B"/>
    <w:rsid w:val="004B13C6"/>
    <w:rsid w:val="004B1EC2"/>
    <w:rsid w:val="004B41C9"/>
    <w:rsid w:val="004B5A15"/>
    <w:rsid w:val="004B7634"/>
    <w:rsid w:val="004B7FAF"/>
    <w:rsid w:val="004C0257"/>
    <w:rsid w:val="004C0564"/>
    <w:rsid w:val="004C05BC"/>
    <w:rsid w:val="004C0E93"/>
    <w:rsid w:val="004C687E"/>
    <w:rsid w:val="004D040D"/>
    <w:rsid w:val="004D182B"/>
    <w:rsid w:val="004D25A7"/>
    <w:rsid w:val="004D4089"/>
    <w:rsid w:val="004D49FF"/>
    <w:rsid w:val="004D4B8C"/>
    <w:rsid w:val="004D5A3A"/>
    <w:rsid w:val="004D6BC4"/>
    <w:rsid w:val="004D72B2"/>
    <w:rsid w:val="004D7634"/>
    <w:rsid w:val="004E1214"/>
    <w:rsid w:val="004E196A"/>
    <w:rsid w:val="004E410F"/>
    <w:rsid w:val="004E4A05"/>
    <w:rsid w:val="004E55D4"/>
    <w:rsid w:val="004E5EAA"/>
    <w:rsid w:val="004E611A"/>
    <w:rsid w:val="004E650C"/>
    <w:rsid w:val="004E7CF3"/>
    <w:rsid w:val="004F0852"/>
    <w:rsid w:val="004F093A"/>
    <w:rsid w:val="004F165C"/>
    <w:rsid w:val="004F177E"/>
    <w:rsid w:val="004F17CA"/>
    <w:rsid w:val="004F2E69"/>
    <w:rsid w:val="004F3DF8"/>
    <w:rsid w:val="004F5BC3"/>
    <w:rsid w:val="004F5F72"/>
    <w:rsid w:val="004F6360"/>
    <w:rsid w:val="004F6460"/>
    <w:rsid w:val="004F7CA0"/>
    <w:rsid w:val="00500EB5"/>
    <w:rsid w:val="005010CF"/>
    <w:rsid w:val="00501160"/>
    <w:rsid w:val="00502F9C"/>
    <w:rsid w:val="005044C6"/>
    <w:rsid w:val="005046DF"/>
    <w:rsid w:val="00505381"/>
    <w:rsid w:val="00505B76"/>
    <w:rsid w:val="00506AFF"/>
    <w:rsid w:val="00506D18"/>
    <w:rsid w:val="00506E54"/>
    <w:rsid w:val="00507DC6"/>
    <w:rsid w:val="00510CBD"/>
    <w:rsid w:val="00511171"/>
    <w:rsid w:val="0051288E"/>
    <w:rsid w:val="00515D56"/>
    <w:rsid w:val="0051635B"/>
    <w:rsid w:val="00517400"/>
    <w:rsid w:val="00520010"/>
    <w:rsid w:val="0052110A"/>
    <w:rsid w:val="00521271"/>
    <w:rsid w:val="0052144F"/>
    <w:rsid w:val="00523A96"/>
    <w:rsid w:val="00525389"/>
    <w:rsid w:val="00525583"/>
    <w:rsid w:val="00525697"/>
    <w:rsid w:val="00525AEE"/>
    <w:rsid w:val="00526330"/>
    <w:rsid w:val="00526A6A"/>
    <w:rsid w:val="00526C8C"/>
    <w:rsid w:val="0052720E"/>
    <w:rsid w:val="0052725A"/>
    <w:rsid w:val="005300D3"/>
    <w:rsid w:val="0053057E"/>
    <w:rsid w:val="0053058C"/>
    <w:rsid w:val="00533E34"/>
    <w:rsid w:val="0053520D"/>
    <w:rsid w:val="00536925"/>
    <w:rsid w:val="00540944"/>
    <w:rsid w:val="0054109E"/>
    <w:rsid w:val="00542A10"/>
    <w:rsid w:val="00543038"/>
    <w:rsid w:val="00543B0C"/>
    <w:rsid w:val="00544F82"/>
    <w:rsid w:val="00545DA9"/>
    <w:rsid w:val="005460E7"/>
    <w:rsid w:val="00546568"/>
    <w:rsid w:val="00546CD5"/>
    <w:rsid w:val="005509D2"/>
    <w:rsid w:val="00551C12"/>
    <w:rsid w:val="00554C96"/>
    <w:rsid w:val="00555BA6"/>
    <w:rsid w:val="00555F0E"/>
    <w:rsid w:val="00557262"/>
    <w:rsid w:val="005575E9"/>
    <w:rsid w:val="00557C8A"/>
    <w:rsid w:val="00560A68"/>
    <w:rsid w:val="0056183A"/>
    <w:rsid w:val="005628C1"/>
    <w:rsid w:val="00562E83"/>
    <w:rsid w:val="00563E79"/>
    <w:rsid w:val="0056428B"/>
    <w:rsid w:val="00564B67"/>
    <w:rsid w:val="00564B8B"/>
    <w:rsid w:val="00564EDF"/>
    <w:rsid w:val="0056570C"/>
    <w:rsid w:val="00566685"/>
    <w:rsid w:val="005673AC"/>
    <w:rsid w:val="00567424"/>
    <w:rsid w:val="00570CC7"/>
    <w:rsid w:val="00570F0C"/>
    <w:rsid w:val="005711EC"/>
    <w:rsid w:val="005714A3"/>
    <w:rsid w:val="00571C46"/>
    <w:rsid w:val="00571CB4"/>
    <w:rsid w:val="00571D26"/>
    <w:rsid w:val="00574008"/>
    <w:rsid w:val="005750F5"/>
    <w:rsid w:val="005820BA"/>
    <w:rsid w:val="005841A9"/>
    <w:rsid w:val="005843A4"/>
    <w:rsid w:val="00585A2E"/>
    <w:rsid w:val="00585CF8"/>
    <w:rsid w:val="00585EEC"/>
    <w:rsid w:val="00586CF2"/>
    <w:rsid w:val="00590FA3"/>
    <w:rsid w:val="005912D1"/>
    <w:rsid w:val="0059145D"/>
    <w:rsid w:val="00593C4F"/>
    <w:rsid w:val="005943AA"/>
    <w:rsid w:val="005946A8"/>
    <w:rsid w:val="00595129"/>
    <w:rsid w:val="0059537B"/>
    <w:rsid w:val="005A01FB"/>
    <w:rsid w:val="005A0394"/>
    <w:rsid w:val="005A0E0C"/>
    <w:rsid w:val="005A2989"/>
    <w:rsid w:val="005A35ED"/>
    <w:rsid w:val="005A3E1C"/>
    <w:rsid w:val="005A4407"/>
    <w:rsid w:val="005A59EF"/>
    <w:rsid w:val="005A5B8B"/>
    <w:rsid w:val="005A648D"/>
    <w:rsid w:val="005A676C"/>
    <w:rsid w:val="005B08DD"/>
    <w:rsid w:val="005B1C7E"/>
    <w:rsid w:val="005B2098"/>
    <w:rsid w:val="005B20F9"/>
    <w:rsid w:val="005B30DF"/>
    <w:rsid w:val="005B6CB3"/>
    <w:rsid w:val="005B6E70"/>
    <w:rsid w:val="005C00E9"/>
    <w:rsid w:val="005C11B3"/>
    <w:rsid w:val="005C14A4"/>
    <w:rsid w:val="005C1C0B"/>
    <w:rsid w:val="005C1C67"/>
    <w:rsid w:val="005C2146"/>
    <w:rsid w:val="005C32A3"/>
    <w:rsid w:val="005C3BAA"/>
    <w:rsid w:val="005C4ACE"/>
    <w:rsid w:val="005C51B8"/>
    <w:rsid w:val="005C6976"/>
    <w:rsid w:val="005C7781"/>
    <w:rsid w:val="005D09E5"/>
    <w:rsid w:val="005D0A73"/>
    <w:rsid w:val="005D1C05"/>
    <w:rsid w:val="005D1DE8"/>
    <w:rsid w:val="005D352F"/>
    <w:rsid w:val="005D533D"/>
    <w:rsid w:val="005D5BC6"/>
    <w:rsid w:val="005E2B7C"/>
    <w:rsid w:val="005E4914"/>
    <w:rsid w:val="005E6727"/>
    <w:rsid w:val="005E695D"/>
    <w:rsid w:val="005F3416"/>
    <w:rsid w:val="005F36A0"/>
    <w:rsid w:val="005F39CA"/>
    <w:rsid w:val="005F4F2F"/>
    <w:rsid w:val="005F4FE4"/>
    <w:rsid w:val="005F526D"/>
    <w:rsid w:val="005F6E11"/>
    <w:rsid w:val="005F6F41"/>
    <w:rsid w:val="005F7013"/>
    <w:rsid w:val="006000CE"/>
    <w:rsid w:val="00601DDF"/>
    <w:rsid w:val="0060260C"/>
    <w:rsid w:val="00604A98"/>
    <w:rsid w:val="006056FC"/>
    <w:rsid w:val="00605DA0"/>
    <w:rsid w:val="00605FDB"/>
    <w:rsid w:val="00606FEE"/>
    <w:rsid w:val="00607470"/>
    <w:rsid w:val="00610A14"/>
    <w:rsid w:val="0061112B"/>
    <w:rsid w:val="00611B5C"/>
    <w:rsid w:val="00614138"/>
    <w:rsid w:val="00614509"/>
    <w:rsid w:val="0061581B"/>
    <w:rsid w:val="00616160"/>
    <w:rsid w:val="0061617E"/>
    <w:rsid w:val="006164E4"/>
    <w:rsid w:val="006166B9"/>
    <w:rsid w:val="00616B17"/>
    <w:rsid w:val="00617E6D"/>
    <w:rsid w:val="00620164"/>
    <w:rsid w:val="006203E4"/>
    <w:rsid w:val="00620FCF"/>
    <w:rsid w:val="00621A8D"/>
    <w:rsid w:val="006224DE"/>
    <w:rsid w:val="00622B67"/>
    <w:rsid w:val="00623032"/>
    <w:rsid w:val="006236DF"/>
    <w:rsid w:val="00625D9F"/>
    <w:rsid w:val="00625DC6"/>
    <w:rsid w:val="006263B4"/>
    <w:rsid w:val="0062729D"/>
    <w:rsid w:val="00627335"/>
    <w:rsid w:val="0063035A"/>
    <w:rsid w:val="006327E7"/>
    <w:rsid w:val="00632871"/>
    <w:rsid w:val="0063334B"/>
    <w:rsid w:val="006358F4"/>
    <w:rsid w:val="00635B22"/>
    <w:rsid w:val="00636835"/>
    <w:rsid w:val="00637F1B"/>
    <w:rsid w:val="00641554"/>
    <w:rsid w:val="0064343E"/>
    <w:rsid w:val="0064391D"/>
    <w:rsid w:val="00644E86"/>
    <w:rsid w:val="00645BF9"/>
    <w:rsid w:val="00646366"/>
    <w:rsid w:val="00646756"/>
    <w:rsid w:val="00647048"/>
    <w:rsid w:val="006508AB"/>
    <w:rsid w:val="00650D7D"/>
    <w:rsid w:val="00651154"/>
    <w:rsid w:val="006516F4"/>
    <w:rsid w:val="00651821"/>
    <w:rsid w:val="00651BBF"/>
    <w:rsid w:val="00651C8E"/>
    <w:rsid w:val="006528E5"/>
    <w:rsid w:val="00653ACC"/>
    <w:rsid w:val="00654384"/>
    <w:rsid w:val="00654E96"/>
    <w:rsid w:val="00655740"/>
    <w:rsid w:val="00657852"/>
    <w:rsid w:val="006622B2"/>
    <w:rsid w:val="006638A1"/>
    <w:rsid w:val="006658FB"/>
    <w:rsid w:val="00666A1D"/>
    <w:rsid w:val="0066708E"/>
    <w:rsid w:val="006673D1"/>
    <w:rsid w:val="006675CD"/>
    <w:rsid w:val="00667AD5"/>
    <w:rsid w:val="00670229"/>
    <w:rsid w:val="0067238D"/>
    <w:rsid w:val="006740B2"/>
    <w:rsid w:val="00674313"/>
    <w:rsid w:val="006747D5"/>
    <w:rsid w:val="00675985"/>
    <w:rsid w:val="00676412"/>
    <w:rsid w:val="00677E6A"/>
    <w:rsid w:val="006801CC"/>
    <w:rsid w:val="00680BFA"/>
    <w:rsid w:val="00683EB3"/>
    <w:rsid w:val="00684D9B"/>
    <w:rsid w:val="0068510A"/>
    <w:rsid w:val="00685BCB"/>
    <w:rsid w:val="0069096F"/>
    <w:rsid w:val="00690CEF"/>
    <w:rsid w:val="006916E2"/>
    <w:rsid w:val="0069245B"/>
    <w:rsid w:val="00694585"/>
    <w:rsid w:val="00694E6C"/>
    <w:rsid w:val="0069546C"/>
    <w:rsid w:val="00696F0D"/>
    <w:rsid w:val="00697363"/>
    <w:rsid w:val="00697556"/>
    <w:rsid w:val="006A1CA8"/>
    <w:rsid w:val="006A1EB6"/>
    <w:rsid w:val="006A2BF9"/>
    <w:rsid w:val="006A2EDF"/>
    <w:rsid w:val="006A616B"/>
    <w:rsid w:val="006A72C7"/>
    <w:rsid w:val="006B1FDF"/>
    <w:rsid w:val="006B4081"/>
    <w:rsid w:val="006B4647"/>
    <w:rsid w:val="006B4C2B"/>
    <w:rsid w:val="006B5DFE"/>
    <w:rsid w:val="006B6139"/>
    <w:rsid w:val="006B6194"/>
    <w:rsid w:val="006B661E"/>
    <w:rsid w:val="006B6AD5"/>
    <w:rsid w:val="006B6D47"/>
    <w:rsid w:val="006B7078"/>
    <w:rsid w:val="006B719A"/>
    <w:rsid w:val="006C0011"/>
    <w:rsid w:val="006C0769"/>
    <w:rsid w:val="006C1FD7"/>
    <w:rsid w:val="006C262B"/>
    <w:rsid w:val="006C3E16"/>
    <w:rsid w:val="006C4912"/>
    <w:rsid w:val="006C5AFE"/>
    <w:rsid w:val="006C7715"/>
    <w:rsid w:val="006C7AF6"/>
    <w:rsid w:val="006D2747"/>
    <w:rsid w:val="006D30B1"/>
    <w:rsid w:val="006D5E04"/>
    <w:rsid w:val="006E0A54"/>
    <w:rsid w:val="006E155D"/>
    <w:rsid w:val="006E1EEA"/>
    <w:rsid w:val="006E411D"/>
    <w:rsid w:val="006E4298"/>
    <w:rsid w:val="006E4C15"/>
    <w:rsid w:val="006E4F1F"/>
    <w:rsid w:val="006E5DCF"/>
    <w:rsid w:val="006E5FC3"/>
    <w:rsid w:val="006E72FE"/>
    <w:rsid w:val="006E7850"/>
    <w:rsid w:val="006F268E"/>
    <w:rsid w:val="006F2EC8"/>
    <w:rsid w:val="006F33A3"/>
    <w:rsid w:val="006F3970"/>
    <w:rsid w:val="006F4824"/>
    <w:rsid w:val="006F56D0"/>
    <w:rsid w:val="006F5E13"/>
    <w:rsid w:val="006F6B59"/>
    <w:rsid w:val="006F6D95"/>
    <w:rsid w:val="006F70AA"/>
    <w:rsid w:val="006F7CFE"/>
    <w:rsid w:val="007019A4"/>
    <w:rsid w:val="00702937"/>
    <w:rsid w:val="00705F85"/>
    <w:rsid w:val="00706F13"/>
    <w:rsid w:val="007072E8"/>
    <w:rsid w:val="007076FB"/>
    <w:rsid w:val="00710FF1"/>
    <w:rsid w:val="0071234B"/>
    <w:rsid w:val="007127EF"/>
    <w:rsid w:val="007134B4"/>
    <w:rsid w:val="00714A31"/>
    <w:rsid w:val="0071618D"/>
    <w:rsid w:val="0072116F"/>
    <w:rsid w:val="007212F8"/>
    <w:rsid w:val="00721534"/>
    <w:rsid w:val="00721A52"/>
    <w:rsid w:val="00721D5B"/>
    <w:rsid w:val="00722B3D"/>
    <w:rsid w:val="00723A41"/>
    <w:rsid w:val="00723CF0"/>
    <w:rsid w:val="0072420A"/>
    <w:rsid w:val="0072463D"/>
    <w:rsid w:val="00724792"/>
    <w:rsid w:val="00724A10"/>
    <w:rsid w:val="00724C58"/>
    <w:rsid w:val="00724CDA"/>
    <w:rsid w:val="00725FA4"/>
    <w:rsid w:val="00727B2C"/>
    <w:rsid w:val="00730732"/>
    <w:rsid w:val="00730F10"/>
    <w:rsid w:val="00731511"/>
    <w:rsid w:val="007316AC"/>
    <w:rsid w:val="00732E0B"/>
    <w:rsid w:val="00732FDC"/>
    <w:rsid w:val="0073347B"/>
    <w:rsid w:val="00733DD7"/>
    <w:rsid w:val="007340CC"/>
    <w:rsid w:val="00734187"/>
    <w:rsid w:val="00734C73"/>
    <w:rsid w:val="00740446"/>
    <w:rsid w:val="00740C8E"/>
    <w:rsid w:val="007438A9"/>
    <w:rsid w:val="00743C78"/>
    <w:rsid w:val="00743E7F"/>
    <w:rsid w:val="0074482F"/>
    <w:rsid w:val="0074491E"/>
    <w:rsid w:val="00745C85"/>
    <w:rsid w:val="00746E56"/>
    <w:rsid w:val="007511E4"/>
    <w:rsid w:val="00751EEB"/>
    <w:rsid w:val="0075452E"/>
    <w:rsid w:val="0075578E"/>
    <w:rsid w:val="00755D72"/>
    <w:rsid w:val="007602F3"/>
    <w:rsid w:val="00761244"/>
    <w:rsid w:val="0076163F"/>
    <w:rsid w:val="0076247A"/>
    <w:rsid w:val="00762FB0"/>
    <w:rsid w:val="00763175"/>
    <w:rsid w:val="00763381"/>
    <w:rsid w:val="00763468"/>
    <w:rsid w:val="0076488C"/>
    <w:rsid w:val="00764CB3"/>
    <w:rsid w:val="00767391"/>
    <w:rsid w:val="00767FCE"/>
    <w:rsid w:val="007705CD"/>
    <w:rsid w:val="00774ABE"/>
    <w:rsid w:val="00775964"/>
    <w:rsid w:val="0077639F"/>
    <w:rsid w:val="007765FE"/>
    <w:rsid w:val="007766B3"/>
    <w:rsid w:val="00777117"/>
    <w:rsid w:val="00777163"/>
    <w:rsid w:val="00780739"/>
    <w:rsid w:val="00781E1A"/>
    <w:rsid w:val="00781EBA"/>
    <w:rsid w:val="00782822"/>
    <w:rsid w:val="007838B1"/>
    <w:rsid w:val="00785664"/>
    <w:rsid w:val="00785678"/>
    <w:rsid w:val="00787E5A"/>
    <w:rsid w:val="00790123"/>
    <w:rsid w:val="00790375"/>
    <w:rsid w:val="007910F2"/>
    <w:rsid w:val="007923A0"/>
    <w:rsid w:val="007928B7"/>
    <w:rsid w:val="00793207"/>
    <w:rsid w:val="00793C5D"/>
    <w:rsid w:val="00794E2E"/>
    <w:rsid w:val="00795373"/>
    <w:rsid w:val="00795BFB"/>
    <w:rsid w:val="007969B5"/>
    <w:rsid w:val="007A060C"/>
    <w:rsid w:val="007A5CD1"/>
    <w:rsid w:val="007A5E57"/>
    <w:rsid w:val="007A75EE"/>
    <w:rsid w:val="007B0FAC"/>
    <w:rsid w:val="007B100F"/>
    <w:rsid w:val="007B1BD6"/>
    <w:rsid w:val="007B1CF5"/>
    <w:rsid w:val="007B2760"/>
    <w:rsid w:val="007B2802"/>
    <w:rsid w:val="007B2BBA"/>
    <w:rsid w:val="007B357B"/>
    <w:rsid w:val="007B53E9"/>
    <w:rsid w:val="007B564B"/>
    <w:rsid w:val="007B5CF2"/>
    <w:rsid w:val="007B71EE"/>
    <w:rsid w:val="007B77CE"/>
    <w:rsid w:val="007B7F5E"/>
    <w:rsid w:val="007C127E"/>
    <w:rsid w:val="007C1B10"/>
    <w:rsid w:val="007C2407"/>
    <w:rsid w:val="007C585E"/>
    <w:rsid w:val="007C5B24"/>
    <w:rsid w:val="007C79E3"/>
    <w:rsid w:val="007D21CD"/>
    <w:rsid w:val="007D3B8A"/>
    <w:rsid w:val="007D49D7"/>
    <w:rsid w:val="007D5836"/>
    <w:rsid w:val="007D69D2"/>
    <w:rsid w:val="007D6B92"/>
    <w:rsid w:val="007D763D"/>
    <w:rsid w:val="007D7CD5"/>
    <w:rsid w:val="007E02C4"/>
    <w:rsid w:val="007E09A4"/>
    <w:rsid w:val="007E1112"/>
    <w:rsid w:val="007E1B30"/>
    <w:rsid w:val="007E3D47"/>
    <w:rsid w:val="007E4A8E"/>
    <w:rsid w:val="007E51DB"/>
    <w:rsid w:val="007E5792"/>
    <w:rsid w:val="007E5B81"/>
    <w:rsid w:val="007E642D"/>
    <w:rsid w:val="007E66B1"/>
    <w:rsid w:val="007E6C4A"/>
    <w:rsid w:val="007E71A4"/>
    <w:rsid w:val="007E7A97"/>
    <w:rsid w:val="007F0253"/>
    <w:rsid w:val="007F1280"/>
    <w:rsid w:val="007F6527"/>
    <w:rsid w:val="007F6C99"/>
    <w:rsid w:val="007F7C1B"/>
    <w:rsid w:val="00800D21"/>
    <w:rsid w:val="00801F33"/>
    <w:rsid w:val="00802255"/>
    <w:rsid w:val="00802E44"/>
    <w:rsid w:val="00803071"/>
    <w:rsid w:val="0080401E"/>
    <w:rsid w:val="008043BB"/>
    <w:rsid w:val="00804D2E"/>
    <w:rsid w:val="00804FEF"/>
    <w:rsid w:val="00806549"/>
    <w:rsid w:val="00806C01"/>
    <w:rsid w:val="00806DD1"/>
    <w:rsid w:val="0081072B"/>
    <w:rsid w:val="00810A93"/>
    <w:rsid w:val="00810B35"/>
    <w:rsid w:val="00811D3E"/>
    <w:rsid w:val="00812BAE"/>
    <w:rsid w:val="00813A44"/>
    <w:rsid w:val="0081468B"/>
    <w:rsid w:val="008148CC"/>
    <w:rsid w:val="008167FC"/>
    <w:rsid w:val="008170E2"/>
    <w:rsid w:val="00817731"/>
    <w:rsid w:val="00817F07"/>
    <w:rsid w:val="008211A4"/>
    <w:rsid w:val="00821986"/>
    <w:rsid w:val="00822961"/>
    <w:rsid w:val="0082311D"/>
    <w:rsid w:val="008237CA"/>
    <w:rsid w:val="00824A74"/>
    <w:rsid w:val="008251BC"/>
    <w:rsid w:val="00826E96"/>
    <w:rsid w:val="008276D9"/>
    <w:rsid w:val="00830FF0"/>
    <w:rsid w:val="0083140E"/>
    <w:rsid w:val="00831609"/>
    <w:rsid w:val="008318F6"/>
    <w:rsid w:val="00831A7D"/>
    <w:rsid w:val="00832D90"/>
    <w:rsid w:val="00834EFB"/>
    <w:rsid w:val="00837902"/>
    <w:rsid w:val="00837AD4"/>
    <w:rsid w:val="00837D2A"/>
    <w:rsid w:val="00840277"/>
    <w:rsid w:val="008413A4"/>
    <w:rsid w:val="00841D80"/>
    <w:rsid w:val="00842049"/>
    <w:rsid w:val="00842644"/>
    <w:rsid w:val="00842BD5"/>
    <w:rsid w:val="008434EE"/>
    <w:rsid w:val="00843DAD"/>
    <w:rsid w:val="008444C9"/>
    <w:rsid w:val="00845BAD"/>
    <w:rsid w:val="0084693A"/>
    <w:rsid w:val="008501FC"/>
    <w:rsid w:val="008511DC"/>
    <w:rsid w:val="00851CD1"/>
    <w:rsid w:val="00854203"/>
    <w:rsid w:val="0085640E"/>
    <w:rsid w:val="008567D4"/>
    <w:rsid w:val="00857229"/>
    <w:rsid w:val="00861829"/>
    <w:rsid w:val="008625B3"/>
    <w:rsid w:val="00862E48"/>
    <w:rsid w:val="00863A37"/>
    <w:rsid w:val="00863AB8"/>
    <w:rsid w:val="00864C35"/>
    <w:rsid w:val="00864F48"/>
    <w:rsid w:val="00866DF9"/>
    <w:rsid w:val="00870417"/>
    <w:rsid w:val="0087143B"/>
    <w:rsid w:val="008723DD"/>
    <w:rsid w:val="00873150"/>
    <w:rsid w:val="008734E9"/>
    <w:rsid w:val="00873FF9"/>
    <w:rsid w:val="00874329"/>
    <w:rsid w:val="00874613"/>
    <w:rsid w:val="00875B5E"/>
    <w:rsid w:val="00876557"/>
    <w:rsid w:val="0087657D"/>
    <w:rsid w:val="008800E4"/>
    <w:rsid w:val="008807D5"/>
    <w:rsid w:val="00880832"/>
    <w:rsid w:val="00881A25"/>
    <w:rsid w:val="008822EA"/>
    <w:rsid w:val="0088369F"/>
    <w:rsid w:val="008836A4"/>
    <w:rsid w:val="0088389F"/>
    <w:rsid w:val="00884D80"/>
    <w:rsid w:val="008869C7"/>
    <w:rsid w:val="00886D19"/>
    <w:rsid w:val="00886EE1"/>
    <w:rsid w:val="0088727D"/>
    <w:rsid w:val="00887F31"/>
    <w:rsid w:val="008902C7"/>
    <w:rsid w:val="00892F2C"/>
    <w:rsid w:val="0089340F"/>
    <w:rsid w:val="008944D2"/>
    <w:rsid w:val="00894B89"/>
    <w:rsid w:val="00895326"/>
    <w:rsid w:val="0089612C"/>
    <w:rsid w:val="00896F62"/>
    <w:rsid w:val="00897423"/>
    <w:rsid w:val="00897C27"/>
    <w:rsid w:val="00897C75"/>
    <w:rsid w:val="008A0E24"/>
    <w:rsid w:val="008A0F70"/>
    <w:rsid w:val="008A1221"/>
    <w:rsid w:val="008A1461"/>
    <w:rsid w:val="008A1EDB"/>
    <w:rsid w:val="008A2565"/>
    <w:rsid w:val="008A3B48"/>
    <w:rsid w:val="008A4148"/>
    <w:rsid w:val="008A4BD9"/>
    <w:rsid w:val="008A52CD"/>
    <w:rsid w:val="008A6101"/>
    <w:rsid w:val="008A66C8"/>
    <w:rsid w:val="008A6BE9"/>
    <w:rsid w:val="008A7669"/>
    <w:rsid w:val="008B1869"/>
    <w:rsid w:val="008B21A6"/>
    <w:rsid w:val="008B2CEF"/>
    <w:rsid w:val="008B2EAF"/>
    <w:rsid w:val="008B3A4D"/>
    <w:rsid w:val="008B3AEF"/>
    <w:rsid w:val="008B502D"/>
    <w:rsid w:val="008B61E5"/>
    <w:rsid w:val="008B6760"/>
    <w:rsid w:val="008B6CFD"/>
    <w:rsid w:val="008C0C6E"/>
    <w:rsid w:val="008C0DB6"/>
    <w:rsid w:val="008C1097"/>
    <w:rsid w:val="008C1130"/>
    <w:rsid w:val="008C1914"/>
    <w:rsid w:val="008C3591"/>
    <w:rsid w:val="008C4758"/>
    <w:rsid w:val="008C54CC"/>
    <w:rsid w:val="008C6406"/>
    <w:rsid w:val="008C6D97"/>
    <w:rsid w:val="008C713B"/>
    <w:rsid w:val="008C7A64"/>
    <w:rsid w:val="008D0647"/>
    <w:rsid w:val="008D13D1"/>
    <w:rsid w:val="008D18E6"/>
    <w:rsid w:val="008D1DC5"/>
    <w:rsid w:val="008D2566"/>
    <w:rsid w:val="008D2C6D"/>
    <w:rsid w:val="008D3144"/>
    <w:rsid w:val="008D4760"/>
    <w:rsid w:val="008D6D03"/>
    <w:rsid w:val="008D7A9B"/>
    <w:rsid w:val="008E0060"/>
    <w:rsid w:val="008E0A28"/>
    <w:rsid w:val="008E0F2A"/>
    <w:rsid w:val="008E121C"/>
    <w:rsid w:val="008E1E53"/>
    <w:rsid w:val="008E40FE"/>
    <w:rsid w:val="008E445E"/>
    <w:rsid w:val="008E4655"/>
    <w:rsid w:val="008E4F46"/>
    <w:rsid w:val="008E4F4C"/>
    <w:rsid w:val="008E57B9"/>
    <w:rsid w:val="008E6687"/>
    <w:rsid w:val="008E6D31"/>
    <w:rsid w:val="008E7091"/>
    <w:rsid w:val="008E76AC"/>
    <w:rsid w:val="008E76D4"/>
    <w:rsid w:val="008F03AC"/>
    <w:rsid w:val="008F1EB1"/>
    <w:rsid w:val="008F1FDC"/>
    <w:rsid w:val="008F21F6"/>
    <w:rsid w:val="008F2EB0"/>
    <w:rsid w:val="008F44D5"/>
    <w:rsid w:val="008F6824"/>
    <w:rsid w:val="008F6FA2"/>
    <w:rsid w:val="008F72E0"/>
    <w:rsid w:val="008F77A3"/>
    <w:rsid w:val="008F7990"/>
    <w:rsid w:val="00900D5E"/>
    <w:rsid w:val="00900E75"/>
    <w:rsid w:val="00901457"/>
    <w:rsid w:val="00901DFC"/>
    <w:rsid w:val="00902F64"/>
    <w:rsid w:val="00903386"/>
    <w:rsid w:val="0090351F"/>
    <w:rsid w:val="009043F0"/>
    <w:rsid w:val="009045B3"/>
    <w:rsid w:val="009049C5"/>
    <w:rsid w:val="00904A12"/>
    <w:rsid w:val="00906A2D"/>
    <w:rsid w:val="00906C61"/>
    <w:rsid w:val="009113F1"/>
    <w:rsid w:val="00911F4D"/>
    <w:rsid w:val="0091359D"/>
    <w:rsid w:val="00914F06"/>
    <w:rsid w:val="009165C7"/>
    <w:rsid w:val="00917201"/>
    <w:rsid w:val="00917367"/>
    <w:rsid w:val="00917439"/>
    <w:rsid w:val="00920663"/>
    <w:rsid w:val="00921D03"/>
    <w:rsid w:val="00922533"/>
    <w:rsid w:val="00923B14"/>
    <w:rsid w:val="00925993"/>
    <w:rsid w:val="00926475"/>
    <w:rsid w:val="0092659D"/>
    <w:rsid w:val="00930543"/>
    <w:rsid w:val="00931ADD"/>
    <w:rsid w:val="00931BC6"/>
    <w:rsid w:val="00931E01"/>
    <w:rsid w:val="0093297A"/>
    <w:rsid w:val="00932B77"/>
    <w:rsid w:val="00935218"/>
    <w:rsid w:val="00936488"/>
    <w:rsid w:val="009364F2"/>
    <w:rsid w:val="009378A7"/>
    <w:rsid w:val="0094100A"/>
    <w:rsid w:val="0094147E"/>
    <w:rsid w:val="00942327"/>
    <w:rsid w:val="009427D5"/>
    <w:rsid w:val="0094299F"/>
    <w:rsid w:val="0094356E"/>
    <w:rsid w:val="00943CA7"/>
    <w:rsid w:val="00944E53"/>
    <w:rsid w:val="0094513B"/>
    <w:rsid w:val="00946187"/>
    <w:rsid w:val="00950BFC"/>
    <w:rsid w:val="009515E9"/>
    <w:rsid w:val="009516B1"/>
    <w:rsid w:val="0095183F"/>
    <w:rsid w:val="00951925"/>
    <w:rsid w:val="00951F79"/>
    <w:rsid w:val="009529A6"/>
    <w:rsid w:val="00953E66"/>
    <w:rsid w:val="00954404"/>
    <w:rsid w:val="00954C36"/>
    <w:rsid w:val="00954EB1"/>
    <w:rsid w:val="00955F64"/>
    <w:rsid w:val="00956377"/>
    <w:rsid w:val="00957503"/>
    <w:rsid w:val="00960324"/>
    <w:rsid w:val="00961863"/>
    <w:rsid w:val="00961EAC"/>
    <w:rsid w:val="0096279C"/>
    <w:rsid w:val="009628CC"/>
    <w:rsid w:val="00962972"/>
    <w:rsid w:val="0096342A"/>
    <w:rsid w:val="00964BE8"/>
    <w:rsid w:val="009670E8"/>
    <w:rsid w:val="00967498"/>
    <w:rsid w:val="00967D25"/>
    <w:rsid w:val="00970276"/>
    <w:rsid w:val="009703FA"/>
    <w:rsid w:val="00970ADD"/>
    <w:rsid w:val="00971CC1"/>
    <w:rsid w:val="0097323A"/>
    <w:rsid w:val="009733BB"/>
    <w:rsid w:val="00974136"/>
    <w:rsid w:val="0097499D"/>
    <w:rsid w:val="00974AB5"/>
    <w:rsid w:val="00975624"/>
    <w:rsid w:val="00976A4D"/>
    <w:rsid w:val="00976EC7"/>
    <w:rsid w:val="00976FD7"/>
    <w:rsid w:val="00977EA8"/>
    <w:rsid w:val="00980152"/>
    <w:rsid w:val="0098076F"/>
    <w:rsid w:val="009820D7"/>
    <w:rsid w:val="00982701"/>
    <w:rsid w:val="0098286E"/>
    <w:rsid w:val="00982A7B"/>
    <w:rsid w:val="00982FE1"/>
    <w:rsid w:val="009843A8"/>
    <w:rsid w:val="009844C9"/>
    <w:rsid w:val="009851BF"/>
    <w:rsid w:val="009851CD"/>
    <w:rsid w:val="00986A5E"/>
    <w:rsid w:val="0098706D"/>
    <w:rsid w:val="0098764A"/>
    <w:rsid w:val="00987BDD"/>
    <w:rsid w:val="00991B54"/>
    <w:rsid w:val="00991CB0"/>
    <w:rsid w:val="009935FB"/>
    <w:rsid w:val="009961D4"/>
    <w:rsid w:val="00996E66"/>
    <w:rsid w:val="009971F5"/>
    <w:rsid w:val="00997985"/>
    <w:rsid w:val="00997E69"/>
    <w:rsid w:val="009A0187"/>
    <w:rsid w:val="009A0748"/>
    <w:rsid w:val="009A0A35"/>
    <w:rsid w:val="009A1DBD"/>
    <w:rsid w:val="009A235E"/>
    <w:rsid w:val="009A3863"/>
    <w:rsid w:val="009A3DAA"/>
    <w:rsid w:val="009A4D1C"/>
    <w:rsid w:val="009A4F41"/>
    <w:rsid w:val="009A73EC"/>
    <w:rsid w:val="009B079A"/>
    <w:rsid w:val="009B1328"/>
    <w:rsid w:val="009B1C54"/>
    <w:rsid w:val="009B303D"/>
    <w:rsid w:val="009B3238"/>
    <w:rsid w:val="009B45B2"/>
    <w:rsid w:val="009B4F8D"/>
    <w:rsid w:val="009B509F"/>
    <w:rsid w:val="009B5752"/>
    <w:rsid w:val="009B57F5"/>
    <w:rsid w:val="009C15AD"/>
    <w:rsid w:val="009C167B"/>
    <w:rsid w:val="009C17D3"/>
    <w:rsid w:val="009C1933"/>
    <w:rsid w:val="009C1EF5"/>
    <w:rsid w:val="009C2AF0"/>
    <w:rsid w:val="009C2E90"/>
    <w:rsid w:val="009C3DB8"/>
    <w:rsid w:val="009C3E52"/>
    <w:rsid w:val="009C422B"/>
    <w:rsid w:val="009C5BC8"/>
    <w:rsid w:val="009C6FF8"/>
    <w:rsid w:val="009C71DA"/>
    <w:rsid w:val="009C73A9"/>
    <w:rsid w:val="009C7500"/>
    <w:rsid w:val="009C7987"/>
    <w:rsid w:val="009C7F29"/>
    <w:rsid w:val="009D191F"/>
    <w:rsid w:val="009D2A09"/>
    <w:rsid w:val="009D2B19"/>
    <w:rsid w:val="009D418B"/>
    <w:rsid w:val="009D4626"/>
    <w:rsid w:val="009D5565"/>
    <w:rsid w:val="009D75F9"/>
    <w:rsid w:val="009D7709"/>
    <w:rsid w:val="009E06C2"/>
    <w:rsid w:val="009E1320"/>
    <w:rsid w:val="009E1EB8"/>
    <w:rsid w:val="009E3023"/>
    <w:rsid w:val="009E3D1C"/>
    <w:rsid w:val="009E5113"/>
    <w:rsid w:val="009E5521"/>
    <w:rsid w:val="009E5968"/>
    <w:rsid w:val="009E5B91"/>
    <w:rsid w:val="009E5BC5"/>
    <w:rsid w:val="009E6C3E"/>
    <w:rsid w:val="009E7922"/>
    <w:rsid w:val="009F0489"/>
    <w:rsid w:val="009F0CEE"/>
    <w:rsid w:val="009F15BD"/>
    <w:rsid w:val="009F252B"/>
    <w:rsid w:val="009F457C"/>
    <w:rsid w:val="009F4749"/>
    <w:rsid w:val="009F47F4"/>
    <w:rsid w:val="009F4A54"/>
    <w:rsid w:val="009F4BEC"/>
    <w:rsid w:val="009F4F37"/>
    <w:rsid w:val="009F553B"/>
    <w:rsid w:val="009F5874"/>
    <w:rsid w:val="009F59FE"/>
    <w:rsid w:val="009F5A0B"/>
    <w:rsid w:val="00A01B8C"/>
    <w:rsid w:val="00A024DD"/>
    <w:rsid w:val="00A045AB"/>
    <w:rsid w:val="00A04D18"/>
    <w:rsid w:val="00A0515F"/>
    <w:rsid w:val="00A061FC"/>
    <w:rsid w:val="00A06C25"/>
    <w:rsid w:val="00A0708C"/>
    <w:rsid w:val="00A07643"/>
    <w:rsid w:val="00A10393"/>
    <w:rsid w:val="00A10857"/>
    <w:rsid w:val="00A11576"/>
    <w:rsid w:val="00A12211"/>
    <w:rsid w:val="00A122C5"/>
    <w:rsid w:val="00A144D4"/>
    <w:rsid w:val="00A14819"/>
    <w:rsid w:val="00A16A3E"/>
    <w:rsid w:val="00A1772B"/>
    <w:rsid w:val="00A2261B"/>
    <w:rsid w:val="00A23DA6"/>
    <w:rsid w:val="00A240CB"/>
    <w:rsid w:val="00A242DE"/>
    <w:rsid w:val="00A2447C"/>
    <w:rsid w:val="00A24CB4"/>
    <w:rsid w:val="00A25FD7"/>
    <w:rsid w:val="00A26DEA"/>
    <w:rsid w:val="00A307F8"/>
    <w:rsid w:val="00A3552A"/>
    <w:rsid w:val="00A366F9"/>
    <w:rsid w:val="00A3773C"/>
    <w:rsid w:val="00A378C7"/>
    <w:rsid w:val="00A40669"/>
    <w:rsid w:val="00A40880"/>
    <w:rsid w:val="00A40915"/>
    <w:rsid w:val="00A43041"/>
    <w:rsid w:val="00A43AFF"/>
    <w:rsid w:val="00A454E3"/>
    <w:rsid w:val="00A46303"/>
    <w:rsid w:val="00A50F78"/>
    <w:rsid w:val="00A50FF1"/>
    <w:rsid w:val="00A51DA4"/>
    <w:rsid w:val="00A52D39"/>
    <w:rsid w:val="00A532D3"/>
    <w:rsid w:val="00A537A1"/>
    <w:rsid w:val="00A55865"/>
    <w:rsid w:val="00A60C76"/>
    <w:rsid w:val="00A60F91"/>
    <w:rsid w:val="00A619C0"/>
    <w:rsid w:val="00A6294F"/>
    <w:rsid w:val="00A62CF6"/>
    <w:rsid w:val="00A63390"/>
    <w:rsid w:val="00A6411B"/>
    <w:rsid w:val="00A643E7"/>
    <w:rsid w:val="00A645DF"/>
    <w:rsid w:val="00A6492A"/>
    <w:rsid w:val="00A66026"/>
    <w:rsid w:val="00A66313"/>
    <w:rsid w:val="00A71F3C"/>
    <w:rsid w:val="00A731C3"/>
    <w:rsid w:val="00A74502"/>
    <w:rsid w:val="00A74AD1"/>
    <w:rsid w:val="00A772AD"/>
    <w:rsid w:val="00A7793A"/>
    <w:rsid w:val="00A80C05"/>
    <w:rsid w:val="00A80C7B"/>
    <w:rsid w:val="00A81E1D"/>
    <w:rsid w:val="00A82091"/>
    <w:rsid w:val="00A827B5"/>
    <w:rsid w:val="00A83B99"/>
    <w:rsid w:val="00A83EE1"/>
    <w:rsid w:val="00A8497A"/>
    <w:rsid w:val="00A84B9E"/>
    <w:rsid w:val="00A85C52"/>
    <w:rsid w:val="00A87A26"/>
    <w:rsid w:val="00A90A5A"/>
    <w:rsid w:val="00A92906"/>
    <w:rsid w:val="00A92CD4"/>
    <w:rsid w:val="00A93FCC"/>
    <w:rsid w:val="00A95099"/>
    <w:rsid w:val="00A956C0"/>
    <w:rsid w:val="00AA0FA8"/>
    <w:rsid w:val="00AA2290"/>
    <w:rsid w:val="00AA2722"/>
    <w:rsid w:val="00AA4CC7"/>
    <w:rsid w:val="00AA535A"/>
    <w:rsid w:val="00AA583A"/>
    <w:rsid w:val="00AA5E8E"/>
    <w:rsid w:val="00AA7048"/>
    <w:rsid w:val="00AB00EE"/>
    <w:rsid w:val="00AB0281"/>
    <w:rsid w:val="00AB06AF"/>
    <w:rsid w:val="00AB0EB1"/>
    <w:rsid w:val="00AB12A3"/>
    <w:rsid w:val="00AB163A"/>
    <w:rsid w:val="00AB1AF2"/>
    <w:rsid w:val="00AB225B"/>
    <w:rsid w:val="00AB2BAD"/>
    <w:rsid w:val="00AB46ED"/>
    <w:rsid w:val="00AB566F"/>
    <w:rsid w:val="00AB604C"/>
    <w:rsid w:val="00AB6CA7"/>
    <w:rsid w:val="00AB6D57"/>
    <w:rsid w:val="00AB6DD5"/>
    <w:rsid w:val="00AB71D7"/>
    <w:rsid w:val="00AC0BD4"/>
    <w:rsid w:val="00AC1E5F"/>
    <w:rsid w:val="00AC2510"/>
    <w:rsid w:val="00AC3B82"/>
    <w:rsid w:val="00AC3EF0"/>
    <w:rsid w:val="00AC422F"/>
    <w:rsid w:val="00AC45AE"/>
    <w:rsid w:val="00AC5F01"/>
    <w:rsid w:val="00AC6B4B"/>
    <w:rsid w:val="00AC7D4C"/>
    <w:rsid w:val="00AD01E4"/>
    <w:rsid w:val="00AD0858"/>
    <w:rsid w:val="00AD1098"/>
    <w:rsid w:val="00AD1511"/>
    <w:rsid w:val="00AD17E6"/>
    <w:rsid w:val="00AD3516"/>
    <w:rsid w:val="00AD4D6E"/>
    <w:rsid w:val="00AD7B3E"/>
    <w:rsid w:val="00AD7D7C"/>
    <w:rsid w:val="00AE02E3"/>
    <w:rsid w:val="00AE1231"/>
    <w:rsid w:val="00AE168C"/>
    <w:rsid w:val="00AE2B11"/>
    <w:rsid w:val="00AE5145"/>
    <w:rsid w:val="00AE7340"/>
    <w:rsid w:val="00AF0BB5"/>
    <w:rsid w:val="00AF0C52"/>
    <w:rsid w:val="00AF148B"/>
    <w:rsid w:val="00AF1BBD"/>
    <w:rsid w:val="00AF246E"/>
    <w:rsid w:val="00AF29D5"/>
    <w:rsid w:val="00AF53F4"/>
    <w:rsid w:val="00AF794B"/>
    <w:rsid w:val="00B02659"/>
    <w:rsid w:val="00B03620"/>
    <w:rsid w:val="00B04948"/>
    <w:rsid w:val="00B052C2"/>
    <w:rsid w:val="00B06FFE"/>
    <w:rsid w:val="00B077F9"/>
    <w:rsid w:val="00B10207"/>
    <w:rsid w:val="00B11EAF"/>
    <w:rsid w:val="00B1257A"/>
    <w:rsid w:val="00B141E7"/>
    <w:rsid w:val="00B15349"/>
    <w:rsid w:val="00B16417"/>
    <w:rsid w:val="00B16B69"/>
    <w:rsid w:val="00B173EB"/>
    <w:rsid w:val="00B2224C"/>
    <w:rsid w:val="00B22A0A"/>
    <w:rsid w:val="00B23C0A"/>
    <w:rsid w:val="00B2435A"/>
    <w:rsid w:val="00B24B88"/>
    <w:rsid w:val="00B25B86"/>
    <w:rsid w:val="00B26197"/>
    <w:rsid w:val="00B26280"/>
    <w:rsid w:val="00B265A1"/>
    <w:rsid w:val="00B27348"/>
    <w:rsid w:val="00B31169"/>
    <w:rsid w:val="00B3194B"/>
    <w:rsid w:val="00B31D3C"/>
    <w:rsid w:val="00B3344F"/>
    <w:rsid w:val="00B3360A"/>
    <w:rsid w:val="00B3466A"/>
    <w:rsid w:val="00B351B4"/>
    <w:rsid w:val="00B351FA"/>
    <w:rsid w:val="00B35960"/>
    <w:rsid w:val="00B35E88"/>
    <w:rsid w:val="00B40D0D"/>
    <w:rsid w:val="00B41320"/>
    <w:rsid w:val="00B41C94"/>
    <w:rsid w:val="00B41DF4"/>
    <w:rsid w:val="00B4232B"/>
    <w:rsid w:val="00B42917"/>
    <w:rsid w:val="00B42993"/>
    <w:rsid w:val="00B43325"/>
    <w:rsid w:val="00B43898"/>
    <w:rsid w:val="00B43A69"/>
    <w:rsid w:val="00B46BCA"/>
    <w:rsid w:val="00B47356"/>
    <w:rsid w:val="00B47528"/>
    <w:rsid w:val="00B478AA"/>
    <w:rsid w:val="00B47B43"/>
    <w:rsid w:val="00B5231E"/>
    <w:rsid w:val="00B52415"/>
    <w:rsid w:val="00B5370F"/>
    <w:rsid w:val="00B554FE"/>
    <w:rsid w:val="00B55692"/>
    <w:rsid w:val="00B56028"/>
    <w:rsid w:val="00B565C7"/>
    <w:rsid w:val="00B5711A"/>
    <w:rsid w:val="00B57D8C"/>
    <w:rsid w:val="00B600A4"/>
    <w:rsid w:val="00B600FD"/>
    <w:rsid w:val="00B60421"/>
    <w:rsid w:val="00B60E1D"/>
    <w:rsid w:val="00B61D64"/>
    <w:rsid w:val="00B61E17"/>
    <w:rsid w:val="00B62678"/>
    <w:rsid w:val="00B63E4F"/>
    <w:rsid w:val="00B63FE9"/>
    <w:rsid w:val="00B64F3D"/>
    <w:rsid w:val="00B650B0"/>
    <w:rsid w:val="00B656FB"/>
    <w:rsid w:val="00B65F61"/>
    <w:rsid w:val="00B665A5"/>
    <w:rsid w:val="00B665CD"/>
    <w:rsid w:val="00B700FB"/>
    <w:rsid w:val="00B710D7"/>
    <w:rsid w:val="00B72192"/>
    <w:rsid w:val="00B72E5C"/>
    <w:rsid w:val="00B744B8"/>
    <w:rsid w:val="00B75663"/>
    <w:rsid w:val="00B760AE"/>
    <w:rsid w:val="00B76A1F"/>
    <w:rsid w:val="00B77482"/>
    <w:rsid w:val="00B77CD0"/>
    <w:rsid w:val="00B8018B"/>
    <w:rsid w:val="00B80902"/>
    <w:rsid w:val="00B80A4C"/>
    <w:rsid w:val="00B80A53"/>
    <w:rsid w:val="00B80B15"/>
    <w:rsid w:val="00B80BE8"/>
    <w:rsid w:val="00B8131D"/>
    <w:rsid w:val="00B825C2"/>
    <w:rsid w:val="00B82619"/>
    <w:rsid w:val="00B82883"/>
    <w:rsid w:val="00B82DE0"/>
    <w:rsid w:val="00B84993"/>
    <w:rsid w:val="00B84C00"/>
    <w:rsid w:val="00B85325"/>
    <w:rsid w:val="00B85425"/>
    <w:rsid w:val="00B85FD4"/>
    <w:rsid w:val="00B862DA"/>
    <w:rsid w:val="00B87565"/>
    <w:rsid w:val="00B87806"/>
    <w:rsid w:val="00B87EC9"/>
    <w:rsid w:val="00B91F5D"/>
    <w:rsid w:val="00B92EBB"/>
    <w:rsid w:val="00B93640"/>
    <w:rsid w:val="00B9384D"/>
    <w:rsid w:val="00B93FF5"/>
    <w:rsid w:val="00B949AB"/>
    <w:rsid w:val="00B94C9E"/>
    <w:rsid w:val="00B94D33"/>
    <w:rsid w:val="00B9505A"/>
    <w:rsid w:val="00B95B1A"/>
    <w:rsid w:val="00BA070B"/>
    <w:rsid w:val="00BA13ED"/>
    <w:rsid w:val="00BA210E"/>
    <w:rsid w:val="00BA2E21"/>
    <w:rsid w:val="00BA3864"/>
    <w:rsid w:val="00BA4149"/>
    <w:rsid w:val="00BA4427"/>
    <w:rsid w:val="00BA4B4D"/>
    <w:rsid w:val="00BA5137"/>
    <w:rsid w:val="00BA74E1"/>
    <w:rsid w:val="00BB156F"/>
    <w:rsid w:val="00BB6133"/>
    <w:rsid w:val="00BB6691"/>
    <w:rsid w:val="00BB751A"/>
    <w:rsid w:val="00BB778C"/>
    <w:rsid w:val="00BC1622"/>
    <w:rsid w:val="00BC24A1"/>
    <w:rsid w:val="00BC38FD"/>
    <w:rsid w:val="00BC3C53"/>
    <w:rsid w:val="00BC4C9E"/>
    <w:rsid w:val="00BC5BEC"/>
    <w:rsid w:val="00BC5C73"/>
    <w:rsid w:val="00BD1B5B"/>
    <w:rsid w:val="00BD28F0"/>
    <w:rsid w:val="00BD30D2"/>
    <w:rsid w:val="00BD3EB5"/>
    <w:rsid w:val="00BD4A2B"/>
    <w:rsid w:val="00BD6191"/>
    <w:rsid w:val="00BD7269"/>
    <w:rsid w:val="00BD72C1"/>
    <w:rsid w:val="00BE0371"/>
    <w:rsid w:val="00BE064B"/>
    <w:rsid w:val="00BE141A"/>
    <w:rsid w:val="00BE2586"/>
    <w:rsid w:val="00BE479B"/>
    <w:rsid w:val="00BE4A70"/>
    <w:rsid w:val="00BE511F"/>
    <w:rsid w:val="00BE52B5"/>
    <w:rsid w:val="00BE6240"/>
    <w:rsid w:val="00BE6451"/>
    <w:rsid w:val="00BE6D1B"/>
    <w:rsid w:val="00BE6FCB"/>
    <w:rsid w:val="00BF020D"/>
    <w:rsid w:val="00BF0E38"/>
    <w:rsid w:val="00BF4A8F"/>
    <w:rsid w:val="00BF5A0E"/>
    <w:rsid w:val="00BF69C9"/>
    <w:rsid w:val="00BF737C"/>
    <w:rsid w:val="00BF7F5D"/>
    <w:rsid w:val="00C01DF8"/>
    <w:rsid w:val="00C02231"/>
    <w:rsid w:val="00C02BA1"/>
    <w:rsid w:val="00C02D7C"/>
    <w:rsid w:val="00C030AB"/>
    <w:rsid w:val="00C03146"/>
    <w:rsid w:val="00C034CB"/>
    <w:rsid w:val="00C03D13"/>
    <w:rsid w:val="00C0509B"/>
    <w:rsid w:val="00C051A8"/>
    <w:rsid w:val="00C054BC"/>
    <w:rsid w:val="00C059D0"/>
    <w:rsid w:val="00C06851"/>
    <w:rsid w:val="00C07859"/>
    <w:rsid w:val="00C07D28"/>
    <w:rsid w:val="00C10433"/>
    <w:rsid w:val="00C10CBB"/>
    <w:rsid w:val="00C1142D"/>
    <w:rsid w:val="00C11B7D"/>
    <w:rsid w:val="00C11F53"/>
    <w:rsid w:val="00C12F3B"/>
    <w:rsid w:val="00C1355E"/>
    <w:rsid w:val="00C14033"/>
    <w:rsid w:val="00C158D4"/>
    <w:rsid w:val="00C16CA2"/>
    <w:rsid w:val="00C170C2"/>
    <w:rsid w:val="00C17547"/>
    <w:rsid w:val="00C17897"/>
    <w:rsid w:val="00C202E9"/>
    <w:rsid w:val="00C2199B"/>
    <w:rsid w:val="00C21A7C"/>
    <w:rsid w:val="00C22ACF"/>
    <w:rsid w:val="00C23CE0"/>
    <w:rsid w:val="00C23D5E"/>
    <w:rsid w:val="00C24D55"/>
    <w:rsid w:val="00C2531A"/>
    <w:rsid w:val="00C273C7"/>
    <w:rsid w:val="00C303B9"/>
    <w:rsid w:val="00C30D93"/>
    <w:rsid w:val="00C312D2"/>
    <w:rsid w:val="00C3136D"/>
    <w:rsid w:val="00C32B95"/>
    <w:rsid w:val="00C32CD4"/>
    <w:rsid w:val="00C357DB"/>
    <w:rsid w:val="00C35E2B"/>
    <w:rsid w:val="00C362A6"/>
    <w:rsid w:val="00C367C9"/>
    <w:rsid w:val="00C36AE6"/>
    <w:rsid w:val="00C36C98"/>
    <w:rsid w:val="00C3760F"/>
    <w:rsid w:val="00C37C61"/>
    <w:rsid w:val="00C40052"/>
    <w:rsid w:val="00C409D5"/>
    <w:rsid w:val="00C40B13"/>
    <w:rsid w:val="00C415A6"/>
    <w:rsid w:val="00C41CD2"/>
    <w:rsid w:val="00C4253F"/>
    <w:rsid w:val="00C435C3"/>
    <w:rsid w:val="00C43FAE"/>
    <w:rsid w:val="00C44133"/>
    <w:rsid w:val="00C4460E"/>
    <w:rsid w:val="00C44B9B"/>
    <w:rsid w:val="00C44CC9"/>
    <w:rsid w:val="00C44E5F"/>
    <w:rsid w:val="00C46B05"/>
    <w:rsid w:val="00C4722C"/>
    <w:rsid w:val="00C50334"/>
    <w:rsid w:val="00C51486"/>
    <w:rsid w:val="00C51595"/>
    <w:rsid w:val="00C51B7C"/>
    <w:rsid w:val="00C52727"/>
    <w:rsid w:val="00C60976"/>
    <w:rsid w:val="00C60C51"/>
    <w:rsid w:val="00C61B63"/>
    <w:rsid w:val="00C6234B"/>
    <w:rsid w:val="00C639EB"/>
    <w:rsid w:val="00C63EAE"/>
    <w:rsid w:val="00C654CD"/>
    <w:rsid w:val="00C656EE"/>
    <w:rsid w:val="00C676CE"/>
    <w:rsid w:val="00C70E01"/>
    <w:rsid w:val="00C7248A"/>
    <w:rsid w:val="00C72E6A"/>
    <w:rsid w:val="00C73260"/>
    <w:rsid w:val="00C748DF"/>
    <w:rsid w:val="00C74B5F"/>
    <w:rsid w:val="00C7540C"/>
    <w:rsid w:val="00C75F5B"/>
    <w:rsid w:val="00C7629F"/>
    <w:rsid w:val="00C771BE"/>
    <w:rsid w:val="00C810C1"/>
    <w:rsid w:val="00C823AC"/>
    <w:rsid w:val="00C83796"/>
    <w:rsid w:val="00C851C0"/>
    <w:rsid w:val="00C8531E"/>
    <w:rsid w:val="00C856E8"/>
    <w:rsid w:val="00C85990"/>
    <w:rsid w:val="00C8661B"/>
    <w:rsid w:val="00C87829"/>
    <w:rsid w:val="00C87F56"/>
    <w:rsid w:val="00C93442"/>
    <w:rsid w:val="00C939C5"/>
    <w:rsid w:val="00C93C63"/>
    <w:rsid w:val="00C94925"/>
    <w:rsid w:val="00C95040"/>
    <w:rsid w:val="00C9528B"/>
    <w:rsid w:val="00C95C54"/>
    <w:rsid w:val="00C96974"/>
    <w:rsid w:val="00C97581"/>
    <w:rsid w:val="00C979BF"/>
    <w:rsid w:val="00CA03C8"/>
    <w:rsid w:val="00CA0630"/>
    <w:rsid w:val="00CA0DFD"/>
    <w:rsid w:val="00CA0E09"/>
    <w:rsid w:val="00CA139A"/>
    <w:rsid w:val="00CA19FA"/>
    <w:rsid w:val="00CA2899"/>
    <w:rsid w:val="00CA33A2"/>
    <w:rsid w:val="00CA3A3D"/>
    <w:rsid w:val="00CA3AA6"/>
    <w:rsid w:val="00CA3EF3"/>
    <w:rsid w:val="00CA42B5"/>
    <w:rsid w:val="00CA4880"/>
    <w:rsid w:val="00CA51FC"/>
    <w:rsid w:val="00CA555C"/>
    <w:rsid w:val="00CA7025"/>
    <w:rsid w:val="00CA75ED"/>
    <w:rsid w:val="00CA7600"/>
    <w:rsid w:val="00CA77FB"/>
    <w:rsid w:val="00CA793D"/>
    <w:rsid w:val="00CA7942"/>
    <w:rsid w:val="00CB026C"/>
    <w:rsid w:val="00CB0C67"/>
    <w:rsid w:val="00CB1A93"/>
    <w:rsid w:val="00CB2886"/>
    <w:rsid w:val="00CB3293"/>
    <w:rsid w:val="00CB379B"/>
    <w:rsid w:val="00CB3BF4"/>
    <w:rsid w:val="00CB4074"/>
    <w:rsid w:val="00CB454A"/>
    <w:rsid w:val="00CB4F88"/>
    <w:rsid w:val="00CB5DD0"/>
    <w:rsid w:val="00CC06BA"/>
    <w:rsid w:val="00CC269A"/>
    <w:rsid w:val="00CC4AD9"/>
    <w:rsid w:val="00CC51D4"/>
    <w:rsid w:val="00CC65DA"/>
    <w:rsid w:val="00CC6C62"/>
    <w:rsid w:val="00CC794C"/>
    <w:rsid w:val="00CD0572"/>
    <w:rsid w:val="00CD0A83"/>
    <w:rsid w:val="00CD1043"/>
    <w:rsid w:val="00CD13F3"/>
    <w:rsid w:val="00CD14B9"/>
    <w:rsid w:val="00CD1962"/>
    <w:rsid w:val="00CD46B3"/>
    <w:rsid w:val="00CD692C"/>
    <w:rsid w:val="00CD6C8C"/>
    <w:rsid w:val="00CE0AB0"/>
    <w:rsid w:val="00CE11CC"/>
    <w:rsid w:val="00CE18A4"/>
    <w:rsid w:val="00CE2AA7"/>
    <w:rsid w:val="00CE31D4"/>
    <w:rsid w:val="00CE4916"/>
    <w:rsid w:val="00CE5AA0"/>
    <w:rsid w:val="00CF0103"/>
    <w:rsid w:val="00CF1006"/>
    <w:rsid w:val="00CF174F"/>
    <w:rsid w:val="00CF18FA"/>
    <w:rsid w:val="00CF1921"/>
    <w:rsid w:val="00CF21B9"/>
    <w:rsid w:val="00CF2930"/>
    <w:rsid w:val="00CF2A2D"/>
    <w:rsid w:val="00CF43EE"/>
    <w:rsid w:val="00CF54A0"/>
    <w:rsid w:val="00CF6BF9"/>
    <w:rsid w:val="00D00748"/>
    <w:rsid w:val="00D01A00"/>
    <w:rsid w:val="00D02A5C"/>
    <w:rsid w:val="00D02B04"/>
    <w:rsid w:val="00D03800"/>
    <w:rsid w:val="00D065D3"/>
    <w:rsid w:val="00D10DD2"/>
    <w:rsid w:val="00D11C4B"/>
    <w:rsid w:val="00D12AEC"/>
    <w:rsid w:val="00D134BB"/>
    <w:rsid w:val="00D13799"/>
    <w:rsid w:val="00D14142"/>
    <w:rsid w:val="00D14A27"/>
    <w:rsid w:val="00D14C94"/>
    <w:rsid w:val="00D14D6D"/>
    <w:rsid w:val="00D1520F"/>
    <w:rsid w:val="00D15613"/>
    <w:rsid w:val="00D20C48"/>
    <w:rsid w:val="00D215E1"/>
    <w:rsid w:val="00D21DF3"/>
    <w:rsid w:val="00D231C8"/>
    <w:rsid w:val="00D2408C"/>
    <w:rsid w:val="00D256FA"/>
    <w:rsid w:val="00D26D63"/>
    <w:rsid w:val="00D27672"/>
    <w:rsid w:val="00D27F49"/>
    <w:rsid w:val="00D31C4A"/>
    <w:rsid w:val="00D328B9"/>
    <w:rsid w:val="00D32F94"/>
    <w:rsid w:val="00D3421B"/>
    <w:rsid w:val="00D342A6"/>
    <w:rsid w:val="00D343C4"/>
    <w:rsid w:val="00D34440"/>
    <w:rsid w:val="00D3458A"/>
    <w:rsid w:val="00D347C3"/>
    <w:rsid w:val="00D35933"/>
    <w:rsid w:val="00D35A33"/>
    <w:rsid w:val="00D3636B"/>
    <w:rsid w:val="00D36A6A"/>
    <w:rsid w:val="00D37634"/>
    <w:rsid w:val="00D400F9"/>
    <w:rsid w:val="00D41024"/>
    <w:rsid w:val="00D428AA"/>
    <w:rsid w:val="00D443BE"/>
    <w:rsid w:val="00D452A2"/>
    <w:rsid w:val="00D45CA6"/>
    <w:rsid w:val="00D464BF"/>
    <w:rsid w:val="00D46635"/>
    <w:rsid w:val="00D467D9"/>
    <w:rsid w:val="00D47574"/>
    <w:rsid w:val="00D52BDB"/>
    <w:rsid w:val="00D53483"/>
    <w:rsid w:val="00D5356B"/>
    <w:rsid w:val="00D538B7"/>
    <w:rsid w:val="00D53E26"/>
    <w:rsid w:val="00D553D3"/>
    <w:rsid w:val="00D557EE"/>
    <w:rsid w:val="00D57074"/>
    <w:rsid w:val="00D60EE3"/>
    <w:rsid w:val="00D60EE7"/>
    <w:rsid w:val="00D62F75"/>
    <w:rsid w:val="00D630BE"/>
    <w:rsid w:val="00D6322D"/>
    <w:rsid w:val="00D65EBE"/>
    <w:rsid w:val="00D70E00"/>
    <w:rsid w:val="00D70E31"/>
    <w:rsid w:val="00D711B2"/>
    <w:rsid w:val="00D722C9"/>
    <w:rsid w:val="00D72DA3"/>
    <w:rsid w:val="00D755F8"/>
    <w:rsid w:val="00D76752"/>
    <w:rsid w:val="00D7686D"/>
    <w:rsid w:val="00D77688"/>
    <w:rsid w:val="00D802A1"/>
    <w:rsid w:val="00D8159D"/>
    <w:rsid w:val="00D829B1"/>
    <w:rsid w:val="00D8377A"/>
    <w:rsid w:val="00D84D15"/>
    <w:rsid w:val="00D85297"/>
    <w:rsid w:val="00D85B77"/>
    <w:rsid w:val="00D85E9A"/>
    <w:rsid w:val="00D87054"/>
    <w:rsid w:val="00D87308"/>
    <w:rsid w:val="00D9080F"/>
    <w:rsid w:val="00D94CCE"/>
    <w:rsid w:val="00D95055"/>
    <w:rsid w:val="00D95AA4"/>
    <w:rsid w:val="00D979E4"/>
    <w:rsid w:val="00DA0339"/>
    <w:rsid w:val="00DA077A"/>
    <w:rsid w:val="00DA61BD"/>
    <w:rsid w:val="00DA653F"/>
    <w:rsid w:val="00DA6EF0"/>
    <w:rsid w:val="00DA78EC"/>
    <w:rsid w:val="00DB020A"/>
    <w:rsid w:val="00DB0714"/>
    <w:rsid w:val="00DB0E8A"/>
    <w:rsid w:val="00DB0EF5"/>
    <w:rsid w:val="00DB182C"/>
    <w:rsid w:val="00DB2582"/>
    <w:rsid w:val="00DB2E34"/>
    <w:rsid w:val="00DB390F"/>
    <w:rsid w:val="00DB5402"/>
    <w:rsid w:val="00DB62A2"/>
    <w:rsid w:val="00DC02C0"/>
    <w:rsid w:val="00DC0F46"/>
    <w:rsid w:val="00DC1AB9"/>
    <w:rsid w:val="00DC22D8"/>
    <w:rsid w:val="00DC2DB9"/>
    <w:rsid w:val="00DC30E6"/>
    <w:rsid w:val="00DC32A9"/>
    <w:rsid w:val="00DC3445"/>
    <w:rsid w:val="00DC3BD1"/>
    <w:rsid w:val="00DC4047"/>
    <w:rsid w:val="00DC4BB6"/>
    <w:rsid w:val="00DC61DA"/>
    <w:rsid w:val="00DC756E"/>
    <w:rsid w:val="00DC75EF"/>
    <w:rsid w:val="00DC7B09"/>
    <w:rsid w:val="00DD096C"/>
    <w:rsid w:val="00DD236B"/>
    <w:rsid w:val="00DD2769"/>
    <w:rsid w:val="00DD3302"/>
    <w:rsid w:val="00DD3943"/>
    <w:rsid w:val="00DD4F0E"/>
    <w:rsid w:val="00DD54ED"/>
    <w:rsid w:val="00DD5F22"/>
    <w:rsid w:val="00DD763B"/>
    <w:rsid w:val="00DE0C49"/>
    <w:rsid w:val="00DE1D45"/>
    <w:rsid w:val="00DE26A0"/>
    <w:rsid w:val="00DE2E3D"/>
    <w:rsid w:val="00DE4ACD"/>
    <w:rsid w:val="00DE67BD"/>
    <w:rsid w:val="00DE6F65"/>
    <w:rsid w:val="00DE74ED"/>
    <w:rsid w:val="00DE7847"/>
    <w:rsid w:val="00DE7B7E"/>
    <w:rsid w:val="00DF07D1"/>
    <w:rsid w:val="00DF0BF0"/>
    <w:rsid w:val="00DF1CB4"/>
    <w:rsid w:val="00DF376D"/>
    <w:rsid w:val="00DF3CA2"/>
    <w:rsid w:val="00DF3EF4"/>
    <w:rsid w:val="00DF4100"/>
    <w:rsid w:val="00DF5747"/>
    <w:rsid w:val="00DF6A7B"/>
    <w:rsid w:val="00DF71DC"/>
    <w:rsid w:val="00DF753B"/>
    <w:rsid w:val="00DF7651"/>
    <w:rsid w:val="00DF78A4"/>
    <w:rsid w:val="00DF7E9D"/>
    <w:rsid w:val="00E002F6"/>
    <w:rsid w:val="00E01375"/>
    <w:rsid w:val="00E01463"/>
    <w:rsid w:val="00E01A6B"/>
    <w:rsid w:val="00E01CC7"/>
    <w:rsid w:val="00E02991"/>
    <w:rsid w:val="00E03B99"/>
    <w:rsid w:val="00E0489E"/>
    <w:rsid w:val="00E04F2F"/>
    <w:rsid w:val="00E052C8"/>
    <w:rsid w:val="00E05E0A"/>
    <w:rsid w:val="00E060BE"/>
    <w:rsid w:val="00E062E2"/>
    <w:rsid w:val="00E10452"/>
    <w:rsid w:val="00E10E29"/>
    <w:rsid w:val="00E129C9"/>
    <w:rsid w:val="00E13A76"/>
    <w:rsid w:val="00E16AAC"/>
    <w:rsid w:val="00E216B8"/>
    <w:rsid w:val="00E21A76"/>
    <w:rsid w:val="00E2266F"/>
    <w:rsid w:val="00E23E43"/>
    <w:rsid w:val="00E24857"/>
    <w:rsid w:val="00E25479"/>
    <w:rsid w:val="00E25DC1"/>
    <w:rsid w:val="00E26F95"/>
    <w:rsid w:val="00E27337"/>
    <w:rsid w:val="00E27608"/>
    <w:rsid w:val="00E30423"/>
    <w:rsid w:val="00E3092E"/>
    <w:rsid w:val="00E3144A"/>
    <w:rsid w:val="00E32863"/>
    <w:rsid w:val="00E3419F"/>
    <w:rsid w:val="00E348B6"/>
    <w:rsid w:val="00E36456"/>
    <w:rsid w:val="00E3651B"/>
    <w:rsid w:val="00E40697"/>
    <w:rsid w:val="00E40B05"/>
    <w:rsid w:val="00E4302C"/>
    <w:rsid w:val="00E4334D"/>
    <w:rsid w:val="00E433C6"/>
    <w:rsid w:val="00E442C8"/>
    <w:rsid w:val="00E44594"/>
    <w:rsid w:val="00E44D6B"/>
    <w:rsid w:val="00E45320"/>
    <w:rsid w:val="00E474A8"/>
    <w:rsid w:val="00E47A98"/>
    <w:rsid w:val="00E512DA"/>
    <w:rsid w:val="00E521C9"/>
    <w:rsid w:val="00E534CF"/>
    <w:rsid w:val="00E538D3"/>
    <w:rsid w:val="00E54130"/>
    <w:rsid w:val="00E553F7"/>
    <w:rsid w:val="00E556E8"/>
    <w:rsid w:val="00E56D4F"/>
    <w:rsid w:val="00E5777D"/>
    <w:rsid w:val="00E57794"/>
    <w:rsid w:val="00E609EA"/>
    <w:rsid w:val="00E61918"/>
    <w:rsid w:val="00E64159"/>
    <w:rsid w:val="00E65533"/>
    <w:rsid w:val="00E66A24"/>
    <w:rsid w:val="00E66EF8"/>
    <w:rsid w:val="00E6757C"/>
    <w:rsid w:val="00E70525"/>
    <w:rsid w:val="00E705F0"/>
    <w:rsid w:val="00E71517"/>
    <w:rsid w:val="00E71D32"/>
    <w:rsid w:val="00E72226"/>
    <w:rsid w:val="00E726AD"/>
    <w:rsid w:val="00E73CF4"/>
    <w:rsid w:val="00E759AB"/>
    <w:rsid w:val="00E764CC"/>
    <w:rsid w:val="00E76552"/>
    <w:rsid w:val="00E77C52"/>
    <w:rsid w:val="00E80AA0"/>
    <w:rsid w:val="00E81AA5"/>
    <w:rsid w:val="00E81CB4"/>
    <w:rsid w:val="00E82735"/>
    <w:rsid w:val="00E82A33"/>
    <w:rsid w:val="00E8393E"/>
    <w:rsid w:val="00E83DD8"/>
    <w:rsid w:val="00E83F58"/>
    <w:rsid w:val="00E844FD"/>
    <w:rsid w:val="00E848F3"/>
    <w:rsid w:val="00E8585B"/>
    <w:rsid w:val="00E862E0"/>
    <w:rsid w:val="00E86C55"/>
    <w:rsid w:val="00E87CCE"/>
    <w:rsid w:val="00E87F41"/>
    <w:rsid w:val="00E90E21"/>
    <w:rsid w:val="00E920A5"/>
    <w:rsid w:val="00E92880"/>
    <w:rsid w:val="00E9330F"/>
    <w:rsid w:val="00E97083"/>
    <w:rsid w:val="00E973B0"/>
    <w:rsid w:val="00E9776F"/>
    <w:rsid w:val="00EA20BE"/>
    <w:rsid w:val="00EA32D9"/>
    <w:rsid w:val="00EA396E"/>
    <w:rsid w:val="00EA3F15"/>
    <w:rsid w:val="00EA69C9"/>
    <w:rsid w:val="00EA7847"/>
    <w:rsid w:val="00EA7BB7"/>
    <w:rsid w:val="00EB16F4"/>
    <w:rsid w:val="00EB29E1"/>
    <w:rsid w:val="00EB2AD3"/>
    <w:rsid w:val="00EB2F92"/>
    <w:rsid w:val="00EB31C1"/>
    <w:rsid w:val="00EB352A"/>
    <w:rsid w:val="00EB3D1E"/>
    <w:rsid w:val="00EB3FCB"/>
    <w:rsid w:val="00EB432F"/>
    <w:rsid w:val="00EB4576"/>
    <w:rsid w:val="00EB4C2F"/>
    <w:rsid w:val="00EB500D"/>
    <w:rsid w:val="00EB5054"/>
    <w:rsid w:val="00EB701B"/>
    <w:rsid w:val="00EC0085"/>
    <w:rsid w:val="00EC24EC"/>
    <w:rsid w:val="00EC40A1"/>
    <w:rsid w:val="00EC5748"/>
    <w:rsid w:val="00EC5A4B"/>
    <w:rsid w:val="00EC688C"/>
    <w:rsid w:val="00ED0150"/>
    <w:rsid w:val="00ED0D19"/>
    <w:rsid w:val="00ED130C"/>
    <w:rsid w:val="00ED2AFF"/>
    <w:rsid w:val="00ED5D82"/>
    <w:rsid w:val="00ED5FF2"/>
    <w:rsid w:val="00ED7DB3"/>
    <w:rsid w:val="00EE14D6"/>
    <w:rsid w:val="00EE1951"/>
    <w:rsid w:val="00EE1A46"/>
    <w:rsid w:val="00EE259D"/>
    <w:rsid w:val="00EE2C67"/>
    <w:rsid w:val="00EE2E6E"/>
    <w:rsid w:val="00EE36B2"/>
    <w:rsid w:val="00EE3FCD"/>
    <w:rsid w:val="00EE4FE4"/>
    <w:rsid w:val="00EE5D30"/>
    <w:rsid w:val="00EE5E86"/>
    <w:rsid w:val="00EE5F87"/>
    <w:rsid w:val="00EE5FCC"/>
    <w:rsid w:val="00EE62C0"/>
    <w:rsid w:val="00EE64AA"/>
    <w:rsid w:val="00EE6EDD"/>
    <w:rsid w:val="00EE76C0"/>
    <w:rsid w:val="00EF3279"/>
    <w:rsid w:val="00EF390A"/>
    <w:rsid w:val="00EF442D"/>
    <w:rsid w:val="00EF7546"/>
    <w:rsid w:val="00EF7848"/>
    <w:rsid w:val="00F0030B"/>
    <w:rsid w:val="00F0035C"/>
    <w:rsid w:val="00F00B67"/>
    <w:rsid w:val="00F00C90"/>
    <w:rsid w:val="00F0138E"/>
    <w:rsid w:val="00F01EB4"/>
    <w:rsid w:val="00F02C0E"/>
    <w:rsid w:val="00F044B6"/>
    <w:rsid w:val="00F04810"/>
    <w:rsid w:val="00F049C4"/>
    <w:rsid w:val="00F04C88"/>
    <w:rsid w:val="00F04C90"/>
    <w:rsid w:val="00F04F0D"/>
    <w:rsid w:val="00F06CF1"/>
    <w:rsid w:val="00F0759E"/>
    <w:rsid w:val="00F11188"/>
    <w:rsid w:val="00F11688"/>
    <w:rsid w:val="00F13E43"/>
    <w:rsid w:val="00F16A43"/>
    <w:rsid w:val="00F16E29"/>
    <w:rsid w:val="00F178D8"/>
    <w:rsid w:val="00F17914"/>
    <w:rsid w:val="00F17B18"/>
    <w:rsid w:val="00F224BD"/>
    <w:rsid w:val="00F231C2"/>
    <w:rsid w:val="00F2375C"/>
    <w:rsid w:val="00F246AE"/>
    <w:rsid w:val="00F2506A"/>
    <w:rsid w:val="00F26E7B"/>
    <w:rsid w:val="00F270E9"/>
    <w:rsid w:val="00F2718C"/>
    <w:rsid w:val="00F27561"/>
    <w:rsid w:val="00F304FE"/>
    <w:rsid w:val="00F30572"/>
    <w:rsid w:val="00F30906"/>
    <w:rsid w:val="00F3147E"/>
    <w:rsid w:val="00F3199B"/>
    <w:rsid w:val="00F35F07"/>
    <w:rsid w:val="00F35F1B"/>
    <w:rsid w:val="00F37A1B"/>
    <w:rsid w:val="00F40882"/>
    <w:rsid w:val="00F44682"/>
    <w:rsid w:val="00F46780"/>
    <w:rsid w:val="00F50305"/>
    <w:rsid w:val="00F50702"/>
    <w:rsid w:val="00F50AC4"/>
    <w:rsid w:val="00F51218"/>
    <w:rsid w:val="00F51A86"/>
    <w:rsid w:val="00F51C53"/>
    <w:rsid w:val="00F51DED"/>
    <w:rsid w:val="00F52701"/>
    <w:rsid w:val="00F532BA"/>
    <w:rsid w:val="00F54493"/>
    <w:rsid w:val="00F5566F"/>
    <w:rsid w:val="00F559EF"/>
    <w:rsid w:val="00F55A19"/>
    <w:rsid w:val="00F56125"/>
    <w:rsid w:val="00F56FBF"/>
    <w:rsid w:val="00F57709"/>
    <w:rsid w:val="00F57CCB"/>
    <w:rsid w:val="00F6105A"/>
    <w:rsid w:val="00F6205E"/>
    <w:rsid w:val="00F62A1B"/>
    <w:rsid w:val="00F63661"/>
    <w:rsid w:val="00F63C2B"/>
    <w:rsid w:val="00F64373"/>
    <w:rsid w:val="00F65511"/>
    <w:rsid w:val="00F678DC"/>
    <w:rsid w:val="00F70043"/>
    <w:rsid w:val="00F707F6"/>
    <w:rsid w:val="00F72B25"/>
    <w:rsid w:val="00F72B61"/>
    <w:rsid w:val="00F73E95"/>
    <w:rsid w:val="00F74C38"/>
    <w:rsid w:val="00F7693A"/>
    <w:rsid w:val="00F76BB6"/>
    <w:rsid w:val="00F76C1D"/>
    <w:rsid w:val="00F7760D"/>
    <w:rsid w:val="00F77B04"/>
    <w:rsid w:val="00F77D2D"/>
    <w:rsid w:val="00F800C1"/>
    <w:rsid w:val="00F80317"/>
    <w:rsid w:val="00F8199C"/>
    <w:rsid w:val="00F821A3"/>
    <w:rsid w:val="00F84174"/>
    <w:rsid w:val="00F84552"/>
    <w:rsid w:val="00F86028"/>
    <w:rsid w:val="00F86162"/>
    <w:rsid w:val="00F8748F"/>
    <w:rsid w:val="00F878E2"/>
    <w:rsid w:val="00F91043"/>
    <w:rsid w:val="00F91C11"/>
    <w:rsid w:val="00F9246F"/>
    <w:rsid w:val="00F9309A"/>
    <w:rsid w:val="00F9314A"/>
    <w:rsid w:val="00F940B2"/>
    <w:rsid w:val="00F94E61"/>
    <w:rsid w:val="00F95AF6"/>
    <w:rsid w:val="00F95D08"/>
    <w:rsid w:val="00F95FB9"/>
    <w:rsid w:val="00F97186"/>
    <w:rsid w:val="00F9742E"/>
    <w:rsid w:val="00F975A8"/>
    <w:rsid w:val="00FA1462"/>
    <w:rsid w:val="00FA148D"/>
    <w:rsid w:val="00FA5BD7"/>
    <w:rsid w:val="00FA75EC"/>
    <w:rsid w:val="00FA79FB"/>
    <w:rsid w:val="00FB19E8"/>
    <w:rsid w:val="00FB1DA9"/>
    <w:rsid w:val="00FB24A5"/>
    <w:rsid w:val="00FB2A38"/>
    <w:rsid w:val="00FB34B6"/>
    <w:rsid w:val="00FB397E"/>
    <w:rsid w:val="00FB41DE"/>
    <w:rsid w:val="00FB4D42"/>
    <w:rsid w:val="00FB5CA9"/>
    <w:rsid w:val="00FB5EC8"/>
    <w:rsid w:val="00FB61D1"/>
    <w:rsid w:val="00FB6765"/>
    <w:rsid w:val="00FB6C27"/>
    <w:rsid w:val="00FB7A02"/>
    <w:rsid w:val="00FC0C37"/>
    <w:rsid w:val="00FC21CE"/>
    <w:rsid w:val="00FC4B39"/>
    <w:rsid w:val="00FC4BFD"/>
    <w:rsid w:val="00FC524D"/>
    <w:rsid w:val="00FC5798"/>
    <w:rsid w:val="00FC58EF"/>
    <w:rsid w:val="00FC5ADC"/>
    <w:rsid w:val="00FC64D4"/>
    <w:rsid w:val="00FC783B"/>
    <w:rsid w:val="00FC7D0C"/>
    <w:rsid w:val="00FD1049"/>
    <w:rsid w:val="00FD15F5"/>
    <w:rsid w:val="00FD1785"/>
    <w:rsid w:val="00FD1A92"/>
    <w:rsid w:val="00FD259A"/>
    <w:rsid w:val="00FD30B2"/>
    <w:rsid w:val="00FD30C0"/>
    <w:rsid w:val="00FD33DF"/>
    <w:rsid w:val="00FD3CBE"/>
    <w:rsid w:val="00FD6A8D"/>
    <w:rsid w:val="00FE0158"/>
    <w:rsid w:val="00FE304A"/>
    <w:rsid w:val="00FE38A0"/>
    <w:rsid w:val="00FE39D7"/>
    <w:rsid w:val="00FE460F"/>
    <w:rsid w:val="00FE4ECD"/>
    <w:rsid w:val="00FE6205"/>
    <w:rsid w:val="00FE771C"/>
    <w:rsid w:val="00FE7BCD"/>
    <w:rsid w:val="00FE7EAA"/>
    <w:rsid w:val="00FF02BE"/>
    <w:rsid w:val="00FF0A41"/>
    <w:rsid w:val="00FF1AA4"/>
    <w:rsid w:val="00FF2D46"/>
    <w:rsid w:val="00FF3178"/>
    <w:rsid w:val="00FF4689"/>
    <w:rsid w:val="00FF75C5"/>
    <w:rsid w:val="00FF7A97"/>
    <w:rsid w:val="00FF7C13"/>
    <w:rsid w:val="3322F84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2C065278"/>
  <w15:chartTrackingRefBased/>
  <w15:docId w15:val="{B7E7C510-79F6-48B5-89E0-AE1C5F1DD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9"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138E"/>
    <w:pPr>
      <w:spacing w:before="120" w:after="120"/>
      <w:jc w:val="both"/>
    </w:pPr>
    <w:rPr>
      <w:rFonts w:ascii="Bookman Old Style" w:hAnsi="Bookman Old Style"/>
      <w:sz w:val="24"/>
      <w:szCs w:val="24"/>
      <w:lang w:val="es-ES" w:eastAsia="es-ES"/>
    </w:rPr>
  </w:style>
  <w:style w:type="paragraph" w:styleId="Ttulo1">
    <w:name w:val="heading 1"/>
    <w:basedOn w:val="Normal"/>
    <w:next w:val="Normal"/>
    <w:link w:val="Ttulo1Car"/>
    <w:qFormat/>
    <w:rsid w:val="00F74C38"/>
    <w:pPr>
      <w:keepNext/>
      <w:numPr>
        <w:numId w:val="2"/>
      </w:numPr>
      <w:jc w:val="center"/>
      <w:outlineLvl w:val="0"/>
    </w:pPr>
    <w:rPr>
      <w:b/>
      <w:szCs w:val="20"/>
      <w:lang w:val="es-CO"/>
    </w:rPr>
  </w:style>
  <w:style w:type="paragraph" w:styleId="Ttulo2">
    <w:name w:val="heading 2"/>
    <w:basedOn w:val="Normal"/>
    <w:next w:val="Normal"/>
    <w:link w:val="Ttulo2Car"/>
    <w:unhideWhenUsed/>
    <w:qFormat/>
    <w:rsid w:val="00595129"/>
    <w:pPr>
      <w:keepNext/>
      <w:numPr>
        <w:ilvl w:val="1"/>
        <w:numId w:val="2"/>
      </w:numPr>
      <w:spacing w:before="240" w:after="60"/>
      <w:outlineLvl w:val="1"/>
    </w:pPr>
    <w:rPr>
      <w:rFonts w:ascii="Calibri Light" w:hAnsi="Calibri Light"/>
      <w:b/>
      <w:bCs/>
      <w:i/>
      <w:iCs/>
      <w:sz w:val="28"/>
      <w:szCs w:val="28"/>
    </w:rPr>
  </w:style>
  <w:style w:type="paragraph" w:styleId="Ttulo3">
    <w:name w:val="heading 3"/>
    <w:basedOn w:val="Normal"/>
    <w:next w:val="Normal"/>
    <w:link w:val="Ttulo3Car"/>
    <w:uiPriority w:val="9"/>
    <w:qFormat/>
    <w:rsid w:val="003101DA"/>
    <w:pPr>
      <w:keepNext/>
      <w:numPr>
        <w:ilvl w:val="2"/>
        <w:numId w:val="2"/>
      </w:numPr>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numPr>
        <w:ilvl w:val="3"/>
        <w:numId w:val="2"/>
      </w:numPr>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numPr>
        <w:ilvl w:val="4"/>
        <w:numId w:val="2"/>
      </w:numPr>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iPriority w:val="9"/>
    <w:unhideWhenUsed/>
    <w:qFormat/>
    <w:rsid w:val="00795BFB"/>
    <w:pPr>
      <w:numPr>
        <w:ilvl w:val="5"/>
        <w:numId w:val="2"/>
      </w:num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6B4647"/>
    <w:pPr>
      <w:numPr>
        <w:ilvl w:val="6"/>
        <w:numId w:val="2"/>
      </w:numPr>
      <w:spacing w:before="240" w:after="60"/>
      <w:outlineLvl w:val="6"/>
    </w:pPr>
    <w:rPr>
      <w:rFonts w:ascii="Calibri" w:hAnsi="Calibri"/>
    </w:rPr>
  </w:style>
  <w:style w:type="paragraph" w:styleId="Ttulo8">
    <w:name w:val="heading 8"/>
    <w:basedOn w:val="Normal"/>
    <w:next w:val="Normal"/>
    <w:link w:val="Ttulo8Car"/>
    <w:uiPriority w:val="9"/>
    <w:unhideWhenUsed/>
    <w:qFormat/>
    <w:rsid w:val="00595129"/>
    <w:pPr>
      <w:numPr>
        <w:ilvl w:val="7"/>
        <w:numId w:val="2"/>
      </w:numPr>
      <w:spacing w:before="240" w:after="60"/>
      <w:outlineLvl w:val="7"/>
    </w:pPr>
    <w:rPr>
      <w:rFonts w:ascii="Calibri" w:hAnsi="Calibri"/>
      <w:i/>
      <w:iCs/>
    </w:rPr>
  </w:style>
  <w:style w:type="paragraph" w:styleId="Ttulo9">
    <w:name w:val="heading 9"/>
    <w:basedOn w:val="Normal"/>
    <w:next w:val="Normal"/>
    <w:link w:val="Ttulo9Car"/>
    <w:uiPriority w:val="9"/>
    <w:unhideWhenUsed/>
    <w:qFormat/>
    <w:rsid w:val="00595129"/>
    <w:pPr>
      <w:numPr>
        <w:ilvl w:val="8"/>
        <w:numId w:val="2"/>
      </w:numPr>
      <w:spacing w:before="240" w:after="60"/>
      <w:outlineLvl w:val="8"/>
    </w:pPr>
    <w:rPr>
      <w:rFonts w:ascii="Calibri Light" w:hAnsi="Calibri Light"/>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uiPriority w:val="99"/>
    <w:rsid w:val="003101DA"/>
    <w:pPr>
      <w:jc w:val="center"/>
      <w:outlineLvl w:val="0"/>
    </w:pPr>
    <w:rPr>
      <w:rFonts w:ascii="Arial" w:hAnsi="Arial" w:cs="Arial"/>
      <w:b/>
      <w:bCs/>
      <w:spacing w:val="-3"/>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link w:val="Textodeglobo"/>
    <w:uiPriority w:val="99"/>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uiPriority w:val="9"/>
    <w:rsid w:val="00141013"/>
    <w:rPr>
      <w:rFonts w:ascii="CG Times" w:hAnsi="CG Times"/>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uiPriority w:val="99"/>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uiPriority w:val="9"/>
    <w:rsid w:val="00795BFB"/>
    <w:rPr>
      <w:rFonts w:ascii="Calibri" w:hAnsi="Calibri"/>
      <w:b/>
      <w:bCs/>
      <w:sz w:val="22"/>
      <w:szCs w:val="22"/>
      <w:lang w:val="es-ES" w:eastAsia="es-ES"/>
    </w:rPr>
  </w:style>
  <w:style w:type="paragraph" w:customStyle="1" w:styleId="Ttulo10">
    <w:name w:val="Título1"/>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10"/>
    <w:rsid w:val="00795BFB"/>
    <w:rPr>
      <w:rFonts w:ascii="Arial" w:hAnsi="Arial" w:cs="Arial"/>
      <w:b/>
      <w:bCs/>
      <w:sz w:val="24"/>
      <w:szCs w:val="24"/>
    </w:rPr>
  </w:style>
  <w:style w:type="paragraph" w:styleId="Prrafodelista">
    <w:name w:val="List Paragraph"/>
    <w:basedOn w:val="Normal"/>
    <w:link w:val="PrrafodelistaCar"/>
    <w:qFormat/>
    <w:rsid w:val="00BF5A0E"/>
    <w:pPr>
      <w:numPr>
        <w:numId w:val="5"/>
      </w:numPr>
      <w:spacing w:before="240" w:after="240"/>
    </w:pPr>
    <w:rPr>
      <w:szCs w:val="20"/>
      <w:lang w:val="es-CO"/>
    </w:rPr>
  </w:style>
  <w:style w:type="character" w:customStyle="1" w:styleId="PrrafodelistaCar">
    <w:name w:val="Párrafo de lista Car"/>
    <w:link w:val="Prrafodelista"/>
    <w:rsid w:val="00BF5A0E"/>
    <w:rPr>
      <w:rFonts w:ascii="Bookman Old Style" w:hAnsi="Bookman Old Style"/>
      <w:sz w:val="24"/>
      <w:lang w:eastAsia="es-ES"/>
    </w:rPr>
  </w:style>
  <w:style w:type="paragraph" w:styleId="TDC1">
    <w:name w:val="toc 1"/>
    <w:basedOn w:val="Normal"/>
    <w:next w:val="Normal"/>
    <w:autoRedefine/>
    <w:uiPriority w:val="39"/>
    <w:qFormat/>
    <w:rsid w:val="00D03800"/>
    <w:pPr>
      <w:tabs>
        <w:tab w:val="left" w:pos="480"/>
        <w:tab w:val="right" w:leader="dot" w:pos="8828"/>
      </w:tabs>
    </w:pPr>
    <w:rPr>
      <w:rFonts w:ascii="Arial" w:hAnsi="Arial"/>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line="480" w:lineRule="auto"/>
    </w:pPr>
  </w:style>
  <w:style w:type="character" w:customStyle="1" w:styleId="Textoindependiente2Car">
    <w:name w:val="Texto independiente 2 Car"/>
    <w:link w:val="Textoindependiente2"/>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line="360" w:lineRule="atLeast"/>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uiPriority w:val="99"/>
    <w:qFormat/>
    <w:rsid w:val="00595129"/>
    <w:pPr>
      <w:numPr>
        <w:numId w:val="3"/>
      </w:numPr>
      <w:jc w:val="center"/>
    </w:pPr>
    <w:rPr>
      <w:b/>
      <w:bCs/>
    </w:rPr>
  </w:style>
  <w:style w:type="character" w:customStyle="1" w:styleId="SubttuloCar">
    <w:name w:val="Subtítulo Car"/>
    <w:link w:val="Subttulo"/>
    <w:uiPriority w:val="99"/>
    <w:rsid w:val="00595129"/>
    <w:rPr>
      <w:rFonts w:ascii="Bookman Old Style" w:hAnsi="Bookman Old Style"/>
      <w:b/>
      <w:bCs/>
      <w:sz w:val="24"/>
      <w:szCs w:val="24"/>
      <w:lang w:val="es-ES" w:eastAsia="es-ES"/>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line="240" w:lineRule="exact"/>
      <w:textAlignment w:val="baseline"/>
    </w:pPr>
    <w:rPr>
      <w:rFonts w:ascii="Arial" w:hAnsi="Arial"/>
      <w:sz w:val="22"/>
      <w:szCs w:val="20"/>
    </w:rPr>
  </w:style>
  <w:style w:type="character" w:customStyle="1" w:styleId="Ttulo7Car">
    <w:name w:val="Título 7 Car"/>
    <w:link w:val="Ttulo7"/>
    <w:uiPriority w:val="9"/>
    <w:rsid w:val="006B4647"/>
    <w:rPr>
      <w:rFonts w:ascii="Calibri" w:hAnsi="Calibri"/>
      <w:sz w:val="24"/>
      <w:szCs w:val="24"/>
      <w:lang w:val="es-ES" w:eastAsia="es-ES"/>
    </w:rPr>
  </w:style>
  <w:style w:type="paragraph" w:styleId="Sangradetextonormal">
    <w:name w:val="Body Text Indent"/>
    <w:basedOn w:val="Normal"/>
    <w:link w:val="SangradetextonormalCar"/>
    <w:unhideWhenUsed/>
    <w:rsid w:val="00E01463"/>
    <w:pPr>
      <w:ind w:left="283"/>
    </w:pPr>
  </w:style>
  <w:style w:type="character" w:customStyle="1" w:styleId="SangradetextonormalCar">
    <w:name w:val="Sangría de texto normal Car"/>
    <w:link w:val="Sangradetextonormal"/>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jc w:val="center"/>
    </w:pPr>
    <w:rPr>
      <w:rFonts w:ascii="Arial" w:hAnsi="Arial"/>
      <w:b/>
      <w:bCs/>
      <w:sz w:val="22"/>
      <w:lang w:eastAsia="ar-SA"/>
    </w:rPr>
  </w:style>
  <w:style w:type="paragraph" w:styleId="Sangra2detindependiente">
    <w:name w:val="Body Text Indent 2"/>
    <w:basedOn w:val="Normal"/>
    <w:link w:val="Sangra2detindependienteCar"/>
    <w:uiPriority w:val="99"/>
    <w:unhideWhenUsed/>
    <w:rsid w:val="00E060BE"/>
    <w:pPr>
      <w:spacing w:line="480" w:lineRule="auto"/>
      <w:ind w:left="283"/>
    </w:pPr>
  </w:style>
  <w:style w:type="character" w:customStyle="1" w:styleId="Sangra2detindependienteCar">
    <w:name w:val="Sangría 2 de t. independiente Car"/>
    <w:link w:val="Sangra2detindependiente"/>
    <w:uiPriority w:val="99"/>
    <w:rsid w:val="00E060BE"/>
    <w:rPr>
      <w:sz w:val="24"/>
      <w:szCs w:val="24"/>
      <w:lang w:val="es-ES" w:eastAsia="es-ES"/>
    </w:rPr>
  </w:style>
  <w:style w:type="paragraph" w:customStyle="1" w:styleId="Default">
    <w:name w:val="Default"/>
    <w:rsid w:val="004836D4"/>
    <w:pPr>
      <w:autoSpaceDE w:val="0"/>
      <w:autoSpaceDN w:val="0"/>
      <w:adjustRightInd w:val="0"/>
    </w:pPr>
    <w:rPr>
      <w:rFonts w:ascii="Arial" w:eastAsia="Calibri" w:hAnsi="Arial" w:cs="Arial"/>
      <w:color w:val="000000"/>
      <w:sz w:val="24"/>
      <w:szCs w:val="24"/>
      <w:lang w:eastAsia="en-US"/>
    </w:rPr>
  </w:style>
  <w:style w:type="character" w:styleId="Hipervnculo">
    <w:name w:val="Hyperlink"/>
    <w:uiPriority w:val="99"/>
    <w:unhideWhenUsed/>
    <w:rsid w:val="004836D4"/>
    <w:rPr>
      <w:color w:val="0000FF"/>
      <w:u w:val="single"/>
    </w:rPr>
  </w:style>
  <w:style w:type="character" w:customStyle="1" w:styleId="Ttulo2Car">
    <w:name w:val="Título 2 Car"/>
    <w:link w:val="Ttulo2"/>
    <w:rsid w:val="00595129"/>
    <w:rPr>
      <w:rFonts w:ascii="Calibri Light" w:hAnsi="Calibri Light"/>
      <w:b/>
      <w:bCs/>
      <w:i/>
      <w:iCs/>
      <w:sz w:val="28"/>
      <w:szCs w:val="28"/>
      <w:lang w:val="es-ES" w:eastAsia="es-ES"/>
    </w:rPr>
  </w:style>
  <w:style w:type="character" w:customStyle="1" w:styleId="Ttulo8Car">
    <w:name w:val="Título 8 Car"/>
    <w:link w:val="Ttulo8"/>
    <w:uiPriority w:val="9"/>
    <w:rsid w:val="00595129"/>
    <w:rPr>
      <w:rFonts w:ascii="Calibri" w:hAnsi="Calibri"/>
      <w:i/>
      <w:iCs/>
      <w:sz w:val="24"/>
      <w:szCs w:val="24"/>
      <w:lang w:val="es-ES" w:eastAsia="es-ES"/>
    </w:rPr>
  </w:style>
  <w:style w:type="character" w:customStyle="1" w:styleId="Ttulo9Car">
    <w:name w:val="Título 9 Car"/>
    <w:link w:val="Ttulo9"/>
    <w:uiPriority w:val="9"/>
    <w:rsid w:val="00595129"/>
    <w:rPr>
      <w:rFonts w:ascii="Calibri Light" w:hAnsi="Calibri Light"/>
      <w:sz w:val="22"/>
      <w:szCs w:val="22"/>
      <w:lang w:val="es-ES" w:eastAsia="es-ES"/>
    </w:rPr>
  </w:style>
  <w:style w:type="paragraph" w:customStyle="1" w:styleId="Artculo">
    <w:name w:val="Artículo"/>
    <w:basedOn w:val="Normal"/>
    <w:link w:val="ArtculoCar"/>
    <w:qFormat/>
    <w:rsid w:val="00FE4ECD"/>
    <w:pPr>
      <w:numPr>
        <w:numId w:val="4"/>
      </w:numPr>
      <w:spacing w:before="240" w:after="240"/>
      <w:ind w:left="425"/>
    </w:pPr>
    <w:rPr>
      <w:rFonts w:cs="Arial"/>
      <w:b/>
    </w:rPr>
  </w:style>
  <w:style w:type="paragraph" w:customStyle="1" w:styleId="Captulo">
    <w:name w:val="Capítulo"/>
    <w:basedOn w:val="Normal"/>
    <w:qFormat/>
    <w:rsid w:val="006622B2"/>
    <w:pPr>
      <w:jc w:val="center"/>
    </w:pPr>
    <w:rPr>
      <w:b/>
    </w:rPr>
  </w:style>
  <w:style w:type="character" w:styleId="Refdecomentario">
    <w:name w:val="annotation reference"/>
    <w:uiPriority w:val="99"/>
    <w:semiHidden/>
    <w:unhideWhenUsed/>
    <w:rsid w:val="00521271"/>
    <w:rPr>
      <w:sz w:val="16"/>
      <w:szCs w:val="16"/>
    </w:rPr>
  </w:style>
  <w:style w:type="paragraph" w:styleId="Textocomentario">
    <w:name w:val="annotation text"/>
    <w:basedOn w:val="Normal"/>
    <w:link w:val="TextocomentarioCar"/>
    <w:uiPriority w:val="99"/>
    <w:unhideWhenUsed/>
    <w:rsid w:val="00521271"/>
    <w:rPr>
      <w:sz w:val="20"/>
      <w:szCs w:val="20"/>
    </w:rPr>
  </w:style>
  <w:style w:type="character" w:customStyle="1" w:styleId="TextocomentarioCar">
    <w:name w:val="Texto comentario Car"/>
    <w:link w:val="Textocomentario"/>
    <w:uiPriority w:val="99"/>
    <w:rsid w:val="00521271"/>
    <w:rPr>
      <w:rFonts w:ascii="Bookman Old Style" w:hAnsi="Bookman Old Style"/>
      <w:lang w:val="es-ES" w:eastAsia="es-ES"/>
    </w:rPr>
  </w:style>
  <w:style w:type="paragraph" w:styleId="Asuntodelcomentario">
    <w:name w:val="annotation subject"/>
    <w:basedOn w:val="Textocomentario"/>
    <w:next w:val="Textocomentario"/>
    <w:link w:val="AsuntodelcomentarioCar"/>
    <w:semiHidden/>
    <w:unhideWhenUsed/>
    <w:rsid w:val="00242F2B"/>
    <w:rPr>
      <w:b/>
      <w:bCs/>
    </w:rPr>
  </w:style>
  <w:style w:type="character" w:customStyle="1" w:styleId="AsuntodelcomentarioCar">
    <w:name w:val="Asunto del comentario Car"/>
    <w:link w:val="Asuntodelcomentario"/>
    <w:semiHidden/>
    <w:rsid w:val="00242F2B"/>
    <w:rPr>
      <w:rFonts w:ascii="Bookman Old Style" w:hAnsi="Bookman Old Style"/>
      <w:b/>
      <w:bCs/>
      <w:lang w:val="es-ES" w:eastAsia="es-ES"/>
    </w:rPr>
  </w:style>
  <w:style w:type="paragraph" w:styleId="Revisin">
    <w:name w:val="Revision"/>
    <w:hidden/>
    <w:uiPriority w:val="99"/>
    <w:semiHidden/>
    <w:rsid w:val="0009104E"/>
    <w:rPr>
      <w:rFonts w:ascii="Bookman Old Style" w:hAnsi="Bookman Old Style"/>
      <w:sz w:val="24"/>
      <w:szCs w:val="24"/>
      <w:lang w:val="es-ES" w:eastAsia="es-ES"/>
    </w:rPr>
  </w:style>
  <w:style w:type="character" w:styleId="Textodelmarcadordeposicin">
    <w:name w:val="Placeholder Text"/>
    <w:basedOn w:val="Fuentedeprrafopredeter"/>
    <w:uiPriority w:val="99"/>
    <w:semiHidden/>
    <w:rsid w:val="002631B1"/>
    <w:rPr>
      <w:color w:val="808080"/>
    </w:rPr>
  </w:style>
  <w:style w:type="paragraph" w:customStyle="1" w:styleId="Estilo2">
    <w:name w:val="Estilo2"/>
    <w:basedOn w:val="Normal"/>
    <w:link w:val="Estilo2Car"/>
    <w:rsid w:val="005E4914"/>
    <w:pPr>
      <w:keepNext/>
      <w:widowControl w:val="0"/>
      <w:adjustRightInd w:val="0"/>
      <w:textAlignment w:val="baseline"/>
      <w:outlineLvl w:val="0"/>
    </w:pPr>
    <w:rPr>
      <w:b/>
      <w:bCs/>
      <w:lang w:val="es-CO" w:eastAsia="ar-SA"/>
    </w:rPr>
  </w:style>
  <w:style w:type="character" w:customStyle="1" w:styleId="Estilo2Car">
    <w:name w:val="Estilo2 Car"/>
    <w:link w:val="Estilo2"/>
    <w:rsid w:val="005E4914"/>
    <w:rPr>
      <w:rFonts w:ascii="Bookman Old Style" w:hAnsi="Bookman Old Style"/>
      <w:b/>
      <w:bCs/>
      <w:sz w:val="24"/>
      <w:szCs w:val="24"/>
      <w:lang w:eastAsia="ar-SA"/>
    </w:rPr>
  </w:style>
  <w:style w:type="character" w:customStyle="1" w:styleId="ArtculoCar">
    <w:name w:val="Artículo Car"/>
    <w:link w:val="Artculo"/>
    <w:rsid w:val="00FE4ECD"/>
    <w:rPr>
      <w:rFonts w:ascii="Bookman Old Style" w:hAnsi="Bookman Old Style" w:cs="Arial"/>
      <w:b/>
      <w:sz w:val="24"/>
      <w:szCs w:val="24"/>
      <w:lang w:val="es-ES" w:eastAsia="es-ES"/>
    </w:rPr>
  </w:style>
  <w:style w:type="paragraph" w:styleId="Descripcin">
    <w:name w:val="caption"/>
    <w:basedOn w:val="Normal"/>
    <w:next w:val="Normal"/>
    <w:link w:val="DescripcinCar"/>
    <w:uiPriority w:val="35"/>
    <w:qFormat/>
    <w:rsid w:val="00526A6A"/>
    <w:pPr>
      <w:keepNext/>
      <w:widowControl w:val="0"/>
      <w:adjustRightInd w:val="0"/>
      <w:spacing w:before="60" w:after="180" w:line="360" w:lineRule="atLeast"/>
      <w:jc w:val="center"/>
      <w:textAlignment w:val="baseline"/>
    </w:pPr>
    <w:rPr>
      <w:sz w:val="22"/>
      <w:szCs w:val="20"/>
    </w:rPr>
  </w:style>
  <w:style w:type="character" w:customStyle="1" w:styleId="DescripcinCar">
    <w:name w:val="Descripción Car"/>
    <w:link w:val="Descripcin"/>
    <w:uiPriority w:val="35"/>
    <w:rsid w:val="00526A6A"/>
    <w:rPr>
      <w:rFonts w:ascii="Bookman Old Style" w:hAnsi="Bookman Old Style"/>
      <w:sz w:val="22"/>
      <w:lang w:val="es-ES" w:eastAsia="es-ES"/>
    </w:rPr>
  </w:style>
  <w:style w:type="paragraph" w:styleId="Continuarlista">
    <w:name w:val="List Continue"/>
    <w:basedOn w:val="Normal"/>
    <w:rsid w:val="00DC22D8"/>
    <w:pPr>
      <w:widowControl w:val="0"/>
      <w:adjustRightInd w:val="0"/>
      <w:spacing w:before="240"/>
      <w:ind w:left="283"/>
      <w:contextualSpacing/>
      <w:textAlignment w:val="baseline"/>
    </w:pPr>
  </w:style>
  <w:style w:type="paragraph" w:customStyle="1" w:styleId="articulo">
    <w:name w:val="articulo"/>
    <w:basedOn w:val="Normal"/>
    <w:next w:val="Normal"/>
    <w:autoRedefine/>
    <w:rsid w:val="00C12F3B"/>
    <w:pPr>
      <w:suppressAutoHyphens/>
      <w:spacing w:before="240" w:after="0"/>
    </w:pPr>
    <w:rPr>
      <w:rFonts w:cs="Arial"/>
    </w:rPr>
  </w:style>
  <w:style w:type="character" w:customStyle="1" w:styleId="Ttulo1Car">
    <w:name w:val="Título 1 Car"/>
    <w:link w:val="Ttulo1"/>
    <w:rsid w:val="008B6CFD"/>
    <w:rPr>
      <w:rFonts w:ascii="Bookman Old Style" w:hAnsi="Bookman Old Style"/>
      <w:b/>
      <w:sz w:val="24"/>
      <w:lang w:eastAsia="es-ES"/>
    </w:rPr>
  </w:style>
  <w:style w:type="character" w:customStyle="1" w:styleId="PiedepginaCar">
    <w:name w:val="Pie de página Car"/>
    <w:link w:val="Piedepgina"/>
    <w:rsid w:val="008B6CFD"/>
    <w:rPr>
      <w:rFonts w:ascii="Bookman Old Style" w:hAnsi="Bookman Old Style"/>
      <w:sz w:val="24"/>
      <w:szCs w:val="24"/>
      <w:lang w:val="es-ES" w:eastAsia="es-ES"/>
    </w:rPr>
  </w:style>
  <w:style w:type="paragraph" w:styleId="Ttulo">
    <w:name w:val="Title"/>
    <w:basedOn w:val="Normal"/>
    <w:link w:val="TtuloCar1"/>
    <w:qFormat/>
    <w:rsid w:val="008B6CFD"/>
    <w:pPr>
      <w:widowControl w:val="0"/>
      <w:numPr>
        <w:numId w:val="7"/>
      </w:numPr>
      <w:adjustRightInd w:val="0"/>
      <w:spacing w:before="240" w:after="240" w:line="360" w:lineRule="atLeast"/>
      <w:ind w:left="357" w:hanging="357"/>
      <w:textAlignment w:val="baseline"/>
    </w:pPr>
    <w:rPr>
      <w:rFonts w:cs="Arial"/>
      <w:b/>
      <w:bCs/>
      <w:caps/>
    </w:rPr>
  </w:style>
  <w:style w:type="character" w:customStyle="1" w:styleId="TtuloCar1">
    <w:name w:val="Título Car1"/>
    <w:basedOn w:val="Fuentedeprrafopredeter"/>
    <w:link w:val="Ttulo"/>
    <w:rsid w:val="008B6CFD"/>
    <w:rPr>
      <w:rFonts w:ascii="Bookman Old Style" w:hAnsi="Bookman Old Style" w:cs="Arial"/>
      <w:b/>
      <w:bCs/>
      <w:caps/>
      <w:sz w:val="24"/>
      <w:szCs w:val="24"/>
      <w:lang w:val="es-ES" w:eastAsia="es-ES"/>
    </w:rPr>
  </w:style>
  <w:style w:type="character" w:styleId="Hipervnculovisitado">
    <w:name w:val="FollowedHyperlink"/>
    <w:uiPriority w:val="99"/>
    <w:rsid w:val="008B6CFD"/>
    <w:rPr>
      <w:color w:val="800080"/>
      <w:u w:val="single"/>
    </w:rPr>
  </w:style>
  <w:style w:type="character" w:customStyle="1" w:styleId="TextonotapieCar">
    <w:name w:val="Texto nota pie Car"/>
    <w:basedOn w:val="Fuentedeprrafopredeter"/>
    <w:link w:val="Textonotapie"/>
    <w:semiHidden/>
    <w:rsid w:val="008B6CFD"/>
    <w:rPr>
      <w:rFonts w:ascii="Arial" w:hAnsi="Arial"/>
      <w:sz w:val="22"/>
      <w:lang w:eastAsia="es-ES"/>
    </w:rPr>
  </w:style>
  <w:style w:type="paragraph" w:styleId="Textonotapie">
    <w:name w:val="footnote text"/>
    <w:basedOn w:val="Normal"/>
    <w:link w:val="TextonotapieCar"/>
    <w:semiHidden/>
    <w:rsid w:val="008B6CFD"/>
    <w:pPr>
      <w:spacing w:before="160" w:after="160"/>
    </w:pPr>
    <w:rPr>
      <w:rFonts w:ascii="Arial" w:hAnsi="Arial"/>
      <w:sz w:val="22"/>
      <w:szCs w:val="20"/>
      <w:lang w:val="es-CO"/>
    </w:rPr>
  </w:style>
  <w:style w:type="character" w:customStyle="1" w:styleId="TextonotapieCar1">
    <w:name w:val="Texto nota pie Car1"/>
    <w:basedOn w:val="Fuentedeprrafopredeter"/>
    <w:uiPriority w:val="99"/>
    <w:semiHidden/>
    <w:rsid w:val="008B6CFD"/>
    <w:rPr>
      <w:rFonts w:ascii="Bookman Old Style" w:hAnsi="Bookman Old Style"/>
      <w:lang w:val="es-ES" w:eastAsia="es-ES"/>
    </w:rPr>
  </w:style>
  <w:style w:type="paragraph" w:styleId="Listaconvietas">
    <w:name w:val="List Bullet"/>
    <w:basedOn w:val="Normal"/>
    <w:autoRedefine/>
    <w:rsid w:val="008B6CFD"/>
    <w:pPr>
      <w:tabs>
        <w:tab w:val="num" w:pos="360"/>
      </w:tabs>
      <w:spacing w:before="160" w:after="160"/>
      <w:ind w:left="360" w:hanging="360"/>
    </w:pPr>
    <w:rPr>
      <w:rFonts w:ascii="CG Times" w:hAnsi="CG Times"/>
      <w:sz w:val="22"/>
      <w:szCs w:val="20"/>
      <w:lang w:val="es-CO"/>
    </w:rPr>
  </w:style>
  <w:style w:type="paragraph" w:styleId="TDC2">
    <w:name w:val="toc 2"/>
    <w:basedOn w:val="Normal"/>
    <w:next w:val="Normal"/>
    <w:uiPriority w:val="39"/>
    <w:qFormat/>
    <w:rsid w:val="008B6CFD"/>
    <w:pPr>
      <w:tabs>
        <w:tab w:val="left" w:pos="1843"/>
        <w:tab w:val="right" w:leader="dot" w:pos="9214"/>
      </w:tabs>
      <w:ind w:left="170"/>
      <w:jc w:val="left"/>
    </w:pPr>
    <w:rPr>
      <w:bCs/>
      <w:caps/>
      <w:noProof/>
      <w:sz w:val="22"/>
      <w:szCs w:val="20"/>
      <w:lang w:val="es-CO"/>
    </w:rPr>
  </w:style>
  <w:style w:type="paragraph" w:styleId="TDC3">
    <w:name w:val="toc 3"/>
    <w:basedOn w:val="Normal"/>
    <w:next w:val="Normal"/>
    <w:uiPriority w:val="39"/>
    <w:qFormat/>
    <w:rsid w:val="008B6CFD"/>
    <w:pPr>
      <w:tabs>
        <w:tab w:val="left" w:pos="1843"/>
        <w:tab w:val="right" w:leader="dot" w:pos="9214"/>
      </w:tabs>
      <w:ind w:left="1843" w:right="425" w:hanging="1503"/>
      <w:jc w:val="left"/>
    </w:pPr>
    <w:rPr>
      <w:noProof/>
      <w:sz w:val="22"/>
      <w:szCs w:val="20"/>
      <w:lang w:val="es-CO"/>
    </w:rPr>
  </w:style>
  <w:style w:type="paragraph" w:styleId="TDC4">
    <w:name w:val="toc 4"/>
    <w:basedOn w:val="Normal"/>
    <w:next w:val="Normal"/>
    <w:autoRedefine/>
    <w:uiPriority w:val="39"/>
    <w:rsid w:val="008B6CFD"/>
    <w:pPr>
      <w:spacing w:before="240" w:after="240"/>
      <w:ind w:left="480"/>
    </w:pPr>
    <w:rPr>
      <w:rFonts w:ascii="Calibri" w:hAnsi="Calibri"/>
      <w:sz w:val="20"/>
      <w:szCs w:val="20"/>
      <w:lang w:val="es-CO"/>
    </w:rPr>
  </w:style>
  <w:style w:type="paragraph" w:styleId="TDC5">
    <w:name w:val="toc 5"/>
    <w:basedOn w:val="Normal"/>
    <w:next w:val="Normal"/>
    <w:autoRedefine/>
    <w:uiPriority w:val="39"/>
    <w:rsid w:val="008B6CFD"/>
    <w:pPr>
      <w:spacing w:before="240" w:after="240"/>
      <w:ind w:left="720"/>
    </w:pPr>
    <w:rPr>
      <w:rFonts w:ascii="Calibri" w:hAnsi="Calibri"/>
      <w:sz w:val="20"/>
      <w:szCs w:val="20"/>
      <w:lang w:val="es-CO"/>
    </w:rPr>
  </w:style>
  <w:style w:type="paragraph" w:styleId="TDC6">
    <w:name w:val="toc 6"/>
    <w:basedOn w:val="Normal"/>
    <w:next w:val="Normal"/>
    <w:autoRedefine/>
    <w:uiPriority w:val="39"/>
    <w:rsid w:val="008B6CFD"/>
    <w:pPr>
      <w:spacing w:before="240" w:after="240"/>
      <w:ind w:left="960"/>
    </w:pPr>
    <w:rPr>
      <w:rFonts w:ascii="Calibri" w:hAnsi="Calibri"/>
      <w:sz w:val="20"/>
      <w:szCs w:val="20"/>
      <w:lang w:val="es-CO"/>
    </w:rPr>
  </w:style>
  <w:style w:type="paragraph" w:styleId="TDC7">
    <w:name w:val="toc 7"/>
    <w:basedOn w:val="Normal"/>
    <w:next w:val="Normal"/>
    <w:autoRedefine/>
    <w:uiPriority w:val="39"/>
    <w:rsid w:val="008B6CFD"/>
    <w:pPr>
      <w:tabs>
        <w:tab w:val="right" w:pos="9111"/>
      </w:tabs>
      <w:spacing w:before="240" w:after="240"/>
    </w:pPr>
    <w:rPr>
      <w:rFonts w:ascii="Arial" w:hAnsi="Arial"/>
      <w:b/>
      <w:sz w:val="22"/>
      <w:szCs w:val="20"/>
      <w:lang w:val="es-CO"/>
    </w:rPr>
  </w:style>
  <w:style w:type="paragraph" w:styleId="TDC8">
    <w:name w:val="toc 8"/>
    <w:basedOn w:val="Normal"/>
    <w:next w:val="Normal"/>
    <w:autoRedefine/>
    <w:uiPriority w:val="39"/>
    <w:rsid w:val="008B6CFD"/>
    <w:pPr>
      <w:tabs>
        <w:tab w:val="right" w:leader="dot" w:pos="9111"/>
      </w:tabs>
      <w:spacing w:before="240" w:after="240"/>
    </w:pPr>
    <w:rPr>
      <w:rFonts w:ascii="Arial" w:hAnsi="Arial"/>
      <w:b/>
      <w:sz w:val="22"/>
      <w:szCs w:val="20"/>
      <w:lang w:val="es-CO"/>
    </w:rPr>
  </w:style>
  <w:style w:type="paragraph" w:styleId="TDC9">
    <w:name w:val="toc 9"/>
    <w:basedOn w:val="Normal"/>
    <w:next w:val="Normal"/>
    <w:autoRedefine/>
    <w:uiPriority w:val="39"/>
    <w:rsid w:val="008B6CFD"/>
    <w:pPr>
      <w:spacing w:before="240" w:after="240"/>
      <w:ind w:left="1680"/>
    </w:pPr>
    <w:rPr>
      <w:rFonts w:ascii="Calibri" w:hAnsi="Calibri"/>
      <w:sz w:val="20"/>
      <w:szCs w:val="20"/>
      <w:lang w:val="es-CO"/>
    </w:rPr>
  </w:style>
  <w:style w:type="paragraph" w:customStyle="1" w:styleId="Textodenotaalfinal">
    <w:name w:val="Texto de nota al final"/>
    <w:basedOn w:val="Normal"/>
    <w:rsid w:val="008B6CFD"/>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8B6CFD"/>
    <w:pPr>
      <w:spacing w:before="160" w:after="160"/>
      <w:ind w:left="2880" w:hanging="2880"/>
    </w:pPr>
    <w:rPr>
      <w:spacing w:val="-4"/>
      <w:sz w:val="22"/>
      <w:szCs w:val="20"/>
      <w:lang w:val="es-CO"/>
    </w:rPr>
  </w:style>
  <w:style w:type="character" w:customStyle="1" w:styleId="Sangra3detindependienteCar">
    <w:name w:val="Sangría 3 de t. independiente Car"/>
    <w:basedOn w:val="Fuentedeprrafopredeter"/>
    <w:link w:val="Sangra3detindependiente"/>
    <w:rsid w:val="008B6CFD"/>
    <w:rPr>
      <w:rFonts w:ascii="Bookman Old Style" w:hAnsi="Bookman Old Style"/>
      <w:spacing w:val="-4"/>
      <w:sz w:val="22"/>
      <w:lang w:eastAsia="es-ES"/>
    </w:rPr>
  </w:style>
  <w:style w:type="paragraph" w:styleId="Cita">
    <w:name w:val="Quote"/>
    <w:basedOn w:val="Normal"/>
    <w:next w:val="Normal"/>
    <w:link w:val="CitaCar"/>
    <w:uiPriority w:val="29"/>
    <w:qFormat/>
    <w:rsid w:val="008B6CFD"/>
    <w:pPr>
      <w:spacing w:before="240"/>
      <w:ind w:right="616"/>
    </w:pPr>
    <w:rPr>
      <w:rFonts w:ascii="Arial" w:eastAsia="Calibri" w:hAnsi="Arial" w:cs="Arial"/>
      <w:i/>
      <w:iCs/>
      <w:color w:val="000000"/>
      <w:sz w:val="20"/>
      <w:szCs w:val="22"/>
      <w:lang w:val="es-CO" w:eastAsia="en-US"/>
    </w:rPr>
  </w:style>
  <w:style w:type="character" w:customStyle="1" w:styleId="CitaCar">
    <w:name w:val="Cita Car"/>
    <w:basedOn w:val="Fuentedeprrafopredeter"/>
    <w:link w:val="Cita"/>
    <w:uiPriority w:val="29"/>
    <w:rsid w:val="008B6CFD"/>
    <w:rPr>
      <w:rFonts w:ascii="Arial" w:eastAsia="Calibri" w:hAnsi="Arial" w:cs="Arial"/>
      <w:i/>
      <w:iCs/>
      <w:color w:val="000000"/>
      <w:szCs w:val="22"/>
      <w:lang w:eastAsia="en-US"/>
    </w:rPr>
  </w:style>
  <w:style w:type="character" w:styleId="Textoennegrita">
    <w:name w:val="Strong"/>
    <w:uiPriority w:val="22"/>
    <w:qFormat/>
    <w:rsid w:val="008B6CFD"/>
    <w:rPr>
      <w:b/>
      <w:bCs/>
    </w:rPr>
  </w:style>
  <w:style w:type="paragraph" w:styleId="TtuloTDC">
    <w:name w:val="TOC Heading"/>
    <w:basedOn w:val="Ttulo1"/>
    <w:next w:val="Normal"/>
    <w:uiPriority w:val="39"/>
    <w:unhideWhenUsed/>
    <w:qFormat/>
    <w:rsid w:val="008B6CFD"/>
    <w:pPr>
      <w:keepLines/>
      <w:numPr>
        <w:numId w:val="0"/>
      </w:numPr>
      <w:spacing w:before="480" w:after="360" w:line="276" w:lineRule="auto"/>
      <w:ind w:left="357" w:hanging="357"/>
      <w:jc w:val="left"/>
      <w:outlineLvl w:val="9"/>
    </w:pPr>
    <w:rPr>
      <w:rFonts w:ascii="Cambria" w:hAnsi="Cambria"/>
      <w:bCs/>
      <w:color w:val="365F91"/>
      <w:spacing w:val="4"/>
      <w:sz w:val="28"/>
      <w:szCs w:val="28"/>
      <w:lang w:val="es-ES" w:eastAsia="en-US"/>
    </w:rPr>
  </w:style>
  <w:style w:type="paragraph" w:styleId="Mapadeldocumento">
    <w:name w:val="Document Map"/>
    <w:basedOn w:val="Normal"/>
    <w:link w:val="MapadeldocumentoCar"/>
    <w:uiPriority w:val="99"/>
    <w:unhideWhenUsed/>
    <w:rsid w:val="008B6CFD"/>
    <w:pPr>
      <w:spacing w:before="160" w:after="160"/>
    </w:pPr>
    <w:rPr>
      <w:rFonts w:ascii="Tahoma" w:hAnsi="Tahoma" w:cs="Tahoma"/>
      <w:sz w:val="16"/>
      <w:szCs w:val="16"/>
      <w:lang w:val="es-CO"/>
    </w:rPr>
  </w:style>
  <w:style w:type="character" w:customStyle="1" w:styleId="MapadeldocumentoCar">
    <w:name w:val="Mapa del documento Car"/>
    <w:basedOn w:val="Fuentedeprrafopredeter"/>
    <w:link w:val="Mapadeldocumento"/>
    <w:uiPriority w:val="99"/>
    <w:rsid w:val="008B6CFD"/>
    <w:rPr>
      <w:rFonts w:ascii="Tahoma" w:hAnsi="Tahoma" w:cs="Tahoma"/>
      <w:sz w:val="16"/>
      <w:szCs w:val="16"/>
      <w:lang w:eastAsia="es-ES"/>
    </w:rPr>
  </w:style>
  <w:style w:type="paragraph" w:customStyle="1" w:styleId="Anexo">
    <w:name w:val="Anexo"/>
    <w:basedOn w:val="Normal"/>
    <w:link w:val="AnexoCar"/>
    <w:qFormat/>
    <w:rsid w:val="008B6CFD"/>
    <w:pPr>
      <w:suppressAutoHyphens/>
      <w:spacing w:before="240" w:after="240"/>
      <w:ind w:left="1429" w:hanging="360"/>
    </w:pPr>
    <w:rPr>
      <w:rFonts w:cs="Arial"/>
      <w:b/>
      <w:bCs/>
      <w:spacing w:val="-4"/>
    </w:rPr>
  </w:style>
  <w:style w:type="character" w:customStyle="1" w:styleId="AnexoCar">
    <w:name w:val="Anexo Car"/>
    <w:link w:val="Anexo"/>
    <w:rsid w:val="008B6CFD"/>
    <w:rPr>
      <w:rFonts w:ascii="Bookman Old Style" w:hAnsi="Bookman Old Style" w:cs="Arial"/>
      <w:b/>
      <w:bCs/>
      <w:spacing w:val="-4"/>
      <w:sz w:val="24"/>
      <w:szCs w:val="24"/>
      <w:lang w:val="es-ES" w:eastAsia="es-ES"/>
    </w:rPr>
  </w:style>
  <w:style w:type="paragraph" w:customStyle="1" w:styleId="PliegoTitulo1">
    <w:name w:val="Pliego_Titulo1"/>
    <w:basedOn w:val="Pliego-Normal"/>
    <w:next w:val="Pliego-Normal"/>
    <w:rsid w:val="008B6CFD"/>
    <w:pPr>
      <w:tabs>
        <w:tab w:val="num" w:pos="432"/>
      </w:tabs>
      <w:ind w:left="432" w:hanging="432"/>
      <w:jc w:val="center"/>
    </w:pPr>
    <w:rPr>
      <w:b/>
    </w:rPr>
  </w:style>
  <w:style w:type="paragraph" w:customStyle="1" w:styleId="Pliego-Normal">
    <w:name w:val="Pliego-Normal"/>
    <w:basedOn w:val="Normal"/>
    <w:rsid w:val="008B6CFD"/>
    <w:pPr>
      <w:widowControl w:val="0"/>
      <w:adjustRightInd w:val="0"/>
      <w:spacing w:before="240" w:after="240"/>
      <w:textAlignment w:val="baseline"/>
    </w:pPr>
    <w:rPr>
      <w:rFonts w:ascii="Garamond" w:hAnsi="Garamond"/>
      <w:bCs/>
      <w:sz w:val="22"/>
      <w:szCs w:val="20"/>
      <w:lang w:val="es-ES_tradnl"/>
    </w:rPr>
  </w:style>
  <w:style w:type="paragraph" w:styleId="NormalWeb">
    <w:name w:val="Normal (Web)"/>
    <w:basedOn w:val="Normal"/>
    <w:uiPriority w:val="99"/>
    <w:rsid w:val="008B6CFD"/>
    <w:pPr>
      <w:widowControl w:val="0"/>
      <w:adjustRightInd w:val="0"/>
      <w:spacing w:before="100" w:beforeAutospacing="1" w:after="100" w:afterAutospacing="1"/>
      <w:textAlignment w:val="baseline"/>
    </w:pPr>
  </w:style>
  <w:style w:type="paragraph" w:styleId="z-Finaldelformulario">
    <w:name w:val="HTML Bottom of Form"/>
    <w:basedOn w:val="Normal"/>
    <w:next w:val="Normal"/>
    <w:link w:val="z-FinaldelformularioCar"/>
    <w:hidden/>
    <w:rsid w:val="008B6CFD"/>
    <w:pPr>
      <w:widowControl w:val="0"/>
      <w:pBdr>
        <w:top w:val="single" w:sz="6" w:space="1" w:color="auto"/>
      </w:pBdr>
      <w:adjustRightInd w:val="0"/>
      <w:spacing w:before="240" w:after="240"/>
      <w:jc w:val="center"/>
      <w:textAlignment w:val="baseline"/>
    </w:pPr>
    <w:rPr>
      <w:rFonts w:ascii="Arial" w:hAnsi="Arial" w:cs="Arial"/>
      <w:vanish/>
      <w:color w:val="000000"/>
      <w:sz w:val="16"/>
      <w:szCs w:val="16"/>
    </w:rPr>
  </w:style>
  <w:style w:type="character" w:customStyle="1" w:styleId="z-FinaldelformularioCar">
    <w:name w:val="z-Final del formulario Car"/>
    <w:basedOn w:val="Fuentedeprrafopredeter"/>
    <w:link w:val="z-Finaldelformulario"/>
    <w:rsid w:val="008B6CFD"/>
    <w:rPr>
      <w:rFonts w:ascii="Arial" w:hAnsi="Arial" w:cs="Arial"/>
      <w:vanish/>
      <w:color w:val="000000"/>
      <w:sz w:val="16"/>
      <w:szCs w:val="16"/>
      <w:lang w:val="es-ES" w:eastAsia="es-ES"/>
    </w:rPr>
  </w:style>
  <w:style w:type="paragraph" w:customStyle="1" w:styleId="NormalTesis">
    <w:name w:val="Normal Tesis"/>
    <w:basedOn w:val="Textoindependiente"/>
    <w:rsid w:val="008B6CFD"/>
    <w:pPr>
      <w:widowControl w:val="0"/>
      <w:adjustRightInd w:val="0"/>
      <w:spacing w:before="240" w:after="240" w:line="360" w:lineRule="auto"/>
      <w:jc w:val="both"/>
      <w:textAlignment w:val="baseline"/>
    </w:pPr>
    <w:rPr>
      <w:b w:val="0"/>
      <w:bCs w:val="0"/>
      <w:sz w:val="22"/>
    </w:rPr>
  </w:style>
  <w:style w:type="paragraph" w:customStyle="1" w:styleId="Citas">
    <w:name w:val="Citas"/>
    <w:basedOn w:val="Normal"/>
    <w:rsid w:val="008B6CFD"/>
    <w:pPr>
      <w:spacing w:before="240" w:after="240"/>
      <w:ind w:left="708" w:right="618"/>
    </w:pPr>
    <w:rPr>
      <w:rFonts w:cs="Arial"/>
      <w:i/>
      <w:iCs/>
      <w:szCs w:val="20"/>
    </w:rPr>
  </w:style>
  <w:style w:type="paragraph" w:customStyle="1" w:styleId="EstiloPrrafodelistaJustificado">
    <w:name w:val="Estilo Párrafo de lista + Justificado"/>
    <w:basedOn w:val="Prrafodelista"/>
    <w:rsid w:val="008B6CFD"/>
    <w:pPr>
      <w:numPr>
        <w:numId w:val="0"/>
      </w:numPr>
      <w:spacing w:before="120"/>
      <w:ind w:left="720" w:hanging="360"/>
    </w:pPr>
    <w:rPr>
      <w:spacing w:val="4"/>
      <w:lang w:val="es-ES"/>
    </w:rPr>
  </w:style>
  <w:style w:type="paragraph" w:customStyle="1" w:styleId="Vietas">
    <w:name w:val="Viñetas"/>
    <w:basedOn w:val="Prrafodelista"/>
    <w:rsid w:val="008B6CFD"/>
    <w:pPr>
      <w:numPr>
        <w:numId w:val="0"/>
      </w:numPr>
      <w:spacing w:before="120"/>
      <w:ind w:left="720" w:hanging="360"/>
    </w:pPr>
    <w:rPr>
      <w:spacing w:val="4"/>
      <w:lang w:val="es-ES"/>
    </w:rPr>
  </w:style>
  <w:style w:type="paragraph" w:customStyle="1" w:styleId="Listaletras">
    <w:name w:val="Lista letras"/>
    <w:basedOn w:val="Sangra2detindependiente"/>
    <w:link w:val="ListaletrasCar"/>
    <w:qFormat/>
    <w:rsid w:val="008B6CFD"/>
    <w:pPr>
      <w:spacing w:before="160" w:after="160" w:line="240" w:lineRule="auto"/>
      <w:ind w:left="0" w:hanging="567"/>
      <w:outlineLvl w:val="0"/>
    </w:pPr>
    <w:rPr>
      <w:b/>
      <w:sz w:val="22"/>
      <w:szCs w:val="20"/>
      <w:lang w:val="es-CO"/>
    </w:rPr>
  </w:style>
  <w:style w:type="character" w:customStyle="1" w:styleId="ListaletrasCar">
    <w:name w:val="Lista letras Car"/>
    <w:link w:val="Listaletras"/>
    <w:rsid w:val="008B6CFD"/>
    <w:rPr>
      <w:rFonts w:ascii="Bookman Old Style" w:hAnsi="Bookman Old Style"/>
      <w:b/>
      <w:sz w:val="22"/>
      <w:lang w:eastAsia="es-ES"/>
    </w:rPr>
  </w:style>
  <w:style w:type="paragraph" w:customStyle="1" w:styleId="Textoindependiente31">
    <w:name w:val="Texto independiente 31"/>
    <w:basedOn w:val="Normal"/>
    <w:rsid w:val="008B6CFD"/>
    <w:pPr>
      <w:tabs>
        <w:tab w:val="left" w:pos="-720"/>
      </w:tabs>
      <w:suppressAutoHyphens/>
      <w:overflowPunct w:val="0"/>
      <w:autoSpaceDE w:val="0"/>
      <w:autoSpaceDN w:val="0"/>
      <w:adjustRightInd w:val="0"/>
      <w:spacing w:before="240" w:after="240"/>
      <w:ind w:right="45"/>
      <w:textAlignment w:val="baseline"/>
    </w:pPr>
    <w:rPr>
      <w:sz w:val="22"/>
      <w:szCs w:val="20"/>
    </w:rPr>
  </w:style>
  <w:style w:type="character" w:customStyle="1" w:styleId="Fuentedeprrafopredeter1">
    <w:name w:val="Fuente de párrafo predeter.1"/>
    <w:rsid w:val="008B6CFD"/>
  </w:style>
  <w:style w:type="character" w:customStyle="1" w:styleId="FootnoteCharacters">
    <w:name w:val="Footnote Characters"/>
    <w:rsid w:val="008B6CFD"/>
    <w:rPr>
      <w:vertAlign w:val="superscript"/>
    </w:rPr>
  </w:style>
  <w:style w:type="character" w:customStyle="1" w:styleId="Refdenotaalpie1">
    <w:name w:val="Ref. de nota al pie1"/>
    <w:rsid w:val="008B6CFD"/>
    <w:rPr>
      <w:vertAlign w:val="superscript"/>
    </w:rPr>
  </w:style>
  <w:style w:type="character" w:customStyle="1" w:styleId="Refdecomentario1">
    <w:name w:val="Ref. de comentario1"/>
    <w:rsid w:val="008B6CFD"/>
    <w:rPr>
      <w:sz w:val="16"/>
    </w:rPr>
  </w:style>
  <w:style w:type="paragraph" w:customStyle="1" w:styleId="Heading">
    <w:name w:val="Heading"/>
    <w:basedOn w:val="Normal"/>
    <w:next w:val="Textoindependiente"/>
    <w:rsid w:val="008B6CFD"/>
    <w:pPr>
      <w:keepNext/>
      <w:suppressAutoHyphens/>
      <w:spacing w:before="240"/>
    </w:pPr>
    <w:rPr>
      <w:rFonts w:ascii="Arial" w:eastAsia="DejaVu Sans" w:hAnsi="Arial" w:cs="DejaVu Sans"/>
      <w:sz w:val="28"/>
      <w:szCs w:val="28"/>
      <w:lang w:val="es-CO" w:eastAsia="ar-SA"/>
    </w:rPr>
  </w:style>
  <w:style w:type="paragraph" w:styleId="Lista">
    <w:name w:val="List"/>
    <w:basedOn w:val="Normal"/>
    <w:rsid w:val="008B6CFD"/>
    <w:pPr>
      <w:suppressAutoHyphens/>
      <w:spacing w:before="240" w:after="240"/>
      <w:ind w:left="283" w:hanging="283"/>
    </w:pPr>
    <w:rPr>
      <w:sz w:val="22"/>
      <w:szCs w:val="20"/>
      <w:lang w:val="es-CO" w:eastAsia="ar-SA"/>
    </w:rPr>
  </w:style>
  <w:style w:type="paragraph" w:customStyle="1" w:styleId="Index">
    <w:name w:val="Index"/>
    <w:basedOn w:val="Normal"/>
    <w:rsid w:val="008B6CFD"/>
    <w:pPr>
      <w:suppressLineNumbers/>
      <w:suppressAutoHyphens/>
      <w:spacing w:before="240" w:after="240"/>
    </w:pPr>
    <w:rPr>
      <w:sz w:val="22"/>
      <w:szCs w:val="20"/>
      <w:lang w:val="es-CO" w:eastAsia="ar-SA"/>
    </w:rPr>
  </w:style>
  <w:style w:type="paragraph" w:styleId="ndice1">
    <w:name w:val="index 1"/>
    <w:basedOn w:val="Normal"/>
    <w:next w:val="Normal"/>
    <w:autoRedefine/>
    <w:semiHidden/>
    <w:unhideWhenUsed/>
    <w:rsid w:val="008B6CFD"/>
    <w:pPr>
      <w:spacing w:before="0" w:after="0"/>
      <w:ind w:left="240" w:hanging="240"/>
    </w:pPr>
  </w:style>
  <w:style w:type="paragraph" w:styleId="Ttulodendice">
    <w:name w:val="index heading"/>
    <w:basedOn w:val="Normal"/>
    <w:next w:val="ndice1"/>
    <w:rsid w:val="008B6CFD"/>
    <w:pPr>
      <w:suppressAutoHyphens/>
    </w:pPr>
    <w:rPr>
      <w:b/>
      <w:i/>
      <w:sz w:val="20"/>
      <w:szCs w:val="20"/>
      <w:lang w:val="es-CO" w:eastAsia="ar-SA"/>
    </w:rPr>
  </w:style>
  <w:style w:type="paragraph" w:styleId="ndice2">
    <w:name w:val="index 2"/>
    <w:basedOn w:val="Normal"/>
    <w:next w:val="Normal"/>
    <w:rsid w:val="008B6CFD"/>
    <w:pPr>
      <w:suppressAutoHyphens/>
      <w:spacing w:before="240" w:after="240"/>
      <w:ind w:left="480" w:hanging="240"/>
    </w:pPr>
    <w:rPr>
      <w:sz w:val="20"/>
      <w:szCs w:val="20"/>
      <w:lang w:val="es-CO" w:eastAsia="ar-SA"/>
    </w:rPr>
  </w:style>
  <w:style w:type="paragraph" w:styleId="ndice3">
    <w:name w:val="index 3"/>
    <w:basedOn w:val="Normal"/>
    <w:next w:val="Normal"/>
    <w:rsid w:val="008B6CFD"/>
    <w:pPr>
      <w:suppressAutoHyphens/>
      <w:spacing w:before="240" w:after="240"/>
      <w:ind w:left="720" w:hanging="240"/>
    </w:pPr>
    <w:rPr>
      <w:sz w:val="20"/>
      <w:szCs w:val="20"/>
      <w:lang w:val="es-CO" w:eastAsia="ar-SA"/>
    </w:rPr>
  </w:style>
  <w:style w:type="paragraph" w:customStyle="1" w:styleId="Figuras">
    <w:name w:val="Figuras"/>
    <w:basedOn w:val="Textoindependiente"/>
    <w:rsid w:val="008B6CFD"/>
    <w:pPr>
      <w:suppressAutoHyphens/>
      <w:spacing w:before="240" w:after="240"/>
    </w:pPr>
    <w:rPr>
      <w:rFonts w:cs="Times New Roman"/>
      <w:b w:val="0"/>
      <w:bCs w:val="0"/>
      <w:i/>
      <w:iCs/>
      <w:sz w:val="22"/>
      <w:szCs w:val="20"/>
      <w:lang w:val="es-CO" w:eastAsia="ar-SA"/>
    </w:rPr>
  </w:style>
  <w:style w:type="paragraph" w:customStyle="1" w:styleId="Text">
    <w:name w:val="Text"/>
    <w:basedOn w:val="Normal"/>
    <w:rsid w:val="008B6CFD"/>
    <w:pPr>
      <w:suppressLineNumbers/>
      <w:suppressAutoHyphens/>
    </w:pPr>
    <w:rPr>
      <w:i/>
      <w:iCs/>
      <w:lang w:val="es-CO" w:eastAsia="ar-SA"/>
    </w:rPr>
  </w:style>
  <w:style w:type="paragraph" w:styleId="Textoindependienteprimerasangra">
    <w:name w:val="Body Text First Indent"/>
    <w:basedOn w:val="Textoindependiente"/>
    <w:link w:val="TextoindependienteprimerasangraCar"/>
    <w:rsid w:val="008B6CFD"/>
    <w:pPr>
      <w:suppressAutoHyphens/>
      <w:spacing w:before="240" w:after="240"/>
      <w:ind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basedOn w:val="TextoindependienteCar"/>
    <w:link w:val="Textoindependienteprimerasangra"/>
    <w:rsid w:val="008B6CFD"/>
    <w:rPr>
      <w:rFonts w:ascii="Arial" w:hAnsi="Arial" w:cs="Arial"/>
      <w:b/>
      <w:bCs w:val="0"/>
      <w:i/>
      <w:sz w:val="28"/>
      <w:szCs w:val="24"/>
      <w:lang w:eastAsia="ar-SA"/>
    </w:rPr>
  </w:style>
  <w:style w:type="paragraph" w:customStyle="1" w:styleId="Notes">
    <w:name w:val="Notes"/>
    <w:rsid w:val="008B6CFD"/>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eastAsia="es-ES"/>
    </w:rPr>
  </w:style>
  <w:style w:type="paragraph" w:customStyle="1" w:styleId="Tabla">
    <w:name w:val="Tabla"/>
    <w:basedOn w:val="Descripcin"/>
    <w:link w:val="TablaCar"/>
    <w:qFormat/>
    <w:rsid w:val="008B6CFD"/>
    <w:pPr>
      <w:widowControl/>
      <w:suppressAutoHyphens/>
      <w:adjustRightInd/>
      <w:spacing w:after="200" w:line="240" w:lineRule="auto"/>
      <w:textAlignment w:val="auto"/>
    </w:pPr>
    <w:rPr>
      <w:b/>
      <w:bCs/>
      <w:iCs/>
    </w:rPr>
  </w:style>
  <w:style w:type="character" w:customStyle="1" w:styleId="TablaCar">
    <w:name w:val="Tabla Car"/>
    <w:link w:val="Tabla"/>
    <w:rsid w:val="008B6CFD"/>
    <w:rPr>
      <w:rFonts w:ascii="Bookman Old Style" w:hAnsi="Bookman Old Style"/>
      <w:b/>
      <w:bCs/>
      <w:iCs/>
      <w:sz w:val="22"/>
      <w:lang w:val="es-ES" w:eastAsia="es-ES"/>
    </w:rPr>
  </w:style>
  <w:style w:type="paragraph" w:customStyle="1" w:styleId="DatosDocumento">
    <w:name w:val="Datos Documento"/>
    <w:basedOn w:val="Normal"/>
    <w:rsid w:val="008B6CFD"/>
    <w:pPr>
      <w:spacing w:before="240" w:after="240"/>
      <w:jc w:val="right"/>
    </w:pPr>
    <w:rPr>
      <w:rFonts w:ascii="Arial" w:hAnsi="Arial" w:cs="Arial"/>
      <w:szCs w:val="20"/>
    </w:rPr>
  </w:style>
  <w:style w:type="paragraph" w:customStyle="1" w:styleId="TituloDocumento">
    <w:name w:val="Titulo Documento"/>
    <w:basedOn w:val="Normal"/>
    <w:rsid w:val="008B6CFD"/>
    <w:pPr>
      <w:spacing w:before="240" w:after="240"/>
      <w:jc w:val="right"/>
    </w:pPr>
    <w:rPr>
      <w:rFonts w:ascii="Arial Black" w:hAnsi="Arial Black" w:cs="Arial"/>
      <w:sz w:val="48"/>
      <w:szCs w:val="20"/>
    </w:rPr>
  </w:style>
  <w:style w:type="paragraph" w:customStyle="1" w:styleId="SubtituloDocumento">
    <w:name w:val="Subtitulo Documento"/>
    <w:basedOn w:val="Normal"/>
    <w:rsid w:val="008B6CFD"/>
    <w:pPr>
      <w:spacing w:before="240" w:after="240"/>
      <w:jc w:val="right"/>
    </w:pPr>
    <w:rPr>
      <w:rFonts w:ascii="Arial Black" w:hAnsi="Arial Black" w:cs="Arial"/>
      <w:sz w:val="32"/>
      <w:szCs w:val="20"/>
    </w:rPr>
  </w:style>
  <w:style w:type="paragraph" w:customStyle="1" w:styleId="TtuloInforme">
    <w:name w:val="Título Informe"/>
    <w:basedOn w:val="Normal"/>
    <w:next w:val="Normal"/>
    <w:rsid w:val="008B6CFD"/>
    <w:pPr>
      <w:jc w:val="center"/>
    </w:pPr>
    <w:rPr>
      <w:rFonts w:ascii="Arial" w:hAnsi="Arial" w:cs="Arial"/>
      <w:color w:val="FF6309"/>
      <w:sz w:val="28"/>
      <w:szCs w:val="28"/>
    </w:rPr>
  </w:style>
  <w:style w:type="character" w:customStyle="1" w:styleId="TtuloInformeChar">
    <w:name w:val="Título Informe Char"/>
    <w:rsid w:val="008B6CFD"/>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8B6CFD"/>
    <w:rPr>
      <w:rFonts w:ascii="Arial" w:hAnsi="Arial" w:cs="Arial"/>
      <w:color w:val="808080"/>
    </w:rPr>
  </w:style>
  <w:style w:type="character" w:customStyle="1" w:styleId="SubtuloInformeChar">
    <w:name w:val="Subítulo Informe Char"/>
    <w:rsid w:val="008B6CFD"/>
    <w:rPr>
      <w:rFonts w:ascii="Arial" w:hAnsi="Arial" w:cs="Arial"/>
      <w:noProof w:val="0"/>
      <w:color w:val="808080"/>
      <w:sz w:val="24"/>
      <w:szCs w:val="24"/>
      <w:lang w:val="es-ES" w:eastAsia="es-ES" w:bidi="ar-SA"/>
    </w:rPr>
  </w:style>
  <w:style w:type="paragraph" w:customStyle="1" w:styleId="EstiloEpgrafeCentrado">
    <w:name w:val="Estilo Epígrafe + Centrado"/>
    <w:basedOn w:val="Descripcin"/>
    <w:autoRedefine/>
    <w:rsid w:val="008B6CFD"/>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8B6CFD"/>
    <w:rPr>
      <w:rFonts w:ascii="Arial" w:hAnsi="Arial" w:cs="Arial"/>
      <w:sz w:val="20"/>
      <w:szCs w:val="20"/>
    </w:rPr>
  </w:style>
  <w:style w:type="paragraph" w:customStyle="1" w:styleId="CUERPOTEXTO">
    <w:name w:val="CUERPO TEXTO"/>
    <w:rsid w:val="008B6CFD"/>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paragraph" w:styleId="Saludo">
    <w:name w:val="Salutation"/>
    <w:basedOn w:val="Normal"/>
    <w:next w:val="Normal"/>
    <w:link w:val="SaludoCar"/>
    <w:uiPriority w:val="99"/>
    <w:unhideWhenUsed/>
    <w:rsid w:val="008B6CFD"/>
    <w:pPr>
      <w:widowControl w:val="0"/>
      <w:adjustRightInd w:val="0"/>
      <w:spacing w:before="240" w:after="240"/>
      <w:textAlignment w:val="baseline"/>
    </w:pPr>
    <w:rPr>
      <w:lang w:val="es-CO"/>
    </w:rPr>
  </w:style>
  <w:style w:type="character" w:customStyle="1" w:styleId="SaludoCar">
    <w:name w:val="Saludo Car"/>
    <w:basedOn w:val="Fuentedeprrafopredeter"/>
    <w:link w:val="Saludo"/>
    <w:uiPriority w:val="99"/>
    <w:rsid w:val="008B6CFD"/>
    <w:rPr>
      <w:rFonts w:ascii="Bookman Old Style" w:hAnsi="Bookman Old Style"/>
      <w:sz w:val="24"/>
      <w:szCs w:val="24"/>
      <w:lang w:eastAsia="es-ES"/>
    </w:rPr>
  </w:style>
  <w:style w:type="paragraph" w:customStyle="1" w:styleId="ARTICULOS">
    <w:name w:val="ARTICULOS"/>
    <w:basedOn w:val="Normal"/>
    <w:link w:val="ARTICULOSCar"/>
    <w:autoRedefine/>
    <w:qFormat/>
    <w:rsid w:val="008B6CFD"/>
    <w:pPr>
      <w:numPr>
        <w:numId w:val="8"/>
      </w:numPr>
      <w:tabs>
        <w:tab w:val="left" w:pos="1560"/>
      </w:tabs>
      <w:adjustRightInd w:val="0"/>
      <w:spacing w:after="0"/>
      <w:ind w:left="0" w:firstLine="0"/>
      <w:textAlignment w:val="baseline"/>
    </w:pPr>
    <w:rPr>
      <w:bCs/>
    </w:rPr>
  </w:style>
  <w:style w:type="character" w:customStyle="1" w:styleId="ARTICULOSCar">
    <w:name w:val="ARTICULOS Car"/>
    <w:basedOn w:val="Fuentedeprrafopredeter"/>
    <w:link w:val="ARTICULOS"/>
    <w:rsid w:val="008B6CFD"/>
    <w:rPr>
      <w:rFonts w:ascii="Bookman Old Style" w:hAnsi="Bookman Old Style"/>
      <w:bCs/>
      <w:sz w:val="24"/>
      <w:szCs w:val="24"/>
      <w:lang w:val="es-ES" w:eastAsia="es-ES"/>
    </w:rPr>
  </w:style>
  <w:style w:type="character" w:customStyle="1" w:styleId="HTMLconformatoprevioCar">
    <w:name w:val="HTML con formato previo Car"/>
    <w:basedOn w:val="Fuentedeprrafopredeter"/>
    <w:link w:val="HTMLconformatoprevio"/>
    <w:semiHidden/>
    <w:rsid w:val="008B6CFD"/>
    <w:rPr>
      <w:rFonts w:ascii="Arial Unicode MS" w:eastAsia="Arial Unicode MS" w:hAnsi="Arial Unicode MS" w:cs="Arial Unicode MS"/>
      <w:lang w:val="es-ES" w:eastAsia="es-ES"/>
    </w:rPr>
  </w:style>
  <w:style w:type="paragraph" w:styleId="HTMLconformatoprevio">
    <w:name w:val="HTML Preformatted"/>
    <w:basedOn w:val="Normal"/>
    <w:link w:val="HTMLconformatoprevioCar"/>
    <w:semiHidden/>
    <w:rsid w:val="008B6C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Arial Unicode MS" w:eastAsia="Arial Unicode MS" w:hAnsi="Arial Unicode MS" w:cs="Arial Unicode MS"/>
      <w:sz w:val="20"/>
      <w:szCs w:val="20"/>
    </w:rPr>
  </w:style>
  <w:style w:type="character" w:customStyle="1" w:styleId="HTMLconformatoprevioCar1">
    <w:name w:val="HTML con formato previo Car1"/>
    <w:basedOn w:val="Fuentedeprrafopredeter"/>
    <w:uiPriority w:val="99"/>
    <w:semiHidden/>
    <w:rsid w:val="008B6CFD"/>
    <w:rPr>
      <w:rFonts w:ascii="Consolas" w:hAnsi="Consolas" w:cs="Consolas"/>
      <w:lang w:val="es-ES" w:eastAsia="es-ES"/>
    </w:rPr>
  </w:style>
  <w:style w:type="paragraph" w:customStyle="1" w:styleId="CAPTULO0">
    <w:name w:val="CAPÍTULO"/>
    <w:basedOn w:val="Ttulo1"/>
    <w:next w:val="Normal"/>
    <w:qFormat/>
    <w:rsid w:val="008B6CFD"/>
    <w:pPr>
      <w:numPr>
        <w:numId w:val="0"/>
      </w:numPr>
      <w:spacing w:before="240" w:after="240"/>
      <w:ind w:left="432" w:hanging="432"/>
    </w:pPr>
    <w:rPr>
      <w:spacing w:val="4"/>
      <w:szCs w:val="22"/>
      <w:lang w:val="es-ES"/>
    </w:rPr>
  </w:style>
  <w:style w:type="paragraph" w:customStyle="1" w:styleId="xl66">
    <w:name w:val="xl66"/>
    <w:basedOn w:val="Normal"/>
    <w:rsid w:val="008B6CF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7">
    <w:name w:val="xl67"/>
    <w:basedOn w:val="Normal"/>
    <w:rsid w:val="008B6CF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8">
    <w:name w:val="xl68"/>
    <w:basedOn w:val="Normal"/>
    <w:rsid w:val="008B6CFD"/>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sz w:val="12"/>
      <w:szCs w:val="12"/>
      <w:lang w:val="es-CO" w:eastAsia="es-CO"/>
    </w:rPr>
  </w:style>
  <w:style w:type="paragraph" w:customStyle="1" w:styleId="xl69">
    <w:name w:val="xl69"/>
    <w:basedOn w:val="Normal"/>
    <w:rsid w:val="008B6CFD"/>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70">
    <w:name w:val="xl70"/>
    <w:basedOn w:val="Normal"/>
    <w:rsid w:val="008B6CFD"/>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1">
    <w:name w:val="xl71"/>
    <w:basedOn w:val="Normal"/>
    <w:rsid w:val="008B6CFD"/>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2">
    <w:name w:val="xl72"/>
    <w:basedOn w:val="Normal"/>
    <w:rsid w:val="008B6CFD"/>
    <w:pPr>
      <w:pBdr>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3">
    <w:name w:val="xl73"/>
    <w:basedOn w:val="Normal"/>
    <w:rsid w:val="008B6CFD"/>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4">
    <w:name w:val="xl74"/>
    <w:basedOn w:val="Normal"/>
    <w:rsid w:val="008B6C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5">
    <w:name w:val="xl75"/>
    <w:basedOn w:val="Normal"/>
    <w:rsid w:val="008B6C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6">
    <w:name w:val="xl76"/>
    <w:basedOn w:val="Normal"/>
    <w:rsid w:val="008B6CFD"/>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7">
    <w:name w:val="xl77"/>
    <w:basedOn w:val="Normal"/>
    <w:rsid w:val="008B6CFD"/>
    <w:pPr>
      <w:spacing w:before="100" w:beforeAutospacing="1" w:after="100" w:afterAutospacing="1"/>
      <w:jc w:val="center"/>
      <w:textAlignment w:val="center"/>
    </w:pPr>
    <w:rPr>
      <w:sz w:val="12"/>
      <w:szCs w:val="12"/>
      <w:lang w:val="es-CO" w:eastAsia="es-CO"/>
    </w:rPr>
  </w:style>
  <w:style w:type="paragraph" w:customStyle="1" w:styleId="xl78">
    <w:name w:val="xl78"/>
    <w:basedOn w:val="Normal"/>
    <w:rsid w:val="008B6CFD"/>
    <w:pPr>
      <w:spacing w:before="100" w:beforeAutospacing="1" w:after="100" w:afterAutospacing="1"/>
      <w:jc w:val="center"/>
    </w:pPr>
    <w:rPr>
      <w:sz w:val="12"/>
      <w:szCs w:val="12"/>
      <w:lang w:val="es-CO" w:eastAsia="es-CO"/>
    </w:rPr>
  </w:style>
  <w:style w:type="paragraph" w:styleId="Lista2">
    <w:name w:val="List 2"/>
    <w:basedOn w:val="Normal"/>
    <w:uiPriority w:val="99"/>
    <w:unhideWhenUsed/>
    <w:rsid w:val="008B6CFD"/>
    <w:pPr>
      <w:spacing w:before="240" w:after="240"/>
      <w:ind w:left="566" w:hanging="283"/>
      <w:contextualSpacing/>
    </w:pPr>
  </w:style>
  <w:style w:type="paragraph" w:styleId="Lista3">
    <w:name w:val="List 3"/>
    <w:basedOn w:val="Normal"/>
    <w:uiPriority w:val="99"/>
    <w:unhideWhenUsed/>
    <w:rsid w:val="008B6CFD"/>
    <w:pPr>
      <w:spacing w:before="240" w:after="240"/>
      <w:ind w:left="849" w:hanging="283"/>
      <w:contextualSpacing/>
    </w:pPr>
  </w:style>
  <w:style w:type="paragraph" w:styleId="Continuarlista2">
    <w:name w:val="List Continue 2"/>
    <w:basedOn w:val="Normal"/>
    <w:uiPriority w:val="99"/>
    <w:unhideWhenUsed/>
    <w:rsid w:val="008B6CFD"/>
    <w:pPr>
      <w:spacing w:before="240"/>
      <w:ind w:left="566"/>
      <w:contextualSpacing/>
    </w:pPr>
  </w:style>
  <w:style w:type="paragraph" w:styleId="Continuarlista3">
    <w:name w:val="List Continue 3"/>
    <w:basedOn w:val="Normal"/>
    <w:uiPriority w:val="99"/>
    <w:unhideWhenUsed/>
    <w:rsid w:val="008B6CFD"/>
    <w:pPr>
      <w:spacing w:before="240"/>
      <w:ind w:left="849"/>
      <w:contextualSpacing/>
    </w:pPr>
  </w:style>
  <w:style w:type="paragraph" w:customStyle="1" w:styleId="Caracteresenmarcados">
    <w:name w:val="Caracteres enmarcados"/>
    <w:basedOn w:val="Normal"/>
    <w:rsid w:val="008B6CFD"/>
    <w:pPr>
      <w:spacing w:before="240" w:after="240"/>
    </w:pPr>
  </w:style>
  <w:style w:type="paragraph" w:styleId="Textoindependienteprimerasangra2">
    <w:name w:val="Body Text First Indent 2"/>
    <w:basedOn w:val="Sangradetextonormal"/>
    <w:link w:val="Textoindependienteprimerasangra2Car"/>
    <w:uiPriority w:val="99"/>
    <w:unhideWhenUsed/>
    <w:rsid w:val="008B6CFD"/>
    <w:pPr>
      <w:spacing w:before="240" w:after="24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8B6CFD"/>
    <w:rPr>
      <w:rFonts w:ascii="Bookman Old Style" w:hAnsi="Bookman Old Style"/>
      <w:sz w:val="24"/>
      <w:szCs w:val="24"/>
      <w:lang w:val="es-ES" w:eastAsia="es-ES"/>
    </w:rPr>
  </w:style>
  <w:style w:type="paragraph" w:styleId="Encabezadodemensaje">
    <w:name w:val="Message Header"/>
    <w:basedOn w:val="Normal"/>
    <w:link w:val="EncabezadodemensajeCar"/>
    <w:uiPriority w:val="99"/>
    <w:unhideWhenUsed/>
    <w:rsid w:val="008B6CFD"/>
    <w:pPr>
      <w:pBdr>
        <w:top w:val="single" w:sz="6" w:space="1" w:color="auto"/>
        <w:left w:val="single" w:sz="6" w:space="1" w:color="auto"/>
        <w:bottom w:val="single" w:sz="6" w:space="1" w:color="auto"/>
        <w:right w:val="single" w:sz="6" w:space="1" w:color="auto"/>
      </w:pBdr>
      <w:shd w:val="pct20" w:color="auto" w:fill="auto"/>
      <w:spacing w:before="0" w:after="0"/>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8B6CFD"/>
    <w:rPr>
      <w:rFonts w:asciiTheme="majorHAnsi" w:eastAsiaTheme="majorEastAsia" w:hAnsiTheme="majorHAnsi" w:cstheme="majorBidi"/>
      <w:sz w:val="24"/>
      <w:szCs w:val="24"/>
      <w:shd w:val="pct20" w:color="auto" w:fill="auto"/>
      <w:lang w:val="es-ES" w:eastAsia="es-ES"/>
    </w:rPr>
  </w:style>
  <w:style w:type="table" w:styleId="Tablaconcuadrculaclara">
    <w:name w:val="Grid Table Light"/>
    <w:basedOn w:val="Tablanormal"/>
    <w:uiPriority w:val="40"/>
    <w:rsid w:val="00231D6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baj">
    <w:name w:val="b_aj"/>
    <w:basedOn w:val="Fuentedeprrafopredeter"/>
    <w:rsid w:val="00EB701B"/>
  </w:style>
  <w:style w:type="character" w:styleId="Mencinsinresolver">
    <w:name w:val="Unresolved Mention"/>
    <w:basedOn w:val="Fuentedeprrafopredeter"/>
    <w:uiPriority w:val="99"/>
    <w:semiHidden/>
    <w:unhideWhenUsed/>
    <w:rsid w:val="000B6E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718034">
      <w:bodyDiv w:val="1"/>
      <w:marLeft w:val="0"/>
      <w:marRight w:val="0"/>
      <w:marTop w:val="0"/>
      <w:marBottom w:val="0"/>
      <w:divBdr>
        <w:top w:val="none" w:sz="0" w:space="0" w:color="auto"/>
        <w:left w:val="none" w:sz="0" w:space="0" w:color="auto"/>
        <w:bottom w:val="none" w:sz="0" w:space="0" w:color="auto"/>
        <w:right w:val="none" w:sz="0" w:space="0" w:color="auto"/>
      </w:divBdr>
    </w:div>
    <w:div w:id="61683069">
      <w:bodyDiv w:val="1"/>
      <w:marLeft w:val="0"/>
      <w:marRight w:val="0"/>
      <w:marTop w:val="0"/>
      <w:marBottom w:val="0"/>
      <w:divBdr>
        <w:top w:val="none" w:sz="0" w:space="0" w:color="auto"/>
        <w:left w:val="none" w:sz="0" w:space="0" w:color="auto"/>
        <w:bottom w:val="none" w:sz="0" w:space="0" w:color="auto"/>
        <w:right w:val="none" w:sz="0" w:space="0" w:color="auto"/>
      </w:divBdr>
    </w:div>
    <w:div w:id="71002318">
      <w:bodyDiv w:val="1"/>
      <w:marLeft w:val="0"/>
      <w:marRight w:val="0"/>
      <w:marTop w:val="0"/>
      <w:marBottom w:val="0"/>
      <w:divBdr>
        <w:top w:val="none" w:sz="0" w:space="0" w:color="auto"/>
        <w:left w:val="none" w:sz="0" w:space="0" w:color="auto"/>
        <w:bottom w:val="none" w:sz="0" w:space="0" w:color="auto"/>
        <w:right w:val="none" w:sz="0" w:space="0" w:color="auto"/>
      </w:divBdr>
    </w:div>
    <w:div w:id="126044659">
      <w:bodyDiv w:val="1"/>
      <w:marLeft w:val="0"/>
      <w:marRight w:val="0"/>
      <w:marTop w:val="0"/>
      <w:marBottom w:val="0"/>
      <w:divBdr>
        <w:top w:val="none" w:sz="0" w:space="0" w:color="auto"/>
        <w:left w:val="none" w:sz="0" w:space="0" w:color="auto"/>
        <w:bottom w:val="none" w:sz="0" w:space="0" w:color="auto"/>
        <w:right w:val="none" w:sz="0" w:space="0" w:color="auto"/>
      </w:divBdr>
    </w:div>
    <w:div w:id="140470315">
      <w:bodyDiv w:val="1"/>
      <w:marLeft w:val="0"/>
      <w:marRight w:val="0"/>
      <w:marTop w:val="0"/>
      <w:marBottom w:val="0"/>
      <w:divBdr>
        <w:top w:val="none" w:sz="0" w:space="0" w:color="auto"/>
        <w:left w:val="none" w:sz="0" w:space="0" w:color="auto"/>
        <w:bottom w:val="none" w:sz="0" w:space="0" w:color="auto"/>
        <w:right w:val="none" w:sz="0" w:space="0" w:color="auto"/>
      </w:divBdr>
    </w:div>
    <w:div w:id="272370328">
      <w:bodyDiv w:val="1"/>
      <w:marLeft w:val="0"/>
      <w:marRight w:val="0"/>
      <w:marTop w:val="0"/>
      <w:marBottom w:val="0"/>
      <w:divBdr>
        <w:top w:val="none" w:sz="0" w:space="0" w:color="auto"/>
        <w:left w:val="none" w:sz="0" w:space="0" w:color="auto"/>
        <w:bottom w:val="none" w:sz="0" w:space="0" w:color="auto"/>
        <w:right w:val="none" w:sz="0" w:space="0" w:color="auto"/>
      </w:divBdr>
    </w:div>
    <w:div w:id="275067229">
      <w:bodyDiv w:val="1"/>
      <w:marLeft w:val="0"/>
      <w:marRight w:val="0"/>
      <w:marTop w:val="0"/>
      <w:marBottom w:val="0"/>
      <w:divBdr>
        <w:top w:val="none" w:sz="0" w:space="0" w:color="auto"/>
        <w:left w:val="none" w:sz="0" w:space="0" w:color="auto"/>
        <w:bottom w:val="none" w:sz="0" w:space="0" w:color="auto"/>
        <w:right w:val="none" w:sz="0" w:space="0" w:color="auto"/>
      </w:divBdr>
    </w:div>
    <w:div w:id="314989952">
      <w:bodyDiv w:val="1"/>
      <w:marLeft w:val="0"/>
      <w:marRight w:val="0"/>
      <w:marTop w:val="0"/>
      <w:marBottom w:val="0"/>
      <w:divBdr>
        <w:top w:val="none" w:sz="0" w:space="0" w:color="auto"/>
        <w:left w:val="none" w:sz="0" w:space="0" w:color="auto"/>
        <w:bottom w:val="none" w:sz="0" w:space="0" w:color="auto"/>
        <w:right w:val="none" w:sz="0" w:space="0" w:color="auto"/>
      </w:divBdr>
    </w:div>
    <w:div w:id="340011389">
      <w:bodyDiv w:val="1"/>
      <w:marLeft w:val="0"/>
      <w:marRight w:val="0"/>
      <w:marTop w:val="0"/>
      <w:marBottom w:val="0"/>
      <w:divBdr>
        <w:top w:val="none" w:sz="0" w:space="0" w:color="auto"/>
        <w:left w:val="none" w:sz="0" w:space="0" w:color="auto"/>
        <w:bottom w:val="none" w:sz="0" w:space="0" w:color="auto"/>
        <w:right w:val="none" w:sz="0" w:space="0" w:color="auto"/>
      </w:divBdr>
    </w:div>
    <w:div w:id="349717990">
      <w:bodyDiv w:val="1"/>
      <w:marLeft w:val="0"/>
      <w:marRight w:val="0"/>
      <w:marTop w:val="0"/>
      <w:marBottom w:val="0"/>
      <w:divBdr>
        <w:top w:val="none" w:sz="0" w:space="0" w:color="auto"/>
        <w:left w:val="none" w:sz="0" w:space="0" w:color="auto"/>
        <w:bottom w:val="none" w:sz="0" w:space="0" w:color="auto"/>
        <w:right w:val="none" w:sz="0" w:space="0" w:color="auto"/>
      </w:divBdr>
    </w:div>
    <w:div w:id="442502865">
      <w:bodyDiv w:val="1"/>
      <w:marLeft w:val="0"/>
      <w:marRight w:val="0"/>
      <w:marTop w:val="0"/>
      <w:marBottom w:val="0"/>
      <w:divBdr>
        <w:top w:val="none" w:sz="0" w:space="0" w:color="auto"/>
        <w:left w:val="none" w:sz="0" w:space="0" w:color="auto"/>
        <w:bottom w:val="none" w:sz="0" w:space="0" w:color="auto"/>
        <w:right w:val="none" w:sz="0" w:space="0" w:color="auto"/>
      </w:divBdr>
    </w:div>
    <w:div w:id="477764725">
      <w:bodyDiv w:val="1"/>
      <w:marLeft w:val="0"/>
      <w:marRight w:val="0"/>
      <w:marTop w:val="0"/>
      <w:marBottom w:val="0"/>
      <w:divBdr>
        <w:top w:val="none" w:sz="0" w:space="0" w:color="auto"/>
        <w:left w:val="none" w:sz="0" w:space="0" w:color="auto"/>
        <w:bottom w:val="none" w:sz="0" w:space="0" w:color="auto"/>
        <w:right w:val="none" w:sz="0" w:space="0" w:color="auto"/>
      </w:divBdr>
    </w:div>
    <w:div w:id="642007297">
      <w:bodyDiv w:val="1"/>
      <w:marLeft w:val="0"/>
      <w:marRight w:val="0"/>
      <w:marTop w:val="0"/>
      <w:marBottom w:val="0"/>
      <w:divBdr>
        <w:top w:val="none" w:sz="0" w:space="0" w:color="auto"/>
        <w:left w:val="none" w:sz="0" w:space="0" w:color="auto"/>
        <w:bottom w:val="none" w:sz="0" w:space="0" w:color="auto"/>
        <w:right w:val="none" w:sz="0" w:space="0" w:color="auto"/>
      </w:divBdr>
    </w:div>
    <w:div w:id="689530741">
      <w:bodyDiv w:val="1"/>
      <w:marLeft w:val="0"/>
      <w:marRight w:val="0"/>
      <w:marTop w:val="0"/>
      <w:marBottom w:val="0"/>
      <w:divBdr>
        <w:top w:val="none" w:sz="0" w:space="0" w:color="auto"/>
        <w:left w:val="none" w:sz="0" w:space="0" w:color="auto"/>
        <w:bottom w:val="none" w:sz="0" w:space="0" w:color="auto"/>
        <w:right w:val="none" w:sz="0" w:space="0" w:color="auto"/>
      </w:divBdr>
    </w:div>
    <w:div w:id="762799919">
      <w:bodyDiv w:val="1"/>
      <w:marLeft w:val="0"/>
      <w:marRight w:val="0"/>
      <w:marTop w:val="0"/>
      <w:marBottom w:val="0"/>
      <w:divBdr>
        <w:top w:val="none" w:sz="0" w:space="0" w:color="auto"/>
        <w:left w:val="none" w:sz="0" w:space="0" w:color="auto"/>
        <w:bottom w:val="none" w:sz="0" w:space="0" w:color="auto"/>
        <w:right w:val="none" w:sz="0" w:space="0" w:color="auto"/>
      </w:divBdr>
    </w:div>
    <w:div w:id="768501388">
      <w:bodyDiv w:val="1"/>
      <w:marLeft w:val="0"/>
      <w:marRight w:val="0"/>
      <w:marTop w:val="0"/>
      <w:marBottom w:val="0"/>
      <w:divBdr>
        <w:top w:val="none" w:sz="0" w:space="0" w:color="auto"/>
        <w:left w:val="none" w:sz="0" w:space="0" w:color="auto"/>
        <w:bottom w:val="none" w:sz="0" w:space="0" w:color="auto"/>
        <w:right w:val="none" w:sz="0" w:space="0" w:color="auto"/>
      </w:divBdr>
    </w:div>
    <w:div w:id="892077635">
      <w:bodyDiv w:val="1"/>
      <w:marLeft w:val="0"/>
      <w:marRight w:val="0"/>
      <w:marTop w:val="0"/>
      <w:marBottom w:val="0"/>
      <w:divBdr>
        <w:top w:val="none" w:sz="0" w:space="0" w:color="auto"/>
        <w:left w:val="none" w:sz="0" w:space="0" w:color="auto"/>
        <w:bottom w:val="none" w:sz="0" w:space="0" w:color="auto"/>
        <w:right w:val="none" w:sz="0" w:space="0" w:color="auto"/>
      </w:divBdr>
    </w:div>
    <w:div w:id="902064198">
      <w:bodyDiv w:val="1"/>
      <w:marLeft w:val="0"/>
      <w:marRight w:val="0"/>
      <w:marTop w:val="0"/>
      <w:marBottom w:val="0"/>
      <w:divBdr>
        <w:top w:val="none" w:sz="0" w:space="0" w:color="auto"/>
        <w:left w:val="none" w:sz="0" w:space="0" w:color="auto"/>
        <w:bottom w:val="none" w:sz="0" w:space="0" w:color="auto"/>
        <w:right w:val="none" w:sz="0" w:space="0" w:color="auto"/>
      </w:divBdr>
    </w:div>
    <w:div w:id="1024289228">
      <w:bodyDiv w:val="1"/>
      <w:marLeft w:val="0"/>
      <w:marRight w:val="0"/>
      <w:marTop w:val="0"/>
      <w:marBottom w:val="0"/>
      <w:divBdr>
        <w:top w:val="none" w:sz="0" w:space="0" w:color="auto"/>
        <w:left w:val="none" w:sz="0" w:space="0" w:color="auto"/>
        <w:bottom w:val="none" w:sz="0" w:space="0" w:color="auto"/>
        <w:right w:val="none" w:sz="0" w:space="0" w:color="auto"/>
      </w:divBdr>
    </w:div>
    <w:div w:id="1061445767">
      <w:bodyDiv w:val="1"/>
      <w:marLeft w:val="0"/>
      <w:marRight w:val="0"/>
      <w:marTop w:val="0"/>
      <w:marBottom w:val="0"/>
      <w:divBdr>
        <w:top w:val="none" w:sz="0" w:space="0" w:color="auto"/>
        <w:left w:val="none" w:sz="0" w:space="0" w:color="auto"/>
        <w:bottom w:val="none" w:sz="0" w:space="0" w:color="auto"/>
        <w:right w:val="none" w:sz="0" w:space="0" w:color="auto"/>
      </w:divBdr>
    </w:div>
    <w:div w:id="1082490756">
      <w:bodyDiv w:val="1"/>
      <w:marLeft w:val="0"/>
      <w:marRight w:val="0"/>
      <w:marTop w:val="0"/>
      <w:marBottom w:val="0"/>
      <w:divBdr>
        <w:top w:val="none" w:sz="0" w:space="0" w:color="auto"/>
        <w:left w:val="none" w:sz="0" w:space="0" w:color="auto"/>
        <w:bottom w:val="none" w:sz="0" w:space="0" w:color="auto"/>
        <w:right w:val="none" w:sz="0" w:space="0" w:color="auto"/>
      </w:divBdr>
    </w:div>
    <w:div w:id="1108966103">
      <w:bodyDiv w:val="1"/>
      <w:marLeft w:val="0"/>
      <w:marRight w:val="0"/>
      <w:marTop w:val="0"/>
      <w:marBottom w:val="0"/>
      <w:divBdr>
        <w:top w:val="none" w:sz="0" w:space="0" w:color="auto"/>
        <w:left w:val="none" w:sz="0" w:space="0" w:color="auto"/>
        <w:bottom w:val="none" w:sz="0" w:space="0" w:color="auto"/>
        <w:right w:val="none" w:sz="0" w:space="0" w:color="auto"/>
      </w:divBdr>
    </w:div>
    <w:div w:id="1183788956">
      <w:bodyDiv w:val="1"/>
      <w:marLeft w:val="0"/>
      <w:marRight w:val="0"/>
      <w:marTop w:val="0"/>
      <w:marBottom w:val="0"/>
      <w:divBdr>
        <w:top w:val="none" w:sz="0" w:space="0" w:color="auto"/>
        <w:left w:val="none" w:sz="0" w:space="0" w:color="auto"/>
        <w:bottom w:val="none" w:sz="0" w:space="0" w:color="auto"/>
        <w:right w:val="none" w:sz="0" w:space="0" w:color="auto"/>
      </w:divBdr>
    </w:div>
    <w:div w:id="1239172316">
      <w:bodyDiv w:val="1"/>
      <w:marLeft w:val="0"/>
      <w:marRight w:val="0"/>
      <w:marTop w:val="0"/>
      <w:marBottom w:val="0"/>
      <w:divBdr>
        <w:top w:val="none" w:sz="0" w:space="0" w:color="auto"/>
        <w:left w:val="none" w:sz="0" w:space="0" w:color="auto"/>
        <w:bottom w:val="none" w:sz="0" w:space="0" w:color="auto"/>
        <w:right w:val="none" w:sz="0" w:space="0" w:color="auto"/>
      </w:divBdr>
    </w:div>
    <w:div w:id="1368413050">
      <w:bodyDiv w:val="1"/>
      <w:marLeft w:val="0"/>
      <w:marRight w:val="0"/>
      <w:marTop w:val="0"/>
      <w:marBottom w:val="0"/>
      <w:divBdr>
        <w:top w:val="none" w:sz="0" w:space="0" w:color="auto"/>
        <w:left w:val="none" w:sz="0" w:space="0" w:color="auto"/>
        <w:bottom w:val="none" w:sz="0" w:space="0" w:color="auto"/>
        <w:right w:val="none" w:sz="0" w:space="0" w:color="auto"/>
      </w:divBdr>
    </w:div>
    <w:div w:id="1382092798">
      <w:bodyDiv w:val="1"/>
      <w:marLeft w:val="0"/>
      <w:marRight w:val="0"/>
      <w:marTop w:val="0"/>
      <w:marBottom w:val="0"/>
      <w:divBdr>
        <w:top w:val="none" w:sz="0" w:space="0" w:color="auto"/>
        <w:left w:val="none" w:sz="0" w:space="0" w:color="auto"/>
        <w:bottom w:val="none" w:sz="0" w:space="0" w:color="auto"/>
        <w:right w:val="none" w:sz="0" w:space="0" w:color="auto"/>
      </w:divBdr>
    </w:div>
    <w:div w:id="1387340261">
      <w:bodyDiv w:val="1"/>
      <w:marLeft w:val="0"/>
      <w:marRight w:val="0"/>
      <w:marTop w:val="0"/>
      <w:marBottom w:val="0"/>
      <w:divBdr>
        <w:top w:val="none" w:sz="0" w:space="0" w:color="auto"/>
        <w:left w:val="none" w:sz="0" w:space="0" w:color="auto"/>
        <w:bottom w:val="none" w:sz="0" w:space="0" w:color="auto"/>
        <w:right w:val="none" w:sz="0" w:space="0" w:color="auto"/>
      </w:divBdr>
    </w:div>
    <w:div w:id="1389501526">
      <w:bodyDiv w:val="1"/>
      <w:marLeft w:val="0"/>
      <w:marRight w:val="0"/>
      <w:marTop w:val="0"/>
      <w:marBottom w:val="0"/>
      <w:divBdr>
        <w:top w:val="none" w:sz="0" w:space="0" w:color="auto"/>
        <w:left w:val="none" w:sz="0" w:space="0" w:color="auto"/>
        <w:bottom w:val="none" w:sz="0" w:space="0" w:color="auto"/>
        <w:right w:val="none" w:sz="0" w:space="0" w:color="auto"/>
      </w:divBdr>
    </w:div>
    <w:div w:id="1408267646">
      <w:bodyDiv w:val="1"/>
      <w:marLeft w:val="0"/>
      <w:marRight w:val="0"/>
      <w:marTop w:val="0"/>
      <w:marBottom w:val="0"/>
      <w:divBdr>
        <w:top w:val="none" w:sz="0" w:space="0" w:color="auto"/>
        <w:left w:val="none" w:sz="0" w:space="0" w:color="auto"/>
        <w:bottom w:val="none" w:sz="0" w:space="0" w:color="auto"/>
        <w:right w:val="none" w:sz="0" w:space="0" w:color="auto"/>
      </w:divBdr>
    </w:div>
    <w:div w:id="1422222371">
      <w:bodyDiv w:val="1"/>
      <w:marLeft w:val="0"/>
      <w:marRight w:val="0"/>
      <w:marTop w:val="0"/>
      <w:marBottom w:val="0"/>
      <w:divBdr>
        <w:top w:val="none" w:sz="0" w:space="0" w:color="auto"/>
        <w:left w:val="none" w:sz="0" w:space="0" w:color="auto"/>
        <w:bottom w:val="none" w:sz="0" w:space="0" w:color="auto"/>
        <w:right w:val="none" w:sz="0" w:space="0" w:color="auto"/>
      </w:divBdr>
    </w:div>
    <w:div w:id="1432894456">
      <w:bodyDiv w:val="1"/>
      <w:marLeft w:val="0"/>
      <w:marRight w:val="0"/>
      <w:marTop w:val="0"/>
      <w:marBottom w:val="0"/>
      <w:divBdr>
        <w:top w:val="none" w:sz="0" w:space="0" w:color="auto"/>
        <w:left w:val="none" w:sz="0" w:space="0" w:color="auto"/>
        <w:bottom w:val="none" w:sz="0" w:space="0" w:color="auto"/>
        <w:right w:val="none" w:sz="0" w:space="0" w:color="auto"/>
      </w:divBdr>
    </w:div>
    <w:div w:id="1448542780">
      <w:bodyDiv w:val="1"/>
      <w:marLeft w:val="0"/>
      <w:marRight w:val="0"/>
      <w:marTop w:val="0"/>
      <w:marBottom w:val="0"/>
      <w:divBdr>
        <w:top w:val="none" w:sz="0" w:space="0" w:color="auto"/>
        <w:left w:val="none" w:sz="0" w:space="0" w:color="auto"/>
        <w:bottom w:val="none" w:sz="0" w:space="0" w:color="auto"/>
        <w:right w:val="none" w:sz="0" w:space="0" w:color="auto"/>
      </w:divBdr>
    </w:div>
    <w:div w:id="1468547832">
      <w:bodyDiv w:val="1"/>
      <w:marLeft w:val="0"/>
      <w:marRight w:val="0"/>
      <w:marTop w:val="0"/>
      <w:marBottom w:val="0"/>
      <w:divBdr>
        <w:top w:val="none" w:sz="0" w:space="0" w:color="auto"/>
        <w:left w:val="none" w:sz="0" w:space="0" w:color="auto"/>
        <w:bottom w:val="none" w:sz="0" w:space="0" w:color="auto"/>
        <w:right w:val="none" w:sz="0" w:space="0" w:color="auto"/>
      </w:divBdr>
    </w:div>
    <w:div w:id="1567060760">
      <w:bodyDiv w:val="1"/>
      <w:marLeft w:val="0"/>
      <w:marRight w:val="0"/>
      <w:marTop w:val="0"/>
      <w:marBottom w:val="0"/>
      <w:divBdr>
        <w:top w:val="none" w:sz="0" w:space="0" w:color="auto"/>
        <w:left w:val="none" w:sz="0" w:space="0" w:color="auto"/>
        <w:bottom w:val="none" w:sz="0" w:space="0" w:color="auto"/>
        <w:right w:val="none" w:sz="0" w:space="0" w:color="auto"/>
      </w:divBdr>
    </w:div>
    <w:div w:id="1584070949">
      <w:bodyDiv w:val="1"/>
      <w:marLeft w:val="0"/>
      <w:marRight w:val="0"/>
      <w:marTop w:val="0"/>
      <w:marBottom w:val="0"/>
      <w:divBdr>
        <w:top w:val="none" w:sz="0" w:space="0" w:color="auto"/>
        <w:left w:val="none" w:sz="0" w:space="0" w:color="auto"/>
        <w:bottom w:val="none" w:sz="0" w:space="0" w:color="auto"/>
        <w:right w:val="none" w:sz="0" w:space="0" w:color="auto"/>
      </w:divBdr>
    </w:div>
    <w:div w:id="1627930475">
      <w:bodyDiv w:val="1"/>
      <w:marLeft w:val="0"/>
      <w:marRight w:val="0"/>
      <w:marTop w:val="0"/>
      <w:marBottom w:val="0"/>
      <w:divBdr>
        <w:top w:val="none" w:sz="0" w:space="0" w:color="auto"/>
        <w:left w:val="none" w:sz="0" w:space="0" w:color="auto"/>
        <w:bottom w:val="none" w:sz="0" w:space="0" w:color="auto"/>
        <w:right w:val="none" w:sz="0" w:space="0" w:color="auto"/>
      </w:divBdr>
    </w:div>
    <w:div w:id="1808888082">
      <w:bodyDiv w:val="1"/>
      <w:marLeft w:val="0"/>
      <w:marRight w:val="0"/>
      <w:marTop w:val="0"/>
      <w:marBottom w:val="0"/>
      <w:divBdr>
        <w:top w:val="none" w:sz="0" w:space="0" w:color="auto"/>
        <w:left w:val="none" w:sz="0" w:space="0" w:color="auto"/>
        <w:bottom w:val="none" w:sz="0" w:space="0" w:color="auto"/>
        <w:right w:val="none" w:sz="0" w:space="0" w:color="auto"/>
      </w:divBdr>
    </w:div>
    <w:div w:id="1829325237">
      <w:bodyDiv w:val="1"/>
      <w:marLeft w:val="0"/>
      <w:marRight w:val="0"/>
      <w:marTop w:val="0"/>
      <w:marBottom w:val="0"/>
      <w:divBdr>
        <w:top w:val="none" w:sz="0" w:space="0" w:color="auto"/>
        <w:left w:val="none" w:sz="0" w:space="0" w:color="auto"/>
        <w:bottom w:val="none" w:sz="0" w:space="0" w:color="auto"/>
        <w:right w:val="none" w:sz="0" w:space="0" w:color="auto"/>
      </w:divBdr>
    </w:div>
    <w:div w:id="1839999313">
      <w:bodyDiv w:val="1"/>
      <w:marLeft w:val="0"/>
      <w:marRight w:val="0"/>
      <w:marTop w:val="0"/>
      <w:marBottom w:val="0"/>
      <w:divBdr>
        <w:top w:val="none" w:sz="0" w:space="0" w:color="auto"/>
        <w:left w:val="none" w:sz="0" w:space="0" w:color="auto"/>
        <w:bottom w:val="none" w:sz="0" w:space="0" w:color="auto"/>
        <w:right w:val="none" w:sz="0" w:space="0" w:color="auto"/>
      </w:divBdr>
      <w:divsChild>
        <w:div w:id="352850187">
          <w:marLeft w:val="0"/>
          <w:marRight w:val="0"/>
          <w:marTop w:val="0"/>
          <w:marBottom w:val="0"/>
          <w:divBdr>
            <w:top w:val="none" w:sz="0" w:space="0" w:color="auto"/>
            <w:left w:val="none" w:sz="0" w:space="0" w:color="auto"/>
            <w:bottom w:val="none" w:sz="0" w:space="0" w:color="auto"/>
            <w:right w:val="none" w:sz="0" w:space="0" w:color="auto"/>
          </w:divBdr>
        </w:div>
      </w:divsChild>
    </w:div>
    <w:div w:id="1867713201">
      <w:bodyDiv w:val="1"/>
      <w:marLeft w:val="0"/>
      <w:marRight w:val="0"/>
      <w:marTop w:val="0"/>
      <w:marBottom w:val="0"/>
      <w:divBdr>
        <w:top w:val="none" w:sz="0" w:space="0" w:color="auto"/>
        <w:left w:val="none" w:sz="0" w:space="0" w:color="auto"/>
        <w:bottom w:val="none" w:sz="0" w:space="0" w:color="auto"/>
        <w:right w:val="none" w:sz="0" w:space="0" w:color="auto"/>
      </w:divBdr>
    </w:div>
    <w:div w:id="1927763888">
      <w:bodyDiv w:val="1"/>
      <w:marLeft w:val="0"/>
      <w:marRight w:val="0"/>
      <w:marTop w:val="0"/>
      <w:marBottom w:val="0"/>
      <w:divBdr>
        <w:top w:val="none" w:sz="0" w:space="0" w:color="auto"/>
        <w:left w:val="none" w:sz="0" w:space="0" w:color="auto"/>
        <w:bottom w:val="none" w:sz="0" w:space="0" w:color="auto"/>
        <w:right w:val="none" w:sz="0" w:space="0" w:color="auto"/>
      </w:divBdr>
    </w:div>
    <w:div w:id="1936088729">
      <w:bodyDiv w:val="1"/>
      <w:marLeft w:val="0"/>
      <w:marRight w:val="0"/>
      <w:marTop w:val="0"/>
      <w:marBottom w:val="0"/>
      <w:divBdr>
        <w:top w:val="none" w:sz="0" w:space="0" w:color="auto"/>
        <w:left w:val="none" w:sz="0" w:space="0" w:color="auto"/>
        <w:bottom w:val="none" w:sz="0" w:space="0" w:color="auto"/>
        <w:right w:val="none" w:sz="0" w:space="0" w:color="auto"/>
      </w:divBdr>
    </w:div>
    <w:div w:id="1991591326">
      <w:bodyDiv w:val="1"/>
      <w:marLeft w:val="0"/>
      <w:marRight w:val="0"/>
      <w:marTop w:val="0"/>
      <w:marBottom w:val="0"/>
      <w:divBdr>
        <w:top w:val="none" w:sz="0" w:space="0" w:color="auto"/>
        <w:left w:val="none" w:sz="0" w:space="0" w:color="auto"/>
        <w:bottom w:val="none" w:sz="0" w:space="0" w:color="auto"/>
        <w:right w:val="none" w:sz="0" w:space="0" w:color="auto"/>
      </w:divBdr>
    </w:div>
    <w:div w:id="2030794680">
      <w:bodyDiv w:val="1"/>
      <w:marLeft w:val="0"/>
      <w:marRight w:val="0"/>
      <w:marTop w:val="0"/>
      <w:marBottom w:val="0"/>
      <w:divBdr>
        <w:top w:val="none" w:sz="0" w:space="0" w:color="auto"/>
        <w:left w:val="none" w:sz="0" w:space="0" w:color="auto"/>
        <w:bottom w:val="none" w:sz="0" w:space="0" w:color="auto"/>
        <w:right w:val="none" w:sz="0" w:space="0" w:color="auto"/>
      </w:divBdr>
    </w:div>
    <w:div w:id="2031032302">
      <w:bodyDiv w:val="1"/>
      <w:marLeft w:val="0"/>
      <w:marRight w:val="0"/>
      <w:marTop w:val="0"/>
      <w:marBottom w:val="0"/>
      <w:divBdr>
        <w:top w:val="none" w:sz="0" w:space="0" w:color="auto"/>
        <w:left w:val="none" w:sz="0" w:space="0" w:color="auto"/>
        <w:bottom w:val="none" w:sz="0" w:space="0" w:color="auto"/>
        <w:right w:val="none" w:sz="0" w:space="0" w:color="auto"/>
      </w:divBdr>
    </w:div>
    <w:div w:id="2062168116">
      <w:bodyDiv w:val="1"/>
      <w:marLeft w:val="0"/>
      <w:marRight w:val="0"/>
      <w:marTop w:val="0"/>
      <w:marBottom w:val="0"/>
      <w:divBdr>
        <w:top w:val="none" w:sz="0" w:space="0" w:color="auto"/>
        <w:left w:val="none" w:sz="0" w:space="0" w:color="auto"/>
        <w:bottom w:val="none" w:sz="0" w:space="0" w:color="auto"/>
        <w:right w:val="none" w:sz="0" w:space="0" w:color="auto"/>
      </w:divBdr>
    </w:div>
    <w:div w:id="2082865654">
      <w:bodyDiv w:val="1"/>
      <w:marLeft w:val="0"/>
      <w:marRight w:val="0"/>
      <w:marTop w:val="0"/>
      <w:marBottom w:val="0"/>
      <w:divBdr>
        <w:top w:val="none" w:sz="0" w:space="0" w:color="auto"/>
        <w:left w:val="none" w:sz="0" w:space="0" w:color="auto"/>
        <w:bottom w:val="none" w:sz="0" w:space="0" w:color="auto"/>
        <w:right w:val="none" w:sz="0" w:space="0" w:color="auto"/>
      </w:divBdr>
    </w:div>
    <w:div w:id="2097283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reg@creg.gov.co"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4510A72ED46FD94880385BEF5E5CCBA7" ma:contentTypeVersion="8" ma:contentTypeDescription="Crear nuevo documento." ma:contentTypeScope="" ma:versionID="0dc4156ea24e0361ac8a371f9ee83c5c">
  <xsd:schema xmlns:xsd="http://www.w3.org/2001/XMLSchema" xmlns:xs="http://www.w3.org/2001/XMLSchema" xmlns:p="http://schemas.microsoft.com/office/2006/metadata/properties" xmlns:ns2="bc750290-6f29-436d-a4a5-e0a82e9a917a" xmlns:ns3="dadef118-b79a-4aa6-824b-68945323e18f" targetNamespace="http://schemas.microsoft.com/office/2006/metadata/properties" ma:root="true" ma:fieldsID="fde1f4b75f142420b92f4baccda7bbd4" ns2:_="" ns3:_="">
    <xsd:import namespace="bc750290-6f29-436d-a4a5-e0a82e9a917a"/>
    <xsd:import namespace="dadef118-b79a-4aa6-824b-68945323e18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750290-6f29-436d-a4a5-e0a82e9a91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adef118-b79a-4aa6-824b-68945323e18f"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5A5FBCD-D49D-4F7E-AFBE-B5DDBCCA5252}">
  <ds:schemaRefs>
    <ds:schemaRef ds:uri="http://schemas.openxmlformats.org/officeDocument/2006/bibliography"/>
  </ds:schemaRefs>
</ds:datastoreItem>
</file>

<file path=customXml/itemProps2.xml><?xml version="1.0" encoding="utf-8"?>
<ds:datastoreItem xmlns:ds="http://schemas.openxmlformats.org/officeDocument/2006/customXml" ds:itemID="{55B37BBF-3A80-4B36-83CC-8D1B470D89C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F34AC77-63C2-4AD4-BE15-647C7721752D}">
  <ds:schemaRefs>
    <ds:schemaRef ds:uri="http://schemas.microsoft.com/sharepoint/v3/contenttype/forms"/>
  </ds:schemaRefs>
</ds:datastoreItem>
</file>

<file path=customXml/itemProps4.xml><?xml version="1.0" encoding="utf-8"?>
<ds:datastoreItem xmlns:ds="http://schemas.openxmlformats.org/officeDocument/2006/customXml" ds:itemID="{CCE74774-32E9-4C2B-A5B6-BEDDA7F6EA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750290-6f29-436d-a4a5-e0a82e9a917a"/>
    <ds:schemaRef ds:uri="dadef118-b79a-4aa6-824b-68945323e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PLANTILLA1</Template>
  <TotalTime>3</TotalTime>
  <Pages>1</Pages>
  <Words>2966</Words>
  <Characters>16317</Characters>
  <Application>Microsoft Office Word</Application>
  <DocSecurity>0</DocSecurity>
  <Lines>135</Lines>
  <Paragraphs>38</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19245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Diana Patino</cp:lastModifiedBy>
  <cp:revision>4</cp:revision>
  <cp:lastPrinted>2022-12-29T15:34:00Z</cp:lastPrinted>
  <dcterms:created xsi:type="dcterms:W3CDTF">2022-12-29T15:34:00Z</dcterms:created>
  <dcterms:modified xsi:type="dcterms:W3CDTF">2022-12-29T15:35:00Z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0x0101004510A72ED46FD94880385BEF5E5CCBA7</vt:lpwstr>
  </property>
</Properties>
</file>