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1CCD" w:rsidRDefault="00115120" w:rsidP="007072E8">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80396860" r:id="rId10"/>
        </w:pict>
      </w:r>
    </w:p>
    <w:p w:rsidR="00CA77FB" w:rsidRPr="00E01CCD" w:rsidRDefault="00CA77FB" w:rsidP="00122832">
      <w:pPr>
        <w:pStyle w:val="Ttulo4"/>
        <w:tabs>
          <w:tab w:val="left" w:pos="0"/>
          <w:tab w:val="right" w:pos="9356"/>
        </w:tabs>
        <w:ind w:left="0"/>
        <w:rPr>
          <w:rFonts w:ascii="Bookman Old Style" w:hAnsi="Bookman Old Style"/>
          <w:b w:val="0"/>
          <w:bCs/>
          <w:noProof/>
          <w:sz w:val="24"/>
          <w:szCs w:val="24"/>
          <w:lang w:val="es-ES"/>
        </w:rPr>
      </w:pPr>
      <w:r w:rsidRPr="00E01CCD">
        <w:rPr>
          <w:rFonts w:ascii="Bookman Old Style" w:hAnsi="Bookman Old Style"/>
          <w:b w:val="0"/>
          <w:bCs/>
          <w:sz w:val="24"/>
          <w:szCs w:val="24"/>
        </w:rPr>
        <w:t>Ministerio de Minas y Energía</w:t>
      </w:r>
    </w:p>
    <w:p w:rsidR="00CA77FB" w:rsidRPr="00176FF6" w:rsidRDefault="00CA77FB" w:rsidP="007072E8">
      <w:pPr>
        <w:pStyle w:val="Ttulo4"/>
        <w:tabs>
          <w:tab w:val="left" w:pos="0"/>
          <w:tab w:val="right" w:pos="9356"/>
        </w:tabs>
        <w:ind w:left="0"/>
        <w:rPr>
          <w:rFonts w:ascii="Bookman Old Style" w:hAnsi="Bookman Old Style"/>
          <w:b w:val="0"/>
          <w:bCs/>
          <w:sz w:val="24"/>
          <w:szCs w:val="24"/>
          <w:lang w:val="es-ES"/>
        </w:rPr>
      </w:pPr>
    </w:p>
    <w:p w:rsidR="00CA77FB" w:rsidRPr="00E01CCD" w:rsidRDefault="00CA77FB" w:rsidP="007072E8">
      <w:pPr>
        <w:pStyle w:val="Ttulo3"/>
        <w:tabs>
          <w:tab w:val="left" w:pos="0"/>
          <w:tab w:val="right" w:pos="9356"/>
        </w:tabs>
        <w:ind w:left="0"/>
        <w:rPr>
          <w:rFonts w:ascii="Bookman Old Style" w:hAnsi="Bookman Old Style" w:cs="Arial"/>
          <w:spacing w:val="20"/>
          <w:szCs w:val="24"/>
        </w:rPr>
      </w:pPr>
      <w:r w:rsidRPr="00E01CCD">
        <w:rPr>
          <w:rFonts w:ascii="Bookman Old Style" w:hAnsi="Bookman Old Style" w:cs="Arial"/>
          <w:spacing w:val="20"/>
          <w:szCs w:val="24"/>
        </w:rPr>
        <w:t>COMISIÓN DE REGULACIÓN DE ENERGÍA Y GAS</w:t>
      </w:r>
    </w:p>
    <w:p w:rsidR="00CA77FB" w:rsidRPr="00E01CCD" w:rsidRDefault="00CA77FB" w:rsidP="007072E8">
      <w:pPr>
        <w:pStyle w:val="Ttulo5"/>
        <w:tabs>
          <w:tab w:val="left" w:pos="0"/>
          <w:tab w:val="right" w:pos="9356"/>
        </w:tabs>
        <w:ind w:left="0"/>
        <w:rPr>
          <w:rFonts w:ascii="Bookman Old Style" w:hAnsi="Bookman Old Style"/>
          <w:sz w:val="24"/>
          <w:szCs w:val="24"/>
        </w:rPr>
      </w:pPr>
    </w:p>
    <w:p w:rsidR="00CA77FB" w:rsidRPr="00E01CCD" w:rsidRDefault="00CA77FB" w:rsidP="007072E8">
      <w:pPr>
        <w:pStyle w:val="Ttulo5"/>
        <w:tabs>
          <w:tab w:val="left" w:pos="0"/>
          <w:tab w:val="right" w:pos="9356"/>
        </w:tabs>
        <w:ind w:left="0"/>
        <w:rPr>
          <w:rFonts w:ascii="Bookman Old Style" w:hAnsi="Bookman Old Style"/>
          <w:sz w:val="24"/>
          <w:szCs w:val="24"/>
        </w:rPr>
      </w:pPr>
    </w:p>
    <w:p w:rsidR="00CA77FB" w:rsidRPr="00E01CCD" w:rsidRDefault="00CA77FB" w:rsidP="007072E8">
      <w:pPr>
        <w:pStyle w:val="Ttulo5"/>
        <w:tabs>
          <w:tab w:val="left" w:pos="0"/>
          <w:tab w:val="right" w:pos="9356"/>
        </w:tabs>
        <w:ind w:left="0"/>
        <w:rPr>
          <w:rFonts w:ascii="Bookman Old Style" w:hAnsi="Bookman Old Style"/>
          <w:sz w:val="24"/>
          <w:szCs w:val="24"/>
        </w:rPr>
      </w:pPr>
      <w:r w:rsidRPr="00E01CCD">
        <w:rPr>
          <w:rFonts w:ascii="Bookman Old Style" w:hAnsi="Bookman Old Style"/>
          <w:sz w:val="24"/>
          <w:szCs w:val="24"/>
        </w:rPr>
        <w:t xml:space="preserve">RESOLUCIÓN No. </w:t>
      </w:r>
      <w:r w:rsidR="00795BFB" w:rsidRPr="00E01CCD">
        <w:rPr>
          <w:rFonts w:ascii="Bookman Old Style" w:hAnsi="Bookman Old Style"/>
          <w:sz w:val="24"/>
          <w:szCs w:val="24"/>
        </w:rPr>
        <w:t xml:space="preserve">                  </w:t>
      </w:r>
      <w:r w:rsidRPr="00E01CCD">
        <w:rPr>
          <w:rFonts w:ascii="Bookman Old Style" w:hAnsi="Bookman Old Style"/>
          <w:sz w:val="24"/>
          <w:szCs w:val="24"/>
        </w:rPr>
        <w:t>DE 20</w:t>
      </w:r>
      <w:r w:rsidR="00EE0C78">
        <w:rPr>
          <w:rFonts w:ascii="Bookman Old Style" w:hAnsi="Bookman Old Style"/>
          <w:sz w:val="24"/>
          <w:szCs w:val="24"/>
        </w:rPr>
        <w:t>14</w:t>
      </w:r>
    </w:p>
    <w:p w:rsidR="00CA77FB" w:rsidRPr="00E01CCD" w:rsidRDefault="00CA77FB" w:rsidP="007072E8">
      <w:pPr>
        <w:tabs>
          <w:tab w:val="left" w:pos="0"/>
          <w:tab w:val="right" w:pos="9356"/>
        </w:tabs>
        <w:ind w:left="0"/>
        <w:jc w:val="center"/>
        <w:rPr>
          <w:rFonts w:ascii="Bookman Old Style" w:hAnsi="Bookman Old Style" w:cs="Arial"/>
          <w:b/>
          <w:snapToGrid w:val="0"/>
          <w:color w:val="000000"/>
          <w:lang w:val="es-ES_tradnl"/>
        </w:rPr>
      </w:pPr>
    </w:p>
    <w:p w:rsidR="00CA77FB" w:rsidRPr="00E01CCD" w:rsidRDefault="00CA77FB" w:rsidP="007072E8">
      <w:pPr>
        <w:pStyle w:val="Ttulo3"/>
        <w:tabs>
          <w:tab w:val="left" w:pos="0"/>
          <w:tab w:val="right" w:pos="9356"/>
        </w:tabs>
        <w:ind w:left="0"/>
        <w:rPr>
          <w:rFonts w:ascii="Bookman Old Style" w:hAnsi="Bookman Old Style"/>
          <w:b w:val="0"/>
          <w:szCs w:val="24"/>
        </w:rPr>
      </w:pPr>
      <w:r w:rsidRPr="00E01CCD">
        <w:rPr>
          <w:rFonts w:ascii="Bookman Old Style" w:hAnsi="Bookman Old Style"/>
          <w:b w:val="0"/>
          <w:szCs w:val="24"/>
        </w:rPr>
        <w:t>(                                  )</w:t>
      </w:r>
    </w:p>
    <w:p w:rsidR="00CA77FB" w:rsidRPr="00E01CCD" w:rsidRDefault="00CA77FB" w:rsidP="007072E8">
      <w:pPr>
        <w:tabs>
          <w:tab w:val="left" w:pos="0"/>
          <w:tab w:val="right" w:pos="9356"/>
        </w:tabs>
        <w:ind w:left="0"/>
        <w:jc w:val="center"/>
        <w:rPr>
          <w:rFonts w:ascii="Bookman Old Style" w:hAnsi="Bookman Old Style"/>
          <w:lang w:val="es-ES_tradnl"/>
        </w:rPr>
      </w:pPr>
    </w:p>
    <w:p w:rsidR="00E04C2F" w:rsidRDefault="00E04C2F" w:rsidP="00CD66DA">
      <w:pPr>
        <w:ind w:left="0" w:right="-737"/>
        <w:rPr>
          <w:rFonts w:ascii="Bookman Old Style" w:hAnsi="Bookman Old Style"/>
        </w:rPr>
      </w:pPr>
    </w:p>
    <w:p w:rsidR="00EA3E50" w:rsidRPr="00E01CCD" w:rsidRDefault="00EA3E50" w:rsidP="00A62071">
      <w:pPr>
        <w:ind w:left="0" w:right="-737"/>
        <w:jc w:val="center"/>
        <w:rPr>
          <w:rFonts w:ascii="Bookman Old Style" w:hAnsi="Bookman Old Style"/>
          <w:b/>
          <w:u w:val="single"/>
        </w:rPr>
      </w:pPr>
      <w:r w:rsidRPr="00E01CCD">
        <w:rPr>
          <w:rFonts w:ascii="Bookman Old Style" w:hAnsi="Bookman Old Style"/>
        </w:rPr>
        <w:t>Por la cual se resuelve un</w:t>
      </w:r>
      <w:r w:rsidR="00472348">
        <w:rPr>
          <w:rFonts w:ascii="Bookman Old Style" w:hAnsi="Bookman Old Style"/>
        </w:rPr>
        <w:t>a solicitud de revocatoria directa</w:t>
      </w:r>
    </w:p>
    <w:p w:rsidR="00EA3E50" w:rsidRDefault="00EA3E50" w:rsidP="00EA3E50">
      <w:pPr>
        <w:ind w:left="170" w:right="-454"/>
        <w:jc w:val="both"/>
      </w:pPr>
    </w:p>
    <w:p w:rsidR="00E04C2F" w:rsidRPr="0067792A" w:rsidRDefault="00E04C2F" w:rsidP="00EA3E50">
      <w:pPr>
        <w:ind w:left="0" w:right="-454"/>
        <w:jc w:val="both"/>
        <w:rPr>
          <w:b/>
          <w:sz w:val="20"/>
        </w:rPr>
      </w:pPr>
    </w:p>
    <w:p w:rsidR="00EA3E50" w:rsidRPr="00E01CCD" w:rsidRDefault="00EA3E50" w:rsidP="00EA3E50">
      <w:pPr>
        <w:ind w:left="170" w:right="-454"/>
        <w:jc w:val="center"/>
        <w:rPr>
          <w:rFonts w:ascii="Bookman Old Style" w:hAnsi="Bookman Old Style"/>
          <w:b/>
        </w:rPr>
      </w:pPr>
      <w:r w:rsidRPr="00E01CCD">
        <w:rPr>
          <w:rFonts w:ascii="Bookman Old Style" w:hAnsi="Bookman Old Style"/>
          <w:b/>
        </w:rPr>
        <w:t>LA COMISIÓN DE REGULACIÓN DE ENERGÍA Y GAS</w:t>
      </w:r>
    </w:p>
    <w:p w:rsidR="00EA3E50" w:rsidRPr="00E01CCD" w:rsidRDefault="00EA3E50" w:rsidP="00EA3E50">
      <w:pPr>
        <w:ind w:left="170" w:right="-454"/>
        <w:jc w:val="both"/>
        <w:rPr>
          <w:rFonts w:ascii="Bookman Old Style" w:hAnsi="Bookman Old Style"/>
        </w:rPr>
      </w:pPr>
    </w:p>
    <w:p w:rsidR="00176FF6" w:rsidRPr="0067792A" w:rsidRDefault="00176FF6" w:rsidP="00976174">
      <w:pPr>
        <w:ind w:left="0" w:right="-454"/>
        <w:jc w:val="both"/>
        <w:rPr>
          <w:rFonts w:ascii="Bookman Old Style" w:hAnsi="Bookman Old Style"/>
          <w:sz w:val="20"/>
        </w:rPr>
      </w:pPr>
    </w:p>
    <w:p w:rsidR="00EA3E50" w:rsidRPr="00E01CCD" w:rsidRDefault="00742AA7" w:rsidP="00742AA7">
      <w:pPr>
        <w:ind w:left="0"/>
        <w:jc w:val="both"/>
        <w:rPr>
          <w:rFonts w:ascii="Bookman Old Style" w:hAnsi="Bookman Old Style"/>
        </w:rPr>
      </w:pPr>
      <w:proofErr w:type="gramStart"/>
      <w:r>
        <w:rPr>
          <w:rFonts w:ascii="Bookman Old Style" w:hAnsi="Bookman Old Style"/>
        </w:rPr>
        <w:t>e</w:t>
      </w:r>
      <w:r w:rsidR="00EA3E50" w:rsidRPr="00E01CCD">
        <w:rPr>
          <w:rFonts w:ascii="Bookman Old Style" w:hAnsi="Bookman Old Style"/>
        </w:rPr>
        <w:t>n</w:t>
      </w:r>
      <w:proofErr w:type="gramEnd"/>
      <w:r w:rsidR="00EA3E50" w:rsidRPr="00E01CCD">
        <w:rPr>
          <w:rFonts w:ascii="Bookman Old Style" w:hAnsi="Bookman Old Style"/>
        </w:rPr>
        <w:t xml:space="preserve"> uso de sus facultades legales, en especial las conferidas por la Ley 142 de 1994, y en desarrollo de los decretos 2253 de 1994</w:t>
      </w:r>
      <w:r w:rsidR="00D67F03">
        <w:rPr>
          <w:rFonts w:ascii="Bookman Old Style" w:hAnsi="Bookman Old Style"/>
        </w:rPr>
        <w:t xml:space="preserve"> y 1260 de 2013</w:t>
      </w:r>
      <w:r w:rsidR="00EA3E50" w:rsidRPr="00E01CCD">
        <w:rPr>
          <w:rFonts w:ascii="Bookman Old Style" w:hAnsi="Bookman Old Style"/>
        </w:rPr>
        <w:t xml:space="preserve"> y</w:t>
      </w:r>
      <w:r w:rsidR="00D67F03">
        <w:rPr>
          <w:rFonts w:ascii="Bookman Old Style" w:hAnsi="Bookman Old Style"/>
        </w:rPr>
        <w:t>,</w:t>
      </w:r>
    </w:p>
    <w:p w:rsidR="00EA3E50" w:rsidRPr="00E01CCD" w:rsidRDefault="00EA3E50" w:rsidP="00EA3E50">
      <w:pPr>
        <w:ind w:left="0"/>
        <w:rPr>
          <w:rFonts w:ascii="Bookman Old Style" w:hAnsi="Bookman Old Style" w:cs="Arial"/>
        </w:rPr>
      </w:pPr>
    </w:p>
    <w:p w:rsidR="00654E26" w:rsidRPr="00E01CCD" w:rsidRDefault="00654E26" w:rsidP="00EA3E50">
      <w:pPr>
        <w:ind w:left="0"/>
        <w:rPr>
          <w:rFonts w:ascii="Bookman Old Style" w:hAnsi="Bookman Old Style" w:cs="Arial"/>
        </w:rPr>
      </w:pPr>
    </w:p>
    <w:p w:rsidR="00EA3E50" w:rsidRPr="00E01CCD" w:rsidRDefault="00EA3E50" w:rsidP="00F326C7">
      <w:pPr>
        <w:jc w:val="center"/>
        <w:rPr>
          <w:rFonts w:ascii="Bookman Old Style" w:hAnsi="Bookman Old Style" w:cs="Arial"/>
          <w:b/>
        </w:rPr>
      </w:pPr>
      <w:r w:rsidRPr="00E01CCD">
        <w:rPr>
          <w:rFonts w:ascii="Bookman Old Style" w:hAnsi="Bookman Old Style" w:cs="Arial"/>
          <w:b/>
        </w:rPr>
        <w:t>C O N S I D E R A N D O:</w:t>
      </w:r>
    </w:p>
    <w:p w:rsidR="001650B6" w:rsidRPr="0067792A" w:rsidRDefault="001650B6" w:rsidP="00472348">
      <w:pPr>
        <w:jc w:val="both"/>
        <w:rPr>
          <w:rFonts w:ascii="Bookman Old Style" w:hAnsi="Bookman Old Style" w:cs="Arial"/>
          <w:sz w:val="20"/>
        </w:rPr>
      </w:pPr>
    </w:p>
    <w:p w:rsidR="00E04C2F" w:rsidRDefault="00E04C2F" w:rsidP="00806132">
      <w:pPr>
        <w:ind w:left="0"/>
        <w:jc w:val="both"/>
        <w:rPr>
          <w:rFonts w:ascii="Bookman Old Style" w:hAnsi="Bookman Old Style" w:cs="Arial"/>
        </w:rPr>
      </w:pPr>
    </w:p>
    <w:p w:rsidR="00806132" w:rsidRPr="00806132" w:rsidRDefault="00742AA7" w:rsidP="00806132">
      <w:pPr>
        <w:ind w:left="0"/>
        <w:jc w:val="both"/>
        <w:rPr>
          <w:rFonts w:ascii="Bookman Old Style" w:hAnsi="Bookman Old Style" w:cs="Arial"/>
        </w:rPr>
      </w:pPr>
      <w:r>
        <w:rPr>
          <w:rFonts w:ascii="Bookman Old Style" w:hAnsi="Bookman Old Style" w:cs="Arial"/>
        </w:rPr>
        <w:t>Mediante la r</w:t>
      </w:r>
      <w:r w:rsidR="00806132" w:rsidRPr="00806132">
        <w:rPr>
          <w:rFonts w:ascii="Bookman Old Style" w:hAnsi="Bookman Old Style" w:cs="Arial"/>
        </w:rPr>
        <w:t>esolución CREG 011 de 2003, la Comisión de Regulación de Energía y Gas –CREG- estableció los criterios generales para remunerar las actividades de distribución y comercialización de gas combustible y, las fórmulas generales para la prestación del servicio público domiciliario de distribución de gas combustible por redes de tubería.</w:t>
      </w:r>
    </w:p>
    <w:p w:rsidR="00806132" w:rsidRPr="00806132" w:rsidRDefault="00806132" w:rsidP="00806132">
      <w:pPr>
        <w:ind w:left="0"/>
        <w:jc w:val="both"/>
        <w:rPr>
          <w:rFonts w:ascii="Bookman Old Style" w:hAnsi="Bookman Old Style" w:cs="Arial"/>
        </w:rPr>
      </w:pPr>
    </w:p>
    <w:p w:rsidR="00F451AC" w:rsidRPr="00F451AC" w:rsidRDefault="00F451AC" w:rsidP="00F451AC">
      <w:pPr>
        <w:ind w:left="0"/>
        <w:jc w:val="both"/>
        <w:rPr>
          <w:rFonts w:ascii="Bookman Old Style" w:hAnsi="Bookman Old Style" w:cs="Arial"/>
        </w:rPr>
      </w:pPr>
      <w:r w:rsidRPr="00F451AC">
        <w:rPr>
          <w:rFonts w:ascii="Bookman Old Style" w:hAnsi="Bookman Old Style" w:cs="Arial"/>
        </w:rPr>
        <w:t>Mediante la resolución CREG 197 de 2013, se aprobó el cargo promedio de distribución por uso del sistema de distribución y el cargo máximo base de comercialización de gas combustible por redes de tubería a usuarios regulados, para el mercado relevante conformado por el municipio de Campohermoso en el departamento de Boyacá, según solicitud tarifaria presentada por PUBLISERVICI0S S.A. E.S.P.</w:t>
      </w:r>
    </w:p>
    <w:p w:rsidR="00F451AC" w:rsidRPr="00F451AC" w:rsidRDefault="00F451AC" w:rsidP="00F451AC">
      <w:pPr>
        <w:ind w:left="0"/>
        <w:jc w:val="both"/>
        <w:rPr>
          <w:rFonts w:ascii="Bookman Old Style" w:hAnsi="Bookman Old Style" w:cs="Arial"/>
        </w:rPr>
      </w:pPr>
    </w:p>
    <w:p w:rsidR="00F451AC" w:rsidRPr="00F451AC" w:rsidRDefault="00F451AC" w:rsidP="00F451AC">
      <w:pPr>
        <w:ind w:left="0"/>
        <w:jc w:val="both"/>
        <w:rPr>
          <w:rFonts w:ascii="Bookman Old Style" w:hAnsi="Bookman Old Style" w:cs="Arial"/>
        </w:rPr>
      </w:pPr>
      <w:r w:rsidRPr="00F451AC">
        <w:rPr>
          <w:rFonts w:ascii="Bookman Old Style" w:hAnsi="Bookman Old Style" w:cs="Arial"/>
        </w:rPr>
        <w:t xml:space="preserve">En la resolución CREG 197 de 2013 se establece su notificación al representante legal de </w:t>
      </w:r>
      <w:r w:rsidR="00184518">
        <w:rPr>
          <w:rFonts w:ascii="Bookman Old Style" w:hAnsi="Bookman Old Style" w:cs="Arial"/>
        </w:rPr>
        <w:t xml:space="preserve">la empresa </w:t>
      </w:r>
      <w:r w:rsidRPr="00F451AC">
        <w:rPr>
          <w:rFonts w:ascii="Bookman Old Style" w:hAnsi="Bookman Old Style" w:cs="Arial"/>
        </w:rPr>
        <w:t xml:space="preserve">Publiservicios S.A. E.S.P y al Fondo Nacional de Regalías, procediendo el recurso de reposición, el cual podrá interponerse ante la Dirección Ejecutiva de la CREG dentro de los cinco (5) días hábiles siguientes a la fecha de notificación. </w:t>
      </w:r>
    </w:p>
    <w:p w:rsidR="00F451AC" w:rsidRPr="00F451AC" w:rsidRDefault="00F451AC" w:rsidP="00F451AC">
      <w:pPr>
        <w:ind w:left="0"/>
        <w:jc w:val="both"/>
        <w:rPr>
          <w:rFonts w:ascii="Bookman Old Style" w:hAnsi="Bookman Old Style" w:cs="Arial"/>
        </w:rPr>
      </w:pPr>
    </w:p>
    <w:p w:rsidR="00F451AC" w:rsidRPr="00F451AC" w:rsidRDefault="00F451AC" w:rsidP="00F451AC">
      <w:pPr>
        <w:ind w:left="0"/>
        <w:jc w:val="both"/>
        <w:rPr>
          <w:rFonts w:ascii="Bookman Old Style" w:hAnsi="Bookman Old Style" w:cs="Arial"/>
        </w:rPr>
      </w:pPr>
      <w:r w:rsidRPr="00F451AC">
        <w:rPr>
          <w:rFonts w:ascii="Bookman Old Style" w:hAnsi="Bookman Old Style" w:cs="Arial"/>
        </w:rPr>
        <w:t>Mediante comunicado CREG S-2013-006053 del 27 de diciembre de 2013, se envió citación al Fondo Nacional de Regalías – en liquidación- con el fin de notificar personalmente la Resolución CREG-197 de 2013.</w:t>
      </w:r>
    </w:p>
    <w:p w:rsidR="00F451AC" w:rsidRPr="00F451AC" w:rsidRDefault="00F451AC" w:rsidP="00F451AC">
      <w:pPr>
        <w:ind w:left="0"/>
        <w:jc w:val="both"/>
        <w:rPr>
          <w:rFonts w:ascii="Bookman Old Style" w:hAnsi="Bookman Old Style" w:cs="Arial"/>
        </w:rPr>
      </w:pPr>
    </w:p>
    <w:p w:rsidR="00F451AC" w:rsidRPr="00F451AC" w:rsidRDefault="00F451AC" w:rsidP="00F451AC">
      <w:pPr>
        <w:ind w:left="0"/>
        <w:jc w:val="both"/>
        <w:rPr>
          <w:rFonts w:ascii="Bookman Old Style" w:hAnsi="Bookman Old Style" w:cs="Arial"/>
        </w:rPr>
      </w:pPr>
      <w:r w:rsidRPr="00F451AC">
        <w:rPr>
          <w:rFonts w:ascii="Bookman Old Style" w:hAnsi="Bookman Old Style" w:cs="Arial"/>
        </w:rPr>
        <w:t>Mediante oficio con radicado CREG S-2014-000387 de febrero 6 de 2014, se remitió al Fondo Nacional de Regalías –en liquidación-, la notificación por Aviso No. 024 de 2014, junto con una copia del acto administrativo correspondiente.</w:t>
      </w:r>
    </w:p>
    <w:p w:rsidR="00F451AC" w:rsidRPr="00F451AC" w:rsidRDefault="00F451AC" w:rsidP="00F451AC">
      <w:pPr>
        <w:ind w:left="0"/>
        <w:jc w:val="both"/>
        <w:rPr>
          <w:rFonts w:ascii="Bookman Old Style" w:hAnsi="Bookman Old Style" w:cs="Arial"/>
        </w:rPr>
      </w:pPr>
    </w:p>
    <w:p w:rsidR="00F451AC" w:rsidRPr="00F451AC" w:rsidRDefault="00F451AC" w:rsidP="00F451AC">
      <w:pPr>
        <w:ind w:left="0"/>
        <w:jc w:val="both"/>
        <w:rPr>
          <w:rFonts w:ascii="Bookman Old Style" w:hAnsi="Bookman Old Style" w:cs="Arial"/>
        </w:rPr>
      </w:pPr>
      <w:r w:rsidRPr="00F451AC">
        <w:rPr>
          <w:rFonts w:ascii="Bookman Old Style" w:hAnsi="Bookman Old Style" w:cs="Arial"/>
        </w:rPr>
        <w:t xml:space="preserve">El 12 de febrero de 2014 en las instalaciones de la Comisión de Regulación de Energía y Gas –CREG- se hizo presente la apoderada del Fondo Nacional de </w:t>
      </w:r>
      <w:r w:rsidRPr="00F451AC">
        <w:rPr>
          <w:rFonts w:ascii="Bookman Old Style" w:hAnsi="Bookman Old Style" w:cs="Arial"/>
        </w:rPr>
        <w:lastRenderedPageBreak/>
        <w:t>Regalías –en liquidación-, notificándose personalmente del contenido de la Resolución CREG 197 de 2013.</w:t>
      </w:r>
    </w:p>
    <w:p w:rsidR="00F451AC" w:rsidRPr="00F451AC" w:rsidRDefault="00F451AC" w:rsidP="00F451AC">
      <w:pPr>
        <w:ind w:left="0"/>
        <w:jc w:val="both"/>
        <w:rPr>
          <w:rFonts w:ascii="Bookman Old Style" w:hAnsi="Bookman Old Style" w:cs="Arial"/>
        </w:rPr>
      </w:pPr>
    </w:p>
    <w:p w:rsidR="00F451AC" w:rsidRPr="00F451AC" w:rsidRDefault="00F451AC" w:rsidP="00F451AC">
      <w:pPr>
        <w:ind w:left="0"/>
        <w:jc w:val="both"/>
        <w:rPr>
          <w:rFonts w:ascii="Bookman Old Style" w:hAnsi="Bookman Old Style" w:cs="Arial"/>
        </w:rPr>
      </w:pPr>
      <w:r w:rsidRPr="00F451AC">
        <w:rPr>
          <w:rFonts w:ascii="Bookman Old Style" w:hAnsi="Bookman Old Style" w:cs="Arial"/>
        </w:rPr>
        <w:t>Mediante radicado CREG E-2014-001598 febrero 19 de 2014, el Fondo Nacional de Regalías -en liquidación-, interpone recurso de reposición contra la Resolución CREG 197 de 2013.</w:t>
      </w:r>
    </w:p>
    <w:p w:rsidR="00F451AC" w:rsidRPr="00F451AC" w:rsidRDefault="00F451AC" w:rsidP="00F451AC">
      <w:pPr>
        <w:ind w:left="0"/>
        <w:jc w:val="both"/>
        <w:rPr>
          <w:rFonts w:ascii="Bookman Old Style" w:hAnsi="Bookman Old Style" w:cs="Arial"/>
        </w:rPr>
      </w:pPr>
    </w:p>
    <w:p w:rsidR="00F451AC" w:rsidRPr="00F451AC" w:rsidRDefault="00F451AC" w:rsidP="00F451AC">
      <w:pPr>
        <w:ind w:left="0"/>
        <w:jc w:val="both"/>
        <w:rPr>
          <w:rFonts w:ascii="Bookman Old Style" w:hAnsi="Bookman Old Style" w:cs="Arial"/>
        </w:rPr>
      </w:pPr>
      <w:r w:rsidRPr="00F451AC">
        <w:rPr>
          <w:rFonts w:ascii="Bookman Old Style" w:hAnsi="Bookman Old Style" w:cs="Arial"/>
        </w:rPr>
        <w:t xml:space="preserve">A través del auto de fecha 20 de marzo de 2014, el Director Ejecutivo de la Comisión de Regulación de Energía y Gas –CREG-, teniendo en cuenta como última notificación el aviso No 024 de 2014, rechazó por extemporáneo el recurso de reposición interpuesto por la apoderada del </w:t>
      </w:r>
      <w:r>
        <w:rPr>
          <w:rFonts w:ascii="Bookman Old Style" w:hAnsi="Bookman Old Style" w:cs="Arial"/>
        </w:rPr>
        <w:t xml:space="preserve">Fondo Nacional de Regalías -en liquidación-. </w:t>
      </w:r>
    </w:p>
    <w:p w:rsidR="00F451AC" w:rsidRPr="00F451AC" w:rsidRDefault="00F451AC" w:rsidP="00F451AC">
      <w:pPr>
        <w:ind w:left="0"/>
        <w:jc w:val="both"/>
        <w:rPr>
          <w:rFonts w:ascii="Bookman Old Style" w:hAnsi="Bookman Old Style" w:cs="Arial"/>
        </w:rPr>
      </w:pPr>
    </w:p>
    <w:p w:rsidR="00F451AC" w:rsidRPr="00F451AC" w:rsidRDefault="00F451AC" w:rsidP="00F451AC">
      <w:pPr>
        <w:ind w:left="0"/>
        <w:jc w:val="both"/>
        <w:rPr>
          <w:rFonts w:ascii="Bookman Old Style" w:hAnsi="Bookman Old Style" w:cs="Arial"/>
        </w:rPr>
      </w:pPr>
      <w:r w:rsidRPr="00F451AC">
        <w:rPr>
          <w:rFonts w:ascii="Bookman Old Style" w:hAnsi="Bookman Old Style" w:cs="Arial"/>
        </w:rPr>
        <w:t>Mediante el oficio cuyo radicado interno correspondió el E-2014-003287 del 9 de abril de 2014, la apoderada del Fondo Nacional de Regalías -en liquidación-, solicita la revocatoria directa contra la Resolución CREG 197 de 2013.</w:t>
      </w:r>
    </w:p>
    <w:p w:rsidR="00806132" w:rsidRPr="00806132" w:rsidRDefault="00806132" w:rsidP="00806132">
      <w:pPr>
        <w:ind w:left="0"/>
        <w:jc w:val="both"/>
        <w:rPr>
          <w:rFonts w:ascii="Bookman Old Style" w:hAnsi="Bookman Old Style" w:cs="Arial"/>
        </w:rPr>
      </w:pPr>
    </w:p>
    <w:p w:rsidR="000B493B" w:rsidRPr="003F6E72" w:rsidRDefault="00684AB1" w:rsidP="000B493B">
      <w:pPr>
        <w:ind w:left="0"/>
        <w:jc w:val="both"/>
        <w:rPr>
          <w:rFonts w:ascii="Bookman Old Style" w:hAnsi="Bookman Old Style" w:cs="Arial"/>
          <w:lang w:val="es-CO"/>
        </w:rPr>
      </w:pPr>
      <w:r>
        <w:rPr>
          <w:rFonts w:ascii="Bookman Old Style" w:hAnsi="Bookman Old Style" w:cs="Arial"/>
        </w:rPr>
        <w:t>A través del auto de</w:t>
      </w:r>
      <w:r w:rsidR="003F6E72">
        <w:rPr>
          <w:rFonts w:ascii="Bookman Old Style" w:hAnsi="Bookman Old Style" w:cs="Arial"/>
        </w:rPr>
        <w:t>l</w:t>
      </w:r>
      <w:r>
        <w:rPr>
          <w:rFonts w:ascii="Bookman Old Style" w:hAnsi="Bookman Old Style" w:cs="Arial"/>
        </w:rPr>
        <w:t xml:space="preserve"> 17 de junio</w:t>
      </w:r>
      <w:r w:rsidR="000B493B" w:rsidRPr="00806132">
        <w:rPr>
          <w:rFonts w:ascii="Bookman Old Style" w:hAnsi="Bookman Old Style" w:cs="Arial"/>
        </w:rPr>
        <w:t xml:space="preserve"> de 2014, el Director Ejecutivo de la Comisión de Regulación de Energía y Gas –CREG-, </w:t>
      </w:r>
      <w:r>
        <w:rPr>
          <w:rFonts w:ascii="Bookman Old Style" w:hAnsi="Bookman Old Style" w:cs="Arial"/>
        </w:rPr>
        <w:t xml:space="preserve">decidió </w:t>
      </w:r>
      <w:r w:rsidR="003F6E72">
        <w:rPr>
          <w:rFonts w:ascii="Bookman Old Style" w:hAnsi="Bookman Old Style" w:cs="Arial"/>
        </w:rPr>
        <w:t>de oficio revocar el auto de fe</w:t>
      </w:r>
      <w:r>
        <w:rPr>
          <w:rFonts w:ascii="Bookman Old Style" w:hAnsi="Bookman Old Style" w:cs="Arial"/>
        </w:rPr>
        <w:t>ch</w:t>
      </w:r>
      <w:r w:rsidR="003F6E72">
        <w:rPr>
          <w:rFonts w:ascii="Bookman Old Style" w:hAnsi="Bookman Old Style" w:cs="Arial"/>
        </w:rPr>
        <w:t xml:space="preserve">a 20 de marzo de 2014, </w:t>
      </w:r>
      <w:r w:rsidR="000B493B" w:rsidRPr="00806132">
        <w:rPr>
          <w:rFonts w:ascii="Bookman Old Style" w:hAnsi="Bookman Old Style" w:cs="Arial"/>
        </w:rPr>
        <w:t>teniendo en cuenta</w:t>
      </w:r>
      <w:r w:rsidR="003F6E72">
        <w:rPr>
          <w:rFonts w:ascii="Bookman Old Style" w:hAnsi="Bookman Old Style" w:cs="Arial"/>
        </w:rPr>
        <w:t xml:space="preserve"> que </w:t>
      </w:r>
      <w:r w:rsidR="003F6E72" w:rsidRPr="003F6E72">
        <w:rPr>
          <w:rFonts w:ascii="Bookman Old Style" w:hAnsi="Bookman Old Style" w:cs="Arial"/>
          <w:lang w:val="es-CO"/>
        </w:rPr>
        <w:t xml:space="preserve">se incurrió en un error </w:t>
      </w:r>
      <w:r w:rsidR="003F6E72" w:rsidRPr="003F6E72">
        <w:rPr>
          <w:rFonts w:ascii="Bookman Old Style" w:hAnsi="Bookman Old Style" w:cs="Arial"/>
          <w:i/>
          <w:lang w:val="es-CO"/>
        </w:rPr>
        <w:t>in procedendo</w:t>
      </w:r>
      <w:r w:rsidR="003F6E72" w:rsidRPr="003F6E72">
        <w:rPr>
          <w:rFonts w:ascii="Bookman Old Style" w:hAnsi="Bookman Old Style" w:cs="Arial"/>
          <w:lang w:val="es-CO"/>
        </w:rPr>
        <w:t xml:space="preserve">, el cual conllevó a que la apoderada del Fondo Nacional de Regalías contara su término para interponer el recurso de reposición a partir de la notificación personal realizada el 12 de febrero de 2014 y no una vez vencido el término de notificación por aviso. </w:t>
      </w:r>
    </w:p>
    <w:p w:rsidR="00806132" w:rsidRPr="003F6E72" w:rsidRDefault="00806132" w:rsidP="008125A0">
      <w:pPr>
        <w:ind w:left="0"/>
        <w:jc w:val="both"/>
        <w:rPr>
          <w:rFonts w:ascii="Bookman Old Style" w:hAnsi="Bookman Old Style" w:cs="Arial"/>
          <w:lang w:val="es-CO"/>
        </w:rPr>
      </w:pPr>
    </w:p>
    <w:p w:rsidR="0030461F" w:rsidRDefault="000B493B" w:rsidP="008125A0">
      <w:pPr>
        <w:ind w:left="0"/>
        <w:jc w:val="both"/>
        <w:rPr>
          <w:rFonts w:ascii="Bookman Old Style" w:hAnsi="Bookman Old Style" w:cs="Arial"/>
        </w:rPr>
      </w:pPr>
      <w:r>
        <w:rPr>
          <w:rFonts w:ascii="Bookman Old Style" w:hAnsi="Bookman Old Style" w:cs="Arial"/>
        </w:rPr>
        <w:t>M</w:t>
      </w:r>
      <w:r w:rsidR="0030461F">
        <w:rPr>
          <w:rFonts w:ascii="Bookman Old Style" w:hAnsi="Bookman Old Style" w:cs="Arial"/>
        </w:rPr>
        <w:t xml:space="preserve">ediante Resolución CREG </w:t>
      </w:r>
      <w:r w:rsidR="00D67F03">
        <w:rPr>
          <w:rFonts w:ascii="Bookman Old Style" w:hAnsi="Bookman Old Style" w:cs="Arial"/>
        </w:rPr>
        <w:t>120 del 28</w:t>
      </w:r>
      <w:r w:rsidR="001650B6" w:rsidRPr="00D67F03">
        <w:rPr>
          <w:rFonts w:ascii="Bookman Old Style" w:hAnsi="Bookman Old Style" w:cs="Arial"/>
        </w:rPr>
        <w:t xml:space="preserve"> de </w:t>
      </w:r>
      <w:r w:rsidR="0030461F" w:rsidRPr="00D67F03">
        <w:rPr>
          <w:rFonts w:ascii="Bookman Old Style" w:hAnsi="Bookman Old Style" w:cs="Arial"/>
        </w:rPr>
        <w:t>agosto</w:t>
      </w:r>
      <w:r w:rsidR="0030461F">
        <w:rPr>
          <w:rFonts w:ascii="Bookman Old Style" w:hAnsi="Bookman Old Style" w:cs="Arial"/>
        </w:rPr>
        <w:t xml:space="preserve"> de 2014</w:t>
      </w:r>
      <w:r w:rsidR="001650B6" w:rsidRPr="00E01CCD">
        <w:rPr>
          <w:rFonts w:ascii="Bookman Old Style" w:hAnsi="Bookman Old Style" w:cs="Arial"/>
        </w:rPr>
        <w:t>, la Comisión de Regulación de Energía y Gas</w:t>
      </w:r>
      <w:r w:rsidR="0030461F">
        <w:rPr>
          <w:rFonts w:ascii="Bookman Old Style" w:hAnsi="Bookman Old Style" w:cs="Arial"/>
        </w:rPr>
        <w:t>, decidió el recurso de reposición interpuesto por el Fondo Nacional de Regalías –en liquidación-</w:t>
      </w:r>
      <w:r w:rsidR="001650B6" w:rsidRPr="00E01CCD">
        <w:rPr>
          <w:rFonts w:ascii="Bookman Old Style" w:hAnsi="Bookman Old Style" w:cs="Arial"/>
        </w:rPr>
        <w:t xml:space="preserve"> </w:t>
      </w:r>
      <w:r w:rsidR="0030461F">
        <w:rPr>
          <w:rFonts w:ascii="Bookman Old Style" w:hAnsi="Bookman Old Style" w:cs="Arial"/>
        </w:rPr>
        <w:t xml:space="preserve">confirmando en todas </w:t>
      </w:r>
      <w:r w:rsidR="008072FD">
        <w:rPr>
          <w:rFonts w:ascii="Bookman Old Style" w:hAnsi="Bookman Old Style" w:cs="Arial"/>
        </w:rPr>
        <w:t>su partes la Resolución CREG 197</w:t>
      </w:r>
      <w:r w:rsidR="0030461F">
        <w:rPr>
          <w:rFonts w:ascii="Bookman Old Style" w:hAnsi="Bookman Old Style" w:cs="Arial"/>
        </w:rPr>
        <w:t xml:space="preserve"> de 2013.</w:t>
      </w:r>
    </w:p>
    <w:p w:rsidR="001931A7" w:rsidRDefault="001931A7" w:rsidP="008125A0">
      <w:pPr>
        <w:ind w:left="0"/>
        <w:jc w:val="both"/>
        <w:rPr>
          <w:rFonts w:ascii="Bookman Old Style" w:hAnsi="Bookman Old Style" w:cs="Arial"/>
        </w:rPr>
      </w:pPr>
    </w:p>
    <w:p w:rsidR="001F60F0" w:rsidRPr="00E01CCD" w:rsidRDefault="001F60F0" w:rsidP="00C80CD8">
      <w:pPr>
        <w:numPr>
          <w:ilvl w:val="0"/>
          <w:numId w:val="18"/>
        </w:numPr>
        <w:ind w:left="0" w:firstLine="0"/>
        <w:rPr>
          <w:rFonts w:ascii="Bookman Old Style" w:hAnsi="Bookman Old Style" w:cs="Arial"/>
          <w:b/>
        </w:rPr>
      </w:pPr>
      <w:r w:rsidRPr="00E01CCD">
        <w:rPr>
          <w:rFonts w:ascii="Bookman Old Style" w:hAnsi="Bookman Old Style" w:cs="Arial"/>
          <w:b/>
        </w:rPr>
        <w:t xml:space="preserve">FUNDAMENTOS DE LA </w:t>
      </w:r>
      <w:r w:rsidR="00AB60E9">
        <w:rPr>
          <w:rFonts w:ascii="Bookman Old Style" w:hAnsi="Bookman Old Style" w:cs="Arial"/>
          <w:b/>
        </w:rPr>
        <w:t>SOLICITUD DE REVOCATORIA DIRECTA.</w:t>
      </w:r>
    </w:p>
    <w:p w:rsidR="001F60F0" w:rsidRPr="00E01CCD" w:rsidRDefault="001F60F0" w:rsidP="008125A0">
      <w:pPr>
        <w:ind w:left="0"/>
        <w:jc w:val="both"/>
        <w:rPr>
          <w:rFonts w:ascii="Bookman Old Style" w:hAnsi="Bookman Old Style" w:cs="Arial"/>
          <w:b/>
        </w:rPr>
      </w:pPr>
    </w:p>
    <w:p w:rsidR="0030461F" w:rsidRDefault="00AE0874" w:rsidP="008125A0">
      <w:pPr>
        <w:ind w:left="0"/>
        <w:jc w:val="both"/>
        <w:rPr>
          <w:rFonts w:ascii="Bookman Old Style" w:hAnsi="Bookman Old Style" w:cs="Arial"/>
          <w:bCs/>
        </w:rPr>
      </w:pPr>
      <w:r>
        <w:rPr>
          <w:rFonts w:ascii="Bookman Old Style" w:hAnsi="Bookman Old Style" w:cs="Arial"/>
          <w:bCs/>
        </w:rPr>
        <w:t>E</w:t>
      </w:r>
      <w:r w:rsidR="00B15064">
        <w:rPr>
          <w:rFonts w:ascii="Bookman Old Style" w:hAnsi="Bookman Old Style" w:cs="Arial"/>
          <w:bCs/>
        </w:rPr>
        <w:t xml:space="preserve">l </w:t>
      </w:r>
      <w:r w:rsidR="0030461F">
        <w:rPr>
          <w:rFonts w:ascii="Bookman Old Style" w:hAnsi="Bookman Old Style" w:cs="Arial"/>
          <w:bCs/>
        </w:rPr>
        <w:t>Fondo Nacional de Regalías –en liquidación- sustenta su solicitud en los siguientes términos:</w:t>
      </w:r>
    </w:p>
    <w:p w:rsidR="0030461F" w:rsidRDefault="0030461F" w:rsidP="008125A0">
      <w:pPr>
        <w:ind w:left="0"/>
        <w:jc w:val="both"/>
        <w:rPr>
          <w:rFonts w:ascii="Bookman Old Style" w:hAnsi="Bookman Old Style" w:cs="Arial"/>
          <w:bCs/>
        </w:rPr>
      </w:pPr>
    </w:p>
    <w:p w:rsidR="003875E8" w:rsidRP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w:t>
      </w:r>
    </w:p>
    <w:p w:rsidR="003875E8" w:rsidRPr="003875E8" w:rsidRDefault="003875E8" w:rsidP="003875E8">
      <w:pPr>
        <w:ind w:left="284" w:right="284"/>
        <w:jc w:val="center"/>
        <w:rPr>
          <w:rFonts w:ascii="Bookman Old Style" w:hAnsi="Bookman Old Style" w:cs="Arial"/>
          <w:b/>
          <w:bCs/>
          <w:i/>
        </w:rPr>
      </w:pPr>
      <w:r w:rsidRPr="003875E8">
        <w:rPr>
          <w:rFonts w:ascii="Bookman Old Style" w:hAnsi="Bookman Old Style" w:cs="Arial"/>
          <w:b/>
          <w:bCs/>
          <w:i/>
        </w:rPr>
        <w:t>1.</w:t>
      </w:r>
      <w:r w:rsidRPr="003875E8">
        <w:rPr>
          <w:rFonts w:ascii="Bookman Old Style" w:hAnsi="Bookman Old Style" w:cs="Arial"/>
          <w:b/>
          <w:bCs/>
          <w:i/>
        </w:rPr>
        <w:tab/>
        <w:t>ANTECEDENTES Y CONSIDERACIONES PRELIMINARIES (SIC)</w:t>
      </w:r>
    </w:p>
    <w:p w:rsidR="003875E8" w:rsidRPr="003875E8" w:rsidRDefault="003875E8" w:rsidP="003875E8">
      <w:pPr>
        <w:ind w:left="284" w:right="284"/>
        <w:jc w:val="center"/>
        <w:rPr>
          <w:rFonts w:ascii="Bookman Old Style" w:hAnsi="Bookman Old Style" w:cs="Arial"/>
          <w:b/>
          <w:bCs/>
          <w:i/>
        </w:rPr>
      </w:pPr>
    </w:p>
    <w:p w:rsid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 xml:space="preserve">La Comisión de Regulación de </w:t>
      </w:r>
      <w:r w:rsidR="004F3BBE">
        <w:rPr>
          <w:rFonts w:ascii="Bookman Old Style" w:hAnsi="Bookman Old Style" w:cs="Arial"/>
          <w:bCs/>
          <w:i/>
        </w:rPr>
        <w:t>Energía y Gas - CREG, el 27</w:t>
      </w:r>
      <w:r w:rsidRPr="003875E8">
        <w:rPr>
          <w:rFonts w:ascii="Bookman Old Style" w:hAnsi="Bookman Old Style" w:cs="Arial"/>
          <w:bCs/>
          <w:i/>
        </w:rPr>
        <w:t xml:space="preserve"> de marzo de 2014 profiere ‘AUTO POR EL CUAL SE RECHAZA EL RECURSO DE REPOSICION INTERPUESTO POR EL FONDO NACIONAL DE REGALIAS EN LIQUIDACION CONT</w:t>
      </w:r>
      <w:r w:rsidR="004F3BBE">
        <w:rPr>
          <w:rFonts w:ascii="Bookman Old Style" w:hAnsi="Bookman Old Style" w:cs="Arial"/>
          <w:bCs/>
          <w:i/>
        </w:rPr>
        <w:t>RA LA RESOLUCION CREG 197</w:t>
      </w:r>
      <w:r w:rsidR="00615180">
        <w:rPr>
          <w:rFonts w:ascii="Bookman Old Style" w:hAnsi="Bookman Old Style" w:cs="Arial"/>
          <w:bCs/>
          <w:i/>
        </w:rPr>
        <w:t xml:space="preserve"> DE 201</w:t>
      </w:r>
      <w:r w:rsidRPr="003875E8">
        <w:rPr>
          <w:rFonts w:ascii="Bookman Old Style" w:hAnsi="Bookman Old Style" w:cs="Arial"/>
          <w:bCs/>
          <w:i/>
        </w:rPr>
        <w:t>3', que en su parte considerativa establece:</w:t>
      </w:r>
    </w:p>
    <w:p w:rsidR="003875E8" w:rsidRDefault="003875E8" w:rsidP="003875E8">
      <w:pPr>
        <w:ind w:left="284" w:right="284"/>
        <w:jc w:val="both"/>
        <w:rPr>
          <w:rFonts w:ascii="Bookman Old Style" w:hAnsi="Bookman Old Style" w:cs="Arial"/>
          <w:bCs/>
          <w:i/>
        </w:rPr>
      </w:pPr>
    </w:p>
    <w:p w:rsidR="003875E8" w:rsidRPr="003875E8" w:rsidRDefault="003875E8" w:rsidP="003875E8">
      <w:pPr>
        <w:ind w:left="284" w:right="284"/>
        <w:jc w:val="both"/>
        <w:rPr>
          <w:rFonts w:ascii="Bookman Old Style" w:hAnsi="Bookman Old Style" w:cs="Arial"/>
          <w:bCs/>
          <w:i/>
        </w:rPr>
      </w:pPr>
      <w:r>
        <w:rPr>
          <w:rFonts w:ascii="Bookman Old Style" w:hAnsi="Bookman Old Style" w:cs="Arial"/>
          <w:bCs/>
          <w:i/>
        </w:rPr>
        <w:t>(…)</w:t>
      </w:r>
    </w:p>
    <w:p w:rsidR="003875E8" w:rsidRDefault="003875E8" w:rsidP="003875E8">
      <w:pPr>
        <w:ind w:left="284" w:right="284"/>
        <w:jc w:val="both"/>
        <w:rPr>
          <w:rFonts w:ascii="Bookman Old Style" w:hAnsi="Bookman Old Style" w:cs="Arial"/>
          <w:bCs/>
          <w:i/>
        </w:rPr>
      </w:pPr>
      <w:r>
        <w:rPr>
          <w:rFonts w:ascii="Bookman Old Style" w:hAnsi="Bookman Old Style" w:cs="Arial"/>
          <w:bCs/>
          <w:i/>
        </w:rPr>
        <w:t>Al respecto del rech</w:t>
      </w:r>
      <w:r w:rsidRPr="003875E8">
        <w:rPr>
          <w:rFonts w:ascii="Bookman Old Style" w:hAnsi="Bookman Old Style" w:cs="Arial"/>
          <w:bCs/>
          <w:i/>
        </w:rPr>
        <w:t>azo del recurso reposición se</w:t>
      </w:r>
      <w:r>
        <w:rPr>
          <w:rFonts w:ascii="Bookman Old Style" w:hAnsi="Bookman Old Style" w:cs="Arial"/>
          <w:bCs/>
          <w:i/>
        </w:rPr>
        <w:t xml:space="preserve"> </w:t>
      </w:r>
      <w:r w:rsidRPr="003875E8">
        <w:rPr>
          <w:rFonts w:ascii="Bookman Old Style" w:hAnsi="Bookman Old Style" w:cs="Arial"/>
          <w:bCs/>
          <w:i/>
        </w:rPr>
        <w:t>debe manifestar lo siguiente:</w:t>
      </w:r>
    </w:p>
    <w:p w:rsidR="003875E8" w:rsidRPr="003875E8" w:rsidRDefault="003875E8" w:rsidP="003875E8">
      <w:pPr>
        <w:ind w:left="284" w:right="284"/>
        <w:jc w:val="both"/>
        <w:rPr>
          <w:rFonts w:ascii="Bookman Old Style" w:hAnsi="Bookman Old Style" w:cs="Arial"/>
          <w:bCs/>
          <w:i/>
        </w:rPr>
      </w:pPr>
    </w:p>
    <w:p w:rsid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El fundamento legal de esa Comisión para rechazar por extemporáneo el recurso de reposición presentado po</w:t>
      </w:r>
      <w:r>
        <w:rPr>
          <w:rFonts w:ascii="Bookman Old Style" w:hAnsi="Bookman Old Style" w:cs="Arial"/>
          <w:bCs/>
          <w:i/>
        </w:rPr>
        <w:t xml:space="preserve">r el Fondo Nacional de Regalías </w:t>
      </w:r>
      <w:r w:rsidRPr="003875E8">
        <w:rPr>
          <w:rFonts w:ascii="Bookman Old Style" w:hAnsi="Bookman Old Style" w:cs="Arial"/>
          <w:bCs/>
          <w:i/>
        </w:rPr>
        <w:t>en Liquidación,</w:t>
      </w:r>
      <w:r>
        <w:rPr>
          <w:rFonts w:ascii="Bookman Old Style" w:hAnsi="Bookman Old Style" w:cs="Arial"/>
          <w:bCs/>
          <w:i/>
        </w:rPr>
        <w:t xml:space="preserve"> </w:t>
      </w:r>
      <w:r w:rsidRPr="003875E8">
        <w:rPr>
          <w:rFonts w:ascii="Bookman Old Style" w:hAnsi="Bookman Old Style" w:cs="Arial"/>
          <w:bCs/>
          <w:i/>
        </w:rPr>
        <w:t>el 19 de febrero de 2014,</w:t>
      </w:r>
      <w:r>
        <w:rPr>
          <w:rFonts w:ascii="Bookman Old Style" w:hAnsi="Bookman Old Style" w:cs="Arial"/>
          <w:bCs/>
          <w:i/>
        </w:rPr>
        <w:t xml:space="preserve"> </w:t>
      </w:r>
      <w:r w:rsidRPr="003875E8">
        <w:rPr>
          <w:rFonts w:ascii="Bookman Old Style" w:hAnsi="Bookman Old Style" w:cs="Arial"/>
          <w:bCs/>
          <w:i/>
        </w:rPr>
        <w:t>es lo dispuesto en el articulo113</w:t>
      </w:r>
      <w:r>
        <w:rPr>
          <w:rFonts w:ascii="Bookman Old Style" w:hAnsi="Bookman Old Style" w:cs="Arial"/>
          <w:bCs/>
          <w:i/>
        </w:rPr>
        <w:t xml:space="preserve"> </w:t>
      </w:r>
      <w:r w:rsidRPr="003875E8">
        <w:rPr>
          <w:rFonts w:ascii="Bookman Old Style" w:hAnsi="Bookman Old Style" w:cs="Arial"/>
          <w:bCs/>
          <w:i/>
        </w:rPr>
        <w:t>de la Ley 142 de 1994 que dispone:</w:t>
      </w:r>
    </w:p>
    <w:p w:rsidR="003875E8" w:rsidRDefault="003875E8" w:rsidP="003875E8">
      <w:pPr>
        <w:ind w:left="284" w:right="284"/>
        <w:jc w:val="both"/>
        <w:rPr>
          <w:rFonts w:ascii="Bookman Old Style" w:hAnsi="Bookman Old Style" w:cs="Arial"/>
          <w:bCs/>
          <w:i/>
        </w:rPr>
      </w:pPr>
      <w:r>
        <w:rPr>
          <w:rFonts w:ascii="Bookman Old Style" w:hAnsi="Bookman Old Style" w:cs="Arial"/>
          <w:bCs/>
          <w:i/>
        </w:rPr>
        <w:lastRenderedPageBreak/>
        <w:t>(…)</w:t>
      </w:r>
    </w:p>
    <w:p w:rsidR="00067459" w:rsidRDefault="00067459" w:rsidP="003875E8">
      <w:pPr>
        <w:ind w:left="284" w:right="284"/>
        <w:jc w:val="both"/>
        <w:rPr>
          <w:rFonts w:ascii="Bookman Old Style" w:hAnsi="Bookman Old Style" w:cs="Arial"/>
          <w:bCs/>
          <w:i/>
        </w:rPr>
      </w:pPr>
    </w:p>
    <w:p w:rsid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Al</w:t>
      </w:r>
      <w:r>
        <w:rPr>
          <w:rFonts w:ascii="Bookman Old Style" w:hAnsi="Bookman Old Style" w:cs="Arial"/>
          <w:bCs/>
          <w:i/>
        </w:rPr>
        <w:t xml:space="preserve"> respecto, si bi</w:t>
      </w:r>
      <w:r w:rsidRPr="003875E8">
        <w:rPr>
          <w:rFonts w:ascii="Bookman Old Style" w:hAnsi="Bookman Old Style" w:cs="Arial"/>
          <w:bCs/>
          <w:i/>
        </w:rPr>
        <w:t>en</w:t>
      </w:r>
      <w:r>
        <w:rPr>
          <w:rFonts w:ascii="Bookman Old Style" w:hAnsi="Bookman Old Style" w:cs="Arial"/>
          <w:bCs/>
          <w:i/>
        </w:rPr>
        <w:t xml:space="preserve"> </w:t>
      </w:r>
      <w:r w:rsidRPr="003875E8">
        <w:rPr>
          <w:rFonts w:ascii="Bookman Old Style" w:hAnsi="Bookman Old Style" w:cs="Arial"/>
          <w:bCs/>
          <w:i/>
        </w:rPr>
        <w:t>el</w:t>
      </w:r>
      <w:r>
        <w:rPr>
          <w:rFonts w:ascii="Bookman Old Style" w:hAnsi="Bookman Old Style" w:cs="Arial"/>
          <w:bCs/>
          <w:i/>
        </w:rPr>
        <w:t xml:space="preserve"> artículo 113 d</w:t>
      </w:r>
      <w:r w:rsidR="00BD53C4">
        <w:rPr>
          <w:rFonts w:ascii="Bookman Old Style" w:hAnsi="Bookman Old Style" w:cs="Arial"/>
          <w:bCs/>
          <w:i/>
        </w:rPr>
        <w:t>e</w:t>
      </w:r>
      <w:r>
        <w:rPr>
          <w:rFonts w:ascii="Bookman Old Style" w:hAnsi="Bookman Old Style" w:cs="Arial"/>
          <w:bCs/>
          <w:i/>
        </w:rPr>
        <w:t xml:space="preserve"> </w:t>
      </w:r>
      <w:r w:rsidRPr="003875E8">
        <w:rPr>
          <w:rFonts w:ascii="Bookman Old Style" w:hAnsi="Bookman Old Style" w:cs="Arial"/>
          <w:bCs/>
          <w:i/>
        </w:rPr>
        <w:t xml:space="preserve">la Ley 142 de 1994, establece como oportunidad para presentar el recurso </w:t>
      </w:r>
      <w:r w:rsidRPr="00BD53C4">
        <w:rPr>
          <w:rFonts w:ascii="Bookman Old Style" w:hAnsi="Bookman Old Style" w:cs="Arial"/>
          <w:b/>
          <w:bCs/>
          <w:i/>
          <w:u w:val="single"/>
        </w:rPr>
        <w:t>cinco días s</w:t>
      </w:r>
      <w:r w:rsidR="00BD53C4" w:rsidRPr="00BD53C4">
        <w:rPr>
          <w:rFonts w:ascii="Bookman Old Style" w:hAnsi="Bookman Old Style" w:cs="Arial"/>
          <w:b/>
          <w:bCs/>
          <w:i/>
          <w:u w:val="single"/>
        </w:rPr>
        <w:t>iguientes a la notificación o publicación</w:t>
      </w:r>
      <w:r w:rsidRPr="003875E8">
        <w:rPr>
          <w:rFonts w:ascii="Bookman Old Style" w:hAnsi="Bookman Old Style" w:cs="Arial"/>
          <w:bCs/>
          <w:i/>
        </w:rPr>
        <w:t>,</w:t>
      </w:r>
      <w:r w:rsidR="00BD53C4">
        <w:rPr>
          <w:rFonts w:ascii="Bookman Old Style" w:hAnsi="Bookman Old Style" w:cs="Arial"/>
          <w:bCs/>
          <w:i/>
        </w:rPr>
        <w:t xml:space="preserve"> </w:t>
      </w:r>
      <w:r w:rsidRPr="003875E8">
        <w:rPr>
          <w:rFonts w:ascii="Bookman Old Style" w:hAnsi="Bookman Old Style" w:cs="Arial"/>
          <w:bCs/>
          <w:i/>
        </w:rPr>
        <w:t>disposición que se encontraba acorde</w:t>
      </w:r>
      <w:r w:rsidR="00BD53C4">
        <w:rPr>
          <w:rFonts w:ascii="Bookman Old Style" w:hAnsi="Bookman Old Style" w:cs="Arial"/>
          <w:bCs/>
          <w:i/>
        </w:rPr>
        <w:t xml:space="preserve"> </w:t>
      </w:r>
      <w:r w:rsidRPr="003875E8">
        <w:rPr>
          <w:rFonts w:ascii="Bookman Old Style" w:hAnsi="Bookman Old Style" w:cs="Arial"/>
          <w:bCs/>
          <w:i/>
        </w:rPr>
        <w:t>a</w:t>
      </w:r>
      <w:r w:rsidR="00BD53C4">
        <w:rPr>
          <w:rFonts w:ascii="Bookman Old Style" w:hAnsi="Bookman Old Style" w:cs="Arial"/>
          <w:bCs/>
          <w:i/>
        </w:rPr>
        <w:t xml:space="preserve"> l</w:t>
      </w:r>
      <w:r w:rsidRPr="003875E8">
        <w:rPr>
          <w:rFonts w:ascii="Bookman Old Style" w:hAnsi="Bookman Old Style" w:cs="Arial"/>
          <w:bCs/>
          <w:i/>
        </w:rPr>
        <w:t xml:space="preserve">o establecido en el anterior código contencioso administrativo </w:t>
      </w:r>
      <w:r w:rsidR="00BD53C4">
        <w:rPr>
          <w:rFonts w:ascii="Bookman Old Style" w:hAnsi="Bookman Old Style" w:cs="Arial"/>
          <w:bCs/>
          <w:i/>
        </w:rPr>
        <w:t>-Decreto 0</w:t>
      </w:r>
      <w:r w:rsidRPr="003875E8">
        <w:rPr>
          <w:rFonts w:ascii="Bookman Old Style" w:hAnsi="Bookman Old Style" w:cs="Arial"/>
          <w:bCs/>
          <w:i/>
        </w:rPr>
        <w:t>1 de 1984</w:t>
      </w:r>
      <w:r w:rsidR="00BD53C4">
        <w:rPr>
          <w:rFonts w:ascii="Bookman Old Style" w:hAnsi="Bookman Old Style" w:cs="Arial"/>
          <w:bCs/>
          <w:i/>
        </w:rPr>
        <w:t xml:space="preserve"> (…), no puede esa Co</w:t>
      </w:r>
      <w:r w:rsidRPr="003875E8">
        <w:rPr>
          <w:rFonts w:ascii="Bookman Old Style" w:hAnsi="Bookman Old Style" w:cs="Arial"/>
          <w:bCs/>
          <w:i/>
        </w:rPr>
        <w:t>misión de Regulación perder de vista ni desconocer lo dispuesto en la Ley 1437</w:t>
      </w:r>
      <w:r w:rsidR="00BD53C4">
        <w:rPr>
          <w:rFonts w:ascii="Bookman Old Style" w:hAnsi="Bookman Old Style" w:cs="Arial"/>
          <w:bCs/>
          <w:i/>
        </w:rPr>
        <w:t xml:space="preserve"> de 2011, “</w:t>
      </w:r>
      <w:r w:rsidRPr="003875E8">
        <w:rPr>
          <w:rFonts w:ascii="Bookman Old Style" w:hAnsi="Bookman Old Style" w:cs="Arial"/>
          <w:bCs/>
          <w:i/>
        </w:rPr>
        <w:t>Por</w:t>
      </w:r>
      <w:r w:rsidR="00BD53C4">
        <w:rPr>
          <w:rFonts w:ascii="Bookman Old Style" w:hAnsi="Bookman Old Style" w:cs="Arial"/>
          <w:bCs/>
          <w:i/>
        </w:rPr>
        <w:t xml:space="preserve"> la cual se expide el Código de P</w:t>
      </w:r>
      <w:r w:rsidRPr="003875E8">
        <w:rPr>
          <w:rFonts w:ascii="Bookman Old Style" w:hAnsi="Bookman Old Style" w:cs="Arial"/>
          <w:bCs/>
          <w:i/>
        </w:rPr>
        <w:t>rocedimiento</w:t>
      </w:r>
      <w:r w:rsidR="00BD53C4">
        <w:rPr>
          <w:rFonts w:ascii="Bookman Old Style" w:hAnsi="Bookman Old Style" w:cs="Arial"/>
          <w:bCs/>
          <w:i/>
        </w:rPr>
        <w:t xml:space="preserve"> </w:t>
      </w:r>
      <w:r w:rsidR="00067459">
        <w:rPr>
          <w:rFonts w:ascii="Bookman Old Style" w:hAnsi="Bookman Old Style" w:cs="Arial"/>
          <w:bCs/>
          <w:i/>
        </w:rPr>
        <w:t>Adminis</w:t>
      </w:r>
      <w:r w:rsidRPr="003875E8">
        <w:rPr>
          <w:rFonts w:ascii="Bookman Old Style" w:hAnsi="Bookman Old Style" w:cs="Arial"/>
          <w:bCs/>
          <w:i/>
        </w:rPr>
        <w:t>trat</w:t>
      </w:r>
      <w:r w:rsidR="00067459">
        <w:rPr>
          <w:rFonts w:ascii="Bookman Old Style" w:hAnsi="Bookman Old Style" w:cs="Arial"/>
          <w:bCs/>
          <w:i/>
        </w:rPr>
        <w:t xml:space="preserve">ivo </w:t>
      </w:r>
      <w:r w:rsidRPr="003875E8">
        <w:rPr>
          <w:rFonts w:ascii="Bookman Old Style" w:hAnsi="Bookman Old Style" w:cs="Arial"/>
          <w:bCs/>
          <w:i/>
        </w:rPr>
        <w:t>y</w:t>
      </w:r>
      <w:r w:rsidR="00067459">
        <w:rPr>
          <w:rFonts w:ascii="Bookman Old Style" w:hAnsi="Bookman Old Style" w:cs="Arial"/>
          <w:bCs/>
          <w:i/>
        </w:rPr>
        <w:t xml:space="preserve"> de lo Contencioso Administrativo</w:t>
      </w:r>
      <w:r w:rsidRPr="003875E8">
        <w:rPr>
          <w:rFonts w:ascii="Bookman Old Style" w:hAnsi="Bookman Old Style" w:cs="Arial"/>
          <w:bCs/>
          <w:i/>
        </w:rPr>
        <w:t>,</w:t>
      </w:r>
      <w:r w:rsidR="00067459">
        <w:rPr>
          <w:rFonts w:ascii="Bookman Old Style" w:hAnsi="Bookman Old Style" w:cs="Arial"/>
          <w:bCs/>
          <w:i/>
        </w:rPr>
        <w:t xml:space="preserve"> </w:t>
      </w:r>
      <w:r w:rsidRPr="003875E8">
        <w:rPr>
          <w:rFonts w:ascii="Bookman Old Style" w:hAnsi="Bookman Old Style" w:cs="Arial"/>
          <w:bCs/>
          <w:i/>
        </w:rPr>
        <w:t>que</w:t>
      </w:r>
      <w:r w:rsidR="00067459">
        <w:rPr>
          <w:rFonts w:ascii="Bookman Old Style" w:hAnsi="Bookman Old Style" w:cs="Arial"/>
          <w:bCs/>
          <w:i/>
        </w:rPr>
        <w:t xml:space="preserve"> </w:t>
      </w:r>
      <w:r w:rsidRPr="003875E8">
        <w:rPr>
          <w:rFonts w:ascii="Bookman Old Style" w:hAnsi="Bookman Old Style" w:cs="Arial"/>
          <w:bCs/>
          <w:i/>
        </w:rPr>
        <w:t>en sus artículos 74,</w:t>
      </w:r>
      <w:r w:rsidR="00067459">
        <w:rPr>
          <w:rFonts w:ascii="Bookman Old Style" w:hAnsi="Bookman Old Style" w:cs="Arial"/>
          <w:bCs/>
          <w:i/>
        </w:rPr>
        <w:t xml:space="preserve"> </w:t>
      </w:r>
      <w:r w:rsidRPr="003875E8">
        <w:rPr>
          <w:rFonts w:ascii="Bookman Old Style" w:hAnsi="Bookman Old Style" w:cs="Arial"/>
          <w:bCs/>
          <w:i/>
        </w:rPr>
        <w:t>76,</w:t>
      </w:r>
      <w:r w:rsidR="00067459">
        <w:rPr>
          <w:rFonts w:ascii="Bookman Old Style" w:hAnsi="Bookman Old Style" w:cs="Arial"/>
          <w:bCs/>
          <w:i/>
        </w:rPr>
        <w:t xml:space="preserve"> </w:t>
      </w:r>
      <w:r w:rsidRPr="003875E8">
        <w:rPr>
          <w:rFonts w:ascii="Bookman Old Style" w:hAnsi="Bookman Old Style" w:cs="Arial"/>
          <w:bCs/>
          <w:i/>
        </w:rPr>
        <w:t>308</w:t>
      </w:r>
      <w:r w:rsidR="00067459">
        <w:rPr>
          <w:rFonts w:ascii="Bookman Old Style" w:hAnsi="Bookman Old Style" w:cs="Arial"/>
          <w:bCs/>
          <w:i/>
        </w:rPr>
        <w:t xml:space="preserve"> </w:t>
      </w:r>
      <w:r w:rsidRPr="003875E8">
        <w:rPr>
          <w:rFonts w:ascii="Bookman Old Style" w:hAnsi="Bookman Old Style" w:cs="Arial"/>
          <w:bCs/>
          <w:i/>
        </w:rPr>
        <w:t>y</w:t>
      </w:r>
      <w:r w:rsidR="00067459">
        <w:rPr>
          <w:rFonts w:ascii="Bookman Old Style" w:hAnsi="Bookman Old Style" w:cs="Arial"/>
          <w:bCs/>
          <w:i/>
        </w:rPr>
        <w:t xml:space="preserve"> </w:t>
      </w:r>
      <w:r w:rsidRPr="003875E8">
        <w:rPr>
          <w:rFonts w:ascii="Bookman Old Style" w:hAnsi="Bookman Old Style" w:cs="Arial"/>
          <w:bCs/>
          <w:i/>
        </w:rPr>
        <w:t>399 dispone:</w:t>
      </w:r>
    </w:p>
    <w:p w:rsidR="00067459" w:rsidRDefault="00067459" w:rsidP="003875E8">
      <w:pPr>
        <w:ind w:left="284" w:right="284"/>
        <w:jc w:val="both"/>
        <w:rPr>
          <w:rFonts w:ascii="Bookman Old Style" w:hAnsi="Bookman Old Style" w:cs="Arial"/>
          <w:bCs/>
          <w:i/>
        </w:rPr>
      </w:pPr>
    </w:p>
    <w:p w:rsidR="00067459" w:rsidRDefault="00067459" w:rsidP="003875E8">
      <w:pPr>
        <w:ind w:left="284" w:right="284"/>
        <w:jc w:val="both"/>
        <w:rPr>
          <w:rFonts w:ascii="Bookman Old Style" w:hAnsi="Bookman Old Style" w:cs="Arial"/>
          <w:bCs/>
          <w:i/>
        </w:rPr>
      </w:pPr>
      <w:r>
        <w:rPr>
          <w:rFonts w:ascii="Bookman Old Style" w:hAnsi="Bookman Old Style" w:cs="Arial"/>
          <w:bCs/>
          <w:i/>
        </w:rPr>
        <w:t>(…)</w:t>
      </w:r>
    </w:p>
    <w:p w:rsidR="00067459" w:rsidRDefault="00067459" w:rsidP="003875E8">
      <w:pPr>
        <w:ind w:left="284" w:right="284"/>
        <w:jc w:val="both"/>
        <w:rPr>
          <w:rFonts w:ascii="Bookman Old Style" w:hAnsi="Bookman Old Style" w:cs="Arial"/>
          <w:bCs/>
          <w:i/>
        </w:rPr>
      </w:pPr>
    </w:p>
    <w:p w:rsidR="00CA6DB4" w:rsidRDefault="00067459" w:rsidP="003875E8">
      <w:pPr>
        <w:ind w:left="284" w:right="284"/>
        <w:jc w:val="both"/>
        <w:rPr>
          <w:rFonts w:ascii="Bookman Old Style" w:hAnsi="Bookman Old Style" w:cs="Arial"/>
          <w:bCs/>
          <w:i/>
        </w:rPr>
      </w:pPr>
      <w:r>
        <w:rPr>
          <w:rFonts w:ascii="Bookman Old Style" w:hAnsi="Bookman Old Style" w:cs="Arial"/>
          <w:bCs/>
          <w:i/>
        </w:rPr>
        <w:t>Por l</w:t>
      </w:r>
      <w:r w:rsidR="003875E8" w:rsidRPr="003875E8">
        <w:rPr>
          <w:rFonts w:ascii="Bookman Old Style" w:hAnsi="Bookman Old Style" w:cs="Arial"/>
          <w:bCs/>
          <w:i/>
        </w:rPr>
        <w:t>o anterior,</w:t>
      </w:r>
      <w:r>
        <w:rPr>
          <w:rFonts w:ascii="Bookman Old Style" w:hAnsi="Bookman Old Style" w:cs="Arial"/>
          <w:bCs/>
          <w:i/>
        </w:rPr>
        <w:t xml:space="preserve"> como se observa la Comisión de Regulación de Energí</w:t>
      </w:r>
      <w:r w:rsidR="003875E8" w:rsidRPr="003875E8">
        <w:rPr>
          <w:rFonts w:ascii="Bookman Old Style" w:hAnsi="Bookman Old Style" w:cs="Arial"/>
          <w:bCs/>
          <w:i/>
        </w:rPr>
        <w:t>a</w:t>
      </w:r>
      <w:r>
        <w:rPr>
          <w:rFonts w:ascii="Bookman Old Style" w:hAnsi="Bookman Old Style" w:cs="Arial"/>
          <w:bCs/>
          <w:i/>
        </w:rPr>
        <w:t xml:space="preserve"> </w:t>
      </w:r>
      <w:r w:rsidR="003875E8" w:rsidRPr="003875E8">
        <w:rPr>
          <w:rFonts w:ascii="Bookman Old Style" w:hAnsi="Bookman Old Style" w:cs="Arial"/>
          <w:bCs/>
          <w:i/>
        </w:rPr>
        <w:t>y</w:t>
      </w:r>
      <w:r>
        <w:rPr>
          <w:rFonts w:ascii="Bookman Old Style" w:hAnsi="Bookman Old Style" w:cs="Arial"/>
          <w:bCs/>
          <w:i/>
        </w:rPr>
        <w:t xml:space="preserve"> </w:t>
      </w:r>
      <w:r w:rsidR="003875E8" w:rsidRPr="003875E8">
        <w:rPr>
          <w:rFonts w:ascii="Bookman Old Style" w:hAnsi="Bookman Old Style" w:cs="Arial"/>
          <w:bCs/>
          <w:i/>
        </w:rPr>
        <w:t xml:space="preserve">Gas está vulnerando el debido proceso de la entidad que represento, por cuanto el término que debe ser tenido en cuenta para </w:t>
      </w:r>
      <w:r w:rsidR="00D36136">
        <w:rPr>
          <w:rFonts w:ascii="Bookman Old Style" w:hAnsi="Bookman Old Style" w:cs="Arial"/>
          <w:bCs/>
          <w:i/>
        </w:rPr>
        <w:t>la interposición de l</w:t>
      </w:r>
      <w:r w:rsidR="003875E8" w:rsidRPr="003875E8">
        <w:rPr>
          <w:rFonts w:ascii="Bookman Old Style" w:hAnsi="Bookman Old Style" w:cs="Arial"/>
          <w:bCs/>
          <w:i/>
        </w:rPr>
        <w:t>os recur</w:t>
      </w:r>
      <w:r w:rsidR="00D36136">
        <w:rPr>
          <w:rFonts w:ascii="Bookman Old Style" w:hAnsi="Bookman Old Style" w:cs="Arial"/>
          <w:bCs/>
          <w:i/>
        </w:rPr>
        <w:t>sos es el establecido en el artí</w:t>
      </w:r>
      <w:r w:rsidR="00CA6DB4">
        <w:rPr>
          <w:rFonts w:ascii="Bookman Old Style" w:hAnsi="Bookman Old Style" w:cs="Arial"/>
          <w:bCs/>
          <w:i/>
        </w:rPr>
        <w:t xml:space="preserve">culo </w:t>
      </w:r>
      <w:r w:rsidR="00CA6DB4" w:rsidRPr="00CA6DB4">
        <w:rPr>
          <w:rFonts w:ascii="Bookman Old Style" w:hAnsi="Bookman Old Style" w:cs="Arial"/>
          <w:b/>
          <w:bCs/>
          <w:i/>
        </w:rPr>
        <w:t>76 de la Ley 1437de 20</w:t>
      </w:r>
      <w:r w:rsidR="003875E8" w:rsidRPr="00CA6DB4">
        <w:rPr>
          <w:rFonts w:ascii="Bookman Old Style" w:hAnsi="Bookman Old Style" w:cs="Arial"/>
          <w:b/>
          <w:bCs/>
          <w:i/>
        </w:rPr>
        <w:t>11</w:t>
      </w:r>
      <w:r w:rsidR="003875E8" w:rsidRPr="003875E8">
        <w:rPr>
          <w:rFonts w:ascii="Bookman Old Style" w:hAnsi="Bookman Old Style" w:cs="Arial"/>
          <w:bCs/>
          <w:i/>
        </w:rPr>
        <w:t>,</w:t>
      </w:r>
      <w:r w:rsidR="00CA6DB4">
        <w:rPr>
          <w:rFonts w:ascii="Bookman Old Style" w:hAnsi="Bookman Old Style" w:cs="Arial"/>
          <w:bCs/>
          <w:i/>
        </w:rPr>
        <w:t xml:space="preserve"> </w:t>
      </w:r>
      <w:r w:rsidR="003875E8" w:rsidRPr="003875E8">
        <w:rPr>
          <w:rFonts w:ascii="Bookman Old Style" w:hAnsi="Bookman Old Style" w:cs="Arial"/>
          <w:bCs/>
          <w:i/>
        </w:rPr>
        <w:t>y</w:t>
      </w:r>
      <w:r w:rsidR="00CA6DB4">
        <w:rPr>
          <w:rFonts w:ascii="Bookman Old Style" w:hAnsi="Bookman Old Style" w:cs="Arial"/>
          <w:bCs/>
          <w:i/>
        </w:rPr>
        <w:t xml:space="preserve"> </w:t>
      </w:r>
      <w:r w:rsidR="003875E8" w:rsidRPr="003875E8">
        <w:rPr>
          <w:rFonts w:ascii="Bookman Old Style" w:hAnsi="Bookman Old Style" w:cs="Arial"/>
          <w:bCs/>
          <w:i/>
        </w:rPr>
        <w:t>no lo dispuesto en el artlculo113 de la Ley 142 de 1994,</w:t>
      </w:r>
      <w:r w:rsidR="00CA6DB4">
        <w:rPr>
          <w:rFonts w:ascii="Bookman Old Style" w:hAnsi="Bookman Old Style" w:cs="Arial"/>
          <w:bCs/>
          <w:i/>
        </w:rPr>
        <w:t xml:space="preserve"> </w:t>
      </w:r>
      <w:r w:rsidR="003875E8" w:rsidRPr="003875E8">
        <w:rPr>
          <w:rFonts w:ascii="Bookman Old Style" w:hAnsi="Bookman Old Style" w:cs="Arial"/>
          <w:bCs/>
          <w:i/>
        </w:rPr>
        <w:t>norma que por ser menos favorable</w:t>
      </w:r>
      <w:r w:rsidR="00CA6DB4">
        <w:rPr>
          <w:rFonts w:ascii="Bookman Old Style" w:hAnsi="Bookman Old Style" w:cs="Arial"/>
          <w:bCs/>
          <w:i/>
        </w:rPr>
        <w:t xml:space="preserve"> </w:t>
      </w:r>
      <w:r w:rsidR="003875E8" w:rsidRPr="003875E8">
        <w:rPr>
          <w:rFonts w:ascii="Bookman Old Style" w:hAnsi="Bookman Old Style" w:cs="Arial"/>
          <w:bCs/>
          <w:i/>
        </w:rPr>
        <w:t>y</w:t>
      </w:r>
      <w:r w:rsidR="00CA6DB4">
        <w:rPr>
          <w:rFonts w:ascii="Bookman Old Style" w:hAnsi="Bookman Old Style" w:cs="Arial"/>
          <w:bCs/>
          <w:i/>
        </w:rPr>
        <w:t xml:space="preserve"> menos garantista</w:t>
      </w:r>
      <w:r w:rsidR="003875E8" w:rsidRPr="003875E8">
        <w:rPr>
          <w:rFonts w:ascii="Bookman Old Style" w:hAnsi="Bookman Old Style" w:cs="Arial"/>
          <w:bCs/>
          <w:i/>
        </w:rPr>
        <w:t xml:space="preserve"> de los derechos de los personas</w:t>
      </w:r>
      <w:r w:rsidR="00CA6DB4">
        <w:rPr>
          <w:rFonts w:ascii="Bookman Old Style" w:hAnsi="Bookman Old Style" w:cs="Arial"/>
          <w:bCs/>
          <w:i/>
        </w:rPr>
        <w:t xml:space="preserve"> </w:t>
      </w:r>
      <w:r w:rsidR="003875E8" w:rsidRPr="003875E8">
        <w:rPr>
          <w:rFonts w:ascii="Bookman Old Style" w:hAnsi="Bookman Old Style" w:cs="Arial"/>
          <w:bCs/>
          <w:i/>
        </w:rPr>
        <w:t>y</w:t>
      </w:r>
      <w:r w:rsidR="00CA6DB4">
        <w:rPr>
          <w:rFonts w:ascii="Bookman Old Style" w:hAnsi="Bookman Old Style" w:cs="Arial"/>
          <w:bCs/>
          <w:i/>
        </w:rPr>
        <w:t xml:space="preserve"> ent</w:t>
      </w:r>
      <w:r w:rsidR="003875E8" w:rsidRPr="003875E8">
        <w:rPr>
          <w:rFonts w:ascii="Bookman Old Style" w:hAnsi="Bookman Old Style" w:cs="Arial"/>
          <w:bCs/>
          <w:i/>
        </w:rPr>
        <w:t>idades,</w:t>
      </w:r>
      <w:r w:rsidR="00CA6DB4">
        <w:rPr>
          <w:rFonts w:ascii="Bookman Old Style" w:hAnsi="Bookman Old Style" w:cs="Arial"/>
          <w:bCs/>
          <w:i/>
        </w:rPr>
        <w:t xml:space="preserve"> </w:t>
      </w:r>
      <w:r w:rsidR="003875E8" w:rsidRPr="003875E8">
        <w:rPr>
          <w:rFonts w:ascii="Bookman Old Style" w:hAnsi="Bookman Old Style" w:cs="Arial"/>
          <w:bCs/>
          <w:i/>
        </w:rPr>
        <w:t>se encuentra en</w:t>
      </w:r>
      <w:r w:rsidR="00CA6DB4">
        <w:rPr>
          <w:rFonts w:ascii="Bookman Old Style" w:hAnsi="Bookman Old Style" w:cs="Arial"/>
          <w:bCs/>
          <w:i/>
        </w:rPr>
        <w:t xml:space="preserve"> contravía de lo establecido en el Código de Procedimiento Admi</w:t>
      </w:r>
      <w:r w:rsidR="003875E8" w:rsidRPr="003875E8">
        <w:rPr>
          <w:rFonts w:ascii="Bookman Old Style" w:hAnsi="Bookman Old Style" w:cs="Arial"/>
          <w:bCs/>
          <w:i/>
        </w:rPr>
        <w:t>nistrativo</w:t>
      </w:r>
      <w:r w:rsidR="00CA6DB4">
        <w:rPr>
          <w:rFonts w:ascii="Bookman Old Style" w:hAnsi="Bookman Old Style" w:cs="Arial"/>
          <w:bCs/>
          <w:i/>
        </w:rPr>
        <w:t xml:space="preserve"> </w:t>
      </w:r>
      <w:r w:rsidR="003875E8" w:rsidRPr="003875E8">
        <w:rPr>
          <w:rFonts w:ascii="Bookman Old Style" w:hAnsi="Bookman Old Style" w:cs="Arial"/>
          <w:bCs/>
          <w:i/>
        </w:rPr>
        <w:t>y</w:t>
      </w:r>
      <w:r w:rsidR="00CA6DB4">
        <w:rPr>
          <w:rFonts w:ascii="Bookman Old Style" w:hAnsi="Bookman Old Style" w:cs="Arial"/>
          <w:bCs/>
          <w:i/>
        </w:rPr>
        <w:t xml:space="preserve"> de lo C</w:t>
      </w:r>
      <w:r w:rsidR="003875E8" w:rsidRPr="003875E8">
        <w:rPr>
          <w:rFonts w:ascii="Bookman Old Style" w:hAnsi="Bookman Old Style" w:cs="Arial"/>
          <w:bCs/>
          <w:i/>
        </w:rPr>
        <w:t>ontencioso Administrativo,</w:t>
      </w:r>
      <w:r w:rsidR="00CA6DB4">
        <w:rPr>
          <w:rFonts w:ascii="Bookman Old Style" w:hAnsi="Bookman Old Style" w:cs="Arial"/>
          <w:bCs/>
          <w:i/>
        </w:rPr>
        <w:t xml:space="preserve"> </w:t>
      </w:r>
      <w:r w:rsidR="003875E8" w:rsidRPr="003875E8">
        <w:rPr>
          <w:rFonts w:ascii="Bookman Old Style" w:hAnsi="Bookman Old Style" w:cs="Arial"/>
          <w:bCs/>
          <w:i/>
        </w:rPr>
        <w:t>por lo que</w:t>
      </w:r>
      <w:r w:rsidR="00CA6DB4">
        <w:rPr>
          <w:rFonts w:ascii="Bookman Old Style" w:hAnsi="Bookman Old Style" w:cs="Arial"/>
          <w:bCs/>
          <w:i/>
        </w:rPr>
        <w:t xml:space="preserve"> </w:t>
      </w:r>
      <w:r w:rsidR="003875E8" w:rsidRPr="003875E8">
        <w:rPr>
          <w:rFonts w:ascii="Bookman Old Style" w:hAnsi="Bookman Old Style" w:cs="Arial"/>
          <w:bCs/>
          <w:i/>
        </w:rPr>
        <w:t>a</w:t>
      </w:r>
      <w:r w:rsidR="00CA6DB4">
        <w:rPr>
          <w:rFonts w:ascii="Bookman Old Style" w:hAnsi="Bookman Old Style" w:cs="Arial"/>
          <w:bCs/>
          <w:i/>
        </w:rPr>
        <w:t xml:space="preserve"> </w:t>
      </w:r>
      <w:r w:rsidR="003875E8" w:rsidRPr="003875E8">
        <w:rPr>
          <w:rFonts w:ascii="Bookman Old Style" w:hAnsi="Bookman Old Style" w:cs="Arial"/>
          <w:bCs/>
          <w:i/>
        </w:rPr>
        <w:t>la fecha se encontrarla derogada</w:t>
      </w:r>
      <w:r w:rsidR="00CA6DB4">
        <w:rPr>
          <w:rFonts w:ascii="Bookman Old Style" w:hAnsi="Bookman Old Style" w:cs="Arial"/>
          <w:bCs/>
          <w:i/>
        </w:rPr>
        <w:t>.</w:t>
      </w:r>
    </w:p>
    <w:p w:rsidR="003875E8" w:rsidRPr="003875E8" w:rsidRDefault="003875E8" w:rsidP="003875E8">
      <w:pPr>
        <w:ind w:left="284" w:right="284"/>
        <w:jc w:val="both"/>
        <w:rPr>
          <w:rFonts w:ascii="Bookman Old Style" w:hAnsi="Bookman Old Style" w:cs="Arial"/>
          <w:bCs/>
          <w:i/>
        </w:rPr>
      </w:pPr>
    </w:p>
    <w:p w:rsidR="003875E8" w:rsidRPr="00B0267C" w:rsidRDefault="00CA6DB4" w:rsidP="003875E8">
      <w:pPr>
        <w:ind w:left="284" w:right="284"/>
        <w:jc w:val="both"/>
        <w:rPr>
          <w:rFonts w:ascii="Bookman Old Style" w:hAnsi="Bookman Old Style" w:cs="Arial"/>
          <w:b/>
          <w:bCs/>
          <w:i/>
        </w:rPr>
      </w:pPr>
      <w:r>
        <w:rPr>
          <w:rFonts w:ascii="Bookman Old Style" w:hAnsi="Bookman Old Style" w:cs="Arial"/>
          <w:bCs/>
          <w:i/>
        </w:rPr>
        <w:t>C</w:t>
      </w:r>
      <w:r w:rsidR="003875E8" w:rsidRPr="003875E8">
        <w:rPr>
          <w:rFonts w:ascii="Bookman Old Style" w:hAnsi="Bookman Old Style" w:cs="Arial"/>
          <w:bCs/>
          <w:i/>
        </w:rPr>
        <w:t>o</w:t>
      </w:r>
      <w:r>
        <w:rPr>
          <w:rFonts w:ascii="Bookman Old Style" w:hAnsi="Bookman Old Style" w:cs="Arial"/>
          <w:bCs/>
          <w:i/>
        </w:rPr>
        <w:t>n fundamento en lo expuesto, así</w:t>
      </w:r>
      <w:r w:rsidR="003875E8" w:rsidRPr="003875E8">
        <w:rPr>
          <w:rFonts w:ascii="Bookman Old Style" w:hAnsi="Bookman Old Style" w:cs="Arial"/>
          <w:bCs/>
          <w:i/>
        </w:rPr>
        <w:t xml:space="preserve"> como se aplicó en el present</w:t>
      </w:r>
      <w:r>
        <w:rPr>
          <w:rFonts w:ascii="Bookman Old Style" w:hAnsi="Bookman Old Style" w:cs="Arial"/>
          <w:bCs/>
          <w:i/>
        </w:rPr>
        <w:t>e caso lo establecido en el artí</w:t>
      </w:r>
      <w:r w:rsidR="003875E8" w:rsidRPr="003875E8">
        <w:rPr>
          <w:rFonts w:ascii="Bookman Old Style" w:hAnsi="Bookman Old Style" w:cs="Arial"/>
          <w:bCs/>
          <w:i/>
        </w:rPr>
        <w:t>culo 69</w:t>
      </w:r>
      <w:r>
        <w:rPr>
          <w:rFonts w:ascii="Bookman Old Style" w:hAnsi="Bookman Old Style" w:cs="Arial"/>
          <w:bCs/>
          <w:i/>
        </w:rPr>
        <w:t xml:space="preserve"> </w:t>
      </w:r>
      <w:r w:rsidR="003875E8" w:rsidRPr="003875E8">
        <w:rPr>
          <w:rFonts w:ascii="Bookman Old Style" w:hAnsi="Bookman Old Style" w:cs="Arial"/>
          <w:bCs/>
          <w:i/>
        </w:rPr>
        <w:t>de</w:t>
      </w:r>
      <w:r>
        <w:rPr>
          <w:rFonts w:ascii="Bookman Old Style" w:hAnsi="Bookman Old Style" w:cs="Arial"/>
          <w:bCs/>
          <w:i/>
        </w:rPr>
        <w:t xml:space="preserve"> </w:t>
      </w:r>
      <w:r w:rsidR="003875E8" w:rsidRPr="003875E8">
        <w:rPr>
          <w:rFonts w:ascii="Bookman Old Style" w:hAnsi="Bookman Old Style" w:cs="Arial"/>
          <w:bCs/>
          <w:i/>
        </w:rPr>
        <w:t>la</w:t>
      </w:r>
      <w:r>
        <w:rPr>
          <w:rFonts w:ascii="Bookman Old Style" w:hAnsi="Bookman Old Style" w:cs="Arial"/>
          <w:bCs/>
          <w:i/>
        </w:rPr>
        <w:t xml:space="preserve"> </w:t>
      </w:r>
      <w:r w:rsidR="003875E8" w:rsidRPr="003875E8">
        <w:rPr>
          <w:rFonts w:ascii="Bookman Old Style" w:hAnsi="Bookman Old Style" w:cs="Arial"/>
          <w:bCs/>
          <w:i/>
        </w:rPr>
        <w:t>Ley 1437 de</w:t>
      </w:r>
      <w:r>
        <w:rPr>
          <w:rFonts w:ascii="Bookman Old Style" w:hAnsi="Bookman Old Style" w:cs="Arial"/>
          <w:bCs/>
          <w:i/>
        </w:rPr>
        <w:t xml:space="preserve"> 20</w:t>
      </w:r>
      <w:r w:rsidR="003875E8" w:rsidRPr="003875E8">
        <w:rPr>
          <w:rFonts w:ascii="Bookman Old Style" w:hAnsi="Bookman Old Style" w:cs="Arial"/>
          <w:bCs/>
          <w:i/>
        </w:rPr>
        <w:t>11,</w:t>
      </w:r>
      <w:r>
        <w:rPr>
          <w:rFonts w:ascii="Bookman Old Style" w:hAnsi="Bookman Old Style" w:cs="Arial"/>
          <w:bCs/>
          <w:i/>
        </w:rPr>
        <w:t xml:space="preserve"> </w:t>
      </w:r>
      <w:r w:rsidR="003875E8" w:rsidRPr="003875E8">
        <w:rPr>
          <w:rFonts w:ascii="Bookman Old Style" w:hAnsi="Bookman Old Style" w:cs="Arial"/>
          <w:bCs/>
          <w:i/>
        </w:rPr>
        <w:t>respecto</w:t>
      </w:r>
      <w:r>
        <w:rPr>
          <w:rFonts w:ascii="Bookman Old Style" w:hAnsi="Bookman Old Style" w:cs="Arial"/>
          <w:bCs/>
          <w:i/>
        </w:rPr>
        <w:t xml:space="preserve"> </w:t>
      </w:r>
      <w:r w:rsidR="003875E8" w:rsidRPr="003875E8">
        <w:rPr>
          <w:rFonts w:ascii="Bookman Old Style" w:hAnsi="Bookman Old Style" w:cs="Arial"/>
          <w:bCs/>
          <w:i/>
        </w:rPr>
        <w:t>a</w:t>
      </w:r>
      <w:r>
        <w:rPr>
          <w:rFonts w:ascii="Bookman Old Style" w:hAnsi="Bookman Old Style" w:cs="Arial"/>
          <w:bCs/>
          <w:i/>
        </w:rPr>
        <w:t xml:space="preserve"> </w:t>
      </w:r>
      <w:r w:rsidR="003875E8" w:rsidRPr="003875E8">
        <w:rPr>
          <w:rFonts w:ascii="Bookman Old Style" w:hAnsi="Bookman Old Style" w:cs="Arial"/>
          <w:bCs/>
          <w:i/>
        </w:rPr>
        <w:t>la</w:t>
      </w:r>
      <w:r>
        <w:rPr>
          <w:rFonts w:ascii="Bookman Old Style" w:hAnsi="Bookman Old Style" w:cs="Arial"/>
          <w:bCs/>
          <w:i/>
        </w:rPr>
        <w:t xml:space="preserve"> </w:t>
      </w:r>
      <w:r w:rsidR="003875E8" w:rsidRPr="003875E8">
        <w:rPr>
          <w:rFonts w:ascii="Bookman Old Style" w:hAnsi="Bookman Old Style" w:cs="Arial"/>
          <w:bCs/>
          <w:i/>
        </w:rPr>
        <w:t>notificación</w:t>
      </w:r>
      <w:r>
        <w:rPr>
          <w:rFonts w:ascii="Bookman Old Style" w:hAnsi="Bookman Old Style" w:cs="Arial"/>
          <w:bCs/>
          <w:i/>
        </w:rPr>
        <w:t xml:space="preserve"> </w:t>
      </w:r>
      <w:r w:rsidR="003875E8" w:rsidRPr="003875E8">
        <w:rPr>
          <w:rFonts w:ascii="Bookman Old Style" w:hAnsi="Bookman Old Style" w:cs="Arial"/>
          <w:bCs/>
          <w:i/>
        </w:rPr>
        <w:t>por</w:t>
      </w:r>
      <w:r>
        <w:rPr>
          <w:rFonts w:ascii="Bookman Old Style" w:hAnsi="Bookman Old Style" w:cs="Arial"/>
          <w:bCs/>
          <w:i/>
        </w:rPr>
        <w:t xml:space="preserve"> </w:t>
      </w:r>
      <w:r w:rsidRPr="00CA6DB4">
        <w:rPr>
          <w:rFonts w:ascii="Bookman Old Style" w:hAnsi="Bookman Old Style" w:cs="Arial"/>
          <w:b/>
          <w:bCs/>
          <w:i/>
        </w:rPr>
        <w:t>AVIS</w:t>
      </w:r>
      <w:r w:rsidR="003875E8" w:rsidRPr="00CA6DB4">
        <w:rPr>
          <w:rFonts w:ascii="Bookman Old Style" w:hAnsi="Bookman Old Style" w:cs="Arial"/>
          <w:b/>
          <w:bCs/>
          <w:i/>
        </w:rPr>
        <w:t>0</w:t>
      </w:r>
      <w:r w:rsidR="003875E8" w:rsidRPr="003875E8">
        <w:rPr>
          <w:rFonts w:ascii="Bookman Old Style" w:hAnsi="Bookman Old Style" w:cs="Arial"/>
          <w:bCs/>
          <w:i/>
        </w:rPr>
        <w:t>,</w:t>
      </w:r>
      <w:r>
        <w:rPr>
          <w:rFonts w:ascii="Bookman Old Style" w:hAnsi="Bookman Old Style" w:cs="Arial"/>
          <w:bCs/>
          <w:i/>
        </w:rPr>
        <w:t xml:space="preserve"> </w:t>
      </w:r>
      <w:r w:rsidR="003875E8" w:rsidRPr="003875E8">
        <w:rPr>
          <w:rFonts w:ascii="Bookman Old Style" w:hAnsi="Bookman Old Style" w:cs="Arial"/>
          <w:bCs/>
          <w:i/>
        </w:rPr>
        <w:t>se</w:t>
      </w:r>
      <w:r>
        <w:rPr>
          <w:rFonts w:ascii="Bookman Old Style" w:hAnsi="Bookman Old Style" w:cs="Arial"/>
          <w:bCs/>
          <w:i/>
        </w:rPr>
        <w:t xml:space="preserve"> </w:t>
      </w:r>
      <w:r w:rsidR="003875E8" w:rsidRPr="003875E8">
        <w:rPr>
          <w:rFonts w:ascii="Bookman Old Style" w:hAnsi="Bookman Old Style" w:cs="Arial"/>
          <w:bCs/>
          <w:i/>
        </w:rPr>
        <w:t>debió</w:t>
      </w:r>
      <w:r>
        <w:rPr>
          <w:rFonts w:ascii="Bookman Old Style" w:hAnsi="Bookman Old Style" w:cs="Arial"/>
          <w:bCs/>
          <w:i/>
        </w:rPr>
        <w:t xml:space="preserve"> </w:t>
      </w:r>
      <w:r w:rsidR="003875E8" w:rsidRPr="003875E8">
        <w:rPr>
          <w:rFonts w:ascii="Bookman Old Style" w:hAnsi="Bookman Old Style" w:cs="Arial"/>
          <w:bCs/>
          <w:i/>
        </w:rPr>
        <w:t>dar</w:t>
      </w:r>
      <w:r>
        <w:rPr>
          <w:rFonts w:ascii="Bookman Old Style" w:hAnsi="Bookman Old Style" w:cs="Arial"/>
          <w:bCs/>
          <w:i/>
        </w:rPr>
        <w:t xml:space="preserve"> aplicación (sic) lo dispuesto en su artí</w:t>
      </w:r>
      <w:r w:rsidR="003875E8" w:rsidRPr="003875E8">
        <w:rPr>
          <w:rFonts w:ascii="Bookman Old Style" w:hAnsi="Bookman Old Style" w:cs="Arial"/>
          <w:bCs/>
          <w:i/>
        </w:rPr>
        <w:t>culo 76, que establece como oportunidad para la presentación d</w:t>
      </w:r>
      <w:r w:rsidR="00B0267C">
        <w:rPr>
          <w:rFonts w:ascii="Bookman Old Style" w:hAnsi="Bookman Old Style" w:cs="Arial"/>
          <w:bCs/>
          <w:i/>
        </w:rPr>
        <w:t xml:space="preserve">el recurso de reposición </w:t>
      </w:r>
      <w:r w:rsidR="00B0267C" w:rsidRPr="00B0267C">
        <w:rPr>
          <w:rFonts w:ascii="Bookman Old Style" w:hAnsi="Bookman Old Style" w:cs="Arial"/>
          <w:b/>
          <w:bCs/>
          <w:i/>
        </w:rPr>
        <w:t>diez (10) dí</w:t>
      </w:r>
      <w:r w:rsidR="003875E8" w:rsidRPr="00B0267C">
        <w:rPr>
          <w:rFonts w:ascii="Bookman Old Style" w:hAnsi="Bookman Old Style" w:cs="Arial"/>
          <w:b/>
          <w:bCs/>
          <w:i/>
        </w:rPr>
        <w:t>as siguientes</w:t>
      </w:r>
      <w:r w:rsidR="00B0267C" w:rsidRPr="00B0267C">
        <w:rPr>
          <w:rFonts w:ascii="Bookman Old Style" w:hAnsi="Bookman Old Style" w:cs="Arial"/>
          <w:b/>
          <w:bCs/>
          <w:i/>
        </w:rPr>
        <w:t xml:space="preserve"> </w:t>
      </w:r>
      <w:r w:rsidR="003875E8" w:rsidRPr="00B0267C">
        <w:rPr>
          <w:rFonts w:ascii="Bookman Old Style" w:hAnsi="Bookman Old Style" w:cs="Arial"/>
          <w:b/>
          <w:bCs/>
          <w:i/>
        </w:rPr>
        <w:t>a</w:t>
      </w:r>
      <w:r w:rsidR="00B0267C" w:rsidRPr="00B0267C">
        <w:rPr>
          <w:rFonts w:ascii="Bookman Old Style" w:hAnsi="Bookman Old Style" w:cs="Arial"/>
          <w:b/>
          <w:bCs/>
          <w:i/>
        </w:rPr>
        <w:t xml:space="preserve"> </w:t>
      </w:r>
      <w:r w:rsidR="003875E8" w:rsidRPr="00B0267C">
        <w:rPr>
          <w:rFonts w:ascii="Bookman Old Style" w:hAnsi="Bookman Old Style" w:cs="Arial"/>
          <w:b/>
          <w:bCs/>
          <w:i/>
        </w:rPr>
        <w:t>la notificación personal,</w:t>
      </w:r>
      <w:r w:rsidR="00B0267C" w:rsidRPr="00B0267C">
        <w:rPr>
          <w:rFonts w:ascii="Bookman Old Style" w:hAnsi="Bookman Old Style" w:cs="Arial"/>
          <w:b/>
          <w:bCs/>
          <w:i/>
        </w:rPr>
        <w:t xml:space="preserve"> </w:t>
      </w:r>
      <w:r w:rsidR="003875E8" w:rsidRPr="00B0267C">
        <w:rPr>
          <w:rFonts w:ascii="Bookman Old Style" w:hAnsi="Bookman Old Style" w:cs="Arial"/>
          <w:b/>
          <w:bCs/>
          <w:i/>
        </w:rPr>
        <w:t>notificación por aviso,</w:t>
      </w:r>
      <w:r w:rsidR="00B0267C" w:rsidRPr="00B0267C">
        <w:rPr>
          <w:rFonts w:ascii="Bookman Old Style" w:hAnsi="Bookman Old Style" w:cs="Arial"/>
          <w:b/>
          <w:bCs/>
          <w:i/>
        </w:rPr>
        <w:t xml:space="preserve"> </w:t>
      </w:r>
      <w:r w:rsidR="003875E8" w:rsidRPr="00B0267C">
        <w:rPr>
          <w:rFonts w:ascii="Bookman Old Style" w:hAnsi="Bookman Old Style" w:cs="Arial"/>
          <w:b/>
          <w:bCs/>
          <w:i/>
        </w:rPr>
        <w:t>o</w:t>
      </w:r>
      <w:r w:rsidR="00B0267C" w:rsidRPr="00B0267C">
        <w:rPr>
          <w:rFonts w:ascii="Bookman Old Style" w:hAnsi="Bookman Old Style" w:cs="Arial"/>
          <w:b/>
          <w:bCs/>
          <w:i/>
        </w:rPr>
        <w:t xml:space="preserve"> al vencimiento del término de publ</w:t>
      </w:r>
      <w:r w:rsidR="003875E8" w:rsidRPr="00B0267C">
        <w:rPr>
          <w:rFonts w:ascii="Bookman Old Style" w:hAnsi="Bookman Old Style" w:cs="Arial"/>
          <w:b/>
          <w:bCs/>
          <w:i/>
        </w:rPr>
        <w:t>icación</w:t>
      </w:r>
      <w:r w:rsidR="00B0267C" w:rsidRPr="00B0267C">
        <w:rPr>
          <w:rFonts w:ascii="Bookman Old Style" w:hAnsi="Bookman Old Style" w:cs="Arial"/>
          <w:b/>
          <w:bCs/>
          <w:i/>
        </w:rPr>
        <w:t>.</w:t>
      </w:r>
    </w:p>
    <w:p w:rsidR="00B0267C" w:rsidRPr="0067792A" w:rsidRDefault="00B0267C" w:rsidP="003875E8">
      <w:pPr>
        <w:ind w:left="284" w:right="284"/>
        <w:jc w:val="both"/>
        <w:rPr>
          <w:rFonts w:ascii="Bookman Old Style" w:hAnsi="Bookman Old Style" w:cs="Arial"/>
          <w:bCs/>
          <w:i/>
          <w:sz w:val="20"/>
        </w:rPr>
      </w:pPr>
    </w:p>
    <w:p w:rsidR="003875E8" w:rsidRDefault="00B0267C" w:rsidP="00B0267C">
      <w:pPr>
        <w:ind w:left="284" w:right="284"/>
        <w:jc w:val="both"/>
        <w:rPr>
          <w:rFonts w:ascii="Bookman Old Style" w:hAnsi="Bookman Old Style" w:cs="Arial"/>
          <w:bCs/>
          <w:i/>
        </w:rPr>
      </w:pPr>
      <w:r>
        <w:rPr>
          <w:rFonts w:ascii="Bookman Old Style" w:hAnsi="Bookman Old Style" w:cs="Arial"/>
          <w:bCs/>
          <w:i/>
        </w:rPr>
        <w:t>(…)</w:t>
      </w:r>
    </w:p>
    <w:p w:rsidR="00B0267C" w:rsidRPr="003875E8" w:rsidRDefault="00B0267C" w:rsidP="00B0267C">
      <w:pPr>
        <w:ind w:left="0" w:right="284"/>
        <w:jc w:val="both"/>
        <w:rPr>
          <w:rFonts w:ascii="Bookman Old Style" w:hAnsi="Bookman Old Style" w:cs="Arial"/>
          <w:bCs/>
          <w:i/>
        </w:rPr>
      </w:pPr>
    </w:p>
    <w:p w:rsidR="003875E8" w:rsidRPr="00C136C0" w:rsidRDefault="004F3BBE" w:rsidP="003875E8">
      <w:pPr>
        <w:ind w:left="284" w:right="284"/>
        <w:jc w:val="both"/>
        <w:rPr>
          <w:rFonts w:ascii="Bookman Old Style" w:hAnsi="Bookman Old Style" w:cs="Arial"/>
          <w:bCs/>
          <w:i/>
        </w:rPr>
      </w:pPr>
      <w:r>
        <w:rPr>
          <w:rFonts w:ascii="Bookman Old Style" w:hAnsi="Bookman Old Style" w:cs="Arial"/>
          <w:bCs/>
          <w:i/>
        </w:rPr>
        <w:t>De</w:t>
      </w:r>
      <w:r w:rsidR="00B0267C" w:rsidRPr="00C136C0">
        <w:rPr>
          <w:rFonts w:ascii="Bookman Old Style" w:hAnsi="Bookman Old Style" w:cs="Arial"/>
          <w:bCs/>
          <w:i/>
        </w:rPr>
        <w:t xml:space="preserve"> otra parte, se h</w:t>
      </w:r>
      <w:r w:rsidR="003875E8" w:rsidRPr="00C136C0">
        <w:rPr>
          <w:rFonts w:ascii="Bookman Old Style" w:hAnsi="Bookman Old Style" w:cs="Arial"/>
          <w:bCs/>
          <w:i/>
        </w:rPr>
        <w:t>ace necesario hacer</w:t>
      </w:r>
      <w:r w:rsidR="00B0267C" w:rsidRPr="00C136C0">
        <w:rPr>
          <w:rFonts w:ascii="Bookman Old Style" w:hAnsi="Bookman Old Style" w:cs="Arial"/>
          <w:bCs/>
          <w:i/>
        </w:rPr>
        <w:t xml:space="preserve"> una precisión respecto de la notificación efectuada por esa Co</w:t>
      </w:r>
      <w:r w:rsidR="003875E8" w:rsidRPr="00C136C0">
        <w:rPr>
          <w:rFonts w:ascii="Bookman Old Style" w:hAnsi="Bookman Old Style" w:cs="Arial"/>
          <w:bCs/>
          <w:i/>
        </w:rPr>
        <w:t>misión de</w:t>
      </w:r>
      <w:r w:rsidR="00B0267C" w:rsidRPr="00C136C0">
        <w:rPr>
          <w:rFonts w:ascii="Bookman Old Style" w:hAnsi="Bookman Old Style" w:cs="Arial"/>
          <w:bCs/>
          <w:i/>
        </w:rPr>
        <w:t xml:space="preserve"> Regul</w:t>
      </w:r>
      <w:r w:rsidR="003875E8" w:rsidRPr="00C136C0">
        <w:rPr>
          <w:rFonts w:ascii="Bookman Old Style" w:hAnsi="Bookman Old Style" w:cs="Arial"/>
          <w:bCs/>
          <w:i/>
        </w:rPr>
        <w:t>ación</w:t>
      </w:r>
      <w:r w:rsidR="00B0267C" w:rsidRPr="00C136C0">
        <w:rPr>
          <w:rFonts w:ascii="Bookman Old Style" w:hAnsi="Bookman Old Style" w:cs="Arial"/>
          <w:bCs/>
          <w:i/>
        </w:rPr>
        <w:t xml:space="preserve"> de </w:t>
      </w:r>
      <w:r w:rsidR="003875E8" w:rsidRPr="00C136C0">
        <w:rPr>
          <w:rFonts w:ascii="Bookman Old Style" w:hAnsi="Bookman Old Style" w:cs="Arial"/>
          <w:bCs/>
          <w:i/>
        </w:rPr>
        <w:t>esta</w:t>
      </w:r>
      <w:r w:rsidR="00B0267C" w:rsidRPr="00C136C0">
        <w:rPr>
          <w:rFonts w:ascii="Bookman Old Style" w:hAnsi="Bookman Old Style" w:cs="Arial"/>
          <w:bCs/>
          <w:i/>
        </w:rPr>
        <w:t xml:space="preserve"> </w:t>
      </w:r>
      <w:r w:rsidR="003875E8" w:rsidRPr="00C136C0">
        <w:rPr>
          <w:rFonts w:ascii="Bookman Old Style" w:hAnsi="Bookman Old Style" w:cs="Arial"/>
          <w:bCs/>
          <w:i/>
        </w:rPr>
        <w:t>entidad:</w:t>
      </w:r>
    </w:p>
    <w:p w:rsidR="00B0267C" w:rsidRPr="00C136C0" w:rsidRDefault="00B0267C" w:rsidP="003875E8">
      <w:pPr>
        <w:ind w:left="284" w:right="284"/>
        <w:jc w:val="both"/>
        <w:rPr>
          <w:rFonts w:ascii="Bookman Old Style" w:hAnsi="Bookman Old Style" w:cs="Arial"/>
          <w:bCs/>
          <w:i/>
        </w:rPr>
      </w:pPr>
    </w:p>
    <w:p w:rsidR="00B0267C" w:rsidRPr="00C136C0" w:rsidRDefault="003875E8" w:rsidP="00C136C0">
      <w:pPr>
        <w:pStyle w:val="Prrafodelista"/>
        <w:numPr>
          <w:ilvl w:val="0"/>
          <w:numId w:val="31"/>
        </w:numPr>
        <w:ind w:right="284"/>
        <w:jc w:val="both"/>
        <w:rPr>
          <w:rFonts w:ascii="Bookman Old Style" w:hAnsi="Bookman Old Style" w:cs="Arial"/>
          <w:bCs/>
          <w:i/>
          <w:sz w:val="24"/>
          <w:szCs w:val="24"/>
        </w:rPr>
      </w:pPr>
      <w:r w:rsidRPr="00C136C0">
        <w:rPr>
          <w:rFonts w:ascii="Bookman Old Style" w:hAnsi="Bookman Old Style" w:cs="Arial"/>
          <w:bCs/>
          <w:i/>
          <w:sz w:val="24"/>
          <w:szCs w:val="24"/>
        </w:rPr>
        <w:t>Mediante oficio radicado en este Departamento Administrativo</w:t>
      </w:r>
      <w:r w:rsidR="00B0267C" w:rsidRPr="00C136C0">
        <w:rPr>
          <w:rFonts w:ascii="Bookman Old Style" w:hAnsi="Bookman Old Style" w:cs="Arial"/>
          <w:bCs/>
          <w:i/>
          <w:sz w:val="24"/>
          <w:szCs w:val="24"/>
        </w:rPr>
        <w:t xml:space="preserve"> el</w:t>
      </w:r>
      <w:r w:rsidRPr="00C136C0">
        <w:rPr>
          <w:rFonts w:ascii="Bookman Old Style" w:hAnsi="Bookman Old Style" w:cs="Arial"/>
          <w:bCs/>
          <w:i/>
          <w:sz w:val="24"/>
          <w:szCs w:val="24"/>
        </w:rPr>
        <w:t xml:space="preserve"> 31 de </w:t>
      </w:r>
      <w:r w:rsidR="000D3398">
        <w:rPr>
          <w:rFonts w:ascii="Bookman Old Style" w:hAnsi="Bookman Old Style" w:cs="Arial"/>
          <w:bCs/>
          <w:i/>
          <w:sz w:val="24"/>
          <w:szCs w:val="24"/>
        </w:rPr>
        <w:t>diciembre de 2013 (2013663067067</w:t>
      </w:r>
      <w:r w:rsidR="00B0267C" w:rsidRPr="00C136C0">
        <w:rPr>
          <w:rFonts w:ascii="Bookman Old Style" w:hAnsi="Bookman Old Style" w:cs="Arial"/>
          <w:bCs/>
          <w:i/>
          <w:sz w:val="24"/>
          <w:szCs w:val="24"/>
        </w:rPr>
        <w:t>2)</w:t>
      </w:r>
      <w:r w:rsidRPr="00C136C0">
        <w:rPr>
          <w:rFonts w:ascii="Bookman Old Style" w:hAnsi="Bookman Old Style" w:cs="Arial"/>
          <w:bCs/>
          <w:i/>
          <w:sz w:val="24"/>
          <w:szCs w:val="24"/>
        </w:rPr>
        <w:t>,</w:t>
      </w:r>
      <w:r w:rsidR="00B0267C" w:rsidRPr="00C136C0">
        <w:rPr>
          <w:rFonts w:ascii="Bookman Old Style" w:hAnsi="Bookman Old Style" w:cs="Arial"/>
          <w:bCs/>
          <w:i/>
          <w:sz w:val="24"/>
          <w:szCs w:val="24"/>
        </w:rPr>
        <w:t xml:space="preserve"> cita al</w:t>
      </w:r>
      <w:r w:rsidRPr="00C136C0">
        <w:rPr>
          <w:rFonts w:ascii="Bookman Old Style" w:hAnsi="Bookman Old Style" w:cs="Arial"/>
          <w:bCs/>
          <w:i/>
          <w:sz w:val="24"/>
          <w:szCs w:val="24"/>
        </w:rPr>
        <w:t xml:space="preserve"> Representante Lega</w:t>
      </w:r>
      <w:r w:rsidR="00B0267C" w:rsidRPr="00C136C0">
        <w:rPr>
          <w:rFonts w:ascii="Bookman Old Style" w:hAnsi="Bookman Old Style" w:cs="Arial"/>
          <w:bCs/>
          <w:i/>
          <w:sz w:val="24"/>
          <w:szCs w:val="24"/>
        </w:rPr>
        <w:t xml:space="preserve">l </w:t>
      </w:r>
      <w:r w:rsidRPr="00C136C0">
        <w:rPr>
          <w:rFonts w:ascii="Bookman Old Style" w:hAnsi="Bookman Old Style" w:cs="Arial"/>
          <w:bCs/>
          <w:i/>
          <w:sz w:val="24"/>
          <w:szCs w:val="24"/>
        </w:rPr>
        <w:t>o</w:t>
      </w:r>
      <w:r w:rsidR="00B0267C" w:rsidRPr="00C136C0">
        <w:rPr>
          <w:rFonts w:ascii="Bookman Old Style" w:hAnsi="Bookman Old Style" w:cs="Arial"/>
          <w:bCs/>
          <w:i/>
          <w:sz w:val="24"/>
          <w:szCs w:val="24"/>
        </w:rPr>
        <w:t xml:space="preserve"> Apoderado del</w:t>
      </w:r>
      <w:r w:rsidRPr="00C136C0">
        <w:rPr>
          <w:rFonts w:ascii="Bookman Old Style" w:hAnsi="Bookman Old Style" w:cs="Arial"/>
          <w:bCs/>
          <w:i/>
          <w:sz w:val="24"/>
          <w:szCs w:val="24"/>
        </w:rPr>
        <w:t xml:space="preserve"> FNR,</w:t>
      </w:r>
      <w:r w:rsidR="00B0267C" w:rsidRPr="00C136C0">
        <w:rPr>
          <w:rFonts w:ascii="Bookman Old Style" w:hAnsi="Bookman Old Style" w:cs="Arial"/>
          <w:bCs/>
          <w:i/>
          <w:sz w:val="24"/>
          <w:szCs w:val="24"/>
        </w:rPr>
        <w:t xml:space="preserve"> con el</w:t>
      </w:r>
      <w:r w:rsidRPr="00C136C0">
        <w:rPr>
          <w:rFonts w:ascii="Bookman Old Style" w:hAnsi="Bookman Old Style" w:cs="Arial"/>
          <w:bCs/>
          <w:i/>
          <w:sz w:val="24"/>
          <w:szCs w:val="24"/>
        </w:rPr>
        <w:t xml:space="preserve"> fin de que se presente</w:t>
      </w:r>
      <w:r w:rsidR="00B0267C" w:rsidRPr="00C136C0">
        <w:rPr>
          <w:rFonts w:ascii="Bookman Old Style" w:hAnsi="Bookman Old Style" w:cs="Arial"/>
          <w:bCs/>
          <w:i/>
          <w:sz w:val="24"/>
          <w:szCs w:val="24"/>
        </w:rPr>
        <w:t xml:space="preserve"> </w:t>
      </w:r>
      <w:r w:rsidRPr="00C136C0">
        <w:rPr>
          <w:rFonts w:ascii="Bookman Old Style" w:hAnsi="Bookman Old Style" w:cs="Arial"/>
          <w:bCs/>
          <w:i/>
          <w:sz w:val="24"/>
          <w:szCs w:val="24"/>
        </w:rPr>
        <w:t>a</w:t>
      </w:r>
      <w:r w:rsidR="00B0267C" w:rsidRPr="00C136C0">
        <w:rPr>
          <w:rFonts w:ascii="Bookman Old Style" w:hAnsi="Bookman Old Style" w:cs="Arial"/>
          <w:bCs/>
          <w:i/>
          <w:sz w:val="24"/>
          <w:szCs w:val="24"/>
        </w:rPr>
        <w:t xml:space="preserve"> las instalaciones de esa Co</w:t>
      </w:r>
      <w:r w:rsidRPr="00C136C0">
        <w:rPr>
          <w:rFonts w:ascii="Bookman Old Style" w:hAnsi="Bookman Old Style" w:cs="Arial"/>
          <w:bCs/>
          <w:i/>
          <w:sz w:val="24"/>
          <w:szCs w:val="24"/>
        </w:rPr>
        <w:t>misión,</w:t>
      </w:r>
      <w:r w:rsidR="00B0267C" w:rsidRPr="00C136C0">
        <w:rPr>
          <w:rFonts w:ascii="Bookman Old Style" w:hAnsi="Bookman Old Style" w:cs="Arial"/>
          <w:bCs/>
          <w:i/>
          <w:sz w:val="24"/>
          <w:szCs w:val="24"/>
        </w:rPr>
        <w:t xml:space="preserve"> </w:t>
      </w:r>
      <w:r w:rsidRPr="00C136C0">
        <w:rPr>
          <w:rFonts w:ascii="Bookman Old Style" w:hAnsi="Bookman Old Style" w:cs="Arial"/>
          <w:bCs/>
          <w:i/>
          <w:sz w:val="24"/>
          <w:szCs w:val="24"/>
        </w:rPr>
        <w:t>a</w:t>
      </w:r>
      <w:r w:rsidR="00B0267C" w:rsidRPr="00C136C0">
        <w:rPr>
          <w:rFonts w:ascii="Bookman Old Style" w:hAnsi="Bookman Old Style" w:cs="Arial"/>
          <w:bCs/>
          <w:i/>
          <w:sz w:val="24"/>
          <w:szCs w:val="24"/>
        </w:rPr>
        <w:t xml:space="preserve"> </w:t>
      </w:r>
      <w:r w:rsidRPr="00C136C0">
        <w:rPr>
          <w:rFonts w:ascii="Bookman Old Style" w:hAnsi="Bookman Old Style" w:cs="Arial"/>
          <w:bCs/>
          <w:i/>
          <w:sz w:val="24"/>
          <w:szCs w:val="24"/>
        </w:rPr>
        <w:t>efectos de recibir notifica</w:t>
      </w:r>
      <w:r w:rsidR="00B0267C" w:rsidRPr="00C136C0">
        <w:rPr>
          <w:rFonts w:ascii="Bookman Old Style" w:hAnsi="Bookman Old Style" w:cs="Arial"/>
          <w:bCs/>
          <w:i/>
          <w:sz w:val="24"/>
          <w:szCs w:val="24"/>
        </w:rPr>
        <w:t>ción pe</w:t>
      </w:r>
      <w:r w:rsidR="000D3398">
        <w:rPr>
          <w:rFonts w:ascii="Bookman Old Style" w:hAnsi="Bookman Old Style" w:cs="Arial"/>
          <w:bCs/>
          <w:i/>
          <w:sz w:val="24"/>
          <w:szCs w:val="24"/>
        </w:rPr>
        <w:t>rsonal de la Resolución CREG 197</w:t>
      </w:r>
      <w:r w:rsidR="00B0267C" w:rsidRPr="00C136C0">
        <w:rPr>
          <w:rFonts w:ascii="Bookman Old Style" w:hAnsi="Bookman Old Style" w:cs="Arial"/>
          <w:bCs/>
          <w:i/>
          <w:sz w:val="24"/>
          <w:szCs w:val="24"/>
        </w:rPr>
        <w:t xml:space="preserve"> de 20</w:t>
      </w:r>
      <w:r w:rsidRPr="00C136C0">
        <w:rPr>
          <w:rFonts w:ascii="Bookman Old Style" w:hAnsi="Bookman Old Style" w:cs="Arial"/>
          <w:bCs/>
          <w:i/>
          <w:sz w:val="24"/>
          <w:szCs w:val="24"/>
        </w:rPr>
        <w:t>13</w:t>
      </w:r>
      <w:r w:rsidR="00B0267C" w:rsidRPr="00C136C0">
        <w:rPr>
          <w:rFonts w:ascii="Bookman Old Style" w:hAnsi="Bookman Old Style" w:cs="Arial"/>
          <w:bCs/>
          <w:i/>
          <w:sz w:val="24"/>
          <w:szCs w:val="24"/>
        </w:rPr>
        <w:t>. (anexa)</w:t>
      </w:r>
    </w:p>
    <w:p w:rsidR="00B0267C" w:rsidRPr="00C136C0" w:rsidRDefault="00B0267C" w:rsidP="00B0267C">
      <w:pPr>
        <w:ind w:left="284" w:right="284"/>
        <w:jc w:val="both"/>
        <w:rPr>
          <w:rFonts w:ascii="Bookman Old Style" w:hAnsi="Bookman Old Style" w:cs="Arial"/>
          <w:bCs/>
          <w:i/>
        </w:rPr>
      </w:pPr>
    </w:p>
    <w:p w:rsidR="00C136C0" w:rsidRPr="00C136C0" w:rsidRDefault="003875E8" w:rsidP="00C136C0">
      <w:pPr>
        <w:pStyle w:val="Prrafodelista"/>
        <w:numPr>
          <w:ilvl w:val="0"/>
          <w:numId w:val="31"/>
        </w:numPr>
        <w:ind w:right="284"/>
        <w:jc w:val="both"/>
        <w:rPr>
          <w:rFonts w:ascii="Bookman Old Style" w:hAnsi="Bookman Old Style" w:cs="Arial"/>
          <w:bCs/>
          <w:i/>
          <w:sz w:val="24"/>
          <w:szCs w:val="24"/>
        </w:rPr>
      </w:pPr>
      <w:r w:rsidRPr="00C136C0">
        <w:rPr>
          <w:rFonts w:ascii="Bookman Old Style" w:hAnsi="Bookman Old Style" w:cs="Arial"/>
          <w:bCs/>
          <w:i/>
          <w:sz w:val="24"/>
          <w:szCs w:val="24"/>
        </w:rPr>
        <w:t>Mediante oficio radicado en est</w:t>
      </w:r>
      <w:r w:rsidR="00B0267C" w:rsidRPr="00C136C0">
        <w:rPr>
          <w:rFonts w:ascii="Bookman Old Style" w:hAnsi="Bookman Old Style" w:cs="Arial"/>
          <w:bCs/>
          <w:i/>
          <w:sz w:val="24"/>
          <w:szCs w:val="24"/>
        </w:rPr>
        <w:t xml:space="preserve">e Departamento Administrativo el </w:t>
      </w:r>
      <w:r w:rsidRPr="00C136C0">
        <w:rPr>
          <w:rFonts w:ascii="Bookman Old Style" w:hAnsi="Bookman Old Style" w:cs="Arial"/>
          <w:bCs/>
          <w:i/>
          <w:sz w:val="24"/>
          <w:szCs w:val="24"/>
        </w:rPr>
        <w:t>7</w:t>
      </w:r>
      <w:r w:rsidR="00B0267C" w:rsidRPr="00C136C0">
        <w:rPr>
          <w:rFonts w:ascii="Bookman Old Style" w:hAnsi="Bookman Old Style" w:cs="Arial"/>
          <w:bCs/>
          <w:i/>
          <w:sz w:val="24"/>
          <w:szCs w:val="24"/>
        </w:rPr>
        <w:t xml:space="preserve"> </w:t>
      </w:r>
      <w:r w:rsidR="000D3398">
        <w:rPr>
          <w:rFonts w:ascii="Bookman Old Style" w:hAnsi="Bookman Old Style" w:cs="Arial"/>
          <w:bCs/>
          <w:i/>
          <w:sz w:val="24"/>
          <w:szCs w:val="24"/>
        </w:rPr>
        <w:t>de febrero de 2014 (2014663005223</w:t>
      </w:r>
      <w:r w:rsidR="00C136C0" w:rsidRPr="00C136C0">
        <w:rPr>
          <w:rFonts w:ascii="Bookman Old Style" w:hAnsi="Bookman Old Style" w:cs="Arial"/>
          <w:bCs/>
          <w:i/>
          <w:sz w:val="24"/>
          <w:szCs w:val="24"/>
        </w:rPr>
        <w:t>2)</w:t>
      </w:r>
      <w:r w:rsidRPr="00C136C0">
        <w:rPr>
          <w:rFonts w:ascii="Bookman Old Style" w:hAnsi="Bookman Old Style" w:cs="Arial"/>
          <w:bCs/>
          <w:i/>
          <w:sz w:val="24"/>
          <w:szCs w:val="24"/>
        </w:rPr>
        <w:t>, teniendo en cuent</w:t>
      </w:r>
      <w:r w:rsidR="00C136C0" w:rsidRPr="00C136C0">
        <w:rPr>
          <w:rFonts w:ascii="Bookman Old Style" w:hAnsi="Bookman Old Style" w:cs="Arial"/>
          <w:bCs/>
          <w:i/>
          <w:sz w:val="24"/>
          <w:szCs w:val="24"/>
        </w:rPr>
        <w:t>a que no fue posible notificar l</w:t>
      </w:r>
      <w:r w:rsidRPr="00C136C0">
        <w:rPr>
          <w:rFonts w:ascii="Bookman Old Style" w:hAnsi="Bookman Old Style" w:cs="Arial"/>
          <w:bCs/>
          <w:i/>
          <w:sz w:val="24"/>
          <w:szCs w:val="24"/>
        </w:rPr>
        <w:t>a resolución personalmente,</w:t>
      </w:r>
      <w:r w:rsidR="00C136C0" w:rsidRPr="00C136C0">
        <w:rPr>
          <w:rFonts w:ascii="Bookman Old Style" w:hAnsi="Bookman Old Style" w:cs="Arial"/>
          <w:bCs/>
          <w:i/>
          <w:sz w:val="24"/>
          <w:szCs w:val="24"/>
        </w:rPr>
        <w:t xml:space="preserve"> en cumplimiento de lo establecido en el artículo 69 del</w:t>
      </w:r>
      <w:r w:rsidRPr="00C136C0">
        <w:rPr>
          <w:rFonts w:ascii="Bookman Old Style" w:hAnsi="Bookman Old Style" w:cs="Arial"/>
          <w:bCs/>
          <w:i/>
          <w:sz w:val="24"/>
          <w:szCs w:val="24"/>
        </w:rPr>
        <w:t xml:space="preserve"> </w:t>
      </w:r>
      <w:r w:rsidR="00C136C0" w:rsidRPr="00C136C0">
        <w:rPr>
          <w:rFonts w:ascii="Bookman Old Style" w:hAnsi="Bookman Old Style" w:cs="Arial"/>
          <w:bCs/>
          <w:i/>
          <w:sz w:val="24"/>
          <w:szCs w:val="24"/>
        </w:rPr>
        <w:t xml:space="preserve">CPA y de lo CA, </w:t>
      </w:r>
      <w:r w:rsidRPr="00C136C0">
        <w:rPr>
          <w:rFonts w:ascii="Bookman Old Style" w:hAnsi="Bookman Old Style" w:cs="Arial"/>
          <w:bCs/>
          <w:i/>
          <w:sz w:val="24"/>
          <w:szCs w:val="24"/>
        </w:rPr>
        <w:t>allegan Notificación por Aviso,</w:t>
      </w:r>
      <w:r w:rsidR="00C136C0" w:rsidRPr="00C136C0">
        <w:rPr>
          <w:rFonts w:ascii="Bookman Old Style" w:hAnsi="Bookman Old Style" w:cs="Arial"/>
          <w:bCs/>
          <w:i/>
          <w:sz w:val="24"/>
          <w:szCs w:val="24"/>
        </w:rPr>
        <w:t xml:space="preserve"> </w:t>
      </w:r>
      <w:r w:rsidRPr="00C136C0">
        <w:rPr>
          <w:rFonts w:ascii="Bookman Old Style" w:hAnsi="Bookman Old Style" w:cs="Arial"/>
          <w:bCs/>
          <w:i/>
          <w:sz w:val="24"/>
          <w:szCs w:val="24"/>
        </w:rPr>
        <w:t>con e</w:t>
      </w:r>
      <w:r w:rsidR="00C136C0" w:rsidRPr="00C136C0">
        <w:rPr>
          <w:rFonts w:ascii="Bookman Old Style" w:hAnsi="Bookman Old Style" w:cs="Arial"/>
          <w:bCs/>
          <w:i/>
          <w:sz w:val="24"/>
          <w:szCs w:val="24"/>
        </w:rPr>
        <w:t xml:space="preserve">l </w:t>
      </w:r>
      <w:r w:rsidRPr="00C136C0">
        <w:rPr>
          <w:rFonts w:ascii="Bookman Old Style" w:hAnsi="Bookman Old Style" w:cs="Arial"/>
          <w:bCs/>
          <w:i/>
          <w:sz w:val="24"/>
          <w:szCs w:val="24"/>
        </w:rPr>
        <w:t>citado</w:t>
      </w:r>
      <w:r w:rsidR="00C136C0" w:rsidRPr="00C136C0">
        <w:rPr>
          <w:rFonts w:ascii="Bookman Old Style" w:hAnsi="Bookman Old Style" w:cs="Arial"/>
          <w:bCs/>
          <w:i/>
          <w:sz w:val="24"/>
          <w:szCs w:val="24"/>
        </w:rPr>
        <w:t xml:space="preserve"> </w:t>
      </w:r>
      <w:r w:rsidRPr="00C136C0">
        <w:rPr>
          <w:rFonts w:ascii="Bookman Old Style" w:hAnsi="Bookman Old Style" w:cs="Arial"/>
          <w:bCs/>
          <w:i/>
          <w:sz w:val="24"/>
          <w:szCs w:val="24"/>
        </w:rPr>
        <w:t>acto</w:t>
      </w:r>
      <w:r w:rsidR="00C136C0" w:rsidRPr="00C136C0">
        <w:rPr>
          <w:rFonts w:ascii="Bookman Old Style" w:hAnsi="Bookman Old Style" w:cs="Arial"/>
          <w:bCs/>
          <w:i/>
          <w:sz w:val="24"/>
          <w:szCs w:val="24"/>
        </w:rPr>
        <w:t xml:space="preserve"> administrativo. (anexa)</w:t>
      </w:r>
    </w:p>
    <w:p w:rsidR="00C136C0" w:rsidRPr="00C136C0" w:rsidRDefault="00C136C0" w:rsidP="00B0267C">
      <w:pPr>
        <w:ind w:left="284" w:right="284"/>
        <w:jc w:val="both"/>
        <w:rPr>
          <w:rFonts w:ascii="Bookman Old Style" w:hAnsi="Bookman Old Style" w:cs="Arial"/>
          <w:bCs/>
          <w:i/>
        </w:rPr>
      </w:pPr>
    </w:p>
    <w:p w:rsidR="003875E8" w:rsidRPr="00C136C0" w:rsidRDefault="00C136C0" w:rsidP="00615180">
      <w:pPr>
        <w:pStyle w:val="Prrafodelista"/>
        <w:numPr>
          <w:ilvl w:val="0"/>
          <w:numId w:val="31"/>
        </w:numPr>
        <w:ind w:right="284"/>
        <w:jc w:val="both"/>
        <w:rPr>
          <w:rFonts w:ascii="Bookman Old Style" w:hAnsi="Bookman Old Style" w:cs="Arial"/>
          <w:bCs/>
          <w:i/>
          <w:sz w:val="24"/>
          <w:szCs w:val="24"/>
        </w:rPr>
      </w:pPr>
      <w:r w:rsidRPr="00C136C0">
        <w:rPr>
          <w:rFonts w:ascii="Bookman Old Style" w:hAnsi="Bookman Old Style" w:cs="Arial"/>
          <w:bCs/>
          <w:i/>
          <w:sz w:val="24"/>
          <w:szCs w:val="24"/>
        </w:rPr>
        <w:t>No obstante, surtida la notificación por aviso el 10 de febrero de 2914, el 12 de febrero de 20</w:t>
      </w:r>
      <w:r w:rsidR="003875E8" w:rsidRPr="00C136C0">
        <w:rPr>
          <w:rFonts w:ascii="Bookman Old Style" w:hAnsi="Bookman Old Style" w:cs="Arial"/>
          <w:bCs/>
          <w:i/>
          <w:sz w:val="24"/>
          <w:szCs w:val="24"/>
        </w:rPr>
        <w:t>14,</w:t>
      </w:r>
      <w:r w:rsidRPr="00C136C0">
        <w:rPr>
          <w:rFonts w:ascii="Bookman Old Style" w:hAnsi="Bookman Old Style" w:cs="Arial"/>
          <w:bCs/>
          <w:i/>
          <w:sz w:val="24"/>
          <w:szCs w:val="24"/>
        </w:rPr>
        <w:t xml:space="preserve"> esa Comisión de Regulación </w:t>
      </w:r>
      <w:r w:rsidRPr="00615180">
        <w:rPr>
          <w:rFonts w:ascii="Bookman Old Style" w:hAnsi="Bookman Old Style" w:cs="Arial"/>
          <w:b/>
          <w:bCs/>
          <w:i/>
          <w:sz w:val="24"/>
          <w:szCs w:val="24"/>
        </w:rPr>
        <w:t>NOTIFICA PERSONALMENTE</w:t>
      </w:r>
      <w:r w:rsidR="003875E8" w:rsidRPr="00C136C0">
        <w:rPr>
          <w:rFonts w:ascii="Bookman Old Style" w:hAnsi="Bookman Old Style" w:cs="Arial"/>
          <w:bCs/>
          <w:i/>
          <w:sz w:val="24"/>
          <w:szCs w:val="24"/>
        </w:rPr>
        <w:t>,</w:t>
      </w:r>
      <w:r w:rsidRPr="00C136C0">
        <w:rPr>
          <w:rFonts w:ascii="Bookman Old Style" w:hAnsi="Bookman Old Style" w:cs="Arial"/>
          <w:bCs/>
          <w:i/>
          <w:sz w:val="24"/>
          <w:szCs w:val="24"/>
        </w:rPr>
        <w:t xml:space="preserve"> </w:t>
      </w:r>
      <w:r w:rsidR="003875E8" w:rsidRPr="00C136C0">
        <w:rPr>
          <w:rFonts w:ascii="Bookman Old Style" w:hAnsi="Bookman Old Style" w:cs="Arial"/>
          <w:bCs/>
          <w:i/>
          <w:sz w:val="24"/>
          <w:szCs w:val="24"/>
        </w:rPr>
        <w:t>a</w:t>
      </w:r>
      <w:r w:rsidRPr="00C136C0">
        <w:rPr>
          <w:rFonts w:ascii="Bookman Old Style" w:hAnsi="Bookman Old Style" w:cs="Arial"/>
          <w:bCs/>
          <w:i/>
          <w:sz w:val="24"/>
          <w:szCs w:val="24"/>
        </w:rPr>
        <w:t xml:space="preserve"> la apoderada del F</w:t>
      </w:r>
      <w:r w:rsidR="003875E8" w:rsidRPr="00C136C0">
        <w:rPr>
          <w:rFonts w:ascii="Bookman Old Style" w:hAnsi="Bookman Old Style" w:cs="Arial"/>
          <w:bCs/>
          <w:i/>
          <w:sz w:val="24"/>
          <w:szCs w:val="24"/>
        </w:rPr>
        <w:t>NR,</w:t>
      </w:r>
      <w:r w:rsidR="000D3398">
        <w:rPr>
          <w:rFonts w:ascii="Bookman Old Style" w:hAnsi="Bookman Old Style" w:cs="Arial"/>
          <w:bCs/>
          <w:i/>
          <w:sz w:val="24"/>
          <w:szCs w:val="24"/>
        </w:rPr>
        <w:t xml:space="preserve"> la Resolución CREG 197</w:t>
      </w:r>
      <w:r w:rsidRPr="00C136C0">
        <w:rPr>
          <w:rFonts w:ascii="Bookman Old Style" w:hAnsi="Bookman Old Style" w:cs="Arial"/>
          <w:bCs/>
          <w:i/>
          <w:sz w:val="24"/>
          <w:szCs w:val="24"/>
        </w:rPr>
        <w:t xml:space="preserve"> de 2013. (anexa)</w:t>
      </w:r>
    </w:p>
    <w:p w:rsidR="003875E8" w:rsidRDefault="00C136C0" w:rsidP="003875E8">
      <w:pPr>
        <w:ind w:left="284" w:right="284"/>
        <w:jc w:val="both"/>
        <w:rPr>
          <w:rFonts w:ascii="Bookman Old Style" w:hAnsi="Bookman Old Style" w:cs="Arial"/>
          <w:bCs/>
          <w:i/>
        </w:rPr>
      </w:pPr>
      <w:r>
        <w:rPr>
          <w:rFonts w:ascii="Bookman Old Style" w:hAnsi="Bookman Old Style" w:cs="Arial"/>
          <w:bCs/>
          <w:i/>
        </w:rPr>
        <w:lastRenderedPageBreak/>
        <w:t>C</w:t>
      </w:r>
      <w:r w:rsidR="003875E8" w:rsidRPr="003875E8">
        <w:rPr>
          <w:rFonts w:ascii="Bookman Old Style" w:hAnsi="Bookman Old Style" w:cs="Arial"/>
          <w:bCs/>
          <w:i/>
        </w:rPr>
        <w:t>omo se observa, esa entidad luego de haber efe</w:t>
      </w:r>
      <w:r>
        <w:rPr>
          <w:rFonts w:ascii="Bookman Old Style" w:hAnsi="Bookman Old Style" w:cs="Arial"/>
          <w:bCs/>
          <w:i/>
        </w:rPr>
        <w:t>ctuado notificación por aviso el 10 de febrero de 2014</w:t>
      </w:r>
      <w:r w:rsidR="003875E8" w:rsidRPr="003875E8">
        <w:rPr>
          <w:rFonts w:ascii="Bookman Old Style" w:hAnsi="Bookman Old Style" w:cs="Arial"/>
          <w:bCs/>
          <w:i/>
        </w:rPr>
        <w:t>,</w:t>
      </w:r>
      <w:r>
        <w:rPr>
          <w:rFonts w:ascii="Bookman Old Style" w:hAnsi="Bookman Old Style" w:cs="Arial"/>
          <w:bCs/>
          <w:i/>
        </w:rPr>
        <w:t xml:space="preserve"> notifi</w:t>
      </w:r>
      <w:r w:rsidR="003875E8" w:rsidRPr="003875E8">
        <w:rPr>
          <w:rFonts w:ascii="Bookman Old Style" w:hAnsi="Bookman Old Style" w:cs="Arial"/>
          <w:bCs/>
          <w:i/>
        </w:rPr>
        <w:t>ca</w:t>
      </w:r>
      <w:r>
        <w:rPr>
          <w:rFonts w:ascii="Bookman Old Style" w:hAnsi="Bookman Old Style" w:cs="Arial"/>
          <w:bCs/>
          <w:i/>
        </w:rPr>
        <w:t xml:space="preserve"> la resolución personalmente el 12 de febrero de 20</w:t>
      </w:r>
      <w:r w:rsidR="003875E8" w:rsidRPr="003875E8">
        <w:rPr>
          <w:rFonts w:ascii="Bookman Old Style" w:hAnsi="Bookman Old Style" w:cs="Arial"/>
          <w:bCs/>
          <w:i/>
        </w:rPr>
        <w:t>14</w:t>
      </w:r>
      <w:r>
        <w:rPr>
          <w:rFonts w:ascii="Bookman Old Style" w:hAnsi="Bookman Old Style" w:cs="Arial"/>
          <w:bCs/>
          <w:i/>
        </w:rPr>
        <w:t xml:space="preserve"> </w:t>
      </w:r>
      <w:r w:rsidR="003875E8" w:rsidRPr="003875E8">
        <w:rPr>
          <w:rFonts w:ascii="Bookman Old Style" w:hAnsi="Bookman Old Style" w:cs="Arial"/>
          <w:bCs/>
          <w:i/>
        </w:rPr>
        <w:t>a</w:t>
      </w:r>
      <w:r>
        <w:rPr>
          <w:rFonts w:ascii="Bookman Old Style" w:hAnsi="Bookman Old Style" w:cs="Arial"/>
          <w:bCs/>
          <w:i/>
        </w:rPr>
        <w:t xml:space="preserve"> la apoderada del Fondo Nacional de Regalí</w:t>
      </w:r>
      <w:r w:rsidR="003875E8" w:rsidRPr="003875E8">
        <w:rPr>
          <w:rFonts w:ascii="Bookman Old Style" w:hAnsi="Bookman Old Style" w:cs="Arial"/>
          <w:bCs/>
          <w:i/>
        </w:rPr>
        <w:t>as en Liquidación; notificación personal que invalida la re</w:t>
      </w:r>
      <w:r>
        <w:rPr>
          <w:rFonts w:ascii="Bookman Old Style" w:hAnsi="Bookman Old Style" w:cs="Arial"/>
          <w:bCs/>
          <w:i/>
        </w:rPr>
        <w:t>alizada por aviso, por cuanto al</w:t>
      </w:r>
      <w:r w:rsidR="003875E8" w:rsidRPr="003875E8">
        <w:rPr>
          <w:rFonts w:ascii="Bookman Old Style" w:hAnsi="Bookman Old Style" w:cs="Arial"/>
          <w:bCs/>
          <w:i/>
        </w:rPr>
        <w:t xml:space="preserve"> ser esta por principio gen</w:t>
      </w:r>
      <w:r>
        <w:rPr>
          <w:rFonts w:ascii="Bookman Old Style" w:hAnsi="Bookman Old Style" w:cs="Arial"/>
          <w:bCs/>
          <w:i/>
        </w:rPr>
        <w:t>eral en materia de publicidad, la regla general, tiene más preval</w:t>
      </w:r>
      <w:r w:rsidR="003875E8" w:rsidRPr="003875E8">
        <w:rPr>
          <w:rFonts w:ascii="Bookman Old Style" w:hAnsi="Bookman Old Style" w:cs="Arial"/>
          <w:bCs/>
          <w:i/>
        </w:rPr>
        <w:t>encia.</w:t>
      </w:r>
    </w:p>
    <w:p w:rsidR="00C136C0" w:rsidRPr="003875E8" w:rsidRDefault="00C136C0" w:rsidP="003875E8">
      <w:pPr>
        <w:ind w:left="284" w:right="284"/>
        <w:jc w:val="both"/>
        <w:rPr>
          <w:rFonts w:ascii="Bookman Old Style" w:hAnsi="Bookman Old Style" w:cs="Arial"/>
          <w:bCs/>
          <w:i/>
        </w:rPr>
      </w:pPr>
    </w:p>
    <w:p w:rsid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E</w:t>
      </w:r>
      <w:r w:rsidR="00C136C0">
        <w:rPr>
          <w:rFonts w:ascii="Bookman Old Style" w:hAnsi="Bookman Old Style" w:cs="Arial"/>
          <w:bCs/>
          <w:i/>
        </w:rPr>
        <w:t>n dicho sentido ha manifestado l</w:t>
      </w:r>
      <w:r w:rsidRPr="003875E8">
        <w:rPr>
          <w:rFonts w:ascii="Bookman Old Style" w:hAnsi="Bookman Old Style" w:cs="Arial"/>
          <w:bCs/>
          <w:i/>
        </w:rPr>
        <w:t>a</w:t>
      </w:r>
      <w:r w:rsidR="00C136C0">
        <w:rPr>
          <w:rFonts w:ascii="Bookman Old Style" w:hAnsi="Bookman Old Style" w:cs="Arial"/>
          <w:bCs/>
          <w:i/>
        </w:rPr>
        <w:t xml:space="preserve"> C</w:t>
      </w:r>
      <w:r w:rsidRPr="003875E8">
        <w:rPr>
          <w:rFonts w:ascii="Bookman Old Style" w:hAnsi="Bookman Old Style" w:cs="Arial"/>
          <w:bCs/>
          <w:i/>
        </w:rPr>
        <w:t>orte</w:t>
      </w:r>
      <w:r w:rsidR="00C136C0">
        <w:rPr>
          <w:rFonts w:ascii="Bookman Old Style" w:hAnsi="Bookman Old Style" w:cs="Arial"/>
          <w:bCs/>
          <w:i/>
        </w:rPr>
        <w:t xml:space="preserve"> Constitucional, en la sentencia C-629 de 2004, M.P. Jaime Araujo Rentería</w:t>
      </w:r>
      <w:r w:rsidRPr="003875E8">
        <w:rPr>
          <w:rFonts w:ascii="Bookman Old Style" w:hAnsi="Bookman Old Style" w:cs="Arial"/>
          <w:bCs/>
          <w:i/>
        </w:rPr>
        <w:t>:</w:t>
      </w:r>
    </w:p>
    <w:p w:rsidR="00C136C0" w:rsidRPr="0067792A" w:rsidRDefault="00C136C0" w:rsidP="003875E8">
      <w:pPr>
        <w:ind w:left="284" w:right="284"/>
        <w:jc w:val="both"/>
        <w:rPr>
          <w:rFonts w:ascii="Bookman Old Style" w:hAnsi="Bookman Old Style" w:cs="Arial"/>
          <w:bCs/>
          <w:i/>
          <w:sz w:val="20"/>
        </w:rPr>
      </w:pPr>
    </w:p>
    <w:p w:rsidR="00C136C0" w:rsidRDefault="00C136C0" w:rsidP="003875E8">
      <w:pPr>
        <w:ind w:left="284" w:right="284"/>
        <w:jc w:val="both"/>
        <w:rPr>
          <w:rFonts w:ascii="Bookman Old Style" w:hAnsi="Bookman Old Style" w:cs="Arial"/>
          <w:bCs/>
          <w:i/>
        </w:rPr>
      </w:pPr>
      <w:r>
        <w:rPr>
          <w:rFonts w:ascii="Bookman Old Style" w:hAnsi="Bookman Old Style" w:cs="Arial"/>
          <w:bCs/>
          <w:i/>
        </w:rPr>
        <w:t>(…)</w:t>
      </w:r>
    </w:p>
    <w:p w:rsidR="00C136C0" w:rsidRPr="003875E8" w:rsidRDefault="00C136C0" w:rsidP="003875E8">
      <w:pPr>
        <w:ind w:left="284" w:right="284"/>
        <w:jc w:val="both"/>
        <w:rPr>
          <w:rFonts w:ascii="Bookman Old Style" w:hAnsi="Bookman Old Style" w:cs="Arial"/>
          <w:bCs/>
          <w:i/>
        </w:rPr>
      </w:pPr>
    </w:p>
    <w:p w:rsidR="003875E8" w:rsidRDefault="00C136C0" w:rsidP="003875E8">
      <w:pPr>
        <w:ind w:left="284" w:right="284"/>
        <w:jc w:val="both"/>
        <w:rPr>
          <w:rFonts w:ascii="Bookman Old Style" w:hAnsi="Bookman Old Style" w:cs="Arial"/>
          <w:bCs/>
          <w:i/>
        </w:rPr>
      </w:pPr>
      <w:r>
        <w:rPr>
          <w:rFonts w:ascii="Bookman Old Style" w:hAnsi="Bookman Old Style" w:cs="Arial"/>
          <w:bCs/>
          <w:i/>
        </w:rPr>
        <w:t>Así las cosas</w:t>
      </w:r>
      <w:r w:rsidR="003875E8" w:rsidRPr="003875E8">
        <w:rPr>
          <w:rFonts w:ascii="Bookman Old Style" w:hAnsi="Bookman Old Style" w:cs="Arial"/>
          <w:bCs/>
          <w:i/>
        </w:rPr>
        <w:t>,</w:t>
      </w:r>
      <w:r>
        <w:rPr>
          <w:rFonts w:ascii="Bookman Old Style" w:hAnsi="Bookman Old Style" w:cs="Arial"/>
          <w:bCs/>
          <w:i/>
        </w:rPr>
        <w:t xml:space="preserve"> al pres</w:t>
      </w:r>
      <w:r w:rsidR="003875E8" w:rsidRPr="003875E8">
        <w:rPr>
          <w:rFonts w:ascii="Bookman Old Style" w:hAnsi="Bookman Old Style" w:cs="Arial"/>
          <w:bCs/>
          <w:i/>
        </w:rPr>
        <w:t>enta</w:t>
      </w:r>
      <w:r>
        <w:rPr>
          <w:rFonts w:ascii="Bookman Old Style" w:hAnsi="Bookman Old Style" w:cs="Arial"/>
          <w:bCs/>
          <w:i/>
        </w:rPr>
        <w:t>rs</w:t>
      </w:r>
      <w:r w:rsidR="003875E8" w:rsidRPr="003875E8">
        <w:rPr>
          <w:rFonts w:ascii="Bookman Old Style" w:hAnsi="Bookman Old Style" w:cs="Arial"/>
          <w:bCs/>
          <w:i/>
        </w:rPr>
        <w:t>e en este caso la regla general</w:t>
      </w:r>
      <w:r>
        <w:rPr>
          <w:rFonts w:ascii="Bookman Old Style" w:hAnsi="Bookman Old Style" w:cs="Arial"/>
          <w:bCs/>
          <w:i/>
        </w:rPr>
        <w:t xml:space="preserve"> </w:t>
      </w:r>
      <w:r w:rsidR="003875E8" w:rsidRPr="003875E8">
        <w:rPr>
          <w:rFonts w:ascii="Bookman Old Style" w:hAnsi="Bookman Old Style" w:cs="Arial"/>
          <w:bCs/>
          <w:i/>
        </w:rPr>
        <w:t>y</w:t>
      </w:r>
      <w:r>
        <w:rPr>
          <w:rFonts w:ascii="Bookman Old Style" w:hAnsi="Bookman Old Style" w:cs="Arial"/>
          <w:bCs/>
          <w:i/>
        </w:rPr>
        <w:t xml:space="preserve"> su excepción, no puede teners</w:t>
      </w:r>
      <w:r w:rsidR="003875E8" w:rsidRPr="003875E8">
        <w:rPr>
          <w:rFonts w:ascii="Bookman Old Style" w:hAnsi="Bookman Old Style" w:cs="Arial"/>
          <w:bCs/>
          <w:i/>
        </w:rPr>
        <w:t>e e</w:t>
      </w:r>
      <w:r>
        <w:rPr>
          <w:rFonts w:ascii="Bookman Old Style" w:hAnsi="Bookman Old Style" w:cs="Arial"/>
          <w:bCs/>
          <w:i/>
        </w:rPr>
        <w:t>n cuenta dicha excepción, como s</w:t>
      </w:r>
      <w:r w:rsidR="003875E8" w:rsidRPr="003875E8">
        <w:rPr>
          <w:rFonts w:ascii="Bookman Old Style" w:hAnsi="Bookman Old Style" w:cs="Arial"/>
          <w:bCs/>
          <w:i/>
        </w:rPr>
        <w:t>e</w:t>
      </w:r>
      <w:r>
        <w:rPr>
          <w:rFonts w:ascii="Bookman Old Style" w:hAnsi="Bookman Old Style" w:cs="Arial"/>
          <w:bCs/>
          <w:i/>
        </w:rPr>
        <w:t xml:space="preserve"> </w:t>
      </w:r>
      <w:r w:rsidR="003875E8" w:rsidRPr="003875E8">
        <w:rPr>
          <w:rFonts w:ascii="Bookman Old Style" w:hAnsi="Bookman Old Style" w:cs="Arial"/>
          <w:bCs/>
          <w:i/>
        </w:rPr>
        <w:t>man</w:t>
      </w:r>
      <w:r>
        <w:rPr>
          <w:rFonts w:ascii="Bookman Old Style" w:hAnsi="Bookman Old Style" w:cs="Arial"/>
          <w:bCs/>
          <w:i/>
        </w:rPr>
        <w:t>ifestó prepondera la notificación pers</w:t>
      </w:r>
      <w:r w:rsidR="003875E8" w:rsidRPr="003875E8">
        <w:rPr>
          <w:rFonts w:ascii="Bookman Old Style" w:hAnsi="Bookman Old Style" w:cs="Arial"/>
          <w:bCs/>
          <w:i/>
        </w:rPr>
        <w:t>onal</w:t>
      </w:r>
      <w:r>
        <w:rPr>
          <w:rFonts w:ascii="Bookman Old Style" w:hAnsi="Bookman Old Style" w:cs="Arial"/>
          <w:bCs/>
          <w:i/>
        </w:rPr>
        <w:t xml:space="preserve"> surtida, </w:t>
      </w:r>
      <w:r w:rsidR="003875E8" w:rsidRPr="003875E8">
        <w:rPr>
          <w:rFonts w:ascii="Bookman Old Style" w:hAnsi="Bookman Old Style" w:cs="Arial"/>
          <w:bCs/>
          <w:i/>
        </w:rPr>
        <w:t xml:space="preserve">para </w:t>
      </w:r>
      <w:r>
        <w:rPr>
          <w:rFonts w:ascii="Bookman Old Style" w:hAnsi="Bookman Old Style" w:cs="Arial"/>
          <w:bCs/>
          <w:i/>
        </w:rPr>
        <w:t>efecto de la oportunidad procedi</w:t>
      </w:r>
      <w:r w:rsidR="00743775">
        <w:rPr>
          <w:rFonts w:ascii="Bookman Old Style" w:hAnsi="Bookman Old Style" w:cs="Arial"/>
          <w:bCs/>
          <w:i/>
        </w:rPr>
        <w:t>mental para interponer los recursos.</w:t>
      </w:r>
    </w:p>
    <w:p w:rsidR="00743775" w:rsidRPr="003875E8" w:rsidRDefault="00743775" w:rsidP="003875E8">
      <w:pPr>
        <w:ind w:left="284" w:right="284"/>
        <w:jc w:val="both"/>
        <w:rPr>
          <w:rFonts w:ascii="Bookman Old Style" w:hAnsi="Bookman Old Style" w:cs="Arial"/>
          <w:bCs/>
          <w:i/>
        </w:rPr>
      </w:pPr>
    </w:p>
    <w:p w:rsidR="003875E8" w:rsidRDefault="00743775" w:rsidP="003875E8">
      <w:pPr>
        <w:ind w:left="284" w:right="284"/>
        <w:jc w:val="both"/>
        <w:rPr>
          <w:rFonts w:ascii="Bookman Old Style" w:hAnsi="Bookman Old Style" w:cs="Arial"/>
          <w:bCs/>
          <w:i/>
        </w:rPr>
      </w:pPr>
      <w:r>
        <w:rPr>
          <w:rFonts w:ascii="Bookman Old Style" w:hAnsi="Bookman Old Style" w:cs="Arial"/>
          <w:bCs/>
          <w:i/>
        </w:rPr>
        <w:t>Por ello, en ambos casos</w:t>
      </w:r>
      <w:r w:rsidR="003875E8" w:rsidRPr="003875E8">
        <w:rPr>
          <w:rFonts w:ascii="Bookman Old Style" w:hAnsi="Bookman Old Style" w:cs="Arial"/>
          <w:bCs/>
          <w:i/>
        </w:rPr>
        <w:t xml:space="preserve"> el </w:t>
      </w:r>
      <w:r>
        <w:rPr>
          <w:rFonts w:ascii="Bookman Old Style" w:hAnsi="Bookman Old Style" w:cs="Arial"/>
          <w:bCs/>
          <w:i/>
        </w:rPr>
        <w:t>Fondo Nacional de Regalías en Liquidación, Interpuso el recurso de reposición en la oportunidad debi</w:t>
      </w:r>
      <w:r w:rsidR="003875E8" w:rsidRPr="003875E8">
        <w:rPr>
          <w:rFonts w:ascii="Bookman Old Style" w:hAnsi="Bookman Old Style" w:cs="Arial"/>
          <w:bCs/>
          <w:i/>
        </w:rPr>
        <w:t>da.</w:t>
      </w:r>
    </w:p>
    <w:p w:rsidR="00743775" w:rsidRPr="003875E8" w:rsidRDefault="00743775" w:rsidP="003875E8">
      <w:pPr>
        <w:ind w:left="284" w:right="284"/>
        <w:jc w:val="both"/>
        <w:rPr>
          <w:rFonts w:ascii="Bookman Old Style" w:hAnsi="Bookman Old Style" w:cs="Arial"/>
          <w:bCs/>
          <w:i/>
        </w:rPr>
      </w:pPr>
    </w:p>
    <w:p w:rsidR="003875E8" w:rsidRDefault="00743775" w:rsidP="003875E8">
      <w:pPr>
        <w:ind w:left="284" w:right="284"/>
        <w:jc w:val="both"/>
        <w:rPr>
          <w:rFonts w:ascii="Bookman Old Style" w:hAnsi="Bookman Old Style" w:cs="Arial"/>
          <w:bCs/>
          <w:i/>
        </w:rPr>
      </w:pPr>
      <w:r>
        <w:rPr>
          <w:rFonts w:ascii="Bookman Old Style" w:hAnsi="Bookman Old Style" w:cs="Arial"/>
          <w:bCs/>
          <w:i/>
        </w:rPr>
        <w:t>No obs</w:t>
      </w:r>
      <w:r w:rsidR="003875E8" w:rsidRPr="003875E8">
        <w:rPr>
          <w:rFonts w:ascii="Bookman Old Style" w:hAnsi="Bookman Old Style" w:cs="Arial"/>
          <w:bCs/>
          <w:i/>
        </w:rPr>
        <w:t>tante, teniendo en cuenta que frente al Auto que rechaza por extemporáneo el</w:t>
      </w:r>
      <w:r>
        <w:rPr>
          <w:rFonts w:ascii="Bookman Old Style" w:hAnsi="Bookman Old Style" w:cs="Arial"/>
          <w:bCs/>
          <w:i/>
        </w:rPr>
        <w:t xml:space="preserve"> recurso presentado no procede recurs</w:t>
      </w:r>
      <w:r w:rsidR="003875E8" w:rsidRPr="003875E8">
        <w:rPr>
          <w:rFonts w:ascii="Bookman Old Style" w:hAnsi="Bookman Old Style" w:cs="Arial"/>
          <w:bCs/>
          <w:i/>
        </w:rPr>
        <w:t xml:space="preserve">o alguno, </w:t>
      </w:r>
      <w:r>
        <w:rPr>
          <w:rFonts w:ascii="Bookman Old Style" w:hAnsi="Bookman Old Style" w:cs="Arial"/>
          <w:bCs/>
          <w:i/>
        </w:rPr>
        <w:t xml:space="preserve">sin desconocer </w:t>
      </w:r>
      <w:r w:rsidR="003875E8" w:rsidRPr="003875E8">
        <w:rPr>
          <w:rFonts w:ascii="Bookman Old Style" w:hAnsi="Bookman Old Style" w:cs="Arial"/>
          <w:bCs/>
          <w:i/>
        </w:rPr>
        <w:t>la flagrante</w:t>
      </w:r>
      <w:r>
        <w:rPr>
          <w:rFonts w:ascii="Bookman Old Style" w:hAnsi="Bookman Old Style" w:cs="Arial"/>
          <w:bCs/>
          <w:i/>
        </w:rPr>
        <w:t xml:space="preserve"> vulneración del derecho al debi</w:t>
      </w:r>
      <w:r w:rsidR="003875E8" w:rsidRPr="003875E8">
        <w:rPr>
          <w:rFonts w:ascii="Bookman Old Style" w:hAnsi="Bookman Old Style" w:cs="Arial"/>
          <w:bCs/>
          <w:i/>
        </w:rPr>
        <w:t>do</w:t>
      </w:r>
      <w:r>
        <w:rPr>
          <w:rFonts w:ascii="Bookman Old Style" w:hAnsi="Bookman Old Style" w:cs="Arial"/>
          <w:bCs/>
          <w:i/>
        </w:rPr>
        <w:t xml:space="preserve"> proceso, que se pone en consideración de Comisi</w:t>
      </w:r>
      <w:r w:rsidR="003875E8" w:rsidRPr="003875E8">
        <w:rPr>
          <w:rFonts w:ascii="Bookman Old Style" w:hAnsi="Bookman Old Style" w:cs="Arial"/>
          <w:bCs/>
          <w:i/>
        </w:rPr>
        <w:t xml:space="preserve">ón de Regulación, </w:t>
      </w:r>
      <w:r>
        <w:rPr>
          <w:rFonts w:ascii="Bookman Old Style" w:hAnsi="Bookman Old Style" w:cs="Arial"/>
          <w:bCs/>
          <w:i/>
        </w:rPr>
        <w:t>para que ajus</w:t>
      </w:r>
      <w:r w:rsidR="003875E8" w:rsidRPr="003875E8">
        <w:rPr>
          <w:rFonts w:ascii="Bookman Old Style" w:hAnsi="Bookman Old Style" w:cs="Arial"/>
          <w:bCs/>
          <w:i/>
        </w:rPr>
        <w:t>te</w:t>
      </w:r>
      <w:r>
        <w:rPr>
          <w:rFonts w:ascii="Bookman Old Style" w:hAnsi="Bookman Old Style" w:cs="Arial"/>
          <w:bCs/>
          <w:i/>
        </w:rPr>
        <w:t xml:space="preserve"> sus procedimientos administrativos, procede es</w:t>
      </w:r>
      <w:r w:rsidR="003875E8" w:rsidRPr="003875E8">
        <w:rPr>
          <w:rFonts w:ascii="Bookman Old Style" w:hAnsi="Bookman Old Style" w:cs="Arial"/>
          <w:bCs/>
          <w:i/>
        </w:rPr>
        <w:t>ta</w:t>
      </w:r>
      <w:r>
        <w:rPr>
          <w:rFonts w:ascii="Bookman Old Style" w:hAnsi="Bookman Old Style" w:cs="Arial"/>
          <w:bCs/>
          <w:i/>
        </w:rPr>
        <w:t xml:space="preserve"> enti</w:t>
      </w:r>
      <w:r w:rsidR="003875E8" w:rsidRPr="003875E8">
        <w:rPr>
          <w:rFonts w:ascii="Bookman Old Style" w:hAnsi="Bookman Old Style" w:cs="Arial"/>
          <w:bCs/>
          <w:i/>
        </w:rPr>
        <w:t>dad</w:t>
      </w:r>
      <w:r>
        <w:rPr>
          <w:rFonts w:ascii="Bookman Old Style" w:hAnsi="Bookman Old Style" w:cs="Arial"/>
          <w:bCs/>
          <w:i/>
        </w:rPr>
        <w:t xml:space="preserve"> a presentar solicitud de REVOCATORIA DIREC</w:t>
      </w:r>
      <w:r w:rsidR="003875E8" w:rsidRPr="003875E8">
        <w:rPr>
          <w:rFonts w:ascii="Bookman Old Style" w:hAnsi="Bookman Old Style" w:cs="Arial"/>
          <w:bCs/>
          <w:i/>
        </w:rPr>
        <w:t>TA</w:t>
      </w:r>
      <w:r w:rsidR="000D3398">
        <w:rPr>
          <w:rFonts w:ascii="Bookman Old Style" w:hAnsi="Bookman Old Style" w:cs="Arial"/>
          <w:bCs/>
          <w:i/>
        </w:rPr>
        <w:t xml:space="preserve"> de la RESOLUCIÓN CREG 197</w:t>
      </w:r>
      <w:r>
        <w:rPr>
          <w:rFonts w:ascii="Bookman Old Style" w:hAnsi="Bookman Old Style" w:cs="Arial"/>
          <w:bCs/>
          <w:i/>
        </w:rPr>
        <w:t xml:space="preserve"> D</w:t>
      </w:r>
      <w:r w:rsidR="003875E8" w:rsidRPr="003875E8">
        <w:rPr>
          <w:rFonts w:ascii="Bookman Old Style" w:hAnsi="Bookman Old Style" w:cs="Arial"/>
          <w:bCs/>
          <w:i/>
        </w:rPr>
        <w:t>E 2013,</w:t>
      </w:r>
      <w:r>
        <w:rPr>
          <w:rFonts w:ascii="Bookman Old Style" w:hAnsi="Bookman Old Style" w:cs="Arial"/>
          <w:bCs/>
          <w:i/>
        </w:rPr>
        <w:t xml:space="preserve"> </w:t>
      </w:r>
      <w:r w:rsidR="003875E8" w:rsidRPr="003875E8">
        <w:rPr>
          <w:rFonts w:ascii="Bookman Old Style" w:hAnsi="Bookman Old Style" w:cs="Arial"/>
          <w:bCs/>
          <w:i/>
        </w:rPr>
        <w:t xml:space="preserve">con fundamento en lo </w:t>
      </w:r>
      <w:r>
        <w:rPr>
          <w:rFonts w:ascii="Bookman Old Style" w:hAnsi="Bookman Old Style" w:cs="Arial"/>
          <w:bCs/>
          <w:i/>
        </w:rPr>
        <w:t xml:space="preserve">dispuesto </w:t>
      </w:r>
      <w:r w:rsidR="003875E8" w:rsidRPr="003875E8">
        <w:rPr>
          <w:rFonts w:ascii="Bookman Old Style" w:hAnsi="Bookman Old Style" w:cs="Arial"/>
          <w:bCs/>
          <w:i/>
        </w:rPr>
        <w:t>por el</w:t>
      </w:r>
      <w:r>
        <w:rPr>
          <w:rFonts w:ascii="Bookman Old Style" w:hAnsi="Bookman Old Style" w:cs="Arial"/>
          <w:bCs/>
          <w:i/>
        </w:rPr>
        <w:t xml:space="preserve"> Cons</w:t>
      </w:r>
      <w:r w:rsidR="003875E8" w:rsidRPr="003875E8">
        <w:rPr>
          <w:rFonts w:ascii="Bookman Old Style" w:hAnsi="Bookman Old Style" w:cs="Arial"/>
          <w:bCs/>
          <w:i/>
        </w:rPr>
        <w:t>ejo de</w:t>
      </w:r>
      <w:r>
        <w:rPr>
          <w:rFonts w:ascii="Bookman Old Style" w:hAnsi="Bookman Old Style" w:cs="Arial"/>
          <w:bCs/>
          <w:i/>
        </w:rPr>
        <w:t xml:space="preserve"> Estado (…).</w:t>
      </w:r>
    </w:p>
    <w:p w:rsidR="00743775" w:rsidRPr="003875E8" w:rsidRDefault="00743775" w:rsidP="003875E8">
      <w:pPr>
        <w:ind w:left="284" w:right="284"/>
        <w:jc w:val="both"/>
        <w:rPr>
          <w:rFonts w:ascii="Bookman Old Style" w:hAnsi="Bookman Old Style" w:cs="Arial"/>
          <w:bCs/>
          <w:i/>
        </w:rPr>
      </w:pPr>
    </w:p>
    <w:p w:rsidR="003875E8" w:rsidRPr="00743775" w:rsidRDefault="003875E8" w:rsidP="003875E8">
      <w:pPr>
        <w:ind w:left="284" w:right="284"/>
        <w:jc w:val="both"/>
        <w:rPr>
          <w:rFonts w:ascii="Bookman Old Style" w:hAnsi="Bookman Old Style" w:cs="Arial"/>
          <w:b/>
          <w:bCs/>
          <w:i/>
        </w:rPr>
      </w:pPr>
      <w:r w:rsidRPr="00743775">
        <w:rPr>
          <w:rFonts w:ascii="Bookman Old Style" w:hAnsi="Bookman Old Style" w:cs="Arial"/>
          <w:b/>
          <w:bCs/>
          <w:i/>
        </w:rPr>
        <w:t>2. PROCEDENCIA Y ARGUMENTOS DE LA SOLICTUD DE REVOCATORIA</w:t>
      </w:r>
    </w:p>
    <w:p w:rsidR="00743775" w:rsidRDefault="00743775" w:rsidP="003875E8">
      <w:pPr>
        <w:ind w:left="284" w:right="284"/>
        <w:jc w:val="both"/>
        <w:rPr>
          <w:rFonts w:ascii="Bookman Old Style" w:hAnsi="Bookman Old Style" w:cs="Arial"/>
          <w:bCs/>
          <w:i/>
        </w:rPr>
      </w:pPr>
    </w:p>
    <w:p w:rsid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De conformidad con lo establecido en el artículo 93, del CPA y de lo CA, los actos administrativos deberán ser revocados por la misma autoridad que los profirió o por el superior jerárquico o funcional, de oficio o a solicitud de parte, en los siguientes casos:</w:t>
      </w:r>
    </w:p>
    <w:p w:rsidR="00743775" w:rsidRPr="003875E8" w:rsidRDefault="00743775" w:rsidP="00743775">
      <w:pPr>
        <w:ind w:left="0" w:right="284"/>
        <w:jc w:val="both"/>
        <w:rPr>
          <w:rFonts w:ascii="Bookman Old Style" w:hAnsi="Bookman Old Style" w:cs="Arial"/>
          <w:bCs/>
          <w:i/>
        </w:rPr>
      </w:pPr>
    </w:p>
    <w:p w:rsidR="003875E8" w:rsidRPr="00743775" w:rsidRDefault="00743775" w:rsidP="00743775">
      <w:pPr>
        <w:ind w:left="851" w:right="284" w:hanging="425"/>
        <w:jc w:val="both"/>
        <w:rPr>
          <w:rFonts w:ascii="Bookman Old Style" w:hAnsi="Bookman Old Style" w:cs="Arial"/>
          <w:bCs/>
          <w:i/>
        </w:rPr>
      </w:pPr>
      <w:r w:rsidRPr="00743775">
        <w:rPr>
          <w:rFonts w:ascii="Bookman Old Style" w:hAnsi="Bookman Old Style" w:cs="Arial"/>
          <w:bCs/>
          <w:i/>
        </w:rPr>
        <w:t xml:space="preserve">“1. </w:t>
      </w:r>
      <w:r w:rsidR="003875E8" w:rsidRPr="00743775">
        <w:rPr>
          <w:rFonts w:ascii="Bookman Old Style" w:hAnsi="Bookman Old Style" w:cs="Arial"/>
          <w:bCs/>
          <w:i/>
        </w:rPr>
        <w:t xml:space="preserve">Cuando sea manifiesta su </w:t>
      </w:r>
      <w:r w:rsidRPr="00743775">
        <w:rPr>
          <w:rFonts w:ascii="Bookman Old Style" w:hAnsi="Bookman Old Style" w:cs="Arial"/>
          <w:bCs/>
          <w:i/>
        </w:rPr>
        <w:t>oposición a la Constitución Polí</w:t>
      </w:r>
      <w:r w:rsidR="003875E8" w:rsidRPr="00743775">
        <w:rPr>
          <w:rFonts w:ascii="Bookman Old Style" w:hAnsi="Bookman Old Style" w:cs="Arial"/>
          <w:bCs/>
          <w:i/>
        </w:rPr>
        <w:t>tica o a la ley.</w:t>
      </w:r>
    </w:p>
    <w:p w:rsidR="003875E8" w:rsidRPr="00743775" w:rsidRDefault="00743775" w:rsidP="00743775">
      <w:pPr>
        <w:ind w:left="851" w:right="284" w:hanging="425"/>
        <w:jc w:val="both"/>
        <w:rPr>
          <w:rFonts w:ascii="Bookman Old Style" w:hAnsi="Bookman Old Style" w:cs="Arial"/>
          <w:bCs/>
          <w:i/>
        </w:rPr>
      </w:pPr>
      <w:r>
        <w:rPr>
          <w:rFonts w:ascii="Bookman Old Style" w:hAnsi="Bookman Old Style" w:cs="Arial"/>
          <w:bCs/>
          <w:i/>
        </w:rPr>
        <w:t xml:space="preserve">2. </w:t>
      </w:r>
      <w:r w:rsidR="003875E8" w:rsidRPr="00743775">
        <w:rPr>
          <w:rFonts w:ascii="Bookman Old Style" w:hAnsi="Bookman Old Style" w:cs="Arial"/>
          <w:bCs/>
          <w:i/>
        </w:rPr>
        <w:t>Cuando no estén conformes con el interés público o social, o atenten contra él.</w:t>
      </w:r>
    </w:p>
    <w:p w:rsidR="003875E8" w:rsidRPr="00743775" w:rsidRDefault="00743775" w:rsidP="00743775">
      <w:pPr>
        <w:ind w:left="851" w:right="284" w:hanging="425"/>
        <w:jc w:val="both"/>
        <w:rPr>
          <w:rFonts w:ascii="Bookman Old Style" w:hAnsi="Bookman Old Style" w:cs="Arial"/>
          <w:bCs/>
          <w:i/>
        </w:rPr>
      </w:pPr>
      <w:r>
        <w:rPr>
          <w:rFonts w:ascii="Bookman Old Style" w:hAnsi="Bookman Old Style" w:cs="Arial"/>
          <w:bCs/>
          <w:i/>
        </w:rPr>
        <w:t xml:space="preserve">3. </w:t>
      </w:r>
      <w:r w:rsidR="003875E8" w:rsidRPr="00743775">
        <w:rPr>
          <w:rFonts w:ascii="Bookman Old Style" w:hAnsi="Bookman Old Style" w:cs="Arial"/>
          <w:bCs/>
          <w:i/>
        </w:rPr>
        <w:t>Cuando con ellos se cause agravio injustificado a una persona".</w:t>
      </w:r>
    </w:p>
    <w:p w:rsidR="00743775" w:rsidRPr="00743775" w:rsidRDefault="00743775" w:rsidP="003875E8">
      <w:pPr>
        <w:ind w:left="284" w:right="284"/>
        <w:jc w:val="both"/>
        <w:rPr>
          <w:rFonts w:ascii="Bookman Old Style" w:hAnsi="Bookman Old Style" w:cs="Arial"/>
          <w:bCs/>
          <w:i/>
        </w:rPr>
      </w:pPr>
    </w:p>
    <w:p w:rsid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Así las cosas, en el pres</w:t>
      </w:r>
      <w:r w:rsidR="000D3398">
        <w:rPr>
          <w:rFonts w:ascii="Bookman Old Style" w:hAnsi="Bookman Old Style" w:cs="Arial"/>
          <w:bCs/>
          <w:i/>
        </w:rPr>
        <w:t>ente caso la RESOLUCIÓN CREG 197</w:t>
      </w:r>
      <w:r w:rsidRPr="003875E8">
        <w:rPr>
          <w:rFonts w:ascii="Bookman Old Style" w:hAnsi="Bookman Old Style" w:cs="Arial"/>
          <w:bCs/>
          <w:i/>
        </w:rPr>
        <w:t xml:space="preserve"> DE 2013, no se encuentra conforme al interés público y atenta contra él, y causa agravios injustificados a los usuarios del servicio público domiciliario, con fundamento en los siguientes argumentos:</w:t>
      </w:r>
    </w:p>
    <w:p w:rsidR="00743775" w:rsidRPr="003875E8" w:rsidRDefault="00743775" w:rsidP="003875E8">
      <w:pPr>
        <w:ind w:left="284" w:right="284"/>
        <w:jc w:val="both"/>
        <w:rPr>
          <w:rFonts w:ascii="Bookman Old Style" w:hAnsi="Bookman Old Style" w:cs="Arial"/>
          <w:bCs/>
          <w:i/>
        </w:rPr>
      </w:pPr>
    </w:p>
    <w:p w:rsidR="008149C1" w:rsidRDefault="000D3398" w:rsidP="008149C1">
      <w:pPr>
        <w:ind w:left="284" w:right="284"/>
        <w:jc w:val="both"/>
        <w:rPr>
          <w:rFonts w:ascii="Bookman Old Style" w:hAnsi="Bookman Old Style" w:cs="Arial"/>
          <w:bCs/>
          <w:i/>
        </w:rPr>
      </w:pPr>
      <w:r>
        <w:rPr>
          <w:rFonts w:ascii="Bookman Old Style" w:hAnsi="Bookman Old Style" w:cs="Arial"/>
          <w:bCs/>
          <w:i/>
        </w:rPr>
        <w:t>En su oportunidad e</w:t>
      </w:r>
      <w:r w:rsidR="003875E8" w:rsidRPr="003875E8">
        <w:rPr>
          <w:rFonts w:ascii="Bookman Old Style" w:hAnsi="Bookman Old Style" w:cs="Arial"/>
          <w:bCs/>
          <w:i/>
        </w:rPr>
        <w:t>l Consejo Asesor del Fondo Nacional de Regalías</w:t>
      </w:r>
      <w:r>
        <w:rPr>
          <w:rFonts w:ascii="Bookman Old Style" w:hAnsi="Bookman Old Style" w:cs="Arial"/>
          <w:bCs/>
          <w:i/>
        </w:rPr>
        <w:t xml:space="preserve">, previa viabilización </w:t>
      </w:r>
      <w:r w:rsidR="003875E8" w:rsidRPr="003875E8">
        <w:rPr>
          <w:rFonts w:ascii="Bookman Old Style" w:hAnsi="Bookman Old Style" w:cs="Arial"/>
          <w:bCs/>
          <w:i/>
        </w:rPr>
        <w:t xml:space="preserve">efectuada por el Ministerio de Minas y Energía, aprobó la asignación </w:t>
      </w:r>
      <w:r w:rsidR="00CE3EA2">
        <w:rPr>
          <w:rFonts w:ascii="Bookman Old Style" w:hAnsi="Bookman Old Style" w:cs="Arial"/>
          <w:bCs/>
          <w:i/>
        </w:rPr>
        <w:t>de recursos del Fondo Nacional de Regalías, hoy en liquidación</w:t>
      </w:r>
      <w:r w:rsidR="003875E8" w:rsidRPr="003875E8">
        <w:rPr>
          <w:rFonts w:ascii="Bookman Old Style" w:hAnsi="Bookman Old Style" w:cs="Arial"/>
          <w:bCs/>
          <w:i/>
        </w:rPr>
        <w:t>, para el siguiente proyecto de inversión en el Sector de Gas, teniendo en cuenta los criterios señalados en el Acuerdo No. 020 del 21 de julio de 2011</w:t>
      </w:r>
      <w:r w:rsidR="00CE3EA2">
        <w:rPr>
          <w:rFonts w:ascii="Bookman Old Style" w:hAnsi="Bookman Old Style" w:cs="Arial"/>
          <w:bCs/>
          <w:i/>
        </w:rPr>
        <w:t>(…)</w:t>
      </w:r>
      <w:r w:rsidR="003875E8" w:rsidRPr="003875E8">
        <w:rPr>
          <w:rFonts w:ascii="Bookman Old Style" w:hAnsi="Bookman Old Style" w:cs="Arial"/>
          <w:bCs/>
          <w:i/>
        </w:rPr>
        <w:t>, así:</w:t>
      </w:r>
    </w:p>
    <w:p w:rsidR="003875E8" w:rsidRPr="003875E8" w:rsidRDefault="008149C1" w:rsidP="008149C1">
      <w:pPr>
        <w:ind w:left="284" w:right="284"/>
        <w:jc w:val="both"/>
        <w:rPr>
          <w:rFonts w:ascii="Bookman Old Style" w:hAnsi="Bookman Old Style" w:cs="Arial"/>
          <w:bCs/>
          <w:i/>
        </w:rPr>
      </w:pPr>
      <w:r>
        <w:rPr>
          <w:rFonts w:ascii="Bookman Old Style" w:hAnsi="Bookman Old Style" w:cs="Arial"/>
          <w:bCs/>
          <w:i/>
        </w:rPr>
        <w:lastRenderedPageBreak/>
        <w:t>(…)</w:t>
      </w:r>
      <w:r w:rsidRPr="003875E8">
        <w:rPr>
          <w:rFonts w:ascii="Bookman Old Style" w:hAnsi="Bookman Old Style" w:cs="Arial"/>
          <w:bCs/>
          <w:i/>
        </w:rPr>
        <w:t xml:space="preserve"> </w:t>
      </w:r>
    </w:p>
    <w:p w:rsidR="008149C1" w:rsidRDefault="008149C1" w:rsidP="003875E8">
      <w:pPr>
        <w:ind w:left="284" w:right="284"/>
        <w:jc w:val="both"/>
        <w:rPr>
          <w:rFonts w:ascii="Bookman Old Style" w:hAnsi="Bookman Old Style" w:cs="Arial"/>
          <w:bCs/>
          <w:i/>
        </w:rPr>
      </w:pPr>
    </w:p>
    <w:p w:rsidR="003875E8" w:rsidRPr="003875E8" w:rsidRDefault="008149C1" w:rsidP="003875E8">
      <w:pPr>
        <w:ind w:left="284" w:right="284"/>
        <w:jc w:val="both"/>
        <w:rPr>
          <w:rFonts w:ascii="Bookman Old Style" w:hAnsi="Bookman Old Style" w:cs="Arial"/>
          <w:bCs/>
          <w:i/>
        </w:rPr>
      </w:pPr>
      <w:r>
        <w:rPr>
          <w:rFonts w:ascii="Bookman Old Style" w:hAnsi="Bookman Old Style" w:cs="Arial"/>
          <w:bCs/>
          <w:i/>
        </w:rPr>
        <w:t>No obstante, en la Resolución C</w:t>
      </w:r>
      <w:r w:rsidR="003875E8" w:rsidRPr="003875E8">
        <w:rPr>
          <w:rFonts w:ascii="Bookman Old Style" w:hAnsi="Bookman Old Style" w:cs="Arial"/>
          <w:bCs/>
          <w:i/>
        </w:rPr>
        <w:t>REG</w:t>
      </w:r>
      <w:r>
        <w:rPr>
          <w:rFonts w:ascii="Bookman Old Style" w:hAnsi="Bookman Old Style" w:cs="Arial"/>
          <w:bCs/>
          <w:i/>
        </w:rPr>
        <w:t xml:space="preserve"> </w:t>
      </w:r>
      <w:r w:rsidR="000D3398">
        <w:rPr>
          <w:rFonts w:ascii="Bookman Old Style" w:hAnsi="Bookman Old Style" w:cs="Arial"/>
          <w:bCs/>
          <w:i/>
        </w:rPr>
        <w:t>197</w:t>
      </w:r>
      <w:r w:rsidR="003875E8" w:rsidRPr="003875E8">
        <w:rPr>
          <w:rFonts w:ascii="Bookman Old Style" w:hAnsi="Bookman Old Style" w:cs="Arial"/>
          <w:bCs/>
          <w:i/>
        </w:rPr>
        <w:t xml:space="preserve"> de 2013, aparece como componente de invers</w:t>
      </w:r>
      <w:r>
        <w:rPr>
          <w:rFonts w:ascii="Bookman Old Style" w:hAnsi="Bookman Old Style" w:cs="Arial"/>
          <w:bCs/>
          <w:i/>
        </w:rPr>
        <w:t>ión del Fondo Nacional de Regalí</w:t>
      </w:r>
      <w:r w:rsidR="003875E8" w:rsidRPr="003875E8">
        <w:rPr>
          <w:rFonts w:ascii="Bookman Old Style" w:hAnsi="Bookman Old Style" w:cs="Arial"/>
          <w:bCs/>
          <w:i/>
        </w:rPr>
        <w:t>as</w:t>
      </w:r>
      <w:r>
        <w:rPr>
          <w:rFonts w:ascii="Bookman Old Style" w:hAnsi="Bookman Old Style" w:cs="Arial"/>
          <w:bCs/>
          <w:i/>
        </w:rPr>
        <w:t xml:space="preserve"> -</w:t>
      </w:r>
      <w:r w:rsidR="003875E8" w:rsidRPr="003875E8">
        <w:rPr>
          <w:rFonts w:ascii="Bookman Old Style" w:hAnsi="Bookman Old Style" w:cs="Arial"/>
          <w:bCs/>
          <w:i/>
        </w:rPr>
        <w:t>FN</w:t>
      </w:r>
      <w:r>
        <w:rPr>
          <w:rFonts w:ascii="Bookman Old Style" w:hAnsi="Bookman Old Style" w:cs="Arial"/>
          <w:bCs/>
          <w:i/>
        </w:rPr>
        <w:t>R un valor por metro cúbico de $</w:t>
      </w:r>
      <w:r w:rsidR="003875E8" w:rsidRPr="003875E8">
        <w:rPr>
          <w:rFonts w:ascii="Bookman Old Style" w:hAnsi="Bookman Old Style" w:cs="Arial"/>
          <w:bCs/>
          <w:i/>
        </w:rPr>
        <w:t>1</w:t>
      </w:r>
      <w:r w:rsidR="000D3398">
        <w:rPr>
          <w:rFonts w:ascii="Bookman Old Style" w:hAnsi="Bookman Old Style" w:cs="Arial"/>
          <w:bCs/>
          <w:i/>
        </w:rPr>
        <w:t>.645,45</w:t>
      </w:r>
      <w:r w:rsidR="003875E8" w:rsidRPr="003875E8">
        <w:rPr>
          <w:rFonts w:ascii="Bookman Old Style" w:hAnsi="Bookman Old Style" w:cs="Arial"/>
          <w:bCs/>
          <w:i/>
        </w:rPr>
        <w:t>,</w:t>
      </w:r>
      <w:r>
        <w:rPr>
          <w:rFonts w:ascii="Bookman Old Style" w:hAnsi="Bookman Old Style" w:cs="Arial"/>
          <w:bCs/>
          <w:i/>
        </w:rPr>
        <w:t xml:space="preserve"> </w:t>
      </w:r>
      <w:r w:rsidR="003875E8" w:rsidRPr="003875E8">
        <w:rPr>
          <w:rFonts w:ascii="Bookman Old Style" w:hAnsi="Bookman Old Style" w:cs="Arial"/>
          <w:bCs/>
          <w:i/>
        </w:rPr>
        <w:t>cuyo cálculo se hizo to</w:t>
      </w:r>
      <w:r>
        <w:rPr>
          <w:rFonts w:ascii="Bookman Old Style" w:hAnsi="Bookman Old Style" w:cs="Arial"/>
          <w:bCs/>
          <w:i/>
        </w:rPr>
        <w:t xml:space="preserve">mando como valor aportado por el </w:t>
      </w:r>
      <w:r w:rsidR="003875E8" w:rsidRPr="003875E8">
        <w:rPr>
          <w:rFonts w:ascii="Bookman Old Style" w:hAnsi="Bookman Old Style" w:cs="Arial"/>
          <w:bCs/>
          <w:i/>
        </w:rPr>
        <w:t xml:space="preserve">FNR </w:t>
      </w:r>
      <w:r>
        <w:rPr>
          <w:rFonts w:ascii="Bookman Old Style" w:hAnsi="Bookman Old Style" w:cs="Arial"/>
          <w:bCs/>
          <w:i/>
        </w:rPr>
        <w:t>la suma $1.</w:t>
      </w:r>
      <w:r w:rsidR="000D3398">
        <w:rPr>
          <w:rFonts w:ascii="Bookman Old Style" w:hAnsi="Bookman Old Style" w:cs="Arial"/>
          <w:bCs/>
          <w:i/>
        </w:rPr>
        <w:t>049.161.767 (página 1</w:t>
      </w:r>
      <w:r>
        <w:rPr>
          <w:rFonts w:ascii="Bookman Old Style" w:hAnsi="Bookman Old Style" w:cs="Arial"/>
          <w:bCs/>
          <w:i/>
        </w:rPr>
        <w:t>7</w:t>
      </w:r>
      <w:r w:rsidR="000D3398">
        <w:rPr>
          <w:rFonts w:ascii="Bookman Old Style" w:hAnsi="Bookman Old Style" w:cs="Arial"/>
          <w:bCs/>
          <w:i/>
        </w:rPr>
        <w:t>9</w:t>
      </w:r>
      <w:r>
        <w:rPr>
          <w:rFonts w:ascii="Bookman Old Style" w:hAnsi="Bookman Old Style" w:cs="Arial"/>
          <w:bCs/>
          <w:i/>
        </w:rPr>
        <w:t xml:space="preserve"> del Documento C</w:t>
      </w:r>
      <w:r w:rsidR="003875E8" w:rsidRPr="003875E8">
        <w:rPr>
          <w:rFonts w:ascii="Bookman Old Style" w:hAnsi="Bookman Old Style" w:cs="Arial"/>
          <w:bCs/>
          <w:i/>
        </w:rPr>
        <w:t>REG</w:t>
      </w:r>
      <w:r w:rsidR="000D3398">
        <w:rPr>
          <w:rFonts w:ascii="Bookman Old Style" w:hAnsi="Bookman Old Style" w:cs="Arial"/>
          <w:bCs/>
          <w:i/>
        </w:rPr>
        <w:t xml:space="preserve"> 140</w:t>
      </w:r>
      <w:r w:rsidR="00D655DF">
        <w:rPr>
          <w:rFonts w:ascii="Bookman Old Style" w:hAnsi="Bookman Old Style" w:cs="Arial"/>
          <w:bCs/>
          <w:i/>
        </w:rPr>
        <w:t xml:space="preserve"> que sirve de base para su liquidación)</w:t>
      </w:r>
      <w:r w:rsidR="003875E8" w:rsidRPr="003875E8">
        <w:rPr>
          <w:rFonts w:ascii="Bookman Old Style" w:hAnsi="Bookman Old Style" w:cs="Arial"/>
          <w:bCs/>
          <w:i/>
        </w:rPr>
        <w:t>, cuando el valor del apo</w:t>
      </w:r>
      <w:r w:rsidR="00D655DF">
        <w:rPr>
          <w:rFonts w:ascii="Bookman Old Style" w:hAnsi="Bookman Old Style" w:cs="Arial"/>
          <w:bCs/>
          <w:i/>
        </w:rPr>
        <w:t>rte del FNR para este proyecto (</w:t>
      </w:r>
      <w:r w:rsidR="000D3398">
        <w:rPr>
          <w:rFonts w:ascii="Bookman Old Style" w:hAnsi="Bookman Old Style" w:cs="Arial"/>
          <w:bCs/>
          <w:i/>
        </w:rPr>
        <w:t>FNR33</w:t>
      </w:r>
      <w:r w:rsidR="003875E8" w:rsidRPr="003875E8">
        <w:rPr>
          <w:rFonts w:ascii="Bookman Old Style" w:hAnsi="Bookman Old Style" w:cs="Arial"/>
          <w:bCs/>
          <w:i/>
        </w:rPr>
        <w:t>3</w:t>
      </w:r>
      <w:r w:rsidR="000D3398">
        <w:rPr>
          <w:rFonts w:ascii="Bookman Old Style" w:hAnsi="Bookman Old Style" w:cs="Arial"/>
          <w:bCs/>
          <w:i/>
        </w:rPr>
        <w:t>08</w:t>
      </w:r>
      <w:r w:rsidR="00D655DF">
        <w:rPr>
          <w:rFonts w:ascii="Bookman Old Style" w:hAnsi="Bookman Old Style" w:cs="Arial"/>
          <w:bCs/>
          <w:i/>
        </w:rPr>
        <w:t xml:space="preserve">) </w:t>
      </w:r>
      <w:r w:rsidR="003875E8" w:rsidRPr="003875E8">
        <w:rPr>
          <w:rFonts w:ascii="Bookman Old Style" w:hAnsi="Bookman Old Style" w:cs="Arial"/>
          <w:bCs/>
          <w:i/>
        </w:rPr>
        <w:t>es</w:t>
      </w:r>
      <w:r w:rsidR="00D655DF">
        <w:rPr>
          <w:rFonts w:ascii="Bookman Old Style" w:hAnsi="Bookman Old Style" w:cs="Arial"/>
          <w:bCs/>
          <w:i/>
        </w:rPr>
        <w:t xml:space="preserve"> </w:t>
      </w:r>
      <w:r w:rsidR="003875E8" w:rsidRPr="003875E8">
        <w:rPr>
          <w:rFonts w:ascii="Bookman Old Style" w:hAnsi="Bookman Old Style" w:cs="Arial"/>
          <w:bCs/>
          <w:i/>
        </w:rPr>
        <w:t>la</w:t>
      </w:r>
      <w:r w:rsidR="00D655DF">
        <w:rPr>
          <w:rFonts w:ascii="Bookman Old Style" w:hAnsi="Bookman Old Style" w:cs="Arial"/>
          <w:bCs/>
          <w:i/>
        </w:rPr>
        <w:t xml:space="preserve"> </w:t>
      </w:r>
      <w:r w:rsidR="003875E8" w:rsidRPr="003875E8">
        <w:rPr>
          <w:rFonts w:ascii="Bookman Old Style" w:hAnsi="Bookman Old Style" w:cs="Arial"/>
          <w:bCs/>
          <w:i/>
        </w:rPr>
        <w:t>suma</w:t>
      </w:r>
      <w:r w:rsidR="00D655DF">
        <w:rPr>
          <w:rFonts w:ascii="Bookman Old Style" w:hAnsi="Bookman Old Style" w:cs="Arial"/>
          <w:bCs/>
          <w:i/>
        </w:rPr>
        <w:t xml:space="preserve"> </w:t>
      </w:r>
      <w:r w:rsidR="003875E8" w:rsidRPr="003875E8">
        <w:rPr>
          <w:rFonts w:ascii="Bookman Old Style" w:hAnsi="Bookman Old Style" w:cs="Arial"/>
          <w:bCs/>
          <w:i/>
        </w:rPr>
        <w:t>de</w:t>
      </w:r>
      <w:r w:rsidR="00D655DF">
        <w:rPr>
          <w:rFonts w:ascii="Bookman Old Style" w:hAnsi="Bookman Old Style" w:cs="Arial"/>
          <w:bCs/>
          <w:i/>
        </w:rPr>
        <w:t xml:space="preserve"> </w:t>
      </w:r>
      <w:r w:rsidR="000D3398">
        <w:rPr>
          <w:rFonts w:ascii="Bookman Old Style" w:hAnsi="Bookman Old Style" w:cs="Arial"/>
          <w:b/>
          <w:bCs/>
          <w:i/>
        </w:rPr>
        <w:t>$1.210.109.692</w:t>
      </w:r>
      <w:r w:rsidR="00D655DF">
        <w:rPr>
          <w:rFonts w:ascii="Bookman Old Style" w:hAnsi="Bookman Old Style" w:cs="Arial"/>
          <w:bCs/>
          <w:i/>
        </w:rPr>
        <w:t>.</w:t>
      </w:r>
    </w:p>
    <w:p w:rsidR="00D655DF" w:rsidRDefault="00D655DF" w:rsidP="003875E8">
      <w:pPr>
        <w:ind w:left="284" w:right="284"/>
        <w:jc w:val="both"/>
        <w:rPr>
          <w:rFonts w:ascii="Bookman Old Style" w:hAnsi="Bookman Old Style" w:cs="Arial"/>
          <w:bCs/>
          <w:i/>
        </w:rPr>
      </w:pPr>
    </w:p>
    <w:p w:rsidR="003875E8" w:rsidRP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En consecuencia, se req</w:t>
      </w:r>
      <w:r w:rsidR="00D655DF">
        <w:rPr>
          <w:rFonts w:ascii="Bookman Old Style" w:hAnsi="Bookman Old Style" w:cs="Arial"/>
          <w:bCs/>
          <w:i/>
        </w:rPr>
        <w:t>uiere que esa entidad apruebe el Carg</w:t>
      </w:r>
      <w:r w:rsidRPr="003875E8">
        <w:rPr>
          <w:rFonts w:ascii="Bookman Old Style" w:hAnsi="Bookman Old Style" w:cs="Arial"/>
          <w:bCs/>
          <w:i/>
        </w:rPr>
        <w:t xml:space="preserve">o </w:t>
      </w:r>
      <w:r w:rsidR="000D3398">
        <w:rPr>
          <w:rFonts w:ascii="Bookman Old Style" w:hAnsi="Bookman Old Style" w:cs="Arial"/>
          <w:bCs/>
          <w:i/>
        </w:rPr>
        <w:t>Promedio de D</w:t>
      </w:r>
      <w:r w:rsidRPr="003875E8">
        <w:rPr>
          <w:rFonts w:ascii="Bookman Old Style" w:hAnsi="Bookman Old Style" w:cs="Arial"/>
          <w:bCs/>
          <w:i/>
        </w:rPr>
        <w:t>istr</w:t>
      </w:r>
      <w:r w:rsidR="00D655DF">
        <w:rPr>
          <w:rFonts w:ascii="Bookman Old Style" w:hAnsi="Bookman Old Style" w:cs="Arial"/>
          <w:bCs/>
          <w:i/>
        </w:rPr>
        <w:t xml:space="preserve">ibución </w:t>
      </w:r>
      <w:r w:rsidR="000D3398">
        <w:rPr>
          <w:rFonts w:ascii="Bookman Old Style" w:hAnsi="Bookman Old Style" w:cs="Arial"/>
          <w:bCs/>
          <w:i/>
        </w:rPr>
        <w:t xml:space="preserve">por uso del Sistema </w:t>
      </w:r>
      <w:r w:rsidR="00D655DF">
        <w:rPr>
          <w:rFonts w:ascii="Bookman Old Style" w:hAnsi="Bookman Old Style" w:cs="Arial"/>
          <w:bCs/>
          <w:i/>
        </w:rPr>
        <w:t xml:space="preserve">de </w:t>
      </w:r>
      <w:r w:rsidR="000D3398">
        <w:rPr>
          <w:rFonts w:ascii="Bookman Old Style" w:hAnsi="Bookman Old Style" w:cs="Arial"/>
          <w:bCs/>
          <w:i/>
        </w:rPr>
        <w:t xml:space="preserve">Distribución y el Cargo Máximo Base de Comercialización de gas combustible por redes de tubería a usuarios regulados, </w:t>
      </w:r>
      <w:r w:rsidR="00D655DF">
        <w:rPr>
          <w:rFonts w:ascii="Bookman Old Style" w:hAnsi="Bookman Old Style" w:cs="Arial"/>
          <w:bCs/>
          <w:i/>
        </w:rPr>
        <w:t>para el</w:t>
      </w:r>
      <w:r w:rsidRPr="003875E8">
        <w:rPr>
          <w:rFonts w:ascii="Bookman Old Style" w:hAnsi="Bookman Old Style" w:cs="Arial"/>
          <w:bCs/>
          <w:i/>
        </w:rPr>
        <w:t xml:space="preserve"> mercado relevante </w:t>
      </w:r>
      <w:r w:rsidR="000D3398">
        <w:rPr>
          <w:rFonts w:ascii="Bookman Old Style" w:hAnsi="Bookman Old Style" w:cs="Arial"/>
          <w:bCs/>
          <w:i/>
        </w:rPr>
        <w:t xml:space="preserve">conformado por el municipio de Campohermoso ubicado en el departamento de Boyacá, de conformidad con las cifras aprobadas por </w:t>
      </w:r>
      <w:r w:rsidR="00D655DF">
        <w:rPr>
          <w:rFonts w:ascii="Bookman Old Style" w:hAnsi="Bookman Old Style" w:cs="Arial"/>
          <w:bCs/>
          <w:i/>
        </w:rPr>
        <w:t>el Consejo Asesor de Regalías, para el</w:t>
      </w:r>
      <w:r w:rsidR="009C166F">
        <w:rPr>
          <w:rFonts w:ascii="Bookman Old Style" w:hAnsi="Bookman Old Style" w:cs="Arial"/>
          <w:bCs/>
          <w:i/>
        </w:rPr>
        <w:t xml:space="preserve"> proyecto FNR 33308</w:t>
      </w:r>
      <w:r w:rsidRPr="003875E8">
        <w:rPr>
          <w:rFonts w:ascii="Bookman Old Style" w:hAnsi="Bookman Old Style" w:cs="Arial"/>
          <w:bCs/>
          <w:i/>
        </w:rPr>
        <w:t>,</w:t>
      </w:r>
      <w:r w:rsidR="00D655DF">
        <w:rPr>
          <w:rFonts w:ascii="Bookman Old Style" w:hAnsi="Bookman Old Style" w:cs="Arial"/>
          <w:bCs/>
          <w:i/>
        </w:rPr>
        <w:t xml:space="preserve"> </w:t>
      </w:r>
      <w:r w:rsidRPr="003875E8">
        <w:rPr>
          <w:rFonts w:ascii="Bookman Old Style" w:hAnsi="Bookman Old Style" w:cs="Arial"/>
          <w:bCs/>
          <w:i/>
        </w:rPr>
        <w:t>por cuanto dicha inconsiste</w:t>
      </w:r>
      <w:r w:rsidR="00D655DF">
        <w:rPr>
          <w:rFonts w:ascii="Bookman Old Style" w:hAnsi="Bookman Old Style" w:cs="Arial"/>
          <w:bCs/>
          <w:i/>
        </w:rPr>
        <w:t>ncia afe</w:t>
      </w:r>
      <w:r w:rsidRPr="003875E8">
        <w:rPr>
          <w:rFonts w:ascii="Bookman Old Style" w:hAnsi="Bookman Old Style" w:cs="Arial"/>
          <w:bCs/>
          <w:i/>
        </w:rPr>
        <w:t>cta</w:t>
      </w:r>
      <w:r w:rsidR="00D655DF">
        <w:rPr>
          <w:rFonts w:ascii="Bookman Old Style" w:hAnsi="Bookman Old Style" w:cs="Arial"/>
          <w:bCs/>
          <w:i/>
        </w:rPr>
        <w:t xml:space="preserve"> </w:t>
      </w:r>
      <w:r w:rsidRPr="003875E8">
        <w:rPr>
          <w:rFonts w:ascii="Bookman Old Style" w:hAnsi="Bookman Old Style" w:cs="Arial"/>
          <w:bCs/>
          <w:i/>
        </w:rPr>
        <w:t>la aplicación de lo establecido en Ley 142 de 1994</w:t>
      </w:r>
      <w:r w:rsidR="00D57BC7">
        <w:rPr>
          <w:rFonts w:ascii="Bookman Old Style" w:hAnsi="Bookman Old Style" w:cs="Arial"/>
          <w:bCs/>
          <w:i/>
        </w:rPr>
        <w:t xml:space="preserve"> (…), modificada por el artículo 99 de la Ley 1450 de 2011 (…)</w:t>
      </w:r>
      <w:r w:rsidRPr="003875E8">
        <w:rPr>
          <w:rFonts w:ascii="Bookman Old Style" w:hAnsi="Bookman Old Style" w:cs="Arial"/>
          <w:bCs/>
          <w:i/>
        </w:rPr>
        <w:t>, indica lo siguiente:</w:t>
      </w:r>
    </w:p>
    <w:p w:rsidR="003875E8" w:rsidRDefault="003875E8" w:rsidP="003875E8">
      <w:pPr>
        <w:ind w:left="284" w:right="284"/>
        <w:jc w:val="both"/>
        <w:rPr>
          <w:rFonts w:ascii="Bookman Old Style" w:hAnsi="Bookman Old Style" w:cs="Arial"/>
          <w:bCs/>
          <w:i/>
        </w:rPr>
      </w:pPr>
    </w:p>
    <w:p w:rsidR="00D57BC7" w:rsidRDefault="00D57BC7" w:rsidP="003875E8">
      <w:pPr>
        <w:ind w:left="284" w:right="284"/>
        <w:jc w:val="both"/>
        <w:rPr>
          <w:rFonts w:ascii="Bookman Old Style" w:hAnsi="Bookman Old Style" w:cs="Arial"/>
          <w:bCs/>
          <w:i/>
        </w:rPr>
      </w:pPr>
      <w:r>
        <w:rPr>
          <w:rFonts w:ascii="Bookman Old Style" w:hAnsi="Bookman Old Style" w:cs="Arial"/>
          <w:bCs/>
          <w:i/>
        </w:rPr>
        <w:t>(…)</w:t>
      </w:r>
    </w:p>
    <w:p w:rsidR="00D57BC7" w:rsidRPr="003875E8" w:rsidRDefault="00D57BC7" w:rsidP="003875E8">
      <w:pPr>
        <w:ind w:left="284" w:right="284"/>
        <w:jc w:val="both"/>
        <w:rPr>
          <w:rFonts w:ascii="Bookman Old Style" w:hAnsi="Bookman Old Style" w:cs="Arial"/>
          <w:bCs/>
          <w:i/>
        </w:rPr>
      </w:pPr>
    </w:p>
    <w:p w:rsid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Lo anterior, teniendo en cuenta que los aportes no</w:t>
      </w:r>
      <w:r w:rsidR="00D57BC7">
        <w:rPr>
          <w:rFonts w:ascii="Bookman Old Style" w:hAnsi="Bookman Old Style" w:cs="Arial"/>
          <w:bCs/>
          <w:i/>
        </w:rPr>
        <w:t xml:space="preserve"> consti</w:t>
      </w:r>
      <w:r w:rsidRPr="003875E8">
        <w:rPr>
          <w:rFonts w:ascii="Bookman Old Style" w:hAnsi="Bookman Old Style" w:cs="Arial"/>
          <w:bCs/>
          <w:i/>
        </w:rPr>
        <w:t>tutivos de capital que realicen los municipios</w:t>
      </w:r>
      <w:r w:rsidR="000F0166">
        <w:rPr>
          <w:rFonts w:ascii="Bookman Old Style" w:hAnsi="Bookman Old Style" w:cs="Arial"/>
          <w:bCs/>
          <w:i/>
        </w:rPr>
        <w:t xml:space="preserve"> </w:t>
      </w:r>
      <w:r w:rsidRPr="003875E8">
        <w:rPr>
          <w:rFonts w:ascii="Bookman Old Style" w:hAnsi="Bookman Old Style" w:cs="Arial"/>
          <w:bCs/>
          <w:i/>
        </w:rPr>
        <w:t>a</w:t>
      </w:r>
      <w:r w:rsidR="000F0166">
        <w:rPr>
          <w:rFonts w:ascii="Bookman Old Style" w:hAnsi="Bookman Old Style" w:cs="Arial"/>
          <w:bCs/>
          <w:i/>
        </w:rPr>
        <w:t xml:space="preserve"> </w:t>
      </w:r>
      <w:r w:rsidRPr="003875E8">
        <w:rPr>
          <w:rFonts w:ascii="Bookman Old Style" w:hAnsi="Bookman Old Style" w:cs="Arial"/>
          <w:bCs/>
          <w:i/>
        </w:rPr>
        <w:t>las empresas de servicios públicos,</w:t>
      </w:r>
      <w:r w:rsidR="000F0166">
        <w:rPr>
          <w:rFonts w:ascii="Bookman Old Style" w:hAnsi="Bookman Old Style" w:cs="Arial"/>
          <w:bCs/>
          <w:i/>
        </w:rPr>
        <w:t xml:space="preserve"> </w:t>
      </w:r>
      <w:r w:rsidRPr="003875E8">
        <w:rPr>
          <w:rFonts w:ascii="Bookman Old Style" w:hAnsi="Bookman Old Style" w:cs="Arial"/>
          <w:bCs/>
          <w:i/>
        </w:rPr>
        <w:t>no podrán ser i</w:t>
      </w:r>
      <w:r w:rsidR="000F0166">
        <w:rPr>
          <w:rFonts w:ascii="Bookman Old Style" w:hAnsi="Bookman Old Style" w:cs="Arial"/>
          <w:bCs/>
          <w:i/>
        </w:rPr>
        <w:t>ncluidos como costos del servicio en el</w:t>
      </w:r>
      <w:r w:rsidRPr="003875E8">
        <w:rPr>
          <w:rFonts w:ascii="Bookman Old Style" w:hAnsi="Bookman Old Style" w:cs="Arial"/>
          <w:bCs/>
          <w:i/>
        </w:rPr>
        <w:t xml:space="preserve"> cálculo de la tarifa,</w:t>
      </w:r>
      <w:r w:rsidR="000F0166">
        <w:rPr>
          <w:rFonts w:ascii="Bookman Old Style" w:hAnsi="Bookman Old Style" w:cs="Arial"/>
          <w:bCs/>
          <w:i/>
        </w:rPr>
        <w:t xml:space="preserve"> toda vez que no pueden l</w:t>
      </w:r>
      <w:r w:rsidRPr="003875E8">
        <w:rPr>
          <w:rFonts w:ascii="Bookman Old Style" w:hAnsi="Bookman Old Style" w:cs="Arial"/>
          <w:bCs/>
          <w:i/>
        </w:rPr>
        <w:t>as</w:t>
      </w:r>
      <w:r w:rsidR="000F0166">
        <w:rPr>
          <w:rFonts w:ascii="Bookman Old Style" w:hAnsi="Bookman Old Style" w:cs="Arial"/>
          <w:bCs/>
          <w:i/>
        </w:rPr>
        <w:t xml:space="preserve"> </w:t>
      </w:r>
      <w:r w:rsidRPr="003875E8">
        <w:rPr>
          <w:rFonts w:ascii="Bookman Old Style" w:hAnsi="Bookman Old Style" w:cs="Arial"/>
          <w:bCs/>
          <w:i/>
        </w:rPr>
        <w:t>entidades</w:t>
      </w:r>
      <w:r w:rsidR="000F0166">
        <w:rPr>
          <w:rFonts w:ascii="Bookman Old Style" w:hAnsi="Bookman Old Style" w:cs="Arial"/>
          <w:bCs/>
          <w:i/>
        </w:rPr>
        <w:t xml:space="preserve"> encargadas de la prestación del</w:t>
      </w:r>
      <w:r w:rsidRPr="003875E8">
        <w:rPr>
          <w:rFonts w:ascii="Bookman Old Style" w:hAnsi="Bookman Old Style" w:cs="Arial"/>
          <w:bCs/>
          <w:i/>
        </w:rPr>
        <w:t xml:space="preserve"> servicio obtener una remuneración por bienes</w:t>
      </w:r>
      <w:r w:rsidR="000F0166">
        <w:rPr>
          <w:rFonts w:ascii="Bookman Old Style" w:hAnsi="Bookman Old Style" w:cs="Arial"/>
          <w:bCs/>
          <w:i/>
        </w:rPr>
        <w:t xml:space="preserve"> </w:t>
      </w:r>
      <w:r w:rsidRPr="003875E8">
        <w:rPr>
          <w:rFonts w:ascii="Bookman Old Style" w:hAnsi="Bookman Old Style" w:cs="Arial"/>
          <w:bCs/>
          <w:i/>
        </w:rPr>
        <w:t>o</w:t>
      </w:r>
      <w:r w:rsidR="000F0166">
        <w:rPr>
          <w:rFonts w:ascii="Bookman Old Style" w:hAnsi="Bookman Old Style" w:cs="Arial"/>
          <w:bCs/>
          <w:i/>
        </w:rPr>
        <w:t xml:space="preserve"> </w:t>
      </w:r>
      <w:r w:rsidRPr="003875E8">
        <w:rPr>
          <w:rFonts w:ascii="Bookman Old Style" w:hAnsi="Bookman Old Style" w:cs="Arial"/>
          <w:bCs/>
          <w:i/>
        </w:rPr>
        <w:t>derech</w:t>
      </w:r>
      <w:r w:rsidR="000F0166">
        <w:rPr>
          <w:rFonts w:ascii="Bookman Old Style" w:hAnsi="Bookman Old Style" w:cs="Arial"/>
          <w:bCs/>
          <w:i/>
        </w:rPr>
        <w:t>os que han sido aportados por el</w:t>
      </w:r>
      <w:r w:rsidRPr="003875E8">
        <w:rPr>
          <w:rFonts w:ascii="Bookman Old Style" w:hAnsi="Bookman Old Style" w:cs="Arial"/>
          <w:bCs/>
          <w:i/>
        </w:rPr>
        <w:t xml:space="preserve"> Estado,</w:t>
      </w:r>
      <w:r w:rsidR="000F0166">
        <w:rPr>
          <w:rFonts w:ascii="Bookman Old Style" w:hAnsi="Bookman Old Style" w:cs="Arial"/>
          <w:bCs/>
          <w:i/>
        </w:rPr>
        <w:t xml:space="preserve"> como es el caso de los recursos del</w:t>
      </w:r>
      <w:r w:rsidRPr="003875E8">
        <w:rPr>
          <w:rFonts w:ascii="Bookman Old Style" w:hAnsi="Bookman Old Style" w:cs="Arial"/>
          <w:bCs/>
          <w:i/>
        </w:rPr>
        <w:t xml:space="preserve"> </w:t>
      </w:r>
      <w:r w:rsidR="000F0166">
        <w:rPr>
          <w:rFonts w:ascii="Bookman Old Style" w:hAnsi="Bookman Old Style" w:cs="Arial"/>
          <w:bCs/>
          <w:i/>
        </w:rPr>
        <w:t>Fondo Nacional de Regalías.</w:t>
      </w:r>
    </w:p>
    <w:p w:rsidR="000F0166" w:rsidRPr="003875E8" w:rsidRDefault="000F0166" w:rsidP="003875E8">
      <w:pPr>
        <w:ind w:left="284" w:right="284"/>
        <w:jc w:val="both"/>
        <w:rPr>
          <w:rFonts w:ascii="Bookman Old Style" w:hAnsi="Bookman Old Style" w:cs="Arial"/>
          <w:bCs/>
          <w:i/>
        </w:rPr>
      </w:pPr>
    </w:p>
    <w:p w:rsid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Para mejor proveer se adjuntan como prueba, copia del Acuerdo 020 del 21 de julio de 2011, del Consejo Asesor de Regalías, en donde constan los proyectos aprobados y los valores asignados con cargo al Fondo Nacional de Regalías.</w:t>
      </w:r>
    </w:p>
    <w:p w:rsidR="000F0166" w:rsidRPr="003875E8" w:rsidRDefault="000F0166" w:rsidP="003875E8">
      <w:pPr>
        <w:ind w:left="284" w:right="284"/>
        <w:jc w:val="both"/>
        <w:rPr>
          <w:rFonts w:ascii="Bookman Old Style" w:hAnsi="Bookman Old Style" w:cs="Arial"/>
          <w:bCs/>
          <w:i/>
        </w:rPr>
      </w:pPr>
    </w:p>
    <w:p w:rsidR="003875E8" w:rsidRPr="000F0166" w:rsidRDefault="003875E8" w:rsidP="000F0166">
      <w:pPr>
        <w:ind w:left="284" w:right="284"/>
        <w:jc w:val="center"/>
        <w:rPr>
          <w:rFonts w:ascii="Bookman Old Style" w:hAnsi="Bookman Old Style" w:cs="Arial"/>
          <w:b/>
          <w:bCs/>
          <w:i/>
        </w:rPr>
      </w:pPr>
      <w:r w:rsidRPr="000F0166">
        <w:rPr>
          <w:rFonts w:ascii="Bookman Old Style" w:hAnsi="Bookman Old Style" w:cs="Arial"/>
          <w:b/>
          <w:bCs/>
          <w:i/>
        </w:rPr>
        <w:t>3.</w:t>
      </w:r>
      <w:r w:rsidRPr="000F0166">
        <w:rPr>
          <w:rFonts w:ascii="Bookman Old Style" w:hAnsi="Bookman Old Style" w:cs="Arial"/>
          <w:b/>
          <w:bCs/>
          <w:i/>
        </w:rPr>
        <w:tab/>
        <w:t>PETICIÓN</w:t>
      </w:r>
    </w:p>
    <w:p w:rsidR="000F0166" w:rsidRDefault="000F0166" w:rsidP="003875E8">
      <w:pPr>
        <w:ind w:left="284" w:right="284"/>
        <w:jc w:val="both"/>
        <w:rPr>
          <w:rFonts w:ascii="Bookman Old Style" w:hAnsi="Bookman Old Style" w:cs="Arial"/>
          <w:bCs/>
          <w:i/>
        </w:rPr>
      </w:pPr>
    </w:p>
    <w:p w:rsidR="003875E8" w:rsidRP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Con fundamento en lo anterior, solicito respetuosamente la REVOCATORIA D</w:t>
      </w:r>
      <w:r w:rsidR="009C166F">
        <w:rPr>
          <w:rFonts w:ascii="Bookman Old Style" w:hAnsi="Bookman Old Style" w:cs="Arial"/>
          <w:bCs/>
          <w:i/>
        </w:rPr>
        <w:t>IRECTA de la Resolución CREG 197</w:t>
      </w:r>
      <w:r w:rsidRPr="003875E8">
        <w:rPr>
          <w:rFonts w:ascii="Bookman Old Style" w:hAnsi="Bookman Old Style" w:cs="Arial"/>
          <w:bCs/>
          <w:i/>
        </w:rPr>
        <w:t xml:space="preserve"> de 2013, y en consecuencia:</w:t>
      </w:r>
    </w:p>
    <w:p w:rsidR="003875E8" w:rsidRPr="003875E8" w:rsidRDefault="003875E8" w:rsidP="003875E8">
      <w:pPr>
        <w:ind w:left="284" w:right="284"/>
        <w:jc w:val="both"/>
        <w:rPr>
          <w:rFonts w:ascii="Bookman Old Style" w:hAnsi="Bookman Old Style" w:cs="Arial"/>
          <w:bCs/>
          <w:i/>
        </w:rPr>
      </w:pPr>
    </w:p>
    <w:p w:rsidR="0030461F" w:rsidRPr="003875E8" w:rsidRDefault="003875E8" w:rsidP="003875E8">
      <w:pPr>
        <w:ind w:left="284" w:right="284"/>
        <w:jc w:val="both"/>
        <w:rPr>
          <w:rFonts w:ascii="Bookman Old Style" w:hAnsi="Bookman Old Style" w:cs="Arial"/>
          <w:bCs/>
          <w:i/>
        </w:rPr>
      </w:pPr>
      <w:r w:rsidRPr="003875E8">
        <w:rPr>
          <w:rFonts w:ascii="Bookman Old Style" w:hAnsi="Bookman Old Style" w:cs="Arial"/>
          <w:bCs/>
          <w:i/>
        </w:rPr>
        <w:t xml:space="preserve">Se apruebe el Cargo Promedio de </w:t>
      </w:r>
      <w:r w:rsidR="009C166F">
        <w:rPr>
          <w:rFonts w:ascii="Bookman Old Style" w:hAnsi="Bookman Old Style" w:cs="Arial"/>
          <w:bCs/>
          <w:i/>
        </w:rPr>
        <w:t xml:space="preserve">Distribución </w:t>
      </w:r>
      <w:r w:rsidRPr="003875E8">
        <w:rPr>
          <w:rFonts w:ascii="Bookman Old Style" w:hAnsi="Bookman Old Style" w:cs="Arial"/>
          <w:bCs/>
          <w:i/>
        </w:rPr>
        <w:t xml:space="preserve">por </w:t>
      </w:r>
      <w:r w:rsidR="009C166F">
        <w:rPr>
          <w:rFonts w:ascii="Bookman Old Style" w:hAnsi="Bookman Old Style" w:cs="Arial"/>
          <w:bCs/>
          <w:i/>
        </w:rPr>
        <w:t xml:space="preserve">uso del Sistema de Distribución y el Cargo Máximo Base de Comercialización de gas combustible por redes de tubería a usuarios regulados, </w:t>
      </w:r>
      <w:r w:rsidRPr="003875E8">
        <w:rPr>
          <w:rFonts w:ascii="Bookman Old Style" w:hAnsi="Bookman Old Style" w:cs="Arial"/>
          <w:bCs/>
          <w:i/>
        </w:rPr>
        <w:t xml:space="preserve">para el </w:t>
      </w:r>
      <w:r w:rsidR="009C166F">
        <w:rPr>
          <w:rFonts w:ascii="Bookman Old Style" w:hAnsi="Bookman Old Style" w:cs="Arial"/>
          <w:bCs/>
          <w:i/>
        </w:rPr>
        <w:t>mercado r</w:t>
      </w:r>
      <w:r w:rsidRPr="003875E8">
        <w:rPr>
          <w:rFonts w:ascii="Bookman Old Style" w:hAnsi="Bookman Old Style" w:cs="Arial"/>
          <w:bCs/>
          <w:i/>
        </w:rPr>
        <w:t xml:space="preserve">elevante </w:t>
      </w:r>
      <w:r w:rsidR="009C166F">
        <w:rPr>
          <w:rFonts w:ascii="Bookman Old Style" w:hAnsi="Bookman Old Style" w:cs="Arial"/>
          <w:bCs/>
          <w:i/>
        </w:rPr>
        <w:t xml:space="preserve">conformado por el municipio de Campohermoso ubicado en el departamento de Boyacá, </w:t>
      </w:r>
      <w:r w:rsidRPr="003875E8">
        <w:rPr>
          <w:rFonts w:ascii="Bookman Old Style" w:hAnsi="Bookman Old Style" w:cs="Arial"/>
          <w:bCs/>
          <w:i/>
        </w:rPr>
        <w:t>aprobado mediante</w:t>
      </w:r>
      <w:r w:rsidR="009C166F">
        <w:rPr>
          <w:rFonts w:ascii="Bookman Old Style" w:hAnsi="Bookman Old Style" w:cs="Arial"/>
          <w:bCs/>
          <w:i/>
        </w:rPr>
        <w:t xml:space="preserve"> Resolución 197 de 2013,</w:t>
      </w:r>
      <w:r w:rsidRPr="003875E8">
        <w:rPr>
          <w:rFonts w:ascii="Bookman Old Style" w:hAnsi="Bookman Old Style" w:cs="Arial"/>
          <w:bCs/>
          <w:i/>
        </w:rPr>
        <w:t xml:space="preserve"> de conformidad con las cifras aprobadas por el Consejo Asesor de Regalías</w:t>
      </w:r>
      <w:r w:rsidR="009C166F">
        <w:rPr>
          <w:rFonts w:ascii="Bookman Old Style" w:hAnsi="Bookman Old Style" w:cs="Arial"/>
          <w:bCs/>
          <w:i/>
        </w:rPr>
        <w:t xml:space="preserve"> en el Acuerdo </w:t>
      </w:r>
      <w:r w:rsidRPr="003875E8">
        <w:rPr>
          <w:rFonts w:ascii="Bookman Old Style" w:hAnsi="Bookman Old Style" w:cs="Arial"/>
          <w:bCs/>
          <w:i/>
        </w:rPr>
        <w:t>020 del 21 de julio de</w:t>
      </w:r>
      <w:r w:rsidR="009C166F">
        <w:rPr>
          <w:rFonts w:ascii="Bookman Old Style" w:hAnsi="Bookman Old Style" w:cs="Arial"/>
          <w:bCs/>
          <w:i/>
        </w:rPr>
        <w:t xml:space="preserve"> 2011, para el proyecto FNR 33</w:t>
      </w:r>
      <w:r w:rsidRPr="003875E8">
        <w:rPr>
          <w:rFonts w:ascii="Bookman Old Style" w:hAnsi="Bookman Old Style" w:cs="Arial"/>
          <w:bCs/>
          <w:i/>
        </w:rPr>
        <w:t>3</w:t>
      </w:r>
      <w:r w:rsidR="009C166F">
        <w:rPr>
          <w:rFonts w:ascii="Bookman Old Style" w:hAnsi="Bookman Old Style" w:cs="Arial"/>
          <w:bCs/>
          <w:i/>
        </w:rPr>
        <w:t>08</w:t>
      </w:r>
      <w:r w:rsidRPr="003875E8">
        <w:rPr>
          <w:rFonts w:ascii="Bookman Old Style" w:hAnsi="Bookman Old Style" w:cs="Arial"/>
          <w:bCs/>
          <w:i/>
        </w:rPr>
        <w:t>.</w:t>
      </w:r>
    </w:p>
    <w:p w:rsidR="003875E8" w:rsidRPr="0067792A" w:rsidRDefault="003875E8" w:rsidP="003875E8">
      <w:pPr>
        <w:ind w:left="284" w:right="284"/>
        <w:jc w:val="both"/>
        <w:rPr>
          <w:rFonts w:ascii="Bookman Old Style" w:hAnsi="Bookman Old Style" w:cs="Arial"/>
          <w:bCs/>
          <w:i/>
          <w:sz w:val="20"/>
        </w:rPr>
      </w:pPr>
    </w:p>
    <w:p w:rsidR="002C60AD" w:rsidRDefault="002C60AD" w:rsidP="003875E8">
      <w:pPr>
        <w:ind w:left="284" w:right="284"/>
        <w:jc w:val="both"/>
        <w:rPr>
          <w:rFonts w:ascii="Bookman Old Style" w:hAnsi="Bookman Old Style" w:cs="Arial"/>
          <w:bCs/>
          <w:i/>
        </w:rPr>
      </w:pPr>
      <w:r>
        <w:rPr>
          <w:rFonts w:ascii="Bookman Old Style" w:hAnsi="Bookman Old Style" w:cs="Arial"/>
          <w:bCs/>
          <w:i/>
        </w:rPr>
        <w:t>(…)”</w:t>
      </w:r>
    </w:p>
    <w:p w:rsidR="002C60AD" w:rsidRPr="009C166F" w:rsidRDefault="002C60AD" w:rsidP="009C166F">
      <w:pPr>
        <w:ind w:left="0"/>
        <w:jc w:val="both"/>
        <w:rPr>
          <w:rFonts w:ascii="Bookman Old Style" w:hAnsi="Bookman Old Style" w:cs="Arial"/>
        </w:rPr>
      </w:pPr>
    </w:p>
    <w:p w:rsidR="009C166F" w:rsidRPr="009C166F" w:rsidRDefault="009C166F" w:rsidP="009C166F">
      <w:pPr>
        <w:pStyle w:val="Prrafodelista"/>
        <w:numPr>
          <w:ilvl w:val="0"/>
          <w:numId w:val="18"/>
        </w:numPr>
        <w:ind w:left="0" w:firstLine="0"/>
        <w:jc w:val="both"/>
        <w:rPr>
          <w:rFonts w:ascii="Bookman Old Style" w:hAnsi="Bookman Old Style" w:cs="Arial"/>
          <w:b/>
          <w:sz w:val="24"/>
          <w:szCs w:val="24"/>
        </w:rPr>
      </w:pPr>
      <w:r w:rsidRPr="009C166F">
        <w:rPr>
          <w:rFonts w:ascii="Bookman Old Style" w:hAnsi="Bookman Old Style" w:cs="Arial"/>
          <w:b/>
          <w:sz w:val="24"/>
          <w:szCs w:val="24"/>
        </w:rPr>
        <w:t xml:space="preserve">ANÁLISIS DEL RECURSO </w:t>
      </w:r>
    </w:p>
    <w:p w:rsidR="00AE0874" w:rsidRPr="009C166F" w:rsidRDefault="00AE0874" w:rsidP="009C166F">
      <w:pPr>
        <w:ind w:left="0"/>
        <w:jc w:val="both"/>
        <w:rPr>
          <w:rFonts w:ascii="Bookman Old Style" w:hAnsi="Bookman Old Style" w:cs="Arial"/>
        </w:rPr>
      </w:pPr>
    </w:p>
    <w:p w:rsidR="00AE0874" w:rsidRPr="00CD66DA" w:rsidRDefault="00AE0874" w:rsidP="00743775">
      <w:pPr>
        <w:pStyle w:val="Prrafodelista"/>
        <w:numPr>
          <w:ilvl w:val="1"/>
          <w:numId w:val="31"/>
        </w:numPr>
        <w:rPr>
          <w:rFonts w:ascii="Bookman Old Style" w:hAnsi="Bookman Old Style" w:cs="Arial"/>
          <w:b/>
          <w:sz w:val="24"/>
          <w:szCs w:val="24"/>
        </w:rPr>
      </w:pPr>
      <w:r>
        <w:rPr>
          <w:rFonts w:ascii="Bookman Old Style" w:hAnsi="Bookman Old Style" w:cs="Arial"/>
          <w:b/>
          <w:sz w:val="24"/>
          <w:szCs w:val="24"/>
        </w:rPr>
        <w:t>Requisito</w:t>
      </w:r>
      <w:r w:rsidR="002C60AD">
        <w:rPr>
          <w:rFonts w:ascii="Bookman Old Style" w:hAnsi="Bookman Old Style" w:cs="Arial"/>
          <w:b/>
          <w:sz w:val="24"/>
          <w:szCs w:val="24"/>
        </w:rPr>
        <w:t>s</w:t>
      </w:r>
      <w:r>
        <w:rPr>
          <w:rFonts w:ascii="Bookman Old Style" w:hAnsi="Bookman Old Style" w:cs="Arial"/>
          <w:b/>
          <w:sz w:val="24"/>
          <w:szCs w:val="24"/>
        </w:rPr>
        <w:t xml:space="preserve"> de Procedibilidad</w:t>
      </w:r>
    </w:p>
    <w:p w:rsidR="00B41733" w:rsidRPr="00B41733" w:rsidRDefault="00B41733" w:rsidP="00B41733">
      <w:pPr>
        <w:spacing w:before="100" w:beforeAutospacing="1" w:after="100" w:afterAutospacing="1"/>
        <w:ind w:left="0"/>
        <w:jc w:val="both"/>
        <w:rPr>
          <w:rFonts w:ascii="Bookman Old Style" w:hAnsi="Bookman Old Style" w:cs="Arial"/>
        </w:rPr>
      </w:pPr>
      <w:r w:rsidRPr="00B41733">
        <w:rPr>
          <w:rFonts w:ascii="Bookman Old Style" w:hAnsi="Bookman Old Style" w:cs="Arial"/>
        </w:rPr>
        <w:lastRenderedPageBreak/>
        <w:t>La jurisprudencia del Honorable Consejo de Estado ha definido la institución de la revocatoria directa como una de las modalidades de desaparición de los actos administrativos, mediante la cual la Administración decide de oficio o a petición de parte, retirar del ordenamiento jurídico un</w:t>
      </w:r>
      <w:r>
        <w:rPr>
          <w:rFonts w:ascii="Bookman Old Style" w:hAnsi="Bookman Old Style" w:cs="Arial"/>
        </w:rPr>
        <w:t xml:space="preserve"> acto administrativo anterior. </w:t>
      </w:r>
    </w:p>
    <w:p w:rsidR="00B41733" w:rsidRPr="00B41733" w:rsidRDefault="00B41733" w:rsidP="00B41733">
      <w:pPr>
        <w:spacing w:before="100" w:beforeAutospacing="1" w:after="100" w:afterAutospacing="1"/>
        <w:ind w:left="0"/>
        <w:jc w:val="both"/>
        <w:rPr>
          <w:rFonts w:ascii="Bookman Old Style" w:hAnsi="Bookman Old Style" w:cs="Arial"/>
        </w:rPr>
      </w:pPr>
      <w:r w:rsidRPr="00B41733">
        <w:rPr>
          <w:rFonts w:ascii="Bookman Old Style" w:hAnsi="Bookman Old Style" w:cs="Arial"/>
        </w:rPr>
        <w:t>Dentro del ámbito del Derecho Administrativo representa una de las formas de autotutela, en la medida en que proviene de la misma administración, como consecuencia del examen de sus propias decis</w:t>
      </w:r>
      <w:r>
        <w:rPr>
          <w:rFonts w:ascii="Bookman Old Style" w:hAnsi="Bookman Old Style" w:cs="Arial"/>
        </w:rPr>
        <w:t xml:space="preserve">iones, en sede administrativa. </w:t>
      </w:r>
    </w:p>
    <w:p w:rsidR="00B41733" w:rsidRPr="00B41733" w:rsidRDefault="00B41733" w:rsidP="00B41733">
      <w:pPr>
        <w:spacing w:before="100" w:beforeAutospacing="1" w:after="100" w:afterAutospacing="1"/>
        <w:ind w:left="0"/>
        <w:jc w:val="both"/>
        <w:rPr>
          <w:rFonts w:ascii="Bookman Old Style" w:hAnsi="Bookman Old Style" w:cs="Arial"/>
        </w:rPr>
      </w:pPr>
      <w:r w:rsidRPr="00B41733">
        <w:rPr>
          <w:rFonts w:ascii="Bookman Old Style" w:hAnsi="Bookman Old Style" w:cs="Arial"/>
        </w:rPr>
        <w:t>Sin embargo, no es posible concebir tal institución jurídica sin un marco legal determinante de los motivos que dan lugar a la aplicación de la figura, pues lo contrario conllevaría a una inseguridad jurídica e i</w:t>
      </w:r>
      <w:r>
        <w:rPr>
          <w:rFonts w:ascii="Bookman Old Style" w:hAnsi="Bookman Old Style" w:cs="Arial"/>
        </w:rPr>
        <w:t xml:space="preserve">nestabilidad del ordenamiento. </w:t>
      </w:r>
    </w:p>
    <w:p w:rsidR="00B41733" w:rsidRPr="00317927" w:rsidRDefault="00B41733" w:rsidP="00B41733">
      <w:pPr>
        <w:spacing w:before="100" w:beforeAutospacing="1" w:after="100" w:afterAutospacing="1"/>
        <w:ind w:left="0"/>
        <w:jc w:val="both"/>
        <w:rPr>
          <w:rFonts w:ascii="Bookman Old Style" w:hAnsi="Bookman Old Style" w:cs="Arial"/>
        </w:rPr>
      </w:pPr>
      <w:r w:rsidRPr="00B41733">
        <w:rPr>
          <w:rFonts w:ascii="Bookman Old Style" w:hAnsi="Bookman Old Style" w:cs="Arial"/>
        </w:rPr>
        <w:t xml:space="preserve">A este respecto el artículo 93 del Código de Procedimiento Administrativo y de </w:t>
      </w:r>
      <w:r w:rsidRPr="00317927">
        <w:rPr>
          <w:rFonts w:ascii="Bookman Old Style" w:hAnsi="Bookman Old Style" w:cs="Arial"/>
        </w:rPr>
        <w:t>lo Contencioso Administrativo, consagra:</w:t>
      </w:r>
    </w:p>
    <w:p w:rsidR="00B41733" w:rsidRPr="00317927" w:rsidRDefault="00B41733" w:rsidP="00B41733">
      <w:pPr>
        <w:spacing w:before="100" w:beforeAutospacing="1" w:after="100" w:afterAutospacing="1"/>
        <w:ind w:left="0"/>
        <w:jc w:val="both"/>
        <w:rPr>
          <w:rFonts w:ascii="Bookman Old Style" w:hAnsi="Bookman Old Style" w:cs="Arial"/>
          <w:i/>
        </w:rPr>
      </w:pPr>
      <w:r w:rsidRPr="00317927">
        <w:rPr>
          <w:rFonts w:ascii="Bookman Old Style" w:hAnsi="Bookman Old Style" w:cs="Arial"/>
          <w:i/>
        </w:rPr>
        <w:t>“Los actos administrativos deberán ser revocados por las mismas autoridades que los hayan expedido o por sus inmediatos superiores jerárquicos o funcionales, de oficio o a solicitud de parte, en cualquiera de los siguientes casos:</w:t>
      </w:r>
    </w:p>
    <w:p w:rsidR="00B41733" w:rsidRPr="00317927" w:rsidRDefault="00B41733" w:rsidP="00B41733">
      <w:pPr>
        <w:pStyle w:val="Prrafodelista"/>
        <w:numPr>
          <w:ilvl w:val="0"/>
          <w:numId w:val="35"/>
        </w:numPr>
        <w:spacing w:before="100" w:beforeAutospacing="1"/>
        <w:jc w:val="both"/>
        <w:rPr>
          <w:rFonts w:ascii="Bookman Old Style" w:hAnsi="Bookman Old Style" w:cs="Arial"/>
          <w:i/>
          <w:sz w:val="24"/>
          <w:szCs w:val="24"/>
        </w:rPr>
      </w:pPr>
      <w:r w:rsidRPr="00317927">
        <w:rPr>
          <w:rFonts w:ascii="Bookman Old Style" w:hAnsi="Bookman Old Style" w:cs="Arial"/>
          <w:i/>
          <w:sz w:val="24"/>
          <w:szCs w:val="24"/>
        </w:rPr>
        <w:t xml:space="preserve">Cuando sea manifiesta su oposición a la Constitución Política o a la Ley. </w:t>
      </w:r>
    </w:p>
    <w:p w:rsidR="00B41733" w:rsidRPr="00317927" w:rsidRDefault="00B41733" w:rsidP="00B41733">
      <w:pPr>
        <w:pStyle w:val="Prrafodelista"/>
        <w:numPr>
          <w:ilvl w:val="0"/>
          <w:numId w:val="35"/>
        </w:numPr>
        <w:spacing w:before="100" w:beforeAutospacing="1"/>
        <w:jc w:val="both"/>
        <w:rPr>
          <w:rFonts w:ascii="Bookman Old Style" w:hAnsi="Bookman Old Style" w:cs="Arial"/>
          <w:i/>
          <w:sz w:val="24"/>
          <w:szCs w:val="24"/>
        </w:rPr>
      </w:pPr>
      <w:r w:rsidRPr="00317927">
        <w:rPr>
          <w:rFonts w:ascii="Bookman Old Style" w:hAnsi="Bookman Old Style" w:cs="Arial"/>
          <w:i/>
          <w:sz w:val="24"/>
          <w:szCs w:val="24"/>
        </w:rPr>
        <w:t xml:space="preserve">Cuando no estén conformes con el interés público o social, o atenten contra él. </w:t>
      </w:r>
    </w:p>
    <w:p w:rsidR="00B41733" w:rsidRPr="009C166F" w:rsidRDefault="00B41733" w:rsidP="009C166F">
      <w:pPr>
        <w:pStyle w:val="Prrafodelista"/>
        <w:numPr>
          <w:ilvl w:val="0"/>
          <w:numId w:val="35"/>
        </w:numPr>
        <w:spacing w:before="100" w:beforeAutospacing="1"/>
        <w:jc w:val="both"/>
        <w:rPr>
          <w:rFonts w:ascii="Bookman Old Style" w:hAnsi="Bookman Old Style" w:cs="Arial"/>
          <w:i/>
          <w:sz w:val="24"/>
          <w:szCs w:val="24"/>
        </w:rPr>
      </w:pPr>
      <w:r w:rsidRPr="00317927">
        <w:rPr>
          <w:rFonts w:ascii="Bookman Old Style" w:hAnsi="Bookman Old Style" w:cs="Arial"/>
          <w:i/>
          <w:sz w:val="24"/>
          <w:szCs w:val="24"/>
        </w:rPr>
        <w:t>Cuando con ellos se cause agravio injustificado a una persona”</w:t>
      </w:r>
      <w:r w:rsidR="0067792A">
        <w:rPr>
          <w:rFonts w:ascii="Bookman Old Style" w:hAnsi="Bookman Old Style" w:cs="Arial"/>
          <w:i/>
          <w:sz w:val="24"/>
          <w:szCs w:val="24"/>
        </w:rPr>
        <w:t>.</w:t>
      </w:r>
    </w:p>
    <w:p w:rsidR="00B41733" w:rsidRPr="00B41733" w:rsidRDefault="00B41733" w:rsidP="00B41733">
      <w:pPr>
        <w:spacing w:before="100" w:beforeAutospacing="1" w:after="100" w:afterAutospacing="1"/>
        <w:ind w:left="0"/>
        <w:jc w:val="both"/>
        <w:rPr>
          <w:rFonts w:ascii="Bookman Old Style" w:hAnsi="Bookman Old Style" w:cs="Arial"/>
        </w:rPr>
      </w:pPr>
      <w:r w:rsidRPr="00B41733">
        <w:rPr>
          <w:rFonts w:ascii="Bookman Old Style" w:hAnsi="Bookman Old Style" w:cs="Arial"/>
        </w:rPr>
        <w:t>En tal sentido, la figura de la revocatoria directa sólo opera por las causales tax</w:t>
      </w:r>
      <w:r>
        <w:rPr>
          <w:rFonts w:ascii="Bookman Old Style" w:hAnsi="Bookman Old Style" w:cs="Arial"/>
        </w:rPr>
        <w:t>ativamente señaladas en la Ley.</w:t>
      </w:r>
    </w:p>
    <w:p w:rsidR="00B41733" w:rsidRDefault="00B41733" w:rsidP="00B41733">
      <w:pPr>
        <w:spacing w:before="100" w:beforeAutospacing="1" w:after="100" w:afterAutospacing="1"/>
        <w:ind w:left="0"/>
        <w:jc w:val="both"/>
        <w:rPr>
          <w:rFonts w:ascii="Bookman Old Style" w:hAnsi="Bookman Old Style" w:cs="Arial"/>
        </w:rPr>
      </w:pPr>
      <w:r>
        <w:rPr>
          <w:rFonts w:ascii="Bookman Old Style" w:hAnsi="Bookman Old Style" w:cs="Arial"/>
        </w:rPr>
        <w:t xml:space="preserve">Adicionalmente, en cuanto a la improcedencia y oportunidad de la revocación directa de los actos administrativos el Código </w:t>
      </w:r>
      <w:r w:rsidR="002C4BEC" w:rsidRPr="00B41733">
        <w:rPr>
          <w:rFonts w:ascii="Bookman Old Style" w:hAnsi="Bookman Old Style" w:cs="Arial"/>
        </w:rPr>
        <w:t>de Procedimiento Administrativo y de lo Conten</w:t>
      </w:r>
      <w:r w:rsidR="002C4BEC">
        <w:rPr>
          <w:rFonts w:ascii="Bookman Old Style" w:hAnsi="Bookman Old Style" w:cs="Arial"/>
        </w:rPr>
        <w:t>cioso Administrativo señala:</w:t>
      </w:r>
    </w:p>
    <w:p w:rsidR="002C4BEC" w:rsidRPr="002C4BEC" w:rsidRDefault="002C4BEC" w:rsidP="002C4BEC">
      <w:pPr>
        <w:spacing w:before="100" w:beforeAutospacing="1" w:after="100" w:afterAutospacing="1"/>
        <w:ind w:left="142" w:right="284"/>
        <w:jc w:val="both"/>
        <w:rPr>
          <w:rFonts w:ascii="Bookman Old Style" w:hAnsi="Bookman Old Style" w:cs="Arial"/>
          <w:i/>
          <w:sz w:val="22"/>
          <w:szCs w:val="22"/>
        </w:rPr>
      </w:pPr>
      <w:r w:rsidRPr="002C4BEC">
        <w:rPr>
          <w:rFonts w:ascii="Bookman Old Style" w:hAnsi="Bookman Old Style" w:cs="Arial"/>
          <w:i/>
          <w:sz w:val="22"/>
          <w:szCs w:val="22"/>
        </w:rPr>
        <w:t>“Artículo 94. –</w:t>
      </w:r>
      <w:r w:rsidRPr="002C4BEC">
        <w:rPr>
          <w:rFonts w:ascii="Bookman Old Style" w:hAnsi="Bookman Old Style" w:cs="Arial"/>
          <w:b/>
          <w:i/>
          <w:sz w:val="22"/>
          <w:szCs w:val="22"/>
        </w:rPr>
        <w:t xml:space="preserve">Improcedencia. </w:t>
      </w:r>
      <w:r w:rsidRPr="002C4BEC">
        <w:rPr>
          <w:rFonts w:ascii="Bookman Old Style" w:hAnsi="Bookman Old Style" w:cs="Arial"/>
          <w:i/>
          <w:sz w:val="22"/>
          <w:szCs w:val="22"/>
        </w:rPr>
        <w:t>La revocación directa de los actos administrativos a solicitud de parte no procederá por la causal del numeral 1° del artículo anterior, cuando el peticionario haya interpuesto los recursos de que dichos actos sean susceptibles, ni en relación con los cuales haya operado la caducidad para su control judicial.</w:t>
      </w:r>
    </w:p>
    <w:p w:rsidR="002C4BEC" w:rsidRDefault="002C4BEC" w:rsidP="002C4BEC">
      <w:pPr>
        <w:spacing w:before="100" w:beforeAutospacing="1" w:after="100" w:afterAutospacing="1"/>
        <w:ind w:left="142" w:right="284"/>
        <w:jc w:val="both"/>
        <w:rPr>
          <w:rFonts w:ascii="Bookman Old Style" w:hAnsi="Bookman Old Style" w:cs="Arial"/>
          <w:i/>
          <w:sz w:val="22"/>
          <w:szCs w:val="22"/>
        </w:rPr>
      </w:pPr>
      <w:r w:rsidRPr="002C4BEC">
        <w:rPr>
          <w:rFonts w:ascii="Bookman Old Style" w:hAnsi="Bookman Old Style" w:cs="Arial"/>
          <w:i/>
          <w:sz w:val="22"/>
          <w:szCs w:val="22"/>
        </w:rPr>
        <w:t>Artículo 95. –</w:t>
      </w:r>
      <w:r w:rsidRPr="002C4BEC">
        <w:rPr>
          <w:rFonts w:ascii="Bookman Old Style" w:hAnsi="Bookman Old Style" w:cs="Arial"/>
          <w:b/>
          <w:i/>
          <w:sz w:val="22"/>
          <w:szCs w:val="22"/>
        </w:rPr>
        <w:t xml:space="preserve">Oportunidad. </w:t>
      </w:r>
      <w:r w:rsidRPr="002C4BEC">
        <w:rPr>
          <w:rFonts w:ascii="Bookman Old Style" w:hAnsi="Bookman Old Style" w:cs="Arial"/>
          <w:i/>
          <w:sz w:val="22"/>
          <w:szCs w:val="22"/>
        </w:rPr>
        <w:t>La revocación directa de los actos administrativos podrá cumplirse aun cuando se haya acudido ante la jurisdicción de lo contencioso administrativo, siempre que no se haya notificado auto admisorio de la demanda.</w:t>
      </w:r>
    </w:p>
    <w:p w:rsidR="002C4BEC" w:rsidRPr="002C4BEC" w:rsidRDefault="002C4BEC" w:rsidP="002C4BEC">
      <w:pPr>
        <w:spacing w:before="100" w:beforeAutospacing="1" w:after="100" w:afterAutospacing="1"/>
        <w:ind w:left="142" w:right="284"/>
        <w:jc w:val="both"/>
        <w:rPr>
          <w:rFonts w:ascii="Bookman Old Style" w:hAnsi="Bookman Old Style" w:cs="Arial"/>
          <w:i/>
          <w:sz w:val="22"/>
          <w:szCs w:val="22"/>
        </w:rPr>
      </w:pPr>
      <w:r>
        <w:rPr>
          <w:rFonts w:ascii="Bookman Old Style" w:hAnsi="Bookman Old Style" w:cs="Arial"/>
          <w:i/>
          <w:sz w:val="22"/>
          <w:szCs w:val="22"/>
        </w:rPr>
        <w:t>(…)</w:t>
      </w:r>
      <w:r w:rsidRPr="002C4BEC">
        <w:rPr>
          <w:rFonts w:ascii="Bookman Old Style" w:hAnsi="Bookman Old Style" w:cs="Arial"/>
          <w:i/>
          <w:sz w:val="22"/>
          <w:szCs w:val="22"/>
        </w:rPr>
        <w:t>”</w:t>
      </w:r>
    </w:p>
    <w:p w:rsidR="00AE0874" w:rsidRDefault="00367216" w:rsidP="00B41733">
      <w:pPr>
        <w:spacing w:before="100" w:beforeAutospacing="1" w:after="100" w:afterAutospacing="1"/>
        <w:ind w:left="0"/>
        <w:jc w:val="both"/>
        <w:rPr>
          <w:rFonts w:ascii="Bookman Old Style" w:hAnsi="Bookman Old Style" w:cs="Arial"/>
        </w:rPr>
      </w:pPr>
      <w:r>
        <w:rPr>
          <w:rFonts w:ascii="Bookman Old Style" w:hAnsi="Bookman Old Style" w:cs="Arial"/>
        </w:rPr>
        <w:t xml:space="preserve">En tal contexto, </w:t>
      </w:r>
      <w:r w:rsidR="00AE0874">
        <w:rPr>
          <w:rFonts w:ascii="Bookman Old Style" w:hAnsi="Bookman Old Style" w:cs="Arial"/>
        </w:rPr>
        <w:t>la revocatoria directa de los actos administrativos no procederá si el peticionario ha ejercitado los recursos de la vía gubernativa, pero puede cumplirse en cualquier momento, aun contra actos que se encuentren en firme.</w:t>
      </w:r>
    </w:p>
    <w:p w:rsidR="00367216" w:rsidRDefault="00367216" w:rsidP="00AE0874">
      <w:pPr>
        <w:spacing w:before="100" w:beforeAutospacing="1" w:after="100" w:afterAutospacing="1"/>
        <w:ind w:left="0"/>
        <w:jc w:val="both"/>
        <w:rPr>
          <w:rFonts w:ascii="Bookman Old Style" w:hAnsi="Bookman Old Style" w:cs="Arial"/>
        </w:rPr>
      </w:pPr>
      <w:r>
        <w:rPr>
          <w:rFonts w:ascii="Bookman Old Style" w:hAnsi="Bookman Old Style" w:cs="Arial"/>
        </w:rPr>
        <w:lastRenderedPageBreak/>
        <w:t xml:space="preserve">Así las cosas, en el presente asunto se considera que la </w:t>
      </w:r>
      <w:r w:rsidR="00AE0874">
        <w:rPr>
          <w:rFonts w:ascii="Bookman Old Style" w:hAnsi="Bookman Old Style" w:cs="Arial"/>
        </w:rPr>
        <w:t>solicitud de revocatoria directa presentada</w:t>
      </w:r>
      <w:r>
        <w:rPr>
          <w:rFonts w:ascii="Bookman Old Style" w:hAnsi="Bookman Old Style" w:cs="Arial"/>
        </w:rPr>
        <w:t xml:space="preserve"> es procedente</w:t>
      </w:r>
      <w:r w:rsidR="00AE0874">
        <w:rPr>
          <w:rFonts w:ascii="Bookman Old Style" w:hAnsi="Bookman Old Style" w:cs="Arial"/>
        </w:rPr>
        <w:t xml:space="preserve">, </w:t>
      </w:r>
      <w:r>
        <w:rPr>
          <w:rFonts w:ascii="Bookman Old Style" w:hAnsi="Bookman Old Style" w:cs="Arial"/>
        </w:rPr>
        <w:t xml:space="preserve">toda vez que </w:t>
      </w:r>
      <w:r w:rsidR="00AE0874">
        <w:rPr>
          <w:rFonts w:ascii="Bookman Old Style" w:hAnsi="Bookman Old Style" w:cs="Arial"/>
        </w:rPr>
        <w:t xml:space="preserve">el accionante </w:t>
      </w:r>
      <w:r>
        <w:rPr>
          <w:rFonts w:ascii="Bookman Old Style" w:hAnsi="Bookman Old Style" w:cs="Arial"/>
        </w:rPr>
        <w:t xml:space="preserve">a pesar de haber interpuesto recurso de reposición en </w:t>
      </w:r>
      <w:r w:rsidR="009C166F">
        <w:rPr>
          <w:rFonts w:ascii="Bookman Old Style" w:hAnsi="Bookman Old Style" w:cs="Arial"/>
        </w:rPr>
        <w:t>contra de la Resolución CREG 197</w:t>
      </w:r>
      <w:r>
        <w:rPr>
          <w:rFonts w:ascii="Bookman Old Style" w:hAnsi="Bookman Old Style" w:cs="Arial"/>
        </w:rPr>
        <w:t xml:space="preserve"> de 2013, éste fue rechazado por extemporáneo</w:t>
      </w:r>
      <w:r w:rsidR="00B95917">
        <w:rPr>
          <w:rFonts w:ascii="Bookman Old Style" w:hAnsi="Bookman Old Style" w:cs="Arial"/>
        </w:rPr>
        <w:t>, situación que no es posible entender como si se hubiese agotado la vía gubernativa.</w:t>
      </w:r>
    </w:p>
    <w:p w:rsidR="00AE0874" w:rsidRPr="00923048" w:rsidRDefault="00AE0874" w:rsidP="00743775">
      <w:pPr>
        <w:pStyle w:val="Prrafodelista"/>
        <w:numPr>
          <w:ilvl w:val="1"/>
          <w:numId w:val="31"/>
        </w:numPr>
        <w:rPr>
          <w:rFonts w:ascii="Bookman Old Style" w:hAnsi="Bookman Old Style" w:cs="Arial"/>
          <w:b/>
          <w:sz w:val="24"/>
          <w:szCs w:val="24"/>
        </w:rPr>
      </w:pPr>
      <w:r w:rsidRPr="00923048">
        <w:rPr>
          <w:rFonts w:ascii="Bookman Old Style" w:hAnsi="Bookman Old Style" w:cs="Arial"/>
          <w:b/>
          <w:sz w:val="24"/>
          <w:szCs w:val="24"/>
        </w:rPr>
        <w:t>Sobre los fundamentos del recurso</w:t>
      </w:r>
    </w:p>
    <w:p w:rsidR="00AE0874" w:rsidRPr="00923048" w:rsidRDefault="00AE0874" w:rsidP="00AE0874">
      <w:pPr>
        <w:ind w:left="0"/>
        <w:jc w:val="both"/>
        <w:rPr>
          <w:rFonts w:ascii="Bookman Old Style" w:hAnsi="Bookman Old Style" w:cs="Arial"/>
          <w:bCs/>
          <w:lang w:val="es-CO"/>
        </w:rPr>
      </w:pPr>
    </w:p>
    <w:p w:rsidR="00DD585D" w:rsidRPr="00DD585D" w:rsidRDefault="00AE0874" w:rsidP="00FE17A4">
      <w:pPr>
        <w:widowControl w:val="0"/>
        <w:adjustRightInd w:val="0"/>
        <w:ind w:left="0" w:right="20"/>
        <w:jc w:val="both"/>
        <w:rPr>
          <w:rFonts w:ascii="Bookman Old Style" w:hAnsi="Bookman Old Style" w:cs="Arial"/>
          <w:lang w:val="es-ES_tradnl"/>
        </w:rPr>
      </w:pPr>
      <w:r>
        <w:rPr>
          <w:rFonts w:ascii="Bookman Old Style" w:hAnsi="Bookman Old Style" w:cs="Arial"/>
        </w:rPr>
        <w:t>La Comisión de Regulación de Energía y Gas</w:t>
      </w:r>
      <w:r w:rsidR="00BF73C3">
        <w:rPr>
          <w:rFonts w:ascii="Bookman Old Style" w:hAnsi="Bookman Old Style" w:cs="Arial"/>
        </w:rPr>
        <w:t xml:space="preserve">, </w:t>
      </w:r>
      <w:r>
        <w:rPr>
          <w:rFonts w:ascii="Bookman Old Style" w:hAnsi="Bookman Old Style" w:cs="Arial"/>
        </w:rPr>
        <w:t>CREG</w:t>
      </w:r>
      <w:r w:rsidR="00BF73C3">
        <w:rPr>
          <w:rFonts w:ascii="Bookman Old Style" w:hAnsi="Bookman Old Style" w:cs="Arial"/>
        </w:rPr>
        <w:t xml:space="preserve">, </w:t>
      </w:r>
      <w:r w:rsidR="009C166F">
        <w:rPr>
          <w:rFonts w:ascii="Bookman Old Style" w:hAnsi="Bookman Old Style" w:cs="Arial"/>
        </w:rPr>
        <w:t>mediante la Resolución CREG 197</w:t>
      </w:r>
      <w:r w:rsidR="00DD585D">
        <w:rPr>
          <w:rFonts w:ascii="Bookman Old Style" w:hAnsi="Bookman Old Style" w:cs="Arial"/>
        </w:rPr>
        <w:t xml:space="preserve"> de 2013, </w:t>
      </w:r>
      <w:r w:rsidR="009C166F">
        <w:rPr>
          <w:rFonts w:ascii="Bookman Old Style" w:hAnsi="Bookman Old Style" w:cs="Arial"/>
          <w:lang w:val="es-ES_tradnl"/>
        </w:rPr>
        <w:t>aprobó el cargo promedio de distribución por uso del sistema de distribución y el cargo máximo base de c</w:t>
      </w:r>
      <w:r w:rsidR="009C166F" w:rsidRPr="00D03E47">
        <w:rPr>
          <w:rFonts w:ascii="Bookman Old Style" w:hAnsi="Bookman Old Style" w:cs="Arial"/>
          <w:lang w:val="es-ES_tradnl"/>
        </w:rPr>
        <w:t xml:space="preserve">omercialización de gas combustible por redes de tubería a usuarios regulados, para el mercado relevante conformado por </w:t>
      </w:r>
      <w:r w:rsidR="009C166F" w:rsidRPr="00D11963">
        <w:rPr>
          <w:rFonts w:ascii="Bookman Old Style" w:hAnsi="Bookman Old Style" w:cs="Arial"/>
          <w:lang w:val="es-ES_tradnl"/>
        </w:rPr>
        <w:t xml:space="preserve">el municipio de </w:t>
      </w:r>
      <w:r w:rsidR="009C166F">
        <w:rPr>
          <w:rFonts w:ascii="Bookman Old Style" w:hAnsi="Bookman Old Style" w:cs="Arial"/>
          <w:lang w:val="es-ES_tradnl"/>
        </w:rPr>
        <w:t>Campohermoso</w:t>
      </w:r>
      <w:r w:rsidR="009C166F" w:rsidRPr="00D11963">
        <w:rPr>
          <w:rFonts w:ascii="Bookman Old Style" w:hAnsi="Bookman Old Style" w:cs="Arial"/>
          <w:lang w:val="es-ES_tradnl"/>
        </w:rPr>
        <w:t xml:space="preserve"> ubicado</w:t>
      </w:r>
      <w:r w:rsidR="009C166F" w:rsidRPr="00D03E47">
        <w:rPr>
          <w:rFonts w:ascii="Bookman Old Style" w:hAnsi="Bookman Old Style" w:cs="Arial"/>
          <w:lang w:val="es-ES_tradnl"/>
        </w:rPr>
        <w:t xml:space="preserve"> en el departamento de</w:t>
      </w:r>
      <w:r w:rsidR="009C166F">
        <w:rPr>
          <w:rFonts w:ascii="Bookman Old Style" w:hAnsi="Bookman Old Style" w:cs="Arial"/>
          <w:lang w:val="es-ES_tradnl"/>
        </w:rPr>
        <w:t xml:space="preserve"> Boyacá</w:t>
      </w:r>
      <w:r w:rsidR="009C166F" w:rsidRPr="00D03E47">
        <w:rPr>
          <w:rFonts w:ascii="Bookman Old Style" w:hAnsi="Bookman Old Style" w:cs="Arial"/>
          <w:lang w:val="es-ES_tradnl"/>
        </w:rPr>
        <w:t xml:space="preserve">, según solicitud tarifaria presentada por </w:t>
      </w:r>
      <w:r w:rsidR="009C166F">
        <w:rPr>
          <w:rFonts w:ascii="Bookman Old Style" w:hAnsi="Bookman Old Style" w:cs="Arial"/>
          <w:lang w:val="es-ES_tradnl"/>
        </w:rPr>
        <w:t>PUBLISERVICI0S S.A. E.S.P.</w:t>
      </w:r>
    </w:p>
    <w:p w:rsidR="00DD585D" w:rsidRDefault="00DD585D" w:rsidP="00AE0874">
      <w:pPr>
        <w:ind w:left="0"/>
        <w:jc w:val="both"/>
        <w:rPr>
          <w:rFonts w:ascii="Bookman Old Style" w:hAnsi="Bookman Old Style" w:cs="Arial"/>
          <w:lang w:val="es-ES_tradnl"/>
        </w:rPr>
      </w:pPr>
    </w:p>
    <w:p w:rsidR="0061439A" w:rsidRDefault="00DD585D" w:rsidP="00743DCC">
      <w:pPr>
        <w:ind w:left="0"/>
        <w:jc w:val="both"/>
        <w:rPr>
          <w:rFonts w:ascii="Bookman Old Style" w:hAnsi="Bookman Old Style" w:cs="Arial"/>
          <w:lang w:val="es-ES_tradnl"/>
        </w:rPr>
      </w:pPr>
      <w:r>
        <w:rPr>
          <w:rFonts w:ascii="Bookman Old Style" w:hAnsi="Bookman Old Style" w:cs="Arial"/>
          <w:lang w:val="es-ES_tradnl"/>
        </w:rPr>
        <w:t xml:space="preserve">El mencionado acto administrativo es cuestionado por el Fondo Nacional de Regalías en liquidación, fundamentalmente por </w:t>
      </w:r>
      <w:r w:rsidR="0061439A">
        <w:rPr>
          <w:rFonts w:ascii="Bookman Old Style" w:hAnsi="Bookman Old Style" w:cs="Arial"/>
          <w:lang w:val="es-ES_tradnl"/>
        </w:rPr>
        <w:t xml:space="preserve">no encontrase conforme al interés público, exponiendo las argumentaciones del recurso de reposición interpuesto y señalando que existe flagrante violación al derecho al debido proceso al haberse rechazado el recurso por extemporáneo. </w:t>
      </w:r>
    </w:p>
    <w:p w:rsidR="00DD585D" w:rsidRDefault="00DD585D" w:rsidP="00743DCC">
      <w:pPr>
        <w:ind w:left="0"/>
        <w:jc w:val="both"/>
        <w:rPr>
          <w:rFonts w:ascii="Bookman Old Style" w:hAnsi="Bookman Old Style" w:cs="Arial"/>
          <w:lang w:val="es-ES_tradnl"/>
        </w:rPr>
      </w:pPr>
    </w:p>
    <w:p w:rsidR="00225CE3" w:rsidRDefault="00225CE3" w:rsidP="00743DCC">
      <w:pPr>
        <w:ind w:left="0"/>
        <w:jc w:val="both"/>
        <w:rPr>
          <w:rFonts w:ascii="Bookman Old Style" w:hAnsi="Bookman Old Style" w:cs="Arial"/>
          <w:lang w:val="es-ES_tradnl"/>
        </w:rPr>
      </w:pPr>
      <w:r>
        <w:rPr>
          <w:rFonts w:ascii="Bookman Old Style" w:hAnsi="Bookman Old Style" w:cs="Arial"/>
          <w:lang w:val="es-ES_tradnl"/>
        </w:rPr>
        <w:t>A</w:t>
      </w:r>
      <w:r w:rsidR="00A51611">
        <w:rPr>
          <w:rFonts w:ascii="Bookman Old Style" w:hAnsi="Bookman Old Style" w:cs="Arial"/>
          <w:lang w:val="es-ES_tradnl"/>
        </w:rPr>
        <w:t xml:space="preserve">l respecto, </w:t>
      </w:r>
      <w:r>
        <w:rPr>
          <w:rFonts w:ascii="Bookman Old Style" w:hAnsi="Bookman Old Style" w:cs="Arial"/>
          <w:lang w:val="es-ES_tradnl"/>
        </w:rPr>
        <w:t xml:space="preserve">es pertinente señalar que a través del auto de fecha 17 de junio de 2014, </w:t>
      </w:r>
      <w:r w:rsidR="00A51611">
        <w:rPr>
          <w:rFonts w:ascii="Bookman Old Style" w:hAnsi="Bookman Old Style" w:cs="Arial"/>
          <w:lang w:val="es-ES_tradnl"/>
        </w:rPr>
        <w:t xml:space="preserve">la Comisión </w:t>
      </w:r>
      <w:r>
        <w:rPr>
          <w:rFonts w:ascii="Bookman Old Style" w:hAnsi="Bookman Old Style" w:cs="Arial"/>
          <w:lang w:val="es-ES_tradnl"/>
        </w:rPr>
        <w:t xml:space="preserve">consideró necesario revocar de oficio la decisión </w:t>
      </w:r>
      <w:r w:rsidR="00FE17A4">
        <w:rPr>
          <w:rFonts w:ascii="Bookman Old Style" w:hAnsi="Bookman Old Style" w:cs="Arial"/>
          <w:lang w:val="es-ES_tradnl"/>
        </w:rPr>
        <w:t>contenida en el auto de fecha 27</w:t>
      </w:r>
      <w:r>
        <w:rPr>
          <w:rFonts w:ascii="Bookman Old Style" w:hAnsi="Bookman Old Style" w:cs="Arial"/>
          <w:lang w:val="es-ES_tradnl"/>
        </w:rPr>
        <w:t xml:space="preserve"> de marzo de 2014 “</w:t>
      </w:r>
      <w:r w:rsidRPr="0061439A">
        <w:rPr>
          <w:rFonts w:ascii="Bookman Old Style" w:hAnsi="Bookman Old Style" w:cs="Arial"/>
          <w:sz w:val="22"/>
          <w:szCs w:val="22"/>
          <w:lang w:val="es-ES_tradnl"/>
        </w:rPr>
        <w:t xml:space="preserve">Por el cual se rechaza el recurso de reposición interpuesto por el Fondo Nacional de Regalías en liquidación en contra de </w:t>
      </w:r>
      <w:r w:rsidR="00FE17A4">
        <w:rPr>
          <w:rFonts w:ascii="Bookman Old Style" w:hAnsi="Bookman Old Style" w:cs="Arial"/>
          <w:sz w:val="22"/>
          <w:szCs w:val="22"/>
          <w:lang w:val="es-ES_tradnl"/>
        </w:rPr>
        <w:t>la Resolución CREG 197</w:t>
      </w:r>
      <w:r w:rsidRPr="0061439A">
        <w:rPr>
          <w:rFonts w:ascii="Bookman Old Style" w:hAnsi="Bookman Old Style" w:cs="Arial"/>
          <w:sz w:val="22"/>
          <w:szCs w:val="22"/>
          <w:lang w:val="es-ES_tradnl"/>
        </w:rPr>
        <w:t xml:space="preserve"> de 2013</w:t>
      </w:r>
      <w:r w:rsidR="0061439A">
        <w:rPr>
          <w:rFonts w:ascii="Bookman Old Style" w:hAnsi="Bookman Old Style" w:cs="Arial"/>
          <w:lang w:val="es-ES_tradnl"/>
        </w:rPr>
        <w:t>”</w:t>
      </w:r>
      <w:r>
        <w:rPr>
          <w:rFonts w:ascii="Bookman Old Style" w:hAnsi="Bookman Old Style" w:cs="Arial"/>
          <w:lang w:val="es-ES_tradnl"/>
        </w:rPr>
        <w:t xml:space="preserve">, </w:t>
      </w:r>
      <w:r w:rsidR="00A51611">
        <w:rPr>
          <w:rFonts w:ascii="Bookman Old Style" w:hAnsi="Bookman Old Style" w:cs="Arial"/>
          <w:lang w:val="es-ES_tradnl"/>
        </w:rPr>
        <w:t xml:space="preserve">al identificar que se </w:t>
      </w:r>
      <w:r w:rsidR="0061439A">
        <w:rPr>
          <w:rFonts w:ascii="Bookman Old Style" w:hAnsi="Bookman Old Style" w:cs="Arial"/>
          <w:lang w:val="es-ES_tradnl"/>
        </w:rPr>
        <w:t xml:space="preserve">incurrió </w:t>
      </w:r>
      <w:r w:rsidR="0061439A" w:rsidRPr="0061439A">
        <w:rPr>
          <w:rFonts w:ascii="Bookman Old Style" w:hAnsi="Bookman Old Style" w:cs="Arial"/>
          <w:lang w:val="es-ES_tradnl"/>
        </w:rPr>
        <w:t xml:space="preserve">en un error </w:t>
      </w:r>
      <w:r w:rsidR="0061439A" w:rsidRPr="0061439A">
        <w:rPr>
          <w:rFonts w:ascii="Bookman Old Style" w:hAnsi="Bookman Old Style" w:cs="Arial"/>
          <w:i/>
          <w:lang w:val="es-ES_tradnl"/>
        </w:rPr>
        <w:t>in procedendo</w:t>
      </w:r>
      <w:r w:rsidR="0061439A">
        <w:rPr>
          <w:rFonts w:ascii="Bookman Old Style" w:hAnsi="Bookman Old Style" w:cs="Arial"/>
          <w:lang w:val="es-ES_tradnl"/>
        </w:rPr>
        <w:t>.</w:t>
      </w:r>
    </w:p>
    <w:p w:rsidR="00743DCC" w:rsidRDefault="00743DCC" w:rsidP="00743DCC">
      <w:pPr>
        <w:ind w:left="0"/>
        <w:jc w:val="both"/>
        <w:rPr>
          <w:rFonts w:ascii="Bookman Old Style" w:hAnsi="Bookman Old Style" w:cs="Arial"/>
          <w:lang w:val="es-ES_tradnl"/>
        </w:rPr>
      </w:pPr>
    </w:p>
    <w:p w:rsidR="00A51611" w:rsidRDefault="00A51611" w:rsidP="00A51611">
      <w:pPr>
        <w:ind w:left="0"/>
        <w:jc w:val="both"/>
        <w:rPr>
          <w:rFonts w:ascii="Bookman Old Style" w:hAnsi="Bookman Old Style" w:cs="Arial"/>
          <w:lang w:val="es-ES_tradnl"/>
        </w:rPr>
      </w:pPr>
      <w:r>
        <w:rPr>
          <w:rFonts w:ascii="Bookman Old Style" w:hAnsi="Bookman Old Style" w:cs="Arial"/>
          <w:lang w:val="es-ES_tradnl"/>
        </w:rPr>
        <w:t xml:space="preserve">En la parte resolutiva del mencionado auto se consagró en lo pertinente: </w:t>
      </w:r>
    </w:p>
    <w:p w:rsidR="00A51611" w:rsidRDefault="00A51611" w:rsidP="00A51611">
      <w:pPr>
        <w:ind w:left="0"/>
        <w:jc w:val="both"/>
        <w:rPr>
          <w:rFonts w:ascii="Bookman Old Style" w:hAnsi="Bookman Old Style" w:cs="Arial"/>
          <w:lang w:val="es-ES_tradnl"/>
        </w:rPr>
      </w:pPr>
    </w:p>
    <w:p w:rsidR="00A51611" w:rsidRPr="00A51611" w:rsidRDefault="00A51611" w:rsidP="00A51611">
      <w:pPr>
        <w:ind w:left="284" w:right="425"/>
        <w:jc w:val="both"/>
        <w:rPr>
          <w:rFonts w:ascii="Bookman Old Style" w:hAnsi="Bookman Old Style" w:cs="Arial"/>
          <w:i/>
          <w:lang w:val="es-ES_tradnl"/>
        </w:rPr>
      </w:pPr>
      <w:r w:rsidRPr="00A51611">
        <w:rPr>
          <w:rFonts w:ascii="Bookman Old Style" w:hAnsi="Bookman Old Style" w:cs="Arial"/>
          <w:i/>
          <w:lang w:val="es-ES_tradnl"/>
        </w:rPr>
        <w:t>“(…)</w:t>
      </w:r>
    </w:p>
    <w:p w:rsidR="00A51611" w:rsidRPr="00A51611" w:rsidRDefault="00A51611" w:rsidP="00A51611">
      <w:pPr>
        <w:ind w:left="284" w:right="425"/>
        <w:jc w:val="both"/>
        <w:rPr>
          <w:rFonts w:ascii="Bookman Old Style" w:hAnsi="Bookman Old Style" w:cs="Arial"/>
          <w:i/>
          <w:lang w:val="es-ES_tradnl"/>
        </w:rPr>
      </w:pPr>
      <w:r w:rsidRPr="00A51611">
        <w:rPr>
          <w:rFonts w:ascii="Bookman Old Style" w:hAnsi="Bookman Old Style" w:cs="Arial"/>
          <w:i/>
          <w:lang w:val="es-ES_tradnl"/>
        </w:rPr>
        <w:t>ARTÍCULO PRIMERO. REVOCAR DE OFICIO el auto</w:t>
      </w:r>
      <w:r w:rsidR="00FE17A4">
        <w:rPr>
          <w:rFonts w:ascii="Bookman Old Style" w:hAnsi="Bookman Old Style" w:cs="Arial"/>
          <w:i/>
          <w:lang w:val="es-ES_tradnl"/>
        </w:rPr>
        <w:t xml:space="preserve"> de fecha 27</w:t>
      </w:r>
      <w:r w:rsidRPr="00A51611">
        <w:rPr>
          <w:rFonts w:ascii="Bookman Old Style" w:hAnsi="Bookman Old Style" w:cs="Arial"/>
          <w:i/>
          <w:lang w:val="es-ES_tradnl"/>
        </w:rPr>
        <w:t xml:space="preserve"> de marzo de 2014 “Por el cual se rechaza el recurso de reposición interpuesto por el Fondo Nacional de Regalías en liquidaci</w:t>
      </w:r>
      <w:r w:rsidR="00FE17A4">
        <w:rPr>
          <w:rFonts w:ascii="Bookman Old Style" w:hAnsi="Bookman Old Style" w:cs="Arial"/>
          <w:i/>
          <w:lang w:val="es-ES_tradnl"/>
        </w:rPr>
        <w:t>ón contra la Resolución CREG 197</w:t>
      </w:r>
      <w:r w:rsidRPr="00A51611">
        <w:rPr>
          <w:rFonts w:ascii="Bookman Old Style" w:hAnsi="Bookman Old Style" w:cs="Arial"/>
          <w:i/>
          <w:lang w:val="es-ES_tradnl"/>
        </w:rPr>
        <w:t xml:space="preserve"> de 2013”.</w:t>
      </w:r>
    </w:p>
    <w:p w:rsidR="00A51611" w:rsidRPr="00A51611" w:rsidRDefault="00A51611" w:rsidP="00A51611">
      <w:pPr>
        <w:ind w:left="284" w:right="425"/>
        <w:jc w:val="both"/>
        <w:rPr>
          <w:rFonts w:ascii="Bookman Old Style" w:hAnsi="Bookman Old Style" w:cs="Arial"/>
          <w:i/>
          <w:lang w:val="es-ES_tradnl"/>
        </w:rPr>
      </w:pPr>
    </w:p>
    <w:p w:rsidR="00A51611" w:rsidRPr="00A51611" w:rsidRDefault="00A51611" w:rsidP="00A51611">
      <w:pPr>
        <w:ind w:left="284" w:right="425"/>
        <w:jc w:val="both"/>
        <w:rPr>
          <w:rFonts w:ascii="Bookman Old Style" w:hAnsi="Bookman Old Style" w:cs="Arial"/>
          <w:i/>
          <w:lang w:val="es-ES_tradnl"/>
        </w:rPr>
      </w:pPr>
      <w:r w:rsidRPr="00A51611">
        <w:rPr>
          <w:rFonts w:ascii="Bookman Old Style" w:hAnsi="Bookman Old Style" w:cs="Arial"/>
          <w:i/>
          <w:lang w:val="es-ES_tradnl"/>
        </w:rPr>
        <w:t>ARTÍCULO SEGUNDO. RESOLVER a la mayor brevedad el recurso de reposición interpuesto por la apoderada judicial del Fondo Nacional de Regalías –FN</w:t>
      </w:r>
      <w:r w:rsidR="00FE17A4">
        <w:rPr>
          <w:rFonts w:ascii="Bookman Old Style" w:hAnsi="Bookman Old Style" w:cs="Arial"/>
          <w:i/>
          <w:lang w:val="es-ES_tradnl"/>
        </w:rPr>
        <w:t>R- contra la Resolución CREG 197</w:t>
      </w:r>
      <w:r w:rsidRPr="00A51611">
        <w:rPr>
          <w:rFonts w:ascii="Bookman Old Style" w:hAnsi="Bookman Old Style" w:cs="Arial"/>
          <w:i/>
          <w:lang w:val="es-ES_tradnl"/>
        </w:rPr>
        <w:t xml:space="preserve"> de 2013 al haber sido interpuesto en término.</w:t>
      </w:r>
    </w:p>
    <w:p w:rsidR="00A51611" w:rsidRPr="00A51611" w:rsidRDefault="00A51611" w:rsidP="00A51611">
      <w:pPr>
        <w:ind w:left="284" w:right="425"/>
        <w:jc w:val="both"/>
        <w:rPr>
          <w:rFonts w:ascii="Bookman Old Style" w:hAnsi="Bookman Old Style" w:cs="Arial"/>
          <w:i/>
          <w:lang w:val="es-ES_tradnl"/>
        </w:rPr>
      </w:pPr>
    </w:p>
    <w:p w:rsidR="00A51611" w:rsidRPr="00A51611" w:rsidRDefault="00A51611" w:rsidP="00A51611">
      <w:pPr>
        <w:ind w:left="284" w:right="425"/>
        <w:jc w:val="both"/>
        <w:rPr>
          <w:rFonts w:ascii="Bookman Old Style" w:hAnsi="Bookman Old Style" w:cs="Arial"/>
          <w:i/>
          <w:lang w:val="es-CO"/>
        </w:rPr>
      </w:pPr>
      <w:r w:rsidRPr="00A51611">
        <w:rPr>
          <w:rFonts w:ascii="Bookman Old Style" w:hAnsi="Bookman Old Style" w:cs="Arial"/>
          <w:i/>
          <w:lang w:val="es-ES_tradnl"/>
        </w:rPr>
        <w:t>(…)”</w:t>
      </w:r>
    </w:p>
    <w:p w:rsidR="00DD585D" w:rsidRDefault="00DD585D" w:rsidP="00A8512C">
      <w:pPr>
        <w:ind w:left="0"/>
        <w:jc w:val="both"/>
        <w:rPr>
          <w:rFonts w:ascii="Bookman Old Style" w:hAnsi="Bookman Old Style" w:cs="Arial"/>
        </w:rPr>
      </w:pPr>
    </w:p>
    <w:p w:rsidR="00372803" w:rsidRDefault="00A51611" w:rsidP="00A8512C">
      <w:pPr>
        <w:ind w:left="0"/>
        <w:jc w:val="both"/>
        <w:rPr>
          <w:rFonts w:ascii="Bookman Old Style" w:hAnsi="Bookman Old Style" w:cs="Arial"/>
        </w:rPr>
      </w:pPr>
      <w:r>
        <w:rPr>
          <w:rFonts w:ascii="Bookman Old Style" w:hAnsi="Bookman Old Style" w:cs="Arial"/>
        </w:rPr>
        <w:t xml:space="preserve">Así las cosas, la Comisión procedió a resolver el recurso de reposición interpuesto por el Fondo Nacional de Regalías en liquidación en </w:t>
      </w:r>
      <w:r w:rsidR="00FE17A4">
        <w:rPr>
          <w:rFonts w:ascii="Bookman Old Style" w:hAnsi="Bookman Old Style" w:cs="Arial"/>
        </w:rPr>
        <w:t>contra de la Resolución CREG 197</w:t>
      </w:r>
      <w:r>
        <w:rPr>
          <w:rFonts w:ascii="Bookman Old Style" w:hAnsi="Bookman Old Style" w:cs="Arial"/>
        </w:rPr>
        <w:t xml:space="preserve"> de 2013 a través de la Resolución CREG </w:t>
      </w:r>
      <w:r w:rsidR="00D67F03">
        <w:rPr>
          <w:rFonts w:ascii="Bookman Old Style" w:hAnsi="Bookman Old Style" w:cs="Arial"/>
        </w:rPr>
        <w:t>120 del 28</w:t>
      </w:r>
      <w:r w:rsidR="00D67F03" w:rsidRPr="00D67F03">
        <w:rPr>
          <w:rFonts w:ascii="Bookman Old Style" w:hAnsi="Bookman Old Style" w:cs="Arial"/>
        </w:rPr>
        <w:t xml:space="preserve"> de agosto</w:t>
      </w:r>
      <w:r w:rsidR="00D67F03">
        <w:rPr>
          <w:rFonts w:ascii="Bookman Old Style" w:hAnsi="Bookman Old Style" w:cs="Arial"/>
        </w:rPr>
        <w:t xml:space="preserve"> de 2014</w:t>
      </w:r>
      <w:r w:rsidR="00372803">
        <w:rPr>
          <w:rFonts w:ascii="Bookman Old Style" w:hAnsi="Bookman Old Style" w:cs="Arial"/>
        </w:rPr>
        <w:t>.</w:t>
      </w:r>
    </w:p>
    <w:p w:rsidR="00372803" w:rsidRDefault="00372803" w:rsidP="00A8512C">
      <w:pPr>
        <w:ind w:left="0"/>
        <w:jc w:val="both"/>
        <w:rPr>
          <w:rFonts w:ascii="Bookman Old Style" w:hAnsi="Bookman Old Style" w:cs="Arial"/>
        </w:rPr>
      </w:pPr>
    </w:p>
    <w:p w:rsidR="00A51611" w:rsidRDefault="00372803" w:rsidP="00A8512C">
      <w:pPr>
        <w:ind w:left="0"/>
        <w:jc w:val="both"/>
        <w:rPr>
          <w:rFonts w:ascii="Bookman Old Style" w:hAnsi="Bookman Old Style" w:cs="Arial"/>
        </w:rPr>
      </w:pPr>
      <w:r>
        <w:rPr>
          <w:rFonts w:ascii="Bookman Old Style" w:hAnsi="Bookman Old Style" w:cs="Arial"/>
        </w:rPr>
        <w:t xml:space="preserve">En consecuencia, al haber desaparecido el hecho que originó la violación al debido proceso alegado por el Fondo Nacional de Regalías, es decir, el rechazo del recurso de reposición y al haberse analizado cada una de sus </w:t>
      </w:r>
      <w:r>
        <w:rPr>
          <w:rFonts w:ascii="Bookman Old Style" w:hAnsi="Bookman Old Style" w:cs="Arial"/>
        </w:rPr>
        <w:lastRenderedPageBreak/>
        <w:t>argumentaciones en el acto administrativo correspondiente, se considera que no se configura la causal invocada, la cual consis</w:t>
      </w:r>
      <w:r w:rsidR="00FE17A4">
        <w:rPr>
          <w:rFonts w:ascii="Bookman Old Style" w:hAnsi="Bookman Old Style" w:cs="Arial"/>
        </w:rPr>
        <w:t>te en que la Resolución CREG 197</w:t>
      </w:r>
      <w:r>
        <w:rPr>
          <w:rFonts w:ascii="Bookman Old Style" w:hAnsi="Bookman Old Style" w:cs="Arial"/>
        </w:rPr>
        <w:t xml:space="preserve"> de 2013 no se encuentra conforme al interés público.</w:t>
      </w:r>
    </w:p>
    <w:p w:rsidR="00A51611" w:rsidRDefault="00A51611" w:rsidP="00A8512C">
      <w:pPr>
        <w:ind w:left="0"/>
        <w:jc w:val="both"/>
        <w:rPr>
          <w:rFonts w:ascii="Bookman Old Style" w:hAnsi="Bookman Old Style" w:cs="Arial"/>
        </w:rPr>
      </w:pPr>
    </w:p>
    <w:p w:rsidR="001931A7" w:rsidRDefault="00A62071" w:rsidP="009F06ED">
      <w:pPr>
        <w:ind w:left="0"/>
        <w:jc w:val="both"/>
        <w:rPr>
          <w:rFonts w:ascii="Bookman Old Style" w:hAnsi="Bookman Old Style" w:cs="Arial"/>
          <w:color w:val="000000"/>
        </w:rPr>
      </w:pPr>
      <w:r>
        <w:rPr>
          <w:rFonts w:ascii="Bookman Old Style" w:hAnsi="Bookman Old Style" w:cs="Arial"/>
        </w:rPr>
        <w:t>La</w:t>
      </w:r>
      <w:r w:rsidRPr="00E87984">
        <w:rPr>
          <w:rFonts w:ascii="Bookman Old Style" w:hAnsi="Bookman Old Style" w:cs="Arial"/>
        </w:rPr>
        <w:t xml:space="preserve"> Comisión de Regulación de Energía y Gas</w:t>
      </w:r>
      <w:r>
        <w:rPr>
          <w:rFonts w:ascii="Bookman Old Style" w:hAnsi="Bookman Old Style" w:cs="Arial"/>
        </w:rPr>
        <w:t xml:space="preserve"> –CREG-</w:t>
      </w:r>
      <w:r w:rsidR="00333C57">
        <w:rPr>
          <w:rFonts w:ascii="Bookman Old Style" w:hAnsi="Bookman Old Style" w:cs="Arial"/>
        </w:rPr>
        <w:t>, en su s</w:t>
      </w:r>
      <w:r w:rsidR="00AB7A9B">
        <w:rPr>
          <w:rFonts w:ascii="Bookman Old Style" w:hAnsi="Bookman Old Style" w:cs="Arial"/>
        </w:rPr>
        <w:t xml:space="preserve">esión No. </w:t>
      </w:r>
      <w:r w:rsidR="0067792A">
        <w:rPr>
          <w:rFonts w:ascii="Bookman Old Style" w:hAnsi="Bookman Old Style" w:cs="Arial"/>
        </w:rPr>
        <w:t xml:space="preserve">627 </w:t>
      </w:r>
      <w:r w:rsidR="00AB7A9B">
        <w:rPr>
          <w:rFonts w:ascii="Bookman Old Style" w:hAnsi="Bookman Old Style" w:cs="Arial"/>
        </w:rPr>
        <w:t xml:space="preserve">del </w:t>
      </w:r>
      <w:r w:rsidR="0067792A">
        <w:rPr>
          <w:rFonts w:ascii="Bookman Old Style" w:hAnsi="Bookman Old Style" w:cs="Arial"/>
        </w:rPr>
        <w:t>7 de noviembre de 2014</w:t>
      </w:r>
      <w:r w:rsidRPr="00E87984">
        <w:rPr>
          <w:rFonts w:ascii="Bookman Old Style" w:hAnsi="Bookman Old Style" w:cs="Arial"/>
        </w:rPr>
        <w:t>, aprobó expedir la siguiente resolución</w:t>
      </w:r>
      <w:r>
        <w:rPr>
          <w:rFonts w:ascii="Bookman Old Style" w:hAnsi="Bookman Old Style" w:cs="Arial"/>
        </w:rPr>
        <w:t>.</w:t>
      </w:r>
    </w:p>
    <w:p w:rsidR="00A62071" w:rsidRDefault="00A62071" w:rsidP="00AE7340">
      <w:pPr>
        <w:tabs>
          <w:tab w:val="center" w:pos="4512"/>
        </w:tabs>
        <w:suppressAutoHyphens/>
        <w:ind w:left="170"/>
        <w:jc w:val="center"/>
        <w:rPr>
          <w:rFonts w:ascii="Bookman Old Style" w:hAnsi="Bookman Old Style"/>
          <w:b/>
          <w:spacing w:val="-3"/>
        </w:rPr>
      </w:pPr>
    </w:p>
    <w:p w:rsidR="00317927" w:rsidRDefault="00317927" w:rsidP="00AE7340">
      <w:pPr>
        <w:tabs>
          <w:tab w:val="center" w:pos="4512"/>
        </w:tabs>
        <w:suppressAutoHyphens/>
        <w:ind w:left="170"/>
        <w:jc w:val="center"/>
        <w:rPr>
          <w:rFonts w:ascii="Bookman Old Style" w:hAnsi="Bookman Old Style"/>
          <w:b/>
          <w:spacing w:val="-3"/>
        </w:rPr>
      </w:pPr>
    </w:p>
    <w:p w:rsidR="00C051A8" w:rsidRPr="00E01CCD" w:rsidRDefault="00C051A8" w:rsidP="00AE7340">
      <w:pPr>
        <w:tabs>
          <w:tab w:val="center" w:pos="4512"/>
        </w:tabs>
        <w:suppressAutoHyphens/>
        <w:ind w:left="170"/>
        <w:jc w:val="center"/>
        <w:rPr>
          <w:rFonts w:ascii="Bookman Old Style" w:hAnsi="Bookman Old Style"/>
          <w:b/>
          <w:spacing w:val="-3"/>
        </w:rPr>
      </w:pPr>
      <w:r w:rsidRPr="00E01CCD">
        <w:rPr>
          <w:rFonts w:ascii="Bookman Old Style" w:hAnsi="Bookman Old Style"/>
          <w:b/>
          <w:spacing w:val="-3"/>
        </w:rPr>
        <w:t>R E S U E L V E:</w:t>
      </w:r>
    </w:p>
    <w:p w:rsidR="00C051A8" w:rsidRDefault="00C051A8" w:rsidP="00AB60E9">
      <w:pPr>
        <w:ind w:left="0"/>
        <w:jc w:val="both"/>
        <w:rPr>
          <w:rFonts w:ascii="Bookman Old Style" w:hAnsi="Bookman Old Style"/>
          <w:b/>
        </w:rPr>
      </w:pPr>
    </w:p>
    <w:p w:rsidR="00A62071" w:rsidRPr="00E01CCD" w:rsidRDefault="00A62071" w:rsidP="00AB60E9">
      <w:pPr>
        <w:ind w:left="0"/>
        <w:jc w:val="both"/>
        <w:rPr>
          <w:rFonts w:ascii="Bookman Old Style" w:hAnsi="Bookman Old Style"/>
          <w:b/>
        </w:rPr>
      </w:pPr>
    </w:p>
    <w:p w:rsidR="00EA3E50" w:rsidRDefault="00C051A8" w:rsidP="009F06ED">
      <w:pPr>
        <w:ind w:left="0"/>
        <w:jc w:val="both"/>
        <w:rPr>
          <w:rFonts w:ascii="Bookman Old Style" w:hAnsi="Bookman Old Style" w:cs="Arial"/>
          <w:b/>
        </w:rPr>
      </w:pPr>
      <w:r w:rsidRPr="00E01CCD">
        <w:rPr>
          <w:rFonts w:ascii="Bookman Old Style" w:hAnsi="Bookman Old Style"/>
          <w:b/>
        </w:rPr>
        <w:t xml:space="preserve">ARTÍCULO </w:t>
      </w:r>
      <w:r w:rsidR="00A62071">
        <w:rPr>
          <w:rFonts w:ascii="Bookman Old Style" w:hAnsi="Bookman Old Style"/>
          <w:b/>
        </w:rPr>
        <w:t>1</w:t>
      </w:r>
      <w:r w:rsidRPr="00E01CCD">
        <w:rPr>
          <w:rFonts w:ascii="Bookman Old Style" w:hAnsi="Bookman Old Style"/>
          <w:b/>
        </w:rPr>
        <w:t>.</w:t>
      </w:r>
      <w:r w:rsidR="0067792A">
        <w:rPr>
          <w:rFonts w:ascii="Bookman Old Style" w:hAnsi="Bookman Old Style"/>
        </w:rPr>
        <w:t xml:space="preserve">  </w:t>
      </w:r>
      <w:r w:rsidR="006E148D">
        <w:rPr>
          <w:rFonts w:ascii="Bookman Old Style" w:hAnsi="Bookman Old Style" w:cs="Arial"/>
        </w:rPr>
        <w:t xml:space="preserve">NEGAR la solicitud de revocatoria directa solicitada por </w:t>
      </w:r>
      <w:r w:rsidR="00372803">
        <w:rPr>
          <w:rFonts w:ascii="Bookman Old Style" w:hAnsi="Bookman Old Style" w:cs="Arial"/>
        </w:rPr>
        <w:t>el Fondo Nacional de Regalías en liquidación</w:t>
      </w:r>
      <w:r w:rsidR="006E148D">
        <w:rPr>
          <w:rFonts w:ascii="Bookman Old Style" w:hAnsi="Bookman Old Style" w:cs="Arial"/>
        </w:rPr>
        <w:t>, por las r</w:t>
      </w:r>
      <w:r w:rsidR="007E12ED">
        <w:rPr>
          <w:rFonts w:ascii="Bookman Old Style" w:hAnsi="Bookman Old Style" w:cs="Arial"/>
        </w:rPr>
        <w:t>a</w:t>
      </w:r>
      <w:r w:rsidR="006E148D">
        <w:rPr>
          <w:rFonts w:ascii="Bookman Old Style" w:hAnsi="Bookman Old Style" w:cs="Arial"/>
        </w:rPr>
        <w:t>zones expuestas en la parte motiva de este proveído.</w:t>
      </w:r>
      <w:r w:rsidR="00EA3E50" w:rsidRPr="00E01CCD">
        <w:rPr>
          <w:rFonts w:ascii="Bookman Old Style" w:hAnsi="Bookman Old Style" w:cs="Arial"/>
          <w:b/>
        </w:rPr>
        <w:t xml:space="preserve"> </w:t>
      </w:r>
    </w:p>
    <w:p w:rsidR="006E148D" w:rsidRDefault="006E148D" w:rsidP="009F06ED">
      <w:pPr>
        <w:ind w:left="0"/>
        <w:jc w:val="both"/>
        <w:rPr>
          <w:rFonts w:ascii="Bookman Old Style" w:hAnsi="Bookman Old Style" w:cs="Arial"/>
          <w:b/>
        </w:rPr>
      </w:pPr>
    </w:p>
    <w:p w:rsidR="00744F71" w:rsidRDefault="006E148D" w:rsidP="009F06ED">
      <w:pPr>
        <w:ind w:left="0"/>
        <w:jc w:val="both"/>
        <w:rPr>
          <w:rFonts w:ascii="Bookman Old Style" w:hAnsi="Bookman Old Style" w:cs="Arial"/>
          <w:b/>
        </w:rPr>
      </w:pPr>
      <w:r w:rsidRPr="00E01CCD">
        <w:rPr>
          <w:rFonts w:ascii="Bookman Old Style" w:hAnsi="Bookman Old Style"/>
          <w:b/>
        </w:rPr>
        <w:t xml:space="preserve">ARTÍCULO </w:t>
      </w:r>
      <w:r w:rsidR="00A62071">
        <w:rPr>
          <w:rFonts w:ascii="Bookman Old Style" w:hAnsi="Bookman Old Style"/>
          <w:b/>
        </w:rPr>
        <w:t>2</w:t>
      </w:r>
      <w:r w:rsidRPr="00E01CCD">
        <w:rPr>
          <w:rFonts w:ascii="Bookman Old Style" w:hAnsi="Bookman Old Style"/>
          <w:b/>
        </w:rPr>
        <w:t>.</w:t>
      </w:r>
      <w:r w:rsidR="0067792A">
        <w:rPr>
          <w:rFonts w:ascii="Bookman Old Style" w:hAnsi="Bookman Old Style"/>
        </w:rPr>
        <w:t xml:space="preserve"> </w:t>
      </w:r>
      <w:r w:rsidR="00C10E52">
        <w:rPr>
          <w:rFonts w:ascii="Bookman Old Style" w:hAnsi="Bookman Old Style"/>
        </w:rPr>
        <w:t xml:space="preserve"> </w:t>
      </w:r>
      <w:r>
        <w:rPr>
          <w:rFonts w:ascii="Bookman Old Style" w:hAnsi="Bookman Old Style" w:cs="Arial"/>
        </w:rPr>
        <w:t>CONFIRMAR</w:t>
      </w:r>
      <w:r w:rsidRPr="00367DB4">
        <w:rPr>
          <w:rFonts w:ascii="Bookman Old Style" w:hAnsi="Bookman Old Style" w:cs="Arial"/>
        </w:rPr>
        <w:t xml:space="preserve"> </w:t>
      </w:r>
      <w:r>
        <w:rPr>
          <w:rFonts w:ascii="Bookman Old Style" w:hAnsi="Bookman Old Style" w:cs="Arial"/>
        </w:rPr>
        <w:t xml:space="preserve">en todas sus partes </w:t>
      </w:r>
      <w:r w:rsidRPr="00E01CCD">
        <w:rPr>
          <w:rFonts w:ascii="Bookman Old Style" w:hAnsi="Bookman Old Style" w:cs="Arial"/>
        </w:rPr>
        <w:t>la Resoluci</w:t>
      </w:r>
      <w:r w:rsidR="00976174">
        <w:rPr>
          <w:rFonts w:ascii="Bookman Old Style" w:hAnsi="Bookman Old Style" w:cs="Arial"/>
        </w:rPr>
        <w:t>ón</w:t>
      </w:r>
      <w:r w:rsidRPr="00E01CCD">
        <w:rPr>
          <w:rFonts w:ascii="Bookman Old Style" w:hAnsi="Bookman Old Style" w:cs="Arial"/>
        </w:rPr>
        <w:t xml:space="preserve"> CREG-</w:t>
      </w:r>
      <w:r w:rsidR="00FE17A4">
        <w:rPr>
          <w:rFonts w:ascii="Bookman Old Style" w:hAnsi="Bookman Old Style" w:cs="Arial"/>
        </w:rPr>
        <w:t>197</w:t>
      </w:r>
      <w:r w:rsidRPr="00E01CCD">
        <w:rPr>
          <w:rFonts w:ascii="Bookman Old Style" w:hAnsi="Bookman Old Style" w:cs="Arial"/>
        </w:rPr>
        <w:t xml:space="preserve"> del </w:t>
      </w:r>
      <w:r w:rsidR="00FE17A4">
        <w:rPr>
          <w:rFonts w:ascii="Bookman Old Style" w:hAnsi="Bookman Old Style" w:cs="Arial"/>
        </w:rPr>
        <w:t>16</w:t>
      </w:r>
      <w:r w:rsidRPr="00E01CCD">
        <w:rPr>
          <w:rFonts w:ascii="Bookman Old Style" w:hAnsi="Bookman Old Style" w:cs="Arial"/>
        </w:rPr>
        <w:t xml:space="preserve"> de </w:t>
      </w:r>
      <w:r w:rsidR="00372803">
        <w:rPr>
          <w:rFonts w:ascii="Bookman Old Style" w:hAnsi="Bookman Old Style" w:cs="Arial"/>
        </w:rPr>
        <w:t>diciembre</w:t>
      </w:r>
      <w:r w:rsidR="002C4BEC">
        <w:rPr>
          <w:rFonts w:ascii="Bookman Old Style" w:hAnsi="Bookman Old Style" w:cs="Arial"/>
        </w:rPr>
        <w:t xml:space="preserve"> de 2013</w:t>
      </w:r>
      <w:r w:rsidR="008D6B56" w:rsidRPr="00E01CCD">
        <w:rPr>
          <w:rFonts w:ascii="Bookman Old Style" w:hAnsi="Bookman Old Style" w:cs="Arial"/>
        </w:rPr>
        <w:t>.</w:t>
      </w:r>
    </w:p>
    <w:p w:rsidR="008D6B56" w:rsidRPr="008D6B56" w:rsidRDefault="008D6B56" w:rsidP="009F06ED">
      <w:pPr>
        <w:ind w:left="0"/>
        <w:jc w:val="both"/>
        <w:rPr>
          <w:rFonts w:ascii="Bookman Old Style" w:hAnsi="Bookman Old Style" w:cs="Arial"/>
          <w:b/>
        </w:rPr>
      </w:pPr>
    </w:p>
    <w:p w:rsidR="00EA3E50" w:rsidRPr="00E01CCD" w:rsidRDefault="00D465EB" w:rsidP="009F06ED">
      <w:pPr>
        <w:ind w:left="0"/>
        <w:jc w:val="both"/>
        <w:rPr>
          <w:rFonts w:ascii="Bookman Old Style" w:hAnsi="Bookman Old Style" w:cs="Arial"/>
        </w:rPr>
      </w:pPr>
      <w:r>
        <w:rPr>
          <w:rFonts w:ascii="Bookman Old Style" w:hAnsi="Bookman Old Style"/>
          <w:b/>
        </w:rPr>
        <w:t xml:space="preserve">ARTÍCULO </w:t>
      </w:r>
      <w:r w:rsidR="00A62071">
        <w:rPr>
          <w:rFonts w:ascii="Bookman Old Style" w:hAnsi="Bookman Old Style"/>
          <w:b/>
        </w:rPr>
        <w:t>3</w:t>
      </w:r>
      <w:r w:rsidR="00EA3E50" w:rsidRPr="00E01CCD">
        <w:rPr>
          <w:rFonts w:ascii="Bookman Old Style" w:hAnsi="Bookman Old Style"/>
          <w:b/>
        </w:rPr>
        <w:t>.</w:t>
      </w:r>
      <w:r w:rsidR="0067792A">
        <w:rPr>
          <w:rFonts w:ascii="Bookman Old Style" w:hAnsi="Bookman Old Style"/>
        </w:rPr>
        <w:t xml:space="preserve"> </w:t>
      </w:r>
      <w:r w:rsidR="00C10E52">
        <w:rPr>
          <w:rFonts w:ascii="Bookman Old Style" w:hAnsi="Bookman Old Style"/>
        </w:rPr>
        <w:t xml:space="preserve"> </w:t>
      </w:r>
      <w:r w:rsidR="00857B40" w:rsidRPr="00E01CCD">
        <w:rPr>
          <w:rFonts w:ascii="Bookman Old Style" w:hAnsi="Bookman Old Style" w:cs="Arial"/>
        </w:rPr>
        <w:t>NOTIFICAR</w:t>
      </w:r>
      <w:r w:rsidR="00372803">
        <w:rPr>
          <w:rFonts w:ascii="Bookman Old Style" w:hAnsi="Bookman Old Style" w:cs="Arial"/>
        </w:rPr>
        <w:t xml:space="preserve"> a la doctora María Ximena Bohórquez Ramírez en su calidad de representante del</w:t>
      </w:r>
      <w:r w:rsidR="00976174">
        <w:rPr>
          <w:rFonts w:ascii="Bookman Old Style" w:hAnsi="Bookman Old Style" w:cs="Arial"/>
        </w:rPr>
        <w:t xml:space="preserve"> </w:t>
      </w:r>
      <w:r w:rsidR="00372803">
        <w:rPr>
          <w:rFonts w:ascii="Bookman Old Style" w:hAnsi="Bookman Old Style" w:cs="Arial"/>
        </w:rPr>
        <w:t xml:space="preserve">FONDO NACIONAL DE REGALÍAS EN LIQUIDACIÓN </w:t>
      </w:r>
      <w:r w:rsidR="006E148D">
        <w:rPr>
          <w:rFonts w:ascii="Bookman Old Style" w:hAnsi="Bookman Old Style" w:cs="Arial"/>
        </w:rPr>
        <w:t xml:space="preserve">o a </w:t>
      </w:r>
      <w:r w:rsidR="00372803">
        <w:rPr>
          <w:rFonts w:ascii="Bookman Old Style" w:hAnsi="Bookman Old Style" w:cs="Arial"/>
        </w:rPr>
        <w:t xml:space="preserve">quien haga sus veces </w:t>
      </w:r>
      <w:r w:rsidR="00976174">
        <w:rPr>
          <w:rFonts w:ascii="Bookman Old Style" w:hAnsi="Bookman Old Style" w:cs="Arial"/>
        </w:rPr>
        <w:t>d</w:t>
      </w:r>
      <w:r w:rsidR="00EA3E50" w:rsidRPr="00E01CCD">
        <w:rPr>
          <w:rFonts w:ascii="Bookman Old Style" w:hAnsi="Bookman Old Style" w:cs="Arial"/>
        </w:rPr>
        <w:t xml:space="preserve">el contenido de </w:t>
      </w:r>
      <w:r w:rsidR="005A1A35">
        <w:rPr>
          <w:rFonts w:ascii="Bookman Old Style" w:hAnsi="Bookman Old Style" w:cs="Arial"/>
        </w:rPr>
        <w:t>la presente</w:t>
      </w:r>
      <w:r w:rsidR="00EA3E50" w:rsidRPr="00E01CCD">
        <w:rPr>
          <w:rFonts w:ascii="Bookman Old Style" w:hAnsi="Bookman Old Style" w:cs="Arial"/>
        </w:rPr>
        <w:t xml:space="preserve"> resolución</w:t>
      </w:r>
      <w:r w:rsidR="006E148D">
        <w:rPr>
          <w:rFonts w:ascii="Bookman Old Style" w:hAnsi="Bookman Old Style" w:cs="Arial"/>
        </w:rPr>
        <w:t xml:space="preserve">, conforme con lo establecido en los </w:t>
      </w:r>
      <w:r w:rsidR="006E148D" w:rsidRPr="00D67F03">
        <w:rPr>
          <w:rFonts w:ascii="Bookman Old Style" w:hAnsi="Bookman Old Style" w:cs="Arial"/>
        </w:rPr>
        <w:t xml:space="preserve">artículos </w:t>
      </w:r>
      <w:r w:rsidR="00742AA7" w:rsidRPr="00D67F03">
        <w:rPr>
          <w:rFonts w:ascii="Bookman Old Style" w:hAnsi="Bookman Old Style" w:cs="Arial"/>
        </w:rPr>
        <w:t>67 y 69 del C</w:t>
      </w:r>
      <w:r w:rsidR="006E148D" w:rsidRPr="00D67F03">
        <w:rPr>
          <w:rFonts w:ascii="Bookman Old Style" w:hAnsi="Bookman Old Style" w:cs="Arial"/>
        </w:rPr>
        <w:t xml:space="preserve">ódigo </w:t>
      </w:r>
      <w:r w:rsidR="00742AA7" w:rsidRPr="00D67F03">
        <w:rPr>
          <w:rFonts w:ascii="Bookman Old Style" w:hAnsi="Bookman Old Style" w:cs="Arial"/>
        </w:rPr>
        <w:t xml:space="preserve">de Procedimiento </w:t>
      </w:r>
      <w:r w:rsidR="006E148D" w:rsidRPr="00D67F03">
        <w:rPr>
          <w:rFonts w:ascii="Bookman Old Style" w:hAnsi="Bookman Old Style" w:cs="Arial"/>
        </w:rPr>
        <w:t>Administrativo</w:t>
      </w:r>
      <w:r w:rsidR="00742AA7" w:rsidRPr="00D67F03">
        <w:rPr>
          <w:rFonts w:ascii="Bookman Old Style" w:hAnsi="Bookman Old Style" w:cs="Arial"/>
        </w:rPr>
        <w:t xml:space="preserve"> y de lo Contencioso Administrativo</w:t>
      </w:r>
      <w:r w:rsidR="00EA3E50" w:rsidRPr="00D67F03">
        <w:rPr>
          <w:rFonts w:ascii="Bookman Old Style" w:hAnsi="Bookman Old Style" w:cs="Arial"/>
        </w:rPr>
        <w:t>.</w:t>
      </w:r>
      <w:r w:rsidR="00EA3E50" w:rsidRPr="00E01CCD">
        <w:rPr>
          <w:rFonts w:ascii="Bookman Old Style" w:hAnsi="Bookman Old Style" w:cs="Arial"/>
        </w:rPr>
        <w:t xml:space="preserve"> </w:t>
      </w:r>
    </w:p>
    <w:p w:rsidR="00EA3E50" w:rsidRPr="00E01CCD" w:rsidRDefault="00EA3E50" w:rsidP="009F06ED">
      <w:pPr>
        <w:ind w:left="0"/>
        <w:jc w:val="both"/>
        <w:rPr>
          <w:rFonts w:ascii="Bookman Old Style" w:hAnsi="Bookman Old Style"/>
        </w:rPr>
      </w:pPr>
    </w:p>
    <w:p w:rsidR="00EA3E50" w:rsidRPr="00E01CCD" w:rsidRDefault="00D465EB" w:rsidP="009F06ED">
      <w:pPr>
        <w:ind w:left="0"/>
        <w:jc w:val="both"/>
        <w:rPr>
          <w:rFonts w:ascii="Bookman Old Style" w:hAnsi="Bookman Old Style" w:cs="Arial"/>
        </w:rPr>
      </w:pPr>
      <w:r>
        <w:rPr>
          <w:rFonts w:ascii="Bookman Old Style" w:hAnsi="Bookman Old Style"/>
          <w:b/>
        </w:rPr>
        <w:t xml:space="preserve">ARTÍCULO </w:t>
      </w:r>
      <w:r w:rsidR="00A62071">
        <w:rPr>
          <w:rFonts w:ascii="Bookman Old Style" w:hAnsi="Bookman Old Style"/>
          <w:b/>
        </w:rPr>
        <w:t>4.</w:t>
      </w:r>
      <w:r w:rsidR="0067792A">
        <w:rPr>
          <w:rFonts w:ascii="Bookman Old Style" w:hAnsi="Bookman Old Style"/>
          <w:b/>
        </w:rPr>
        <w:t xml:space="preserve"> </w:t>
      </w:r>
      <w:r w:rsidR="001650B6">
        <w:rPr>
          <w:rFonts w:ascii="Bookman Old Style" w:hAnsi="Bookman Old Style" w:cs="Arial"/>
        </w:rPr>
        <w:t xml:space="preserve">Contra lo dispuesto en la presente resolución </w:t>
      </w:r>
      <w:r w:rsidR="00EA3E50" w:rsidRPr="00E01CCD">
        <w:rPr>
          <w:rFonts w:ascii="Bookman Old Style" w:hAnsi="Bookman Old Style" w:cs="Arial"/>
        </w:rPr>
        <w:t>no procede recurso alguno.</w:t>
      </w:r>
    </w:p>
    <w:p w:rsidR="00EA3E50" w:rsidRPr="00A62071" w:rsidRDefault="00EA3E50" w:rsidP="00EA3E50">
      <w:pPr>
        <w:ind w:left="170"/>
        <w:jc w:val="both"/>
        <w:rPr>
          <w:rFonts w:ascii="Bookman Old Style" w:hAnsi="Bookman Old Style"/>
          <w:sz w:val="20"/>
        </w:rPr>
      </w:pPr>
    </w:p>
    <w:p w:rsidR="00A62071" w:rsidRPr="00E01CCD" w:rsidRDefault="00A62071" w:rsidP="00EA3E50">
      <w:pPr>
        <w:ind w:left="170"/>
        <w:jc w:val="both"/>
        <w:rPr>
          <w:rFonts w:ascii="Bookman Old Style" w:hAnsi="Bookman Old Style"/>
        </w:rPr>
      </w:pPr>
    </w:p>
    <w:p w:rsidR="00E01CCD" w:rsidRPr="00E01CCD" w:rsidRDefault="00E01CCD" w:rsidP="00666660">
      <w:pPr>
        <w:ind w:left="0"/>
        <w:jc w:val="center"/>
        <w:rPr>
          <w:rFonts w:ascii="Bookman Old Style" w:hAnsi="Bookman Old Style" w:cs="Arial"/>
          <w:b/>
        </w:rPr>
      </w:pPr>
      <w:r w:rsidRPr="00E01CCD">
        <w:rPr>
          <w:rFonts w:ascii="Bookman Old Style" w:hAnsi="Bookman Old Style" w:cs="Arial"/>
          <w:b/>
        </w:rPr>
        <w:t>NOTIFÍQUESE Y CUMPLÁSE</w:t>
      </w:r>
    </w:p>
    <w:p w:rsidR="00A141A3" w:rsidRDefault="00A141A3" w:rsidP="009F06ED">
      <w:pPr>
        <w:ind w:left="0"/>
        <w:rPr>
          <w:rFonts w:ascii="Bookman Old Style" w:hAnsi="Bookman Old Style" w:cs="Arial"/>
        </w:rPr>
      </w:pPr>
    </w:p>
    <w:p w:rsidR="002C4BEC" w:rsidRDefault="002C4BEC" w:rsidP="009F06ED">
      <w:pPr>
        <w:ind w:left="0"/>
        <w:rPr>
          <w:rFonts w:ascii="Bookman Old Style" w:hAnsi="Bookman Old Style" w:cs="Arial"/>
        </w:rPr>
      </w:pPr>
    </w:p>
    <w:p w:rsidR="009F06ED" w:rsidRPr="00E01CCD" w:rsidRDefault="009F06ED" w:rsidP="009F06ED">
      <w:pPr>
        <w:ind w:left="0"/>
        <w:rPr>
          <w:rFonts w:ascii="Bookman Old Style" w:hAnsi="Bookman Old Style" w:cs="Arial"/>
        </w:rPr>
      </w:pPr>
      <w:r>
        <w:rPr>
          <w:rFonts w:ascii="Bookman Old Style" w:hAnsi="Bookman Old Style" w:cs="Arial"/>
        </w:rPr>
        <w:t>Dada</w:t>
      </w:r>
      <w:r w:rsidRPr="00E01CCD">
        <w:rPr>
          <w:rFonts w:ascii="Bookman Old Style" w:hAnsi="Bookman Old Style" w:cs="Arial"/>
        </w:rPr>
        <w:t xml:space="preserve"> en Bogotá D.C., </w:t>
      </w:r>
    </w:p>
    <w:p w:rsidR="00D35A8E" w:rsidRPr="00E01CCD" w:rsidRDefault="00D35A8E" w:rsidP="00666660">
      <w:pPr>
        <w:ind w:left="0"/>
        <w:jc w:val="both"/>
        <w:rPr>
          <w:rFonts w:ascii="Bookman Old Style" w:hAnsi="Bookman Old Style" w:cs="Arial"/>
          <w:color w:val="000000"/>
        </w:rPr>
      </w:pPr>
    </w:p>
    <w:p w:rsidR="00E01CCD" w:rsidRDefault="00E01CCD" w:rsidP="00E01CCD">
      <w:pPr>
        <w:ind w:left="170"/>
        <w:jc w:val="both"/>
        <w:rPr>
          <w:rFonts w:ascii="Bookman Old Style" w:hAnsi="Bookman Old Style" w:cs="Arial"/>
          <w:color w:val="000000"/>
        </w:rPr>
      </w:pPr>
    </w:p>
    <w:p w:rsidR="00317927" w:rsidRDefault="00317927" w:rsidP="00E01CCD">
      <w:pPr>
        <w:ind w:left="170"/>
        <w:jc w:val="both"/>
        <w:rPr>
          <w:rFonts w:ascii="Bookman Old Style" w:hAnsi="Bookman Old Style" w:cs="Arial"/>
          <w:color w:val="000000"/>
        </w:rPr>
      </w:pPr>
    </w:p>
    <w:p w:rsidR="00317927" w:rsidRDefault="00317927" w:rsidP="00E01CCD">
      <w:pPr>
        <w:ind w:left="170"/>
        <w:jc w:val="both"/>
        <w:rPr>
          <w:rFonts w:ascii="Bookman Old Style" w:hAnsi="Bookman Old Style" w:cs="Arial"/>
          <w:color w:val="000000"/>
        </w:rPr>
      </w:pPr>
    </w:p>
    <w:p w:rsidR="002C4BEC" w:rsidRDefault="002C4BEC" w:rsidP="00E01CCD">
      <w:pPr>
        <w:ind w:left="170"/>
        <w:jc w:val="both"/>
        <w:rPr>
          <w:rFonts w:ascii="Bookman Old Style" w:hAnsi="Bookman Old Style" w:cs="Arial"/>
          <w:color w:val="000000"/>
        </w:rPr>
      </w:pPr>
    </w:p>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8926E8" w:rsidRPr="00666660" w:rsidTr="00580311">
        <w:trPr>
          <w:jc w:val="center"/>
        </w:trPr>
        <w:tc>
          <w:tcPr>
            <w:tcW w:w="5067" w:type="dxa"/>
          </w:tcPr>
          <w:p w:rsidR="008926E8" w:rsidRDefault="0067792A" w:rsidP="008926E8">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CARLOS FERNANDO ERASO CALERO</w:t>
            </w:r>
          </w:p>
          <w:p w:rsidR="0067792A" w:rsidRPr="0067792A" w:rsidRDefault="0067792A" w:rsidP="008926E8">
            <w:pPr>
              <w:tabs>
                <w:tab w:val="left" w:pos="-720"/>
              </w:tabs>
              <w:suppressAutoHyphens/>
              <w:ind w:left="0"/>
              <w:jc w:val="center"/>
              <w:rPr>
                <w:rFonts w:ascii="Bookman Old Style" w:hAnsi="Bookman Old Style" w:cs="Arial"/>
                <w:spacing w:val="-3"/>
              </w:rPr>
            </w:pPr>
            <w:r w:rsidRPr="0067792A">
              <w:rPr>
                <w:rFonts w:ascii="Bookman Old Style" w:hAnsi="Bookman Old Style" w:cs="Arial"/>
                <w:spacing w:val="-3"/>
              </w:rPr>
              <w:t>Viceministro de Energía</w:t>
            </w:r>
          </w:p>
          <w:p w:rsidR="00666660" w:rsidRPr="00EF4ACC" w:rsidRDefault="0067792A" w:rsidP="008926E8">
            <w:pPr>
              <w:tabs>
                <w:tab w:val="left" w:pos="-720"/>
              </w:tabs>
              <w:suppressAutoHyphens/>
              <w:ind w:left="0"/>
              <w:jc w:val="center"/>
              <w:rPr>
                <w:rFonts w:ascii="Bookman Old Style" w:hAnsi="Bookman Old Style"/>
              </w:rPr>
            </w:pPr>
            <w:r>
              <w:rPr>
                <w:rFonts w:ascii="Bookman Old Style" w:hAnsi="Bookman Old Style"/>
              </w:rPr>
              <w:t>Delegado del</w:t>
            </w:r>
            <w:r w:rsidR="002C4BEC">
              <w:rPr>
                <w:rFonts w:ascii="Bookman Old Style" w:hAnsi="Bookman Old Style"/>
              </w:rPr>
              <w:t xml:space="preserve"> </w:t>
            </w:r>
            <w:r>
              <w:rPr>
                <w:rFonts w:ascii="Bookman Old Style" w:hAnsi="Bookman Old Style"/>
              </w:rPr>
              <w:t xml:space="preserve">Ministro de </w:t>
            </w:r>
            <w:r w:rsidR="00666660" w:rsidRPr="00EF4ACC">
              <w:rPr>
                <w:rFonts w:ascii="Bookman Old Style" w:hAnsi="Bookman Old Style"/>
              </w:rPr>
              <w:t>Minas y Energía</w:t>
            </w:r>
            <w:r w:rsidR="002C4BEC">
              <w:t xml:space="preserve"> </w:t>
            </w:r>
          </w:p>
          <w:p w:rsidR="00666660" w:rsidRPr="00BD0865" w:rsidRDefault="00666660" w:rsidP="008926E8">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429" w:type="dxa"/>
          </w:tcPr>
          <w:p w:rsidR="008926E8" w:rsidRPr="00666660" w:rsidRDefault="0067792A" w:rsidP="008926E8">
            <w:pPr>
              <w:tabs>
                <w:tab w:val="left" w:pos="-720"/>
              </w:tabs>
              <w:suppressAutoHyphens/>
              <w:ind w:left="0"/>
              <w:jc w:val="center"/>
              <w:rPr>
                <w:rFonts w:ascii="Bookman Old Style" w:hAnsi="Bookman Old Style" w:cs="Arial"/>
                <w:b/>
              </w:rPr>
            </w:pPr>
            <w:r>
              <w:rPr>
                <w:rFonts w:ascii="Bookman Old Style" w:hAnsi="Bookman Old Style" w:cs="Arial"/>
                <w:b/>
              </w:rPr>
              <w:t>JORGE PINTO NOLLA</w:t>
            </w:r>
          </w:p>
          <w:p w:rsidR="00666660" w:rsidRPr="00666660" w:rsidRDefault="00666660" w:rsidP="008926E8">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r w:rsidR="008926E8" w:rsidRPr="00666660" w:rsidTr="00580311">
        <w:trPr>
          <w:jc w:val="center"/>
        </w:trPr>
        <w:tc>
          <w:tcPr>
            <w:tcW w:w="5067" w:type="dxa"/>
          </w:tcPr>
          <w:p w:rsidR="008926E8" w:rsidRPr="00BD0865" w:rsidRDefault="008926E8" w:rsidP="00666660">
            <w:pPr>
              <w:tabs>
                <w:tab w:val="left" w:pos="-720"/>
              </w:tabs>
              <w:suppressAutoHyphens/>
              <w:ind w:left="0"/>
              <w:rPr>
                <w:rFonts w:ascii="Bookman Old Style" w:hAnsi="Bookman Old Style" w:cs="Arial"/>
                <w:strike/>
                <w:spacing w:val="-3"/>
              </w:rPr>
            </w:pPr>
          </w:p>
        </w:tc>
        <w:tc>
          <w:tcPr>
            <w:tcW w:w="4429" w:type="dxa"/>
          </w:tcPr>
          <w:p w:rsidR="008926E8" w:rsidRPr="00666660" w:rsidRDefault="008926E8" w:rsidP="00666660">
            <w:pPr>
              <w:tabs>
                <w:tab w:val="left" w:pos="-720"/>
              </w:tabs>
              <w:suppressAutoHyphens/>
              <w:ind w:left="0"/>
              <w:rPr>
                <w:rFonts w:ascii="Bookman Old Style" w:hAnsi="Bookman Old Style" w:cs="Arial"/>
                <w:spacing w:val="-3"/>
              </w:rPr>
            </w:pPr>
          </w:p>
        </w:tc>
      </w:tr>
      <w:tr w:rsidR="008926E8" w:rsidRPr="00666660" w:rsidTr="00580311">
        <w:trPr>
          <w:jc w:val="center"/>
        </w:trPr>
        <w:tc>
          <w:tcPr>
            <w:tcW w:w="5067" w:type="dxa"/>
          </w:tcPr>
          <w:p w:rsidR="008926E8" w:rsidRPr="00A62071" w:rsidRDefault="008926E8" w:rsidP="00C10E52">
            <w:pPr>
              <w:tabs>
                <w:tab w:val="left" w:pos="-720"/>
              </w:tabs>
              <w:suppressAutoHyphens/>
              <w:ind w:left="0"/>
              <w:rPr>
                <w:rFonts w:ascii="Bookman Old Style" w:hAnsi="Bookman Old Style" w:cs="Arial"/>
                <w:strike/>
                <w:spacing w:val="-3"/>
                <w:sz w:val="2"/>
              </w:rPr>
            </w:pPr>
          </w:p>
        </w:tc>
        <w:tc>
          <w:tcPr>
            <w:tcW w:w="4429" w:type="dxa"/>
          </w:tcPr>
          <w:p w:rsidR="008926E8" w:rsidRPr="00666660" w:rsidRDefault="008926E8" w:rsidP="008125A0">
            <w:pPr>
              <w:tabs>
                <w:tab w:val="left" w:pos="-720"/>
              </w:tabs>
              <w:suppressAutoHyphens/>
              <w:rPr>
                <w:rFonts w:ascii="Bookman Old Style" w:hAnsi="Bookman Old Style" w:cs="Arial"/>
                <w:spacing w:val="-3"/>
              </w:rPr>
            </w:pPr>
          </w:p>
        </w:tc>
      </w:tr>
    </w:tbl>
    <w:p w:rsidR="006675CD" w:rsidRPr="00666660" w:rsidRDefault="006675CD" w:rsidP="001931A7">
      <w:pPr>
        <w:pStyle w:val="Sinespaciado"/>
        <w:jc w:val="both"/>
        <w:rPr>
          <w:rFonts w:ascii="Bookman Old Style" w:hAnsi="Bookman Old Style" w:cs="Arial"/>
          <w:sz w:val="24"/>
          <w:szCs w:val="24"/>
        </w:rPr>
      </w:pPr>
    </w:p>
    <w:sectPr w:rsidR="006675CD" w:rsidRPr="00666660" w:rsidSect="0067792A">
      <w:headerReference w:type="default" r:id="rId11"/>
      <w:headerReference w:type="first" r:id="rId12"/>
      <w:type w:val="continuous"/>
      <w:pgSz w:w="12242" w:h="18722" w:code="123"/>
      <w:pgMar w:top="2341"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6BB" w:rsidRDefault="001636BB">
      <w:r>
        <w:separator/>
      </w:r>
    </w:p>
  </w:endnote>
  <w:endnote w:type="continuationSeparator" w:id="0">
    <w:p w:rsidR="001636BB" w:rsidRDefault="0016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6BB" w:rsidRDefault="001636BB">
      <w:r>
        <w:separator/>
      </w:r>
    </w:p>
  </w:footnote>
  <w:footnote w:type="continuationSeparator" w:id="0">
    <w:p w:rsidR="001636BB" w:rsidRDefault="00163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75" w:rsidRDefault="00743775" w:rsidP="00951F79">
    <w:pPr>
      <w:pStyle w:val="Ttulo1"/>
      <w:ind w:right="6"/>
      <w:jc w:val="left"/>
      <w:rPr>
        <w:rFonts w:ascii="Bookman Old Style" w:hAnsi="Bookman Old Style" w:cs="Arial"/>
        <w:b w:val="0"/>
        <w:sz w:val="22"/>
        <w:szCs w:val="22"/>
      </w:rPr>
    </w:pPr>
  </w:p>
  <w:p w:rsidR="00743775" w:rsidRPr="00951F79" w:rsidRDefault="0074377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15120">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15120" w:rsidRPr="00115120">
        <w:rPr>
          <w:rFonts w:ascii="Bookman Old Style" w:hAnsi="Bookman Old Style" w:cs="Arial"/>
          <w:b w:val="0"/>
          <w:noProof/>
          <w:sz w:val="22"/>
          <w:szCs w:val="22"/>
        </w:rPr>
        <w:t>8</w:t>
      </w:r>
    </w:fldSimple>
  </w:p>
  <w:p w:rsidR="00743775" w:rsidRDefault="00743775"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4AA615C" wp14:editId="47660B6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743775" w:rsidRDefault="00743775" w:rsidP="0067792A">
    <w:pPr>
      <w:ind w:left="227" w:right="-737"/>
      <w:rPr>
        <w:rFonts w:ascii="Bookman Old Style" w:hAnsi="Bookman Old Style"/>
      </w:rPr>
    </w:pPr>
    <w:r w:rsidRPr="00E01CCD">
      <w:rPr>
        <w:rFonts w:ascii="Bookman Old Style" w:hAnsi="Bookman Old Style"/>
      </w:rPr>
      <w:t>Por la cual se resuelve un</w:t>
    </w:r>
    <w:r>
      <w:rPr>
        <w:rFonts w:ascii="Bookman Old Style" w:hAnsi="Bookman Old Style"/>
      </w:rPr>
      <w:t>a solicitud de revocatoria directa</w:t>
    </w:r>
  </w:p>
  <w:p w:rsidR="00743775" w:rsidRPr="00E01CCD" w:rsidRDefault="00743775" w:rsidP="00544B35">
    <w:pPr>
      <w:ind w:left="0" w:right="-737"/>
      <w:jc w:val="center"/>
      <w:rPr>
        <w:rFonts w:ascii="Bookman Old Style" w:hAnsi="Bookman Old Style"/>
        <w:b/>
        <w:u w:val="single"/>
      </w:rPr>
    </w:pPr>
    <w:r>
      <w:rPr>
        <w:rFonts w:ascii="Bookman Old Style" w:hAnsi="Bookman Old Style"/>
      </w:rPr>
      <w:t>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75" w:rsidRDefault="00743775"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743775" w:rsidRDefault="00743775">
    <w:pPr>
      <w:pStyle w:val="Encabezado"/>
      <w:jc w:val="center"/>
      <w:rPr>
        <w:rFonts w:ascii="Arial" w:hAnsi="Arial" w:cs="Arial"/>
        <w:spacing w:val="20"/>
        <w:sz w:val="20"/>
      </w:rPr>
    </w:pPr>
  </w:p>
  <w:p w:rsidR="00743775" w:rsidRDefault="00743775"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1A5A6702" wp14:editId="192E878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9DA2EAA"/>
    <w:multiLevelType w:val="hybridMultilevel"/>
    <w:tmpl w:val="B96E6A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800886"/>
    <w:multiLevelType w:val="hybridMultilevel"/>
    <w:tmpl w:val="F4B0BBAC"/>
    <w:lvl w:ilvl="0" w:tplc="58F8A202">
      <w:start w:val="1"/>
      <w:numFmt w:val="decimal"/>
      <w:lvlText w:val="%1."/>
      <w:lvlJc w:val="left"/>
      <w:pPr>
        <w:ind w:left="927" w:hanging="360"/>
      </w:pPr>
      <w:rPr>
        <w:rFonts w:hint="default"/>
        <w:i w:val="0"/>
        <w:lang w:val="es-E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080CD1"/>
    <w:multiLevelType w:val="hybridMultilevel"/>
    <w:tmpl w:val="9D02D714"/>
    <w:lvl w:ilvl="0" w:tplc="6F5EC370">
      <w:start w:val="1"/>
      <w:numFmt w:val="decimal"/>
      <w:lvlText w:val="%1."/>
      <w:lvlJc w:val="left"/>
      <w:pPr>
        <w:ind w:left="1494"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
    <w:nsid w:val="1ECB046D"/>
    <w:multiLevelType w:val="hybridMultilevel"/>
    <w:tmpl w:val="10503846"/>
    <w:lvl w:ilvl="0" w:tplc="370AC91E">
      <w:start w:val="1"/>
      <w:numFmt w:val="decimal"/>
      <w:lvlText w:val="%1."/>
      <w:lvlJc w:val="left"/>
      <w:pPr>
        <w:ind w:left="927" w:hanging="360"/>
      </w:pPr>
      <w:rPr>
        <w:rFonts w:hint="default"/>
        <w:b/>
        <w:sz w:val="24"/>
        <w:szCs w:val="24"/>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nsid w:val="20174F38"/>
    <w:multiLevelType w:val="hybridMultilevel"/>
    <w:tmpl w:val="FD927CDE"/>
    <w:lvl w:ilvl="0" w:tplc="F6D297E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nsid w:val="238E4987"/>
    <w:multiLevelType w:val="hybridMultilevel"/>
    <w:tmpl w:val="F732FB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5946A54"/>
    <w:multiLevelType w:val="hybridMultilevel"/>
    <w:tmpl w:val="DCFE84FA"/>
    <w:lvl w:ilvl="0" w:tplc="6F5EC37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25D6402B"/>
    <w:multiLevelType w:val="hybridMultilevel"/>
    <w:tmpl w:val="04405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AD03279"/>
    <w:multiLevelType w:val="hybridMultilevel"/>
    <w:tmpl w:val="1F3EFD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BBE4880"/>
    <w:multiLevelType w:val="hybridMultilevel"/>
    <w:tmpl w:val="51E41D6C"/>
    <w:lvl w:ilvl="0" w:tplc="0C0A000F">
      <w:start w:val="1"/>
      <w:numFmt w:val="decimal"/>
      <w:lvlText w:val="%1."/>
      <w:lvlJc w:val="left"/>
      <w:pPr>
        <w:ind w:left="1372" w:hanging="360"/>
      </w:pPr>
    </w:lvl>
    <w:lvl w:ilvl="1" w:tplc="0C0A0019" w:tentative="1">
      <w:start w:val="1"/>
      <w:numFmt w:val="lowerLetter"/>
      <w:lvlText w:val="%2."/>
      <w:lvlJc w:val="left"/>
      <w:pPr>
        <w:ind w:left="2092" w:hanging="360"/>
      </w:pPr>
    </w:lvl>
    <w:lvl w:ilvl="2" w:tplc="0C0A001B" w:tentative="1">
      <w:start w:val="1"/>
      <w:numFmt w:val="lowerRoman"/>
      <w:lvlText w:val="%3."/>
      <w:lvlJc w:val="right"/>
      <w:pPr>
        <w:ind w:left="2812" w:hanging="180"/>
      </w:pPr>
    </w:lvl>
    <w:lvl w:ilvl="3" w:tplc="0C0A000F" w:tentative="1">
      <w:start w:val="1"/>
      <w:numFmt w:val="decimal"/>
      <w:lvlText w:val="%4."/>
      <w:lvlJc w:val="left"/>
      <w:pPr>
        <w:ind w:left="3532" w:hanging="360"/>
      </w:pPr>
    </w:lvl>
    <w:lvl w:ilvl="4" w:tplc="0C0A0019" w:tentative="1">
      <w:start w:val="1"/>
      <w:numFmt w:val="lowerLetter"/>
      <w:lvlText w:val="%5."/>
      <w:lvlJc w:val="left"/>
      <w:pPr>
        <w:ind w:left="4252" w:hanging="360"/>
      </w:pPr>
    </w:lvl>
    <w:lvl w:ilvl="5" w:tplc="0C0A001B" w:tentative="1">
      <w:start w:val="1"/>
      <w:numFmt w:val="lowerRoman"/>
      <w:lvlText w:val="%6."/>
      <w:lvlJc w:val="right"/>
      <w:pPr>
        <w:ind w:left="4972" w:hanging="180"/>
      </w:pPr>
    </w:lvl>
    <w:lvl w:ilvl="6" w:tplc="0C0A000F" w:tentative="1">
      <w:start w:val="1"/>
      <w:numFmt w:val="decimal"/>
      <w:lvlText w:val="%7."/>
      <w:lvlJc w:val="left"/>
      <w:pPr>
        <w:ind w:left="5692" w:hanging="360"/>
      </w:pPr>
    </w:lvl>
    <w:lvl w:ilvl="7" w:tplc="0C0A0019" w:tentative="1">
      <w:start w:val="1"/>
      <w:numFmt w:val="lowerLetter"/>
      <w:lvlText w:val="%8."/>
      <w:lvlJc w:val="left"/>
      <w:pPr>
        <w:ind w:left="6412" w:hanging="360"/>
      </w:pPr>
    </w:lvl>
    <w:lvl w:ilvl="8" w:tplc="0C0A001B" w:tentative="1">
      <w:start w:val="1"/>
      <w:numFmt w:val="lowerRoman"/>
      <w:lvlText w:val="%9."/>
      <w:lvlJc w:val="right"/>
      <w:pPr>
        <w:ind w:left="7132" w:hanging="180"/>
      </w:pPr>
    </w:lvl>
  </w:abstractNum>
  <w:abstractNum w:abstractNumId="14">
    <w:nsid w:val="334648DF"/>
    <w:multiLevelType w:val="multilevel"/>
    <w:tmpl w:val="5C06BA9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33C5586D"/>
    <w:multiLevelType w:val="hybridMultilevel"/>
    <w:tmpl w:val="6A3A9B8C"/>
    <w:lvl w:ilvl="0" w:tplc="EA78C2CA">
      <w:start w:val="1"/>
      <w:numFmt w:val="lowerLetter"/>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C121C7"/>
    <w:multiLevelType w:val="multilevel"/>
    <w:tmpl w:val="733AE930"/>
    <w:lvl w:ilvl="0">
      <w:start w:val="1"/>
      <w:numFmt w:val="decimal"/>
      <w:lvlText w:val="%1."/>
      <w:lvlJc w:val="left"/>
      <w:pPr>
        <w:ind w:left="652" w:hanging="360"/>
      </w:pPr>
      <w:rPr>
        <w:rFonts w:hint="default"/>
        <w:sz w:val="24"/>
        <w:szCs w:val="24"/>
      </w:rPr>
    </w:lvl>
    <w:lvl w:ilvl="1">
      <w:start w:val="1"/>
      <w:numFmt w:val="decimal"/>
      <w:isLgl/>
      <w:lvlText w:val="%1.%2."/>
      <w:lvlJc w:val="left"/>
      <w:pPr>
        <w:ind w:left="1428" w:hanging="72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620" w:hanging="1080"/>
      </w:pPr>
      <w:rPr>
        <w:rFonts w:hint="default"/>
      </w:rPr>
    </w:lvl>
    <w:lvl w:ilvl="4">
      <w:start w:val="1"/>
      <w:numFmt w:val="decimal"/>
      <w:isLgl/>
      <w:lvlText w:val="%1.%2.%3.%4.%5."/>
      <w:lvlJc w:val="left"/>
      <w:pPr>
        <w:ind w:left="3396" w:hanging="1440"/>
      </w:pPr>
      <w:rPr>
        <w:rFonts w:hint="default"/>
      </w:rPr>
    </w:lvl>
    <w:lvl w:ilvl="5">
      <w:start w:val="1"/>
      <w:numFmt w:val="decimal"/>
      <w:isLgl/>
      <w:lvlText w:val="%1.%2.%3.%4.%5.%6."/>
      <w:lvlJc w:val="left"/>
      <w:pPr>
        <w:ind w:left="3812" w:hanging="1440"/>
      </w:pPr>
      <w:rPr>
        <w:rFonts w:hint="default"/>
      </w:rPr>
    </w:lvl>
    <w:lvl w:ilvl="6">
      <w:start w:val="1"/>
      <w:numFmt w:val="decimal"/>
      <w:isLgl/>
      <w:lvlText w:val="%1.%2.%3.%4.%5.%6.%7."/>
      <w:lvlJc w:val="left"/>
      <w:pPr>
        <w:ind w:left="4588" w:hanging="1800"/>
      </w:pPr>
      <w:rPr>
        <w:rFonts w:hint="default"/>
      </w:rPr>
    </w:lvl>
    <w:lvl w:ilvl="7">
      <w:start w:val="1"/>
      <w:numFmt w:val="decimal"/>
      <w:isLgl/>
      <w:lvlText w:val="%1.%2.%3.%4.%5.%6.%7.%8."/>
      <w:lvlJc w:val="left"/>
      <w:pPr>
        <w:ind w:left="5364" w:hanging="2160"/>
      </w:pPr>
      <w:rPr>
        <w:rFonts w:hint="default"/>
      </w:rPr>
    </w:lvl>
    <w:lvl w:ilvl="8">
      <w:start w:val="1"/>
      <w:numFmt w:val="decimal"/>
      <w:isLgl/>
      <w:lvlText w:val="%1.%2.%3.%4.%5.%6.%7.%8.%9."/>
      <w:lvlJc w:val="left"/>
      <w:pPr>
        <w:ind w:left="5780" w:hanging="2160"/>
      </w:pPr>
      <w:rPr>
        <w:rFonts w:hint="default"/>
      </w:rPr>
    </w:lvl>
  </w:abstractNum>
  <w:abstractNum w:abstractNumId="18">
    <w:nsid w:val="45341089"/>
    <w:multiLevelType w:val="hybridMultilevel"/>
    <w:tmpl w:val="64B00ADA"/>
    <w:lvl w:ilvl="0" w:tplc="7902B9F4">
      <w:start w:val="3"/>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9">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2CA4C5F"/>
    <w:multiLevelType w:val="hybridMultilevel"/>
    <w:tmpl w:val="5E6E149A"/>
    <w:lvl w:ilvl="0" w:tplc="ED58D26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2">
    <w:nsid w:val="577D298F"/>
    <w:multiLevelType w:val="hybridMultilevel"/>
    <w:tmpl w:val="2F787B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8DE02A5"/>
    <w:multiLevelType w:val="hybridMultilevel"/>
    <w:tmpl w:val="2C725904"/>
    <w:lvl w:ilvl="0" w:tplc="6F5EC37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D054625"/>
    <w:multiLevelType w:val="multilevel"/>
    <w:tmpl w:val="C5061572"/>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6">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615660A3"/>
    <w:multiLevelType w:val="hybridMultilevel"/>
    <w:tmpl w:val="FD927CDE"/>
    <w:lvl w:ilvl="0" w:tplc="F6D297E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8">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65041ED9"/>
    <w:multiLevelType w:val="hybridMultilevel"/>
    <w:tmpl w:val="B9905B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D104B10"/>
    <w:multiLevelType w:val="hybridMultilevel"/>
    <w:tmpl w:val="4192D152"/>
    <w:lvl w:ilvl="0" w:tplc="29D66D7A">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1">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FC3654E"/>
    <w:multiLevelType w:val="multilevel"/>
    <w:tmpl w:val="C5061572"/>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3">
    <w:nsid w:val="6FC93BC8"/>
    <w:multiLevelType w:val="hybridMultilevel"/>
    <w:tmpl w:val="C5061572"/>
    <w:lvl w:ilvl="0" w:tplc="67E8B622">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4">
    <w:nsid w:val="75517296"/>
    <w:multiLevelType w:val="hybridMultilevel"/>
    <w:tmpl w:val="8C38AAAE"/>
    <w:lvl w:ilvl="0" w:tplc="2F620A1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5"/>
  </w:num>
  <w:num w:numId="4">
    <w:abstractNumId w:val="9"/>
  </w:num>
  <w:num w:numId="5">
    <w:abstractNumId w:val="24"/>
  </w:num>
  <w:num w:numId="6">
    <w:abstractNumId w:val="1"/>
  </w:num>
  <w:num w:numId="7">
    <w:abstractNumId w:val="0"/>
  </w:num>
  <w:num w:numId="8">
    <w:abstractNumId w:val="28"/>
  </w:num>
  <w:num w:numId="9">
    <w:abstractNumId w:val="26"/>
  </w:num>
  <w:num w:numId="10">
    <w:abstractNumId w:val="20"/>
  </w:num>
  <w:num w:numId="11">
    <w:abstractNumId w:val="36"/>
  </w:num>
  <w:num w:numId="12">
    <w:abstractNumId w:val="31"/>
  </w:num>
  <w:num w:numId="13">
    <w:abstractNumId w:val="16"/>
  </w:num>
  <w:num w:numId="14">
    <w:abstractNumId w:val="27"/>
  </w:num>
  <w:num w:numId="15">
    <w:abstractNumId w:val="2"/>
  </w:num>
  <w:num w:numId="16">
    <w:abstractNumId w:val="7"/>
  </w:num>
  <w:num w:numId="17">
    <w:abstractNumId w:val="18"/>
  </w:num>
  <w:num w:numId="18">
    <w:abstractNumId w:val="17"/>
  </w:num>
  <w:num w:numId="19">
    <w:abstractNumId w:val="13"/>
  </w:num>
  <w:num w:numId="20">
    <w:abstractNumId w:val="23"/>
  </w:num>
  <w:num w:numId="21">
    <w:abstractNumId w:val="5"/>
  </w:num>
  <w:num w:numId="22">
    <w:abstractNumId w:val="10"/>
  </w:num>
  <w:num w:numId="23">
    <w:abstractNumId w:val="3"/>
  </w:num>
  <w:num w:numId="24">
    <w:abstractNumId w:val="21"/>
  </w:num>
  <w:num w:numId="25">
    <w:abstractNumId w:val="14"/>
  </w:num>
  <w:num w:numId="26">
    <w:abstractNumId w:val="30"/>
  </w:num>
  <w:num w:numId="27">
    <w:abstractNumId w:val="6"/>
  </w:num>
  <w:num w:numId="28">
    <w:abstractNumId w:val="15"/>
  </w:num>
  <w:num w:numId="29">
    <w:abstractNumId w:val="8"/>
  </w:num>
  <w:num w:numId="30">
    <w:abstractNumId w:val="34"/>
  </w:num>
  <w:num w:numId="31">
    <w:abstractNumId w:val="33"/>
  </w:num>
  <w:num w:numId="32">
    <w:abstractNumId w:val="25"/>
  </w:num>
  <w:num w:numId="33">
    <w:abstractNumId w:val="32"/>
  </w:num>
  <w:num w:numId="34">
    <w:abstractNumId w:val="29"/>
  </w:num>
  <w:num w:numId="35">
    <w:abstractNumId w:val="12"/>
  </w:num>
  <w:num w:numId="36">
    <w:abstractNumId w:val="1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732"/>
    <w:rsid w:val="00025383"/>
    <w:rsid w:val="00035BB1"/>
    <w:rsid w:val="00047CF3"/>
    <w:rsid w:val="00063657"/>
    <w:rsid w:val="00067459"/>
    <w:rsid w:val="00072D7B"/>
    <w:rsid w:val="00076680"/>
    <w:rsid w:val="0008073E"/>
    <w:rsid w:val="00091CDB"/>
    <w:rsid w:val="000A19AC"/>
    <w:rsid w:val="000A212F"/>
    <w:rsid w:val="000B493B"/>
    <w:rsid w:val="000B7F56"/>
    <w:rsid w:val="000D26F8"/>
    <w:rsid w:val="000D3398"/>
    <w:rsid w:val="000E39B2"/>
    <w:rsid w:val="000F0166"/>
    <w:rsid w:val="000F0697"/>
    <w:rsid w:val="000F29BD"/>
    <w:rsid w:val="00101B84"/>
    <w:rsid w:val="00102223"/>
    <w:rsid w:val="00105E08"/>
    <w:rsid w:val="00112148"/>
    <w:rsid w:val="00112FE2"/>
    <w:rsid w:val="00115120"/>
    <w:rsid w:val="00116568"/>
    <w:rsid w:val="00122832"/>
    <w:rsid w:val="001312C8"/>
    <w:rsid w:val="001405C6"/>
    <w:rsid w:val="00141013"/>
    <w:rsid w:val="0016305C"/>
    <w:rsid w:val="001636BB"/>
    <w:rsid w:val="001650B6"/>
    <w:rsid w:val="00170F4A"/>
    <w:rsid w:val="00176FF6"/>
    <w:rsid w:val="00183E67"/>
    <w:rsid w:val="00184518"/>
    <w:rsid w:val="00192CBF"/>
    <w:rsid w:val="00192FF1"/>
    <w:rsid w:val="001931A7"/>
    <w:rsid w:val="001A5F1B"/>
    <w:rsid w:val="001B1C22"/>
    <w:rsid w:val="001B34C6"/>
    <w:rsid w:val="001B5C69"/>
    <w:rsid w:val="001D7832"/>
    <w:rsid w:val="001E598D"/>
    <w:rsid w:val="001E5994"/>
    <w:rsid w:val="001F1816"/>
    <w:rsid w:val="001F60F0"/>
    <w:rsid w:val="00211D34"/>
    <w:rsid w:val="00213EB7"/>
    <w:rsid w:val="0021489B"/>
    <w:rsid w:val="00214F04"/>
    <w:rsid w:val="00225CE3"/>
    <w:rsid w:val="00231470"/>
    <w:rsid w:val="00232339"/>
    <w:rsid w:val="002341B4"/>
    <w:rsid w:val="00250833"/>
    <w:rsid w:val="00260999"/>
    <w:rsid w:val="00261E48"/>
    <w:rsid w:val="00264396"/>
    <w:rsid w:val="00266CD6"/>
    <w:rsid w:val="00266E4E"/>
    <w:rsid w:val="002673FF"/>
    <w:rsid w:val="0027137A"/>
    <w:rsid w:val="00271444"/>
    <w:rsid w:val="002841E5"/>
    <w:rsid w:val="002938FC"/>
    <w:rsid w:val="002942B7"/>
    <w:rsid w:val="00297056"/>
    <w:rsid w:val="002A6600"/>
    <w:rsid w:val="002B11E2"/>
    <w:rsid w:val="002B24B8"/>
    <w:rsid w:val="002C0438"/>
    <w:rsid w:val="002C4BEC"/>
    <w:rsid w:val="002C60AD"/>
    <w:rsid w:val="002C6320"/>
    <w:rsid w:val="002D201C"/>
    <w:rsid w:val="002D3AE9"/>
    <w:rsid w:val="002D792A"/>
    <w:rsid w:val="002E2813"/>
    <w:rsid w:val="002F0734"/>
    <w:rsid w:val="002F46E7"/>
    <w:rsid w:val="0030461F"/>
    <w:rsid w:val="003101DA"/>
    <w:rsid w:val="00314757"/>
    <w:rsid w:val="00317927"/>
    <w:rsid w:val="003211CE"/>
    <w:rsid w:val="00333C57"/>
    <w:rsid w:val="00336497"/>
    <w:rsid w:val="003402CA"/>
    <w:rsid w:val="0036394B"/>
    <w:rsid w:val="00367216"/>
    <w:rsid w:val="00367DB4"/>
    <w:rsid w:val="003709B5"/>
    <w:rsid w:val="00372803"/>
    <w:rsid w:val="003759C2"/>
    <w:rsid w:val="00376C43"/>
    <w:rsid w:val="00376DD6"/>
    <w:rsid w:val="00383F99"/>
    <w:rsid w:val="003875E8"/>
    <w:rsid w:val="00390EE5"/>
    <w:rsid w:val="003927BA"/>
    <w:rsid w:val="00397365"/>
    <w:rsid w:val="003A31F6"/>
    <w:rsid w:val="003C3447"/>
    <w:rsid w:val="003D076C"/>
    <w:rsid w:val="003D07FE"/>
    <w:rsid w:val="003D2D6F"/>
    <w:rsid w:val="003F6E72"/>
    <w:rsid w:val="00402485"/>
    <w:rsid w:val="00415821"/>
    <w:rsid w:val="00415BAB"/>
    <w:rsid w:val="00415ED2"/>
    <w:rsid w:val="00421FF7"/>
    <w:rsid w:val="00426613"/>
    <w:rsid w:val="0047122B"/>
    <w:rsid w:val="00472348"/>
    <w:rsid w:val="00473B7A"/>
    <w:rsid w:val="004A2E88"/>
    <w:rsid w:val="004A5305"/>
    <w:rsid w:val="004D7634"/>
    <w:rsid w:val="004E374E"/>
    <w:rsid w:val="004F3BBE"/>
    <w:rsid w:val="004F6167"/>
    <w:rsid w:val="004F7030"/>
    <w:rsid w:val="00502F18"/>
    <w:rsid w:val="005300D3"/>
    <w:rsid w:val="00535C5B"/>
    <w:rsid w:val="00542E64"/>
    <w:rsid w:val="00544B35"/>
    <w:rsid w:val="00544F82"/>
    <w:rsid w:val="00556575"/>
    <w:rsid w:val="005577DA"/>
    <w:rsid w:val="00580311"/>
    <w:rsid w:val="00593C4F"/>
    <w:rsid w:val="005946A8"/>
    <w:rsid w:val="005A1A35"/>
    <w:rsid w:val="005A39B0"/>
    <w:rsid w:val="005A4407"/>
    <w:rsid w:val="005A59EF"/>
    <w:rsid w:val="005A62C3"/>
    <w:rsid w:val="005D1673"/>
    <w:rsid w:val="005D3CF7"/>
    <w:rsid w:val="00600648"/>
    <w:rsid w:val="0061439A"/>
    <w:rsid w:val="00615180"/>
    <w:rsid w:val="00625DC6"/>
    <w:rsid w:val="00643ACF"/>
    <w:rsid w:val="00651821"/>
    <w:rsid w:val="00651F35"/>
    <w:rsid w:val="006528D7"/>
    <w:rsid w:val="00654384"/>
    <w:rsid w:val="00654E26"/>
    <w:rsid w:val="00666660"/>
    <w:rsid w:val="006675CD"/>
    <w:rsid w:val="0067792A"/>
    <w:rsid w:val="006806D2"/>
    <w:rsid w:val="00684AB1"/>
    <w:rsid w:val="00684D9B"/>
    <w:rsid w:val="00697556"/>
    <w:rsid w:val="00697883"/>
    <w:rsid w:val="006B4C2B"/>
    <w:rsid w:val="006B6D47"/>
    <w:rsid w:val="006C0CB6"/>
    <w:rsid w:val="006C2B1C"/>
    <w:rsid w:val="006C58C5"/>
    <w:rsid w:val="006D0C6A"/>
    <w:rsid w:val="006D40EF"/>
    <w:rsid w:val="006E0613"/>
    <w:rsid w:val="006E148D"/>
    <w:rsid w:val="006E31D5"/>
    <w:rsid w:val="006F28C9"/>
    <w:rsid w:val="006F6D95"/>
    <w:rsid w:val="006F6F6F"/>
    <w:rsid w:val="00706F13"/>
    <w:rsid w:val="007072E8"/>
    <w:rsid w:val="00707FE1"/>
    <w:rsid w:val="0071618D"/>
    <w:rsid w:val="00725FA4"/>
    <w:rsid w:val="00730962"/>
    <w:rsid w:val="00740446"/>
    <w:rsid w:val="00742AA7"/>
    <w:rsid w:val="00743775"/>
    <w:rsid w:val="007438A9"/>
    <w:rsid w:val="00743DCC"/>
    <w:rsid w:val="0074491E"/>
    <w:rsid w:val="00744F71"/>
    <w:rsid w:val="00747918"/>
    <w:rsid w:val="0076078C"/>
    <w:rsid w:val="0076368A"/>
    <w:rsid w:val="00775964"/>
    <w:rsid w:val="00780612"/>
    <w:rsid w:val="00792C3E"/>
    <w:rsid w:val="00795BFB"/>
    <w:rsid w:val="007A2752"/>
    <w:rsid w:val="007B2760"/>
    <w:rsid w:val="007C6921"/>
    <w:rsid w:val="007D0E9D"/>
    <w:rsid w:val="007D38D4"/>
    <w:rsid w:val="007D663C"/>
    <w:rsid w:val="007E12ED"/>
    <w:rsid w:val="007E6E79"/>
    <w:rsid w:val="007F208F"/>
    <w:rsid w:val="007F56CC"/>
    <w:rsid w:val="00806132"/>
    <w:rsid w:val="00806C01"/>
    <w:rsid w:val="008072FD"/>
    <w:rsid w:val="008125A0"/>
    <w:rsid w:val="008148CC"/>
    <w:rsid w:val="008149C1"/>
    <w:rsid w:val="00815D64"/>
    <w:rsid w:val="00816D65"/>
    <w:rsid w:val="008211A4"/>
    <w:rsid w:val="00836B10"/>
    <w:rsid w:val="0084206C"/>
    <w:rsid w:val="00857B40"/>
    <w:rsid w:val="008624BA"/>
    <w:rsid w:val="00867F76"/>
    <w:rsid w:val="00870B61"/>
    <w:rsid w:val="00873150"/>
    <w:rsid w:val="0087657D"/>
    <w:rsid w:val="008807D5"/>
    <w:rsid w:val="00880832"/>
    <w:rsid w:val="00886EE1"/>
    <w:rsid w:val="008870A5"/>
    <w:rsid w:val="0088727D"/>
    <w:rsid w:val="008926E8"/>
    <w:rsid w:val="00896872"/>
    <w:rsid w:val="008972E9"/>
    <w:rsid w:val="00897C75"/>
    <w:rsid w:val="008D18E6"/>
    <w:rsid w:val="008D6B56"/>
    <w:rsid w:val="008D7A9B"/>
    <w:rsid w:val="008E3677"/>
    <w:rsid w:val="008E50CE"/>
    <w:rsid w:val="008F21F6"/>
    <w:rsid w:val="008F3FAC"/>
    <w:rsid w:val="008F6BBD"/>
    <w:rsid w:val="00901165"/>
    <w:rsid w:val="00912DE0"/>
    <w:rsid w:val="00923048"/>
    <w:rsid w:val="00924DA6"/>
    <w:rsid w:val="00951F79"/>
    <w:rsid w:val="00974AB5"/>
    <w:rsid w:val="00976174"/>
    <w:rsid w:val="00984D29"/>
    <w:rsid w:val="00985655"/>
    <w:rsid w:val="0098706D"/>
    <w:rsid w:val="009935FB"/>
    <w:rsid w:val="009C166F"/>
    <w:rsid w:val="009E7D72"/>
    <w:rsid w:val="009F06ED"/>
    <w:rsid w:val="009F1B34"/>
    <w:rsid w:val="009F4A54"/>
    <w:rsid w:val="009F4BEC"/>
    <w:rsid w:val="00A01318"/>
    <w:rsid w:val="00A1283F"/>
    <w:rsid w:val="00A141A3"/>
    <w:rsid w:val="00A25FD7"/>
    <w:rsid w:val="00A43AFF"/>
    <w:rsid w:val="00A45AA8"/>
    <w:rsid w:val="00A51611"/>
    <w:rsid w:val="00A564E1"/>
    <w:rsid w:val="00A60239"/>
    <w:rsid w:val="00A62071"/>
    <w:rsid w:val="00A7793A"/>
    <w:rsid w:val="00A81473"/>
    <w:rsid w:val="00A8512C"/>
    <w:rsid w:val="00A87045"/>
    <w:rsid w:val="00AB4A68"/>
    <w:rsid w:val="00AB60E9"/>
    <w:rsid w:val="00AB7A9B"/>
    <w:rsid w:val="00AC019B"/>
    <w:rsid w:val="00AD01E4"/>
    <w:rsid w:val="00AD0858"/>
    <w:rsid w:val="00AE0874"/>
    <w:rsid w:val="00AE0F6A"/>
    <w:rsid w:val="00AE7340"/>
    <w:rsid w:val="00AF1BBD"/>
    <w:rsid w:val="00AF1E60"/>
    <w:rsid w:val="00B0267C"/>
    <w:rsid w:val="00B10207"/>
    <w:rsid w:val="00B141E7"/>
    <w:rsid w:val="00B15064"/>
    <w:rsid w:val="00B17CCD"/>
    <w:rsid w:val="00B24D51"/>
    <w:rsid w:val="00B4129A"/>
    <w:rsid w:val="00B41733"/>
    <w:rsid w:val="00B4232B"/>
    <w:rsid w:val="00B46BCA"/>
    <w:rsid w:val="00B51DD2"/>
    <w:rsid w:val="00B52B81"/>
    <w:rsid w:val="00B52F00"/>
    <w:rsid w:val="00B85B66"/>
    <w:rsid w:val="00B87806"/>
    <w:rsid w:val="00B87EC9"/>
    <w:rsid w:val="00B95917"/>
    <w:rsid w:val="00B97204"/>
    <w:rsid w:val="00BA2355"/>
    <w:rsid w:val="00BA52C3"/>
    <w:rsid w:val="00BC0FC3"/>
    <w:rsid w:val="00BC1ACE"/>
    <w:rsid w:val="00BC38FD"/>
    <w:rsid w:val="00BD0865"/>
    <w:rsid w:val="00BD49E6"/>
    <w:rsid w:val="00BD53C4"/>
    <w:rsid w:val="00BF73C3"/>
    <w:rsid w:val="00C034CB"/>
    <w:rsid w:val="00C051A8"/>
    <w:rsid w:val="00C054BC"/>
    <w:rsid w:val="00C10E52"/>
    <w:rsid w:val="00C136C0"/>
    <w:rsid w:val="00C152EA"/>
    <w:rsid w:val="00C15508"/>
    <w:rsid w:val="00C17897"/>
    <w:rsid w:val="00C20F51"/>
    <w:rsid w:val="00C21028"/>
    <w:rsid w:val="00C22EE4"/>
    <w:rsid w:val="00C3793B"/>
    <w:rsid w:val="00C37D12"/>
    <w:rsid w:val="00C409D5"/>
    <w:rsid w:val="00C47FD4"/>
    <w:rsid w:val="00C575FE"/>
    <w:rsid w:val="00C6234B"/>
    <w:rsid w:val="00C63EAE"/>
    <w:rsid w:val="00C64532"/>
    <w:rsid w:val="00C64CCE"/>
    <w:rsid w:val="00C6562F"/>
    <w:rsid w:val="00C7629F"/>
    <w:rsid w:val="00C80CD8"/>
    <w:rsid w:val="00C8661B"/>
    <w:rsid w:val="00C86F88"/>
    <w:rsid w:val="00CA139A"/>
    <w:rsid w:val="00CA2899"/>
    <w:rsid w:val="00CA6DB4"/>
    <w:rsid w:val="00CA77FB"/>
    <w:rsid w:val="00CB1A7F"/>
    <w:rsid w:val="00CB379B"/>
    <w:rsid w:val="00CB5DD0"/>
    <w:rsid w:val="00CB7B88"/>
    <w:rsid w:val="00CC51D4"/>
    <w:rsid w:val="00CC65DA"/>
    <w:rsid w:val="00CD57FC"/>
    <w:rsid w:val="00CD66DA"/>
    <w:rsid w:val="00CE3EA2"/>
    <w:rsid w:val="00CF21B9"/>
    <w:rsid w:val="00CF6BF9"/>
    <w:rsid w:val="00D03800"/>
    <w:rsid w:val="00D065D3"/>
    <w:rsid w:val="00D074E2"/>
    <w:rsid w:val="00D11839"/>
    <w:rsid w:val="00D14C94"/>
    <w:rsid w:val="00D16489"/>
    <w:rsid w:val="00D24EB6"/>
    <w:rsid w:val="00D27AE0"/>
    <w:rsid w:val="00D33230"/>
    <w:rsid w:val="00D342A6"/>
    <w:rsid w:val="00D35A8E"/>
    <w:rsid w:val="00D36136"/>
    <w:rsid w:val="00D44E05"/>
    <w:rsid w:val="00D45E8F"/>
    <w:rsid w:val="00D464BF"/>
    <w:rsid w:val="00D465EB"/>
    <w:rsid w:val="00D53E26"/>
    <w:rsid w:val="00D54C52"/>
    <w:rsid w:val="00D570CC"/>
    <w:rsid w:val="00D57BC7"/>
    <w:rsid w:val="00D655DF"/>
    <w:rsid w:val="00D65915"/>
    <w:rsid w:val="00D67F03"/>
    <w:rsid w:val="00D77BD3"/>
    <w:rsid w:val="00D82961"/>
    <w:rsid w:val="00D9012B"/>
    <w:rsid w:val="00D907A5"/>
    <w:rsid w:val="00D94B9F"/>
    <w:rsid w:val="00D97946"/>
    <w:rsid w:val="00DA0AF4"/>
    <w:rsid w:val="00DB1B48"/>
    <w:rsid w:val="00DD4F0E"/>
    <w:rsid w:val="00DD585D"/>
    <w:rsid w:val="00E01CCD"/>
    <w:rsid w:val="00E02177"/>
    <w:rsid w:val="00E04C2F"/>
    <w:rsid w:val="00E05E0A"/>
    <w:rsid w:val="00E21757"/>
    <w:rsid w:val="00E3029C"/>
    <w:rsid w:val="00E37E89"/>
    <w:rsid w:val="00E51197"/>
    <w:rsid w:val="00E534CF"/>
    <w:rsid w:val="00E721DD"/>
    <w:rsid w:val="00E74166"/>
    <w:rsid w:val="00E81CB4"/>
    <w:rsid w:val="00E8585B"/>
    <w:rsid w:val="00EA2B33"/>
    <w:rsid w:val="00EA3E50"/>
    <w:rsid w:val="00EA3F15"/>
    <w:rsid w:val="00EA7847"/>
    <w:rsid w:val="00EB252F"/>
    <w:rsid w:val="00EC1CCE"/>
    <w:rsid w:val="00EE0C78"/>
    <w:rsid w:val="00EE2E6E"/>
    <w:rsid w:val="00EF4ACC"/>
    <w:rsid w:val="00F00A8A"/>
    <w:rsid w:val="00F044D1"/>
    <w:rsid w:val="00F0759E"/>
    <w:rsid w:val="00F228EA"/>
    <w:rsid w:val="00F2710F"/>
    <w:rsid w:val="00F32029"/>
    <w:rsid w:val="00F326C7"/>
    <w:rsid w:val="00F366BB"/>
    <w:rsid w:val="00F40370"/>
    <w:rsid w:val="00F42707"/>
    <w:rsid w:val="00F451AC"/>
    <w:rsid w:val="00F5251D"/>
    <w:rsid w:val="00F73A0D"/>
    <w:rsid w:val="00F821A3"/>
    <w:rsid w:val="00F91500"/>
    <w:rsid w:val="00F9205F"/>
    <w:rsid w:val="00F9314A"/>
    <w:rsid w:val="00F9431F"/>
    <w:rsid w:val="00F96177"/>
    <w:rsid w:val="00F972B8"/>
    <w:rsid w:val="00FA68CB"/>
    <w:rsid w:val="00FB7435"/>
    <w:rsid w:val="00FC58EF"/>
    <w:rsid w:val="00FC6ED9"/>
    <w:rsid w:val="00FD33DF"/>
    <w:rsid w:val="00FD4F53"/>
    <w:rsid w:val="00FE17A4"/>
    <w:rsid w:val="00FE39D7"/>
    <w:rsid w:val="00FF6C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rojas\Escritorio\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81805-E74F-497E-9CB1-2610D223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2847</Words>
  <Characters>15664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2014-11-12T20:27:00Z</cp:lastPrinted>
  <dcterms:created xsi:type="dcterms:W3CDTF">2014-12-18T13:35:00Z</dcterms:created>
  <dcterms:modified xsi:type="dcterms:W3CDTF">2014-12-18T13:35:00Z</dcterms:modified>
</cp:coreProperties>
</file>