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55" w:rsidRPr="003301B8" w:rsidRDefault="003F2764" w:rsidP="004F0355">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9264" fillcolor="#0c9">
            <v:imagedata r:id="rId8" o:title=""/>
          </v:shape>
          <o:OLEObject Type="Embed" ProgID="PBrush" ShapeID="_x0000_s1026" DrawAspect="Content" ObjectID="_1576571737" r:id="rId9"/>
        </w:object>
      </w:r>
    </w:p>
    <w:p w:rsidR="004F0355" w:rsidRPr="003301B8" w:rsidRDefault="004F0355" w:rsidP="004F0355">
      <w:pPr>
        <w:pStyle w:val="Ttulo4"/>
        <w:tabs>
          <w:tab w:val="left" w:pos="0"/>
          <w:tab w:val="right" w:pos="9356"/>
        </w:tabs>
        <w:ind w:left="0"/>
        <w:rPr>
          <w:rFonts w:ascii="Bookman Old Style" w:hAnsi="Bookman Old Style"/>
          <w:b w:val="0"/>
          <w:bCs/>
          <w:sz w:val="24"/>
          <w:szCs w:val="24"/>
        </w:rPr>
      </w:pPr>
    </w:p>
    <w:p w:rsidR="004F0355" w:rsidRPr="003301B8" w:rsidRDefault="004F0355" w:rsidP="004F0355">
      <w:pPr>
        <w:pStyle w:val="Ttulo4"/>
        <w:tabs>
          <w:tab w:val="left" w:pos="0"/>
          <w:tab w:val="right" w:pos="9356"/>
        </w:tabs>
        <w:ind w:left="0"/>
        <w:rPr>
          <w:rFonts w:ascii="Bookman Old Style" w:hAnsi="Bookman Old Style"/>
          <w:b w:val="0"/>
          <w:bCs/>
          <w:noProof/>
          <w:sz w:val="24"/>
          <w:szCs w:val="24"/>
          <w:lang w:val="es-ES"/>
        </w:rPr>
      </w:pPr>
      <w:r w:rsidRPr="003301B8">
        <w:rPr>
          <w:rFonts w:ascii="Bookman Old Style" w:hAnsi="Bookman Old Style"/>
          <w:b w:val="0"/>
          <w:bCs/>
          <w:sz w:val="24"/>
          <w:szCs w:val="24"/>
        </w:rPr>
        <w:t>Ministerio de Minas y Energía</w:t>
      </w:r>
    </w:p>
    <w:p w:rsidR="004F0355" w:rsidRPr="003301B8" w:rsidRDefault="004F0355" w:rsidP="004F0355">
      <w:pPr>
        <w:pStyle w:val="Ttulo4"/>
        <w:tabs>
          <w:tab w:val="left" w:pos="0"/>
          <w:tab w:val="right" w:pos="9356"/>
        </w:tabs>
        <w:ind w:left="0"/>
        <w:rPr>
          <w:rFonts w:ascii="Bookman Old Style" w:hAnsi="Bookman Old Style"/>
          <w:b w:val="0"/>
          <w:bCs/>
          <w:sz w:val="24"/>
          <w:szCs w:val="24"/>
        </w:rPr>
      </w:pPr>
    </w:p>
    <w:p w:rsidR="004F0355" w:rsidRPr="003301B8" w:rsidRDefault="004F0355" w:rsidP="004F0355">
      <w:pPr>
        <w:pStyle w:val="Ttulo3"/>
        <w:tabs>
          <w:tab w:val="left" w:pos="0"/>
          <w:tab w:val="right" w:pos="9356"/>
        </w:tabs>
        <w:ind w:left="0"/>
        <w:rPr>
          <w:rFonts w:ascii="Bookman Old Style" w:hAnsi="Bookman Old Style" w:cs="Arial"/>
          <w:spacing w:val="20"/>
          <w:szCs w:val="24"/>
        </w:rPr>
      </w:pPr>
      <w:r w:rsidRPr="003301B8">
        <w:rPr>
          <w:rFonts w:ascii="Bookman Old Style" w:hAnsi="Bookman Old Style" w:cs="Arial"/>
          <w:spacing w:val="20"/>
          <w:szCs w:val="24"/>
        </w:rPr>
        <w:t>COMISIÓN DE REGULACIÓN DE ENERGÍA Y GAS -CREG-</w:t>
      </w:r>
    </w:p>
    <w:p w:rsidR="004F0355" w:rsidRPr="003301B8" w:rsidRDefault="004F0355" w:rsidP="004F0355">
      <w:pPr>
        <w:pStyle w:val="Ttulo5"/>
        <w:tabs>
          <w:tab w:val="left" w:pos="0"/>
          <w:tab w:val="right" w:pos="9356"/>
        </w:tabs>
        <w:ind w:left="0"/>
        <w:rPr>
          <w:rFonts w:ascii="Bookman Old Style" w:hAnsi="Bookman Old Style"/>
          <w:sz w:val="24"/>
          <w:szCs w:val="24"/>
        </w:rPr>
      </w:pPr>
    </w:p>
    <w:p w:rsidR="004F0355" w:rsidRPr="003301B8" w:rsidRDefault="004F0355" w:rsidP="004F0355">
      <w:pPr>
        <w:pStyle w:val="Ttulo5"/>
        <w:tabs>
          <w:tab w:val="left" w:pos="0"/>
          <w:tab w:val="right" w:pos="9356"/>
        </w:tabs>
        <w:ind w:left="0"/>
        <w:rPr>
          <w:rFonts w:ascii="Bookman Old Style" w:hAnsi="Bookman Old Style"/>
          <w:sz w:val="24"/>
          <w:szCs w:val="24"/>
        </w:rPr>
      </w:pPr>
      <w:r w:rsidRPr="003301B8">
        <w:rPr>
          <w:rFonts w:ascii="Bookman Old Style" w:hAnsi="Bookman Old Style"/>
          <w:sz w:val="24"/>
          <w:szCs w:val="24"/>
        </w:rPr>
        <w:t>RESOLUCIÓN No.          DE 201</w:t>
      </w:r>
      <w:r w:rsidR="00446EC9">
        <w:rPr>
          <w:rFonts w:ascii="Bookman Old Style" w:hAnsi="Bookman Old Style"/>
          <w:sz w:val="24"/>
          <w:szCs w:val="24"/>
        </w:rPr>
        <w:t>7</w:t>
      </w:r>
    </w:p>
    <w:p w:rsidR="004F0355" w:rsidRPr="003301B8" w:rsidRDefault="004F0355" w:rsidP="004F0355">
      <w:pPr>
        <w:tabs>
          <w:tab w:val="left" w:pos="0"/>
          <w:tab w:val="right" w:pos="9356"/>
        </w:tabs>
        <w:ind w:left="0"/>
        <w:jc w:val="center"/>
        <w:rPr>
          <w:rFonts w:ascii="Bookman Old Style" w:hAnsi="Bookman Old Style" w:cs="Arial"/>
          <w:b/>
          <w:snapToGrid w:val="0"/>
          <w:color w:val="000000"/>
          <w:lang w:val="es-ES_tradnl"/>
        </w:rPr>
      </w:pPr>
    </w:p>
    <w:p w:rsidR="004F0355" w:rsidRPr="003301B8" w:rsidRDefault="004F0355" w:rsidP="004F0355">
      <w:pPr>
        <w:pStyle w:val="Ttulo3"/>
        <w:tabs>
          <w:tab w:val="left" w:pos="0"/>
          <w:tab w:val="right" w:pos="9356"/>
        </w:tabs>
        <w:ind w:left="0"/>
        <w:rPr>
          <w:rFonts w:ascii="Bookman Old Style" w:hAnsi="Bookman Old Style"/>
          <w:b w:val="0"/>
          <w:szCs w:val="24"/>
        </w:rPr>
      </w:pPr>
      <w:r w:rsidRPr="003301B8">
        <w:rPr>
          <w:rFonts w:ascii="Bookman Old Style" w:hAnsi="Bookman Old Style"/>
          <w:b w:val="0"/>
          <w:szCs w:val="24"/>
        </w:rPr>
        <w:t>(                 )</w:t>
      </w:r>
    </w:p>
    <w:p w:rsidR="004F0355" w:rsidRPr="003301B8" w:rsidRDefault="004F0355" w:rsidP="004F0355">
      <w:pPr>
        <w:tabs>
          <w:tab w:val="left" w:pos="0"/>
          <w:tab w:val="right" w:pos="9356"/>
        </w:tabs>
        <w:ind w:left="0"/>
        <w:jc w:val="center"/>
        <w:rPr>
          <w:rFonts w:ascii="Bookman Old Style" w:hAnsi="Bookman Old Style"/>
          <w:lang w:val="es-ES_tradnl"/>
        </w:rPr>
      </w:pPr>
    </w:p>
    <w:p w:rsidR="004F0355" w:rsidRPr="003301B8" w:rsidRDefault="004F0355" w:rsidP="004F0355">
      <w:pPr>
        <w:ind w:left="0"/>
        <w:rPr>
          <w:rFonts w:ascii="Bookman Old Style" w:hAnsi="Bookman Old Style"/>
          <w:bCs/>
          <w:lang w:val="es-ES_tradnl"/>
        </w:rPr>
      </w:pPr>
    </w:p>
    <w:p w:rsidR="004F0355" w:rsidRDefault="004F0355" w:rsidP="004E66A7">
      <w:pPr>
        <w:ind w:left="227"/>
        <w:jc w:val="center"/>
        <w:rPr>
          <w:rFonts w:ascii="Bookman Old Style" w:hAnsi="Bookman Old Style"/>
        </w:rPr>
      </w:pPr>
      <w:r w:rsidRPr="003301B8">
        <w:rPr>
          <w:rFonts w:ascii="Bookman Old Style" w:hAnsi="Bookman Old Style"/>
        </w:rPr>
        <w:t xml:space="preserve">Por medio de la cual se resuelve un recurso de reposición </w:t>
      </w:r>
      <w:r w:rsidR="004E66A7">
        <w:rPr>
          <w:rFonts w:ascii="Bookman Old Style" w:hAnsi="Bookman Old Style"/>
        </w:rPr>
        <w:t xml:space="preserve">interpuesto por </w:t>
      </w:r>
      <w:r w:rsidR="004E66A7" w:rsidRPr="004E66A7">
        <w:rPr>
          <w:rFonts w:ascii="Bookman Old Style" w:hAnsi="Bookman Old Style"/>
        </w:rPr>
        <w:t>EMPRESAS PUBLICAS DE MEDELLÍN</w:t>
      </w:r>
      <w:r w:rsidR="003C2ACF">
        <w:rPr>
          <w:rFonts w:ascii="Bookman Old Style" w:hAnsi="Bookman Old Style"/>
        </w:rPr>
        <w:t xml:space="preserve"> E.S.P</w:t>
      </w:r>
      <w:r w:rsidR="00C26F76">
        <w:rPr>
          <w:rFonts w:ascii="Bookman Old Style" w:hAnsi="Bookman Old Style"/>
        </w:rPr>
        <w:t>,</w:t>
      </w:r>
      <w:r w:rsidR="004E66A7" w:rsidRPr="004E66A7">
        <w:rPr>
          <w:rFonts w:ascii="Bookman Old Style" w:hAnsi="Bookman Old Style"/>
        </w:rPr>
        <w:t xml:space="preserve"> EPM</w:t>
      </w:r>
      <w:r w:rsidR="00C26F76">
        <w:rPr>
          <w:rFonts w:ascii="Bookman Old Style" w:hAnsi="Bookman Old Style"/>
        </w:rPr>
        <w:t>,</w:t>
      </w:r>
      <w:r w:rsidR="004E66A7" w:rsidRPr="004E66A7">
        <w:rPr>
          <w:rFonts w:ascii="Bookman Old Style" w:hAnsi="Bookman Old Style"/>
        </w:rPr>
        <w:t xml:space="preserve"> </w:t>
      </w:r>
      <w:r w:rsidRPr="003301B8">
        <w:rPr>
          <w:rFonts w:ascii="Bookman Old Style" w:hAnsi="Bookman Old Style"/>
        </w:rPr>
        <w:t xml:space="preserve">en contra de la Resolución CREG </w:t>
      </w:r>
      <w:r>
        <w:rPr>
          <w:rFonts w:ascii="Bookman Old Style" w:hAnsi="Bookman Old Style"/>
        </w:rPr>
        <w:t>162 de 2017</w:t>
      </w:r>
    </w:p>
    <w:p w:rsidR="004E66A7" w:rsidRPr="003301B8" w:rsidRDefault="004E66A7" w:rsidP="004E66A7">
      <w:pPr>
        <w:ind w:left="227"/>
        <w:jc w:val="center"/>
        <w:rPr>
          <w:rFonts w:ascii="Bookman Old Style" w:hAnsi="Bookman Old Style"/>
        </w:rPr>
      </w:pPr>
    </w:p>
    <w:p w:rsidR="004F0355" w:rsidRPr="003301B8" w:rsidRDefault="004F0355" w:rsidP="004F0355">
      <w:pPr>
        <w:ind w:left="170" w:right="-454"/>
        <w:jc w:val="both"/>
        <w:rPr>
          <w:rFonts w:ascii="Bookman Old Style" w:hAnsi="Bookman Old Style"/>
        </w:rPr>
      </w:pPr>
    </w:p>
    <w:p w:rsidR="004F0355" w:rsidRPr="003301B8" w:rsidRDefault="004F0355" w:rsidP="004F0355">
      <w:pPr>
        <w:ind w:left="170" w:right="-454"/>
        <w:jc w:val="center"/>
        <w:rPr>
          <w:rFonts w:ascii="Bookman Old Style" w:hAnsi="Bookman Old Style"/>
          <w:b/>
        </w:rPr>
      </w:pPr>
      <w:r w:rsidRPr="003301B8">
        <w:rPr>
          <w:rFonts w:ascii="Bookman Old Style" w:hAnsi="Bookman Old Style"/>
          <w:b/>
        </w:rPr>
        <w:t>LA COMISIÓN DE REGULACIÓN DE ENERGÍA Y GAS -CREG-</w:t>
      </w:r>
    </w:p>
    <w:p w:rsidR="004F0355" w:rsidRPr="003301B8" w:rsidRDefault="004F0355" w:rsidP="004F0355">
      <w:pPr>
        <w:ind w:left="170" w:right="-454"/>
        <w:jc w:val="both"/>
        <w:rPr>
          <w:rFonts w:ascii="Bookman Old Style" w:hAnsi="Bookman Old Style"/>
        </w:rPr>
      </w:pPr>
    </w:p>
    <w:p w:rsidR="004F0355" w:rsidRPr="003301B8" w:rsidRDefault="004F0355" w:rsidP="004F0355">
      <w:pPr>
        <w:ind w:left="170"/>
        <w:jc w:val="both"/>
        <w:rPr>
          <w:rFonts w:ascii="Bookman Old Style" w:hAnsi="Bookman Old Style"/>
        </w:rPr>
      </w:pPr>
      <w:r w:rsidRPr="003301B8">
        <w:rPr>
          <w:rFonts w:ascii="Bookman Old Style" w:hAnsi="Bookman Old Style"/>
        </w:rPr>
        <w:t xml:space="preserve">En uso de sus facultades legales, en especial las conferidas por las Leyes 142 de 1994 y 143 de 1994, y en desarrollo de los decretos 1524 y 2253 de 1994, </w:t>
      </w:r>
    </w:p>
    <w:p w:rsidR="004F0355" w:rsidRPr="003301B8" w:rsidRDefault="004F0355" w:rsidP="004F0355">
      <w:pPr>
        <w:ind w:left="0" w:right="-454"/>
        <w:jc w:val="both"/>
        <w:rPr>
          <w:rFonts w:ascii="Bookman Old Style" w:hAnsi="Bookman Old Style"/>
        </w:rPr>
      </w:pPr>
    </w:p>
    <w:p w:rsidR="004F0355" w:rsidRPr="003301B8" w:rsidRDefault="004F0355" w:rsidP="004F0355">
      <w:pPr>
        <w:tabs>
          <w:tab w:val="center" w:pos="4512"/>
        </w:tabs>
        <w:suppressAutoHyphens/>
        <w:ind w:left="170" w:right="-454"/>
        <w:jc w:val="center"/>
        <w:rPr>
          <w:rFonts w:ascii="Bookman Old Style" w:hAnsi="Bookman Old Style"/>
          <w:b/>
          <w:spacing w:val="-3"/>
        </w:rPr>
      </w:pPr>
      <w:r w:rsidRPr="003301B8">
        <w:rPr>
          <w:rFonts w:ascii="Bookman Old Style" w:hAnsi="Bookman Old Style"/>
          <w:b/>
          <w:spacing w:val="-3"/>
        </w:rPr>
        <w:t>C O N S I D E R A N D O:</w:t>
      </w:r>
    </w:p>
    <w:p w:rsidR="004F0355" w:rsidRPr="003301B8" w:rsidRDefault="004F0355" w:rsidP="004F0355">
      <w:pPr>
        <w:ind w:left="0"/>
        <w:jc w:val="both"/>
        <w:rPr>
          <w:rFonts w:ascii="Bookman Old Style" w:hAnsi="Bookman Old Style"/>
        </w:rPr>
      </w:pPr>
    </w:p>
    <w:p w:rsidR="004F0355" w:rsidRPr="003301B8" w:rsidRDefault="004F0355" w:rsidP="004F0355">
      <w:pPr>
        <w:ind w:left="0"/>
        <w:jc w:val="both"/>
        <w:rPr>
          <w:rFonts w:ascii="Bookman Old Style" w:hAnsi="Bookman Old Style" w:cs="Arial"/>
        </w:rPr>
      </w:pPr>
      <w:r w:rsidRPr="003301B8">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4F0355" w:rsidRPr="003301B8" w:rsidRDefault="004F0355" w:rsidP="004F0355">
      <w:pPr>
        <w:ind w:left="0"/>
        <w:jc w:val="both"/>
        <w:rPr>
          <w:rFonts w:ascii="Bookman Old Style" w:hAnsi="Bookman Old Style" w:cs="Arial"/>
        </w:rPr>
      </w:pPr>
    </w:p>
    <w:p w:rsidR="004F0355" w:rsidRPr="003301B8" w:rsidRDefault="004F0355" w:rsidP="004F0355">
      <w:pPr>
        <w:ind w:left="0"/>
        <w:jc w:val="both"/>
        <w:rPr>
          <w:rFonts w:ascii="Bookman Old Style" w:hAnsi="Bookman Old Style" w:cs="Arial"/>
        </w:rPr>
      </w:pPr>
      <w:r w:rsidRPr="003301B8">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4F0355" w:rsidRPr="003301B8" w:rsidRDefault="004F0355" w:rsidP="004F0355">
      <w:pPr>
        <w:pStyle w:val="Prrafodelista"/>
        <w:ind w:left="720"/>
        <w:jc w:val="both"/>
        <w:rPr>
          <w:rFonts w:ascii="Bookman Old Style" w:hAnsi="Bookman Old Style" w:cs="Arial"/>
          <w:sz w:val="24"/>
          <w:szCs w:val="24"/>
        </w:rPr>
      </w:pPr>
    </w:p>
    <w:p w:rsidR="004F0355" w:rsidRPr="003301B8" w:rsidRDefault="004F0355" w:rsidP="004F0355">
      <w:pPr>
        <w:ind w:left="0"/>
        <w:jc w:val="both"/>
        <w:rPr>
          <w:rFonts w:ascii="Bookman Old Style" w:hAnsi="Bookman Old Style" w:cs="Arial"/>
        </w:rPr>
      </w:pPr>
      <w:r w:rsidRPr="003301B8">
        <w:rPr>
          <w:rFonts w:ascii="Bookman Old Style" w:hAnsi="Bookman Old Style" w:cs="Arial"/>
        </w:rPr>
        <w:t>Que mediante resolución CREG-</w:t>
      </w:r>
      <w:r>
        <w:rPr>
          <w:rFonts w:ascii="Bookman Old Style" w:hAnsi="Bookman Old Style" w:cs="Arial"/>
        </w:rPr>
        <w:t>162 de 2017</w:t>
      </w:r>
      <w:r w:rsidRPr="003301B8">
        <w:rPr>
          <w:rFonts w:ascii="Bookman Old Style" w:hAnsi="Bookman Old Style" w:cs="Arial"/>
        </w:rPr>
        <w:t xml:space="preserve"> se señala la contribución que debe pagar a la Comisión de Regulación de Energía y Gas –CREG- cada una de las entidades reguladas por el año 201</w:t>
      </w:r>
      <w:r>
        <w:rPr>
          <w:rFonts w:ascii="Bookman Old Style" w:hAnsi="Bookman Old Style" w:cs="Arial"/>
        </w:rPr>
        <w:t>7</w:t>
      </w:r>
      <w:r w:rsidRPr="003301B8">
        <w:rPr>
          <w:rFonts w:ascii="Bookman Old Style" w:hAnsi="Bookman Old Style" w:cs="Arial"/>
        </w:rPr>
        <w:t>.</w:t>
      </w:r>
    </w:p>
    <w:p w:rsidR="004F0355" w:rsidRPr="003301B8" w:rsidRDefault="004F0355" w:rsidP="004F0355">
      <w:pPr>
        <w:ind w:left="0"/>
        <w:jc w:val="both"/>
        <w:rPr>
          <w:rFonts w:ascii="Bookman Old Style" w:hAnsi="Bookman Old Style" w:cs="Arial"/>
        </w:rPr>
      </w:pPr>
      <w:r w:rsidRPr="003301B8">
        <w:rPr>
          <w:rFonts w:ascii="Bookman Old Style" w:hAnsi="Bookman Old Style" w:cs="Arial"/>
        </w:rPr>
        <w:t xml:space="preserve"> </w:t>
      </w:r>
    </w:p>
    <w:p w:rsidR="004F0355" w:rsidRPr="003301B8" w:rsidRDefault="004F0355" w:rsidP="004F0355">
      <w:pPr>
        <w:ind w:left="0"/>
        <w:jc w:val="both"/>
        <w:rPr>
          <w:rFonts w:ascii="Bookman Old Style" w:hAnsi="Bookman Old Style" w:cs="Arial"/>
        </w:rPr>
      </w:pPr>
      <w:r w:rsidRPr="003301B8">
        <w:rPr>
          <w:rFonts w:ascii="Bookman Old Style" w:hAnsi="Bookman Old Style" w:cs="Arial"/>
        </w:rPr>
        <w:t>Que las EMPRESAS PUBLICAS DE MEDELLÍN</w:t>
      </w:r>
      <w:r w:rsidR="003C2ACF">
        <w:rPr>
          <w:rFonts w:ascii="Bookman Old Style" w:hAnsi="Bookman Old Style" w:cs="Arial"/>
        </w:rPr>
        <w:t xml:space="preserve"> ESP,</w:t>
      </w:r>
      <w:r w:rsidRPr="003301B8">
        <w:rPr>
          <w:rFonts w:ascii="Bookman Old Style" w:hAnsi="Bookman Old Style" w:cs="Arial"/>
        </w:rPr>
        <w:t xml:space="preserve"> EPM</w:t>
      </w:r>
      <w:r w:rsidR="003C2ACF">
        <w:rPr>
          <w:rFonts w:ascii="Bookman Old Style" w:hAnsi="Bookman Old Style" w:cs="Arial"/>
        </w:rPr>
        <w:t>,</w:t>
      </w:r>
      <w:r w:rsidRPr="003301B8">
        <w:rPr>
          <w:rFonts w:ascii="Bookman Old Style" w:hAnsi="Bookman Old Style" w:cs="Arial"/>
        </w:rPr>
        <w:t xml:space="preserve"> fue notificada de manera </w:t>
      </w:r>
      <w:r w:rsidR="00521D39">
        <w:rPr>
          <w:rFonts w:ascii="Bookman Old Style" w:hAnsi="Bookman Old Style" w:cs="Arial"/>
        </w:rPr>
        <w:t xml:space="preserve">electrónica el día 20 de noviembre de 2017 </w:t>
      </w:r>
      <w:r w:rsidRPr="003301B8">
        <w:rPr>
          <w:rFonts w:ascii="Bookman Old Style" w:hAnsi="Bookman Old Style" w:cs="Arial"/>
        </w:rPr>
        <w:t>del contenido de la resolución CREG-</w:t>
      </w:r>
      <w:r>
        <w:rPr>
          <w:rFonts w:ascii="Bookman Old Style" w:hAnsi="Bookman Old Style" w:cs="Arial"/>
        </w:rPr>
        <w:t>162 de 2017</w:t>
      </w:r>
      <w:r w:rsidRPr="003301B8">
        <w:rPr>
          <w:rFonts w:ascii="Bookman Old Style" w:hAnsi="Bookman Old Style" w:cs="Arial"/>
        </w:rPr>
        <w:t xml:space="preserve">. </w:t>
      </w:r>
    </w:p>
    <w:p w:rsidR="004F0355" w:rsidRPr="003301B8" w:rsidRDefault="004F0355" w:rsidP="004F0355">
      <w:pPr>
        <w:pStyle w:val="Prrafodelista"/>
        <w:rPr>
          <w:rFonts w:ascii="Bookman Old Style" w:hAnsi="Bookman Old Style" w:cs="Arial"/>
          <w:sz w:val="24"/>
          <w:szCs w:val="24"/>
        </w:rPr>
      </w:pPr>
    </w:p>
    <w:p w:rsidR="004F0355" w:rsidRPr="003301B8" w:rsidRDefault="00521D39" w:rsidP="004F0355">
      <w:pPr>
        <w:ind w:left="0"/>
        <w:jc w:val="both"/>
        <w:rPr>
          <w:rFonts w:ascii="Bookman Old Style" w:hAnsi="Bookman Old Style" w:cs="Arial"/>
          <w:highlight w:val="yellow"/>
        </w:rPr>
      </w:pPr>
      <w:r w:rsidRPr="003301B8">
        <w:rPr>
          <w:rFonts w:ascii="Bookman Old Style" w:hAnsi="Bookman Old Style" w:cs="Arial"/>
        </w:rPr>
        <w:t>Que,</w:t>
      </w:r>
      <w:r w:rsidR="004F0355" w:rsidRPr="003301B8">
        <w:rPr>
          <w:rFonts w:ascii="Bookman Old Style" w:hAnsi="Bookman Old Style" w:cs="Arial"/>
        </w:rPr>
        <w:t xml:space="preserve"> encontrándose dentro del término legal, mediante escrito presentado en la Comisión de Regulaci</w:t>
      </w:r>
      <w:r w:rsidR="004F0355" w:rsidRPr="00B14164">
        <w:rPr>
          <w:rFonts w:ascii="Bookman Old Style" w:hAnsi="Bookman Old Style" w:cs="Arial"/>
        </w:rPr>
        <w:t>ón de Energía y Gas -CREG- bajo radicado número E-201</w:t>
      </w:r>
      <w:r w:rsidR="00B14164" w:rsidRPr="00B14164">
        <w:rPr>
          <w:rFonts w:ascii="Bookman Old Style" w:hAnsi="Bookman Old Style" w:cs="Arial"/>
        </w:rPr>
        <w:t>7</w:t>
      </w:r>
      <w:r w:rsidR="004F0355" w:rsidRPr="00B14164">
        <w:rPr>
          <w:rFonts w:ascii="Bookman Old Style" w:hAnsi="Bookman Old Style" w:cs="Arial"/>
        </w:rPr>
        <w:t>-01</w:t>
      </w:r>
      <w:r w:rsidR="00B14164" w:rsidRPr="00B14164">
        <w:rPr>
          <w:rFonts w:ascii="Bookman Old Style" w:hAnsi="Bookman Old Style" w:cs="Arial"/>
        </w:rPr>
        <w:t>0980</w:t>
      </w:r>
      <w:r w:rsidR="004F0355" w:rsidRPr="00B14164">
        <w:rPr>
          <w:rFonts w:ascii="Bookman Old Style" w:hAnsi="Bookman Old Style" w:cs="Arial"/>
        </w:rPr>
        <w:t xml:space="preserve"> del </w:t>
      </w:r>
      <w:r w:rsidR="00B14164" w:rsidRPr="00B14164">
        <w:rPr>
          <w:rFonts w:ascii="Bookman Old Style" w:hAnsi="Bookman Old Style" w:cs="Arial"/>
        </w:rPr>
        <w:t>veintisiete (27</w:t>
      </w:r>
      <w:r w:rsidR="004F0355" w:rsidRPr="00B14164">
        <w:rPr>
          <w:rFonts w:ascii="Bookman Old Style" w:hAnsi="Bookman Old Style" w:cs="Arial"/>
        </w:rPr>
        <w:t xml:space="preserve">) de </w:t>
      </w:r>
      <w:r w:rsidR="00B14164" w:rsidRPr="00B14164">
        <w:rPr>
          <w:rFonts w:ascii="Bookman Old Style" w:hAnsi="Bookman Old Style" w:cs="Arial"/>
        </w:rPr>
        <w:t>novi</w:t>
      </w:r>
      <w:r w:rsidR="004F0355" w:rsidRPr="00B14164">
        <w:rPr>
          <w:rFonts w:ascii="Bookman Old Style" w:hAnsi="Bookman Old Style" w:cs="Arial"/>
        </w:rPr>
        <w:t>embre de 2017</w:t>
      </w:r>
      <w:r w:rsidR="004F0355" w:rsidRPr="003301B8">
        <w:rPr>
          <w:rFonts w:ascii="Bookman Old Style" w:hAnsi="Bookman Old Style" w:cs="Arial"/>
        </w:rPr>
        <w:t xml:space="preserve">., el </w:t>
      </w:r>
      <w:r>
        <w:rPr>
          <w:rFonts w:ascii="Bookman Old Style" w:hAnsi="Bookman Old Style" w:cs="Arial"/>
        </w:rPr>
        <w:t xml:space="preserve">Doctor Mauricio Restrepo Terreros en calidad de apoderado </w:t>
      </w:r>
      <w:r w:rsidR="004F0355" w:rsidRPr="003301B8">
        <w:rPr>
          <w:rFonts w:ascii="Bookman Old Style" w:hAnsi="Bookman Old Style" w:cs="Arial"/>
        </w:rPr>
        <w:t xml:space="preserve">de la empresa EMPRESAS PUBLICAS DE </w:t>
      </w:r>
      <w:r w:rsidR="004F0355" w:rsidRPr="003301B8">
        <w:rPr>
          <w:rFonts w:ascii="Bookman Old Style" w:hAnsi="Bookman Old Style" w:cs="Arial"/>
        </w:rPr>
        <w:lastRenderedPageBreak/>
        <w:t xml:space="preserve">MEDELLÍN E.S.P, </w:t>
      </w:r>
      <w:r w:rsidR="003C2ACF">
        <w:rPr>
          <w:rFonts w:ascii="Bookman Old Style" w:hAnsi="Bookman Old Style" w:cs="Arial"/>
        </w:rPr>
        <w:t xml:space="preserve">EPM, </w:t>
      </w:r>
      <w:r w:rsidR="004F0355" w:rsidRPr="003301B8">
        <w:rPr>
          <w:rFonts w:ascii="Bookman Old Style" w:hAnsi="Bookman Old Style" w:cs="Arial"/>
        </w:rPr>
        <w:t>presentó recurso de reposición contra la resolución CREG-</w:t>
      </w:r>
      <w:r w:rsidR="004F0355">
        <w:rPr>
          <w:rFonts w:ascii="Bookman Old Style" w:hAnsi="Bookman Old Style" w:cs="Arial"/>
        </w:rPr>
        <w:t>162 de</w:t>
      </w:r>
      <w:r>
        <w:rPr>
          <w:rFonts w:ascii="Bookman Old Style" w:hAnsi="Bookman Old Style" w:cs="Arial"/>
        </w:rPr>
        <w:t xml:space="preserve">l 30 de octubre de </w:t>
      </w:r>
      <w:r w:rsidR="004F0355">
        <w:rPr>
          <w:rFonts w:ascii="Bookman Old Style" w:hAnsi="Bookman Old Style" w:cs="Arial"/>
        </w:rPr>
        <w:t>2017</w:t>
      </w:r>
      <w:r w:rsidR="004F0355" w:rsidRPr="003301B8">
        <w:rPr>
          <w:rFonts w:ascii="Bookman Old Style" w:hAnsi="Bookman Old Style" w:cs="Arial"/>
        </w:rPr>
        <w:t>.</w:t>
      </w:r>
    </w:p>
    <w:p w:rsidR="004F0355" w:rsidRPr="003301B8" w:rsidRDefault="004F0355" w:rsidP="004F0355">
      <w:pPr>
        <w:ind w:left="0"/>
        <w:jc w:val="both"/>
        <w:rPr>
          <w:rFonts w:ascii="Bookman Old Style" w:hAnsi="Bookman Old Style" w:cs="Arial"/>
        </w:rPr>
      </w:pPr>
    </w:p>
    <w:p w:rsidR="004F0355" w:rsidRPr="003301B8" w:rsidRDefault="00521D39" w:rsidP="004F0355">
      <w:pPr>
        <w:ind w:left="0"/>
        <w:jc w:val="both"/>
        <w:rPr>
          <w:rFonts w:ascii="Bookman Old Style" w:hAnsi="Bookman Old Style" w:cs="Arial"/>
        </w:rPr>
      </w:pPr>
      <w:r w:rsidRPr="003301B8">
        <w:rPr>
          <w:rFonts w:ascii="Bookman Old Style" w:hAnsi="Bookman Old Style" w:cs="Arial"/>
        </w:rPr>
        <w:t>Que,</w:t>
      </w:r>
      <w:r w:rsidR="004F0355" w:rsidRPr="003301B8">
        <w:rPr>
          <w:rFonts w:ascii="Bookman Old Style" w:hAnsi="Bookman Old Style" w:cs="Arial"/>
        </w:rPr>
        <w:t xml:space="preserve"> mediante la presente resolución, se procede a resolver este recurso en contra de la Resolución CREG </w:t>
      </w:r>
      <w:r w:rsidR="004F0355">
        <w:rPr>
          <w:rFonts w:ascii="Bookman Old Style" w:hAnsi="Bookman Old Style" w:cs="Arial"/>
        </w:rPr>
        <w:t>162 de 2017</w:t>
      </w:r>
      <w:r w:rsidR="004F0355" w:rsidRPr="003301B8">
        <w:rPr>
          <w:rFonts w:ascii="Bookman Old Style" w:hAnsi="Bookman Old Style" w:cs="Arial"/>
        </w:rPr>
        <w:t>, con base en las siguientes consideraciones:</w:t>
      </w:r>
    </w:p>
    <w:p w:rsidR="004F0355" w:rsidRPr="003301B8" w:rsidRDefault="004F0355" w:rsidP="004F0355">
      <w:pPr>
        <w:ind w:left="0"/>
        <w:jc w:val="both"/>
        <w:rPr>
          <w:rFonts w:ascii="Bookman Old Style" w:hAnsi="Bookman Old Style" w:cs="Arial"/>
        </w:rPr>
      </w:pPr>
    </w:p>
    <w:p w:rsidR="004F0355" w:rsidRPr="003301B8" w:rsidRDefault="004F0355" w:rsidP="004F0355">
      <w:pPr>
        <w:pStyle w:val="Prrafodelista"/>
        <w:numPr>
          <w:ilvl w:val="0"/>
          <w:numId w:val="2"/>
        </w:numPr>
        <w:jc w:val="both"/>
        <w:rPr>
          <w:rFonts w:ascii="Bookman Old Style" w:hAnsi="Bookman Old Style" w:cs="Arial"/>
          <w:b/>
          <w:sz w:val="24"/>
          <w:szCs w:val="24"/>
        </w:rPr>
      </w:pPr>
      <w:r w:rsidRPr="003301B8">
        <w:rPr>
          <w:rFonts w:ascii="Bookman Old Style" w:hAnsi="Bookman Old Style" w:cs="Arial"/>
          <w:b/>
          <w:sz w:val="24"/>
          <w:szCs w:val="24"/>
        </w:rPr>
        <w:t>EL RECURSO DE REPOSICIÓN</w:t>
      </w:r>
    </w:p>
    <w:p w:rsidR="004F0355" w:rsidRPr="003301B8" w:rsidRDefault="004F0355" w:rsidP="004F0355">
      <w:pPr>
        <w:ind w:left="0"/>
        <w:jc w:val="both"/>
        <w:rPr>
          <w:rFonts w:ascii="Bookman Old Style" w:hAnsi="Bookman Old Style" w:cs="Arial"/>
        </w:rPr>
      </w:pPr>
    </w:p>
    <w:p w:rsidR="004F0355" w:rsidRPr="003301B8" w:rsidRDefault="004F0355" w:rsidP="004F0355">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PROCEDENCIA DEL RECURSO</w:t>
      </w:r>
    </w:p>
    <w:p w:rsidR="004F0355" w:rsidRPr="003301B8" w:rsidRDefault="004F0355" w:rsidP="004F0355">
      <w:pPr>
        <w:pStyle w:val="Prrafodelista"/>
        <w:ind w:left="720"/>
        <w:rPr>
          <w:rFonts w:ascii="Bookman Old Style" w:hAnsi="Bookman Old Style" w:cs="Arial"/>
          <w:b/>
          <w:sz w:val="24"/>
          <w:szCs w:val="24"/>
        </w:rPr>
      </w:pPr>
    </w:p>
    <w:p w:rsidR="004F0355" w:rsidRPr="003301B8" w:rsidRDefault="004F0355" w:rsidP="004F0355">
      <w:pPr>
        <w:ind w:left="0"/>
        <w:jc w:val="both"/>
        <w:rPr>
          <w:rFonts w:ascii="Bookman Old Style" w:hAnsi="Bookman Old Style" w:cs="Arial"/>
        </w:rPr>
      </w:pPr>
      <w:r w:rsidRPr="003301B8">
        <w:rPr>
          <w:rFonts w:ascii="Bookman Old Style" w:hAnsi="Bookman Old Style" w:cs="Arial"/>
        </w:rPr>
        <w:t xml:space="preserve">El recurrente presentó el recurso de reposición contra el artículo 1 de la resolución </w:t>
      </w:r>
      <w:r w:rsidR="00521D39">
        <w:rPr>
          <w:rFonts w:ascii="Bookman Old Style" w:hAnsi="Bookman Old Style" w:cs="Arial"/>
        </w:rPr>
        <w:t>162 del 30 de octubre de 2017</w:t>
      </w:r>
      <w:r w:rsidRPr="003301B8">
        <w:rPr>
          <w:rFonts w:ascii="Bookman Old Style" w:hAnsi="Bookman Old Style" w:cs="Arial"/>
        </w:rPr>
        <w:t>, proferida por la Comisión de Regulación de Energía y Gas –CREG-, por medio de la cual se señala la contribución que debe pagar a la Comisión de Regulación de Energía y Gas –CREG- cada una de las ent</w:t>
      </w:r>
      <w:r w:rsidR="00521D39">
        <w:rPr>
          <w:rFonts w:ascii="Bookman Old Style" w:hAnsi="Bookman Old Style" w:cs="Arial"/>
        </w:rPr>
        <w:t>idades reguladas por el año 2017</w:t>
      </w:r>
      <w:r w:rsidRPr="003301B8">
        <w:rPr>
          <w:rFonts w:ascii="Bookman Old Style" w:hAnsi="Bookman Old Style" w:cs="Arial"/>
        </w:rPr>
        <w:t>.</w:t>
      </w:r>
    </w:p>
    <w:p w:rsidR="004F0355" w:rsidRPr="003301B8" w:rsidRDefault="004F0355" w:rsidP="004F0355">
      <w:pPr>
        <w:pStyle w:val="Prrafodelista"/>
        <w:ind w:left="0"/>
        <w:jc w:val="both"/>
        <w:rPr>
          <w:rFonts w:ascii="Bookman Old Style" w:hAnsi="Bookman Old Style" w:cs="Arial"/>
          <w:sz w:val="24"/>
          <w:szCs w:val="24"/>
        </w:rPr>
      </w:pPr>
    </w:p>
    <w:p w:rsidR="004F0355" w:rsidRPr="003301B8" w:rsidRDefault="004F0355" w:rsidP="004F0355">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 xml:space="preserve">El recurso fue interpuesto dentro del término legal, esto es, dentro de los </w:t>
      </w:r>
      <w:r w:rsidR="00521D39" w:rsidRPr="003301B8">
        <w:rPr>
          <w:rFonts w:ascii="Bookman Old Style" w:hAnsi="Bookman Old Style" w:cs="Arial"/>
          <w:sz w:val="24"/>
          <w:szCs w:val="24"/>
        </w:rPr>
        <w:t>diez (</w:t>
      </w:r>
      <w:r w:rsidRPr="003301B8">
        <w:rPr>
          <w:rFonts w:ascii="Bookman Old Style" w:hAnsi="Bookman Old Style" w:cs="Arial"/>
          <w:sz w:val="24"/>
          <w:szCs w:val="24"/>
        </w:rPr>
        <w:t>10) días hábiles siguientes a la notificación, de acuerdo con el plazo establecido en el artículo 76 del Código de Procedimiento Administrativo y de lo Contencioso Administrativo.</w:t>
      </w:r>
    </w:p>
    <w:p w:rsidR="004F0355" w:rsidRPr="003301B8" w:rsidRDefault="004F0355" w:rsidP="004F0355">
      <w:pPr>
        <w:pStyle w:val="Prrafodelista"/>
        <w:ind w:left="0"/>
        <w:jc w:val="both"/>
        <w:rPr>
          <w:rFonts w:ascii="Bookman Old Style" w:hAnsi="Bookman Old Style" w:cs="Arial"/>
          <w:sz w:val="24"/>
          <w:szCs w:val="24"/>
        </w:rPr>
      </w:pPr>
    </w:p>
    <w:p w:rsidR="004F0355" w:rsidRPr="003301B8" w:rsidRDefault="004F0355" w:rsidP="004F0355">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4F0355" w:rsidRPr="003301B8" w:rsidRDefault="004F0355" w:rsidP="004F0355">
      <w:pPr>
        <w:pStyle w:val="Prrafodelista"/>
        <w:ind w:left="0"/>
        <w:jc w:val="both"/>
        <w:rPr>
          <w:rFonts w:ascii="Bookman Old Style" w:hAnsi="Bookman Old Style" w:cs="Arial"/>
          <w:sz w:val="24"/>
          <w:szCs w:val="24"/>
        </w:rPr>
      </w:pPr>
    </w:p>
    <w:p w:rsidR="004F0355" w:rsidRPr="003301B8" w:rsidRDefault="004F0355" w:rsidP="004F0355">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RAZONES Y FUNDAMENTOS DEL RECURSO DE REPOSICIÓN</w:t>
      </w:r>
    </w:p>
    <w:p w:rsidR="004F0355" w:rsidRPr="003301B8" w:rsidRDefault="004F0355" w:rsidP="004F0355">
      <w:pPr>
        <w:ind w:left="0"/>
        <w:jc w:val="both"/>
        <w:rPr>
          <w:rFonts w:ascii="Bookman Old Style" w:hAnsi="Bookman Old Style"/>
        </w:rPr>
      </w:pPr>
    </w:p>
    <w:p w:rsidR="004F0355" w:rsidRPr="003301B8" w:rsidRDefault="004F0355" w:rsidP="004F0355">
      <w:pPr>
        <w:ind w:left="0"/>
        <w:jc w:val="both"/>
        <w:rPr>
          <w:rFonts w:ascii="Bookman Old Style" w:hAnsi="Bookman Old Style" w:cs="Arial"/>
          <w:i/>
          <w:lang w:val="es-CO"/>
        </w:rPr>
      </w:pPr>
      <w:r w:rsidRPr="003301B8">
        <w:rPr>
          <w:rFonts w:ascii="Bookman Old Style" w:hAnsi="Bookman Old Style" w:cs="Arial"/>
          <w:i/>
          <w:lang w:val="es-CO"/>
        </w:rPr>
        <w:t>Los fundamentos del recurrente se exponen a continuación:</w:t>
      </w:r>
    </w:p>
    <w:p w:rsidR="004F0355" w:rsidRPr="003301B8" w:rsidRDefault="004F0355" w:rsidP="004F0355">
      <w:pPr>
        <w:ind w:left="170"/>
        <w:jc w:val="both"/>
        <w:rPr>
          <w:rFonts w:ascii="Bookman Old Style" w:hAnsi="Bookman Old Style" w:cs="Arial"/>
          <w:i/>
          <w:lang w:val="es-CO"/>
        </w:rPr>
      </w:pPr>
    </w:p>
    <w:p w:rsidR="004F0355" w:rsidRPr="003301B8" w:rsidRDefault="004F0355" w:rsidP="004F0355">
      <w:pPr>
        <w:ind w:left="170"/>
        <w:jc w:val="both"/>
        <w:rPr>
          <w:rFonts w:ascii="Bookman Old Style" w:hAnsi="Bookman Old Style" w:cs="Arial"/>
          <w:i/>
          <w:lang w:val="es-CO"/>
        </w:rPr>
      </w:pPr>
      <w:r w:rsidRPr="003301B8">
        <w:rPr>
          <w:rFonts w:ascii="Bookman Old Style" w:hAnsi="Bookman Old Style" w:cs="Arial"/>
          <w:i/>
          <w:lang w:val="es-CO"/>
        </w:rPr>
        <w:t>Argumenta el recurrente que:</w:t>
      </w:r>
    </w:p>
    <w:p w:rsidR="004F0355" w:rsidRPr="003301B8" w:rsidRDefault="004F0355" w:rsidP="004F0355">
      <w:pPr>
        <w:ind w:left="0"/>
        <w:jc w:val="both"/>
        <w:rPr>
          <w:rFonts w:ascii="Bookman Old Style" w:hAnsi="Bookman Old Style" w:cs="Arial"/>
          <w:i/>
          <w:lang w:val="es-CO"/>
        </w:rPr>
      </w:pPr>
    </w:p>
    <w:p w:rsidR="004F0355" w:rsidRPr="003301B8" w:rsidRDefault="004F0355" w:rsidP="004F0355">
      <w:pPr>
        <w:pStyle w:val="Style12"/>
        <w:shd w:val="clear" w:color="auto" w:fill="auto"/>
        <w:spacing w:after="176" w:line="235" w:lineRule="exact"/>
        <w:ind w:left="20" w:right="800"/>
        <w:rPr>
          <w:rFonts w:ascii="Bookman Old Style" w:eastAsia="Times New Roman" w:hAnsi="Bookman Old Style" w:cs="Times New Roman"/>
          <w:i/>
          <w:sz w:val="24"/>
          <w:szCs w:val="24"/>
          <w:lang w:val="es-ES" w:eastAsia="es-ES"/>
        </w:rPr>
      </w:pPr>
      <w:r w:rsidRPr="003301B8">
        <w:rPr>
          <w:rFonts w:ascii="Bookman Old Style" w:eastAsia="Times New Roman" w:hAnsi="Bookman Old Style" w:cs="Times New Roman"/>
          <w:i/>
          <w:sz w:val="24"/>
          <w:szCs w:val="24"/>
          <w:lang w:val="es-ES" w:eastAsia="es-ES"/>
        </w:rPr>
        <w:t>“Señala la Constitución Política de Colombia en su Artículo 370 que corresponde al Presidente de la República señalar las políticas generales de administración y control de eficiencia de los servicios públicos domiciliarios por medio de las comisiones de regulación de los servicios públicos.</w:t>
      </w:r>
    </w:p>
    <w:p w:rsidR="004F0355" w:rsidRPr="003301B8" w:rsidRDefault="004F0355" w:rsidP="004F0355">
      <w:pPr>
        <w:pStyle w:val="Style12"/>
        <w:shd w:val="clear" w:color="auto" w:fill="auto"/>
        <w:spacing w:after="180" w:line="240" w:lineRule="exact"/>
        <w:ind w:left="20" w:right="800"/>
        <w:rPr>
          <w:rFonts w:ascii="Bookman Old Style" w:eastAsia="Times New Roman" w:hAnsi="Bookman Old Style" w:cs="Times New Roman"/>
          <w:i/>
          <w:sz w:val="24"/>
          <w:szCs w:val="24"/>
          <w:lang w:val="es-ES" w:eastAsia="es-ES"/>
        </w:rPr>
      </w:pPr>
      <w:r w:rsidRPr="003301B8">
        <w:rPr>
          <w:rFonts w:ascii="Bookman Old Style" w:eastAsia="Times New Roman" w:hAnsi="Bookman Old Style" w:cs="Times New Roman"/>
          <w:i/>
          <w:sz w:val="24"/>
          <w:szCs w:val="24"/>
          <w:lang w:val="es-ES" w:eastAsia="es-ES"/>
        </w:rPr>
        <w:t>En desarrollo de la disposición de rango constitucional anteriormente mencionada, se expidió la Ley 142 de 1994 dentro de la cual se creó como unidad administrativa especial, la Comisión de Regulación de Energía y Gas Combustible, adscrita al Ministerio de Minas y Energía, con independencia administrativa, técnica y patrimonial, según lo establecido en el Artículo 69 de la citada ley.</w:t>
      </w:r>
    </w:p>
    <w:p w:rsidR="004F0355" w:rsidRPr="003301B8" w:rsidRDefault="004F0355" w:rsidP="004F0355">
      <w:pPr>
        <w:pStyle w:val="Style12"/>
        <w:shd w:val="clear" w:color="auto" w:fill="auto"/>
        <w:spacing w:after="180" w:line="240" w:lineRule="exact"/>
        <w:ind w:left="20" w:right="800"/>
        <w:rPr>
          <w:rFonts w:ascii="Bookman Old Style" w:eastAsia="Times New Roman" w:hAnsi="Bookman Old Style" w:cs="Times New Roman"/>
          <w:i/>
          <w:sz w:val="24"/>
          <w:szCs w:val="24"/>
          <w:lang w:val="es-ES" w:eastAsia="es-ES"/>
        </w:rPr>
      </w:pPr>
      <w:r w:rsidRPr="003301B8">
        <w:rPr>
          <w:rFonts w:ascii="Bookman Old Style" w:eastAsia="Times New Roman" w:hAnsi="Bookman Old Style" w:cs="Times New Roman"/>
          <w:i/>
          <w:sz w:val="24"/>
          <w:szCs w:val="24"/>
          <w:lang w:val="es-ES" w:eastAsia="es-ES"/>
        </w:rPr>
        <w:t>Con el fin recuperar los costos del servicio de regulación prestado por la Comisión de Regulación de Energía y Gas Combustible, se dotó a esa entidad de una fuente de recursos denominada “contribución especial". Esta contribución especial encuentra su definición legal en el Artículo 85 de la Ley 142 de 1994 que señala</w:t>
      </w:r>
      <w:r w:rsidRPr="003301B8">
        <w:rPr>
          <w:rFonts w:ascii="Bookman Old Style" w:eastAsia="Times New Roman" w:hAnsi="Bookman Old Style" w:cs="Times New Roman"/>
          <w:sz w:val="24"/>
          <w:szCs w:val="24"/>
          <w:lang w:val="es-ES" w:eastAsia="es-ES"/>
        </w:rPr>
        <w:t>:</w:t>
      </w:r>
    </w:p>
    <w:p w:rsidR="004F0355" w:rsidRPr="003301B8" w:rsidRDefault="004F0355" w:rsidP="004F0355">
      <w:pPr>
        <w:pStyle w:val="Style15"/>
        <w:shd w:val="clear" w:color="auto" w:fill="auto"/>
        <w:spacing w:after="180"/>
        <w:ind w:left="300" w:right="1100"/>
        <w:rPr>
          <w:rFonts w:ascii="Bookman Old Style" w:eastAsia="Times New Roman" w:hAnsi="Bookman Old Style" w:cs="Times New Roman"/>
          <w:iCs w:val="0"/>
          <w:sz w:val="24"/>
          <w:szCs w:val="24"/>
          <w:lang w:val="es-ES" w:eastAsia="es-ES"/>
        </w:rPr>
      </w:pPr>
      <w:r w:rsidRPr="003301B8">
        <w:rPr>
          <w:rFonts w:ascii="Bookman Old Style" w:eastAsia="Times New Roman" w:hAnsi="Bookman Old Style" w:cs="Times New Roman"/>
          <w:sz w:val="24"/>
          <w:szCs w:val="24"/>
          <w:lang w:val="es-ES" w:eastAsia="es-ES"/>
        </w:rPr>
        <w:t xml:space="preserve">“Con el fin de recuperar los costos del servicio de regulación que preste cada comisión, y los de control y vigilancia que preste el </w:t>
      </w:r>
      <w:r w:rsidRPr="003301B8">
        <w:rPr>
          <w:rFonts w:ascii="Bookman Old Style" w:eastAsia="Times New Roman" w:hAnsi="Bookman Old Style" w:cs="Times New Roman"/>
          <w:sz w:val="24"/>
          <w:szCs w:val="24"/>
          <w:lang w:val="es-ES" w:eastAsia="es-ES"/>
        </w:rPr>
        <w:lastRenderedPageBreak/>
        <w:t>Superintendente, las entidades sometidas a su regulación, control y vigilancia, estarán sujetas a dos contribuciones, que se liquidarán y pagarán cada año conforme a las siguientes reglas:</w:t>
      </w:r>
    </w:p>
    <w:p w:rsidR="004F0355" w:rsidRPr="003301B8" w:rsidRDefault="004F0355" w:rsidP="004F0355">
      <w:pPr>
        <w:pStyle w:val="Style15"/>
        <w:shd w:val="clear" w:color="auto" w:fill="auto"/>
        <w:spacing w:after="180"/>
        <w:ind w:left="300" w:right="1100"/>
        <w:rPr>
          <w:rFonts w:ascii="Bookman Old Style" w:eastAsia="Times New Roman" w:hAnsi="Bookman Old Style" w:cs="Times New Roman"/>
          <w:iCs w:val="0"/>
          <w:sz w:val="24"/>
          <w:szCs w:val="24"/>
          <w:lang w:val="es-ES" w:eastAsia="es-ES"/>
        </w:rPr>
      </w:pPr>
      <w:r w:rsidRPr="003301B8">
        <w:rPr>
          <w:rFonts w:ascii="Bookman Old Style" w:eastAsia="Times New Roman" w:hAnsi="Bookman Old Style" w:cs="Times New Roman"/>
          <w:sz w:val="24"/>
          <w:szCs w:val="24"/>
          <w:lang w:val="es-ES" w:eastAsia="es-ES"/>
        </w:rPr>
        <w:t>“85.1.- Para definir los costes de los servicios que presten las comisiones y la Superintendencia, se tendrán en cuenta todos los gastos de funcionamiento, y la depreciación, amortización u obsolescencia de sus activos, en el período anual respectivo.</w:t>
      </w:r>
    </w:p>
    <w:p w:rsidR="004F0355" w:rsidRPr="003301B8" w:rsidRDefault="004F0355" w:rsidP="004F0355">
      <w:pPr>
        <w:pStyle w:val="Style15"/>
        <w:shd w:val="clear" w:color="auto" w:fill="auto"/>
        <w:spacing w:after="180"/>
        <w:ind w:left="300" w:right="1100"/>
        <w:rPr>
          <w:rFonts w:ascii="Bookman Old Style" w:eastAsia="Times New Roman" w:hAnsi="Bookman Old Style" w:cs="Times New Roman"/>
          <w:iCs w:val="0"/>
          <w:sz w:val="24"/>
          <w:szCs w:val="24"/>
          <w:lang w:val="es-ES" w:eastAsia="es-ES"/>
        </w:rPr>
      </w:pPr>
      <w:r w:rsidRPr="003301B8">
        <w:rPr>
          <w:rFonts w:ascii="Bookman Old Style" w:eastAsia="Times New Roman" w:hAnsi="Bookman Old Style" w:cs="Times New Roman"/>
          <w:sz w:val="24"/>
          <w:szCs w:val="24"/>
          <w:lang w:val="es-ES" w:eastAsia="es-ES"/>
        </w:rPr>
        <w:t>"85.2.- La Superintendencia y las comisiones presupuestarán sus gastos cada año y cobrarán dentro de los límites que enseguida se señalan, solamente la tarifa que arroje él valor necesario para cubrir su presupuesto anual.</w:t>
      </w:r>
    </w:p>
    <w:p w:rsidR="004F0355" w:rsidRPr="003301B8" w:rsidRDefault="004F0355" w:rsidP="004F0355">
      <w:pPr>
        <w:pStyle w:val="Style15"/>
        <w:shd w:val="clear" w:color="auto" w:fill="auto"/>
        <w:spacing w:after="252"/>
        <w:ind w:left="300" w:right="1100"/>
        <w:rPr>
          <w:rFonts w:ascii="Bookman Old Style" w:eastAsia="Times New Roman" w:hAnsi="Bookman Old Style" w:cs="Times New Roman"/>
          <w:iCs w:val="0"/>
          <w:sz w:val="24"/>
          <w:szCs w:val="24"/>
          <w:lang w:val="es-ES" w:eastAsia="es-ES"/>
        </w:rPr>
      </w:pPr>
      <w:r w:rsidRPr="003301B8">
        <w:rPr>
          <w:rFonts w:ascii="Bookman Old Style" w:eastAsia="Times New Roman" w:hAnsi="Bookman Old Style" w:cs="Times New Roman"/>
          <w:sz w:val="24"/>
          <w:szCs w:val="24"/>
          <w:lang w:val="es-ES" w:eastAsia="es-ES"/>
        </w:rPr>
        <w:t>“La tarifa máxima de cada contribución no podrá ser superior al uno por ciento (1%) del valor de tos gastos de funcionamiento, asociados al servicio sometido a regulación, de la entidad contribuyente en el año anterior a aquel en el que se haga el cobro, de acuerdo con los estados financieros puestos a disposición de la Superintendencia y de las comisiones, cada una de las cuales e independientemente y con base en su estudio fijarán la tarifa correspondiente.</w:t>
      </w:r>
    </w:p>
    <w:p w:rsidR="004F0355" w:rsidRPr="003301B8" w:rsidRDefault="004F0355" w:rsidP="004F0355">
      <w:pPr>
        <w:pStyle w:val="Style29"/>
        <w:shd w:val="clear" w:color="auto" w:fill="auto"/>
        <w:spacing w:before="0" w:after="126" w:line="150" w:lineRule="exact"/>
        <w:ind w:left="300"/>
        <w:rPr>
          <w:rFonts w:ascii="Bookman Old Style" w:eastAsia="Times New Roman" w:hAnsi="Bookman Old Style" w:cs="Times New Roman"/>
          <w:iCs w:val="0"/>
          <w:spacing w:val="0"/>
          <w:sz w:val="24"/>
          <w:szCs w:val="24"/>
          <w:lang w:val="es-ES" w:eastAsia="es-ES"/>
        </w:rPr>
      </w:pPr>
      <w:r w:rsidRPr="003301B8">
        <w:rPr>
          <w:rFonts w:ascii="Bookman Old Style" w:eastAsia="Times New Roman" w:hAnsi="Bookman Old Style" w:cs="Times New Roman"/>
          <w:spacing w:val="0"/>
          <w:sz w:val="24"/>
          <w:szCs w:val="24"/>
          <w:lang w:val="es-ES" w:eastAsia="es-ES"/>
        </w:rPr>
        <w:t>(...)</w:t>
      </w:r>
    </w:p>
    <w:p w:rsidR="004F0355" w:rsidRPr="003301B8" w:rsidRDefault="004F0355" w:rsidP="004F0355">
      <w:pPr>
        <w:pStyle w:val="Style11"/>
        <w:shd w:val="clear" w:color="auto" w:fill="auto"/>
        <w:spacing w:after="180"/>
        <w:ind w:firstLine="0"/>
        <w:jc w:val="both"/>
        <w:rPr>
          <w:rFonts w:ascii="Bookman Old Style" w:eastAsia="Times New Roman" w:hAnsi="Bookman Old Style" w:cs="Times New Roman"/>
          <w:i/>
          <w:sz w:val="24"/>
          <w:szCs w:val="24"/>
          <w:lang w:val="es-ES" w:eastAsia="es-ES"/>
        </w:rPr>
      </w:pPr>
      <w:r w:rsidRPr="003301B8">
        <w:rPr>
          <w:rFonts w:ascii="Bookman Old Style" w:eastAsia="Times New Roman" w:hAnsi="Bookman Old Style" w:cs="Times New Roman"/>
          <w:i/>
          <w:sz w:val="24"/>
          <w:szCs w:val="24"/>
          <w:lang w:val="es-ES" w:eastAsia="es-ES"/>
        </w:rPr>
        <w:t>Parágrafo 1 o. Las Comisiones y la Superintendencia se financiarán exclusivamente con las contribuciones a las que se refiere este artículo y con la venta de sus publicaciones. Sin embargo, el gobierno incluirá en el presupuesto de la Nación apropiaciones suficientes para el funcionamiento de las Comisiones y de la Superintendencia durante los dos primeros años.</w:t>
      </w:r>
    </w:p>
    <w:p w:rsidR="004F0355" w:rsidRPr="003301B8" w:rsidRDefault="004F0355" w:rsidP="004F0355">
      <w:pPr>
        <w:pStyle w:val="Style11"/>
        <w:shd w:val="clear" w:color="auto" w:fill="auto"/>
        <w:spacing w:after="180"/>
        <w:ind w:firstLine="0"/>
        <w:jc w:val="both"/>
        <w:rPr>
          <w:rStyle w:val="CharStyle16"/>
          <w:rFonts w:ascii="Bookman Old Style" w:hAnsi="Bookman Old Style"/>
          <w:i w:val="0"/>
          <w:iCs w:val="0"/>
          <w:color w:val="000000"/>
          <w:lang w:eastAsia="es-ES_tradnl"/>
        </w:rPr>
      </w:pPr>
      <w:r w:rsidRPr="003301B8">
        <w:rPr>
          <w:rFonts w:ascii="Bookman Old Style" w:eastAsia="Times New Roman" w:hAnsi="Bookman Old Style" w:cs="Times New Roman"/>
          <w:i/>
          <w:iCs/>
          <w:sz w:val="24"/>
          <w:szCs w:val="24"/>
          <w:lang w:val="es-ES" w:eastAsia="es-ES"/>
        </w:rPr>
        <w:t xml:space="preserve">Parágrafo 2o. al fijar las contribuciones especiales se </w:t>
      </w:r>
      <w:r w:rsidR="00B14164" w:rsidRPr="003301B8">
        <w:rPr>
          <w:rFonts w:ascii="Bookman Old Style" w:eastAsia="Times New Roman" w:hAnsi="Bookman Old Style" w:cs="Times New Roman"/>
          <w:i/>
          <w:iCs/>
          <w:sz w:val="24"/>
          <w:szCs w:val="24"/>
          <w:lang w:val="es-ES" w:eastAsia="es-ES"/>
        </w:rPr>
        <w:t>eliminarán</w:t>
      </w:r>
      <w:r w:rsidRPr="003301B8">
        <w:rPr>
          <w:rFonts w:ascii="Bookman Old Style" w:eastAsia="Times New Roman" w:hAnsi="Bookman Old Style" w:cs="Times New Roman"/>
          <w:i/>
          <w:iCs/>
          <w:sz w:val="24"/>
          <w:szCs w:val="24"/>
          <w:lang w:val="es-ES" w:eastAsia="es-ES"/>
        </w:rPr>
        <w:t xml:space="preserve">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presupuestales de las comisiones y la superintendencia</w:t>
      </w:r>
      <w:r w:rsidRPr="003301B8">
        <w:rPr>
          <w:rStyle w:val="CharStyle13"/>
          <w:rFonts w:ascii="Bookman Old Style" w:hAnsi="Bookman Old Style"/>
          <w:color w:val="000000"/>
          <w:lang w:eastAsia="es-ES_tradnl"/>
        </w:rPr>
        <w:t>"</w:t>
      </w:r>
    </w:p>
    <w:p w:rsidR="00EB7EE9" w:rsidRPr="00EB7EE9" w:rsidRDefault="00EB7EE9" w:rsidP="00EB7EE9">
      <w:pPr>
        <w:pStyle w:val="Style11"/>
        <w:spacing w:after="180"/>
        <w:ind w:firstLine="0"/>
        <w:jc w:val="both"/>
        <w:rPr>
          <w:rFonts w:ascii="Bookman Old Style" w:eastAsia="Times New Roman" w:hAnsi="Bookman Old Style" w:cs="Times New Roman"/>
          <w:i/>
          <w:iCs/>
          <w:sz w:val="24"/>
          <w:szCs w:val="24"/>
          <w:lang w:val="es-ES" w:eastAsia="es-ES"/>
        </w:rPr>
      </w:pPr>
      <w:r w:rsidRPr="00EB7EE9">
        <w:rPr>
          <w:rFonts w:ascii="Bookman Old Style" w:eastAsia="Times New Roman" w:hAnsi="Bookman Old Style"/>
          <w:i/>
          <w:sz w:val="24"/>
          <w:szCs w:val="24"/>
          <w:lang w:eastAsia="es-ES"/>
        </w:rPr>
        <w:t>En la Resolución No 1</w:t>
      </w:r>
      <w:r>
        <w:rPr>
          <w:rFonts w:ascii="Bookman Old Style" w:eastAsia="Times New Roman" w:hAnsi="Bookman Old Style"/>
          <w:i/>
          <w:sz w:val="24"/>
          <w:szCs w:val="24"/>
          <w:lang w:eastAsia="es-ES"/>
        </w:rPr>
        <w:t>6</w:t>
      </w:r>
      <w:r w:rsidRPr="00EB7EE9">
        <w:rPr>
          <w:rFonts w:ascii="Bookman Old Style" w:eastAsia="Times New Roman" w:hAnsi="Bookman Old Style"/>
          <w:i/>
          <w:sz w:val="24"/>
          <w:szCs w:val="24"/>
          <w:lang w:eastAsia="es-ES"/>
        </w:rPr>
        <w:t xml:space="preserve">2 de </w:t>
      </w:r>
      <w:r>
        <w:rPr>
          <w:rFonts w:ascii="Bookman Old Style" w:eastAsia="Times New Roman" w:hAnsi="Bookman Old Style" w:cs="Times New Roman"/>
          <w:i/>
          <w:iCs/>
          <w:sz w:val="24"/>
          <w:szCs w:val="24"/>
          <w:lang w:val="es-ES" w:eastAsia="es-ES"/>
        </w:rPr>
        <w:t>30 de octubre de 2017 “P</w:t>
      </w:r>
      <w:r w:rsidRPr="00EB7EE9">
        <w:rPr>
          <w:rFonts w:ascii="Bookman Old Style" w:eastAsia="Times New Roman" w:hAnsi="Bookman Old Style" w:cs="Times New Roman"/>
          <w:i/>
          <w:iCs/>
          <w:sz w:val="24"/>
          <w:szCs w:val="24"/>
          <w:lang w:val="es-ES" w:eastAsia="es-ES"/>
        </w:rPr>
        <w:t xml:space="preserve">or la cual se señala el valor de la contribución que debe </w:t>
      </w:r>
      <w:r>
        <w:rPr>
          <w:rFonts w:ascii="Bookman Old Style" w:eastAsia="Times New Roman" w:hAnsi="Bookman Old Style" w:cs="Times New Roman"/>
          <w:i/>
          <w:iCs/>
          <w:sz w:val="24"/>
          <w:szCs w:val="24"/>
          <w:lang w:val="es-ES" w:eastAsia="es-ES"/>
        </w:rPr>
        <w:t>pagar a la Co</w:t>
      </w:r>
      <w:r w:rsidRPr="00EB7EE9">
        <w:rPr>
          <w:rFonts w:ascii="Bookman Old Style" w:eastAsia="Times New Roman" w:hAnsi="Bookman Old Style" w:cs="Times New Roman"/>
          <w:i/>
          <w:iCs/>
          <w:sz w:val="24"/>
          <w:szCs w:val="24"/>
          <w:lang w:val="es-ES" w:eastAsia="es-ES"/>
        </w:rPr>
        <w:t>misión de Regulación de Energía</w:t>
      </w:r>
      <w:r>
        <w:rPr>
          <w:rFonts w:ascii="Bookman Old Style" w:eastAsia="Times New Roman" w:hAnsi="Bookman Old Style" w:cs="Times New Roman"/>
          <w:i/>
          <w:iCs/>
          <w:sz w:val="24"/>
          <w:szCs w:val="24"/>
          <w:lang w:val="es-ES" w:eastAsia="es-ES"/>
        </w:rPr>
        <w:t xml:space="preserve"> </w:t>
      </w:r>
      <w:r w:rsidRPr="00EB7EE9">
        <w:rPr>
          <w:rFonts w:ascii="Bookman Old Style" w:eastAsia="Times New Roman" w:hAnsi="Bookman Old Style" w:cs="Times New Roman"/>
          <w:i/>
          <w:iCs/>
          <w:sz w:val="24"/>
          <w:szCs w:val="24"/>
          <w:lang w:val="es-ES" w:eastAsia="es-ES"/>
        </w:rPr>
        <w:t>y</w:t>
      </w:r>
      <w:r>
        <w:rPr>
          <w:rFonts w:ascii="Bookman Old Style" w:eastAsia="Times New Roman" w:hAnsi="Bookman Old Style" w:cs="Times New Roman"/>
          <w:i/>
          <w:iCs/>
          <w:sz w:val="24"/>
          <w:szCs w:val="24"/>
          <w:lang w:val="es-ES" w:eastAsia="es-ES"/>
        </w:rPr>
        <w:t xml:space="preserve"> Gas-C</w:t>
      </w:r>
      <w:r w:rsidRPr="00EB7EE9">
        <w:rPr>
          <w:rFonts w:ascii="Bookman Old Style" w:eastAsia="Times New Roman" w:hAnsi="Bookman Old Style" w:cs="Times New Roman"/>
          <w:i/>
          <w:iCs/>
          <w:sz w:val="24"/>
          <w:szCs w:val="24"/>
          <w:lang w:val="es-ES" w:eastAsia="es-ES"/>
        </w:rPr>
        <w:t>REG cada una de las entidades reguladas por el año 2017“</w:t>
      </w:r>
    </w:p>
    <w:p w:rsidR="004F0355" w:rsidRDefault="00EB7EE9" w:rsidP="00EB7EE9">
      <w:pPr>
        <w:pStyle w:val="Style11"/>
        <w:shd w:val="clear" w:color="auto" w:fill="auto"/>
        <w:spacing w:after="180"/>
        <w:ind w:firstLine="0"/>
        <w:jc w:val="both"/>
        <w:rPr>
          <w:rFonts w:ascii="Bookman Old Style" w:eastAsia="Times New Roman" w:hAnsi="Bookman Old Style"/>
          <w:i/>
          <w:sz w:val="24"/>
          <w:szCs w:val="24"/>
          <w:lang w:eastAsia="es-ES"/>
        </w:rPr>
      </w:pPr>
      <w:r w:rsidRPr="00EB7EE9">
        <w:rPr>
          <w:rFonts w:ascii="Bookman Old Style" w:eastAsia="Times New Roman" w:hAnsi="Bookman Old Style" w:cs="Times New Roman"/>
          <w:i/>
          <w:iCs/>
          <w:sz w:val="24"/>
          <w:szCs w:val="24"/>
          <w:lang w:val="es-ES" w:eastAsia="es-ES"/>
        </w:rPr>
        <w:t>“</w:t>
      </w:r>
      <w:r>
        <w:rPr>
          <w:rFonts w:ascii="Bookman Old Style" w:eastAsia="Times New Roman" w:hAnsi="Bookman Old Style" w:cs="Times New Roman"/>
          <w:i/>
          <w:iCs/>
          <w:sz w:val="24"/>
          <w:szCs w:val="24"/>
          <w:lang w:val="es-ES" w:eastAsia="es-ES"/>
        </w:rPr>
        <w:t>ARTICULO 1.</w:t>
      </w:r>
      <w:r w:rsidRPr="00EB7EE9">
        <w:rPr>
          <w:rFonts w:ascii="Bookman Old Style" w:eastAsia="Times New Roman" w:hAnsi="Bookman Old Style" w:cs="Times New Roman"/>
          <w:i/>
          <w:iCs/>
          <w:sz w:val="24"/>
          <w:szCs w:val="24"/>
          <w:lang w:val="es-ES" w:eastAsia="es-ES"/>
        </w:rPr>
        <w:t xml:space="preserve"> Las entidades del sector eléctrico</w:t>
      </w:r>
      <w:r>
        <w:rPr>
          <w:rFonts w:ascii="Bookman Old Style" w:eastAsia="Times New Roman" w:hAnsi="Bookman Old Style" w:cs="Times New Roman"/>
          <w:i/>
          <w:iCs/>
          <w:sz w:val="24"/>
          <w:szCs w:val="24"/>
          <w:lang w:val="es-ES" w:eastAsia="es-ES"/>
        </w:rPr>
        <w:t xml:space="preserve"> </w:t>
      </w:r>
      <w:r w:rsidRPr="00EB7EE9">
        <w:rPr>
          <w:rFonts w:ascii="Bookman Old Style" w:eastAsia="Times New Roman" w:hAnsi="Bookman Old Style" w:cs="Times New Roman"/>
          <w:i/>
          <w:iCs/>
          <w:sz w:val="24"/>
          <w:szCs w:val="24"/>
          <w:lang w:val="es-ES" w:eastAsia="es-ES"/>
        </w:rPr>
        <w:t>sujetas</w:t>
      </w:r>
      <w:r>
        <w:rPr>
          <w:rFonts w:ascii="Bookman Old Style" w:eastAsia="Times New Roman" w:hAnsi="Bookman Old Style" w:cs="Times New Roman"/>
          <w:i/>
          <w:iCs/>
          <w:sz w:val="24"/>
          <w:szCs w:val="24"/>
          <w:lang w:val="es-ES" w:eastAsia="es-ES"/>
        </w:rPr>
        <w:t xml:space="preserve"> </w:t>
      </w:r>
      <w:r w:rsidRPr="00EB7EE9">
        <w:rPr>
          <w:rFonts w:ascii="Bookman Old Style" w:eastAsia="Times New Roman" w:hAnsi="Bookman Old Style" w:cs="Times New Roman"/>
          <w:i/>
          <w:iCs/>
          <w:sz w:val="24"/>
          <w:szCs w:val="24"/>
          <w:lang w:val="es-ES" w:eastAsia="es-ES"/>
        </w:rPr>
        <w:t>a</w:t>
      </w:r>
      <w:r>
        <w:rPr>
          <w:rFonts w:ascii="Bookman Old Style" w:eastAsia="Times New Roman" w:hAnsi="Bookman Old Style" w:cs="Times New Roman"/>
          <w:i/>
          <w:iCs/>
          <w:sz w:val="24"/>
          <w:szCs w:val="24"/>
          <w:lang w:val="es-ES" w:eastAsia="es-ES"/>
        </w:rPr>
        <w:t xml:space="preserve"> </w:t>
      </w:r>
      <w:r w:rsidRPr="00EB7EE9">
        <w:rPr>
          <w:rFonts w:ascii="Bookman Old Style" w:eastAsia="Times New Roman" w:hAnsi="Bookman Old Style" w:cs="Times New Roman"/>
          <w:i/>
          <w:iCs/>
          <w:sz w:val="24"/>
          <w:szCs w:val="24"/>
          <w:lang w:val="es-ES" w:eastAsia="es-ES"/>
        </w:rPr>
        <w:t>regulación pagarán el</w:t>
      </w:r>
      <w:r>
        <w:rPr>
          <w:rFonts w:ascii="Bookman Old Style" w:eastAsia="Times New Roman" w:hAnsi="Bookman Old Style" w:cs="Times New Roman"/>
          <w:i/>
          <w:iCs/>
          <w:sz w:val="24"/>
          <w:szCs w:val="24"/>
          <w:lang w:val="es-ES" w:eastAsia="es-ES"/>
        </w:rPr>
        <w:t xml:space="preserve"> monto de l</w:t>
      </w:r>
      <w:r w:rsidRPr="00EB7EE9">
        <w:rPr>
          <w:rFonts w:ascii="Bookman Old Style" w:eastAsia="Times New Roman" w:hAnsi="Bookman Old Style" w:cs="Times New Roman"/>
          <w:i/>
          <w:iCs/>
          <w:sz w:val="24"/>
          <w:szCs w:val="24"/>
          <w:lang w:val="es-ES" w:eastAsia="es-ES"/>
        </w:rPr>
        <w:t>a contribución en el año</w:t>
      </w:r>
      <w:r w:rsidRPr="00EB7EE9">
        <w:rPr>
          <w:rFonts w:ascii="Bookman Old Style" w:eastAsia="Times New Roman" w:hAnsi="Bookman Old Style"/>
          <w:i/>
          <w:sz w:val="24"/>
          <w:szCs w:val="24"/>
          <w:lang w:eastAsia="es-ES"/>
        </w:rPr>
        <w:t xml:space="preserve"> 201</w:t>
      </w:r>
      <w:r w:rsidR="00446EC9">
        <w:rPr>
          <w:rFonts w:ascii="Bookman Old Style" w:eastAsia="Times New Roman" w:hAnsi="Bookman Old Style"/>
          <w:i/>
          <w:sz w:val="24"/>
          <w:szCs w:val="24"/>
          <w:lang w:eastAsia="es-ES"/>
        </w:rPr>
        <w:t>6</w:t>
      </w:r>
      <w:r w:rsidRPr="00EB7EE9">
        <w:rPr>
          <w:rFonts w:ascii="Bookman Old Style" w:eastAsia="Times New Roman" w:hAnsi="Bookman Old Style"/>
          <w:i/>
          <w:sz w:val="24"/>
          <w:szCs w:val="24"/>
          <w:lang w:eastAsia="es-ES"/>
        </w:rPr>
        <w:t>, así</w:t>
      </w:r>
    </w:p>
    <w:p w:rsidR="00EB7EE9" w:rsidRDefault="00EB7EE9" w:rsidP="00EB7EE9">
      <w:pPr>
        <w:pStyle w:val="Style11"/>
        <w:shd w:val="clear" w:color="auto" w:fill="auto"/>
        <w:spacing w:after="180"/>
        <w:ind w:firstLine="0"/>
        <w:jc w:val="both"/>
        <w:rPr>
          <w:rFonts w:ascii="Bookman Old Style" w:eastAsia="Times New Roman" w:hAnsi="Bookman Old Style"/>
          <w:i/>
          <w:sz w:val="24"/>
          <w:szCs w:val="24"/>
          <w:lang w:eastAsia="es-ES"/>
        </w:rPr>
      </w:pPr>
    </w:p>
    <w:tbl>
      <w:tblPr>
        <w:tblW w:w="0" w:type="auto"/>
        <w:jc w:val="center"/>
        <w:tblLayout w:type="fixed"/>
        <w:tblCellMar>
          <w:left w:w="0" w:type="dxa"/>
          <w:right w:w="0" w:type="dxa"/>
        </w:tblCellMar>
        <w:tblLook w:val="0000" w:firstRow="0" w:lastRow="0" w:firstColumn="0" w:lastColumn="0" w:noHBand="0" w:noVBand="0"/>
      </w:tblPr>
      <w:tblGrid>
        <w:gridCol w:w="1142"/>
        <w:gridCol w:w="1440"/>
        <w:gridCol w:w="1344"/>
        <w:gridCol w:w="1046"/>
        <w:gridCol w:w="1910"/>
        <w:gridCol w:w="1699"/>
      </w:tblGrid>
      <w:tr w:rsidR="00EB7EE9" w:rsidRPr="00EB7EE9" w:rsidTr="00EB7EE9">
        <w:trPr>
          <w:trHeight w:hRule="exact" w:val="221"/>
          <w:jc w:val="center"/>
        </w:trPr>
        <w:tc>
          <w:tcPr>
            <w:tcW w:w="1142" w:type="dxa"/>
            <w:tcBorders>
              <w:top w:val="single" w:sz="4" w:space="0" w:color="auto"/>
              <w:left w:val="single" w:sz="4" w:space="0" w:color="auto"/>
              <w:bottom w:val="nil"/>
              <w:right w:val="nil"/>
            </w:tcBorders>
            <w:shd w:val="clear" w:color="auto" w:fill="FFFFFF"/>
            <w:vAlign w:val="bottom"/>
          </w:tcPr>
          <w:p w:rsidR="00EB7EE9" w:rsidRPr="00EB7EE9" w:rsidRDefault="00EB7EE9" w:rsidP="00EB7EE9">
            <w:pPr>
              <w:pStyle w:val="Style14"/>
              <w:shd w:val="clear" w:color="auto" w:fill="auto"/>
              <w:spacing w:before="0" w:line="160" w:lineRule="exact"/>
              <w:jc w:val="center"/>
              <w:rPr>
                <w:i/>
              </w:rPr>
            </w:pPr>
            <w:r w:rsidRPr="00EB7EE9">
              <w:rPr>
                <w:rStyle w:val="CharStyle22"/>
                <w:i/>
                <w:color w:val="000000"/>
                <w:lang w:eastAsia="es-ES_tradnl"/>
              </w:rPr>
              <w:t>ITEM</w:t>
            </w:r>
          </w:p>
        </w:tc>
        <w:tc>
          <w:tcPr>
            <w:tcW w:w="1440" w:type="dxa"/>
            <w:tcBorders>
              <w:top w:val="single" w:sz="4" w:space="0" w:color="auto"/>
              <w:left w:val="single" w:sz="4" w:space="0" w:color="auto"/>
              <w:bottom w:val="nil"/>
              <w:right w:val="nil"/>
            </w:tcBorders>
            <w:shd w:val="clear" w:color="auto" w:fill="FFFFFF"/>
            <w:vAlign w:val="bottom"/>
          </w:tcPr>
          <w:p w:rsidR="00EB7EE9" w:rsidRPr="00EB7EE9" w:rsidRDefault="00EB7EE9" w:rsidP="00EB7EE9">
            <w:pPr>
              <w:pStyle w:val="Style14"/>
              <w:shd w:val="clear" w:color="auto" w:fill="auto"/>
              <w:spacing w:before="0" w:line="160" w:lineRule="exact"/>
              <w:jc w:val="center"/>
              <w:rPr>
                <w:i/>
              </w:rPr>
            </w:pPr>
            <w:r w:rsidRPr="00EB7EE9">
              <w:rPr>
                <w:rStyle w:val="CharStyle22"/>
                <w:i/>
                <w:color w:val="000000"/>
                <w:lang w:val="en-US"/>
              </w:rPr>
              <w:t>NIT</w:t>
            </w:r>
          </w:p>
        </w:tc>
        <w:tc>
          <w:tcPr>
            <w:tcW w:w="1344" w:type="dxa"/>
            <w:tcBorders>
              <w:top w:val="single" w:sz="4" w:space="0" w:color="auto"/>
              <w:left w:val="single" w:sz="4" w:space="0" w:color="auto"/>
              <w:bottom w:val="nil"/>
              <w:right w:val="nil"/>
            </w:tcBorders>
            <w:shd w:val="clear" w:color="auto" w:fill="FFFFFF"/>
            <w:vAlign w:val="bottom"/>
          </w:tcPr>
          <w:p w:rsidR="00EB7EE9" w:rsidRPr="00EB7EE9" w:rsidRDefault="00EB7EE9" w:rsidP="00EB7EE9">
            <w:pPr>
              <w:pStyle w:val="Style14"/>
              <w:shd w:val="clear" w:color="auto" w:fill="auto"/>
              <w:spacing w:before="0" w:line="160" w:lineRule="exact"/>
              <w:jc w:val="center"/>
              <w:rPr>
                <w:i/>
              </w:rPr>
            </w:pPr>
            <w:r w:rsidRPr="00EB7EE9">
              <w:rPr>
                <w:rStyle w:val="CharStyle22"/>
                <w:i/>
                <w:color w:val="000000"/>
                <w:lang w:eastAsia="es-ES_tradnl"/>
              </w:rPr>
              <w:t xml:space="preserve">Razón </w:t>
            </w:r>
            <w:r w:rsidRPr="00EB7EE9">
              <w:rPr>
                <w:rStyle w:val="CharStyle22"/>
                <w:i/>
                <w:color w:val="000000"/>
                <w:lang w:val="en-US"/>
              </w:rPr>
              <w:t>Social</w:t>
            </w:r>
          </w:p>
        </w:tc>
        <w:tc>
          <w:tcPr>
            <w:tcW w:w="1046" w:type="dxa"/>
            <w:tcBorders>
              <w:top w:val="single" w:sz="4" w:space="0" w:color="auto"/>
              <w:left w:val="single" w:sz="4" w:space="0" w:color="auto"/>
              <w:bottom w:val="nil"/>
              <w:right w:val="nil"/>
            </w:tcBorders>
            <w:shd w:val="clear" w:color="auto" w:fill="FFFFFF"/>
            <w:vAlign w:val="bottom"/>
          </w:tcPr>
          <w:p w:rsidR="00EB7EE9" w:rsidRPr="00EB7EE9" w:rsidRDefault="00EB7EE9" w:rsidP="00EB7EE9">
            <w:pPr>
              <w:pStyle w:val="Style14"/>
              <w:shd w:val="clear" w:color="auto" w:fill="auto"/>
              <w:spacing w:before="0" w:line="160" w:lineRule="exact"/>
              <w:jc w:val="center"/>
              <w:rPr>
                <w:i/>
              </w:rPr>
            </w:pPr>
            <w:r w:rsidRPr="00EB7EE9">
              <w:rPr>
                <w:rStyle w:val="CharStyle22"/>
                <w:i/>
                <w:color w:val="000000"/>
                <w:lang w:eastAsia="es-ES_tradnl"/>
              </w:rPr>
              <w:t>Sector</w:t>
            </w:r>
          </w:p>
        </w:tc>
        <w:tc>
          <w:tcPr>
            <w:tcW w:w="1910" w:type="dxa"/>
            <w:tcBorders>
              <w:top w:val="single" w:sz="4" w:space="0" w:color="auto"/>
              <w:left w:val="single" w:sz="4" w:space="0" w:color="auto"/>
              <w:bottom w:val="nil"/>
              <w:right w:val="nil"/>
            </w:tcBorders>
            <w:shd w:val="clear" w:color="auto" w:fill="FFFFFF"/>
            <w:vAlign w:val="bottom"/>
          </w:tcPr>
          <w:p w:rsidR="00EB7EE9" w:rsidRPr="00EB7EE9" w:rsidRDefault="00EB7EE9" w:rsidP="00EB7EE9">
            <w:pPr>
              <w:pStyle w:val="Style14"/>
              <w:shd w:val="clear" w:color="auto" w:fill="auto"/>
              <w:spacing w:before="0" w:line="160" w:lineRule="exact"/>
              <w:jc w:val="center"/>
              <w:rPr>
                <w:i/>
              </w:rPr>
            </w:pPr>
            <w:r w:rsidRPr="00EB7EE9">
              <w:rPr>
                <w:rStyle w:val="CharStyle22"/>
                <w:i/>
                <w:color w:val="000000"/>
                <w:lang w:eastAsia="es-ES_tradnl"/>
              </w:rPr>
              <w:t>Base</w:t>
            </w:r>
          </w:p>
        </w:tc>
        <w:tc>
          <w:tcPr>
            <w:tcW w:w="1699" w:type="dxa"/>
            <w:tcBorders>
              <w:top w:val="single" w:sz="4" w:space="0" w:color="auto"/>
              <w:left w:val="single" w:sz="4" w:space="0" w:color="auto"/>
              <w:bottom w:val="nil"/>
              <w:right w:val="single" w:sz="4" w:space="0" w:color="auto"/>
            </w:tcBorders>
            <w:shd w:val="clear" w:color="auto" w:fill="FFFFFF"/>
            <w:vAlign w:val="bottom"/>
          </w:tcPr>
          <w:p w:rsidR="00EB7EE9" w:rsidRPr="00EB7EE9" w:rsidRDefault="00EB7EE9" w:rsidP="00EB7EE9">
            <w:pPr>
              <w:pStyle w:val="Style14"/>
              <w:shd w:val="clear" w:color="auto" w:fill="auto"/>
              <w:spacing w:before="0" w:line="160" w:lineRule="exact"/>
              <w:jc w:val="center"/>
              <w:rPr>
                <w:i/>
              </w:rPr>
            </w:pPr>
            <w:r w:rsidRPr="00EB7EE9">
              <w:rPr>
                <w:rStyle w:val="CharStyle22"/>
                <w:i/>
                <w:color w:val="000000"/>
                <w:lang w:eastAsia="es-ES_tradnl"/>
              </w:rPr>
              <w:t>Contribución</w:t>
            </w:r>
          </w:p>
        </w:tc>
      </w:tr>
      <w:tr w:rsidR="00EB7EE9" w:rsidRPr="00EB7EE9" w:rsidTr="00EB7EE9">
        <w:trPr>
          <w:trHeight w:hRule="exact" w:val="653"/>
          <w:jc w:val="center"/>
        </w:trPr>
        <w:tc>
          <w:tcPr>
            <w:tcW w:w="1142" w:type="dxa"/>
            <w:tcBorders>
              <w:top w:val="single" w:sz="4" w:space="0" w:color="auto"/>
              <w:left w:val="single" w:sz="4" w:space="0" w:color="auto"/>
              <w:bottom w:val="single" w:sz="4" w:space="0" w:color="auto"/>
              <w:right w:val="nil"/>
            </w:tcBorders>
            <w:shd w:val="clear" w:color="auto" w:fill="FFFFFF"/>
          </w:tcPr>
          <w:p w:rsidR="00EB7EE9" w:rsidRPr="00EB7EE9" w:rsidRDefault="00EB7EE9" w:rsidP="00EB7EE9">
            <w:pPr>
              <w:pStyle w:val="Style14"/>
              <w:shd w:val="clear" w:color="auto" w:fill="auto"/>
              <w:spacing w:before="0" w:line="160" w:lineRule="exact"/>
              <w:jc w:val="center"/>
              <w:rPr>
                <w:i/>
              </w:rPr>
            </w:pPr>
            <w:r w:rsidRPr="00EB7EE9">
              <w:rPr>
                <w:rStyle w:val="CharStyle22"/>
                <w:i/>
                <w:color w:val="000000"/>
                <w:lang w:eastAsia="es-ES_tradnl"/>
              </w:rPr>
              <w:t>76</w:t>
            </w:r>
          </w:p>
        </w:tc>
        <w:tc>
          <w:tcPr>
            <w:tcW w:w="1440" w:type="dxa"/>
            <w:tcBorders>
              <w:top w:val="single" w:sz="4" w:space="0" w:color="auto"/>
              <w:left w:val="single" w:sz="4" w:space="0" w:color="auto"/>
              <w:bottom w:val="single" w:sz="4" w:space="0" w:color="auto"/>
              <w:right w:val="nil"/>
            </w:tcBorders>
            <w:shd w:val="clear" w:color="auto" w:fill="FFFFFF"/>
          </w:tcPr>
          <w:p w:rsidR="00EB7EE9" w:rsidRPr="00EB7EE9" w:rsidRDefault="00EB7EE9" w:rsidP="00EB7EE9">
            <w:pPr>
              <w:pStyle w:val="Style14"/>
              <w:shd w:val="clear" w:color="auto" w:fill="auto"/>
              <w:spacing w:before="0" w:line="160" w:lineRule="exact"/>
              <w:jc w:val="center"/>
              <w:rPr>
                <w:i/>
              </w:rPr>
            </w:pPr>
            <w:r w:rsidRPr="00EB7EE9">
              <w:rPr>
                <w:rStyle w:val="CharStyle22"/>
                <w:i/>
                <w:color w:val="000000"/>
                <w:lang w:val="en-US"/>
              </w:rPr>
              <w:t>890.904.996-1</w:t>
            </w:r>
          </w:p>
        </w:tc>
        <w:tc>
          <w:tcPr>
            <w:tcW w:w="1344" w:type="dxa"/>
            <w:tcBorders>
              <w:top w:val="single" w:sz="4" w:space="0" w:color="auto"/>
              <w:left w:val="single" w:sz="4" w:space="0" w:color="auto"/>
              <w:bottom w:val="single" w:sz="4" w:space="0" w:color="auto"/>
              <w:right w:val="nil"/>
            </w:tcBorders>
            <w:shd w:val="clear" w:color="auto" w:fill="FFFFFF"/>
          </w:tcPr>
          <w:p w:rsidR="00EB7EE9" w:rsidRPr="00EB7EE9" w:rsidRDefault="00EB7EE9" w:rsidP="00EB7EE9">
            <w:pPr>
              <w:pStyle w:val="Style14"/>
              <w:shd w:val="clear" w:color="auto" w:fill="auto"/>
              <w:spacing w:before="0" w:line="202" w:lineRule="exact"/>
              <w:jc w:val="center"/>
              <w:rPr>
                <w:i/>
              </w:rPr>
            </w:pPr>
            <w:r w:rsidRPr="00EB7EE9">
              <w:rPr>
                <w:rStyle w:val="CharStyle22"/>
                <w:i/>
                <w:color w:val="000000"/>
                <w:lang w:eastAsia="es-ES_tradnl"/>
              </w:rPr>
              <w:t xml:space="preserve">Empresas Públicas de </w:t>
            </w:r>
            <w:r w:rsidRPr="00EB7EE9">
              <w:rPr>
                <w:rStyle w:val="CharStyle22"/>
                <w:i/>
                <w:color w:val="000000"/>
                <w:lang w:val="en-US"/>
              </w:rPr>
              <w:t>Medellin</w:t>
            </w:r>
          </w:p>
        </w:tc>
        <w:tc>
          <w:tcPr>
            <w:tcW w:w="1046" w:type="dxa"/>
            <w:tcBorders>
              <w:top w:val="single" w:sz="4" w:space="0" w:color="auto"/>
              <w:left w:val="single" w:sz="4" w:space="0" w:color="auto"/>
              <w:bottom w:val="single" w:sz="4" w:space="0" w:color="auto"/>
              <w:right w:val="nil"/>
            </w:tcBorders>
            <w:shd w:val="clear" w:color="auto" w:fill="FFFFFF"/>
          </w:tcPr>
          <w:p w:rsidR="00EB7EE9" w:rsidRPr="00EB7EE9" w:rsidRDefault="00EB7EE9" w:rsidP="00EB7EE9">
            <w:pPr>
              <w:pStyle w:val="Style14"/>
              <w:shd w:val="clear" w:color="auto" w:fill="auto"/>
              <w:spacing w:before="0" w:line="160" w:lineRule="exact"/>
              <w:jc w:val="center"/>
              <w:rPr>
                <w:i/>
              </w:rPr>
            </w:pPr>
            <w:r w:rsidRPr="00EB7EE9">
              <w:rPr>
                <w:rStyle w:val="CharStyle23"/>
                <w:i/>
                <w:color w:val="000000"/>
                <w:lang w:eastAsia="es-ES_tradnl"/>
              </w:rPr>
              <w:t>ENE-GN</w:t>
            </w:r>
          </w:p>
        </w:tc>
        <w:tc>
          <w:tcPr>
            <w:tcW w:w="1910" w:type="dxa"/>
            <w:tcBorders>
              <w:top w:val="single" w:sz="4" w:space="0" w:color="auto"/>
              <w:left w:val="single" w:sz="4" w:space="0" w:color="auto"/>
              <w:bottom w:val="single" w:sz="4" w:space="0" w:color="auto"/>
              <w:right w:val="nil"/>
            </w:tcBorders>
            <w:shd w:val="clear" w:color="auto" w:fill="FFFFFF"/>
          </w:tcPr>
          <w:p w:rsidR="00EB7EE9" w:rsidRPr="00EB7EE9" w:rsidRDefault="00EB7EE9" w:rsidP="00EB7EE9">
            <w:pPr>
              <w:pStyle w:val="Style14"/>
              <w:shd w:val="clear" w:color="auto" w:fill="auto"/>
              <w:spacing w:before="0" w:line="160" w:lineRule="exact"/>
              <w:jc w:val="center"/>
              <w:rPr>
                <w:i/>
              </w:rPr>
            </w:pPr>
            <w:r w:rsidRPr="00EB7EE9">
              <w:rPr>
                <w:rStyle w:val="CharStyle22"/>
                <w:i/>
                <w:color w:val="000000"/>
                <w:lang w:eastAsia="es-ES_tradnl"/>
              </w:rPr>
              <w:t>362.218.443.490,00</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EB7EE9" w:rsidRPr="00EB7EE9" w:rsidRDefault="00EB7EE9" w:rsidP="00EB7EE9">
            <w:pPr>
              <w:pStyle w:val="Style14"/>
              <w:shd w:val="clear" w:color="auto" w:fill="auto"/>
              <w:spacing w:before="0" w:line="160" w:lineRule="exact"/>
              <w:jc w:val="center"/>
              <w:rPr>
                <w:i/>
              </w:rPr>
            </w:pPr>
            <w:r w:rsidRPr="00EB7EE9">
              <w:rPr>
                <w:rStyle w:val="CharStyle22"/>
                <w:i/>
                <w:color w:val="000000"/>
                <w:lang w:eastAsia="es-ES_tradnl"/>
              </w:rPr>
              <w:t>3.600.451.328,00</w:t>
            </w:r>
          </w:p>
        </w:tc>
      </w:tr>
    </w:tbl>
    <w:p w:rsidR="00EB7EE9" w:rsidRDefault="00EB7EE9" w:rsidP="00EB7EE9">
      <w:pPr>
        <w:pStyle w:val="Style11"/>
        <w:shd w:val="clear" w:color="auto" w:fill="auto"/>
        <w:spacing w:after="180"/>
        <w:ind w:firstLine="0"/>
        <w:jc w:val="both"/>
        <w:rPr>
          <w:rFonts w:ascii="Bookman Old Style" w:eastAsia="Times New Roman" w:hAnsi="Bookman Old Style"/>
          <w:i/>
          <w:sz w:val="24"/>
          <w:szCs w:val="24"/>
          <w:lang w:eastAsia="es-ES"/>
        </w:rPr>
      </w:pPr>
    </w:p>
    <w:p w:rsidR="00EB7EE9" w:rsidRPr="00EB7EE9" w:rsidRDefault="00EB7EE9" w:rsidP="00EB7EE9">
      <w:pPr>
        <w:pStyle w:val="Style11"/>
        <w:spacing w:after="180"/>
        <w:ind w:firstLine="0"/>
        <w:jc w:val="both"/>
        <w:rPr>
          <w:rFonts w:ascii="Bookman Old Style" w:eastAsia="Times New Roman" w:hAnsi="Bookman Old Style"/>
          <w:i/>
          <w:sz w:val="24"/>
          <w:szCs w:val="24"/>
          <w:lang w:eastAsia="es-ES"/>
        </w:rPr>
      </w:pPr>
      <w:r w:rsidRPr="00EB7EE9">
        <w:rPr>
          <w:rFonts w:ascii="Bookman Old Style" w:eastAsia="Times New Roman" w:hAnsi="Bookman Old Style"/>
          <w:i/>
          <w:sz w:val="24"/>
          <w:szCs w:val="24"/>
          <w:lang w:eastAsia="es-ES"/>
        </w:rPr>
        <w:t>El motivo por</w:t>
      </w:r>
      <w:r>
        <w:rPr>
          <w:rFonts w:ascii="Bookman Old Style" w:eastAsia="Times New Roman" w:hAnsi="Bookman Old Style"/>
          <w:i/>
          <w:sz w:val="24"/>
          <w:szCs w:val="24"/>
          <w:lang w:eastAsia="es-ES"/>
        </w:rPr>
        <w:t xml:space="preserve"> el cual EP</w:t>
      </w:r>
      <w:r w:rsidRPr="00EB7EE9">
        <w:rPr>
          <w:rFonts w:ascii="Bookman Old Style" w:eastAsia="Times New Roman" w:hAnsi="Bookman Old Style"/>
          <w:i/>
          <w:sz w:val="24"/>
          <w:szCs w:val="24"/>
          <w:lang w:eastAsia="es-ES"/>
        </w:rPr>
        <w:t>M no comparte la liquidación que antecede, está relacionado con el renglón gastos de administración en el cual se están tomando valores que no corresponden,</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tal como explica</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a</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continuación:</w:t>
      </w:r>
    </w:p>
    <w:p w:rsidR="00EB7EE9" w:rsidRPr="00EB7EE9" w:rsidRDefault="00EB7EE9" w:rsidP="00EB7EE9">
      <w:pPr>
        <w:pStyle w:val="Style11"/>
        <w:spacing w:after="180"/>
        <w:ind w:firstLine="0"/>
        <w:jc w:val="both"/>
        <w:rPr>
          <w:rFonts w:ascii="Bookman Old Style" w:eastAsia="Times New Roman" w:hAnsi="Bookman Old Style"/>
          <w:i/>
          <w:sz w:val="24"/>
          <w:szCs w:val="24"/>
          <w:lang w:eastAsia="es-ES"/>
        </w:rPr>
      </w:pPr>
      <w:r>
        <w:rPr>
          <w:rFonts w:ascii="Bookman Old Style" w:eastAsia="Times New Roman" w:hAnsi="Bookman Old Style"/>
          <w:i/>
          <w:sz w:val="24"/>
          <w:szCs w:val="24"/>
          <w:lang w:eastAsia="es-ES"/>
        </w:rPr>
        <w:t>H</w:t>
      </w:r>
      <w:r w:rsidRPr="00EB7EE9">
        <w:rPr>
          <w:rFonts w:ascii="Bookman Old Style" w:eastAsia="Times New Roman" w:hAnsi="Bookman Old Style"/>
          <w:i/>
          <w:sz w:val="24"/>
          <w:szCs w:val="24"/>
          <w:lang w:eastAsia="es-ES"/>
        </w:rPr>
        <w:t>asta 2015,</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la información presentada</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por</w:t>
      </w:r>
      <w:r>
        <w:rPr>
          <w:rFonts w:ascii="Bookman Old Style" w:eastAsia="Times New Roman" w:hAnsi="Bookman Old Style"/>
          <w:i/>
          <w:sz w:val="24"/>
          <w:szCs w:val="24"/>
          <w:lang w:eastAsia="es-ES"/>
        </w:rPr>
        <w:t xml:space="preserve"> EP</w:t>
      </w:r>
      <w:r w:rsidRPr="00EB7EE9">
        <w:rPr>
          <w:rFonts w:ascii="Bookman Old Style" w:eastAsia="Times New Roman" w:hAnsi="Bookman Old Style"/>
          <w:i/>
          <w:sz w:val="24"/>
          <w:szCs w:val="24"/>
          <w:lang w:eastAsia="es-ES"/>
        </w:rPr>
        <w:t>M</w:t>
      </w:r>
      <w:r>
        <w:rPr>
          <w:rFonts w:ascii="Bookman Old Style" w:eastAsia="Times New Roman" w:hAnsi="Bookman Old Style"/>
          <w:i/>
          <w:sz w:val="24"/>
          <w:szCs w:val="24"/>
          <w:lang w:eastAsia="es-ES"/>
        </w:rPr>
        <w:t xml:space="preserve"> al S</w:t>
      </w:r>
      <w:r w:rsidRPr="00EB7EE9">
        <w:rPr>
          <w:rFonts w:ascii="Bookman Old Style" w:eastAsia="Times New Roman" w:hAnsi="Bookman Old Style"/>
          <w:i/>
          <w:sz w:val="24"/>
          <w:szCs w:val="24"/>
          <w:lang w:eastAsia="es-ES"/>
        </w:rPr>
        <w:t>UI,</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correspondía</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a</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la establecida de conformidad co</w:t>
      </w:r>
      <w:r>
        <w:rPr>
          <w:rFonts w:ascii="Bookman Old Style" w:eastAsia="Times New Roman" w:hAnsi="Bookman Old Style"/>
          <w:i/>
          <w:sz w:val="24"/>
          <w:szCs w:val="24"/>
          <w:lang w:eastAsia="es-ES"/>
        </w:rPr>
        <w:t>n la norma contable vigente en C</w:t>
      </w:r>
      <w:r w:rsidRPr="00EB7EE9">
        <w:rPr>
          <w:rFonts w:ascii="Bookman Old Style" w:eastAsia="Times New Roman" w:hAnsi="Bookman Old Style"/>
          <w:i/>
          <w:sz w:val="24"/>
          <w:szCs w:val="24"/>
          <w:lang w:eastAsia="es-ES"/>
        </w:rPr>
        <w:t>olombia basta ese</w:t>
      </w:r>
      <w:r>
        <w:rPr>
          <w:rFonts w:ascii="Bookman Old Style" w:eastAsia="Times New Roman" w:hAnsi="Bookman Old Style"/>
          <w:i/>
          <w:sz w:val="24"/>
          <w:szCs w:val="24"/>
          <w:lang w:eastAsia="es-ES"/>
        </w:rPr>
        <w:t xml:space="preserve"> momento, es decir el Decreto 26</w:t>
      </w:r>
      <w:r w:rsidRPr="00EB7EE9">
        <w:rPr>
          <w:rFonts w:ascii="Bookman Old Style" w:eastAsia="Times New Roman" w:hAnsi="Bookman Old Style"/>
          <w:i/>
          <w:sz w:val="24"/>
          <w:szCs w:val="24"/>
          <w:lang w:eastAsia="es-ES"/>
        </w:rPr>
        <w:t>49 de199</w:t>
      </w:r>
      <w:r>
        <w:rPr>
          <w:rFonts w:ascii="Bookman Old Style" w:eastAsia="Times New Roman" w:hAnsi="Bookman Old Style"/>
          <w:i/>
          <w:sz w:val="24"/>
          <w:szCs w:val="24"/>
          <w:lang w:eastAsia="es-ES"/>
        </w:rPr>
        <w:t>3 (COLGAAP)</w:t>
      </w:r>
    </w:p>
    <w:p w:rsidR="00EB7EE9" w:rsidRPr="00EB7EE9" w:rsidRDefault="00EB7EE9" w:rsidP="00EB7EE9">
      <w:pPr>
        <w:pStyle w:val="Style11"/>
        <w:spacing w:after="180"/>
        <w:ind w:firstLine="0"/>
        <w:jc w:val="both"/>
        <w:rPr>
          <w:rFonts w:ascii="Bookman Old Style" w:eastAsia="Times New Roman" w:hAnsi="Bookman Old Style"/>
          <w:i/>
          <w:sz w:val="24"/>
          <w:szCs w:val="24"/>
          <w:lang w:eastAsia="es-ES"/>
        </w:rPr>
      </w:pPr>
      <w:r w:rsidRPr="00EB7EE9">
        <w:rPr>
          <w:rFonts w:ascii="Bookman Old Style" w:eastAsia="Times New Roman" w:hAnsi="Bookman Old Style"/>
          <w:i/>
          <w:sz w:val="24"/>
          <w:szCs w:val="24"/>
          <w:lang w:eastAsia="es-ES"/>
        </w:rPr>
        <w:t>Dado que en enero de 2015 la empresa</w:t>
      </w:r>
      <w:r>
        <w:rPr>
          <w:rFonts w:ascii="Bookman Old Style" w:eastAsia="Times New Roman" w:hAnsi="Bookman Old Style"/>
          <w:i/>
          <w:sz w:val="24"/>
          <w:szCs w:val="24"/>
          <w:lang w:eastAsia="es-ES"/>
        </w:rPr>
        <w:t xml:space="preserve"> hizo </w:t>
      </w:r>
      <w:r w:rsidRPr="00EB7EE9">
        <w:rPr>
          <w:rFonts w:ascii="Bookman Old Style" w:eastAsia="Times New Roman" w:hAnsi="Bookman Old Style"/>
          <w:i/>
          <w:sz w:val="24"/>
          <w:szCs w:val="24"/>
          <w:lang w:eastAsia="es-ES"/>
        </w:rPr>
        <w:t>la declaratoria de entrada</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a</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NII</w:t>
      </w:r>
      <w:r>
        <w:rPr>
          <w:rFonts w:ascii="Bookman Old Style" w:eastAsia="Times New Roman" w:hAnsi="Bookman Old Style"/>
          <w:i/>
          <w:sz w:val="24"/>
          <w:szCs w:val="24"/>
          <w:lang w:eastAsia="es-ES"/>
        </w:rPr>
        <w:t>F</w:t>
      </w:r>
      <w:r w:rsidRPr="00EB7EE9">
        <w:rPr>
          <w:rFonts w:ascii="Bookman Old Style" w:eastAsia="Times New Roman" w:hAnsi="Bookman Old Style"/>
          <w:i/>
          <w:sz w:val="24"/>
          <w:szCs w:val="24"/>
          <w:lang w:eastAsia="es-ES"/>
        </w:rPr>
        <w:t>,</w:t>
      </w:r>
      <w:r>
        <w:rPr>
          <w:rFonts w:ascii="Bookman Old Style" w:eastAsia="Times New Roman" w:hAnsi="Bookman Old Style"/>
          <w:i/>
          <w:sz w:val="24"/>
          <w:szCs w:val="24"/>
          <w:lang w:eastAsia="es-ES"/>
        </w:rPr>
        <w:t xml:space="preserve"> esto es, empez</w:t>
      </w:r>
      <w:r w:rsidRPr="00EB7EE9">
        <w:rPr>
          <w:rFonts w:ascii="Bookman Old Style" w:eastAsia="Times New Roman" w:hAnsi="Bookman Old Style"/>
          <w:i/>
          <w:sz w:val="24"/>
          <w:szCs w:val="24"/>
          <w:lang w:eastAsia="es-ES"/>
        </w:rPr>
        <w:t>ó</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a</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llevar con</w:t>
      </w:r>
      <w:r>
        <w:rPr>
          <w:rFonts w:ascii="Bookman Old Style" w:eastAsia="Times New Roman" w:hAnsi="Bookman Old Style"/>
          <w:i/>
          <w:sz w:val="24"/>
          <w:szCs w:val="24"/>
          <w:lang w:eastAsia="es-ES"/>
        </w:rPr>
        <w:t xml:space="preserve">tabilidad de manera oficial bajo </w:t>
      </w:r>
      <w:r w:rsidRPr="00EB7EE9">
        <w:rPr>
          <w:rFonts w:ascii="Bookman Old Style" w:eastAsia="Times New Roman" w:hAnsi="Bookman Old Style"/>
          <w:i/>
          <w:sz w:val="24"/>
          <w:szCs w:val="24"/>
          <w:lang w:eastAsia="es-ES"/>
        </w:rPr>
        <w:t>los parámetros</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establecidos</w:t>
      </w:r>
      <w:r>
        <w:rPr>
          <w:rFonts w:ascii="Bookman Old Style" w:eastAsia="Times New Roman" w:hAnsi="Bookman Old Style"/>
          <w:i/>
          <w:sz w:val="24"/>
          <w:szCs w:val="24"/>
          <w:lang w:eastAsia="es-ES"/>
        </w:rPr>
        <w:t xml:space="preserve"> por el IAS</w:t>
      </w:r>
      <w:r w:rsidRPr="00EB7EE9">
        <w:rPr>
          <w:rFonts w:ascii="Bookman Old Style" w:eastAsia="Times New Roman" w:hAnsi="Bookman Old Style"/>
          <w:i/>
          <w:sz w:val="24"/>
          <w:szCs w:val="24"/>
          <w:lang w:eastAsia="es-ES"/>
        </w:rPr>
        <w:t>B, la</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información</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presentada</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al</w:t>
      </w:r>
      <w:r>
        <w:rPr>
          <w:rFonts w:ascii="Bookman Old Style" w:eastAsia="Times New Roman" w:hAnsi="Bookman Old Style"/>
          <w:i/>
          <w:sz w:val="24"/>
          <w:szCs w:val="24"/>
          <w:lang w:eastAsia="es-ES"/>
        </w:rPr>
        <w:t xml:space="preserve"> SUI </w:t>
      </w:r>
      <w:r w:rsidRPr="00EB7EE9">
        <w:rPr>
          <w:rFonts w:ascii="Bookman Old Style" w:eastAsia="Times New Roman" w:hAnsi="Bookman Old Style"/>
          <w:i/>
          <w:sz w:val="24"/>
          <w:szCs w:val="24"/>
          <w:lang w:eastAsia="es-ES"/>
        </w:rPr>
        <w:t>en</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201</w:t>
      </w:r>
      <w:r w:rsidR="00446EC9">
        <w:rPr>
          <w:rFonts w:ascii="Bookman Old Style" w:eastAsia="Times New Roman" w:hAnsi="Bookman Old Style"/>
          <w:i/>
          <w:sz w:val="24"/>
          <w:szCs w:val="24"/>
          <w:lang w:eastAsia="es-ES"/>
        </w:rPr>
        <w:t>6</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difiere</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sustancialmente</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de</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la</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de</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años anteriores,</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 xml:space="preserve">lo cual por la manera en que se </w:t>
      </w:r>
      <w:r w:rsidRPr="00EB7EE9">
        <w:rPr>
          <w:rFonts w:ascii="Bookman Old Style" w:eastAsia="Times New Roman" w:hAnsi="Bookman Old Style"/>
          <w:i/>
          <w:sz w:val="24"/>
          <w:szCs w:val="24"/>
          <w:lang w:eastAsia="es-ES"/>
        </w:rPr>
        <w:lastRenderedPageBreak/>
        <w:t>entregaron los datos alteró significativamente</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 xml:space="preserve">y sin sustento lógico, </w:t>
      </w:r>
      <w:r>
        <w:rPr>
          <w:rFonts w:ascii="Bookman Old Style" w:eastAsia="Times New Roman" w:hAnsi="Bookman Old Style"/>
          <w:i/>
          <w:sz w:val="24"/>
          <w:szCs w:val="24"/>
          <w:lang w:eastAsia="es-ES"/>
        </w:rPr>
        <w:t>legal ni reglamentario la base p</w:t>
      </w:r>
      <w:r w:rsidRPr="00EB7EE9">
        <w:rPr>
          <w:rFonts w:ascii="Bookman Old Style" w:eastAsia="Times New Roman" w:hAnsi="Bookman Old Style"/>
          <w:i/>
          <w:sz w:val="24"/>
          <w:szCs w:val="24"/>
          <w:lang w:eastAsia="es-ES"/>
        </w:rPr>
        <w:t>ara la liquidación de la contribución especial</w:t>
      </w:r>
    </w:p>
    <w:p w:rsidR="00EB7EE9" w:rsidRPr="00EB7EE9" w:rsidRDefault="00EB7EE9" w:rsidP="00EB7EE9">
      <w:pPr>
        <w:pStyle w:val="Style11"/>
        <w:spacing w:after="180"/>
        <w:ind w:firstLine="0"/>
        <w:jc w:val="both"/>
        <w:rPr>
          <w:rFonts w:ascii="Bookman Old Style" w:eastAsia="Times New Roman" w:hAnsi="Bookman Old Style"/>
          <w:i/>
          <w:sz w:val="24"/>
          <w:szCs w:val="24"/>
          <w:lang w:eastAsia="es-ES"/>
        </w:rPr>
      </w:pPr>
      <w:r w:rsidRPr="00EB7EE9">
        <w:rPr>
          <w:rFonts w:ascii="Bookman Old Style" w:eastAsia="Times New Roman" w:hAnsi="Bookman Old Style"/>
          <w:i/>
          <w:sz w:val="24"/>
          <w:szCs w:val="24"/>
          <w:lang w:eastAsia="es-ES"/>
        </w:rPr>
        <w:t>En esta vigencia (2017</w:t>
      </w:r>
      <w:r>
        <w:rPr>
          <w:rFonts w:ascii="Bookman Old Style" w:eastAsia="Times New Roman" w:hAnsi="Bookman Old Style"/>
          <w:i/>
          <w:sz w:val="24"/>
          <w:szCs w:val="24"/>
          <w:lang w:eastAsia="es-ES"/>
        </w:rPr>
        <w:t>) se remitió al S</w:t>
      </w:r>
      <w:r w:rsidRPr="00EB7EE9">
        <w:rPr>
          <w:rFonts w:ascii="Bookman Old Style" w:eastAsia="Times New Roman" w:hAnsi="Bookman Old Style"/>
          <w:i/>
          <w:sz w:val="24"/>
          <w:szCs w:val="24"/>
          <w:lang w:eastAsia="es-ES"/>
        </w:rPr>
        <w:t xml:space="preserve">UI el formato </w:t>
      </w:r>
      <w:r>
        <w:rPr>
          <w:rFonts w:ascii="Bookman Old Style" w:eastAsia="Times New Roman" w:hAnsi="Bookman Old Style"/>
          <w:i/>
          <w:sz w:val="24"/>
          <w:szCs w:val="24"/>
          <w:lang w:eastAsia="es-ES"/>
        </w:rPr>
        <w:t>FC</w:t>
      </w:r>
      <w:r w:rsidRPr="00EB7EE9">
        <w:rPr>
          <w:rFonts w:ascii="Bookman Old Style" w:eastAsia="Times New Roman" w:hAnsi="Bookman Old Style"/>
          <w:i/>
          <w:sz w:val="24"/>
          <w:szCs w:val="24"/>
          <w:lang w:eastAsia="es-ES"/>
        </w:rPr>
        <w:t xml:space="preserve"> 01, Formato complementario </w:t>
      </w:r>
      <w:r>
        <w:rPr>
          <w:rFonts w:ascii="Bookman Old Style" w:eastAsia="Times New Roman" w:hAnsi="Bookman Old Style"/>
          <w:i/>
          <w:sz w:val="24"/>
          <w:szCs w:val="24"/>
          <w:lang w:eastAsia="es-ES"/>
        </w:rPr>
        <w:t>de gastos de servicios p</w:t>
      </w:r>
      <w:r w:rsidRPr="00EB7EE9">
        <w:rPr>
          <w:rFonts w:ascii="Bookman Old Style" w:eastAsia="Times New Roman" w:hAnsi="Bookman Old Style"/>
          <w:i/>
          <w:sz w:val="24"/>
          <w:szCs w:val="24"/>
          <w:lang w:eastAsia="es-ES"/>
        </w:rPr>
        <w:t>úblicos,</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la Dirección Contabilidad de EP</w:t>
      </w:r>
      <w:r w:rsidRPr="00EB7EE9">
        <w:rPr>
          <w:rFonts w:ascii="Bookman Old Style" w:eastAsia="Times New Roman" w:hAnsi="Bookman Old Style"/>
          <w:i/>
          <w:sz w:val="24"/>
          <w:szCs w:val="24"/>
          <w:lang w:eastAsia="es-ES"/>
        </w:rPr>
        <w:t>M</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se encargó de que cada uno de los renglones solicitados correspondiera con los estados financieros NIIF.</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 xml:space="preserve">En este </w:t>
      </w:r>
      <w:r>
        <w:rPr>
          <w:rFonts w:ascii="Bookman Old Style" w:eastAsia="Times New Roman" w:hAnsi="Bookman Old Style"/>
          <w:i/>
          <w:sz w:val="24"/>
          <w:szCs w:val="24"/>
          <w:lang w:eastAsia="es-ES"/>
        </w:rPr>
        <w:t>p</w:t>
      </w:r>
      <w:r w:rsidRPr="00EB7EE9">
        <w:rPr>
          <w:rFonts w:ascii="Bookman Old Style" w:eastAsia="Times New Roman" w:hAnsi="Bookman Old Style"/>
          <w:i/>
          <w:sz w:val="24"/>
          <w:szCs w:val="24"/>
          <w:lang w:eastAsia="es-ES"/>
        </w:rPr>
        <w:t>unto se originaron las diferencias sustanciales en la base de la contribución de 2017</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los años precedentes,</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puesto qu</w:t>
      </w:r>
      <w:r>
        <w:rPr>
          <w:rFonts w:ascii="Bookman Old Style" w:eastAsia="Times New Roman" w:hAnsi="Bookman Old Style"/>
          <w:i/>
          <w:sz w:val="24"/>
          <w:szCs w:val="24"/>
          <w:lang w:eastAsia="es-ES"/>
        </w:rPr>
        <w:t>e cuando en años anteriores la Comisión tomaba p</w:t>
      </w:r>
      <w:r w:rsidRPr="00EB7EE9">
        <w:rPr>
          <w:rFonts w:ascii="Bookman Old Style" w:eastAsia="Times New Roman" w:hAnsi="Bookman Old Style"/>
          <w:i/>
          <w:sz w:val="24"/>
          <w:szCs w:val="24"/>
          <w:lang w:eastAsia="es-ES"/>
        </w:rPr>
        <w:t>ara liquidar la contribución los gastos de administración,</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acudía únicamente</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a</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las</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cuentas</w:t>
      </w:r>
      <w:r>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51,</w:t>
      </w:r>
      <w:r>
        <w:rPr>
          <w:rFonts w:ascii="Bookman Old Style" w:eastAsia="Times New Roman" w:hAnsi="Bookman Old Style"/>
          <w:i/>
          <w:sz w:val="24"/>
          <w:szCs w:val="24"/>
          <w:lang w:eastAsia="es-ES"/>
        </w:rPr>
        <w:t xml:space="preserve"> pero en este p</w:t>
      </w:r>
      <w:r w:rsidRPr="00EB7EE9">
        <w:rPr>
          <w:rFonts w:ascii="Bookman Old Style" w:eastAsia="Times New Roman" w:hAnsi="Bookman Old Style"/>
          <w:i/>
          <w:sz w:val="24"/>
          <w:szCs w:val="24"/>
          <w:lang w:eastAsia="es-ES"/>
        </w:rPr>
        <w:t>eriodo fue incluida la cuenta activos sociales (511157j.</w:t>
      </w:r>
    </w:p>
    <w:p w:rsidR="00EB7EE9" w:rsidRPr="00EB7EE9" w:rsidRDefault="00EB7EE9" w:rsidP="00EB7EE9">
      <w:pPr>
        <w:pStyle w:val="Style11"/>
        <w:spacing w:after="180"/>
        <w:ind w:firstLine="0"/>
        <w:jc w:val="both"/>
        <w:rPr>
          <w:rFonts w:ascii="Bookman Old Style" w:eastAsia="Times New Roman" w:hAnsi="Bookman Old Style"/>
          <w:i/>
          <w:sz w:val="24"/>
          <w:szCs w:val="24"/>
          <w:lang w:eastAsia="es-ES"/>
        </w:rPr>
      </w:pPr>
      <w:r w:rsidRPr="00EB7EE9">
        <w:rPr>
          <w:rFonts w:ascii="Bookman Old Style" w:eastAsia="Times New Roman" w:hAnsi="Bookman Old Style"/>
          <w:i/>
          <w:sz w:val="24"/>
          <w:szCs w:val="24"/>
          <w:lang w:eastAsia="es-ES"/>
        </w:rPr>
        <w:t xml:space="preserve">La </w:t>
      </w:r>
      <w:r>
        <w:rPr>
          <w:rFonts w:ascii="Bookman Old Style" w:eastAsia="Times New Roman" w:hAnsi="Bookman Old Style"/>
          <w:i/>
          <w:sz w:val="24"/>
          <w:szCs w:val="24"/>
          <w:lang w:eastAsia="es-ES"/>
        </w:rPr>
        <w:t>cuenta activos sociales (511167)</w:t>
      </w:r>
      <w:r w:rsidRPr="00EB7EE9">
        <w:rPr>
          <w:rFonts w:ascii="Bookman Old Style" w:eastAsia="Times New Roman" w:hAnsi="Bookman Old Style"/>
          <w:i/>
          <w:sz w:val="24"/>
          <w:szCs w:val="24"/>
          <w:lang w:eastAsia="es-ES"/>
        </w:rPr>
        <w:t xml:space="preserve">, no es realmente un gasto de administración, ya que bajo esta clasificación se llevan de conformidad con las Normas Internacionales de Información Financiera los valores que anteriormente se tenían como costo de activos que se </w:t>
      </w:r>
      <w:r w:rsidR="00A72E72">
        <w:rPr>
          <w:rFonts w:ascii="Bookman Old Style" w:eastAsia="Times New Roman" w:hAnsi="Bookman Old Style"/>
          <w:i/>
          <w:sz w:val="24"/>
          <w:szCs w:val="24"/>
          <w:lang w:eastAsia="es-ES"/>
        </w:rPr>
        <w:t xml:space="preserve">ponen por parte </w:t>
      </w:r>
      <w:r w:rsidRPr="00EB7EE9">
        <w:rPr>
          <w:rFonts w:ascii="Bookman Old Style" w:eastAsia="Times New Roman" w:hAnsi="Bookman Old Style"/>
          <w:i/>
          <w:sz w:val="24"/>
          <w:szCs w:val="24"/>
          <w:lang w:eastAsia="es-ES"/>
        </w:rPr>
        <w:t xml:space="preserve">de la </w:t>
      </w:r>
      <w:r w:rsidR="00A72E72" w:rsidRPr="00EB7EE9">
        <w:rPr>
          <w:rFonts w:ascii="Bookman Old Style" w:eastAsia="Times New Roman" w:hAnsi="Bookman Old Style"/>
          <w:i/>
          <w:sz w:val="24"/>
          <w:szCs w:val="24"/>
          <w:lang w:eastAsia="es-ES"/>
        </w:rPr>
        <w:t>empresa</w:t>
      </w:r>
      <w:r w:rsidR="00A72E72">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a</w:t>
      </w:r>
      <w:r w:rsidR="00A72E72">
        <w:rPr>
          <w:rFonts w:ascii="Bookman Old Style" w:eastAsia="Times New Roman" w:hAnsi="Bookman Old Style"/>
          <w:i/>
          <w:sz w:val="24"/>
          <w:szCs w:val="24"/>
          <w:lang w:eastAsia="es-ES"/>
        </w:rPr>
        <w:t xml:space="preserve"> </w:t>
      </w:r>
      <w:r w:rsidR="00A72E72" w:rsidRPr="00EB7EE9">
        <w:rPr>
          <w:rFonts w:ascii="Bookman Old Style" w:eastAsia="Times New Roman" w:hAnsi="Bookman Old Style"/>
          <w:i/>
          <w:sz w:val="24"/>
          <w:szCs w:val="24"/>
          <w:lang w:eastAsia="es-ES"/>
        </w:rPr>
        <w:t>disposición</w:t>
      </w:r>
      <w:r w:rsidRPr="00EB7EE9">
        <w:rPr>
          <w:rFonts w:ascii="Bookman Old Style" w:eastAsia="Times New Roman" w:hAnsi="Bookman Old Style"/>
          <w:i/>
          <w:sz w:val="24"/>
          <w:szCs w:val="24"/>
          <w:lang w:eastAsia="es-ES"/>
        </w:rPr>
        <w:t xml:space="preserve"> de los usuarios</w:t>
      </w:r>
      <w:r w:rsidR="00A72E72">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y</w:t>
      </w:r>
      <w:r w:rsidR="00A72E72">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la ciudadanía en general</w:t>
      </w:r>
      <w:r w:rsidR="00A72E72">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 xml:space="preserve">a estos rubros bajo la norma de contabilidad local </w:t>
      </w:r>
      <w:r w:rsidR="00A72E72" w:rsidRPr="00EB7EE9">
        <w:rPr>
          <w:rFonts w:ascii="Bookman Old Style" w:eastAsia="Times New Roman" w:hAnsi="Bookman Old Style"/>
          <w:i/>
          <w:sz w:val="24"/>
          <w:szCs w:val="24"/>
          <w:lang w:eastAsia="es-ES"/>
        </w:rPr>
        <w:t>correspondían</w:t>
      </w:r>
      <w:r w:rsidR="00A72E72">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a</w:t>
      </w:r>
      <w:r w:rsidR="00A72E72">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 xml:space="preserve">un </w:t>
      </w:r>
      <w:r w:rsidR="00A72E72" w:rsidRPr="00EB7EE9">
        <w:rPr>
          <w:rFonts w:ascii="Bookman Old Style" w:eastAsia="Times New Roman" w:hAnsi="Bookman Old Style"/>
          <w:i/>
          <w:sz w:val="24"/>
          <w:szCs w:val="24"/>
          <w:lang w:eastAsia="es-ES"/>
        </w:rPr>
        <w:t>activo, es</w:t>
      </w:r>
      <w:r w:rsidRPr="00EB7EE9">
        <w:rPr>
          <w:rFonts w:ascii="Bookman Old Style" w:eastAsia="Times New Roman" w:hAnsi="Bookman Old Style"/>
          <w:i/>
          <w:sz w:val="24"/>
          <w:szCs w:val="24"/>
          <w:lang w:eastAsia="es-ES"/>
        </w:rPr>
        <w:t xml:space="preserve"> </w:t>
      </w:r>
      <w:r w:rsidR="00A72E72" w:rsidRPr="00EB7EE9">
        <w:rPr>
          <w:rFonts w:ascii="Bookman Old Style" w:eastAsia="Times New Roman" w:hAnsi="Bookman Old Style"/>
          <w:i/>
          <w:sz w:val="24"/>
          <w:szCs w:val="24"/>
          <w:lang w:eastAsia="es-ES"/>
        </w:rPr>
        <w:t>decir, se</w:t>
      </w:r>
      <w:r w:rsidRPr="00EB7EE9">
        <w:rPr>
          <w:rFonts w:ascii="Bookman Old Style" w:eastAsia="Times New Roman" w:hAnsi="Bookman Old Style"/>
          <w:i/>
          <w:sz w:val="24"/>
          <w:szCs w:val="24"/>
          <w:lang w:eastAsia="es-ES"/>
        </w:rPr>
        <w:t xml:space="preserve"> incluían dentro de las inversiones, </w:t>
      </w:r>
      <w:r w:rsidR="00A72E72">
        <w:rPr>
          <w:rFonts w:ascii="Bookman Old Style" w:eastAsia="Times New Roman" w:hAnsi="Bookman Old Style"/>
          <w:i/>
          <w:sz w:val="24"/>
          <w:szCs w:val="24"/>
          <w:lang w:eastAsia="es-ES"/>
        </w:rPr>
        <w:t xml:space="preserve">pero por </w:t>
      </w:r>
      <w:r w:rsidRPr="00EB7EE9">
        <w:rPr>
          <w:rFonts w:ascii="Bookman Old Style" w:eastAsia="Times New Roman" w:hAnsi="Bookman Old Style"/>
          <w:i/>
          <w:sz w:val="24"/>
          <w:szCs w:val="24"/>
          <w:lang w:eastAsia="es-ES"/>
        </w:rPr>
        <w:t>la norma internacional, dado que no</w:t>
      </w:r>
      <w:r w:rsidR="00A72E72">
        <w:rPr>
          <w:rFonts w:ascii="Bookman Old Style" w:eastAsia="Times New Roman" w:hAnsi="Bookman Old Style"/>
          <w:i/>
          <w:sz w:val="24"/>
          <w:szCs w:val="24"/>
          <w:lang w:eastAsia="es-ES"/>
        </w:rPr>
        <w:t xml:space="preserve"> se utilizan p</w:t>
      </w:r>
      <w:r w:rsidRPr="00EB7EE9">
        <w:rPr>
          <w:rFonts w:ascii="Bookman Old Style" w:eastAsia="Times New Roman" w:hAnsi="Bookman Old Style"/>
          <w:i/>
          <w:sz w:val="24"/>
          <w:szCs w:val="24"/>
          <w:lang w:eastAsia="es-ES"/>
        </w:rPr>
        <w:t xml:space="preserve">ara la actividad </w:t>
      </w:r>
      <w:r w:rsidR="00A72E72">
        <w:rPr>
          <w:rFonts w:ascii="Bookman Old Style" w:eastAsia="Times New Roman" w:hAnsi="Bookman Old Style"/>
          <w:i/>
          <w:sz w:val="24"/>
          <w:szCs w:val="24"/>
          <w:lang w:eastAsia="es-ES"/>
        </w:rPr>
        <w:t>p</w:t>
      </w:r>
      <w:r w:rsidRPr="00EB7EE9">
        <w:rPr>
          <w:rFonts w:ascii="Bookman Old Style" w:eastAsia="Times New Roman" w:hAnsi="Bookman Old Style"/>
          <w:i/>
          <w:sz w:val="24"/>
          <w:szCs w:val="24"/>
          <w:lang w:eastAsia="es-ES"/>
        </w:rPr>
        <w:t>roductora de renta, ya no se reconocen como tales, sino que se trata de una cuenta de gasto</w:t>
      </w:r>
    </w:p>
    <w:p w:rsidR="00EB7EE9" w:rsidRPr="00EB7EE9" w:rsidRDefault="00EB7EE9" w:rsidP="00EB7EE9">
      <w:pPr>
        <w:pStyle w:val="Style11"/>
        <w:spacing w:after="180"/>
        <w:ind w:firstLine="0"/>
        <w:jc w:val="both"/>
        <w:rPr>
          <w:rFonts w:ascii="Bookman Old Style" w:eastAsia="Times New Roman" w:hAnsi="Bookman Old Style"/>
          <w:i/>
          <w:sz w:val="24"/>
          <w:szCs w:val="24"/>
          <w:lang w:eastAsia="es-ES"/>
        </w:rPr>
      </w:pPr>
      <w:r w:rsidRPr="00EB7EE9">
        <w:rPr>
          <w:rFonts w:ascii="Bookman Old Style" w:eastAsia="Times New Roman" w:hAnsi="Bookman Old Style"/>
          <w:i/>
          <w:sz w:val="24"/>
          <w:szCs w:val="24"/>
          <w:lang w:eastAsia="es-ES"/>
        </w:rPr>
        <w:t>Entender</w:t>
      </w:r>
      <w:r w:rsidR="00A72E72">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que el sentido de la norma financiera no es generar</w:t>
      </w:r>
      <w:r w:rsidR="00A72E72">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gravámenes o cargas diferentes</w:t>
      </w:r>
      <w:r w:rsidR="00A72E72">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a</w:t>
      </w:r>
      <w:r w:rsidR="00A72E72">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los activos,</w:t>
      </w:r>
      <w:r w:rsidR="00A72E72">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 xml:space="preserve">sino incluirlos en los estados financieros de manera </w:t>
      </w:r>
      <w:r w:rsidR="00A72E72" w:rsidRPr="00EB7EE9">
        <w:rPr>
          <w:rFonts w:ascii="Bookman Old Style" w:eastAsia="Times New Roman" w:hAnsi="Bookman Old Style"/>
          <w:i/>
          <w:sz w:val="24"/>
          <w:szCs w:val="24"/>
          <w:lang w:eastAsia="es-ES"/>
        </w:rPr>
        <w:t>separada</w:t>
      </w:r>
      <w:r w:rsidRPr="00EB7EE9">
        <w:rPr>
          <w:rFonts w:ascii="Bookman Old Style" w:eastAsia="Times New Roman" w:hAnsi="Bookman Old Style"/>
          <w:i/>
          <w:sz w:val="24"/>
          <w:szCs w:val="24"/>
          <w:lang w:eastAsia="es-ES"/>
        </w:rPr>
        <w:t xml:space="preserve"> con los activos de la </w:t>
      </w:r>
      <w:r w:rsidR="00A72E72" w:rsidRPr="00EB7EE9">
        <w:rPr>
          <w:rFonts w:ascii="Bookman Old Style" w:eastAsia="Times New Roman" w:hAnsi="Bookman Old Style"/>
          <w:i/>
          <w:sz w:val="24"/>
          <w:szCs w:val="24"/>
          <w:lang w:eastAsia="es-ES"/>
        </w:rPr>
        <w:t>operación</w:t>
      </w:r>
      <w:r w:rsidR="00A72E72">
        <w:rPr>
          <w:rFonts w:ascii="Bookman Old Style" w:eastAsia="Times New Roman" w:hAnsi="Bookman Old Style"/>
          <w:i/>
          <w:sz w:val="24"/>
          <w:szCs w:val="24"/>
          <w:lang w:eastAsia="es-ES"/>
        </w:rPr>
        <w:t>, es necesario para p</w:t>
      </w:r>
      <w:r w:rsidRPr="00EB7EE9">
        <w:rPr>
          <w:rFonts w:ascii="Bookman Old Style" w:eastAsia="Times New Roman" w:hAnsi="Bookman Old Style"/>
          <w:i/>
          <w:sz w:val="24"/>
          <w:szCs w:val="24"/>
          <w:lang w:eastAsia="es-ES"/>
        </w:rPr>
        <w:t>oder</w:t>
      </w:r>
      <w:r w:rsidR="00A72E72">
        <w:rPr>
          <w:rFonts w:ascii="Bookman Old Style" w:eastAsia="Times New Roman" w:hAnsi="Bookman Old Style"/>
          <w:i/>
          <w:sz w:val="24"/>
          <w:szCs w:val="24"/>
          <w:lang w:eastAsia="es-ES"/>
        </w:rPr>
        <w:t xml:space="preserve"> </w:t>
      </w:r>
      <w:r w:rsidR="00A72E72" w:rsidRPr="00EB7EE9">
        <w:rPr>
          <w:rFonts w:ascii="Bookman Old Style" w:eastAsia="Times New Roman" w:hAnsi="Bookman Old Style"/>
          <w:i/>
          <w:sz w:val="24"/>
          <w:szCs w:val="24"/>
          <w:lang w:eastAsia="es-ES"/>
        </w:rPr>
        <w:t>explicar</w:t>
      </w:r>
      <w:r w:rsidRPr="00EB7EE9">
        <w:rPr>
          <w:rFonts w:ascii="Bookman Old Style" w:eastAsia="Times New Roman" w:hAnsi="Bookman Old Style"/>
          <w:i/>
          <w:sz w:val="24"/>
          <w:szCs w:val="24"/>
          <w:lang w:eastAsia="es-ES"/>
        </w:rPr>
        <w:t xml:space="preserve"> que estos activos </w:t>
      </w:r>
      <w:r w:rsidR="00A72E72" w:rsidRPr="00EB7EE9">
        <w:rPr>
          <w:rFonts w:ascii="Bookman Old Style" w:eastAsia="Times New Roman" w:hAnsi="Bookman Old Style"/>
          <w:i/>
          <w:sz w:val="24"/>
          <w:szCs w:val="24"/>
          <w:lang w:eastAsia="es-ES"/>
        </w:rPr>
        <w:t>tampoco</w:t>
      </w:r>
      <w:r w:rsidR="00A72E72">
        <w:rPr>
          <w:rFonts w:ascii="Bookman Old Style" w:eastAsia="Times New Roman" w:hAnsi="Bookman Old Style"/>
          <w:i/>
          <w:sz w:val="24"/>
          <w:szCs w:val="24"/>
          <w:lang w:eastAsia="es-ES"/>
        </w:rPr>
        <w:t xml:space="preserve"> pueden ser base p</w:t>
      </w:r>
      <w:r w:rsidRPr="00EB7EE9">
        <w:rPr>
          <w:rFonts w:ascii="Bookman Old Style" w:eastAsia="Times New Roman" w:hAnsi="Bookman Old Style"/>
          <w:i/>
          <w:sz w:val="24"/>
          <w:szCs w:val="24"/>
          <w:lang w:eastAsia="es-ES"/>
        </w:rPr>
        <w:t xml:space="preserve">ara la liquidación de la contribución </w:t>
      </w:r>
      <w:r w:rsidR="00A72E72" w:rsidRPr="00EB7EE9">
        <w:rPr>
          <w:rFonts w:ascii="Bookman Old Style" w:eastAsia="Times New Roman" w:hAnsi="Bookman Old Style"/>
          <w:i/>
          <w:sz w:val="24"/>
          <w:szCs w:val="24"/>
          <w:lang w:eastAsia="es-ES"/>
        </w:rPr>
        <w:t>especial</w:t>
      </w:r>
      <w:r w:rsidRPr="00EB7EE9">
        <w:rPr>
          <w:rFonts w:ascii="Bookman Old Style" w:eastAsia="Times New Roman" w:hAnsi="Bookman Old Style"/>
          <w:i/>
          <w:sz w:val="24"/>
          <w:szCs w:val="24"/>
          <w:lang w:eastAsia="es-ES"/>
        </w:rPr>
        <w:t xml:space="preserve"> de la </w:t>
      </w:r>
      <w:r w:rsidR="00A72E72">
        <w:rPr>
          <w:rFonts w:ascii="Bookman Old Style" w:eastAsia="Times New Roman" w:hAnsi="Bookman Old Style"/>
          <w:i/>
          <w:sz w:val="24"/>
          <w:szCs w:val="24"/>
          <w:lang w:eastAsia="es-ES"/>
        </w:rPr>
        <w:t>Sup</w:t>
      </w:r>
      <w:r w:rsidRPr="00EB7EE9">
        <w:rPr>
          <w:rFonts w:ascii="Bookman Old Style" w:eastAsia="Times New Roman" w:hAnsi="Bookman Old Style"/>
          <w:i/>
          <w:sz w:val="24"/>
          <w:szCs w:val="24"/>
          <w:lang w:eastAsia="es-ES"/>
        </w:rPr>
        <w:t>erintendencia</w:t>
      </w:r>
      <w:r w:rsidR="00A72E72">
        <w:rPr>
          <w:rFonts w:ascii="Bookman Old Style" w:eastAsia="Times New Roman" w:hAnsi="Bookman Old Style"/>
          <w:i/>
          <w:sz w:val="24"/>
          <w:szCs w:val="24"/>
          <w:lang w:eastAsia="es-ES"/>
        </w:rPr>
        <w:t xml:space="preserve"> pu</w:t>
      </w:r>
      <w:r w:rsidRPr="00EB7EE9">
        <w:rPr>
          <w:rFonts w:ascii="Bookman Old Style" w:eastAsia="Times New Roman" w:hAnsi="Bookman Old Style"/>
          <w:i/>
          <w:sz w:val="24"/>
          <w:szCs w:val="24"/>
          <w:lang w:eastAsia="es-ES"/>
        </w:rPr>
        <w:t xml:space="preserve">es ello </w:t>
      </w:r>
      <w:r w:rsidR="00A72E72" w:rsidRPr="00EB7EE9">
        <w:rPr>
          <w:rFonts w:ascii="Bookman Old Style" w:eastAsia="Times New Roman" w:hAnsi="Bookman Old Style"/>
          <w:i/>
          <w:sz w:val="24"/>
          <w:szCs w:val="24"/>
          <w:lang w:eastAsia="es-ES"/>
        </w:rPr>
        <w:t>implicaría</w:t>
      </w:r>
      <w:r w:rsidRPr="00EB7EE9">
        <w:rPr>
          <w:rFonts w:ascii="Bookman Old Style" w:eastAsia="Times New Roman" w:hAnsi="Bookman Old Style"/>
          <w:i/>
          <w:sz w:val="24"/>
          <w:szCs w:val="24"/>
          <w:lang w:eastAsia="es-ES"/>
        </w:rPr>
        <w:t xml:space="preserve"> una carga injustificada</w:t>
      </w:r>
      <w:r w:rsidR="00A72E72">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a</w:t>
      </w:r>
      <w:r w:rsidR="00A72E72">
        <w:rPr>
          <w:rFonts w:ascii="Bookman Old Style" w:eastAsia="Times New Roman" w:hAnsi="Bookman Old Style"/>
          <w:i/>
          <w:sz w:val="24"/>
          <w:szCs w:val="24"/>
          <w:lang w:eastAsia="es-ES"/>
        </w:rPr>
        <w:t xml:space="preserve"> </w:t>
      </w:r>
      <w:r w:rsidRPr="00EB7EE9">
        <w:rPr>
          <w:rFonts w:ascii="Bookman Old Style" w:eastAsia="Times New Roman" w:hAnsi="Bookman Old Style"/>
          <w:i/>
          <w:sz w:val="24"/>
          <w:szCs w:val="24"/>
          <w:lang w:eastAsia="es-ES"/>
        </w:rPr>
        <w:t>la</w:t>
      </w:r>
      <w:r w:rsidR="00A72E72">
        <w:rPr>
          <w:rFonts w:ascii="Bookman Old Style" w:eastAsia="Times New Roman" w:hAnsi="Bookman Old Style"/>
          <w:i/>
          <w:sz w:val="24"/>
          <w:szCs w:val="24"/>
          <w:lang w:eastAsia="es-ES"/>
        </w:rPr>
        <w:t xml:space="preserve"> inversión sin contar p</w:t>
      </w:r>
      <w:r w:rsidRPr="00EB7EE9">
        <w:rPr>
          <w:rFonts w:ascii="Bookman Old Style" w:eastAsia="Times New Roman" w:hAnsi="Bookman Old Style"/>
          <w:i/>
          <w:sz w:val="24"/>
          <w:szCs w:val="24"/>
          <w:lang w:eastAsia="es-ES"/>
        </w:rPr>
        <w:t xml:space="preserve">ara ello con un </w:t>
      </w:r>
      <w:r w:rsidR="00A72E72" w:rsidRPr="00EB7EE9">
        <w:rPr>
          <w:rFonts w:ascii="Bookman Old Style" w:eastAsia="Times New Roman" w:hAnsi="Bookman Old Style"/>
          <w:i/>
          <w:sz w:val="24"/>
          <w:szCs w:val="24"/>
          <w:lang w:eastAsia="es-ES"/>
        </w:rPr>
        <w:t>soporte</w:t>
      </w:r>
      <w:r w:rsidRPr="00EB7EE9">
        <w:rPr>
          <w:rFonts w:ascii="Bookman Old Style" w:eastAsia="Times New Roman" w:hAnsi="Bookman Old Style"/>
          <w:i/>
          <w:sz w:val="24"/>
          <w:szCs w:val="24"/>
          <w:lang w:eastAsia="es-ES"/>
        </w:rPr>
        <w:t xml:space="preserve"> legal.</w:t>
      </w:r>
    </w:p>
    <w:p w:rsidR="00047922" w:rsidRDefault="00A72E72" w:rsidP="00EB7EE9">
      <w:pPr>
        <w:pStyle w:val="Style11"/>
        <w:shd w:val="clear" w:color="auto" w:fill="auto"/>
        <w:spacing w:after="180"/>
        <w:ind w:firstLine="0"/>
        <w:jc w:val="both"/>
        <w:rPr>
          <w:rFonts w:ascii="Bookman Old Style" w:eastAsia="Times New Roman" w:hAnsi="Bookman Old Style"/>
          <w:i/>
          <w:sz w:val="24"/>
          <w:szCs w:val="24"/>
          <w:lang w:eastAsia="es-ES"/>
        </w:rPr>
      </w:pPr>
      <w:r>
        <w:rPr>
          <w:rFonts w:ascii="Bookman Old Style" w:eastAsia="Times New Roman" w:hAnsi="Bookman Old Style"/>
          <w:i/>
          <w:sz w:val="24"/>
          <w:szCs w:val="24"/>
          <w:lang w:eastAsia="es-ES"/>
        </w:rPr>
        <w:t>C</w:t>
      </w:r>
      <w:r w:rsidR="00EB7EE9" w:rsidRPr="00EB7EE9">
        <w:rPr>
          <w:rFonts w:ascii="Bookman Old Style" w:eastAsia="Times New Roman" w:hAnsi="Bookman Old Style"/>
          <w:i/>
          <w:sz w:val="24"/>
          <w:szCs w:val="24"/>
          <w:lang w:eastAsia="es-ES"/>
        </w:rPr>
        <w:t xml:space="preserve">onforme a lo anterior resulta claro que la DREG no está facultada legal ni </w:t>
      </w:r>
      <w:r w:rsidRPr="00EB7EE9">
        <w:rPr>
          <w:rFonts w:ascii="Bookman Old Style" w:eastAsia="Times New Roman" w:hAnsi="Bookman Old Style"/>
          <w:i/>
          <w:sz w:val="24"/>
          <w:szCs w:val="24"/>
          <w:lang w:eastAsia="es-ES"/>
        </w:rPr>
        <w:t>jurisprudencialmente</w:t>
      </w:r>
      <w:r>
        <w:rPr>
          <w:rFonts w:ascii="Bookman Old Style" w:eastAsia="Times New Roman" w:hAnsi="Bookman Old Style"/>
          <w:i/>
          <w:sz w:val="24"/>
          <w:szCs w:val="24"/>
          <w:lang w:eastAsia="es-ES"/>
        </w:rPr>
        <w:t xml:space="preserve"> p</w:t>
      </w:r>
      <w:r w:rsidR="00EB7EE9" w:rsidRPr="00EB7EE9">
        <w:rPr>
          <w:rFonts w:ascii="Bookman Old Style" w:eastAsia="Times New Roman" w:hAnsi="Bookman Old Style"/>
          <w:i/>
          <w:sz w:val="24"/>
          <w:szCs w:val="24"/>
          <w:lang w:eastAsia="es-ES"/>
        </w:rPr>
        <w:t>ara incluir la siguiente cuenta al determinar la base grava</w:t>
      </w:r>
      <w:r>
        <w:rPr>
          <w:rFonts w:ascii="Bookman Old Style" w:eastAsia="Times New Roman" w:hAnsi="Bookman Old Style"/>
          <w:i/>
          <w:sz w:val="24"/>
          <w:szCs w:val="24"/>
          <w:lang w:eastAsia="es-ES"/>
        </w:rPr>
        <w:t>ble</w:t>
      </w:r>
      <w:r w:rsidR="00EB7EE9" w:rsidRPr="00EB7EE9">
        <w:rPr>
          <w:rFonts w:ascii="Bookman Old Style" w:eastAsia="Times New Roman" w:hAnsi="Bookman Old Style"/>
          <w:i/>
          <w:sz w:val="24"/>
          <w:szCs w:val="24"/>
          <w:lang w:eastAsia="es-ES"/>
        </w:rPr>
        <w:t xml:space="preserve"> de la </w:t>
      </w:r>
      <w:r w:rsidRPr="00EB7EE9">
        <w:rPr>
          <w:rFonts w:ascii="Bookman Old Style" w:eastAsia="Times New Roman" w:hAnsi="Bookman Old Style"/>
          <w:i/>
          <w:sz w:val="24"/>
          <w:szCs w:val="24"/>
          <w:lang w:eastAsia="es-ES"/>
        </w:rPr>
        <w:t>contribución</w:t>
      </w:r>
      <w:r>
        <w:rPr>
          <w:rFonts w:ascii="Bookman Old Style" w:eastAsia="Times New Roman" w:hAnsi="Bookman Old Style"/>
          <w:i/>
          <w:sz w:val="24"/>
          <w:szCs w:val="24"/>
          <w:lang w:eastAsia="es-ES"/>
        </w:rPr>
        <w:t>…</w:t>
      </w:r>
      <w:r w:rsidR="00047922">
        <w:rPr>
          <w:rFonts w:ascii="Bookman Old Style" w:eastAsia="Times New Roman" w:hAnsi="Bookman Old Style"/>
          <w:i/>
          <w:sz w:val="24"/>
          <w:szCs w:val="24"/>
          <w:lang w:eastAsia="es-ES"/>
        </w:rPr>
        <w:t>”</w:t>
      </w:r>
    </w:p>
    <w:tbl>
      <w:tblPr>
        <w:tblW w:w="0" w:type="auto"/>
        <w:jc w:val="center"/>
        <w:tblLayout w:type="fixed"/>
        <w:tblCellMar>
          <w:left w:w="0" w:type="dxa"/>
          <w:right w:w="0" w:type="dxa"/>
        </w:tblCellMar>
        <w:tblLook w:val="0000" w:firstRow="0" w:lastRow="0" w:firstColumn="0" w:lastColumn="0" w:noHBand="0" w:noVBand="0"/>
      </w:tblPr>
      <w:tblGrid>
        <w:gridCol w:w="2122"/>
        <w:gridCol w:w="2122"/>
        <w:gridCol w:w="2266"/>
        <w:gridCol w:w="2563"/>
      </w:tblGrid>
      <w:tr w:rsidR="00047922" w:rsidRPr="00047922" w:rsidTr="00047922">
        <w:trPr>
          <w:trHeight w:hRule="exact" w:val="326"/>
          <w:jc w:val="center"/>
        </w:trPr>
        <w:tc>
          <w:tcPr>
            <w:tcW w:w="2122" w:type="dxa"/>
            <w:tcBorders>
              <w:top w:val="single" w:sz="4" w:space="0" w:color="auto"/>
              <w:left w:val="single" w:sz="4" w:space="0" w:color="auto"/>
              <w:bottom w:val="nil"/>
              <w:right w:val="nil"/>
            </w:tcBorders>
            <w:shd w:val="clear" w:color="auto" w:fill="FFFFFF"/>
            <w:vAlign w:val="bottom"/>
          </w:tcPr>
          <w:p w:rsidR="00047922" w:rsidRPr="00047922" w:rsidRDefault="00047922" w:rsidP="00047922">
            <w:pPr>
              <w:pStyle w:val="Style14"/>
              <w:shd w:val="clear" w:color="auto" w:fill="auto"/>
              <w:spacing w:before="0" w:line="200" w:lineRule="exact"/>
              <w:ind w:left="80"/>
              <w:rPr>
                <w:rFonts w:ascii="Bookman Old Style" w:eastAsia="Times New Roman" w:hAnsi="Bookman Old Style"/>
                <w:i/>
                <w:lang w:eastAsia="es-ES"/>
              </w:rPr>
            </w:pPr>
            <w:r w:rsidRPr="00047922">
              <w:rPr>
                <w:rFonts w:ascii="Bookman Old Style" w:eastAsia="Times New Roman" w:hAnsi="Bookman Old Style"/>
                <w:b/>
                <w:bCs/>
                <w:i/>
                <w:lang w:eastAsia="es-ES"/>
              </w:rPr>
              <w:t>Valores a Excluir:</w:t>
            </w:r>
          </w:p>
        </w:tc>
        <w:tc>
          <w:tcPr>
            <w:tcW w:w="2122" w:type="dxa"/>
            <w:tcBorders>
              <w:top w:val="single" w:sz="4" w:space="0" w:color="auto"/>
              <w:left w:val="single" w:sz="4" w:space="0" w:color="auto"/>
              <w:bottom w:val="nil"/>
              <w:right w:val="nil"/>
            </w:tcBorders>
            <w:shd w:val="clear" w:color="auto" w:fill="FFFFFF"/>
            <w:vAlign w:val="bottom"/>
          </w:tcPr>
          <w:p w:rsidR="00047922" w:rsidRPr="00047922" w:rsidRDefault="00047922" w:rsidP="00047922">
            <w:pPr>
              <w:pStyle w:val="Style14"/>
              <w:shd w:val="clear" w:color="auto" w:fill="auto"/>
              <w:spacing w:before="0" w:line="200" w:lineRule="exact"/>
              <w:jc w:val="center"/>
              <w:rPr>
                <w:rFonts w:ascii="Bookman Old Style" w:eastAsia="Times New Roman" w:hAnsi="Bookman Old Style"/>
                <w:i/>
                <w:lang w:eastAsia="es-ES"/>
              </w:rPr>
            </w:pPr>
            <w:r w:rsidRPr="00047922">
              <w:rPr>
                <w:rFonts w:ascii="Bookman Old Style" w:eastAsia="Times New Roman" w:hAnsi="Bookman Old Style"/>
                <w:b/>
                <w:bCs/>
                <w:i/>
                <w:lang w:eastAsia="es-ES"/>
              </w:rPr>
              <w:t>Gas Natural</w:t>
            </w:r>
          </w:p>
        </w:tc>
        <w:tc>
          <w:tcPr>
            <w:tcW w:w="2266" w:type="dxa"/>
            <w:tcBorders>
              <w:top w:val="single" w:sz="4" w:space="0" w:color="auto"/>
              <w:left w:val="single" w:sz="4" w:space="0" w:color="auto"/>
              <w:bottom w:val="nil"/>
              <w:right w:val="nil"/>
            </w:tcBorders>
            <w:shd w:val="clear" w:color="auto" w:fill="FFFFFF"/>
            <w:vAlign w:val="bottom"/>
          </w:tcPr>
          <w:p w:rsidR="00047922" w:rsidRPr="00047922" w:rsidRDefault="00047922" w:rsidP="00047922">
            <w:pPr>
              <w:pStyle w:val="Style14"/>
              <w:shd w:val="clear" w:color="auto" w:fill="auto"/>
              <w:spacing w:before="0" w:line="200" w:lineRule="exact"/>
              <w:jc w:val="center"/>
              <w:rPr>
                <w:rFonts w:ascii="Bookman Old Style" w:eastAsia="Times New Roman" w:hAnsi="Bookman Old Style"/>
                <w:i/>
                <w:lang w:eastAsia="es-ES"/>
              </w:rPr>
            </w:pPr>
            <w:r w:rsidRPr="00047922">
              <w:rPr>
                <w:rFonts w:ascii="Bookman Old Style" w:eastAsia="Times New Roman" w:hAnsi="Bookman Old Style"/>
                <w:b/>
                <w:bCs/>
                <w:i/>
                <w:lang w:eastAsia="es-ES"/>
              </w:rPr>
              <w:t>Energía</w:t>
            </w:r>
          </w:p>
        </w:tc>
        <w:tc>
          <w:tcPr>
            <w:tcW w:w="2563" w:type="dxa"/>
            <w:tcBorders>
              <w:top w:val="single" w:sz="4" w:space="0" w:color="auto"/>
              <w:left w:val="single" w:sz="4" w:space="0" w:color="auto"/>
              <w:bottom w:val="nil"/>
              <w:right w:val="single" w:sz="4" w:space="0" w:color="auto"/>
            </w:tcBorders>
            <w:shd w:val="clear" w:color="auto" w:fill="FFFFFF"/>
            <w:vAlign w:val="bottom"/>
          </w:tcPr>
          <w:p w:rsidR="00047922" w:rsidRPr="00047922" w:rsidRDefault="00047922" w:rsidP="00047922">
            <w:pPr>
              <w:pStyle w:val="Style14"/>
              <w:shd w:val="clear" w:color="auto" w:fill="auto"/>
              <w:spacing w:before="0" w:line="200" w:lineRule="exact"/>
              <w:jc w:val="center"/>
              <w:rPr>
                <w:rFonts w:ascii="Bookman Old Style" w:eastAsia="Times New Roman" w:hAnsi="Bookman Old Style"/>
                <w:i/>
                <w:lang w:eastAsia="es-ES"/>
              </w:rPr>
            </w:pPr>
            <w:r w:rsidRPr="00047922">
              <w:rPr>
                <w:rFonts w:ascii="Bookman Old Style" w:eastAsia="Times New Roman" w:hAnsi="Bookman Old Style"/>
                <w:b/>
                <w:bCs/>
                <w:i/>
                <w:lang w:eastAsia="es-ES"/>
              </w:rPr>
              <w:t>Acumulado</w:t>
            </w:r>
          </w:p>
        </w:tc>
      </w:tr>
      <w:tr w:rsidR="00047922" w:rsidRPr="00047922" w:rsidTr="00047922">
        <w:trPr>
          <w:trHeight w:hRule="exact" w:val="346"/>
          <w:jc w:val="center"/>
        </w:trPr>
        <w:tc>
          <w:tcPr>
            <w:tcW w:w="2122" w:type="dxa"/>
            <w:tcBorders>
              <w:top w:val="single" w:sz="4" w:space="0" w:color="auto"/>
              <w:left w:val="single" w:sz="4" w:space="0" w:color="auto"/>
              <w:bottom w:val="single" w:sz="4" w:space="0" w:color="auto"/>
              <w:right w:val="nil"/>
            </w:tcBorders>
            <w:shd w:val="clear" w:color="auto" w:fill="FFFFFF"/>
            <w:vAlign w:val="bottom"/>
          </w:tcPr>
          <w:p w:rsidR="00047922" w:rsidRPr="00047922" w:rsidRDefault="00047922" w:rsidP="00047922">
            <w:pPr>
              <w:pStyle w:val="Style14"/>
              <w:shd w:val="clear" w:color="auto" w:fill="auto"/>
              <w:spacing w:before="0" w:line="200" w:lineRule="exact"/>
              <w:ind w:left="80"/>
              <w:rPr>
                <w:rFonts w:ascii="Bookman Old Style" w:eastAsia="Times New Roman" w:hAnsi="Bookman Old Style"/>
                <w:i/>
                <w:lang w:eastAsia="es-ES"/>
              </w:rPr>
            </w:pPr>
            <w:r w:rsidRPr="00047922">
              <w:rPr>
                <w:rFonts w:ascii="Bookman Old Style" w:eastAsia="Times New Roman" w:hAnsi="Bookman Old Style"/>
                <w:i/>
                <w:iCs/>
                <w:lang w:eastAsia="es-ES"/>
              </w:rPr>
              <w:t>Activos sociales</w:t>
            </w:r>
          </w:p>
        </w:tc>
        <w:tc>
          <w:tcPr>
            <w:tcW w:w="2122" w:type="dxa"/>
            <w:tcBorders>
              <w:top w:val="single" w:sz="4" w:space="0" w:color="auto"/>
              <w:left w:val="single" w:sz="4" w:space="0" w:color="auto"/>
              <w:bottom w:val="single" w:sz="4" w:space="0" w:color="auto"/>
              <w:right w:val="nil"/>
            </w:tcBorders>
            <w:shd w:val="clear" w:color="auto" w:fill="FFFFFF"/>
            <w:vAlign w:val="bottom"/>
          </w:tcPr>
          <w:p w:rsidR="00047922" w:rsidRPr="00047922" w:rsidRDefault="00047922" w:rsidP="00047922">
            <w:pPr>
              <w:pStyle w:val="Style14"/>
              <w:shd w:val="clear" w:color="auto" w:fill="auto"/>
              <w:spacing w:before="0" w:line="200" w:lineRule="exact"/>
              <w:ind w:right="120"/>
              <w:jc w:val="right"/>
              <w:rPr>
                <w:rFonts w:ascii="Bookman Old Style" w:eastAsia="Times New Roman" w:hAnsi="Bookman Old Style"/>
                <w:i/>
                <w:lang w:eastAsia="es-ES"/>
              </w:rPr>
            </w:pPr>
            <w:r w:rsidRPr="00047922">
              <w:rPr>
                <w:rFonts w:ascii="Bookman Old Style" w:eastAsia="Times New Roman" w:hAnsi="Bookman Old Style"/>
                <w:i/>
                <w:iCs/>
                <w:lang w:eastAsia="es-ES"/>
              </w:rPr>
              <w:t>1.171.933.901</w:t>
            </w:r>
          </w:p>
        </w:tc>
        <w:tc>
          <w:tcPr>
            <w:tcW w:w="2266" w:type="dxa"/>
            <w:tcBorders>
              <w:top w:val="single" w:sz="4" w:space="0" w:color="auto"/>
              <w:left w:val="single" w:sz="4" w:space="0" w:color="auto"/>
              <w:bottom w:val="single" w:sz="4" w:space="0" w:color="auto"/>
              <w:right w:val="nil"/>
            </w:tcBorders>
            <w:shd w:val="clear" w:color="auto" w:fill="FFFFFF"/>
            <w:vAlign w:val="bottom"/>
          </w:tcPr>
          <w:p w:rsidR="00047922" w:rsidRPr="00047922" w:rsidRDefault="00047922" w:rsidP="00047922">
            <w:pPr>
              <w:pStyle w:val="Style14"/>
              <w:shd w:val="clear" w:color="auto" w:fill="auto"/>
              <w:spacing w:before="0" w:line="200" w:lineRule="exact"/>
              <w:ind w:right="80"/>
              <w:jc w:val="right"/>
              <w:rPr>
                <w:rFonts w:ascii="Bookman Old Style" w:eastAsia="Times New Roman" w:hAnsi="Bookman Old Style"/>
                <w:i/>
                <w:lang w:eastAsia="es-ES"/>
              </w:rPr>
            </w:pPr>
            <w:r w:rsidRPr="00047922">
              <w:rPr>
                <w:rFonts w:ascii="Bookman Old Style" w:eastAsia="Times New Roman" w:hAnsi="Bookman Old Style"/>
                <w:i/>
                <w:iCs/>
                <w:lang w:eastAsia="es-ES"/>
              </w:rPr>
              <w:t>26.984.081.885</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bottom"/>
          </w:tcPr>
          <w:p w:rsidR="00047922" w:rsidRPr="00047922" w:rsidRDefault="00047922" w:rsidP="00047922">
            <w:pPr>
              <w:pStyle w:val="Style14"/>
              <w:shd w:val="clear" w:color="auto" w:fill="auto"/>
              <w:spacing w:before="0" w:line="200" w:lineRule="exact"/>
              <w:ind w:right="80"/>
              <w:jc w:val="right"/>
              <w:rPr>
                <w:rFonts w:ascii="Bookman Old Style" w:eastAsia="Times New Roman" w:hAnsi="Bookman Old Style"/>
                <w:i/>
                <w:lang w:eastAsia="es-ES"/>
              </w:rPr>
            </w:pPr>
            <w:r w:rsidRPr="00047922">
              <w:rPr>
                <w:rFonts w:ascii="Bookman Old Style" w:eastAsia="Times New Roman" w:hAnsi="Bookman Old Style"/>
                <w:i/>
                <w:iCs/>
                <w:lang w:eastAsia="es-ES"/>
              </w:rPr>
              <w:t>28.156.015.786</w:t>
            </w:r>
          </w:p>
        </w:tc>
      </w:tr>
    </w:tbl>
    <w:p w:rsidR="00047922" w:rsidRDefault="00047922" w:rsidP="00EB7EE9">
      <w:pPr>
        <w:pStyle w:val="Style11"/>
        <w:shd w:val="clear" w:color="auto" w:fill="auto"/>
        <w:spacing w:after="180"/>
        <w:ind w:firstLine="0"/>
        <w:jc w:val="both"/>
        <w:rPr>
          <w:rFonts w:ascii="Bookman Old Style" w:eastAsia="Times New Roman" w:hAnsi="Bookman Old Style"/>
          <w:i/>
          <w:sz w:val="24"/>
          <w:szCs w:val="24"/>
          <w:lang w:eastAsia="es-ES"/>
        </w:rPr>
      </w:pPr>
    </w:p>
    <w:p w:rsidR="004F0355" w:rsidRPr="003301B8" w:rsidRDefault="004F0355" w:rsidP="004F0355">
      <w:pPr>
        <w:ind w:left="0"/>
        <w:jc w:val="both"/>
        <w:rPr>
          <w:rFonts w:ascii="Bookman Old Style" w:hAnsi="Bookman Old Style"/>
        </w:rPr>
      </w:pPr>
    </w:p>
    <w:p w:rsidR="004F0355" w:rsidRPr="003301B8" w:rsidRDefault="004F0355" w:rsidP="004F0355">
      <w:pPr>
        <w:pStyle w:val="Prrafodelista"/>
        <w:numPr>
          <w:ilvl w:val="0"/>
          <w:numId w:val="2"/>
        </w:numPr>
        <w:jc w:val="both"/>
        <w:rPr>
          <w:rFonts w:ascii="Bookman Old Style" w:hAnsi="Bookman Old Style"/>
          <w:b/>
          <w:sz w:val="24"/>
          <w:szCs w:val="24"/>
        </w:rPr>
      </w:pPr>
      <w:r w:rsidRPr="003301B8">
        <w:rPr>
          <w:rFonts w:ascii="Bookman Old Style" w:hAnsi="Bookman Old Style"/>
          <w:b/>
          <w:sz w:val="24"/>
          <w:szCs w:val="24"/>
        </w:rPr>
        <w:t>CONSIDERACIONES DE LA CREG</w:t>
      </w:r>
    </w:p>
    <w:p w:rsidR="004F0355" w:rsidRPr="003301B8" w:rsidRDefault="004F0355" w:rsidP="004F0355">
      <w:pPr>
        <w:ind w:left="0"/>
        <w:jc w:val="both"/>
        <w:rPr>
          <w:rFonts w:ascii="Bookman Old Style" w:hAnsi="Bookman Old Style"/>
        </w:rPr>
      </w:pPr>
    </w:p>
    <w:p w:rsidR="004F0355" w:rsidRPr="003301B8" w:rsidRDefault="004F0355" w:rsidP="004F0355">
      <w:pPr>
        <w:ind w:left="0"/>
        <w:jc w:val="both"/>
        <w:rPr>
          <w:rFonts w:ascii="Bookman Old Style" w:hAnsi="Bookman Old Style"/>
        </w:rPr>
      </w:pPr>
      <w:r w:rsidRPr="003301B8">
        <w:rPr>
          <w:rFonts w:ascii="Bookman Old Style" w:hAnsi="Bookman Old Style"/>
        </w:rPr>
        <w:t>De acuerdo con los argumentos del recurrente, estos se circunscriben a un aspecto fundamental:</w:t>
      </w:r>
    </w:p>
    <w:p w:rsidR="004F0355" w:rsidRPr="003301B8" w:rsidRDefault="004F0355" w:rsidP="004F0355">
      <w:pPr>
        <w:ind w:left="0"/>
        <w:jc w:val="both"/>
        <w:rPr>
          <w:rFonts w:ascii="Bookman Old Style" w:hAnsi="Bookman Old Style"/>
        </w:rPr>
      </w:pPr>
    </w:p>
    <w:p w:rsidR="004F0355" w:rsidRDefault="00047922" w:rsidP="004F0355">
      <w:pPr>
        <w:ind w:left="0"/>
        <w:jc w:val="both"/>
        <w:rPr>
          <w:rFonts w:ascii="Bookman Old Style" w:hAnsi="Bookman Old Style"/>
          <w:i/>
        </w:rPr>
      </w:pPr>
      <w:r w:rsidRPr="00047922">
        <w:rPr>
          <w:rFonts w:ascii="Bookman Old Style" w:hAnsi="Bookman Old Style"/>
          <w:i/>
        </w:rPr>
        <w:t>A continuación, se ilustra la diferencia planteada en el presente recurso, determinándose la base gravable y la contribución liquidada por la CREG y la base gravable y la contribución que se debieron liquidar, para indicar la diferencia que debe excluirse:</w:t>
      </w:r>
    </w:p>
    <w:p w:rsidR="00047922" w:rsidRDefault="00047922" w:rsidP="004F0355">
      <w:pPr>
        <w:ind w:left="0"/>
        <w:jc w:val="both"/>
        <w:rPr>
          <w:rFonts w:ascii="Bookman Old Style" w:hAnsi="Bookman Old Style"/>
          <w:i/>
        </w:rPr>
      </w:pPr>
    </w:p>
    <w:tbl>
      <w:tblPr>
        <w:tblW w:w="0" w:type="auto"/>
        <w:tblLayout w:type="fixed"/>
        <w:tblCellMar>
          <w:left w:w="0" w:type="dxa"/>
          <w:right w:w="0" w:type="dxa"/>
        </w:tblCellMar>
        <w:tblLook w:val="0000" w:firstRow="0" w:lastRow="0" w:firstColumn="0" w:lastColumn="0" w:noHBand="0" w:noVBand="0"/>
      </w:tblPr>
      <w:tblGrid>
        <w:gridCol w:w="3686"/>
        <w:gridCol w:w="2266"/>
        <w:gridCol w:w="2141"/>
      </w:tblGrid>
      <w:tr w:rsidR="00047922" w:rsidTr="00047922">
        <w:trPr>
          <w:trHeight w:hRule="exact" w:val="346"/>
        </w:trPr>
        <w:tc>
          <w:tcPr>
            <w:tcW w:w="3686" w:type="dxa"/>
            <w:tcBorders>
              <w:top w:val="nil"/>
              <w:left w:val="nil"/>
              <w:bottom w:val="nil"/>
              <w:right w:val="nil"/>
            </w:tcBorders>
            <w:shd w:val="clear" w:color="auto" w:fill="FFFFFF"/>
          </w:tcPr>
          <w:p w:rsidR="00047922" w:rsidRDefault="00047922" w:rsidP="00047922">
            <w:pPr>
              <w:rPr>
                <w:sz w:val="10"/>
                <w:szCs w:val="10"/>
                <w:lang w:eastAsia="es-CO"/>
              </w:rPr>
            </w:pPr>
          </w:p>
        </w:tc>
        <w:tc>
          <w:tcPr>
            <w:tcW w:w="4407" w:type="dxa"/>
            <w:gridSpan w:val="2"/>
            <w:tcBorders>
              <w:top w:val="single" w:sz="4" w:space="0" w:color="auto"/>
              <w:left w:val="single" w:sz="4" w:space="0" w:color="auto"/>
              <w:bottom w:val="nil"/>
              <w:right w:val="single" w:sz="4" w:space="0" w:color="auto"/>
            </w:tcBorders>
            <w:shd w:val="clear" w:color="auto" w:fill="FFFFFF"/>
            <w:vAlign w:val="bottom"/>
          </w:tcPr>
          <w:p w:rsidR="00047922" w:rsidRDefault="00047922" w:rsidP="00047922">
            <w:pPr>
              <w:pStyle w:val="Style14"/>
              <w:shd w:val="clear" w:color="auto" w:fill="auto"/>
              <w:spacing w:before="0" w:line="180" w:lineRule="exact"/>
              <w:jc w:val="center"/>
            </w:pPr>
            <w:r>
              <w:rPr>
                <w:rStyle w:val="CharStyle36"/>
                <w:color w:val="000000"/>
                <w:lang w:eastAsia="es-ES_tradnl"/>
              </w:rPr>
              <w:t>ENERGÍA / GAS NATURAL</w:t>
            </w:r>
          </w:p>
        </w:tc>
      </w:tr>
      <w:tr w:rsidR="00047922" w:rsidTr="00047922">
        <w:trPr>
          <w:trHeight w:hRule="exact" w:val="317"/>
        </w:trPr>
        <w:tc>
          <w:tcPr>
            <w:tcW w:w="3686" w:type="dxa"/>
            <w:tcBorders>
              <w:top w:val="single" w:sz="4" w:space="0" w:color="auto"/>
              <w:left w:val="single" w:sz="4" w:space="0" w:color="auto"/>
              <w:bottom w:val="nil"/>
              <w:right w:val="nil"/>
            </w:tcBorders>
            <w:shd w:val="clear" w:color="auto" w:fill="FFFFFF"/>
            <w:vAlign w:val="bottom"/>
          </w:tcPr>
          <w:p w:rsidR="00047922" w:rsidRDefault="00047922" w:rsidP="00047922">
            <w:pPr>
              <w:pStyle w:val="Style14"/>
              <w:shd w:val="clear" w:color="auto" w:fill="auto"/>
              <w:spacing w:before="0" w:line="180" w:lineRule="exact"/>
              <w:ind w:left="80"/>
            </w:pPr>
            <w:r>
              <w:rPr>
                <w:rStyle w:val="CharStyle36"/>
                <w:color w:val="000000"/>
                <w:lang w:eastAsia="es-ES_tradnl"/>
              </w:rPr>
              <w:t>LIQUIDACIÓN</w:t>
            </w:r>
          </w:p>
        </w:tc>
        <w:tc>
          <w:tcPr>
            <w:tcW w:w="2266" w:type="dxa"/>
            <w:tcBorders>
              <w:top w:val="single" w:sz="4" w:space="0" w:color="auto"/>
              <w:left w:val="single" w:sz="4" w:space="0" w:color="auto"/>
              <w:bottom w:val="nil"/>
              <w:right w:val="nil"/>
            </w:tcBorders>
            <w:shd w:val="clear" w:color="auto" w:fill="FFFFFF"/>
            <w:vAlign w:val="bottom"/>
          </w:tcPr>
          <w:p w:rsidR="00047922" w:rsidRDefault="00047922" w:rsidP="00047922">
            <w:pPr>
              <w:pStyle w:val="Style14"/>
              <w:shd w:val="clear" w:color="auto" w:fill="auto"/>
              <w:spacing w:before="0" w:line="180" w:lineRule="exact"/>
              <w:jc w:val="center"/>
            </w:pPr>
            <w:r>
              <w:rPr>
                <w:rStyle w:val="CharStyle36"/>
                <w:color w:val="000000"/>
                <w:lang w:eastAsia="es-ES_tradnl"/>
              </w:rPr>
              <w:t>BASE</w:t>
            </w:r>
          </w:p>
        </w:tc>
        <w:tc>
          <w:tcPr>
            <w:tcW w:w="2141" w:type="dxa"/>
            <w:tcBorders>
              <w:top w:val="single" w:sz="4" w:space="0" w:color="auto"/>
              <w:left w:val="single" w:sz="4" w:space="0" w:color="auto"/>
              <w:bottom w:val="nil"/>
              <w:right w:val="single" w:sz="4" w:space="0" w:color="auto"/>
            </w:tcBorders>
            <w:shd w:val="clear" w:color="auto" w:fill="FFFFFF"/>
            <w:vAlign w:val="bottom"/>
          </w:tcPr>
          <w:p w:rsidR="00047922" w:rsidRDefault="00047922" w:rsidP="00047922">
            <w:pPr>
              <w:pStyle w:val="Style14"/>
              <w:shd w:val="clear" w:color="auto" w:fill="auto"/>
              <w:spacing w:before="0" w:line="180" w:lineRule="exact"/>
              <w:ind w:left="280"/>
            </w:pPr>
            <w:r>
              <w:rPr>
                <w:rStyle w:val="CharStyle36"/>
                <w:color w:val="000000"/>
                <w:lang w:eastAsia="es-ES_tradnl"/>
              </w:rPr>
              <w:t>CONTRIBUCIÓN</w:t>
            </w:r>
          </w:p>
        </w:tc>
      </w:tr>
      <w:tr w:rsidR="00047922" w:rsidTr="00047922">
        <w:trPr>
          <w:trHeight w:hRule="exact" w:val="317"/>
        </w:trPr>
        <w:tc>
          <w:tcPr>
            <w:tcW w:w="3686" w:type="dxa"/>
            <w:tcBorders>
              <w:top w:val="single" w:sz="4" w:space="0" w:color="auto"/>
              <w:left w:val="single" w:sz="4" w:space="0" w:color="auto"/>
              <w:bottom w:val="nil"/>
              <w:right w:val="nil"/>
            </w:tcBorders>
            <w:shd w:val="clear" w:color="auto" w:fill="FFFFFF"/>
            <w:vAlign w:val="bottom"/>
          </w:tcPr>
          <w:p w:rsidR="00047922" w:rsidRDefault="00047922" w:rsidP="00047922">
            <w:pPr>
              <w:pStyle w:val="Style14"/>
              <w:shd w:val="clear" w:color="auto" w:fill="auto"/>
              <w:spacing w:before="0" w:line="200" w:lineRule="exact"/>
              <w:ind w:left="80"/>
            </w:pPr>
            <w:r>
              <w:rPr>
                <w:rStyle w:val="CharStyle30"/>
                <w:color w:val="000000"/>
                <w:lang w:eastAsia="es-ES_tradnl"/>
              </w:rPr>
              <w:t>SEGÚN CREG</w:t>
            </w:r>
          </w:p>
        </w:tc>
        <w:tc>
          <w:tcPr>
            <w:tcW w:w="2266" w:type="dxa"/>
            <w:tcBorders>
              <w:top w:val="single" w:sz="4" w:space="0" w:color="auto"/>
              <w:left w:val="single" w:sz="4" w:space="0" w:color="auto"/>
              <w:bottom w:val="nil"/>
              <w:right w:val="nil"/>
            </w:tcBorders>
            <w:shd w:val="clear" w:color="auto" w:fill="FFFFFF"/>
            <w:vAlign w:val="bottom"/>
          </w:tcPr>
          <w:p w:rsidR="00047922" w:rsidRDefault="00047922" w:rsidP="00047922">
            <w:pPr>
              <w:pStyle w:val="Style14"/>
              <w:shd w:val="clear" w:color="auto" w:fill="auto"/>
              <w:spacing w:before="0" w:line="200" w:lineRule="exact"/>
              <w:ind w:right="80"/>
              <w:jc w:val="right"/>
            </w:pPr>
            <w:r>
              <w:rPr>
                <w:rStyle w:val="CharStyle30"/>
                <w:color w:val="000000"/>
                <w:lang w:eastAsia="es-ES_tradnl"/>
              </w:rPr>
              <w:t>362,218.443,490</w:t>
            </w:r>
          </w:p>
        </w:tc>
        <w:tc>
          <w:tcPr>
            <w:tcW w:w="2141" w:type="dxa"/>
            <w:tcBorders>
              <w:top w:val="single" w:sz="4" w:space="0" w:color="auto"/>
              <w:left w:val="single" w:sz="4" w:space="0" w:color="auto"/>
              <w:bottom w:val="nil"/>
              <w:right w:val="single" w:sz="4" w:space="0" w:color="auto"/>
            </w:tcBorders>
            <w:shd w:val="clear" w:color="auto" w:fill="FFFFFF"/>
            <w:vAlign w:val="bottom"/>
          </w:tcPr>
          <w:p w:rsidR="00047922" w:rsidRDefault="00047922" w:rsidP="00047922">
            <w:pPr>
              <w:pStyle w:val="Style14"/>
              <w:shd w:val="clear" w:color="auto" w:fill="auto"/>
              <w:spacing w:before="0" w:line="200" w:lineRule="exact"/>
              <w:ind w:right="100"/>
              <w:jc w:val="right"/>
            </w:pPr>
            <w:r>
              <w:rPr>
                <w:rStyle w:val="CharStyle30"/>
                <w:color w:val="000000"/>
                <w:lang w:eastAsia="es-ES_tradnl"/>
              </w:rPr>
              <w:t>3,600,451,328</w:t>
            </w:r>
          </w:p>
        </w:tc>
      </w:tr>
      <w:tr w:rsidR="00047922" w:rsidTr="00047922">
        <w:trPr>
          <w:trHeight w:hRule="exact" w:val="317"/>
        </w:trPr>
        <w:tc>
          <w:tcPr>
            <w:tcW w:w="3686" w:type="dxa"/>
            <w:tcBorders>
              <w:top w:val="single" w:sz="4" w:space="0" w:color="auto"/>
              <w:left w:val="single" w:sz="4" w:space="0" w:color="auto"/>
              <w:bottom w:val="nil"/>
              <w:right w:val="nil"/>
            </w:tcBorders>
            <w:shd w:val="clear" w:color="auto" w:fill="FFFFFF"/>
            <w:vAlign w:val="bottom"/>
          </w:tcPr>
          <w:p w:rsidR="00047922" w:rsidRDefault="00047922" w:rsidP="00047922">
            <w:pPr>
              <w:pStyle w:val="Style14"/>
              <w:shd w:val="clear" w:color="auto" w:fill="auto"/>
              <w:spacing w:before="0" w:line="200" w:lineRule="exact"/>
              <w:ind w:left="80"/>
            </w:pPr>
            <w:r>
              <w:rPr>
                <w:rStyle w:val="CharStyle30"/>
                <w:color w:val="000000"/>
                <w:lang w:eastAsia="es-ES_tradnl"/>
              </w:rPr>
              <w:t>SEGÚN EPM</w:t>
            </w:r>
          </w:p>
        </w:tc>
        <w:tc>
          <w:tcPr>
            <w:tcW w:w="2266" w:type="dxa"/>
            <w:tcBorders>
              <w:top w:val="single" w:sz="4" w:space="0" w:color="auto"/>
              <w:left w:val="single" w:sz="4" w:space="0" w:color="auto"/>
              <w:bottom w:val="nil"/>
              <w:right w:val="nil"/>
            </w:tcBorders>
            <w:shd w:val="clear" w:color="auto" w:fill="FFFFFF"/>
            <w:vAlign w:val="bottom"/>
          </w:tcPr>
          <w:p w:rsidR="00047922" w:rsidRDefault="00047922" w:rsidP="00047922">
            <w:pPr>
              <w:pStyle w:val="Style14"/>
              <w:shd w:val="clear" w:color="auto" w:fill="auto"/>
              <w:spacing w:before="0" w:line="200" w:lineRule="exact"/>
              <w:ind w:right="80"/>
              <w:jc w:val="right"/>
            </w:pPr>
            <w:r>
              <w:rPr>
                <w:rStyle w:val="CharStyle30"/>
                <w:color w:val="000000"/>
                <w:lang w:eastAsia="es-ES_tradnl"/>
              </w:rPr>
              <w:t>334,062,427,704</w:t>
            </w:r>
          </w:p>
        </w:tc>
        <w:tc>
          <w:tcPr>
            <w:tcW w:w="2141" w:type="dxa"/>
            <w:tcBorders>
              <w:top w:val="single" w:sz="4" w:space="0" w:color="auto"/>
              <w:left w:val="single" w:sz="4" w:space="0" w:color="auto"/>
              <w:bottom w:val="nil"/>
              <w:right w:val="single" w:sz="4" w:space="0" w:color="auto"/>
            </w:tcBorders>
            <w:shd w:val="clear" w:color="auto" w:fill="FFFFFF"/>
            <w:vAlign w:val="bottom"/>
          </w:tcPr>
          <w:p w:rsidR="00047922" w:rsidRDefault="00047922" w:rsidP="00047922">
            <w:pPr>
              <w:pStyle w:val="Style14"/>
              <w:shd w:val="clear" w:color="auto" w:fill="auto"/>
              <w:spacing w:before="0" w:line="200" w:lineRule="exact"/>
              <w:ind w:right="100"/>
              <w:jc w:val="right"/>
            </w:pPr>
            <w:r>
              <w:rPr>
                <w:rStyle w:val="CharStyle30"/>
                <w:color w:val="000000"/>
                <w:lang w:eastAsia="es-ES_tradnl"/>
              </w:rPr>
              <w:t>3,320,580,531</w:t>
            </w:r>
          </w:p>
        </w:tc>
      </w:tr>
      <w:tr w:rsidR="00047922" w:rsidTr="00047922">
        <w:trPr>
          <w:trHeight w:hRule="exact" w:val="346"/>
        </w:trPr>
        <w:tc>
          <w:tcPr>
            <w:tcW w:w="3686" w:type="dxa"/>
            <w:tcBorders>
              <w:top w:val="single" w:sz="4" w:space="0" w:color="auto"/>
              <w:left w:val="single" w:sz="4" w:space="0" w:color="auto"/>
              <w:bottom w:val="single" w:sz="4" w:space="0" w:color="auto"/>
              <w:right w:val="nil"/>
            </w:tcBorders>
            <w:shd w:val="clear" w:color="auto" w:fill="FFFFFF"/>
            <w:vAlign w:val="bottom"/>
          </w:tcPr>
          <w:p w:rsidR="00047922" w:rsidRDefault="00047922" w:rsidP="00047922">
            <w:pPr>
              <w:pStyle w:val="Style14"/>
              <w:shd w:val="clear" w:color="auto" w:fill="auto"/>
              <w:spacing w:before="0" w:line="180" w:lineRule="exact"/>
              <w:ind w:left="80"/>
            </w:pPr>
            <w:r>
              <w:rPr>
                <w:rStyle w:val="CharStyle36"/>
                <w:color w:val="000000"/>
                <w:lang w:eastAsia="es-ES_tradnl"/>
              </w:rPr>
              <w:t>DIFERENCIA A EXCLUIR</w:t>
            </w:r>
          </w:p>
        </w:tc>
        <w:tc>
          <w:tcPr>
            <w:tcW w:w="2266" w:type="dxa"/>
            <w:tcBorders>
              <w:top w:val="single" w:sz="4" w:space="0" w:color="auto"/>
              <w:left w:val="single" w:sz="4" w:space="0" w:color="auto"/>
              <w:bottom w:val="single" w:sz="4" w:space="0" w:color="auto"/>
              <w:right w:val="nil"/>
            </w:tcBorders>
            <w:shd w:val="clear" w:color="auto" w:fill="FFFFFF"/>
            <w:vAlign w:val="bottom"/>
          </w:tcPr>
          <w:p w:rsidR="00047922" w:rsidRDefault="00047922" w:rsidP="00047922">
            <w:pPr>
              <w:pStyle w:val="Style14"/>
              <w:shd w:val="clear" w:color="auto" w:fill="auto"/>
              <w:spacing w:before="0" w:line="180" w:lineRule="exact"/>
              <w:ind w:right="80"/>
              <w:jc w:val="right"/>
            </w:pPr>
            <w:r>
              <w:rPr>
                <w:rStyle w:val="CharStyle36"/>
                <w:color w:val="000000"/>
                <w:lang w:eastAsia="es-ES_tradnl"/>
              </w:rPr>
              <w:t>28,156,015,786</w:t>
            </w:r>
          </w:p>
        </w:tc>
        <w:tc>
          <w:tcPr>
            <w:tcW w:w="2141" w:type="dxa"/>
            <w:tcBorders>
              <w:top w:val="single" w:sz="4" w:space="0" w:color="auto"/>
              <w:left w:val="single" w:sz="4" w:space="0" w:color="auto"/>
              <w:bottom w:val="single" w:sz="4" w:space="0" w:color="auto"/>
              <w:right w:val="single" w:sz="4" w:space="0" w:color="auto"/>
            </w:tcBorders>
            <w:shd w:val="clear" w:color="auto" w:fill="FFFFFF"/>
            <w:vAlign w:val="bottom"/>
          </w:tcPr>
          <w:p w:rsidR="00047922" w:rsidRDefault="00047922" w:rsidP="00047922">
            <w:pPr>
              <w:pStyle w:val="Style14"/>
              <w:shd w:val="clear" w:color="auto" w:fill="auto"/>
              <w:spacing w:before="0" w:line="180" w:lineRule="exact"/>
              <w:ind w:right="100"/>
              <w:jc w:val="right"/>
            </w:pPr>
            <w:r>
              <w:rPr>
                <w:rStyle w:val="CharStyle36"/>
                <w:color w:val="000000"/>
                <w:lang w:eastAsia="es-ES_tradnl"/>
              </w:rPr>
              <w:t>279,870,797</w:t>
            </w:r>
          </w:p>
        </w:tc>
      </w:tr>
    </w:tbl>
    <w:p w:rsidR="00047922" w:rsidRPr="003301B8" w:rsidRDefault="00047922" w:rsidP="004F0355">
      <w:pPr>
        <w:ind w:left="0"/>
        <w:jc w:val="both"/>
        <w:rPr>
          <w:rFonts w:ascii="Bookman Old Style" w:hAnsi="Bookman Old Style"/>
          <w:i/>
        </w:rPr>
      </w:pPr>
    </w:p>
    <w:p w:rsidR="00047922" w:rsidRDefault="00047922" w:rsidP="00047922">
      <w:pPr>
        <w:ind w:left="0"/>
        <w:jc w:val="both"/>
        <w:rPr>
          <w:rFonts w:ascii="Bookman Old Style" w:hAnsi="Bookman Old Style"/>
          <w:i/>
        </w:rPr>
      </w:pPr>
      <w:r>
        <w:rPr>
          <w:rFonts w:ascii="Bookman Old Style" w:hAnsi="Bookman Old Style"/>
          <w:i/>
        </w:rPr>
        <w:t>Si</w:t>
      </w:r>
      <w:r w:rsidRPr="00047922">
        <w:rPr>
          <w:rFonts w:ascii="Bookman Old Style" w:hAnsi="Bookman Old Style"/>
          <w:i/>
        </w:rPr>
        <w:t xml:space="preserve"> bien,</w:t>
      </w:r>
      <w:r>
        <w:rPr>
          <w:rFonts w:ascii="Bookman Old Style" w:hAnsi="Bookman Old Style"/>
          <w:i/>
        </w:rPr>
        <w:t xml:space="preserve"> </w:t>
      </w:r>
      <w:r w:rsidRPr="00047922">
        <w:rPr>
          <w:rFonts w:ascii="Bookman Old Style" w:hAnsi="Bookman Old Style"/>
          <w:i/>
        </w:rPr>
        <w:t>conforme</w:t>
      </w:r>
      <w:r>
        <w:rPr>
          <w:rFonts w:ascii="Bookman Old Style" w:hAnsi="Bookman Old Style"/>
          <w:i/>
        </w:rPr>
        <w:t xml:space="preserve"> </w:t>
      </w:r>
      <w:r w:rsidRPr="00047922">
        <w:rPr>
          <w:rFonts w:ascii="Bookman Old Style" w:hAnsi="Bookman Old Style"/>
          <w:i/>
        </w:rPr>
        <w:t>a</w:t>
      </w:r>
      <w:r>
        <w:rPr>
          <w:rFonts w:ascii="Bookman Old Style" w:hAnsi="Bookman Old Style"/>
          <w:i/>
        </w:rPr>
        <w:t xml:space="preserve"> </w:t>
      </w:r>
      <w:r w:rsidRPr="00047922">
        <w:rPr>
          <w:rFonts w:ascii="Bookman Old Style" w:hAnsi="Bookman Old Style"/>
          <w:i/>
        </w:rPr>
        <w:t>lo dispuesto en el Articulo 95,numeral 9</w:t>
      </w:r>
      <w:r>
        <w:rPr>
          <w:rFonts w:ascii="Bookman Old Style" w:hAnsi="Bookman Old Style"/>
          <w:i/>
        </w:rPr>
        <w:t xml:space="preserve"> de la C</w:t>
      </w:r>
      <w:r w:rsidRPr="00047922">
        <w:rPr>
          <w:rFonts w:ascii="Bookman Old Style" w:hAnsi="Bookman Old Style"/>
          <w:i/>
        </w:rPr>
        <w:t xml:space="preserve">onstitución </w:t>
      </w:r>
      <w:r w:rsidR="00E70E35">
        <w:rPr>
          <w:rFonts w:ascii="Bookman Old Style" w:hAnsi="Bookman Old Style"/>
          <w:i/>
        </w:rPr>
        <w:t>Política</w:t>
      </w:r>
      <w:r w:rsidRPr="00047922">
        <w:rPr>
          <w:rFonts w:ascii="Bookman Old Style" w:hAnsi="Bookman Old Style"/>
          <w:i/>
        </w:rPr>
        <w:t xml:space="preserve">, todos los </w:t>
      </w:r>
      <w:r>
        <w:rPr>
          <w:rFonts w:ascii="Bookman Old Style" w:hAnsi="Bookman Old Style"/>
          <w:i/>
        </w:rPr>
        <w:t>ciudadanos deben contribuir al f</w:t>
      </w:r>
      <w:r w:rsidRPr="00047922">
        <w:rPr>
          <w:rFonts w:ascii="Bookman Old Style" w:hAnsi="Bookman Old Style"/>
          <w:i/>
        </w:rPr>
        <w:t>inanciamiento de los gastos</w:t>
      </w:r>
      <w:r>
        <w:rPr>
          <w:rFonts w:ascii="Bookman Old Style" w:hAnsi="Bookman Old Style"/>
          <w:i/>
        </w:rPr>
        <w:t xml:space="preserve"> </w:t>
      </w:r>
      <w:r w:rsidRPr="00047922">
        <w:rPr>
          <w:rFonts w:ascii="Bookman Old Style" w:hAnsi="Bookman Old Style"/>
          <w:i/>
        </w:rPr>
        <w:t>e</w:t>
      </w:r>
      <w:r>
        <w:rPr>
          <w:rFonts w:ascii="Bookman Old Style" w:hAnsi="Bookman Old Style"/>
          <w:i/>
        </w:rPr>
        <w:t xml:space="preserve"> </w:t>
      </w:r>
      <w:r w:rsidRPr="00047922">
        <w:rPr>
          <w:rFonts w:ascii="Bookman Old Style" w:hAnsi="Bookman Old Style"/>
          <w:i/>
        </w:rPr>
        <w:t>inversiones del Estado dentro de conceptos de justicia</w:t>
      </w:r>
      <w:r>
        <w:rPr>
          <w:rFonts w:ascii="Bookman Old Style" w:hAnsi="Bookman Old Style"/>
          <w:i/>
        </w:rPr>
        <w:t xml:space="preserve"> </w:t>
      </w:r>
      <w:r w:rsidRPr="00047922">
        <w:rPr>
          <w:rFonts w:ascii="Bookman Old Style" w:hAnsi="Bookman Old Style"/>
          <w:i/>
        </w:rPr>
        <w:t>y</w:t>
      </w:r>
      <w:r>
        <w:rPr>
          <w:rFonts w:ascii="Bookman Old Style" w:hAnsi="Bookman Old Style"/>
          <w:i/>
        </w:rPr>
        <w:t xml:space="preserve"> </w:t>
      </w:r>
      <w:r w:rsidRPr="00047922">
        <w:rPr>
          <w:rFonts w:ascii="Bookman Old Style" w:hAnsi="Bookman Old Style"/>
          <w:i/>
        </w:rPr>
        <w:t>equidad</w:t>
      </w:r>
      <w:r>
        <w:rPr>
          <w:rFonts w:ascii="Bookman Old Style" w:hAnsi="Bookman Old Style"/>
          <w:i/>
        </w:rPr>
        <w:t xml:space="preserve"> </w:t>
      </w:r>
      <w:r w:rsidRPr="00047922">
        <w:rPr>
          <w:rFonts w:ascii="Bookman Old Style" w:hAnsi="Bookman Old Style"/>
          <w:i/>
        </w:rPr>
        <w:t>y,</w:t>
      </w:r>
      <w:r>
        <w:rPr>
          <w:rFonts w:ascii="Bookman Old Style" w:hAnsi="Bookman Old Style"/>
          <w:i/>
        </w:rPr>
        <w:t xml:space="preserve"> </w:t>
      </w:r>
      <w:r w:rsidRPr="00047922">
        <w:rPr>
          <w:rFonts w:ascii="Bookman Old Style" w:hAnsi="Bookman Old Style"/>
          <w:i/>
        </w:rPr>
        <w:t xml:space="preserve">el Articulo </w:t>
      </w:r>
      <w:r>
        <w:rPr>
          <w:rFonts w:ascii="Bookman Old Style" w:hAnsi="Bookman Old Style"/>
          <w:i/>
        </w:rPr>
        <w:t>33</w:t>
      </w:r>
      <w:r w:rsidRPr="00047922">
        <w:rPr>
          <w:rFonts w:ascii="Bookman Old Style" w:hAnsi="Bookman Old Style"/>
          <w:i/>
        </w:rPr>
        <w:t xml:space="preserve">8 </w:t>
      </w:r>
      <w:r w:rsidRPr="00047922">
        <w:rPr>
          <w:rFonts w:ascii="Bookman Old Style" w:hAnsi="Bookman Old Style"/>
          <w:i/>
        </w:rPr>
        <w:lastRenderedPageBreak/>
        <w:t>de la Carta prevé que la ley puede permitir que las autoridades fijen la tarifa de las tasas</w:t>
      </w:r>
      <w:r>
        <w:rPr>
          <w:rFonts w:ascii="Bookman Old Style" w:hAnsi="Bookman Old Style"/>
          <w:i/>
        </w:rPr>
        <w:t xml:space="preserve"> </w:t>
      </w:r>
      <w:r w:rsidRPr="00047922">
        <w:rPr>
          <w:rFonts w:ascii="Bookman Old Style" w:hAnsi="Bookman Old Style"/>
          <w:i/>
        </w:rPr>
        <w:t>y</w:t>
      </w:r>
      <w:r>
        <w:rPr>
          <w:rFonts w:ascii="Bookman Old Style" w:hAnsi="Bookman Old Style"/>
          <w:i/>
        </w:rPr>
        <w:t xml:space="preserve"> </w:t>
      </w:r>
      <w:r w:rsidRPr="00047922">
        <w:rPr>
          <w:rFonts w:ascii="Bookman Old Style" w:hAnsi="Bookman Old Style"/>
          <w:i/>
        </w:rPr>
        <w:t>contribuciones que cobren a los contribuyentes como recuperación de los costos de los servicios que les presten, el sistema</w:t>
      </w:r>
      <w:r>
        <w:rPr>
          <w:rFonts w:ascii="Bookman Old Style" w:hAnsi="Bookman Old Style"/>
          <w:i/>
        </w:rPr>
        <w:t xml:space="preserve"> </w:t>
      </w:r>
      <w:r w:rsidRPr="00047922">
        <w:rPr>
          <w:rFonts w:ascii="Bookman Old Style" w:hAnsi="Bookman Old Style"/>
          <w:i/>
        </w:rPr>
        <w:t>y</w:t>
      </w:r>
      <w:r>
        <w:rPr>
          <w:rFonts w:ascii="Bookman Old Style" w:hAnsi="Bookman Old Style"/>
          <w:i/>
        </w:rPr>
        <w:t xml:space="preserve"> </w:t>
      </w:r>
      <w:r w:rsidRPr="00047922">
        <w:rPr>
          <w:rFonts w:ascii="Bookman Old Style" w:hAnsi="Bookman Old Style"/>
          <w:i/>
        </w:rPr>
        <w:t>el método para definir tales costos</w:t>
      </w:r>
      <w:r>
        <w:rPr>
          <w:rFonts w:ascii="Bookman Old Style" w:hAnsi="Bookman Old Style"/>
          <w:i/>
        </w:rPr>
        <w:t xml:space="preserve"> </w:t>
      </w:r>
      <w:r w:rsidRPr="00047922">
        <w:rPr>
          <w:rFonts w:ascii="Bookman Old Style" w:hAnsi="Bookman Old Style"/>
          <w:i/>
        </w:rPr>
        <w:t>y</w:t>
      </w:r>
      <w:r>
        <w:rPr>
          <w:rFonts w:ascii="Bookman Old Style" w:hAnsi="Bookman Old Style"/>
          <w:i/>
        </w:rPr>
        <w:t xml:space="preserve"> </w:t>
      </w:r>
      <w:r w:rsidRPr="00047922">
        <w:rPr>
          <w:rFonts w:ascii="Bookman Old Style" w:hAnsi="Bookman Old Style"/>
          <w:i/>
        </w:rPr>
        <w:t>beneficios,</w:t>
      </w:r>
      <w:r>
        <w:rPr>
          <w:rFonts w:ascii="Bookman Old Style" w:hAnsi="Bookman Old Style"/>
          <w:i/>
        </w:rPr>
        <w:t xml:space="preserve"> </w:t>
      </w:r>
      <w:r w:rsidRPr="00047922">
        <w:rPr>
          <w:rFonts w:ascii="Bookman Old Style" w:hAnsi="Bookman Old Style"/>
          <w:i/>
        </w:rPr>
        <w:t>y</w:t>
      </w:r>
      <w:r>
        <w:rPr>
          <w:rFonts w:ascii="Bookman Old Style" w:hAnsi="Bookman Old Style"/>
          <w:i/>
        </w:rPr>
        <w:t xml:space="preserve"> </w:t>
      </w:r>
      <w:r w:rsidRPr="00047922">
        <w:rPr>
          <w:rFonts w:ascii="Bookman Old Style" w:hAnsi="Bookman Old Style"/>
          <w:i/>
        </w:rPr>
        <w:t>la forma de su reparto,</w:t>
      </w:r>
      <w:r>
        <w:rPr>
          <w:rFonts w:ascii="Bookman Old Style" w:hAnsi="Bookman Old Style"/>
          <w:i/>
        </w:rPr>
        <w:t xml:space="preserve"> </w:t>
      </w:r>
      <w:r w:rsidRPr="00047922">
        <w:rPr>
          <w:rFonts w:ascii="Bookman Old Style" w:hAnsi="Bookman Old Style"/>
          <w:i/>
        </w:rPr>
        <w:t>deben ser</w:t>
      </w:r>
      <w:r>
        <w:rPr>
          <w:rFonts w:ascii="Bookman Old Style" w:hAnsi="Bookman Old Style"/>
          <w:i/>
        </w:rPr>
        <w:t xml:space="preserve"> </w:t>
      </w:r>
      <w:r w:rsidRPr="00047922">
        <w:rPr>
          <w:rFonts w:ascii="Bookman Old Style" w:hAnsi="Bookman Old Style"/>
          <w:i/>
        </w:rPr>
        <w:t>fijados</w:t>
      </w:r>
      <w:r>
        <w:rPr>
          <w:rFonts w:ascii="Bookman Old Style" w:hAnsi="Bookman Old Style"/>
          <w:i/>
        </w:rPr>
        <w:t xml:space="preserve"> </w:t>
      </w:r>
      <w:r w:rsidRPr="00047922">
        <w:rPr>
          <w:rFonts w:ascii="Bookman Old Style" w:hAnsi="Bookman Old Style"/>
          <w:i/>
        </w:rPr>
        <w:t>por</w:t>
      </w:r>
      <w:r>
        <w:rPr>
          <w:rFonts w:ascii="Bookman Old Style" w:hAnsi="Bookman Old Style"/>
          <w:i/>
        </w:rPr>
        <w:t xml:space="preserve"> </w:t>
      </w:r>
      <w:r w:rsidRPr="00047922">
        <w:rPr>
          <w:rFonts w:ascii="Bookman Old Style" w:hAnsi="Bookman Old Style"/>
          <w:i/>
        </w:rPr>
        <w:t>la</w:t>
      </w:r>
      <w:r>
        <w:rPr>
          <w:rFonts w:ascii="Bookman Old Style" w:hAnsi="Bookman Old Style"/>
          <w:i/>
        </w:rPr>
        <w:t xml:space="preserve"> </w:t>
      </w:r>
      <w:r w:rsidRPr="00047922">
        <w:rPr>
          <w:rFonts w:ascii="Bookman Old Style" w:hAnsi="Bookman Old Style"/>
          <w:i/>
        </w:rPr>
        <w:t>ley</w:t>
      </w:r>
      <w:r>
        <w:rPr>
          <w:rFonts w:ascii="Bookman Old Style" w:hAnsi="Bookman Old Style"/>
          <w:i/>
        </w:rPr>
        <w:t>.</w:t>
      </w:r>
    </w:p>
    <w:p w:rsidR="00047922" w:rsidRPr="00047922" w:rsidRDefault="00047922" w:rsidP="00047922">
      <w:pPr>
        <w:ind w:left="0"/>
        <w:jc w:val="both"/>
        <w:rPr>
          <w:rFonts w:ascii="Bookman Old Style" w:hAnsi="Bookman Old Style"/>
          <w:i/>
        </w:rPr>
      </w:pPr>
    </w:p>
    <w:p w:rsidR="004F0355" w:rsidRPr="003301B8" w:rsidRDefault="00047922" w:rsidP="00047922">
      <w:pPr>
        <w:ind w:left="0"/>
        <w:jc w:val="both"/>
        <w:rPr>
          <w:rFonts w:ascii="Bookman Old Style" w:hAnsi="Bookman Old Style"/>
          <w:i/>
        </w:rPr>
      </w:pPr>
      <w:r w:rsidRPr="00047922">
        <w:rPr>
          <w:rFonts w:ascii="Bookman Old Style" w:hAnsi="Bookman Old Style"/>
          <w:i/>
        </w:rPr>
        <w:t>Es decir, con</w:t>
      </w:r>
      <w:r>
        <w:rPr>
          <w:rFonts w:ascii="Bookman Old Style" w:hAnsi="Bookman Old Style"/>
          <w:i/>
        </w:rPr>
        <w:t xml:space="preserve"> </w:t>
      </w:r>
      <w:r w:rsidRPr="00047922">
        <w:rPr>
          <w:rFonts w:ascii="Bookman Old Style" w:hAnsi="Bookman Old Style"/>
          <w:i/>
        </w:rPr>
        <w:t>lo anterior, se</w:t>
      </w:r>
      <w:r>
        <w:rPr>
          <w:rFonts w:ascii="Bookman Old Style" w:hAnsi="Bookman Old Style"/>
          <w:i/>
        </w:rPr>
        <w:t xml:space="preserve"> </w:t>
      </w:r>
      <w:r w:rsidRPr="00047922">
        <w:rPr>
          <w:rFonts w:ascii="Bookman Old Style" w:hAnsi="Bookman Old Style"/>
          <w:i/>
        </w:rPr>
        <w:t>instituye la</w:t>
      </w:r>
      <w:r>
        <w:rPr>
          <w:rFonts w:ascii="Bookman Old Style" w:hAnsi="Bookman Old Style"/>
          <w:i/>
        </w:rPr>
        <w:t xml:space="preserve"> </w:t>
      </w:r>
      <w:r w:rsidRPr="00047922">
        <w:rPr>
          <w:rFonts w:ascii="Bookman Old Style" w:hAnsi="Bookman Old Style"/>
          <w:i/>
        </w:rPr>
        <w:t>consagración</w:t>
      </w:r>
      <w:r>
        <w:rPr>
          <w:rFonts w:ascii="Bookman Old Style" w:hAnsi="Bookman Old Style"/>
          <w:i/>
        </w:rPr>
        <w:t xml:space="preserve"> </w:t>
      </w:r>
      <w:r w:rsidRPr="00047922">
        <w:rPr>
          <w:rFonts w:ascii="Bookman Old Style" w:hAnsi="Bookman Old Style"/>
          <w:i/>
        </w:rPr>
        <w:t>del principio de</w:t>
      </w:r>
      <w:r>
        <w:rPr>
          <w:rFonts w:ascii="Bookman Old Style" w:hAnsi="Bookman Old Style"/>
          <w:i/>
        </w:rPr>
        <w:t xml:space="preserve"> </w:t>
      </w:r>
      <w:r w:rsidRPr="00047922">
        <w:rPr>
          <w:rFonts w:ascii="Bookman Old Style" w:hAnsi="Bookman Old Style"/>
          <w:i/>
        </w:rPr>
        <w:t>legalidad</w:t>
      </w:r>
      <w:r>
        <w:rPr>
          <w:rFonts w:ascii="Bookman Old Style" w:hAnsi="Bookman Old Style"/>
          <w:i/>
        </w:rPr>
        <w:t xml:space="preserve"> </w:t>
      </w:r>
      <w:r w:rsidRPr="00047922">
        <w:rPr>
          <w:rFonts w:ascii="Bookman Old Style" w:hAnsi="Bookman Old Style"/>
          <w:i/>
        </w:rPr>
        <w:t>de</w:t>
      </w:r>
      <w:r>
        <w:rPr>
          <w:rFonts w:ascii="Bookman Old Style" w:hAnsi="Bookman Old Style"/>
          <w:i/>
        </w:rPr>
        <w:t xml:space="preserve"> </w:t>
      </w:r>
      <w:r w:rsidRPr="00047922">
        <w:rPr>
          <w:rFonts w:ascii="Bookman Old Style" w:hAnsi="Bookman Old Style"/>
          <w:i/>
        </w:rPr>
        <w:t>los tributos, en virtud del cual, todos los elementos constitutivos de los mismos deben estar claramente establecidos en la ley</w:t>
      </w:r>
    </w:p>
    <w:p w:rsidR="004F0355" w:rsidRPr="003301B8" w:rsidRDefault="004F0355" w:rsidP="004F0355">
      <w:pPr>
        <w:ind w:left="0"/>
        <w:jc w:val="both"/>
        <w:rPr>
          <w:rFonts w:ascii="Bookman Old Style" w:hAnsi="Bookman Old Style" w:cs="Arial"/>
          <w:b/>
          <w:sz w:val="18"/>
          <w:szCs w:val="18"/>
        </w:rPr>
      </w:pPr>
    </w:p>
    <w:p w:rsidR="004F0355" w:rsidRPr="003301B8" w:rsidRDefault="004F0355" w:rsidP="004F0355">
      <w:pPr>
        <w:ind w:left="0"/>
        <w:jc w:val="both"/>
        <w:rPr>
          <w:rFonts w:ascii="Bookman Old Style" w:hAnsi="Bookman Old Style"/>
        </w:rPr>
      </w:pPr>
      <w:r w:rsidRPr="003301B8">
        <w:rPr>
          <w:rFonts w:ascii="Bookman Old Style" w:hAnsi="Bookman Old Style"/>
        </w:rPr>
        <w:t>Para dilucidar el planteamiento del recurso de reposición, la Comisión de Regulación de Energía y Gas –CREG efectuará un análisis acerca de los requisitos de la contribución.</w:t>
      </w:r>
    </w:p>
    <w:p w:rsidR="004F0355" w:rsidRPr="003301B8" w:rsidRDefault="004F0355" w:rsidP="004F0355">
      <w:pPr>
        <w:ind w:left="0"/>
        <w:jc w:val="both"/>
        <w:rPr>
          <w:rFonts w:ascii="Bookman Old Style" w:hAnsi="Bookman Old Style"/>
        </w:rPr>
      </w:pPr>
    </w:p>
    <w:p w:rsidR="004F0355" w:rsidRPr="003301B8" w:rsidRDefault="004F0355" w:rsidP="004F0355">
      <w:pPr>
        <w:ind w:left="0"/>
        <w:jc w:val="both"/>
        <w:rPr>
          <w:rFonts w:ascii="Bookman Old Style" w:hAnsi="Bookman Old Style"/>
        </w:rPr>
      </w:pPr>
      <w:r w:rsidRPr="003301B8">
        <w:rPr>
          <w:rFonts w:ascii="Bookman Old Style" w:hAnsi="Bookman Old Style"/>
        </w:rPr>
        <w:t>La contribución que se liquidó en el acto administrativo recurrido, fue establecida por la Ley 142 de 1992 “</w:t>
      </w:r>
      <w:r w:rsidRPr="003301B8">
        <w:rPr>
          <w:rFonts w:ascii="Bookman Old Style" w:hAnsi="Bookman Old Style"/>
          <w:i/>
        </w:rPr>
        <w:t>Ley de servicios públicos domiciliarios</w:t>
      </w:r>
      <w:r w:rsidRPr="003301B8">
        <w:rPr>
          <w:rFonts w:ascii="Bookman Old Style" w:hAnsi="Bookman Old Style"/>
        </w:rPr>
        <w:t xml:space="preserve">” artículo 85, de acuerdo con los criterios del numeral 2 y parágrafo 2 de esta disposición, a favor de la Comisión de Regulación de Energía y Gas –CREG- y a cargo de las entidades sometidas a su regulación, con el fin de recuperar los costos de los servicios de regulación que presta la Entidad. </w:t>
      </w:r>
    </w:p>
    <w:p w:rsidR="004F0355" w:rsidRPr="003301B8" w:rsidRDefault="004F0355" w:rsidP="004F0355">
      <w:pPr>
        <w:ind w:left="0"/>
        <w:jc w:val="both"/>
        <w:rPr>
          <w:rFonts w:ascii="Bookman Old Style" w:hAnsi="Bookman Old Style"/>
        </w:rPr>
      </w:pPr>
    </w:p>
    <w:p w:rsidR="004F0355" w:rsidRPr="003301B8" w:rsidRDefault="004F0355" w:rsidP="004F0355">
      <w:pPr>
        <w:ind w:left="0"/>
        <w:jc w:val="both"/>
        <w:rPr>
          <w:rFonts w:ascii="Bookman Old Style" w:hAnsi="Bookman Old Style"/>
        </w:rPr>
      </w:pPr>
      <w:r w:rsidRPr="003301B8">
        <w:rPr>
          <w:rFonts w:ascii="Bookman Old Style" w:hAnsi="Bookman Old Style"/>
        </w:rPr>
        <w:t>La contribución a favor de la Comisión de Regulación de Energía y Gas CREG-, constituye un tributo que como tal, es obligatorio para todas las sociedades sometidas a regulación. Esta obligación fiscal a cargo de las entidades reguladas tiene prevista una sanción moratoria en caso de retardo en su cancelación lo que denota su carácter coercitivo. Como se puede apreciar la contribución va dirigida a un sector específico, como lo son las entidades reguladas por la CREG y su recaudo tiene como destinación cubrir sus gastos de funcionamiento.</w:t>
      </w:r>
    </w:p>
    <w:p w:rsidR="004F0355" w:rsidRPr="003301B8" w:rsidRDefault="004F0355" w:rsidP="004F0355">
      <w:pPr>
        <w:ind w:left="0"/>
        <w:jc w:val="both"/>
        <w:rPr>
          <w:rFonts w:ascii="Bookman Old Style" w:hAnsi="Bookman Old Style"/>
        </w:rPr>
      </w:pPr>
    </w:p>
    <w:p w:rsidR="004F0355" w:rsidRPr="003301B8" w:rsidRDefault="004F0355" w:rsidP="004F0355">
      <w:pPr>
        <w:ind w:left="0"/>
        <w:jc w:val="both"/>
        <w:rPr>
          <w:rFonts w:ascii="Bookman Old Style" w:hAnsi="Bookman Old Style"/>
        </w:rPr>
      </w:pPr>
      <w:r w:rsidRPr="003301B8">
        <w:rPr>
          <w:rFonts w:ascii="Bookman Old Style" w:hAnsi="Bookman Old Style"/>
        </w:rPr>
        <w:t>En este orden de ideas son sujetos pasivos de la contribución a favor de la CREG las entidades sometidas a su regulación control y vigilancia</w:t>
      </w:r>
      <w:r w:rsidRPr="003301B8">
        <w:rPr>
          <w:rStyle w:val="Refdenotaalpie"/>
          <w:rFonts w:ascii="Bookman Old Style" w:hAnsi="Bookman Old Style"/>
        </w:rPr>
        <w:footnoteReference w:id="1"/>
      </w:r>
      <w:r w:rsidRPr="003301B8">
        <w:rPr>
          <w:rFonts w:ascii="Bookman Old Style" w:hAnsi="Bookman Old Style"/>
        </w:rPr>
        <w:t xml:space="preserve">, </w:t>
      </w:r>
    </w:p>
    <w:p w:rsidR="004F0355" w:rsidRPr="003301B8" w:rsidRDefault="004F0355" w:rsidP="004F0355">
      <w:pPr>
        <w:ind w:left="0"/>
        <w:jc w:val="both"/>
        <w:rPr>
          <w:rFonts w:ascii="Bookman Old Style" w:hAnsi="Bookman Old Style"/>
        </w:rPr>
      </w:pPr>
    </w:p>
    <w:p w:rsidR="004F0355" w:rsidRPr="003301B8" w:rsidRDefault="004F0355" w:rsidP="004F0355">
      <w:pPr>
        <w:ind w:left="0"/>
        <w:jc w:val="both"/>
        <w:rPr>
          <w:rFonts w:ascii="Bookman Old Style" w:hAnsi="Bookman Old Style" w:cs="Arial"/>
          <w:bCs/>
        </w:rPr>
      </w:pPr>
      <w:r w:rsidRPr="003301B8">
        <w:rPr>
          <w:rFonts w:ascii="Bookman Old Style" w:hAnsi="Bookman Old Style" w:cs="Arial"/>
          <w:bCs/>
        </w:rPr>
        <w:t>La Comisión de Regulación de Energía y Gas- CREG-, para llevar a cabo la contribución especial se fundamentó en la información del Registro Único de Prestadores de Servicios Públicos</w:t>
      </w:r>
      <w:r w:rsidR="0078337F">
        <w:rPr>
          <w:rFonts w:ascii="Bookman Old Style" w:hAnsi="Bookman Old Style" w:cs="Arial"/>
          <w:bCs/>
        </w:rPr>
        <w:t xml:space="preserve">, </w:t>
      </w:r>
      <w:r w:rsidRPr="003301B8">
        <w:rPr>
          <w:rFonts w:ascii="Bookman Old Style" w:hAnsi="Bookman Old Style" w:cs="Arial"/>
          <w:bCs/>
        </w:rPr>
        <w:t xml:space="preserve">RUPS, encontrando que las </w:t>
      </w:r>
      <w:r w:rsidRPr="003301B8">
        <w:rPr>
          <w:rFonts w:ascii="Bookman Old Style" w:hAnsi="Bookman Old Style" w:cs="Arial"/>
        </w:rPr>
        <w:t xml:space="preserve">EMPRESAS PUBLICAS DE MEDELLÍN </w:t>
      </w:r>
      <w:r w:rsidR="00053764">
        <w:rPr>
          <w:rFonts w:ascii="Bookman Old Style" w:hAnsi="Bookman Old Style" w:cs="Arial"/>
        </w:rPr>
        <w:t xml:space="preserve">E.S.P, </w:t>
      </w:r>
      <w:r w:rsidRPr="003301B8">
        <w:rPr>
          <w:rFonts w:ascii="Bookman Old Style" w:hAnsi="Bookman Old Style" w:cs="Arial"/>
        </w:rPr>
        <w:t>EPM</w:t>
      </w:r>
      <w:r w:rsidR="00053764">
        <w:rPr>
          <w:rFonts w:ascii="Bookman Old Style" w:hAnsi="Bookman Old Style" w:cs="Arial"/>
        </w:rPr>
        <w:t>,</w:t>
      </w:r>
      <w:r w:rsidRPr="003301B8">
        <w:rPr>
          <w:rFonts w:ascii="Bookman Old Style" w:hAnsi="Bookman Old Style"/>
          <w:bCs/>
        </w:rPr>
        <w:t xml:space="preserve"> desarrolla actividades objeto de regulación.</w:t>
      </w:r>
    </w:p>
    <w:p w:rsidR="004F0355" w:rsidRPr="003301B8" w:rsidRDefault="004F0355" w:rsidP="004F0355">
      <w:pPr>
        <w:pStyle w:val="NormalWeb"/>
        <w:spacing w:before="0" w:beforeAutospacing="0" w:after="0" w:afterAutospacing="0"/>
        <w:jc w:val="both"/>
        <w:rPr>
          <w:rFonts w:ascii="Bookman Old Style" w:hAnsi="Bookman Old Style" w:cs="Arial"/>
          <w:bCs/>
          <w:lang w:val="es-MX"/>
        </w:rPr>
      </w:pPr>
    </w:p>
    <w:p w:rsidR="004F0355" w:rsidRPr="003301B8" w:rsidRDefault="004F0355" w:rsidP="004F0355">
      <w:pPr>
        <w:pStyle w:val="Prrafodelista"/>
        <w:ind w:left="0"/>
        <w:jc w:val="both"/>
        <w:rPr>
          <w:rFonts w:ascii="Bookman Old Style" w:hAnsi="Bookman Old Style"/>
          <w:sz w:val="24"/>
          <w:szCs w:val="24"/>
        </w:rPr>
      </w:pPr>
      <w:r w:rsidRPr="003301B8">
        <w:rPr>
          <w:rFonts w:ascii="Bookman Old Style" w:hAnsi="Bookman Old Style"/>
          <w:sz w:val="24"/>
          <w:szCs w:val="24"/>
        </w:rPr>
        <w:t>De la misma forma, el artículo 21 de la Ley 143 de 1994 establece la forma como debe realizarse la liquidación de la contribución especial de las empresas reguladas por la Comisión de Regulación de Energía y Gas –CREG-</w:t>
      </w:r>
    </w:p>
    <w:p w:rsidR="004F0355" w:rsidRPr="003301B8" w:rsidRDefault="004F0355" w:rsidP="004F0355">
      <w:pPr>
        <w:pStyle w:val="Prrafodelista"/>
        <w:ind w:left="0"/>
        <w:jc w:val="both"/>
        <w:rPr>
          <w:rFonts w:ascii="Bookman Old Style" w:hAnsi="Bookman Old Style"/>
          <w:sz w:val="24"/>
          <w:szCs w:val="24"/>
        </w:rPr>
      </w:pPr>
    </w:p>
    <w:p w:rsidR="004F0355" w:rsidRPr="003301B8" w:rsidRDefault="004F0355" w:rsidP="004F0355">
      <w:pPr>
        <w:pStyle w:val="Prrafodelista"/>
        <w:ind w:left="0"/>
        <w:jc w:val="both"/>
        <w:rPr>
          <w:rFonts w:ascii="Bookman Old Style" w:hAnsi="Bookman Old Style"/>
          <w:sz w:val="24"/>
          <w:szCs w:val="24"/>
        </w:rPr>
      </w:pPr>
      <w:r w:rsidRPr="003301B8">
        <w:rPr>
          <w:rFonts w:ascii="Bookman Old Style" w:hAnsi="Bookman Old Style"/>
          <w:sz w:val="24"/>
          <w:szCs w:val="24"/>
        </w:rPr>
        <w:t>Igualmente es importante señalar lo siguiente:</w:t>
      </w:r>
    </w:p>
    <w:p w:rsidR="004F0355" w:rsidRPr="003301B8" w:rsidRDefault="004F0355" w:rsidP="004F0355">
      <w:pPr>
        <w:pStyle w:val="Prrafodelista"/>
        <w:ind w:left="0"/>
        <w:jc w:val="both"/>
        <w:rPr>
          <w:rFonts w:ascii="Bookman Old Style" w:hAnsi="Bookman Old Style"/>
          <w:sz w:val="24"/>
          <w:szCs w:val="24"/>
        </w:rPr>
      </w:pPr>
    </w:p>
    <w:p w:rsidR="004F0355" w:rsidRPr="003301B8" w:rsidRDefault="004F0355" w:rsidP="004F0355">
      <w:pPr>
        <w:pStyle w:val="Prrafodelista"/>
        <w:ind w:left="0"/>
        <w:jc w:val="both"/>
        <w:rPr>
          <w:rFonts w:ascii="Bookman Old Style" w:hAnsi="Bookman Old Style"/>
          <w:sz w:val="24"/>
          <w:szCs w:val="24"/>
        </w:rPr>
      </w:pPr>
      <w:r w:rsidRPr="003301B8">
        <w:rPr>
          <w:rFonts w:ascii="Bookman Old Style" w:hAnsi="Bookman Old Style"/>
          <w:sz w:val="24"/>
          <w:szCs w:val="24"/>
        </w:rPr>
        <w:t>Los tributos se clasifican en impuestos, tasas y contribuciones y se pueden definir de la siguiente forma, de acuerdo con la Sentencia C-545 de 1994 con ponencia del Magistrado Fabio Morón Díaz:</w:t>
      </w:r>
    </w:p>
    <w:p w:rsidR="004F0355" w:rsidRPr="003301B8" w:rsidRDefault="004F0355" w:rsidP="004F0355">
      <w:pPr>
        <w:pStyle w:val="NormalWeb"/>
        <w:jc w:val="both"/>
        <w:rPr>
          <w:rFonts w:ascii="Bookman Old Style" w:hAnsi="Bookman Old Style" w:cs="Arial"/>
          <w:iCs/>
        </w:rPr>
      </w:pPr>
      <w:r w:rsidRPr="003301B8">
        <w:rPr>
          <w:rFonts w:ascii="Bookman Old Style" w:hAnsi="Bookman Old Style"/>
        </w:rPr>
        <w:t>IMPUESTOS: R</w:t>
      </w:r>
      <w:r w:rsidRPr="003301B8">
        <w:rPr>
          <w:rFonts w:ascii="Bookman Old Style" w:hAnsi="Bookman Old Style" w:cs="Arial"/>
          <w:iCs/>
        </w:rPr>
        <w:t>epresentan la obligación para el contribuyente de hacer un pago, sin que exista una retribución particular por parte del Estado.</w:t>
      </w:r>
    </w:p>
    <w:p w:rsidR="004F0355" w:rsidRPr="003301B8" w:rsidRDefault="004F0355" w:rsidP="004F0355">
      <w:pPr>
        <w:pStyle w:val="Prrafodelista"/>
        <w:ind w:left="0"/>
        <w:jc w:val="both"/>
        <w:rPr>
          <w:rFonts w:ascii="Bookman Old Style" w:hAnsi="Bookman Old Style"/>
          <w:sz w:val="24"/>
          <w:szCs w:val="24"/>
        </w:rPr>
      </w:pPr>
      <w:r w:rsidRPr="003301B8">
        <w:rPr>
          <w:rFonts w:ascii="Bookman Old Style" w:hAnsi="Bookman Old Style"/>
          <w:sz w:val="24"/>
          <w:szCs w:val="24"/>
        </w:rPr>
        <w:lastRenderedPageBreak/>
        <w:t xml:space="preserve">TASAS: </w:t>
      </w:r>
      <w:r w:rsidRPr="003301B8">
        <w:rPr>
          <w:rFonts w:ascii="Bookman Old Style" w:hAnsi="Bookman Old Style" w:cs="Arial"/>
          <w:iCs/>
          <w:sz w:val="24"/>
          <w:szCs w:val="24"/>
        </w:rPr>
        <w:t>Tributo cuya obligación tiene como hecho generador la prestación efectiva y potencial de un servicio público individualizado en el contribuyente. Su producto no debe tener un destino ajeno al servicio que contribuye al presupuesto de la obligación."</w:t>
      </w:r>
    </w:p>
    <w:p w:rsidR="004F0355" w:rsidRPr="003301B8" w:rsidRDefault="004F0355" w:rsidP="004F0355">
      <w:pPr>
        <w:pStyle w:val="Prrafodelista"/>
        <w:ind w:left="0"/>
        <w:jc w:val="both"/>
        <w:rPr>
          <w:rFonts w:ascii="Bookman Old Style" w:hAnsi="Bookman Old Style"/>
          <w:sz w:val="24"/>
          <w:szCs w:val="24"/>
        </w:rPr>
      </w:pPr>
    </w:p>
    <w:p w:rsidR="004F0355" w:rsidRPr="003301B8" w:rsidRDefault="004F0355" w:rsidP="004F0355">
      <w:pPr>
        <w:pStyle w:val="Prrafodelista"/>
        <w:ind w:left="0"/>
        <w:jc w:val="both"/>
        <w:rPr>
          <w:rFonts w:ascii="Bookman Old Style" w:hAnsi="Bookman Old Style" w:cs="Arial"/>
          <w:iCs/>
          <w:sz w:val="24"/>
          <w:szCs w:val="24"/>
        </w:rPr>
      </w:pPr>
      <w:r w:rsidRPr="003301B8">
        <w:rPr>
          <w:rFonts w:ascii="Bookman Old Style" w:hAnsi="Bookman Old Style"/>
          <w:sz w:val="24"/>
          <w:szCs w:val="24"/>
        </w:rPr>
        <w:t>CONTRIBUCIONES:</w:t>
      </w:r>
      <w:r w:rsidRPr="003301B8">
        <w:rPr>
          <w:rFonts w:ascii="Bookman Old Style" w:hAnsi="Bookman Old Style" w:cs="Arial"/>
          <w:iCs/>
          <w:sz w:val="24"/>
          <w:szCs w:val="24"/>
        </w:rPr>
        <w:t xml:space="preserve"> Todas las cargas fiscales al patrimonio particular, sustentadas en la potestad tributaria del Estado.</w:t>
      </w:r>
    </w:p>
    <w:p w:rsidR="004F0355" w:rsidRPr="003301B8" w:rsidRDefault="004F0355" w:rsidP="004F0355">
      <w:pPr>
        <w:pStyle w:val="Prrafodelista"/>
        <w:ind w:left="0"/>
        <w:jc w:val="both"/>
        <w:rPr>
          <w:rFonts w:ascii="Bookman Old Style" w:hAnsi="Bookman Old Style"/>
          <w:sz w:val="24"/>
          <w:szCs w:val="24"/>
        </w:rPr>
      </w:pPr>
    </w:p>
    <w:p w:rsidR="004F0355" w:rsidRPr="003301B8" w:rsidRDefault="004F0355" w:rsidP="004F0355">
      <w:pPr>
        <w:pStyle w:val="Prrafodelista"/>
        <w:ind w:left="0"/>
        <w:jc w:val="both"/>
        <w:rPr>
          <w:rFonts w:ascii="Bookman Old Style" w:hAnsi="Bookman Old Style"/>
          <w:sz w:val="24"/>
          <w:szCs w:val="24"/>
        </w:rPr>
      </w:pPr>
      <w:r w:rsidRPr="003301B8">
        <w:rPr>
          <w:rFonts w:ascii="Bookman Old Style" w:hAnsi="Bookman Old Style"/>
          <w:sz w:val="24"/>
          <w:szCs w:val="24"/>
        </w:rPr>
        <w:t xml:space="preserve">CONTRIBUCIONES ESPECIALES: </w:t>
      </w:r>
      <w:r w:rsidRPr="003301B8">
        <w:rPr>
          <w:rFonts w:ascii="Bookman Old Style" w:hAnsi="Bookman Old Style" w:cs="Arial"/>
          <w:iCs/>
          <w:sz w:val="24"/>
          <w:szCs w:val="24"/>
        </w:rPr>
        <w:t>Es un pago por una inversión que beneficia a un grupo de personas.</w:t>
      </w:r>
    </w:p>
    <w:p w:rsidR="004F0355" w:rsidRPr="003301B8" w:rsidRDefault="004F0355" w:rsidP="004F0355">
      <w:pPr>
        <w:pStyle w:val="Prrafodelista"/>
        <w:ind w:left="0"/>
        <w:jc w:val="both"/>
        <w:rPr>
          <w:rFonts w:ascii="Bookman Old Style" w:hAnsi="Bookman Old Style"/>
          <w:sz w:val="24"/>
          <w:szCs w:val="24"/>
        </w:rPr>
      </w:pPr>
    </w:p>
    <w:p w:rsidR="004F0355" w:rsidRPr="003301B8" w:rsidRDefault="004F0355" w:rsidP="004F0355">
      <w:pPr>
        <w:pStyle w:val="Prrafodelista"/>
        <w:ind w:left="0"/>
        <w:jc w:val="both"/>
        <w:rPr>
          <w:rFonts w:ascii="Bookman Old Style" w:hAnsi="Bookman Old Style"/>
          <w:sz w:val="24"/>
          <w:szCs w:val="24"/>
        </w:rPr>
      </w:pPr>
      <w:r w:rsidRPr="003301B8">
        <w:rPr>
          <w:rFonts w:ascii="Bookman Old Style" w:hAnsi="Bookman Old Style"/>
          <w:sz w:val="24"/>
          <w:szCs w:val="24"/>
        </w:rPr>
        <w:t>De acuerdo esta clasificación, las normas procedimentales del Estatuto Tributario Nacional son aplicables a los impuestos del orden nacional y a los impuestos de orden territorial, en virtud de lo dispuesto en el artículo 66 de la Ley 383 de 1997 para éste último. Es por esto, que el tributo a que hace referencia el artículo 85.2 de la Ley 142 de 1994, no se clasifica como un impuesto del orden nacional y territorial, sino como una contribución especial, la cual, escapa a la aplicación de las normas procedimentales del Estatuto Tributario Nacional.</w:t>
      </w:r>
    </w:p>
    <w:p w:rsidR="004F0355" w:rsidRPr="003301B8" w:rsidRDefault="004F0355" w:rsidP="004F0355">
      <w:pPr>
        <w:pStyle w:val="Prrafodelista"/>
        <w:ind w:left="0"/>
        <w:jc w:val="both"/>
        <w:rPr>
          <w:rFonts w:ascii="Bookman Old Style" w:hAnsi="Bookman Old Style"/>
          <w:sz w:val="24"/>
          <w:szCs w:val="24"/>
        </w:rPr>
      </w:pPr>
    </w:p>
    <w:p w:rsidR="004F0355" w:rsidRPr="003301B8" w:rsidRDefault="004F0355" w:rsidP="00F4483A">
      <w:pPr>
        <w:spacing w:line="276" w:lineRule="auto"/>
        <w:ind w:left="0"/>
        <w:jc w:val="both"/>
        <w:rPr>
          <w:rFonts w:ascii="Bookman Old Style" w:hAnsi="Bookman Old Style" w:cs="Arial"/>
          <w:lang w:eastAsia="es-CO"/>
        </w:rPr>
      </w:pPr>
      <w:r w:rsidRPr="003301B8">
        <w:rPr>
          <w:rFonts w:ascii="Bookman Old Style" w:hAnsi="Bookman Old Style" w:cs="Arial"/>
          <w:bCs/>
          <w:lang w:val="es-CO" w:eastAsia="es-CO"/>
        </w:rPr>
        <w:t>De acuerdo con la Teoría General del</w:t>
      </w:r>
      <w:r w:rsidRPr="003301B8">
        <w:rPr>
          <w:rFonts w:ascii="Bookman Old Style" w:hAnsi="Bookman Old Style" w:cs="Arial"/>
          <w:bCs/>
          <w:lang w:eastAsia="es-CO"/>
        </w:rPr>
        <w:t xml:space="preserve"> Acto Administrativo, e</w:t>
      </w:r>
      <w:r w:rsidRPr="003301B8">
        <w:rPr>
          <w:rFonts w:ascii="Bookman Old Style" w:hAnsi="Bookman Old Style" w:cs="Arial"/>
          <w:lang w:eastAsia="es-CO"/>
        </w:rPr>
        <w:t>ste es la declaración de voluntad de una autoridad administrativa, proferida en la forma determinada por la ley o el reglamento, que estatuya sobre relaciones de derecho público, en consideración a determinados motivos, con el fin de producir efectos jurídicos para la satisfacción de un interés administrativo y que contenga por objeto crear, modificar o extinguir una situación jurídica subjetiva.</w:t>
      </w:r>
    </w:p>
    <w:p w:rsidR="004F0355" w:rsidRPr="003301B8" w:rsidRDefault="004F0355" w:rsidP="00F4483A">
      <w:pPr>
        <w:spacing w:line="276" w:lineRule="auto"/>
        <w:ind w:left="0"/>
        <w:jc w:val="both"/>
        <w:rPr>
          <w:rFonts w:ascii="Bookman Old Style" w:hAnsi="Bookman Old Style" w:cs="Arial"/>
          <w:lang w:eastAsia="es-CO"/>
        </w:rPr>
      </w:pPr>
    </w:p>
    <w:p w:rsidR="004F0355" w:rsidRDefault="004F0355" w:rsidP="00F4483A">
      <w:pPr>
        <w:ind w:left="0"/>
        <w:jc w:val="both"/>
        <w:rPr>
          <w:rFonts w:ascii="Bookman Old Style" w:hAnsi="Bookman Old Style" w:cs="Arial"/>
          <w:lang w:eastAsia="es-CO"/>
        </w:rPr>
      </w:pPr>
      <w:r w:rsidRPr="003301B8">
        <w:rPr>
          <w:rFonts w:ascii="Bookman Old Style" w:hAnsi="Bookman Old Style" w:cs="Arial"/>
          <w:lang w:eastAsia="es-CO"/>
        </w:rPr>
        <w:t>Dentro de la clasificación de los actos administrativos pueden ser de carácter general o de carácter particular y concreto así:</w:t>
      </w:r>
    </w:p>
    <w:p w:rsidR="00F4483A" w:rsidRPr="003301B8" w:rsidRDefault="00F4483A" w:rsidP="00F4483A">
      <w:pPr>
        <w:ind w:left="0"/>
        <w:jc w:val="both"/>
        <w:rPr>
          <w:rFonts w:ascii="Bookman Old Style" w:hAnsi="Bookman Old Style" w:cs="Arial"/>
          <w:lang w:eastAsia="es-CO"/>
        </w:rPr>
      </w:pPr>
    </w:p>
    <w:p w:rsidR="004F0355" w:rsidRDefault="004F0355" w:rsidP="00F4483A">
      <w:pPr>
        <w:ind w:left="0"/>
        <w:jc w:val="both"/>
        <w:rPr>
          <w:rFonts w:ascii="Bookman Old Style" w:hAnsi="Bookman Old Style" w:cs="Arial"/>
          <w:lang w:eastAsia="es-CO"/>
        </w:rPr>
      </w:pPr>
      <w:r w:rsidRPr="003301B8">
        <w:rPr>
          <w:rFonts w:ascii="Bookman Old Style" w:hAnsi="Bookman Old Style" w:cs="Arial"/>
          <w:iCs/>
          <w:lang w:eastAsia="es-CO"/>
        </w:rPr>
        <w:t>Son actos administrativos de carácter general</w:t>
      </w:r>
      <w:r w:rsidRPr="003301B8">
        <w:rPr>
          <w:rFonts w:ascii="Bookman Old Style" w:hAnsi="Bookman Old Style" w:cs="Arial"/>
          <w:lang w:eastAsia="es-CO"/>
        </w:rPr>
        <w:t xml:space="preserve"> los que recaen sobre un grupo general o indeterminado de personas, o cuando el texto del Acto Administrativo no especifica a quien va dirigido. </w:t>
      </w:r>
    </w:p>
    <w:p w:rsidR="00F4483A" w:rsidRPr="003301B8" w:rsidRDefault="00F4483A" w:rsidP="00F4483A">
      <w:pPr>
        <w:ind w:left="0"/>
        <w:jc w:val="both"/>
        <w:rPr>
          <w:rFonts w:ascii="Bookman Old Style" w:hAnsi="Bookman Old Style" w:cs="Arial"/>
          <w:lang w:eastAsia="es-CO"/>
        </w:rPr>
      </w:pPr>
    </w:p>
    <w:p w:rsidR="004F0355" w:rsidRPr="003301B8" w:rsidRDefault="004F0355" w:rsidP="00F4483A">
      <w:pPr>
        <w:pStyle w:val="Prrafodelista"/>
        <w:ind w:left="0"/>
        <w:jc w:val="both"/>
        <w:rPr>
          <w:rFonts w:ascii="Bookman Old Style" w:hAnsi="Bookman Old Style"/>
          <w:sz w:val="24"/>
          <w:szCs w:val="24"/>
        </w:rPr>
      </w:pPr>
      <w:r w:rsidRPr="003301B8">
        <w:rPr>
          <w:rFonts w:ascii="Bookman Old Style" w:hAnsi="Bookman Old Style" w:cs="Arial"/>
          <w:bCs/>
          <w:sz w:val="24"/>
          <w:szCs w:val="24"/>
          <w:lang w:eastAsia="es-CO"/>
        </w:rPr>
        <w:t>Son Actos Administrativos de carácter particular y concreto los que recaen sobre un sujeto</w:t>
      </w:r>
      <w:r w:rsidRPr="003301B8">
        <w:rPr>
          <w:rFonts w:ascii="Bookman Old Style" w:hAnsi="Bookman Old Style" w:cs="Arial"/>
          <w:b/>
          <w:bCs/>
          <w:sz w:val="24"/>
          <w:szCs w:val="24"/>
          <w:lang w:eastAsia="es-CO"/>
        </w:rPr>
        <w:t xml:space="preserve"> </w:t>
      </w:r>
      <w:r w:rsidRPr="003301B8">
        <w:rPr>
          <w:rFonts w:ascii="Bookman Old Style" w:hAnsi="Bookman Old Style" w:cs="Arial"/>
          <w:sz w:val="24"/>
          <w:szCs w:val="24"/>
          <w:lang w:eastAsia="es-CO"/>
        </w:rPr>
        <w:t xml:space="preserve">pasivo determinable, lo cual no significa que la administración únicamente deba hacer alusión a un solo individuo o persona, ya que puede recaer sobre 1 o más personas y conservar las características de un acto administrativo particular, </w:t>
      </w:r>
      <w:r w:rsidRPr="003301B8">
        <w:rPr>
          <w:rFonts w:ascii="Bookman Old Style" w:hAnsi="Bookman Old Style" w:cs="Arial"/>
          <w:bCs/>
          <w:sz w:val="24"/>
          <w:szCs w:val="24"/>
          <w:lang w:eastAsia="es-CO"/>
        </w:rPr>
        <w:t>por citar un ejemplo, esto puede suceder c</w:t>
      </w:r>
      <w:r w:rsidRPr="003301B8">
        <w:rPr>
          <w:rFonts w:ascii="Bookman Old Style" w:hAnsi="Bookman Old Style" w:cs="Arial"/>
          <w:sz w:val="24"/>
          <w:szCs w:val="24"/>
          <w:lang w:eastAsia="es-CO"/>
        </w:rPr>
        <w:t>uando se otorga una pensión a una persona, o cuando se les da a más de una persona.</w:t>
      </w:r>
    </w:p>
    <w:p w:rsidR="004F0355" w:rsidRPr="003301B8" w:rsidRDefault="004F0355" w:rsidP="00F4483A">
      <w:pPr>
        <w:pStyle w:val="Prrafodelista"/>
        <w:ind w:left="0"/>
        <w:jc w:val="both"/>
        <w:rPr>
          <w:rFonts w:ascii="Bookman Old Style" w:hAnsi="Bookman Old Style"/>
          <w:sz w:val="24"/>
          <w:szCs w:val="24"/>
        </w:rPr>
      </w:pPr>
    </w:p>
    <w:p w:rsidR="004F0355" w:rsidRPr="003301B8" w:rsidRDefault="004F0355" w:rsidP="004F0355">
      <w:pPr>
        <w:pStyle w:val="Prrafodelista"/>
        <w:ind w:left="0"/>
        <w:jc w:val="both"/>
        <w:rPr>
          <w:rFonts w:ascii="Bookman Old Style" w:hAnsi="Bookman Old Style"/>
          <w:sz w:val="24"/>
          <w:szCs w:val="24"/>
        </w:rPr>
      </w:pPr>
      <w:r w:rsidRPr="003301B8">
        <w:rPr>
          <w:rFonts w:ascii="Bookman Old Style" w:hAnsi="Bookman Old Style"/>
          <w:sz w:val="24"/>
          <w:szCs w:val="24"/>
        </w:rPr>
        <w:t>Por lo tanto, siempre que los afectados por el acto estén nominalmente identificados, individualizados, el acto es particular independientemente del número de personas afectadas. Sobre éste punto el Honorable Consejo de Estado ha expuesto:</w:t>
      </w:r>
    </w:p>
    <w:p w:rsidR="004F0355" w:rsidRPr="003301B8" w:rsidRDefault="004F0355" w:rsidP="004F0355">
      <w:pPr>
        <w:pStyle w:val="Prrafodelista"/>
        <w:ind w:left="0"/>
        <w:jc w:val="both"/>
        <w:rPr>
          <w:rFonts w:ascii="Bookman Old Style" w:hAnsi="Bookman Old Style"/>
          <w:sz w:val="24"/>
          <w:szCs w:val="24"/>
        </w:rPr>
      </w:pPr>
    </w:p>
    <w:p w:rsidR="004F0355" w:rsidRPr="003301B8" w:rsidRDefault="004F0355" w:rsidP="00047922">
      <w:pPr>
        <w:pStyle w:val="Prrafodelista"/>
        <w:ind w:left="0" w:right="142"/>
        <w:jc w:val="both"/>
        <w:rPr>
          <w:rFonts w:ascii="Bookman Old Style" w:hAnsi="Bookman Old Style"/>
          <w:i/>
          <w:sz w:val="24"/>
          <w:szCs w:val="24"/>
        </w:rPr>
      </w:pPr>
      <w:r w:rsidRPr="003301B8">
        <w:rPr>
          <w:rFonts w:ascii="Bookman Old Style" w:hAnsi="Bookman Old Style"/>
          <w:i/>
          <w:sz w:val="24"/>
          <w:szCs w:val="24"/>
        </w:rPr>
        <w:t xml:space="preserve">La diferencia entre los actos de contenido particular y general depende del grado de indeterminación que tengan los sujetos destinatarios del mismo, como lo ha precisado esta Sala: ‘Para diferenciar un acto administrativo general de uno particular es necesario tener presente los siguientes aspectos: El acto </w:t>
      </w:r>
      <w:r w:rsidRPr="003301B8">
        <w:rPr>
          <w:rFonts w:ascii="Bookman Old Style" w:hAnsi="Bookman Old Style"/>
          <w:i/>
          <w:sz w:val="24"/>
          <w:szCs w:val="24"/>
        </w:rPr>
        <w:lastRenderedPageBreak/>
        <w:t>administrativo se entiende, entre otras perspectivas, como una decisión adoptada o expedida en función administrativa a través de la cual la autoridad crea, modifica o extingue una posición de una persona o conjunto de personas determinadas o indeterminadas frente a una norma de derecho (situación jurídica). El acto singular o particular no necesariamente tiene un destinatario único, por cuanto puede ir dirigido tanto a una persona como a un grupo determinado de personas; en tanto que el acto general se expide siempre para un grupo indeterminado de personas a quienes se les crea, modifica o extingue una situación jurídica, dependiendo de las conductas o roles que ellas mismas asuman’.</w:t>
      </w:r>
      <w:r w:rsidRPr="003301B8">
        <w:rPr>
          <w:rStyle w:val="Refdenotaalpie"/>
          <w:rFonts w:ascii="Bookman Old Style" w:hAnsi="Bookman Old Style"/>
          <w:i/>
          <w:sz w:val="24"/>
          <w:szCs w:val="24"/>
        </w:rPr>
        <w:footnoteReference w:id="2"/>
      </w:r>
    </w:p>
    <w:p w:rsidR="004F0355" w:rsidRPr="003301B8" w:rsidRDefault="004F0355" w:rsidP="004F0355">
      <w:pPr>
        <w:pStyle w:val="Prrafodelista"/>
        <w:ind w:left="0"/>
        <w:jc w:val="both"/>
        <w:rPr>
          <w:rFonts w:ascii="Bookman Old Style" w:hAnsi="Bookman Old Style"/>
          <w:sz w:val="24"/>
          <w:szCs w:val="24"/>
        </w:rPr>
      </w:pPr>
    </w:p>
    <w:p w:rsidR="004F0355" w:rsidRPr="003301B8" w:rsidRDefault="004F0355" w:rsidP="004F0355">
      <w:pPr>
        <w:pStyle w:val="Prrafodelista"/>
        <w:ind w:left="0"/>
        <w:jc w:val="both"/>
        <w:rPr>
          <w:rFonts w:ascii="Bookman Old Style" w:hAnsi="Bookman Old Style"/>
          <w:sz w:val="24"/>
          <w:szCs w:val="24"/>
        </w:rPr>
      </w:pPr>
      <w:r w:rsidRPr="003301B8">
        <w:rPr>
          <w:rFonts w:ascii="Bookman Old Style" w:hAnsi="Bookman Old Style"/>
          <w:sz w:val="24"/>
          <w:szCs w:val="24"/>
        </w:rPr>
        <w:t>El hecho de no expedir una resolución para cada una de las empresas, señalando el factor que se aplica y el valor de la contribución que deben pagar, no vicia de nulidad el acto administrativo, pues se trata de un acto administrativo expedido dentro de una misma actuación administrativa para todas las Entidades reguladas. Igualmente, este argumento no se encausa en la falsa motivación, ya que como se ha hecho referencia, no realiza un análisis de la realidad fáctica y jurídica del acto, con miras a establecer su veracidad, sino que se plantea un problema de valoración del cuerpo del acto, como de las formalidades para su expedición.</w:t>
      </w:r>
    </w:p>
    <w:p w:rsidR="004F0355" w:rsidRPr="003301B8" w:rsidRDefault="004F0355" w:rsidP="004F0355">
      <w:pPr>
        <w:pStyle w:val="Prrafodelista"/>
        <w:ind w:left="0"/>
        <w:jc w:val="both"/>
        <w:rPr>
          <w:rFonts w:ascii="Bookman Old Style" w:hAnsi="Bookman Old Style"/>
          <w:sz w:val="24"/>
          <w:szCs w:val="24"/>
        </w:rPr>
      </w:pPr>
    </w:p>
    <w:p w:rsidR="004F0355" w:rsidRPr="003301B8" w:rsidRDefault="004F0355" w:rsidP="004F0355">
      <w:pPr>
        <w:pStyle w:val="Prrafodelista"/>
        <w:ind w:left="0"/>
        <w:jc w:val="both"/>
        <w:rPr>
          <w:rFonts w:ascii="Bookman Old Style" w:hAnsi="Bookman Old Style"/>
          <w:i/>
          <w:sz w:val="24"/>
          <w:szCs w:val="24"/>
        </w:rPr>
      </w:pPr>
      <w:r w:rsidRPr="003301B8">
        <w:rPr>
          <w:rFonts w:ascii="Bookman Old Style" w:hAnsi="Bookman Old Style"/>
          <w:i/>
          <w:sz w:val="24"/>
          <w:szCs w:val="24"/>
        </w:rPr>
        <w:t>Por lo anterior, la CREG procedió a efectuar la liquidación de las contribuciones, teniendo en cuenta los siguientes fallos proferidos por el Consejo de Estado, que al respecto señalan:</w:t>
      </w:r>
    </w:p>
    <w:p w:rsidR="004F0355" w:rsidRPr="003301B8" w:rsidRDefault="004F0355" w:rsidP="004F0355">
      <w:pPr>
        <w:pStyle w:val="Prrafodelista"/>
        <w:ind w:left="0"/>
        <w:jc w:val="both"/>
        <w:rPr>
          <w:rFonts w:ascii="Bookman Old Style" w:hAnsi="Bookman Old Style"/>
          <w:i/>
          <w:sz w:val="24"/>
          <w:szCs w:val="24"/>
        </w:rPr>
      </w:pPr>
    </w:p>
    <w:p w:rsidR="004F0355" w:rsidRPr="003301B8" w:rsidRDefault="004F0355" w:rsidP="004F0355">
      <w:pPr>
        <w:pStyle w:val="Prrafodelista"/>
        <w:ind w:left="0"/>
        <w:jc w:val="both"/>
        <w:rPr>
          <w:rFonts w:ascii="Bookman Old Style" w:hAnsi="Bookman Old Style"/>
          <w:i/>
          <w:sz w:val="24"/>
          <w:szCs w:val="24"/>
        </w:rPr>
      </w:pPr>
      <w:r w:rsidRPr="003301B8">
        <w:rPr>
          <w:rFonts w:ascii="Bookman Old Style" w:hAnsi="Bookman Old Style"/>
          <w:i/>
          <w:sz w:val="24"/>
          <w:szCs w:val="24"/>
        </w:rPr>
        <w:t>•</w:t>
      </w:r>
      <w:r w:rsidRPr="003301B8">
        <w:rPr>
          <w:rFonts w:ascii="Bookman Old Style" w:hAnsi="Bookman Old Style"/>
          <w:i/>
          <w:sz w:val="24"/>
          <w:szCs w:val="24"/>
        </w:rPr>
        <w:tab/>
        <w:t xml:space="preserve"> Sentencia del 23 de septiembre de 2010, dictada por la Sala de lo Contencioso Administrativo - Sección Cuarta, radicación número 11001-03-27-000-2007-00049-00 (16874), C.P. doctora Martha Teresa Briceño de Valencia, a través de la cual se adoptó una definición jurisprudencial de lo que debe entenderse por gastos de funcionamiento, señalando que son aquellos que “...tienen que ver con la salida de recursos que de manera directa o indirecta se utilizan para ejecutar o cumplir las funciones propias de la actividad, que son equivalentes a los gastos operacionales u ordinarios, es decir los normalmente ejecutados dentro del objeto social principal del ente económico o, lo que es lo mismo, los gastos asociados al servicio sometido a regulación, de manera que deberán excluirse aquellas erogaciones que no estén relacionadas con la prestación del servicio público domiciliario".</w:t>
      </w:r>
    </w:p>
    <w:p w:rsidR="004F0355" w:rsidRPr="003301B8" w:rsidRDefault="004F0355" w:rsidP="004F0355">
      <w:pPr>
        <w:pStyle w:val="Prrafodelista"/>
        <w:ind w:left="0"/>
        <w:jc w:val="both"/>
        <w:rPr>
          <w:rFonts w:ascii="Bookman Old Style" w:hAnsi="Bookman Old Style"/>
          <w:i/>
          <w:sz w:val="24"/>
          <w:szCs w:val="24"/>
        </w:rPr>
      </w:pPr>
    </w:p>
    <w:p w:rsidR="004F0355" w:rsidRPr="003301B8" w:rsidRDefault="004F0355" w:rsidP="004F0355">
      <w:pPr>
        <w:pStyle w:val="Prrafodelista"/>
        <w:ind w:left="0"/>
        <w:jc w:val="both"/>
        <w:rPr>
          <w:rFonts w:ascii="Bookman Old Style" w:hAnsi="Bookman Old Style"/>
          <w:i/>
          <w:sz w:val="24"/>
          <w:szCs w:val="24"/>
          <w:highlight w:val="yellow"/>
        </w:rPr>
      </w:pPr>
      <w:r w:rsidRPr="003301B8">
        <w:rPr>
          <w:rFonts w:ascii="Bookman Old Style" w:hAnsi="Bookman Old Style"/>
          <w:i/>
          <w:sz w:val="24"/>
          <w:szCs w:val="24"/>
        </w:rPr>
        <w:t xml:space="preserve">• Sentencia del 17 de septiembre de 2014, Sección Cuarta, radicación número 25000-23- 27-000-2012-00362-01 (20253), C.P. doctora Martha Teresa Briceño de Valencia, que señaló entre otros aspectos, lo siguiente: “...no son gastos de funcionamiento asociados al servicio sometido a regulación, los descritos en las cuentas del grupo 75 - costos de producción (...) En ese orden de ideas, la inclusión de los costos de producción (grupo 75 del Plan de Contabilidad para Entes Prestadores de Servicios), dentro de los gastos de funcionamiento asociados a la prestación del servicio regulado que hizo la Resolución SSPD 2011300008735 de 2011 es contraria al artículo 85 [85.2j de la Ley 142 de 1994, dado que amplía la </w:t>
      </w:r>
      <w:r w:rsidRPr="003301B8">
        <w:rPr>
          <w:rFonts w:ascii="Bookman Old Style" w:hAnsi="Bookman Old Style"/>
          <w:i/>
          <w:sz w:val="24"/>
          <w:szCs w:val="24"/>
        </w:rPr>
        <w:lastRenderedPageBreak/>
        <w:t>base gravable del tributo con erogaciones que (no) hacen parte de los gastos de funcionamiento de las entidades vigiladas".</w:t>
      </w:r>
    </w:p>
    <w:p w:rsidR="004F0355" w:rsidRPr="003301B8" w:rsidRDefault="004F0355" w:rsidP="004F0355">
      <w:pPr>
        <w:pStyle w:val="Prrafodelista"/>
        <w:ind w:left="0"/>
        <w:jc w:val="both"/>
        <w:rPr>
          <w:rFonts w:ascii="Bookman Old Style" w:hAnsi="Bookman Old Style"/>
          <w:i/>
          <w:sz w:val="24"/>
          <w:szCs w:val="24"/>
          <w:highlight w:val="yellow"/>
        </w:rPr>
      </w:pPr>
    </w:p>
    <w:p w:rsidR="004F0355" w:rsidRDefault="00047922" w:rsidP="00F4483A">
      <w:pPr>
        <w:ind w:left="0"/>
        <w:jc w:val="both"/>
        <w:rPr>
          <w:rFonts w:ascii="Bookman Old Style" w:hAnsi="Bookman Old Style"/>
        </w:rPr>
      </w:pPr>
      <w:r w:rsidRPr="00F4483A">
        <w:rPr>
          <w:rFonts w:ascii="Bookman Old Style" w:hAnsi="Bookman Old Style"/>
        </w:rPr>
        <w:t>Igualmente,</w:t>
      </w:r>
      <w:r w:rsidR="004F0355" w:rsidRPr="00F4483A">
        <w:rPr>
          <w:rFonts w:ascii="Bookman Old Style" w:hAnsi="Bookman Old Style"/>
        </w:rPr>
        <w:t xml:space="preserve"> la Ley 142 de 1994 en su artículo 85 establece que para efectos de la contribución especial se tomarán los estados financieros, con corte a 31 de diciembre del año anterior, reportados en oportunidad al SUI.</w:t>
      </w:r>
    </w:p>
    <w:p w:rsidR="00F4483A" w:rsidRPr="00F4483A" w:rsidRDefault="00F4483A" w:rsidP="00F4483A">
      <w:pPr>
        <w:ind w:left="0"/>
        <w:jc w:val="both"/>
        <w:rPr>
          <w:rFonts w:ascii="Bookman Old Style" w:hAnsi="Bookman Old Style"/>
        </w:rPr>
      </w:pPr>
    </w:p>
    <w:p w:rsidR="00446EC9" w:rsidRDefault="004F0355" w:rsidP="00F4483A">
      <w:pPr>
        <w:ind w:left="0"/>
        <w:jc w:val="both"/>
        <w:rPr>
          <w:rFonts w:ascii="Bookman Old Style" w:hAnsi="Bookman Old Style"/>
        </w:rPr>
      </w:pPr>
      <w:r w:rsidRPr="00F4483A">
        <w:rPr>
          <w:rFonts w:ascii="Bookman Old Style" w:hAnsi="Bookman Old Style"/>
        </w:rPr>
        <w:t>La Ley 1314 de 2009, establece el proceso de convergencia a normas internacionales de información financiera, que fue reglamentado para el Grupo 1 mediante el Decreto 2784 de 2012, estableciendo los requisitos para pertenecer a este grupo, así como el cronograma de aplicación de marco normativo internacional (NIIF PLENAS</w:t>
      </w:r>
      <w:r w:rsidR="00D63CAA">
        <w:rPr>
          <w:rFonts w:ascii="Bookman Old Style" w:hAnsi="Bookman Old Style"/>
        </w:rPr>
        <w:t>)</w:t>
      </w:r>
      <w:r w:rsidR="00446EC9" w:rsidRPr="00F4483A">
        <w:rPr>
          <w:rFonts w:ascii="Bookman Old Style" w:hAnsi="Bookman Old Style"/>
        </w:rPr>
        <w:t>.</w:t>
      </w:r>
    </w:p>
    <w:p w:rsidR="00F4483A" w:rsidRPr="00F4483A" w:rsidRDefault="00F4483A" w:rsidP="00F4483A">
      <w:pPr>
        <w:ind w:left="0"/>
        <w:jc w:val="both"/>
        <w:rPr>
          <w:rFonts w:ascii="Bookman Old Style" w:hAnsi="Bookman Old Style"/>
        </w:rPr>
      </w:pPr>
    </w:p>
    <w:p w:rsidR="004F0355" w:rsidRDefault="004F0355" w:rsidP="00F4483A">
      <w:pPr>
        <w:ind w:left="0"/>
        <w:jc w:val="both"/>
        <w:rPr>
          <w:rFonts w:ascii="Bookman Old Style" w:hAnsi="Bookman Old Style"/>
        </w:rPr>
      </w:pPr>
      <w:r w:rsidRPr="00F4483A">
        <w:rPr>
          <w:rFonts w:ascii="Bookman Old Style" w:hAnsi="Bookman Old Style"/>
        </w:rPr>
        <w:t>El Decreto 2784 de 2012 y 3024 de 2014, para el caso de Grupo 1 quedaron compilados en el Decreto 2420 de 2015. Por lo tanto, el carácter normativo y legal para calcular la contribución bajo el marco normativo internacional, lo establece la normativa anteriormente mencionada para estos fines.</w:t>
      </w:r>
    </w:p>
    <w:p w:rsidR="00F4483A" w:rsidRPr="00F4483A" w:rsidRDefault="00F4483A" w:rsidP="00F4483A">
      <w:pPr>
        <w:ind w:left="0"/>
        <w:jc w:val="both"/>
        <w:rPr>
          <w:rFonts w:ascii="Bookman Old Style" w:hAnsi="Bookman Old Style"/>
        </w:rPr>
      </w:pPr>
    </w:p>
    <w:p w:rsidR="004F0355" w:rsidRDefault="004F0355" w:rsidP="00F4483A">
      <w:pPr>
        <w:ind w:left="0"/>
        <w:jc w:val="both"/>
        <w:rPr>
          <w:rFonts w:ascii="Bookman Old Style" w:hAnsi="Bookman Old Style"/>
        </w:rPr>
      </w:pPr>
      <w:r w:rsidRPr="00F4483A">
        <w:rPr>
          <w:rFonts w:ascii="Bookman Old Style" w:hAnsi="Bookman Old Style"/>
        </w:rPr>
        <w:t>Adicionalmente, es importante aclarar que la Ley 142 de 1994, no establece que la contribución especial este sujeto a un régimen financiero o contable, sino a los estados financieros vigentes.</w:t>
      </w:r>
    </w:p>
    <w:p w:rsidR="00F4483A" w:rsidRPr="00F4483A" w:rsidRDefault="00F4483A" w:rsidP="00F4483A">
      <w:pPr>
        <w:ind w:left="0"/>
        <w:jc w:val="both"/>
        <w:rPr>
          <w:rFonts w:ascii="Bookman Old Style" w:hAnsi="Bookman Old Style"/>
        </w:rPr>
      </w:pPr>
    </w:p>
    <w:p w:rsidR="004F0355" w:rsidRDefault="004F0355" w:rsidP="00F4483A">
      <w:pPr>
        <w:ind w:left="0"/>
        <w:jc w:val="both"/>
        <w:rPr>
          <w:rFonts w:ascii="Bookman Old Style" w:hAnsi="Bookman Old Style"/>
        </w:rPr>
      </w:pPr>
      <w:r w:rsidRPr="00F4483A">
        <w:rPr>
          <w:rFonts w:ascii="Bookman Old Style" w:hAnsi="Bookman Old Style"/>
        </w:rPr>
        <w:t>En este sentido, en atención a que el Consejo de Estado en reiterada jurisprudencia ha manifestado que los gastos objeto de contribución fijada mediante la Ley 142 deben ser gastos directamente relacionados con la prestación del servicio y teniendo en cuenta que los activos sociales no corresponden a gastos directamente relacionados con la prestación del servicio, procederá la CREG a excluir estos conceptos de la base gravable establecida en la Resolución 162 de 2017, correspondiente a la contribución especial año 201</w:t>
      </w:r>
      <w:r w:rsidR="00446EC9" w:rsidRPr="00F4483A">
        <w:rPr>
          <w:rFonts w:ascii="Bookman Old Style" w:hAnsi="Bookman Old Style"/>
        </w:rPr>
        <w:t>7</w:t>
      </w:r>
      <w:r w:rsidRPr="00F4483A">
        <w:rPr>
          <w:rFonts w:ascii="Bookman Old Style" w:hAnsi="Bookman Old Style"/>
        </w:rPr>
        <w:t>, a cargo de las EMPRESAS PUBLICAS DE MEDELLÍN EPM  E.S.P, por los servicios públicos de energía y gas natural, el valor correspondiente a “ACTIVOS SOCIALES".</w:t>
      </w:r>
    </w:p>
    <w:p w:rsidR="00F4483A" w:rsidRPr="00F4483A" w:rsidRDefault="00F4483A" w:rsidP="00F4483A">
      <w:pPr>
        <w:ind w:left="0"/>
        <w:jc w:val="both"/>
        <w:rPr>
          <w:rFonts w:ascii="Bookman Old Style" w:hAnsi="Bookman Old Style"/>
        </w:rPr>
      </w:pPr>
    </w:p>
    <w:p w:rsidR="004F0355" w:rsidRDefault="004F0355" w:rsidP="00F4483A">
      <w:pPr>
        <w:ind w:left="0"/>
        <w:jc w:val="both"/>
        <w:rPr>
          <w:rFonts w:ascii="Bookman Old Style" w:hAnsi="Bookman Old Style"/>
        </w:rPr>
      </w:pPr>
      <w:r w:rsidRPr="00F4483A">
        <w:rPr>
          <w:rFonts w:ascii="Bookman Old Style" w:hAnsi="Bookman Old Style"/>
        </w:rPr>
        <w:t xml:space="preserve">En este orden de ideas, una vez efectuada la exclusión solicitada la base gravable de contribución para las EMPRESAS PUBLICAS DE MEDELLÍN </w:t>
      </w:r>
      <w:r w:rsidR="00053764" w:rsidRPr="00F4483A">
        <w:rPr>
          <w:rFonts w:ascii="Bookman Old Style" w:hAnsi="Bookman Old Style"/>
        </w:rPr>
        <w:t xml:space="preserve">E.S.P, </w:t>
      </w:r>
      <w:r w:rsidRPr="00F4483A">
        <w:rPr>
          <w:rFonts w:ascii="Bookman Old Style" w:hAnsi="Bookman Old Style"/>
        </w:rPr>
        <w:t>EPM</w:t>
      </w:r>
      <w:r w:rsidR="00053764" w:rsidRPr="00F4483A">
        <w:rPr>
          <w:rFonts w:ascii="Bookman Old Style" w:hAnsi="Bookman Old Style"/>
        </w:rPr>
        <w:t>,</w:t>
      </w:r>
      <w:r w:rsidR="00047922" w:rsidRPr="00F4483A">
        <w:rPr>
          <w:rFonts w:ascii="Bookman Old Style" w:hAnsi="Bookman Old Style"/>
        </w:rPr>
        <w:t xml:space="preserve"> por los sectores de Energía y Gas</w:t>
      </w:r>
      <w:r w:rsidRPr="00F4483A">
        <w:rPr>
          <w:rFonts w:ascii="Bookman Old Style" w:hAnsi="Bookman Old Style"/>
        </w:rPr>
        <w:t xml:space="preserve"> </w:t>
      </w:r>
      <w:r w:rsidR="00047922" w:rsidRPr="00F4483A">
        <w:rPr>
          <w:rFonts w:ascii="Bookman Old Style" w:hAnsi="Bookman Old Style"/>
        </w:rPr>
        <w:t xml:space="preserve">Natural </w:t>
      </w:r>
      <w:r w:rsidRPr="00F4483A">
        <w:rPr>
          <w:rFonts w:ascii="Bookman Old Style" w:hAnsi="Bookman Old Style"/>
        </w:rPr>
        <w:t xml:space="preserve">corresponde al valor de TRESCIENTOS </w:t>
      </w:r>
      <w:r w:rsidR="00047922" w:rsidRPr="00F4483A">
        <w:rPr>
          <w:rFonts w:ascii="Bookman Old Style" w:hAnsi="Bookman Old Style"/>
        </w:rPr>
        <w:t xml:space="preserve">TREINTA Y CUATRO MIL SESENTA Y DOS </w:t>
      </w:r>
      <w:r w:rsidRPr="00F4483A">
        <w:rPr>
          <w:rFonts w:ascii="Bookman Old Style" w:hAnsi="Bookman Old Style"/>
        </w:rPr>
        <w:t xml:space="preserve">MILLONES </w:t>
      </w:r>
      <w:r w:rsidR="00047922" w:rsidRPr="00F4483A">
        <w:rPr>
          <w:rFonts w:ascii="Bookman Old Style" w:hAnsi="Bookman Old Style"/>
        </w:rPr>
        <w:t>CUATROCIENTOS VEINTISIETE MIL SETECIENTOS CUATRO PESOS</w:t>
      </w:r>
      <w:r w:rsidRPr="00F4483A">
        <w:rPr>
          <w:rFonts w:ascii="Bookman Old Style" w:hAnsi="Bookman Old Style"/>
        </w:rPr>
        <w:t xml:space="preserve"> M/CTE ($3</w:t>
      </w:r>
      <w:r w:rsidR="00047922" w:rsidRPr="00F4483A">
        <w:rPr>
          <w:rFonts w:ascii="Bookman Old Style" w:hAnsi="Bookman Old Style"/>
        </w:rPr>
        <w:t>34.062.427.704</w:t>
      </w:r>
      <w:r w:rsidRPr="00F4483A">
        <w:rPr>
          <w:rFonts w:ascii="Bookman Old Style" w:hAnsi="Bookman Old Style"/>
        </w:rPr>
        <w:t>.</w:t>
      </w:r>
      <w:r w:rsidR="00E70E35" w:rsidRPr="00F4483A">
        <w:rPr>
          <w:rFonts w:ascii="Bookman Old Style" w:hAnsi="Bookman Old Style"/>
        </w:rPr>
        <w:t>00</w:t>
      </w:r>
      <w:r w:rsidRPr="00F4483A">
        <w:rPr>
          <w:rFonts w:ascii="Bookman Old Style" w:hAnsi="Bookman Old Style"/>
        </w:rPr>
        <w:t xml:space="preserve">) </w:t>
      </w:r>
      <w:r w:rsidR="00D63CAA">
        <w:rPr>
          <w:rFonts w:ascii="Bookman Old Style" w:hAnsi="Bookman Old Style"/>
        </w:rPr>
        <w:t xml:space="preserve">por lo tanto </w:t>
      </w:r>
      <w:r w:rsidRPr="00F4483A">
        <w:rPr>
          <w:rFonts w:ascii="Bookman Old Style" w:hAnsi="Bookman Old Style"/>
        </w:rPr>
        <w:t xml:space="preserve">el valor correspondiente a pagar por concepto de contribución </w:t>
      </w:r>
      <w:r w:rsidR="00047922" w:rsidRPr="00F4483A">
        <w:rPr>
          <w:rFonts w:ascii="Bookman Old Style" w:hAnsi="Bookman Old Style"/>
        </w:rPr>
        <w:t>asciende a la suma TRES MIL TRESCIENTOS VEINTE MI</w:t>
      </w:r>
      <w:r w:rsidRPr="00F4483A">
        <w:rPr>
          <w:rFonts w:ascii="Bookman Old Style" w:hAnsi="Bookman Old Style"/>
        </w:rPr>
        <w:t xml:space="preserve">LLONES </w:t>
      </w:r>
      <w:r w:rsidR="00047922" w:rsidRPr="00F4483A">
        <w:rPr>
          <w:rFonts w:ascii="Bookman Old Style" w:hAnsi="Bookman Old Style"/>
        </w:rPr>
        <w:t xml:space="preserve">QUINIENTOS OCHENTA MIL QUINIENTOS TREINTA Y UN </w:t>
      </w:r>
      <w:r w:rsidRPr="00F4483A">
        <w:rPr>
          <w:rFonts w:ascii="Bookman Old Style" w:hAnsi="Bookman Old Style"/>
        </w:rPr>
        <w:t>PESOS M/CTE ($</w:t>
      </w:r>
      <w:r w:rsidR="00B3569D" w:rsidRPr="00F4483A">
        <w:rPr>
          <w:rFonts w:ascii="Bookman Old Style" w:hAnsi="Bookman Old Style"/>
        </w:rPr>
        <w:t>3.320.580.531</w:t>
      </w:r>
      <w:r w:rsidRPr="00F4483A">
        <w:rPr>
          <w:rFonts w:ascii="Bookman Old Style" w:hAnsi="Bookman Old Style"/>
        </w:rPr>
        <w:t>.</w:t>
      </w:r>
      <w:r w:rsidR="00E70E35" w:rsidRPr="00F4483A">
        <w:rPr>
          <w:rFonts w:ascii="Bookman Old Style" w:hAnsi="Bookman Old Style"/>
        </w:rPr>
        <w:t>00</w:t>
      </w:r>
      <w:r w:rsidRPr="00F4483A">
        <w:rPr>
          <w:rFonts w:ascii="Bookman Old Style" w:hAnsi="Bookman Old Style"/>
        </w:rPr>
        <w:t>).</w:t>
      </w:r>
    </w:p>
    <w:p w:rsidR="00F4483A" w:rsidRPr="00F4483A" w:rsidRDefault="00F4483A" w:rsidP="00F4483A">
      <w:pPr>
        <w:ind w:left="0"/>
        <w:jc w:val="both"/>
        <w:rPr>
          <w:rFonts w:ascii="Bookman Old Style" w:hAnsi="Bookman Old Style"/>
        </w:rPr>
      </w:pPr>
    </w:p>
    <w:p w:rsidR="004F0355" w:rsidRPr="00F4483A" w:rsidRDefault="004F0355" w:rsidP="00F4483A">
      <w:pPr>
        <w:ind w:left="0"/>
        <w:jc w:val="both"/>
        <w:rPr>
          <w:rFonts w:ascii="Bookman Old Style" w:hAnsi="Bookman Old Style"/>
        </w:rPr>
      </w:pPr>
      <w:r w:rsidRPr="00F4483A">
        <w:rPr>
          <w:rFonts w:ascii="Bookman Old Style" w:hAnsi="Bookman Old Style"/>
        </w:rPr>
        <w:t xml:space="preserve">La presente resolución fue </w:t>
      </w:r>
      <w:r w:rsidR="007D3902" w:rsidRPr="00F4483A">
        <w:rPr>
          <w:rFonts w:ascii="Bookman Old Style" w:hAnsi="Bookman Old Style"/>
        </w:rPr>
        <w:t xml:space="preserve">aprobada por la </w:t>
      </w:r>
      <w:r w:rsidRPr="00F4483A">
        <w:rPr>
          <w:rFonts w:ascii="Bookman Old Style" w:hAnsi="Bookman Old Style"/>
        </w:rPr>
        <w:t>Comisión de Regulación de Energía y Gas</w:t>
      </w:r>
      <w:r w:rsidR="007D3902" w:rsidRPr="00F4483A">
        <w:rPr>
          <w:rFonts w:ascii="Bookman Old Style" w:hAnsi="Bookman Old Style"/>
        </w:rPr>
        <w:t xml:space="preserve">, </w:t>
      </w:r>
      <w:r w:rsidRPr="00F4483A">
        <w:rPr>
          <w:rFonts w:ascii="Bookman Old Style" w:hAnsi="Bookman Old Style"/>
        </w:rPr>
        <w:t>CREG,</w:t>
      </w:r>
      <w:r w:rsidR="007D3902" w:rsidRPr="00F4483A">
        <w:rPr>
          <w:rFonts w:ascii="Bookman Old Style" w:hAnsi="Bookman Old Style"/>
        </w:rPr>
        <w:t xml:space="preserve"> en la sesión 827 del 21 de diciembre de 2017</w:t>
      </w:r>
    </w:p>
    <w:p w:rsidR="004F0355" w:rsidRPr="00F4483A" w:rsidRDefault="004F0355" w:rsidP="004F0355">
      <w:pPr>
        <w:tabs>
          <w:tab w:val="center" w:pos="4512"/>
        </w:tabs>
        <w:suppressAutoHyphens/>
        <w:ind w:left="0"/>
        <w:jc w:val="both"/>
        <w:rPr>
          <w:rFonts w:ascii="Bookman Old Style" w:hAnsi="Bookman Old Style"/>
          <w:b/>
          <w:spacing w:val="-3"/>
        </w:rPr>
      </w:pPr>
    </w:p>
    <w:p w:rsidR="004F0355" w:rsidRPr="00F4483A" w:rsidRDefault="004F0355" w:rsidP="004F0355">
      <w:pPr>
        <w:tabs>
          <w:tab w:val="center" w:pos="4512"/>
        </w:tabs>
        <w:suppressAutoHyphens/>
        <w:ind w:left="170"/>
        <w:jc w:val="center"/>
        <w:rPr>
          <w:rFonts w:ascii="Bookman Old Style" w:hAnsi="Bookman Old Style"/>
          <w:b/>
          <w:spacing w:val="-3"/>
        </w:rPr>
      </w:pPr>
      <w:r w:rsidRPr="00F4483A">
        <w:rPr>
          <w:rFonts w:ascii="Bookman Old Style" w:hAnsi="Bookman Old Style"/>
          <w:b/>
          <w:spacing w:val="-3"/>
        </w:rPr>
        <w:t>R E S U E L V E:</w:t>
      </w:r>
    </w:p>
    <w:p w:rsidR="004F0355" w:rsidRPr="003301B8" w:rsidRDefault="004F0355" w:rsidP="004F0355">
      <w:pPr>
        <w:ind w:left="0"/>
        <w:jc w:val="both"/>
        <w:rPr>
          <w:rFonts w:ascii="Bookman Old Style" w:hAnsi="Bookman Old Style"/>
          <w:b/>
        </w:rPr>
      </w:pPr>
    </w:p>
    <w:p w:rsidR="004F0355" w:rsidRPr="003301B8" w:rsidRDefault="004F0355" w:rsidP="004F0355">
      <w:pPr>
        <w:ind w:left="0"/>
        <w:jc w:val="both"/>
        <w:rPr>
          <w:rFonts w:ascii="Bookman Old Style" w:hAnsi="Bookman Old Style"/>
        </w:rPr>
      </w:pPr>
      <w:r w:rsidRPr="003301B8">
        <w:rPr>
          <w:rFonts w:ascii="Bookman Old Style" w:hAnsi="Bookman Old Style"/>
          <w:b/>
        </w:rPr>
        <w:t>ARTÍCULO 1.</w:t>
      </w:r>
      <w:r w:rsidRPr="003301B8">
        <w:rPr>
          <w:rFonts w:ascii="Bookman Old Style" w:hAnsi="Bookman Old Style"/>
        </w:rPr>
        <w:t xml:space="preserve"> </w:t>
      </w:r>
      <w:r w:rsidR="00446EC9" w:rsidRPr="003301B8">
        <w:rPr>
          <w:rFonts w:ascii="Bookman Old Style" w:hAnsi="Bookman Old Style"/>
          <w:b/>
        </w:rPr>
        <w:t xml:space="preserve">MODIFICAR </w:t>
      </w:r>
      <w:r w:rsidR="007D3902" w:rsidRPr="007D3902">
        <w:rPr>
          <w:rFonts w:ascii="Bookman Old Style" w:hAnsi="Bookman Old Style"/>
        </w:rPr>
        <w:t>e</w:t>
      </w:r>
      <w:r w:rsidR="00446EC9" w:rsidRPr="003301B8">
        <w:rPr>
          <w:rFonts w:ascii="Bookman Old Style" w:hAnsi="Bookman Old Style"/>
        </w:rPr>
        <w:t>l</w:t>
      </w:r>
      <w:r w:rsidRPr="003301B8">
        <w:rPr>
          <w:rFonts w:ascii="Bookman Old Style" w:hAnsi="Bookman Old Style"/>
        </w:rPr>
        <w:t xml:space="preserve"> artículo primero de la </w:t>
      </w:r>
      <w:r w:rsidR="007D3902">
        <w:rPr>
          <w:rFonts w:ascii="Bookman Old Style" w:hAnsi="Bookman Old Style"/>
        </w:rPr>
        <w:t>R</w:t>
      </w:r>
      <w:r w:rsidRPr="003301B8">
        <w:rPr>
          <w:rFonts w:ascii="Bookman Old Style" w:hAnsi="Bookman Old Style"/>
        </w:rPr>
        <w:t>esolución CREG</w:t>
      </w:r>
      <w:r w:rsidR="007D3902">
        <w:rPr>
          <w:rFonts w:ascii="Bookman Old Style" w:hAnsi="Bookman Old Style"/>
        </w:rPr>
        <w:t xml:space="preserve"> 1</w:t>
      </w:r>
      <w:r w:rsidR="00B3569D">
        <w:rPr>
          <w:rFonts w:ascii="Bookman Old Style" w:hAnsi="Bookman Old Style"/>
        </w:rPr>
        <w:t xml:space="preserve">62 </w:t>
      </w:r>
      <w:r w:rsidR="00446EC9">
        <w:rPr>
          <w:rFonts w:ascii="Bookman Old Style" w:hAnsi="Bookman Old Style"/>
        </w:rPr>
        <w:t>de 2017</w:t>
      </w:r>
      <w:r w:rsidRPr="003301B8">
        <w:rPr>
          <w:rFonts w:ascii="Bookman Old Style" w:hAnsi="Bookman Old Style"/>
        </w:rPr>
        <w:t xml:space="preserve">, en la cual se señala la base gravable y el valor a pagar por las </w:t>
      </w:r>
      <w:r w:rsidRPr="003301B8">
        <w:rPr>
          <w:rFonts w:ascii="Bookman Old Style" w:hAnsi="Bookman Old Style" w:cs="Arial"/>
        </w:rPr>
        <w:t xml:space="preserve">EMPRESAS </w:t>
      </w:r>
      <w:r w:rsidRPr="003301B8">
        <w:rPr>
          <w:rFonts w:ascii="Bookman Old Style" w:hAnsi="Bookman Old Style" w:cs="Arial"/>
        </w:rPr>
        <w:lastRenderedPageBreak/>
        <w:t xml:space="preserve">PUBLICAS DE MEDELLÍN </w:t>
      </w:r>
      <w:r w:rsidR="00C200D9">
        <w:rPr>
          <w:rFonts w:ascii="Bookman Old Style" w:hAnsi="Bookman Old Style" w:cs="Arial"/>
        </w:rPr>
        <w:t xml:space="preserve">E.S.P, </w:t>
      </w:r>
      <w:r w:rsidRPr="003301B8">
        <w:rPr>
          <w:rFonts w:ascii="Bookman Old Style" w:hAnsi="Bookman Old Style" w:cs="Arial"/>
        </w:rPr>
        <w:t>EPM</w:t>
      </w:r>
      <w:r w:rsidR="00C200D9">
        <w:rPr>
          <w:rFonts w:ascii="Bookman Old Style" w:hAnsi="Bookman Old Style" w:cs="Arial"/>
        </w:rPr>
        <w:t>,</w:t>
      </w:r>
      <w:r w:rsidRPr="003301B8">
        <w:rPr>
          <w:rFonts w:ascii="Bookman Old Style" w:hAnsi="Bookman Old Style"/>
          <w:bCs/>
        </w:rPr>
        <w:t xml:space="preserve"> </w:t>
      </w:r>
      <w:r w:rsidRPr="003301B8">
        <w:rPr>
          <w:rFonts w:ascii="Bookman Old Style" w:hAnsi="Bookman Old Style"/>
        </w:rPr>
        <w:t>con fundamento en las razones expuestas en la parte motiva de este proveído.</w:t>
      </w:r>
    </w:p>
    <w:p w:rsidR="004F0355" w:rsidRPr="003301B8" w:rsidRDefault="004F0355" w:rsidP="004F0355">
      <w:pPr>
        <w:ind w:left="0"/>
        <w:jc w:val="both"/>
        <w:rPr>
          <w:rFonts w:ascii="Bookman Old Style" w:hAnsi="Bookman Old Style"/>
          <w:b/>
        </w:rPr>
      </w:pPr>
    </w:p>
    <w:p w:rsidR="004F0355" w:rsidRPr="003301B8" w:rsidRDefault="004F0355" w:rsidP="004F0355">
      <w:pPr>
        <w:ind w:left="0"/>
        <w:jc w:val="both"/>
        <w:rPr>
          <w:rFonts w:ascii="Bookman Old Style" w:hAnsi="Bookman Old Style"/>
          <w:bCs/>
        </w:rPr>
      </w:pPr>
      <w:r w:rsidRPr="003301B8">
        <w:rPr>
          <w:rFonts w:ascii="Bookman Old Style" w:hAnsi="Bookman Old Style"/>
          <w:b/>
        </w:rPr>
        <w:t>Parágrafo:</w:t>
      </w:r>
      <w:r w:rsidRPr="003301B8">
        <w:rPr>
          <w:rFonts w:ascii="Bookman Old Style" w:hAnsi="Bookman Old Style"/>
        </w:rPr>
        <w:t xml:space="preserve"> En consecuencia de lo </w:t>
      </w:r>
      <w:r w:rsidR="00053764" w:rsidRPr="003301B8">
        <w:rPr>
          <w:rFonts w:ascii="Bookman Old Style" w:hAnsi="Bookman Old Style"/>
        </w:rPr>
        <w:t>anterior, la</w:t>
      </w:r>
      <w:r w:rsidRPr="003301B8">
        <w:rPr>
          <w:rFonts w:ascii="Bookman Old Style" w:hAnsi="Bookman Old Style"/>
        </w:rPr>
        <w:t xml:space="preserve"> base gravable p</w:t>
      </w:r>
      <w:r w:rsidR="00F3700E">
        <w:rPr>
          <w:rFonts w:ascii="Bookman Old Style" w:hAnsi="Bookman Old Style"/>
        </w:rPr>
        <w:t>ara</w:t>
      </w:r>
      <w:r w:rsidRPr="003301B8">
        <w:rPr>
          <w:rFonts w:ascii="Bookman Old Style" w:hAnsi="Bookman Old Style"/>
        </w:rPr>
        <w:t xml:space="preserve"> las </w:t>
      </w:r>
      <w:r w:rsidRPr="003301B8">
        <w:rPr>
          <w:rFonts w:ascii="Bookman Old Style" w:hAnsi="Bookman Old Style" w:cs="Arial"/>
        </w:rPr>
        <w:t xml:space="preserve">EMPRESAS PUBLICAS DE MEDELLÍN </w:t>
      </w:r>
      <w:r w:rsidR="00053764">
        <w:rPr>
          <w:rFonts w:ascii="Bookman Old Style" w:hAnsi="Bookman Old Style" w:cs="Arial"/>
        </w:rPr>
        <w:t>E</w:t>
      </w:r>
      <w:r w:rsidR="00C200D9">
        <w:rPr>
          <w:rFonts w:ascii="Bookman Old Style" w:hAnsi="Bookman Old Style" w:cs="Arial"/>
        </w:rPr>
        <w:t>.</w:t>
      </w:r>
      <w:r w:rsidR="00053764">
        <w:rPr>
          <w:rFonts w:ascii="Bookman Old Style" w:hAnsi="Bookman Old Style" w:cs="Arial"/>
        </w:rPr>
        <w:t>S</w:t>
      </w:r>
      <w:r w:rsidR="00C200D9">
        <w:rPr>
          <w:rFonts w:ascii="Bookman Old Style" w:hAnsi="Bookman Old Style" w:cs="Arial"/>
        </w:rPr>
        <w:t>.</w:t>
      </w:r>
      <w:r w:rsidR="00053764">
        <w:rPr>
          <w:rFonts w:ascii="Bookman Old Style" w:hAnsi="Bookman Old Style" w:cs="Arial"/>
        </w:rPr>
        <w:t xml:space="preserve">P, </w:t>
      </w:r>
      <w:r w:rsidRPr="003301B8">
        <w:rPr>
          <w:rFonts w:ascii="Bookman Old Style" w:hAnsi="Bookman Old Style" w:cs="Arial"/>
        </w:rPr>
        <w:t>EPM</w:t>
      </w:r>
      <w:r w:rsidR="00053764">
        <w:rPr>
          <w:rFonts w:ascii="Bookman Old Style" w:hAnsi="Bookman Old Style" w:cs="Arial"/>
        </w:rPr>
        <w:t>,</w:t>
      </w:r>
      <w:r w:rsidRPr="003301B8">
        <w:rPr>
          <w:rFonts w:ascii="Bookman Old Style" w:hAnsi="Bookman Old Style"/>
          <w:bCs/>
        </w:rPr>
        <w:t xml:space="preserve"> corresponde a la suma de </w:t>
      </w:r>
      <w:r w:rsidR="00B3569D" w:rsidRPr="003301B8">
        <w:rPr>
          <w:rFonts w:ascii="Bookman Old Style" w:hAnsi="Bookman Old Style"/>
        </w:rPr>
        <w:t xml:space="preserve">TRESCIENTOS </w:t>
      </w:r>
      <w:r w:rsidR="00B3569D">
        <w:rPr>
          <w:rFonts w:ascii="Bookman Old Style" w:hAnsi="Bookman Old Style"/>
        </w:rPr>
        <w:t xml:space="preserve">TREINTA Y CUATRO MIL SESENTA Y DOS </w:t>
      </w:r>
      <w:r w:rsidR="00B3569D" w:rsidRPr="003301B8">
        <w:rPr>
          <w:rFonts w:ascii="Bookman Old Style" w:hAnsi="Bookman Old Style"/>
        </w:rPr>
        <w:t xml:space="preserve">MILLONES </w:t>
      </w:r>
      <w:r w:rsidR="00B3569D">
        <w:rPr>
          <w:rFonts w:ascii="Bookman Old Style" w:hAnsi="Bookman Old Style"/>
        </w:rPr>
        <w:t>CUATROCIENTOS VEINTISIETE MIL SETECIENTOS CUATRO PESOS M/CTE</w:t>
      </w:r>
      <w:r w:rsidR="00B3569D" w:rsidRPr="003301B8">
        <w:rPr>
          <w:rFonts w:ascii="Bookman Old Style" w:hAnsi="Bookman Old Style"/>
        </w:rPr>
        <w:t xml:space="preserve"> ($3</w:t>
      </w:r>
      <w:r w:rsidR="00B3569D">
        <w:rPr>
          <w:rFonts w:ascii="Bookman Old Style" w:hAnsi="Bookman Old Style"/>
        </w:rPr>
        <w:t>34.062.427.704</w:t>
      </w:r>
      <w:r w:rsidR="00B3569D" w:rsidRPr="003301B8">
        <w:rPr>
          <w:rFonts w:ascii="Bookman Old Style" w:hAnsi="Bookman Old Style"/>
        </w:rPr>
        <w:t>.</w:t>
      </w:r>
      <w:r w:rsidR="00E70E35">
        <w:rPr>
          <w:rFonts w:ascii="Bookman Old Style" w:hAnsi="Bookman Old Style"/>
        </w:rPr>
        <w:t>00</w:t>
      </w:r>
      <w:r w:rsidR="00B3569D" w:rsidRPr="003301B8">
        <w:rPr>
          <w:rFonts w:ascii="Bookman Old Style" w:hAnsi="Bookman Old Style"/>
        </w:rPr>
        <w:t xml:space="preserve">) </w:t>
      </w:r>
      <w:r w:rsidR="00F3700E">
        <w:rPr>
          <w:rFonts w:ascii="Bookman Old Style" w:hAnsi="Bookman Old Style"/>
        </w:rPr>
        <w:t xml:space="preserve">y </w:t>
      </w:r>
      <w:r w:rsidR="00B3569D" w:rsidRPr="003301B8">
        <w:rPr>
          <w:rFonts w:ascii="Bookman Old Style" w:hAnsi="Bookman Old Style"/>
        </w:rPr>
        <w:t xml:space="preserve">el valor correspondiente a pagar por concepto de contribución </w:t>
      </w:r>
      <w:r w:rsidR="00B3569D">
        <w:rPr>
          <w:rFonts w:ascii="Bookman Old Style" w:hAnsi="Bookman Old Style"/>
        </w:rPr>
        <w:t>asciende a la suma TRES MIL TRESCIENTOS VEINTE MI</w:t>
      </w:r>
      <w:r w:rsidR="00B3569D" w:rsidRPr="003301B8">
        <w:rPr>
          <w:rFonts w:ascii="Bookman Old Style" w:hAnsi="Bookman Old Style"/>
        </w:rPr>
        <w:t xml:space="preserve">LLONES </w:t>
      </w:r>
      <w:r w:rsidR="00B3569D">
        <w:rPr>
          <w:rFonts w:ascii="Bookman Old Style" w:hAnsi="Bookman Old Style"/>
        </w:rPr>
        <w:t xml:space="preserve">QUINIENTOS OCHENTA MIL QUINIENTOS TREINTA Y UN </w:t>
      </w:r>
      <w:r w:rsidR="00B3569D" w:rsidRPr="003301B8">
        <w:rPr>
          <w:rFonts w:ascii="Bookman Old Style" w:hAnsi="Bookman Old Style"/>
        </w:rPr>
        <w:t>PESOS</w:t>
      </w:r>
      <w:r w:rsidR="00B3569D">
        <w:rPr>
          <w:rFonts w:ascii="Bookman Old Style" w:hAnsi="Bookman Old Style"/>
        </w:rPr>
        <w:t xml:space="preserve"> M/CTE</w:t>
      </w:r>
      <w:r w:rsidR="00B3569D" w:rsidRPr="003301B8">
        <w:rPr>
          <w:rFonts w:ascii="Bookman Old Style" w:hAnsi="Bookman Old Style"/>
        </w:rPr>
        <w:t xml:space="preserve"> ($</w:t>
      </w:r>
      <w:r w:rsidR="00B3569D">
        <w:rPr>
          <w:rFonts w:ascii="Bookman Old Style" w:hAnsi="Bookman Old Style"/>
        </w:rPr>
        <w:t>3.320.580.531</w:t>
      </w:r>
      <w:r w:rsidR="00B3569D" w:rsidRPr="003301B8">
        <w:rPr>
          <w:rFonts w:ascii="Bookman Old Style" w:hAnsi="Bookman Old Style"/>
        </w:rPr>
        <w:t>.</w:t>
      </w:r>
      <w:r w:rsidR="00E70E35">
        <w:rPr>
          <w:rFonts w:ascii="Bookman Old Style" w:hAnsi="Bookman Old Style"/>
        </w:rPr>
        <w:t>00</w:t>
      </w:r>
      <w:r w:rsidR="00B3569D" w:rsidRPr="003301B8">
        <w:rPr>
          <w:rFonts w:ascii="Bookman Old Style" w:hAnsi="Bookman Old Style"/>
        </w:rPr>
        <w:t>)</w:t>
      </w:r>
      <w:r w:rsidRPr="003301B8">
        <w:rPr>
          <w:rFonts w:ascii="Bookman Old Style" w:hAnsi="Bookman Old Style"/>
          <w:bCs/>
        </w:rPr>
        <w:t>.</w:t>
      </w:r>
    </w:p>
    <w:p w:rsidR="004F0355" w:rsidRPr="003301B8" w:rsidRDefault="004F0355" w:rsidP="004F0355">
      <w:pPr>
        <w:ind w:left="0"/>
        <w:jc w:val="both"/>
        <w:rPr>
          <w:rFonts w:ascii="Bookman Old Style" w:hAnsi="Bookman Old Style"/>
          <w:bCs/>
        </w:rPr>
      </w:pPr>
    </w:p>
    <w:p w:rsidR="004F0355" w:rsidRPr="003301B8" w:rsidRDefault="004F0355" w:rsidP="004F0355">
      <w:pPr>
        <w:ind w:left="0"/>
        <w:jc w:val="both"/>
        <w:rPr>
          <w:rFonts w:ascii="Bookman Old Style" w:hAnsi="Bookman Old Style"/>
        </w:rPr>
      </w:pPr>
      <w:r w:rsidRPr="003301B8">
        <w:rPr>
          <w:rFonts w:ascii="Bookman Old Style" w:hAnsi="Bookman Old Style"/>
          <w:b/>
        </w:rPr>
        <w:t>ARTÍCULO 2.</w:t>
      </w:r>
      <w:r w:rsidRPr="003301B8">
        <w:rPr>
          <w:rFonts w:ascii="Bookman Old Style" w:hAnsi="Bookman Old Style"/>
        </w:rPr>
        <w:t xml:space="preserve"> </w:t>
      </w:r>
      <w:r w:rsidRPr="003301B8">
        <w:rPr>
          <w:rFonts w:ascii="Bookman Old Style" w:hAnsi="Bookman Old Style"/>
        </w:rPr>
        <w:tab/>
      </w:r>
      <w:r w:rsidRPr="003301B8">
        <w:rPr>
          <w:rFonts w:ascii="Bookman Old Style" w:hAnsi="Bookman Old Style"/>
          <w:b/>
        </w:rPr>
        <w:t xml:space="preserve">INFORMAR </w:t>
      </w:r>
      <w:r w:rsidRPr="003301B8">
        <w:rPr>
          <w:rFonts w:ascii="Bookman Old Style" w:hAnsi="Bookman Old Style"/>
        </w:rPr>
        <w:t>a quien corresponda el contenido de la presente resolución para que efectué los ajustes contables necesarios y se emita el respectivo</w:t>
      </w:r>
      <w:r w:rsidR="00B3569D">
        <w:rPr>
          <w:rFonts w:ascii="Bookman Old Style" w:hAnsi="Bookman Old Style"/>
        </w:rPr>
        <w:t xml:space="preserve"> paz y salvo de la </w:t>
      </w:r>
      <w:r w:rsidR="0083581C">
        <w:rPr>
          <w:rFonts w:ascii="Bookman Old Style" w:hAnsi="Bookman Old Style"/>
        </w:rPr>
        <w:t>R</w:t>
      </w:r>
      <w:r w:rsidR="00B3569D">
        <w:rPr>
          <w:rFonts w:ascii="Bookman Old Style" w:hAnsi="Bookman Old Style"/>
        </w:rPr>
        <w:t xml:space="preserve">esolución 162 de </w:t>
      </w:r>
      <w:r w:rsidRPr="003301B8">
        <w:rPr>
          <w:rFonts w:ascii="Bookman Old Style" w:hAnsi="Bookman Old Style"/>
        </w:rPr>
        <w:t>201</w:t>
      </w:r>
      <w:r w:rsidR="00B3569D">
        <w:rPr>
          <w:rFonts w:ascii="Bookman Old Style" w:hAnsi="Bookman Old Style"/>
        </w:rPr>
        <w:t>7</w:t>
      </w:r>
      <w:r w:rsidRPr="003301B8">
        <w:rPr>
          <w:rFonts w:ascii="Bookman Old Style" w:hAnsi="Bookman Old Style"/>
        </w:rPr>
        <w:t xml:space="preserve"> con destino al recurrente.</w:t>
      </w:r>
    </w:p>
    <w:p w:rsidR="004F0355" w:rsidRPr="003301B8" w:rsidRDefault="004F0355" w:rsidP="004F0355">
      <w:pPr>
        <w:ind w:left="0"/>
        <w:jc w:val="both"/>
        <w:rPr>
          <w:rFonts w:ascii="Bookman Old Style" w:hAnsi="Bookman Old Style" w:cs="Arial"/>
          <w:color w:val="000000"/>
        </w:rPr>
      </w:pPr>
    </w:p>
    <w:p w:rsidR="004F0355" w:rsidRPr="003301B8" w:rsidRDefault="004F0355" w:rsidP="004F0355">
      <w:pPr>
        <w:ind w:left="0"/>
        <w:jc w:val="both"/>
        <w:rPr>
          <w:rFonts w:ascii="Bookman Old Style" w:hAnsi="Bookman Old Style" w:cs="Arial"/>
        </w:rPr>
      </w:pPr>
      <w:r w:rsidRPr="003301B8">
        <w:rPr>
          <w:rFonts w:ascii="Bookman Old Style" w:hAnsi="Bookman Old Style"/>
          <w:b/>
        </w:rPr>
        <w:t xml:space="preserve">ARTÍCULO 3. NOTIFICAR </w:t>
      </w:r>
      <w:r w:rsidRPr="003301B8">
        <w:rPr>
          <w:rFonts w:ascii="Bookman Old Style" w:hAnsi="Bookman Old Style"/>
        </w:rPr>
        <w:t xml:space="preserve">al representante legal de las </w:t>
      </w:r>
      <w:r w:rsidRPr="003301B8">
        <w:rPr>
          <w:rFonts w:ascii="Bookman Old Style" w:hAnsi="Bookman Old Style" w:cs="Arial"/>
        </w:rPr>
        <w:t>EMPRESAS PUBLICAS DE MEDELLÍN E.S.P</w:t>
      </w:r>
      <w:r w:rsidRPr="003301B8">
        <w:rPr>
          <w:rFonts w:ascii="Bookman Old Style" w:hAnsi="Bookman Old Style"/>
          <w:bCs/>
        </w:rPr>
        <w:t xml:space="preserve">, </w:t>
      </w:r>
      <w:r w:rsidR="0083581C">
        <w:rPr>
          <w:rFonts w:ascii="Bookman Old Style" w:hAnsi="Bookman Old Style"/>
          <w:bCs/>
        </w:rPr>
        <w:t xml:space="preserve">EPM, </w:t>
      </w:r>
      <w:r w:rsidRPr="003301B8">
        <w:rPr>
          <w:rFonts w:ascii="Bookman Old Style" w:hAnsi="Bookman Old Style" w:cs="Arial"/>
        </w:rPr>
        <w:t xml:space="preserve">el contenido de la presente resolución, conforme con lo establecido en los artículos 67 y ss del Código de Procedimiento Administrativo y de lo Contencioso Administrativo. </w:t>
      </w:r>
    </w:p>
    <w:p w:rsidR="004F0355" w:rsidRPr="003301B8" w:rsidRDefault="004F0355" w:rsidP="004F0355">
      <w:pPr>
        <w:ind w:left="170"/>
        <w:jc w:val="both"/>
        <w:rPr>
          <w:rFonts w:ascii="Bookman Old Style" w:hAnsi="Bookman Old Style" w:cs="Arial"/>
        </w:rPr>
      </w:pPr>
    </w:p>
    <w:p w:rsidR="004F0355" w:rsidRPr="003301B8" w:rsidRDefault="004F0355" w:rsidP="004F0355">
      <w:pPr>
        <w:ind w:left="0"/>
        <w:jc w:val="both"/>
        <w:rPr>
          <w:rFonts w:ascii="Bookman Old Style" w:hAnsi="Bookman Old Style"/>
        </w:rPr>
      </w:pPr>
      <w:r w:rsidRPr="003301B8">
        <w:rPr>
          <w:rFonts w:ascii="Bookman Old Style" w:hAnsi="Bookman Old Style"/>
          <w:b/>
        </w:rPr>
        <w:t xml:space="preserve">ARTÍCULO 4. </w:t>
      </w:r>
      <w:r w:rsidRPr="003301B8">
        <w:rPr>
          <w:rFonts w:ascii="Bookman Old Style" w:hAnsi="Bookman Old Style"/>
        </w:rPr>
        <w:t>Contra la presente resolución no procede recurso alguno, quedando por lo tanto agotada la vía gubernativa.</w:t>
      </w:r>
    </w:p>
    <w:p w:rsidR="004F0355" w:rsidRPr="003301B8" w:rsidRDefault="004F0355" w:rsidP="004F0355">
      <w:pPr>
        <w:ind w:left="0"/>
        <w:jc w:val="both"/>
        <w:rPr>
          <w:rFonts w:ascii="Bookman Old Style" w:hAnsi="Bookman Old Style" w:cs="Arial"/>
        </w:rPr>
      </w:pPr>
    </w:p>
    <w:p w:rsidR="004F0355" w:rsidRPr="003301B8" w:rsidRDefault="004F0355" w:rsidP="004F0355">
      <w:pPr>
        <w:ind w:left="0"/>
        <w:jc w:val="both"/>
        <w:rPr>
          <w:rFonts w:ascii="Bookman Old Style" w:hAnsi="Bookman Old Style" w:cs="Arial"/>
        </w:rPr>
      </w:pPr>
    </w:p>
    <w:p w:rsidR="004F0355" w:rsidRPr="003301B8" w:rsidRDefault="004F0355" w:rsidP="004F0355">
      <w:pPr>
        <w:ind w:left="0"/>
        <w:jc w:val="center"/>
        <w:rPr>
          <w:rFonts w:ascii="Bookman Old Style" w:hAnsi="Bookman Old Style" w:cs="Arial"/>
          <w:b/>
        </w:rPr>
      </w:pPr>
      <w:r w:rsidRPr="003301B8">
        <w:rPr>
          <w:rFonts w:ascii="Bookman Old Style" w:hAnsi="Bookman Old Style" w:cs="Arial"/>
          <w:b/>
        </w:rPr>
        <w:t>NOTIFÍQUESE Y CÚMPLASE</w:t>
      </w:r>
    </w:p>
    <w:p w:rsidR="004F0355" w:rsidRPr="003301B8" w:rsidRDefault="004F0355" w:rsidP="004F0355">
      <w:pPr>
        <w:ind w:left="0"/>
        <w:rPr>
          <w:rFonts w:ascii="Bookman Old Style" w:hAnsi="Bookman Old Style" w:cs="Arial"/>
        </w:rPr>
      </w:pPr>
    </w:p>
    <w:p w:rsidR="004F0355" w:rsidRPr="003301B8" w:rsidRDefault="004F0355" w:rsidP="004F0355">
      <w:pPr>
        <w:ind w:left="0"/>
        <w:rPr>
          <w:rFonts w:ascii="Bookman Old Style" w:hAnsi="Bookman Old Style" w:cs="Arial"/>
        </w:rPr>
      </w:pPr>
      <w:r w:rsidRPr="003301B8">
        <w:rPr>
          <w:rFonts w:ascii="Bookman Old Style" w:hAnsi="Bookman Old Style" w:cs="Arial"/>
        </w:rPr>
        <w:t xml:space="preserve">Dada en Bogotá D.C, a </w:t>
      </w:r>
    </w:p>
    <w:p w:rsidR="004F0355" w:rsidRPr="003301B8" w:rsidRDefault="004F0355" w:rsidP="004F0355">
      <w:pPr>
        <w:ind w:left="0"/>
        <w:jc w:val="both"/>
        <w:rPr>
          <w:rFonts w:ascii="Bookman Old Style" w:hAnsi="Bookman Old Style" w:cs="Arial"/>
          <w:b/>
        </w:rPr>
      </w:pPr>
    </w:p>
    <w:p w:rsidR="004F0355" w:rsidRDefault="004F0355" w:rsidP="004F0355">
      <w:pPr>
        <w:rPr>
          <w:rFonts w:ascii="Bookman Old Style" w:hAnsi="Bookman Old Style" w:cs="Arial"/>
          <w:szCs w:val="20"/>
        </w:rPr>
      </w:pPr>
    </w:p>
    <w:p w:rsidR="00C200D9" w:rsidRDefault="00C200D9" w:rsidP="004F0355">
      <w:pPr>
        <w:rPr>
          <w:rFonts w:ascii="Bookman Old Style" w:hAnsi="Bookman Old Style" w:cs="Arial"/>
          <w:szCs w:val="20"/>
        </w:rPr>
      </w:pPr>
    </w:p>
    <w:p w:rsidR="004F0355" w:rsidRPr="003301B8" w:rsidRDefault="004F0355" w:rsidP="004F0355">
      <w:pPr>
        <w:rPr>
          <w:rFonts w:ascii="Bookman Old Style" w:hAnsi="Bookman Old Style" w:cs="Arial"/>
          <w:szCs w:val="20"/>
        </w:rPr>
      </w:pPr>
    </w:p>
    <w:p w:rsidR="004F0355" w:rsidRPr="003301B8" w:rsidRDefault="004F0355" w:rsidP="004F0355">
      <w:pPr>
        <w:rPr>
          <w:rFonts w:ascii="Bookman Old Style" w:hAnsi="Bookman Old Style" w:cs="Arial"/>
          <w:szCs w:val="20"/>
        </w:rPr>
      </w:pPr>
    </w:p>
    <w:tbl>
      <w:tblPr>
        <w:tblW w:w="9311" w:type="dxa"/>
        <w:jc w:val="center"/>
        <w:tblLayout w:type="fixed"/>
        <w:tblCellMar>
          <w:left w:w="70" w:type="dxa"/>
          <w:right w:w="70" w:type="dxa"/>
        </w:tblCellMar>
        <w:tblLook w:val="0000" w:firstRow="0" w:lastRow="0" w:firstColumn="0" w:lastColumn="0" w:noHBand="0" w:noVBand="0"/>
      </w:tblPr>
      <w:tblGrid>
        <w:gridCol w:w="4820"/>
        <w:gridCol w:w="4491"/>
      </w:tblGrid>
      <w:tr w:rsidR="004F0355" w:rsidRPr="00F4483A" w:rsidTr="00F4483A">
        <w:trPr>
          <w:trHeight w:val="391"/>
          <w:jc w:val="center"/>
        </w:trPr>
        <w:tc>
          <w:tcPr>
            <w:tcW w:w="4820" w:type="dxa"/>
          </w:tcPr>
          <w:p w:rsidR="004F0355" w:rsidRPr="00F4483A" w:rsidRDefault="00B3569D" w:rsidP="003B498C">
            <w:pPr>
              <w:snapToGrid w:val="0"/>
              <w:ind w:left="0" w:firstLine="27"/>
              <w:jc w:val="center"/>
              <w:rPr>
                <w:rFonts w:ascii="Bookman Old Style" w:hAnsi="Bookman Old Style" w:cs="Arial"/>
                <w:b/>
                <w:spacing w:val="-3"/>
              </w:rPr>
            </w:pPr>
            <w:r w:rsidRPr="00F4483A">
              <w:rPr>
                <w:rFonts w:ascii="Bookman Old Style" w:hAnsi="Bookman Old Style" w:cs="Arial"/>
                <w:b/>
                <w:spacing w:val="-3"/>
              </w:rPr>
              <w:t>ALONSO CARDONA DELGADO</w:t>
            </w:r>
          </w:p>
        </w:tc>
        <w:tc>
          <w:tcPr>
            <w:tcW w:w="4491" w:type="dxa"/>
            <w:vAlign w:val="center"/>
          </w:tcPr>
          <w:p w:rsidR="004F0355" w:rsidRPr="00F4483A" w:rsidRDefault="004F0355" w:rsidP="00F872F2">
            <w:pPr>
              <w:snapToGrid w:val="0"/>
              <w:ind w:left="72"/>
              <w:jc w:val="center"/>
              <w:rPr>
                <w:rFonts w:ascii="Bookman Old Style" w:hAnsi="Bookman Old Style" w:cs="Arial"/>
                <w:b/>
                <w:spacing w:val="-3"/>
              </w:rPr>
            </w:pPr>
            <w:r w:rsidRPr="00F4483A">
              <w:rPr>
                <w:rFonts w:ascii="Bookman Old Style" w:hAnsi="Bookman Old Style" w:cs="Arial"/>
                <w:b/>
                <w:spacing w:val="-3"/>
              </w:rPr>
              <w:t>GERMAN CASTRO FERREIRA</w:t>
            </w:r>
          </w:p>
        </w:tc>
      </w:tr>
      <w:tr w:rsidR="004F0355" w:rsidRPr="00F4483A" w:rsidTr="00F4483A">
        <w:trPr>
          <w:trHeight w:val="349"/>
          <w:jc w:val="center"/>
        </w:trPr>
        <w:tc>
          <w:tcPr>
            <w:tcW w:w="4820" w:type="dxa"/>
          </w:tcPr>
          <w:p w:rsidR="00C200D9" w:rsidRPr="00F4483A" w:rsidRDefault="00C200D9" w:rsidP="00F872F2">
            <w:pPr>
              <w:ind w:left="0"/>
              <w:jc w:val="center"/>
              <w:rPr>
                <w:rFonts w:ascii="Bookman Old Style" w:hAnsi="Bookman Old Style" w:cs="Arial"/>
                <w:spacing w:val="-3"/>
                <w:lang w:val="es-ES_tradnl"/>
              </w:rPr>
            </w:pPr>
            <w:r w:rsidRPr="00F4483A">
              <w:rPr>
                <w:rFonts w:ascii="Bookman Old Style" w:hAnsi="Bookman Old Style" w:cs="Arial"/>
                <w:spacing w:val="-3"/>
                <w:lang w:val="es-ES_tradnl"/>
              </w:rPr>
              <w:t>Viceministro de Energía</w:t>
            </w:r>
            <w:r w:rsidR="00F4483A">
              <w:rPr>
                <w:rFonts w:ascii="Bookman Old Style" w:hAnsi="Bookman Old Style" w:cs="Arial"/>
                <w:spacing w:val="-3"/>
                <w:lang w:val="es-ES_tradnl"/>
              </w:rPr>
              <w:t xml:space="preserve"> (E)</w:t>
            </w:r>
          </w:p>
          <w:p w:rsidR="004F0355" w:rsidRPr="00F4483A" w:rsidRDefault="004F0355" w:rsidP="00F872F2">
            <w:pPr>
              <w:ind w:left="0"/>
              <w:jc w:val="center"/>
              <w:rPr>
                <w:rFonts w:ascii="Bookman Old Style" w:hAnsi="Bookman Old Style" w:cs="Arial"/>
                <w:spacing w:val="-3"/>
                <w:lang w:val="es-ES_tradnl"/>
              </w:rPr>
            </w:pPr>
            <w:r w:rsidRPr="00F4483A">
              <w:rPr>
                <w:rFonts w:ascii="Bookman Old Style" w:hAnsi="Bookman Old Style" w:cs="Arial"/>
                <w:spacing w:val="-3"/>
                <w:lang w:val="es-ES_tradnl"/>
              </w:rPr>
              <w:t>Delegad</w:t>
            </w:r>
            <w:r w:rsidR="00B3569D" w:rsidRPr="00F4483A">
              <w:rPr>
                <w:rFonts w:ascii="Bookman Old Style" w:hAnsi="Bookman Old Style" w:cs="Arial"/>
                <w:spacing w:val="-3"/>
                <w:lang w:val="es-ES_tradnl"/>
              </w:rPr>
              <w:t>o</w:t>
            </w:r>
            <w:r w:rsidRPr="00F4483A">
              <w:rPr>
                <w:rFonts w:ascii="Bookman Old Style" w:hAnsi="Bookman Old Style" w:cs="Arial"/>
                <w:spacing w:val="-3"/>
                <w:lang w:val="es-ES_tradnl"/>
              </w:rPr>
              <w:t xml:space="preserve"> del Ministro de Minas Energía </w:t>
            </w:r>
          </w:p>
          <w:p w:rsidR="004F0355" w:rsidRPr="00F4483A" w:rsidRDefault="004F0355" w:rsidP="00F872F2">
            <w:pPr>
              <w:snapToGrid w:val="0"/>
              <w:ind w:left="0" w:firstLine="27"/>
              <w:jc w:val="center"/>
              <w:rPr>
                <w:rFonts w:ascii="Bookman Old Style" w:hAnsi="Bookman Old Style" w:cs="Arial"/>
                <w:spacing w:val="-3"/>
              </w:rPr>
            </w:pPr>
            <w:r w:rsidRPr="00F4483A">
              <w:rPr>
                <w:rFonts w:ascii="Bookman Old Style" w:hAnsi="Bookman Old Style" w:cs="Arial"/>
                <w:spacing w:val="-3"/>
              </w:rPr>
              <w:t>Presidente</w:t>
            </w:r>
            <w:r w:rsidRPr="00F4483A" w:rsidDel="00F9100C">
              <w:rPr>
                <w:rFonts w:ascii="Bookman Old Style" w:hAnsi="Bookman Old Style" w:cs="Arial"/>
                <w:spacing w:val="-3"/>
                <w:lang w:val="es-ES_tradnl"/>
              </w:rPr>
              <w:t xml:space="preserve"> </w:t>
            </w:r>
          </w:p>
        </w:tc>
        <w:tc>
          <w:tcPr>
            <w:tcW w:w="4491" w:type="dxa"/>
          </w:tcPr>
          <w:p w:rsidR="004F0355" w:rsidRPr="00F4483A" w:rsidRDefault="004F0355" w:rsidP="00F872F2">
            <w:pPr>
              <w:tabs>
                <w:tab w:val="left" w:pos="-720"/>
              </w:tabs>
              <w:snapToGrid w:val="0"/>
              <w:jc w:val="center"/>
              <w:rPr>
                <w:rFonts w:ascii="Bookman Old Style" w:hAnsi="Bookman Old Style" w:cs="Arial"/>
                <w:spacing w:val="-3"/>
              </w:rPr>
            </w:pPr>
            <w:r w:rsidRPr="00F4483A">
              <w:rPr>
                <w:rFonts w:ascii="Bookman Old Style" w:hAnsi="Bookman Old Style" w:cs="Arial"/>
                <w:spacing w:val="-3"/>
              </w:rPr>
              <w:t>Director Ejecutivo</w:t>
            </w:r>
          </w:p>
        </w:tc>
      </w:tr>
    </w:tbl>
    <w:p w:rsidR="004F0355" w:rsidRPr="00F4483A" w:rsidRDefault="004F0355" w:rsidP="004F0355">
      <w:pPr>
        <w:rPr>
          <w:rFonts w:ascii="Bookman Old Style" w:hAnsi="Bookman Old Style"/>
        </w:rPr>
      </w:pPr>
    </w:p>
    <w:p w:rsidR="003C6F78" w:rsidRDefault="003C6F78"/>
    <w:sectPr w:rsidR="003C6F78" w:rsidSect="00337231">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D2D" w:rsidRDefault="00AC1D2D" w:rsidP="004F0355">
      <w:r>
        <w:separator/>
      </w:r>
    </w:p>
  </w:endnote>
  <w:endnote w:type="continuationSeparator" w:id="0">
    <w:p w:rsidR="00AC1D2D" w:rsidRDefault="00AC1D2D" w:rsidP="004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D2D" w:rsidRDefault="00AC1D2D" w:rsidP="004F0355">
      <w:r>
        <w:separator/>
      </w:r>
    </w:p>
  </w:footnote>
  <w:footnote w:type="continuationSeparator" w:id="0">
    <w:p w:rsidR="00AC1D2D" w:rsidRDefault="00AC1D2D" w:rsidP="004F0355">
      <w:r>
        <w:continuationSeparator/>
      </w:r>
    </w:p>
  </w:footnote>
  <w:footnote w:id="1">
    <w:p w:rsidR="004F0355" w:rsidRPr="000C6060" w:rsidRDefault="004F0355" w:rsidP="004F0355">
      <w:pPr>
        <w:pStyle w:val="Textonotapie"/>
      </w:pPr>
      <w:r>
        <w:rPr>
          <w:rStyle w:val="Refdenotaalpie"/>
        </w:rPr>
        <w:footnoteRef/>
      </w:r>
      <w:r>
        <w:t xml:space="preserve"> Artículo 85 Ley 142 de 1994</w:t>
      </w:r>
    </w:p>
  </w:footnote>
  <w:footnote w:id="2">
    <w:p w:rsidR="004F0355" w:rsidRPr="003D5A97" w:rsidRDefault="004F0355" w:rsidP="004F0355">
      <w:pPr>
        <w:pStyle w:val="Textonotapie"/>
        <w:rPr>
          <w:b/>
        </w:rPr>
      </w:pPr>
      <w:r>
        <w:rPr>
          <w:rStyle w:val="Refdenotaalpie"/>
        </w:rPr>
        <w:footnoteRef/>
      </w:r>
      <w:r>
        <w:t xml:space="preserve"> </w:t>
      </w:r>
    </w:p>
    <w:p w:rsidR="004F0355" w:rsidRPr="003D5A97" w:rsidRDefault="004F0355" w:rsidP="004F0355">
      <w:pPr>
        <w:pStyle w:val="Textonotapie"/>
      </w:pPr>
      <w:r w:rsidRPr="003D5A97">
        <w:t>Consejo de estado</w:t>
      </w:r>
      <w:r>
        <w:t xml:space="preserve">, </w:t>
      </w:r>
      <w:r w:rsidRPr="003D5A97">
        <w:t>Sala de lo contencioso administrativo</w:t>
      </w:r>
      <w:r>
        <w:t xml:space="preserve">, </w:t>
      </w:r>
      <w:r w:rsidRPr="003D5A97">
        <w:t>Sección segunda</w:t>
      </w:r>
      <w:r>
        <w:t xml:space="preserve">, </w:t>
      </w:r>
      <w:r w:rsidRPr="003D5A97">
        <w:t>Subsección "</w:t>
      </w:r>
      <w:r>
        <w:t>A</w:t>
      </w:r>
      <w:r w:rsidRPr="003D5A97">
        <w:t>"</w:t>
      </w:r>
      <w:r>
        <w:t xml:space="preserve">, </w:t>
      </w:r>
      <w:r w:rsidRPr="003D5A97">
        <w:t>Consejero ponente: Alfonso Vargas Rincón</w:t>
      </w:r>
      <w:r>
        <w:t xml:space="preserve"> Bogotá, D.C</w:t>
      </w:r>
      <w:r w:rsidRPr="003D5A97">
        <w:t xml:space="preserve">, </w:t>
      </w:r>
      <w:r w:rsidRPr="003D5A97">
        <w:rPr>
          <w:lang w:val="es-MX"/>
        </w:rPr>
        <w:t>cuatro (4) de marzo de dos mil diez (2010)</w:t>
      </w:r>
      <w:r>
        <w:t xml:space="preserve"> </w:t>
      </w:r>
      <w:r w:rsidRPr="003D5A97">
        <w:t>Radicación número: 11001-03-25-000-2003-00360-01(3875-03)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3F2764" w:rsidP="00951F79">
    <w:pPr>
      <w:pStyle w:val="Ttulo1"/>
      <w:ind w:right="6"/>
      <w:jc w:val="left"/>
      <w:rPr>
        <w:rFonts w:ascii="Bookman Old Style" w:hAnsi="Bookman Old Style" w:cs="Arial"/>
        <w:b w:val="0"/>
        <w:sz w:val="22"/>
        <w:szCs w:val="22"/>
      </w:rPr>
    </w:pPr>
  </w:p>
  <w:p w:rsidR="00227116" w:rsidRPr="00951F79" w:rsidRDefault="0073337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F2764">
      <w:rPr>
        <w:rFonts w:ascii="Bookman Old Style" w:hAnsi="Bookman Old Style" w:cs="Arial"/>
        <w:b w:val="0"/>
        <w:noProof/>
        <w:sz w:val="22"/>
        <w:szCs w:val="22"/>
      </w:rPr>
      <w:t>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3F2764" w:rsidRPr="003F2764">
        <w:rPr>
          <w:rFonts w:ascii="Bookman Old Style" w:hAnsi="Bookman Old Style" w:cs="Arial"/>
          <w:b w:val="0"/>
          <w:noProof/>
          <w:sz w:val="22"/>
          <w:szCs w:val="22"/>
        </w:rPr>
        <w:t>9</w:t>
      </w:r>
    </w:fldSimple>
  </w:p>
  <w:p w:rsidR="00227116" w:rsidRDefault="0073337B"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6ACFDAB4" wp14:editId="43062A9E">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EEF64"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27116" w:rsidRPr="00832A95" w:rsidRDefault="00832A95" w:rsidP="00832A95">
    <w:pPr>
      <w:ind w:left="227"/>
      <w:jc w:val="both"/>
      <w:rPr>
        <w:rFonts w:ascii="Bookman Old Style" w:hAnsi="Bookman Old Style" w:cs="Arial"/>
        <w:sz w:val="22"/>
        <w:szCs w:val="22"/>
      </w:rPr>
    </w:pPr>
    <w:r w:rsidRPr="00832A95">
      <w:rPr>
        <w:rFonts w:ascii="Bookman Old Style" w:hAnsi="Bookman Old Style"/>
        <w:sz w:val="22"/>
        <w:szCs w:val="22"/>
      </w:rPr>
      <w:t>Por medio de la cual se resuelve un recurso de reposición interpuesto por EMPRESAS PUBLICAS DE MEDELLÍN E.S.P, EPM, en contra de la Resolución CREG 162 de 2017</w:t>
    </w:r>
  </w:p>
  <w:p w:rsidR="00227116" w:rsidRPr="00CB5DD0" w:rsidRDefault="003F2764"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73337B"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3F2764">
    <w:pPr>
      <w:pStyle w:val="Encabezado"/>
      <w:jc w:val="center"/>
      <w:rPr>
        <w:rFonts w:ascii="Arial" w:hAnsi="Arial" w:cs="Arial"/>
        <w:spacing w:val="20"/>
        <w:sz w:val="20"/>
      </w:rPr>
    </w:pPr>
  </w:p>
  <w:p w:rsidR="00227116" w:rsidRDefault="0073337B"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5E9DD9B8" wp14:editId="68B65E6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CCBE1"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55"/>
    <w:rsid w:val="0001566D"/>
    <w:rsid w:val="0002457A"/>
    <w:rsid w:val="00047922"/>
    <w:rsid w:val="00053764"/>
    <w:rsid w:val="00094CB3"/>
    <w:rsid w:val="000E2E9F"/>
    <w:rsid w:val="001258B1"/>
    <w:rsid w:val="001B7B4F"/>
    <w:rsid w:val="001F2433"/>
    <w:rsid w:val="00265ED7"/>
    <w:rsid w:val="003B498C"/>
    <w:rsid w:val="003C2ACF"/>
    <w:rsid w:val="003C6F78"/>
    <w:rsid w:val="003F2764"/>
    <w:rsid w:val="00446EC9"/>
    <w:rsid w:val="004E66A7"/>
    <w:rsid w:val="004F0355"/>
    <w:rsid w:val="00520CDB"/>
    <w:rsid w:val="00521D39"/>
    <w:rsid w:val="0073337B"/>
    <w:rsid w:val="00752853"/>
    <w:rsid w:val="0078337F"/>
    <w:rsid w:val="007A5384"/>
    <w:rsid w:val="007D3902"/>
    <w:rsid w:val="00832A95"/>
    <w:rsid w:val="0083581C"/>
    <w:rsid w:val="008469D4"/>
    <w:rsid w:val="00985067"/>
    <w:rsid w:val="009F009F"/>
    <w:rsid w:val="00A4630D"/>
    <w:rsid w:val="00A60592"/>
    <w:rsid w:val="00A72E72"/>
    <w:rsid w:val="00AA7187"/>
    <w:rsid w:val="00AC136E"/>
    <w:rsid w:val="00AC1D2D"/>
    <w:rsid w:val="00AC76A7"/>
    <w:rsid w:val="00AF258C"/>
    <w:rsid w:val="00B07750"/>
    <w:rsid w:val="00B14164"/>
    <w:rsid w:val="00B20D7F"/>
    <w:rsid w:val="00B3569D"/>
    <w:rsid w:val="00C200D9"/>
    <w:rsid w:val="00C26F76"/>
    <w:rsid w:val="00D63CAA"/>
    <w:rsid w:val="00E44A58"/>
    <w:rsid w:val="00E70E35"/>
    <w:rsid w:val="00EB7EE9"/>
    <w:rsid w:val="00F3700E"/>
    <w:rsid w:val="00F4483A"/>
    <w:rsid w:val="00FE5A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192E8D7-F6EA-4F21-BBCC-2C388969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355"/>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F0355"/>
    <w:pPr>
      <w:keepNext/>
      <w:jc w:val="center"/>
      <w:outlineLvl w:val="0"/>
    </w:pPr>
    <w:rPr>
      <w:rFonts w:ascii="CG Times" w:hAnsi="CG Times"/>
      <w:b/>
      <w:szCs w:val="20"/>
      <w:lang w:val="es-CO"/>
    </w:rPr>
  </w:style>
  <w:style w:type="paragraph" w:styleId="Ttulo3">
    <w:name w:val="heading 3"/>
    <w:basedOn w:val="Normal"/>
    <w:next w:val="Normal"/>
    <w:link w:val="Ttulo3Car"/>
    <w:qFormat/>
    <w:rsid w:val="004F0355"/>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F0355"/>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F0355"/>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0355"/>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4F0355"/>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4F0355"/>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4F0355"/>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F0355"/>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4F0355"/>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4F0355"/>
    <w:pPr>
      <w:ind w:left="708"/>
    </w:pPr>
    <w:rPr>
      <w:sz w:val="20"/>
      <w:szCs w:val="20"/>
      <w:lang w:val="es-CO"/>
    </w:rPr>
  </w:style>
  <w:style w:type="character" w:customStyle="1" w:styleId="PrrafodelistaCar">
    <w:name w:val="Párrafo de lista Car"/>
    <w:basedOn w:val="Fuentedeprrafopredeter"/>
    <w:link w:val="Prrafodelista"/>
    <w:uiPriority w:val="34"/>
    <w:rsid w:val="004F0355"/>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4F0355"/>
    <w:pPr>
      <w:spacing w:before="100" w:beforeAutospacing="1" w:after="100" w:afterAutospacing="1"/>
      <w:ind w:left="0"/>
    </w:pPr>
    <w:rPr>
      <w:lang w:val="es-CO" w:eastAsia="es-CO"/>
    </w:rPr>
  </w:style>
  <w:style w:type="paragraph" w:styleId="Textonotapie">
    <w:name w:val="footnote text"/>
    <w:basedOn w:val="Normal"/>
    <w:link w:val="TextonotapieCar"/>
    <w:uiPriority w:val="99"/>
    <w:semiHidden/>
    <w:unhideWhenUsed/>
    <w:rsid w:val="004F0355"/>
    <w:rPr>
      <w:sz w:val="20"/>
      <w:szCs w:val="20"/>
    </w:rPr>
  </w:style>
  <w:style w:type="character" w:customStyle="1" w:styleId="TextonotapieCar">
    <w:name w:val="Texto nota pie Car"/>
    <w:basedOn w:val="Fuentedeprrafopredeter"/>
    <w:link w:val="Textonotapie"/>
    <w:uiPriority w:val="99"/>
    <w:semiHidden/>
    <w:rsid w:val="004F0355"/>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F0355"/>
    <w:rPr>
      <w:vertAlign w:val="superscript"/>
    </w:rPr>
  </w:style>
  <w:style w:type="character" w:customStyle="1" w:styleId="CharStyle25">
    <w:name w:val="Char Style 25"/>
    <w:basedOn w:val="Fuentedeprrafopredeter"/>
    <w:link w:val="Style24"/>
    <w:uiPriority w:val="99"/>
    <w:rsid w:val="004F0355"/>
    <w:rPr>
      <w:rFonts w:ascii="Arial" w:hAnsi="Arial" w:cs="Arial"/>
      <w:sz w:val="17"/>
      <w:szCs w:val="17"/>
      <w:shd w:val="clear" w:color="auto" w:fill="FFFFFF"/>
    </w:rPr>
  </w:style>
  <w:style w:type="paragraph" w:customStyle="1" w:styleId="Style24">
    <w:name w:val="Style 24"/>
    <w:basedOn w:val="Normal"/>
    <w:link w:val="CharStyle25"/>
    <w:uiPriority w:val="99"/>
    <w:rsid w:val="004F0355"/>
    <w:pPr>
      <w:widowControl w:val="0"/>
      <w:shd w:val="clear" w:color="auto" w:fill="FFFFFF"/>
      <w:spacing w:before="360" w:after="180" w:line="214" w:lineRule="exact"/>
      <w:ind w:left="0" w:hanging="320"/>
      <w:jc w:val="center"/>
    </w:pPr>
    <w:rPr>
      <w:rFonts w:ascii="Arial" w:eastAsiaTheme="minorHAnsi" w:hAnsi="Arial" w:cs="Arial"/>
      <w:sz w:val="17"/>
      <w:szCs w:val="17"/>
      <w:lang w:val="es-CO" w:eastAsia="en-US"/>
    </w:rPr>
  </w:style>
  <w:style w:type="character" w:customStyle="1" w:styleId="CharStyle12">
    <w:name w:val="Char Style 12"/>
    <w:basedOn w:val="Fuentedeprrafopredeter"/>
    <w:link w:val="Style11"/>
    <w:uiPriority w:val="99"/>
    <w:rsid w:val="004F0355"/>
    <w:rPr>
      <w:rFonts w:ascii="Arial" w:hAnsi="Arial" w:cs="Arial"/>
      <w:sz w:val="19"/>
      <w:szCs w:val="19"/>
      <w:shd w:val="clear" w:color="auto" w:fill="FFFFFF"/>
    </w:rPr>
  </w:style>
  <w:style w:type="paragraph" w:customStyle="1" w:styleId="Style11">
    <w:name w:val="Style 11"/>
    <w:basedOn w:val="Normal"/>
    <w:link w:val="CharStyle12"/>
    <w:uiPriority w:val="99"/>
    <w:rsid w:val="004F0355"/>
    <w:pPr>
      <w:widowControl w:val="0"/>
      <w:shd w:val="clear" w:color="auto" w:fill="FFFFFF"/>
      <w:spacing w:line="235" w:lineRule="exact"/>
      <w:ind w:left="0" w:hanging="380"/>
    </w:pPr>
    <w:rPr>
      <w:rFonts w:ascii="Arial" w:eastAsiaTheme="minorHAnsi" w:hAnsi="Arial" w:cs="Arial"/>
      <w:sz w:val="19"/>
      <w:szCs w:val="19"/>
      <w:lang w:val="es-CO" w:eastAsia="en-US"/>
    </w:rPr>
  </w:style>
  <w:style w:type="character" w:customStyle="1" w:styleId="CharStyle13">
    <w:name w:val="Char Style 13"/>
    <w:basedOn w:val="Fuentedeprrafopredeter"/>
    <w:link w:val="Style12"/>
    <w:uiPriority w:val="99"/>
    <w:rsid w:val="004F0355"/>
    <w:rPr>
      <w:rFonts w:ascii="Arial" w:hAnsi="Arial" w:cs="Arial"/>
      <w:sz w:val="20"/>
      <w:szCs w:val="20"/>
      <w:shd w:val="clear" w:color="auto" w:fill="FFFFFF"/>
    </w:rPr>
  </w:style>
  <w:style w:type="character" w:customStyle="1" w:styleId="CharStyle16">
    <w:name w:val="Char Style 16"/>
    <w:basedOn w:val="Fuentedeprrafopredeter"/>
    <w:link w:val="Style15"/>
    <w:uiPriority w:val="99"/>
    <w:rsid w:val="004F0355"/>
    <w:rPr>
      <w:rFonts w:ascii="Arial" w:hAnsi="Arial" w:cs="Arial"/>
      <w:i/>
      <w:iCs/>
      <w:sz w:val="20"/>
      <w:szCs w:val="20"/>
      <w:shd w:val="clear" w:color="auto" w:fill="FFFFFF"/>
    </w:rPr>
  </w:style>
  <w:style w:type="character" w:customStyle="1" w:styleId="CharStyle30">
    <w:name w:val="Char Style 30"/>
    <w:basedOn w:val="Fuentedeprrafopredeter"/>
    <w:link w:val="Style29"/>
    <w:uiPriority w:val="99"/>
    <w:rsid w:val="004F0355"/>
    <w:rPr>
      <w:rFonts w:ascii="Arial" w:hAnsi="Arial" w:cs="Arial"/>
      <w:i/>
      <w:iCs/>
      <w:spacing w:val="20"/>
      <w:sz w:val="15"/>
      <w:szCs w:val="15"/>
      <w:shd w:val="clear" w:color="auto" w:fill="FFFFFF"/>
    </w:rPr>
  </w:style>
  <w:style w:type="paragraph" w:customStyle="1" w:styleId="Style12">
    <w:name w:val="Style 12"/>
    <w:basedOn w:val="Normal"/>
    <w:link w:val="CharStyle13"/>
    <w:uiPriority w:val="99"/>
    <w:rsid w:val="004F0355"/>
    <w:pPr>
      <w:widowControl w:val="0"/>
      <w:shd w:val="clear" w:color="auto" w:fill="FFFFFF"/>
      <w:spacing w:after="720" w:line="240" w:lineRule="atLeast"/>
      <w:ind w:left="0"/>
      <w:jc w:val="both"/>
    </w:pPr>
    <w:rPr>
      <w:rFonts w:ascii="Arial" w:eastAsiaTheme="minorHAnsi" w:hAnsi="Arial" w:cs="Arial"/>
      <w:sz w:val="20"/>
      <w:szCs w:val="20"/>
      <w:lang w:val="es-CO" w:eastAsia="en-US"/>
    </w:rPr>
  </w:style>
  <w:style w:type="paragraph" w:customStyle="1" w:styleId="Style15">
    <w:name w:val="Style 15"/>
    <w:basedOn w:val="Normal"/>
    <w:link w:val="CharStyle16"/>
    <w:uiPriority w:val="99"/>
    <w:rsid w:val="004F0355"/>
    <w:pPr>
      <w:widowControl w:val="0"/>
      <w:shd w:val="clear" w:color="auto" w:fill="FFFFFF"/>
      <w:spacing w:after="420" w:line="240" w:lineRule="exact"/>
      <w:ind w:left="0"/>
      <w:jc w:val="both"/>
    </w:pPr>
    <w:rPr>
      <w:rFonts w:ascii="Arial" w:eastAsiaTheme="minorHAnsi" w:hAnsi="Arial" w:cs="Arial"/>
      <w:i/>
      <w:iCs/>
      <w:sz w:val="20"/>
      <w:szCs w:val="20"/>
      <w:lang w:val="es-CO" w:eastAsia="en-US"/>
    </w:rPr>
  </w:style>
  <w:style w:type="paragraph" w:customStyle="1" w:styleId="Style29">
    <w:name w:val="Style 29"/>
    <w:basedOn w:val="Normal"/>
    <w:link w:val="CharStyle30"/>
    <w:uiPriority w:val="99"/>
    <w:rsid w:val="004F0355"/>
    <w:pPr>
      <w:widowControl w:val="0"/>
      <w:shd w:val="clear" w:color="auto" w:fill="FFFFFF"/>
      <w:spacing w:before="180" w:after="180" w:line="240" w:lineRule="atLeast"/>
      <w:ind w:left="0"/>
      <w:jc w:val="both"/>
    </w:pPr>
    <w:rPr>
      <w:rFonts w:ascii="Arial" w:eastAsiaTheme="minorHAnsi" w:hAnsi="Arial" w:cs="Arial"/>
      <w:i/>
      <w:iCs/>
      <w:spacing w:val="20"/>
      <w:sz w:val="15"/>
      <w:szCs w:val="15"/>
      <w:lang w:val="es-CO" w:eastAsia="en-US"/>
    </w:rPr>
  </w:style>
  <w:style w:type="character" w:customStyle="1" w:styleId="CharStyle55">
    <w:name w:val="Char Style 55"/>
    <w:basedOn w:val="CharStyle13"/>
    <w:uiPriority w:val="99"/>
    <w:rsid w:val="004F0355"/>
    <w:rPr>
      <w:rFonts w:ascii="Arial" w:hAnsi="Arial" w:cs="Arial"/>
      <w:b/>
      <w:bCs/>
      <w:spacing w:val="-10"/>
      <w:sz w:val="17"/>
      <w:szCs w:val="17"/>
      <w:u w:val="none"/>
      <w:shd w:val="clear" w:color="auto" w:fill="FFFFFF"/>
    </w:rPr>
  </w:style>
  <w:style w:type="character" w:customStyle="1" w:styleId="CharStyle56">
    <w:name w:val="Char Style 56"/>
    <w:basedOn w:val="CharStyle13"/>
    <w:uiPriority w:val="99"/>
    <w:rsid w:val="004F0355"/>
    <w:rPr>
      <w:rFonts w:ascii="Arial" w:hAnsi="Arial" w:cs="Arial"/>
      <w:sz w:val="16"/>
      <w:szCs w:val="16"/>
      <w:u w:val="none"/>
      <w:shd w:val="clear" w:color="auto" w:fill="FFFFFF"/>
    </w:rPr>
  </w:style>
  <w:style w:type="character" w:customStyle="1" w:styleId="CharStyle72">
    <w:name w:val="Char Style 72"/>
    <w:basedOn w:val="CharStyle13"/>
    <w:uiPriority w:val="99"/>
    <w:rsid w:val="004F0355"/>
    <w:rPr>
      <w:rFonts w:ascii="Arial" w:hAnsi="Arial" w:cs="Arial"/>
      <w:b/>
      <w:bCs/>
      <w:spacing w:val="-10"/>
      <w:sz w:val="20"/>
      <w:szCs w:val="20"/>
      <w:u w:val="none"/>
      <w:shd w:val="clear" w:color="auto" w:fill="FFFFFF"/>
    </w:rPr>
  </w:style>
  <w:style w:type="character" w:customStyle="1" w:styleId="CharStyle15">
    <w:name w:val="Char Style 15"/>
    <w:basedOn w:val="Fuentedeprrafopredeter"/>
    <w:link w:val="Style14"/>
    <w:uiPriority w:val="99"/>
    <w:rsid w:val="00EB7EE9"/>
    <w:rPr>
      <w:rFonts w:ascii="Arial" w:hAnsi="Arial" w:cs="Arial"/>
      <w:sz w:val="20"/>
      <w:szCs w:val="20"/>
      <w:shd w:val="clear" w:color="auto" w:fill="FFFFFF"/>
    </w:rPr>
  </w:style>
  <w:style w:type="character" w:customStyle="1" w:styleId="CharStyle22">
    <w:name w:val="Char Style 22"/>
    <w:basedOn w:val="CharStyle15"/>
    <w:uiPriority w:val="99"/>
    <w:rsid w:val="00EB7EE9"/>
    <w:rPr>
      <w:rFonts w:ascii="Arial" w:hAnsi="Arial" w:cs="Arial"/>
      <w:sz w:val="16"/>
      <w:szCs w:val="16"/>
      <w:shd w:val="clear" w:color="auto" w:fill="FFFFFF"/>
    </w:rPr>
  </w:style>
  <w:style w:type="character" w:customStyle="1" w:styleId="CharStyle23">
    <w:name w:val="Char Style 23"/>
    <w:basedOn w:val="CharStyle15"/>
    <w:uiPriority w:val="99"/>
    <w:rsid w:val="00EB7EE9"/>
    <w:rPr>
      <w:rFonts w:ascii="Arial" w:hAnsi="Arial" w:cs="Arial"/>
      <w:spacing w:val="20"/>
      <w:sz w:val="16"/>
      <w:szCs w:val="16"/>
      <w:shd w:val="clear" w:color="auto" w:fill="FFFFFF"/>
    </w:rPr>
  </w:style>
  <w:style w:type="paragraph" w:customStyle="1" w:styleId="Style14">
    <w:name w:val="Style 14"/>
    <w:basedOn w:val="Normal"/>
    <w:link w:val="CharStyle15"/>
    <w:uiPriority w:val="99"/>
    <w:rsid w:val="00EB7EE9"/>
    <w:pPr>
      <w:widowControl w:val="0"/>
      <w:shd w:val="clear" w:color="auto" w:fill="FFFFFF"/>
      <w:spacing w:before="1020" w:line="509" w:lineRule="exact"/>
      <w:ind w:left="0"/>
    </w:pPr>
    <w:rPr>
      <w:rFonts w:ascii="Arial" w:eastAsiaTheme="minorHAnsi" w:hAnsi="Arial" w:cs="Arial"/>
      <w:sz w:val="20"/>
      <w:szCs w:val="20"/>
      <w:lang w:val="es-CO" w:eastAsia="en-US"/>
    </w:rPr>
  </w:style>
  <w:style w:type="character" w:styleId="Refdecomentario">
    <w:name w:val="annotation reference"/>
    <w:basedOn w:val="Fuentedeprrafopredeter"/>
    <w:uiPriority w:val="99"/>
    <w:semiHidden/>
    <w:unhideWhenUsed/>
    <w:rsid w:val="00EB7EE9"/>
    <w:rPr>
      <w:sz w:val="16"/>
      <w:szCs w:val="16"/>
    </w:rPr>
  </w:style>
  <w:style w:type="paragraph" w:styleId="Textocomentario">
    <w:name w:val="annotation text"/>
    <w:basedOn w:val="Normal"/>
    <w:link w:val="TextocomentarioCar"/>
    <w:uiPriority w:val="99"/>
    <w:semiHidden/>
    <w:unhideWhenUsed/>
    <w:rsid w:val="00EB7EE9"/>
    <w:rPr>
      <w:sz w:val="20"/>
      <w:szCs w:val="20"/>
    </w:rPr>
  </w:style>
  <w:style w:type="character" w:customStyle="1" w:styleId="TextocomentarioCar">
    <w:name w:val="Texto comentario Car"/>
    <w:basedOn w:val="Fuentedeprrafopredeter"/>
    <w:link w:val="Textocomentario"/>
    <w:uiPriority w:val="99"/>
    <w:semiHidden/>
    <w:rsid w:val="00EB7EE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B7EE9"/>
    <w:rPr>
      <w:b/>
      <w:bCs/>
    </w:rPr>
  </w:style>
  <w:style w:type="character" w:customStyle="1" w:styleId="AsuntodelcomentarioCar">
    <w:name w:val="Asunto del comentario Car"/>
    <w:basedOn w:val="TextocomentarioCar"/>
    <w:link w:val="Asuntodelcomentario"/>
    <w:uiPriority w:val="99"/>
    <w:semiHidden/>
    <w:rsid w:val="00EB7EE9"/>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EB7E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7EE9"/>
    <w:rPr>
      <w:rFonts w:ascii="Segoe UI" w:eastAsia="Times New Roman" w:hAnsi="Segoe UI" w:cs="Segoe UI"/>
      <w:sz w:val="18"/>
      <w:szCs w:val="18"/>
      <w:lang w:val="es-ES" w:eastAsia="es-ES"/>
    </w:rPr>
  </w:style>
  <w:style w:type="character" w:customStyle="1" w:styleId="CharStyle29">
    <w:name w:val="Char Style 29"/>
    <w:basedOn w:val="CharStyle15"/>
    <w:uiPriority w:val="99"/>
    <w:rsid w:val="00047922"/>
    <w:rPr>
      <w:rFonts w:ascii="Arial" w:hAnsi="Arial" w:cs="Arial"/>
      <w:b/>
      <w:bCs/>
      <w:sz w:val="20"/>
      <w:szCs w:val="20"/>
      <w:u w:val="none"/>
      <w:shd w:val="clear" w:color="auto" w:fill="FFFFFF"/>
    </w:rPr>
  </w:style>
  <w:style w:type="character" w:customStyle="1" w:styleId="CharStyle36">
    <w:name w:val="Char Style 36"/>
    <w:basedOn w:val="CharStyle15"/>
    <w:uiPriority w:val="99"/>
    <w:rsid w:val="00047922"/>
    <w:rPr>
      <w:rFonts w:ascii="Arial" w:hAnsi="Arial" w:cs="Arial"/>
      <w:b/>
      <w:bCs/>
      <w:sz w:val="18"/>
      <w:szCs w:val="18"/>
      <w:u w:val="none"/>
      <w:shd w:val="clear" w:color="auto" w:fill="FFFFFF"/>
    </w:rPr>
  </w:style>
  <w:style w:type="paragraph" w:styleId="Piedepgina">
    <w:name w:val="footer"/>
    <w:basedOn w:val="Normal"/>
    <w:link w:val="PiedepginaCar"/>
    <w:uiPriority w:val="99"/>
    <w:unhideWhenUsed/>
    <w:rsid w:val="00446EC9"/>
    <w:pPr>
      <w:tabs>
        <w:tab w:val="center" w:pos="4419"/>
        <w:tab w:val="right" w:pos="8838"/>
      </w:tabs>
    </w:pPr>
  </w:style>
  <w:style w:type="character" w:customStyle="1" w:styleId="PiedepginaCar">
    <w:name w:val="Pie de página Car"/>
    <w:basedOn w:val="Fuentedeprrafopredeter"/>
    <w:link w:val="Piedepgina"/>
    <w:uiPriority w:val="99"/>
    <w:rsid w:val="00446EC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404AB-72BD-48D9-AA17-9CA5C7C0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3642</Words>
  <Characters>20031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cp:lastPrinted>2017-12-20T22:54:00Z</cp:lastPrinted>
  <dcterms:created xsi:type="dcterms:W3CDTF">2018-01-04T16:49:00Z</dcterms:created>
  <dcterms:modified xsi:type="dcterms:W3CDTF">2018-01-04T16:49:00Z</dcterms:modified>
</cp:coreProperties>
</file>