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183DE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4pt;margin-top:-53.35pt;width:44.3pt;height:47.2pt;z-index:251657728" fillcolor="#0c9">
            <v:imagedata r:id="rId8" o:title=""/>
          </v:shape>
          <o:OLEObject Type="Embed" ProgID="PBrush" ShapeID="_x0000_s1026" DrawAspect="Content" ObjectID="_1633782235" r:id="rId9"/>
        </w:object>
      </w: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6B49C6">
        <w:rPr>
          <w:rFonts w:ascii="Bookman Old Style" w:hAnsi="Bookman Old Style"/>
          <w:sz w:val="24"/>
          <w:szCs w:val="24"/>
        </w:rPr>
        <w:t>9</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B351B4" w:rsidRDefault="00B351B4" w:rsidP="00012259">
      <w:pPr>
        <w:ind w:left="0"/>
        <w:rPr>
          <w:rFonts w:ascii="Bookman Old Style" w:hAnsi="Bookman Old Style"/>
          <w:bCs/>
          <w:lang w:val="es-CO"/>
        </w:rPr>
      </w:pPr>
    </w:p>
    <w:p w:rsidR="005A12B4" w:rsidRPr="00E060BE" w:rsidRDefault="005A12B4" w:rsidP="00012259">
      <w:pPr>
        <w:ind w:left="0"/>
        <w:rPr>
          <w:rFonts w:ascii="Bookman Old Style" w:hAnsi="Bookman Old Style"/>
          <w:bCs/>
          <w:lang w:val="es-CO"/>
        </w:rPr>
      </w:pPr>
    </w:p>
    <w:p w:rsidR="00045D3D" w:rsidRPr="00C435C3" w:rsidRDefault="00045D3D" w:rsidP="00045D3D">
      <w:pPr>
        <w:ind w:left="0"/>
        <w:jc w:val="center"/>
        <w:rPr>
          <w:rFonts w:ascii="Bookman Old Style" w:hAnsi="Bookman Old Style"/>
        </w:rPr>
      </w:pPr>
      <w:r w:rsidRPr="00C435C3">
        <w:rPr>
          <w:rFonts w:ascii="Bookman Old Style" w:hAnsi="Bookman Old Style"/>
        </w:rPr>
        <w:t xml:space="preserve">Por </w:t>
      </w:r>
      <w:r w:rsidR="00EC12CE">
        <w:rPr>
          <w:rFonts w:ascii="Bookman Old Style" w:hAnsi="Bookman Old Style"/>
        </w:rPr>
        <w:t xml:space="preserve">la cual se corrige un error formal en </w:t>
      </w:r>
      <w:r w:rsidR="006E0C3B">
        <w:rPr>
          <w:rFonts w:ascii="Bookman Old Style" w:hAnsi="Bookman Old Style"/>
        </w:rPr>
        <w:t xml:space="preserve">el Artículo 2 de </w:t>
      </w:r>
      <w:r w:rsidR="00C61E72">
        <w:rPr>
          <w:rFonts w:ascii="Bookman Old Style" w:hAnsi="Bookman Old Style"/>
        </w:rPr>
        <w:t>la Resolución CREG 01</w:t>
      </w:r>
      <w:r w:rsidR="00EC12CE">
        <w:rPr>
          <w:rFonts w:ascii="Bookman Old Style" w:hAnsi="Bookman Old Style"/>
        </w:rPr>
        <w:t>8 de 201</w:t>
      </w:r>
      <w:r w:rsidR="00C61E72">
        <w:rPr>
          <w:rFonts w:ascii="Bookman Old Style" w:hAnsi="Bookman Old Style"/>
        </w:rPr>
        <w:t>8</w:t>
      </w:r>
      <w:r w:rsidR="006E0C3B">
        <w:rPr>
          <w:rFonts w:ascii="Bookman Old Style" w:hAnsi="Bookman Old Style"/>
        </w:rPr>
        <w:t>, el cual modifica el Artículo 4 de la Resolución CREG 198 de 2017</w:t>
      </w:r>
    </w:p>
    <w:p w:rsidR="00045D3D" w:rsidRDefault="00045D3D" w:rsidP="008F7D10">
      <w:pPr>
        <w:ind w:left="0" w:right="51"/>
        <w:rPr>
          <w:rFonts w:ascii="Bookman Old Style" w:hAnsi="Bookman Old Style"/>
        </w:rPr>
      </w:pPr>
    </w:p>
    <w:p w:rsidR="004C508E" w:rsidRDefault="004C508E" w:rsidP="008F7D10">
      <w:pPr>
        <w:ind w:left="0" w:right="51"/>
        <w:rPr>
          <w:rFonts w:ascii="Bookman Old Style" w:hAnsi="Bookman Old Style"/>
        </w:rPr>
      </w:pPr>
    </w:p>
    <w:p w:rsidR="00045D3D" w:rsidRPr="00C435C3" w:rsidRDefault="006B49C6" w:rsidP="008F7D10">
      <w:pPr>
        <w:ind w:left="0" w:right="51"/>
        <w:jc w:val="center"/>
        <w:rPr>
          <w:rFonts w:ascii="Bookman Old Style" w:hAnsi="Bookman Old Style"/>
          <w:b/>
        </w:rPr>
      </w:pPr>
      <w:r>
        <w:rPr>
          <w:rFonts w:ascii="Bookman Old Style" w:hAnsi="Bookman Old Style"/>
          <w:b/>
        </w:rPr>
        <w:t>LA COMISIÓN DE REGULACIÓN DE</w:t>
      </w:r>
      <w:r w:rsidR="00045D3D" w:rsidRPr="00C435C3">
        <w:rPr>
          <w:rFonts w:ascii="Bookman Old Style" w:hAnsi="Bookman Old Style"/>
          <w:b/>
        </w:rPr>
        <w:t xml:space="preserve"> ENERGÍA Y GAS</w:t>
      </w:r>
    </w:p>
    <w:p w:rsidR="00045D3D" w:rsidRPr="00C435C3" w:rsidRDefault="00045D3D" w:rsidP="008F7D10">
      <w:pPr>
        <w:ind w:left="0" w:right="51"/>
        <w:rPr>
          <w:rFonts w:ascii="Bookman Old Style" w:hAnsi="Bookman Old Style"/>
        </w:rPr>
      </w:pPr>
    </w:p>
    <w:p w:rsidR="00045D3D" w:rsidRPr="00C435C3" w:rsidRDefault="00045D3D" w:rsidP="008F7D10">
      <w:pPr>
        <w:ind w:left="0" w:right="51"/>
        <w:rPr>
          <w:rFonts w:ascii="Bookman Old Style" w:hAnsi="Bookman Old Style"/>
        </w:rPr>
      </w:pPr>
    </w:p>
    <w:p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002352B9">
        <w:rPr>
          <w:rFonts w:ascii="Bookman Old Style" w:hAnsi="Bookman Old Style"/>
          <w:b w:val="0"/>
        </w:rPr>
        <w:t>l</w:t>
      </w:r>
      <w:r w:rsidRPr="00C435C3">
        <w:rPr>
          <w:rFonts w:ascii="Bookman Old Style" w:hAnsi="Bookman Old Style"/>
          <w:b w:val="0"/>
        </w:rPr>
        <w:t xml:space="preserve">eyes 142 y 143 de 1994, y en desarrollo de los </w:t>
      </w:r>
      <w:r w:rsidR="002352B9">
        <w:rPr>
          <w:rFonts w:ascii="Bookman Old Style" w:hAnsi="Bookman Old Style"/>
          <w:b w:val="0"/>
        </w:rPr>
        <w:t>d</w:t>
      </w:r>
      <w:r w:rsidRPr="00C435C3">
        <w:rPr>
          <w:rFonts w:ascii="Bookman Old Style" w:hAnsi="Bookman Old Style"/>
          <w:b w:val="0"/>
        </w:rPr>
        <w:t>ecretos 1524 y 2253 de 1994.</w:t>
      </w:r>
    </w:p>
    <w:p w:rsidR="00045D3D" w:rsidRDefault="00045D3D" w:rsidP="00045D3D">
      <w:pPr>
        <w:ind w:right="51"/>
        <w:rPr>
          <w:rFonts w:ascii="Bookman Old Style" w:hAnsi="Bookman Old Style"/>
        </w:rPr>
      </w:pPr>
    </w:p>
    <w:p w:rsidR="00045D3D" w:rsidRPr="00C435C3" w:rsidRDefault="00045D3D" w:rsidP="004C09BC">
      <w:pPr>
        <w:ind w:left="0"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011115">
        <w:rPr>
          <w:rFonts w:ascii="Bookman Old Style" w:hAnsi="Bookman Old Style"/>
          <w:b/>
        </w:rPr>
        <w:t xml:space="preserve"> </w:t>
      </w:r>
      <w:r>
        <w:rPr>
          <w:rFonts w:ascii="Bookman Old Style" w:hAnsi="Bookman Old Style"/>
          <w:b/>
        </w:rPr>
        <w:t>Q U E</w:t>
      </w:r>
      <w:r w:rsidRPr="00C435C3">
        <w:rPr>
          <w:rFonts w:ascii="Bookman Old Style" w:hAnsi="Bookman Old Style"/>
          <w:b/>
        </w:rPr>
        <w:t>:</w:t>
      </w:r>
    </w:p>
    <w:p w:rsidR="004C508E" w:rsidRDefault="004C508E" w:rsidP="004C508E">
      <w:pPr>
        <w:adjustRightInd w:val="0"/>
        <w:spacing w:before="240"/>
        <w:ind w:left="0"/>
        <w:jc w:val="both"/>
        <w:rPr>
          <w:rFonts w:ascii="Bookman Old Style" w:hAnsi="Bookman Old Style"/>
        </w:rPr>
      </w:pPr>
    </w:p>
    <w:p w:rsidR="006E0C3B" w:rsidRPr="006E0C3B" w:rsidRDefault="006E0C3B" w:rsidP="004C508E">
      <w:pPr>
        <w:adjustRightInd w:val="0"/>
        <w:spacing w:after="240"/>
        <w:ind w:left="0"/>
        <w:jc w:val="both"/>
        <w:rPr>
          <w:rFonts w:ascii="Bookman Old Style" w:hAnsi="Bookman Old Style"/>
        </w:rPr>
      </w:pPr>
      <w:r w:rsidRPr="006E0C3B">
        <w:rPr>
          <w:rFonts w:ascii="Bookman Old Style" w:hAnsi="Bookman Old Style"/>
        </w:rPr>
        <w:t xml:space="preserve">El </w:t>
      </w:r>
      <w:r w:rsidR="00011115">
        <w:rPr>
          <w:rFonts w:ascii="Bookman Old Style" w:hAnsi="Bookman Old Style"/>
        </w:rPr>
        <w:t>A</w:t>
      </w:r>
      <w:r w:rsidRPr="006E0C3B">
        <w:rPr>
          <w:rFonts w:ascii="Bookman Old Style" w:hAnsi="Bookman Old Style"/>
        </w:rPr>
        <w:t>rtículo 14.28 de la Ley 142 de 1994 definió el servicio público domiciliario de gas combustible como el conjunto de actividades ordenadas a la distribución de gas combustible, por tubería u otro medio, desde un sitio de acopio de grandes volúmenes o desde un gasoducto central hasta la instalación de un consumidor final, incluyendo su conexión y medición.</w:t>
      </w:r>
    </w:p>
    <w:p w:rsidR="006E0C3B" w:rsidRPr="006E0C3B" w:rsidRDefault="006E0C3B" w:rsidP="006E0C3B">
      <w:pPr>
        <w:adjustRightInd w:val="0"/>
        <w:spacing w:before="240" w:after="240"/>
        <w:ind w:left="0"/>
        <w:jc w:val="both"/>
        <w:rPr>
          <w:rFonts w:ascii="Bookman Old Style" w:hAnsi="Bookman Old Style"/>
        </w:rPr>
      </w:pPr>
      <w:r w:rsidRPr="006E0C3B">
        <w:rPr>
          <w:rFonts w:ascii="Bookman Old Style" w:hAnsi="Bookman Old Style"/>
        </w:rPr>
        <w:t xml:space="preserve">Según lo dispuesto por el </w:t>
      </w:r>
      <w:r w:rsidR="00011115">
        <w:rPr>
          <w:rFonts w:ascii="Bookman Old Style" w:hAnsi="Bookman Old Style"/>
        </w:rPr>
        <w:t>A</w:t>
      </w:r>
      <w:r w:rsidRPr="006E0C3B">
        <w:rPr>
          <w:rFonts w:ascii="Bookman Old Style" w:hAnsi="Bookman Old Style"/>
        </w:rPr>
        <w:t>rtículo 28 de la Ley 142 de 1994, la construcción y operación de redes para el transporte de gas, así como el señalamiento de las tarifas por uso se regirán exclusivamente por esa Ley y por las normas ambientales, sanitarias y municipales a las que se alude en los artículos 25 y 26 de la misma.</w:t>
      </w:r>
    </w:p>
    <w:p w:rsidR="006E0C3B" w:rsidRPr="006E0C3B" w:rsidRDefault="006E0C3B" w:rsidP="006E0C3B">
      <w:pPr>
        <w:adjustRightInd w:val="0"/>
        <w:spacing w:before="240" w:after="240"/>
        <w:ind w:left="0"/>
        <w:jc w:val="both"/>
        <w:rPr>
          <w:rFonts w:ascii="Bookman Old Style" w:hAnsi="Bookman Old Style"/>
        </w:rPr>
      </w:pPr>
      <w:r w:rsidRPr="006E0C3B">
        <w:rPr>
          <w:rFonts w:ascii="Bookman Old Style" w:hAnsi="Bookman Old Style"/>
        </w:rPr>
        <w:t xml:space="preserve">El </w:t>
      </w:r>
      <w:r w:rsidR="00011115">
        <w:rPr>
          <w:rFonts w:ascii="Bookman Old Style" w:hAnsi="Bookman Old Style"/>
        </w:rPr>
        <w:t>A</w:t>
      </w:r>
      <w:r w:rsidRPr="006E0C3B">
        <w:rPr>
          <w:rFonts w:ascii="Bookman Old Style" w:hAnsi="Bookman Old Style"/>
        </w:rPr>
        <w:t xml:space="preserve">rtículo 73.11 de la Ley 142 de 1994 atribuyó a la Comisión de Regulación de Energía y Gas la competencia para establecer las fórmulas para la fijación de las tarifas del servicio público domiciliario de gas combustible. </w:t>
      </w:r>
    </w:p>
    <w:p w:rsidR="006E0C3B" w:rsidRDefault="006E0C3B" w:rsidP="006E0C3B">
      <w:pPr>
        <w:adjustRightInd w:val="0"/>
        <w:spacing w:before="240" w:after="240"/>
        <w:ind w:left="0"/>
        <w:jc w:val="both"/>
        <w:rPr>
          <w:rFonts w:ascii="Bookman Old Style" w:hAnsi="Bookman Old Style"/>
        </w:rPr>
      </w:pPr>
      <w:r w:rsidRPr="006E0C3B">
        <w:rPr>
          <w:rFonts w:ascii="Bookman Old Style" w:hAnsi="Bookman Old Style"/>
        </w:rPr>
        <w:t xml:space="preserve">Según lo dispuesto por el </w:t>
      </w:r>
      <w:r w:rsidR="00011115">
        <w:rPr>
          <w:rFonts w:ascii="Bookman Old Style" w:hAnsi="Bookman Old Style"/>
        </w:rPr>
        <w:t>A</w:t>
      </w:r>
      <w:r w:rsidRPr="006E0C3B">
        <w:rPr>
          <w:rFonts w:ascii="Bookman Old Style" w:hAnsi="Bookman Old Style"/>
        </w:rPr>
        <w:t>rtículo 88.1 de la Ley 142 de 1994, la Comisión de Regulación de Energía y Gas podrá establecer topes máximos y mínimos tarifarios, de obligatorio cumplimiento por parte de las empresas.</w:t>
      </w:r>
    </w:p>
    <w:p w:rsidR="00153AF2" w:rsidRDefault="00153AF2" w:rsidP="00153AF2">
      <w:pPr>
        <w:adjustRightInd w:val="0"/>
        <w:spacing w:before="240" w:after="240"/>
        <w:ind w:left="0"/>
        <w:jc w:val="both"/>
        <w:rPr>
          <w:rFonts w:ascii="Bookman Old Style" w:hAnsi="Bookman Old Style"/>
        </w:rPr>
      </w:pPr>
      <w:r w:rsidRPr="00153AF2">
        <w:rPr>
          <w:rFonts w:ascii="Bookman Old Style" w:hAnsi="Bookman Old Style"/>
        </w:rPr>
        <w:t>A través de la Resolución CREG 202 de 2013 se establecieron los criterios generales para remunerar la actividad de distribución de gas combustible por redes de tubería. Dicha resolución fue modificada y/o adicionada por las Resoluciones CREG 052 de 2014, 138 de 2014, 112 de 2015, 125 de 2015 y 141 de 2015.</w:t>
      </w:r>
    </w:p>
    <w:p w:rsidR="00153AF2" w:rsidRDefault="00153AF2" w:rsidP="00153AF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Mediante la Resolución CREG </w:t>
      </w:r>
      <w:r>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53AF2" w:rsidRPr="00153AF2" w:rsidRDefault="00153AF2" w:rsidP="00153AF2">
      <w:pPr>
        <w:adjustRightInd w:val="0"/>
        <w:spacing w:before="240" w:after="240"/>
        <w:ind w:left="0"/>
        <w:jc w:val="both"/>
        <w:rPr>
          <w:rFonts w:ascii="Bookman Old Style" w:hAnsi="Bookman Old Style"/>
        </w:rPr>
      </w:pPr>
      <w:r w:rsidRPr="00153AF2">
        <w:rPr>
          <w:rFonts w:ascii="Bookman Old Style" w:hAnsi="Bookman Old Style"/>
        </w:rPr>
        <w:t>Por medio de la Circular CREG 034 de 2017 la Comisión dispuso que las empresas distribuidoras podr</w:t>
      </w:r>
      <w:r w:rsidR="00011115">
        <w:rPr>
          <w:rFonts w:ascii="Bookman Old Style" w:hAnsi="Bookman Old Style"/>
        </w:rPr>
        <w:t>ía</w:t>
      </w:r>
      <w:r w:rsidRPr="00153AF2">
        <w:rPr>
          <w:rFonts w:ascii="Bookman Old Style" w:hAnsi="Bookman Old Style"/>
        </w:rPr>
        <w:t>n solicitar aprobación de cargos transitorios de distribución de gas combustible por redes de tubería para los mercados existentes de su interés.</w:t>
      </w:r>
    </w:p>
    <w:p w:rsidR="00153AF2" w:rsidRPr="00153AF2" w:rsidRDefault="00153AF2" w:rsidP="00153AF2">
      <w:pPr>
        <w:adjustRightInd w:val="0"/>
        <w:spacing w:before="240" w:after="240"/>
        <w:ind w:left="0"/>
        <w:jc w:val="both"/>
        <w:rPr>
          <w:rFonts w:ascii="Bookman Old Style" w:hAnsi="Bookman Old Style"/>
        </w:rPr>
      </w:pPr>
      <w:r w:rsidRPr="00153AF2">
        <w:rPr>
          <w:rFonts w:ascii="Bookman Old Style" w:hAnsi="Bookman Old Style"/>
        </w:rPr>
        <w:t xml:space="preserve">Las empresas GASES DEL CARIBE S.A. E.S.P. y PROMIGAS S.A. E.S.P., mediante comunicación con </w:t>
      </w:r>
      <w:r w:rsidR="00011115">
        <w:rPr>
          <w:rFonts w:ascii="Bookman Old Style" w:hAnsi="Bookman Old Style"/>
        </w:rPr>
        <w:t>R</w:t>
      </w:r>
      <w:r w:rsidRPr="00153AF2">
        <w:rPr>
          <w:rFonts w:ascii="Bookman Old Style" w:hAnsi="Bookman Old Style"/>
        </w:rPr>
        <w:t>adicado CREG E-2017-008427 del 12 de septiembre de 2017 y con base en lo establecido en la Cir</w:t>
      </w:r>
      <w:r w:rsidR="00210647">
        <w:rPr>
          <w:rFonts w:ascii="Bookman Old Style" w:hAnsi="Bookman Old Style"/>
        </w:rPr>
        <w:t>cular CREG 034 de 2017, solicitaron</w:t>
      </w:r>
      <w:r w:rsidRPr="00153AF2">
        <w:rPr>
          <w:rFonts w:ascii="Bookman Old Style" w:hAnsi="Bookman Old Style"/>
        </w:rPr>
        <w:t xml:space="preserve"> la aprobación de los cargos transitorios de distribución de gas combustible por redes de tubería para el mercado relevante conformado por los municipios de Barranquilla, Soledad, Malambo, Baranoa, Galapa, Puerto Colombia, Sabanagrande, Luruaco, Palmar de Varela, Polonuevo, Ponedera, Sabanalarga, Santo Tomás, Candelaria, Juan de Acosta, Campo de la Cruz, Santa Lucía, Usiacurí, Manatí, Suan, Repelón, Tubará y Piojó en el departamento de Atlántico; Santa Marta, Ciénaga, Fundación, Aracataca, Zona Bananera, Puebloviejo, Sitionuevo, El Retén, Remolino, Salamina, El Piñón, Cerro de San Antonio, Tenerife, Zapayán, Concordia y Pedraza en el departamento de Magdalena; Valledupar, La Paz y Manaure en el departamento de Cesar; Calamar, San Estanislao, Soplaviento, Arroyohondo y San Cristóbal en el </w:t>
      </w:r>
      <w:r w:rsidR="00011115">
        <w:rPr>
          <w:rFonts w:ascii="Bookman Old Style" w:hAnsi="Bookman Old Style"/>
        </w:rPr>
        <w:t>D</w:t>
      </w:r>
      <w:r w:rsidRPr="00153AF2">
        <w:rPr>
          <w:rFonts w:ascii="Bookman Old Style" w:hAnsi="Bookman Old Style"/>
        </w:rPr>
        <w:t>departamento de Bolívar.</w:t>
      </w:r>
    </w:p>
    <w:p w:rsidR="00153AF2" w:rsidRDefault="003971D8" w:rsidP="00153AF2">
      <w:pPr>
        <w:adjustRightInd w:val="0"/>
        <w:spacing w:before="240" w:after="240"/>
        <w:ind w:left="0"/>
        <w:jc w:val="both"/>
        <w:rPr>
          <w:rFonts w:ascii="Bookman Old Style" w:hAnsi="Bookman Old Style"/>
        </w:rPr>
      </w:pPr>
      <w:r>
        <w:rPr>
          <w:rFonts w:ascii="Bookman Old Style" w:hAnsi="Bookman Old Style"/>
        </w:rPr>
        <w:t xml:space="preserve">Mediante Resolución CREG 198 de 2017 </w:t>
      </w:r>
      <w:r w:rsidR="00210647">
        <w:rPr>
          <w:rFonts w:ascii="Bookman Old Style" w:hAnsi="Bookman Old Style"/>
        </w:rPr>
        <w:t>se aprobó</w:t>
      </w:r>
      <w:r w:rsidR="00153AF2" w:rsidRPr="00153AF2">
        <w:rPr>
          <w:rFonts w:ascii="Bookman Old Style" w:hAnsi="Bookman Old Style"/>
        </w:rPr>
        <w:t xml:space="preserve"> </w:t>
      </w:r>
      <w:r>
        <w:rPr>
          <w:rFonts w:ascii="Bookman Old Style" w:hAnsi="Bookman Old Style"/>
        </w:rPr>
        <w:t xml:space="preserve">el </w:t>
      </w:r>
      <w:r w:rsidR="00153AF2" w:rsidRPr="00153AF2">
        <w:rPr>
          <w:rFonts w:ascii="Bookman Old Style" w:hAnsi="Bookman Old Style"/>
        </w:rPr>
        <w:t>cargo transitorio por uso del sistema de distribución de gas combustible por redes de tubería, para el mercado relevante conformado por municipios de los departamentos de Atlántico, Magdalena, Cesar y Bolívar, según solicitud tarifaria presentada por GASES DEL CARIBE S.A. E.S.P. y PROMIGAS S.A. E.S.P.</w:t>
      </w:r>
    </w:p>
    <w:p w:rsidR="00153AF2" w:rsidRDefault="00153AF2" w:rsidP="00153AF2">
      <w:pPr>
        <w:adjustRightInd w:val="0"/>
        <w:spacing w:before="240" w:after="240"/>
        <w:ind w:left="0"/>
        <w:jc w:val="both"/>
        <w:rPr>
          <w:rFonts w:ascii="Bookman Old Style" w:hAnsi="Bookman Old Style"/>
        </w:rPr>
      </w:pPr>
      <w:r w:rsidRPr="00153AF2">
        <w:rPr>
          <w:rFonts w:ascii="Bookman Old Style" w:hAnsi="Bookman Old Style"/>
        </w:rPr>
        <w:t>Surtido el trámite de notificación de la referida decisión y estando dentro del término legal</w:t>
      </w:r>
      <w:r w:rsidR="00011115">
        <w:rPr>
          <w:rFonts w:ascii="Bookman Old Style" w:hAnsi="Bookman Old Style"/>
        </w:rPr>
        <w:t xml:space="preserve"> para el efecto</w:t>
      </w:r>
      <w:r w:rsidRPr="00153AF2">
        <w:rPr>
          <w:rFonts w:ascii="Bookman Old Style" w:hAnsi="Bookman Old Style"/>
        </w:rPr>
        <w:t>, el representante legal de GASES DEL CARIBE S.A. E.S.P. interpuso recurso de reposición contra la mencionada resolución</w:t>
      </w:r>
      <w:r>
        <w:rPr>
          <w:rFonts w:ascii="Bookman Old Style" w:hAnsi="Bookman Old Style"/>
        </w:rPr>
        <w:t xml:space="preserve"> </w:t>
      </w:r>
      <w:r w:rsidR="00011115">
        <w:rPr>
          <w:rFonts w:ascii="Bookman Old Style" w:hAnsi="Bookman Old Style"/>
        </w:rPr>
        <w:t xml:space="preserve">bajo </w:t>
      </w:r>
      <w:r>
        <w:rPr>
          <w:rFonts w:ascii="Bookman Old Style" w:hAnsi="Bookman Old Style"/>
        </w:rPr>
        <w:t>radicado CREG E-2018-</w:t>
      </w:r>
      <w:r w:rsidR="003037E4">
        <w:rPr>
          <w:rFonts w:ascii="Bookman Old Style" w:hAnsi="Bookman Old Style"/>
        </w:rPr>
        <w:t xml:space="preserve">000495 del </w:t>
      </w:r>
      <w:r w:rsidRPr="00153AF2">
        <w:rPr>
          <w:rFonts w:ascii="Bookman Old Style" w:hAnsi="Bookman Old Style"/>
        </w:rPr>
        <w:t>19 de enero de 2018</w:t>
      </w:r>
      <w:r w:rsidR="003037E4">
        <w:rPr>
          <w:rFonts w:ascii="Bookman Old Style" w:hAnsi="Bookman Old Style"/>
        </w:rPr>
        <w:t>.</w:t>
      </w:r>
    </w:p>
    <w:p w:rsidR="00615B67" w:rsidRDefault="00E1202C" w:rsidP="00153AF2">
      <w:pPr>
        <w:adjustRightInd w:val="0"/>
        <w:spacing w:before="240" w:after="240"/>
        <w:ind w:left="0"/>
        <w:jc w:val="both"/>
        <w:rPr>
          <w:rFonts w:ascii="Bookman Old Style" w:hAnsi="Bookman Old Style"/>
          <w:lang w:val="es-ES_tradnl"/>
        </w:rPr>
      </w:pPr>
      <w:r>
        <w:rPr>
          <w:rFonts w:ascii="Bookman Old Style" w:hAnsi="Bookman Old Style"/>
        </w:rPr>
        <w:t xml:space="preserve">Mediante Resolución CREG 018 de 2018 se </w:t>
      </w:r>
      <w:r w:rsidRPr="00E1202C">
        <w:rPr>
          <w:rFonts w:ascii="Bookman Old Style" w:hAnsi="Bookman Old Style"/>
        </w:rPr>
        <w:t>resolvió el recurso de reposición interpuesto por la empresa GASES DEL CARIBE S.A. E.S.P. contra la Resolución CREG 198 de 2017</w:t>
      </w:r>
      <w:r w:rsidR="00210647">
        <w:rPr>
          <w:rFonts w:ascii="Bookman Old Style" w:hAnsi="Bookman Old Style"/>
        </w:rPr>
        <w:t xml:space="preserve"> y se modificó</w:t>
      </w:r>
      <w:r w:rsidR="002D45E2">
        <w:rPr>
          <w:rFonts w:ascii="Bookman Old Style" w:hAnsi="Bookman Old Style"/>
        </w:rPr>
        <w:t xml:space="preserve"> la Inversión Base aprobada </w:t>
      </w:r>
      <w:r w:rsidR="002D45E2" w:rsidRPr="00153AF2">
        <w:rPr>
          <w:rFonts w:ascii="Bookman Old Style" w:hAnsi="Bookman Old Style"/>
        </w:rPr>
        <w:t xml:space="preserve">para </w:t>
      </w:r>
      <w:r w:rsidR="007E705A">
        <w:rPr>
          <w:rFonts w:ascii="Bookman Old Style" w:hAnsi="Bookman Old Style"/>
        </w:rPr>
        <w:t xml:space="preserve">esta empresa, pasando de $371.834.364.155 a </w:t>
      </w:r>
      <w:r w:rsidR="007E705A" w:rsidRPr="00AB588A">
        <w:rPr>
          <w:rFonts w:ascii="Bookman Old Style" w:hAnsi="Bookman Old Style"/>
          <w:lang w:val="es-ES_tradnl"/>
        </w:rPr>
        <w:t>$392.769.909.960</w:t>
      </w:r>
      <w:r w:rsidR="007E705A">
        <w:rPr>
          <w:rFonts w:ascii="Bookman Old Style" w:hAnsi="Bookman Old Style"/>
          <w:lang w:val="es-ES_tradnl"/>
        </w:rPr>
        <w:t xml:space="preserve"> (pesos de diciembre de 2014). </w:t>
      </w:r>
      <w:r w:rsidR="00615B67">
        <w:rPr>
          <w:rFonts w:ascii="Bookman Old Style" w:hAnsi="Bookman Old Style"/>
          <w:lang w:val="es-ES_tradnl"/>
        </w:rPr>
        <w:t>La Inversión Base aprobada para la empresa PROMIGAS S.A. E.S.P. no se modific</w:t>
      </w:r>
      <w:r w:rsidR="00011115">
        <w:rPr>
          <w:rFonts w:ascii="Bookman Old Style" w:hAnsi="Bookman Old Style"/>
          <w:lang w:val="es-ES_tradnl"/>
        </w:rPr>
        <w:t>ó</w:t>
      </w:r>
      <w:r w:rsidR="00615B67">
        <w:rPr>
          <w:rFonts w:ascii="Bookman Old Style" w:hAnsi="Bookman Old Style"/>
          <w:lang w:val="es-ES_tradnl"/>
        </w:rPr>
        <w:t>.</w:t>
      </w:r>
    </w:p>
    <w:p w:rsidR="00E1202C" w:rsidRDefault="007E705A" w:rsidP="00153AF2">
      <w:pPr>
        <w:adjustRightInd w:val="0"/>
        <w:spacing w:before="240" w:after="240"/>
        <w:ind w:left="0"/>
        <w:jc w:val="both"/>
        <w:rPr>
          <w:rFonts w:ascii="Bookman Old Style" w:hAnsi="Bookman Old Style"/>
        </w:rPr>
      </w:pPr>
      <w:r>
        <w:rPr>
          <w:rFonts w:ascii="Bookman Old Style" w:hAnsi="Bookman Old Style"/>
          <w:lang w:val="es-ES_tradnl"/>
        </w:rPr>
        <w:t xml:space="preserve">Lo anterior, implica un cambio en la Base Regulatoria de Activos aprobada para </w:t>
      </w:r>
      <w:r w:rsidR="002D45E2" w:rsidRPr="00153AF2">
        <w:rPr>
          <w:rFonts w:ascii="Bookman Old Style" w:hAnsi="Bookman Old Style"/>
        </w:rPr>
        <w:t>el mercado relevante conformado por municipios de los departamentos de Atlántico, Magdalena, Cesar y Bolívar</w:t>
      </w:r>
      <w:r w:rsidR="00210647">
        <w:rPr>
          <w:rFonts w:ascii="Bookman Old Style" w:hAnsi="Bookman Old Style"/>
        </w:rPr>
        <w:t>, pasando</w:t>
      </w:r>
      <w:r w:rsidR="002D45E2">
        <w:rPr>
          <w:rFonts w:ascii="Bookman Old Style" w:hAnsi="Bookman Old Style"/>
        </w:rPr>
        <w:t xml:space="preserve"> de </w:t>
      </w:r>
      <w:r w:rsidR="002D45E2">
        <w:rPr>
          <w:rFonts w:ascii="Bookman Old Style" w:hAnsi="Bookman Old Style"/>
          <w:lang w:val="es-ES_tradnl"/>
        </w:rPr>
        <w:t>$</w:t>
      </w:r>
      <w:r w:rsidR="002D45E2" w:rsidRPr="00D9689B">
        <w:rPr>
          <w:rFonts w:ascii="Bookman Old Style" w:hAnsi="Bookman Old Style"/>
          <w:lang w:val="es-ES_tradnl"/>
        </w:rPr>
        <w:t>415</w:t>
      </w:r>
      <w:r w:rsidR="002D45E2">
        <w:rPr>
          <w:rFonts w:ascii="Bookman Old Style" w:hAnsi="Bookman Old Style"/>
          <w:lang w:val="es-ES_tradnl"/>
        </w:rPr>
        <w:t>.</w:t>
      </w:r>
      <w:r w:rsidR="002D45E2" w:rsidRPr="00D9689B">
        <w:rPr>
          <w:rFonts w:ascii="Bookman Old Style" w:hAnsi="Bookman Old Style"/>
          <w:lang w:val="es-ES_tradnl"/>
        </w:rPr>
        <w:t>215</w:t>
      </w:r>
      <w:r w:rsidR="002D45E2">
        <w:rPr>
          <w:rFonts w:ascii="Bookman Old Style" w:hAnsi="Bookman Old Style"/>
          <w:lang w:val="es-ES_tradnl"/>
        </w:rPr>
        <w:t>.</w:t>
      </w:r>
      <w:r w:rsidR="002D45E2" w:rsidRPr="00D9689B">
        <w:rPr>
          <w:rFonts w:ascii="Bookman Old Style" w:hAnsi="Bookman Old Style"/>
          <w:lang w:val="es-ES_tradnl"/>
        </w:rPr>
        <w:t>212</w:t>
      </w:r>
      <w:r w:rsidR="002D45E2">
        <w:rPr>
          <w:rFonts w:ascii="Bookman Old Style" w:hAnsi="Bookman Old Style"/>
          <w:lang w:val="es-ES_tradnl"/>
        </w:rPr>
        <w:t>.</w:t>
      </w:r>
      <w:r w:rsidR="002D45E2" w:rsidRPr="00D9689B">
        <w:rPr>
          <w:rFonts w:ascii="Bookman Old Style" w:hAnsi="Bookman Old Style"/>
          <w:lang w:val="es-ES_tradnl"/>
        </w:rPr>
        <w:t>026</w:t>
      </w:r>
      <w:r w:rsidR="002D45E2">
        <w:rPr>
          <w:rFonts w:ascii="Bookman Old Style" w:hAnsi="Bookman Old Style"/>
          <w:lang w:val="es-ES_tradnl"/>
        </w:rPr>
        <w:t xml:space="preserve"> a $436.150.757.831 (pesos de 31 de diciembre de 2014).</w:t>
      </w:r>
      <w:r w:rsidR="00615B67">
        <w:rPr>
          <w:rFonts w:ascii="Bookman Old Style" w:hAnsi="Bookman Old Style"/>
          <w:lang w:val="es-ES_tradnl"/>
        </w:rPr>
        <w:t xml:space="preserve"> </w:t>
      </w:r>
    </w:p>
    <w:p w:rsidR="009F55C9" w:rsidRDefault="0076595E" w:rsidP="009F55C9">
      <w:pPr>
        <w:adjustRightInd w:val="0"/>
        <w:spacing w:before="240" w:after="240"/>
        <w:ind w:left="0"/>
        <w:jc w:val="both"/>
        <w:rPr>
          <w:rFonts w:ascii="Bookman Old Style" w:hAnsi="Bookman Old Style"/>
        </w:rPr>
      </w:pPr>
      <w:r>
        <w:rPr>
          <w:rFonts w:ascii="Bookman Old Style" w:hAnsi="Bookman Old Style"/>
        </w:rPr>
        <w:t xml:space="preserve">Mediante comunicación CREG E-2019-009430 del 4 de septiembre de 2019, la empresa PROMIGAS S.A. E.S.P. </w:t>
      </w:r>
      <w:r w:rsidR="009F55C9">
        <w:rPr>
          <w:rFonts w:ascii="Bookman Old Style" w:hAnsi="Bookman Old Style"/>
        </w:rPr>
        <w:t>señala que:</w:t>
      </w:r>
    </w:p>
    <w:p w:rsidR="009F55C9" w:rsidRPr="009F55C9" w:rsidRDefault="009F55C9" w:rsidP="00011115">
      <w:pPr>
        <w:adjustRightInd w:val="0"/>
        <w:spacing w:before="240" w:after="240"/>
        <w:ind w:left="426" w:right="425"/>
        <w:jc w:val="both"/>
        <w:rPr>
          <w:rFonts w:ascii="Bookman Old Style" w:hAnsi="Bookman Old Style"/>
          <w:i/>
          <w:sz w:val="22"/>
          <w:szCs w:val="22"/>
        </w:rPr>
      </w:pPr>
      <w:r w:rsidRPr="009F55C9">
        <w:rPr>
          <w:rFonts w:ascii="Bookman Old Style" w:hAnsi="Bookman Old Style"/>
          <w:i/>
          <w:sz w:val="22"/>
          <w:szCs w:val="22"/>
        </w:rPr>
        <w:t xml:space="preserve">“(…) a través de la Resolución CREG 018 de 2018 la Comisión resolvió el recurso de reposición aprobando el cargo transitorio por uso del sistema de distribución </w:t>
      </w:r>
      <w:r w:rsidRPr="009F55C9">
        <w:rPr>
          <w:rFonts w:ascii="Bookman Old Style" w:hAnsi="Bookman Old Style"/>
          <w:i/>
          <w:sz w:val="22"/>
          <w:szCs w:val="22"/>
        </w:rPr>
        <w:lastRenderedPageBreak/>
        <w:t>de gas combustible por redes de tubería para el mercado mencionado [</w:t>
      </w:r>
      <w:r w:rsidRPr="009F55C9">
        <w:rPr>
          <w:rFonts w:ascii="Bookman Old Style" w:hAnsi="Bookman Old Style" w:cs="Arial"/>
          <w:i/>
          <w:sz w:val="22"/>
          <w:szCs w:val="22"/>
        </w:rPr>
        <w:t>mercado relevante conformado por municipios de los departamentos del Atlántico, Magdalena, Cesar y Bolívar</w:t>
      </w:r>
      <w:r w:rsidRPr="009F55C9">
        <w:rPr>
          <w:rFonts w:ascii="Bookman Old Style" w:hAnsi="Bookman Old Style"/>
          <w:i/>
          <w:sz w:val="22"/>
          <w:szCs w:val="22"/>
        </w:rPr>
        <w:t xml:space="preserve">], según la solicitud tarifaria presentada por Gases del Caribe S.A. E.S.P. y Promigas S.A. E.S.P. </w:t>
      </w:r>
    </w:p>
    <w:p w:rsidR="009F55C9" w:rsidRPr="009F55C9" w:rsidRDefault="009F55C9" w:rsidP="00011115">
      <w:pPr>
        <w:adjustRightInd w:val="0"/>
        <w:spacing w:before="240" w:after="240"/>
        <w:ind w:left="426" w:right="425"/>
        <w:jc w:val="both"/>
        <w:rPr>
          <w:rFonts w:ascii="Bookman Old Style" w:hAnsi="Bookman Old Style"/>
          <w:i/>
          <w:sz w:val="22"/>
          <w:szCs w:val="22"/>
        </w:rPr>
      </w:pPr>
      <w:r w:rsidRPr="009F55C9">
        <w:rPr>
          <w:rFonts w:ascii="Bookman Old Style" w:hAnsi="Bookman Old Style"/>
          <w:i/>
          <w:sz w:val="22"/>
          <w:szCs w:val="22"/>
        </w:rPr>
        <w:t>Para el efecto, la Comisión evaluó los AOM correspondientes reportadas (</w:t>
      </w:r>
      <w:r>
        <w:rPr>
          <w:rFonts w:ascii="Bookman Old Style" w:hAnsi="Bookman Old Style"/>
          <w:i/>
          <w:sz w:val="22"/>
          <w:szCs w:val="22"/>
        </w:rPr>
        <w:t>s</w:t>
      </w:r>
      <w:r w:rsidRPr="009F55C9">
        <w:rPr>
          <w:rFonts w:ascii="Bookman Old Style" w:hAnsi="Bookman Old Style"/>
          <w:i/>
          <w:sz w:val="22"/>
          <w:szCs w:val="22"/>
        </w:rPr>
        <w:t>ic) por las empresas conforme a la metodología tarifaria establecida en la Resolución CREG 202 de 2013 y CREG 066 de 2017.</w:t>
      </w:r>
    </w:p>
    <w:p w:rsidR="009F55C9" w:rsidRPr="009F55C9" w:rsidRDefault="009F55C9" w:rsidP="00011115">
      <w:pPr>
        <w:adjustRightInd w:val="0"/>
        <w:spacing w:before="240" w:after="240"/>
        <w:ind w:left="426" w:right="425"/>
        <w:jc w:val="both"/>
        <w:rPr>
          <w:rFonts w:ascii="Bookman Old Style" w:hAnsi="Bookman Old Style"/>
          <w:i/>
          <w:sz w:val="22"/>
          <w:szCs w:val="22"/>
        </w:rPr>
      </w:pPr>
      <w:r w:rsidRPr="009F55C9">
        <w:rPr>
          <w:rFonts w:ascii="Bookman Old Style" w:hAnsi="Bookman Old Style"/>
          <w:i/>
          <w:sz w:val="22"/>
          <w:szCs w:val="22"/>
        </w:rPr>
        <w:t>De acuerdo con la información reportada, la CREG reconoció unos valores y aprobó los cargos Dt AOM Residencial y Dt AOM No Residencial, sin embargo, la resolución no establece los valores reconocidos que le corresponde (Sic) a cada compañía. Teniendo en cuenta que el reconocimiento de AOM va en función de la inversión y esta fue actualizada en dicha resolución CREG 018 de 2018, necesitamos corroborar los datos de los valores reconocidos por la Comisión respecto de los mencionados cargos.</w:t>
      </w:r>
    </w:p>
    <w:p w:rsidR="0076595E" w:rsidRPr="009F55C9" w:rsidRDefault="009F55C9" w:rsidP="00011115">
      <w:pPr>
        <w:adjustRightInd w:val="0"/>
        <w:spacing w:before="240" w:after="240"/>
        <w:ind w:left="426" w:right="425"/>
        <w:jc w:val="both"/>
        <w:rPr>
          <w:rFonts w:ascii="Bookman Old Style" w:hAnsi="Bookman Old Style"/>
          <w:i/>
          <w:sz w:val="22"/>
          <w:szCs w:val="22"/>
        </w:rPr>
      </w:pPr>
      <w:r w:rsidRPr="009F55C9">
        <w:rPr>
          <w:rFonts w:ascii="Bookman Old Style" w:hAnsi="Bookman Old Style"/>
          <w:i/>
          <w:sz w:val="22"/>
          <w:szCs w:val="22"/>
        </w:rPr>
        <w:t>De acuerdo con lo expuesto, respetuosamente nos permitimos solicitar su colaboración con el fin de que sea aclarado el porcentaje y los valores correspondientes a cada una de las Compañías respecto de los AOM reconocidos por la Comisión a través de la Resolución CREG 018 de 2018."</w:t>
      </w:r>
    </w:p>
    <w:p w:rsidR="0076595E" w:rsidRPr="0083182E" w:rsidRDefault="00011115" w:rsidP="009F55C9">
      <w:pPr>
        <w:adjustRightInd w:val="0"/>
        <w:spacing w:before="240" w:after="240"/>
        <w:ind w:left="0"/>
        <w:jc w:val="both"/>
        <w:rPr>
          <w:rFonts w:ascii="Bookman Old Style" w:hAnsi="Bookman Old Style"/>
        </w:rPr>
      </w:pPr>
      <w:r>
        <w:rPr>
          <w:rFonts w:ascii="Bookman Old Style" w:hAnsi="Bookman Old Style"/>
        </w:rPr>
        <w:t xml:space="preserve">Al analizar </w:t>
      </w:r>
      <w:r w:rsidR="009F55C9">
        <w:rPr>
          <w:rFonts w:ascii="Bookman Old Style" w:hAnsi="Bookman Old Style"/>
        </w:rPr>
        <w:t>la comunicación E-2019-009430 de la empresa PROMIGAS S.A. E.S.P</w:t>
      </w:r>
      <w:r w:rsidR="009F55C9" w:rsidRPr="009F55C9">
        <w:rPr>
          <w:rFonts w:ascii="Bookman Old Style" w:hAnsi="Bookman Old Style"/>
        </w:rPr>
        <w:t xml:space="preserve">., </w:t>
      </w:r>
      <w:r w:rsidR="0076595E" w:rsidRPr="0083182E">
        <w:rPr>
          <w:rFonts w:ascii="Bookman Old Style" w:hAnsi="Bookman Old Style"/>
        </w:rPr>
        <w:t xml:space="preserve">la Comisión identificó que </w:t>
      </w:r>
      <w:r w:rsidR="009F55C9" w:rsidRPr="0083182E">
        <w:rPr>
          <w:rFonts w:ascii="Bookman Old Style" w:hAnsi="Bookman Old Style"/>
        </w:rPr>
        <w:t xml:space="preserve">el porcentaje eficiente de AOM establecido </w:t>
      </w:r>
      <w:r w:rsidR="0083182E" w:rsidRPr="0083182E">
        <w:rPr>
          <w:rFonts w:ascii="Bookman Old Style" w:hAnsi="Bookman Old Style"/>
        </w:rPr>
        <w:t>mediante el Artículo 2 de la Resolución CREG 018 de 2018, que modifica el Artículo 4 de la Resolución CREG 198 de 2017</w:t>
      </w:r>
      <w:r w:rsidR="00A1406E">
        <w:rPr>
          <w:rFonts w:ascii="Bookman Old Style" w:hAnsi="Bookman Old Style"/>
        </w:rPr>
        <w:t>,</w:t>
      </w:r>
      <w:r w:rsidR="0083182E" w:rsidRPr="0083182E">
        <w:rPr>
          <w:rFonts w:ascii="Bookman Old Style" w:hAnsi="Bookman Old Style"/>
        </w:rPr>
        <w:t xml:space="preserve"> no era consistente con los valores de gastos de AOM y de Base Regulatoria de Activos aprobados.</w:t>
      </w:r>
    </w:p>
    <w:p w:rsidR="001E0575" w:rsidRPr="00D108AC" w:rsidRDefault="002D45E2" w:rsidP="00D108AC">
      <w:pPr>
        <w:pStyle w:val="Textoindependiente"/>
        <w:ind w:left="0"/>
        <w:jc w:val="both"/>
        <w:rPr>
          <w:rFonts w:ascii="Bookman Old Style" w:hAnsi="Bookman Old Style" w:cs="Times New Roman"/>
          <w:b w:val="0"/>
          <w:bCs w:val="0"/>
        </w:rPr>
      </w:pPr>
      <w:r>
        <w:rPr>
          <w:rFonts w:ascii="Bookman Old Style" w:hAnsi="Bookman Old Style" w:cs="Times New Roman"/>
          <w:b w:val="0"/>
          <w:bCs w:val="0"/>
        </w:rPr>
        <w:t>E</w:t>
      </w:r>
      <w:r w:rsidR="001E0575" w:rsidRPr="00D108AC">
        <w:rPr>
          <w:rFonts w:ascii="Bookman Old Style" w:hAnsi="Bookman Old Style" w:cs="Times New Roman"/>
          <w:b w:val="0"/>
          <w:bCs w:val="0"/>
        </w:rPr>
        <w:t xml:space="preserve">n el Numeral 7.2 de la parte considerativa de la </w:t>
      </w:r>
      <w:r w:rsidR="00A36CB0">
        <w:rPr>
          <w:rFonts w:ascii="Bookman Old Style" w:hAnsi="Bookman Old Style" w:cs="Times New Roman"/>
          <w:b w:val="0"/>
          <w:bCs w:val="0"/>
        </w:rPr>
        <w:t>R</w:t>
      </w:r>
      <w:r w:rsidR="001E0575" w:rsidRPr="00D108AC">
        <w:rPr>
          <w:rFonts w:ascii="Bookman Old Style" w:hAnsi="Bookman Old Style" w:cs="Times New Roman"/>
          <w:b w:val="0"/>
          <w:bCs w:val="0"/>
        </w:rPr>
        <w:t>esolución</w:t>
      </w:r>
      <w:r w:rsidR="00A36CB0">
        <w:rPr>
          <w:rFonts w:ascii="Bookman Old Style" w:hAnsi="Bookman Old Style" w:cs="Times New Roman"/>
          <w:b w:val="0"/>
          <w:bCs w:val="0"/>
        </w:rPr>
        <w:t xml:space="preserve"> CREG 198 de 2017</w:t>
      </w:r>
      <w:r w:rsidR="001E0575" w:rsidRPr="00D108AC">
        <w:rPr>
          <w:rFonts w:ascii="Bookman Old Style" w:hAnsi="Bookman Old Style" w:cs="Times New Roman"/>
          <w:b w:val="0"/>
          <w:bCs w:val="0"/>
        </w:rPr>
        <w:t>, en el que se presenta el análisis efectuado por la Comisión de la solicitud tarifaria formulada por las empresas GASES DEL CARIBE S.A. E.S.P. y PROMIGAS S.A. E.S.P. respecto a los “Gastos de administración, operación y mantenimiento – AOM”, expresamente se indica lo siguiente:</w:t>
      </w:r>
    </w:p>
    <w:p w:rsidR="001E0575" w:rsidRDefault="001E0575" w:rsidP="001E0575">
      <w:pPr>
        <w:pStyle w:val="Textoindependiente"/>
        <w:rPr>
          <w:lang w:val="es-ES_tradnl"/>
        </w:rPr>
      </w:pPr>
    </w:p>
    <w:p w:rsidR="001E0575" w:rsidRPr="00D108AC" w:rsidRDefault="001E0575" w:rsidP="00011115">
      <w:pPr>
        <w:ind w:left="426" w:right="425"/>
        <w:jc w:val="both"/>
        <w:rPr>
          <w:rFonts w:ascii="Bookman Old Style" w:hAnsi="Bookman Old Style" w:cs="Arial"/>
          <w:i/>
          <w:sz w:val="22"/>
          <w:szCs w:val="22"/>
          <w:lang w:val="es-CO" w:eastAsia="es-CO"/>
        </w:rPr>
      </w:pPr>
      <w:r w:rsidRPr="00D108AC">
        <w:rPr>
          <w:rFonts w:ascii="Bookman Old Style" w:hAnsi="Bookman Old Style" w:cs="Arial"/>
          <w:i/>
          <w:sz w:val="22"/>
          <w:szCs w:val="22"/>
          <w:shd w:val="clear" w:color="auto" w:fill="FFFFFF"/>
          <w:lang w:val="es-CO" w:eastAsia="es-CO"/>
        </w:rPr>
        <w:t>“De acuerdo con lo establecido anteriormente, dado que en el mercado relevante de distribución para el siguiente periodo tarifario hay dos distribuidores prestando el servicio, se suma el AOM anual eficiente de cada una de las empresas para el mercado.</w:t>
      </w:r>
    </w:p>
    <w:p w:rsidR="001E0575" w:rsidRPr="00D108AC" w:rsidRDefault="001E0575" w:rsidP="00011115">
      <w:pPr>
        <w:shd w:val="clear" w:color="auto" w:fill="FFFFFF"/>
        <w:spacing w:before="100" w:beforeAutospacing="1" w:after="100" w:afterAutospacing="1"/>
        <w:ind w:left="426" w:right="425"/>
        <w:jc w:val="both"/>
        <w:rPr>
          <w:rFonts w:ascii="Bookman Old Style" w:hAnsi="Bookman Old Style" w:cs="Arial"/>
          <w:i/>
          <w:sz w:val="22"/>
          <w:szCs w:val="22"/>
          <w:u w:val="single"/>
          <w:lang w:val="es-CO" w:eastAsia="es-CO"/>
        </w:rPr>
      </w:pPr>
      <w:r w:rsidRPr="00D108AC">
        <w:rPr>
          <w:rFonts w:ascii="Bookman Old Style" w:hAnsi="Bookman Old Style" w:cs="Arial"/>
          <w:i/>
          <w:sz w:val="22"/>
          <w:szCs w:val="22"/>
          <w:u w:val="single"/>
          <w:lang w:val="es-CO" w:eastAsia="es-CO"/>
        </w:rPr>
        <w:t>El porcentaje eficiente de AOM establecido para la empresa GASES DEL CARIBE S.A. E.S.P. para el mercado existente de distribución es del 10,80%, del cual se obtiene el monto eficiente de gastos de AOM de $ 40.146.120.875.</w:t>
      </w:r>
    </w:p>
    <w:p w:rsidR="001E0575" w:rsidRPr="00D108AC" w:rsidRDefault="001E0575" w:rsidP="00011115">
      <w:pPr>
        <w:shd w:val="clear" w:color="auto" w:fill="FFFFFF"/>
        <w:spacing w:before="100" w:beforeAutospacing="1" w:after="100" w:afterAutospacing="1"/>
        <w:ind w:left="426" w:right="425"/>
        <w:jc w:val="both"/>
        <w:rPr>
          <w:rFonts w:ascii="Bookman Old Style" w:hAnsi="Bookman Old Style" w:cs="Arial"/>
          <w:i/>
          <w:sz w:val="22"/>
          <w:szCs w:val="22"/>
          <w:u w:val="single"/>
          <w:lang w:val="es-CO" w:eastAsia="es-CO"/>
        </w:rPr>
      </w:pPr>
      <w:r w:rsidRPr="00D108AC">
        <w:rPr>
          <w:rFonts w:ascii="Bookman Old Style" w:hAnsi="Bookman Old Style" w:cs="Arial"/>
          <w:i/>
          <w:sz w:val="22"/>
          <w:szCs w:val="22"/>
          <w:u w:val="single"/>
          <w:lang w:val="es-CO" w:eastAsia="es-CO"/>
        </w:rPr>
        <w:t>El porcentaje eficiente de AOM establecido para la empresa PROMIGAS S.A. E.S.P. para el mercado existente de distribución es del 21,41%, del cual se obtiene un monto eficiente de gastos de AOM de $9.287.319.054.</w:t>
      </w:r>
    </w:p>
    <w:p w:rsidR="001E0575" w:rsidRPr="00D108AC" w:rsidRDefault="001E0575" w:rsidP="00011115">
      <w:pPr>
        <w:shd w:val="clear" w:color="auto" w:fill="FFFFFF"/>
        <w:spacing w:before="100" w:beforeAutospacing="1" w:after="100" w:afterAutospacing="1"/>
        <w:ind w:left="426" w:right="425"/>
        <w:jc w:val="both"/>
        <w:rPr>
          <w:rFonts w:ascii="Bookman Old Style" w:hAnsi="Bookman Old Style" w:cs="Arial"/>
          <w:i/>
          <w:sz w:val="22"/>
          <w:szCs w:val="22"/>
          <w:lang w:val="es-CO" w:eastAsia="es-CO"/>
        </w:rPr>
      </w:pPr>
      <w:r w:rsidRPr="00D108AC">
        <w:rPr>
          <w:rFonts w:ascii="Bookman Old Style" w:hAnsi="Bookman Old Style" w:cs="Arial"/>
          <w:i/>
          <w:sz w:val="22"/>
          <w:szCs w:val="22"/>
          <w:lang w:val="es-CO" w:eastAsia="es-CO"/>
        </w:rPr>
        <w:t>La suma de los anteriores AOM eficientes se considerará en los cálculos de los carg</w:t>
      </w:r>
      <w:r w:rsidR="00804B77">
        <w:rPr>
          <w:rFonts w:ascii="Bookman Old Style" w:hAnsi="Bookman Old Style" w:cs="Arial"/>
          <w:i/>
          <w:sz w:val="22"/>
          <w:szCs w:val="22"/>
          <w:lang w:val="es-CO" w:eastAsia="es-CO"/>
        </w:rPr>
        <w:t>os transitorios de distribución</w:t>
      </w:r>
      <w:r w:rsidRPr="00D108AC">
        <w:rPr>
          <w:rFonts w:ascii="Bookman Old Style" w:hAnsi="Bookman Old Style" w:cs="Arial"/>
          <w:i/>
          <w:sz w:val="22"/>
          <w:szCs w:val="22"/>
          <w:lang w:val="es-CO" w:eastAsia="es-CO"/>
        </w:rPr>
        <w:t xml:space="preserve">” </w:t>
      </w:r>
      <w:r w:rsidRPr="00AB588A">
        <w:rPr>
          <w:rFonts w:ascii="Bookman Old Style" w:hAnsi="Bookman Old Style" w:cs="Arial"/>
          <w:sz w:val="16"/>
          <w:szCs w:val="16"/>
          <w:lang w:val="es-CO" w:eastAsia="es-CO"/>
        </w:rPr>
        <w:t>(Subraya fuera de texto)</w:t>
      </w:r>
      <w:r w:rsidRPr="00D108AC">
        <w:rPr>
          <w:rFonts w:ascii="Bookman Old Style" w:hAnsi="Bookman Old Style" w:cs="Arial"/>
          <w:i/>
          <w:sz w:val="22"/>
          <w:szCs w:val="22"/>
          <w:lang w:val="es-CO" w:eastAsia="es-CO"/>
        </w:rPr>
        <w:t>.</w:t>
      </w:r>
    </w:p>
    <w:p w:rsidR="002D45E2" w:rsidRPr="00477FE7" w:rsidRDefault="002D45E2" w:rsidP="002D45E2">
      <w:pPr>
        <w:adjustRightInd w:val="0"/>
        <w:spacing w:before="240" w:after="240"/>
        <w:ind w:left="0"/>
        <w:jc w:val="both"/>
        <w:rPr>
          <w:rFonts w:ascii="Bookman Old Style" w:hAnsi="Bookman Old Style"/>
        </w:rPr>
      </w:pPr>
      <w:r>
        <w:rPr>
          <w:rFonts w:ascii="Bookman Old Style" w:hAnsi="Bookman Old Style"/>
        </w:rPr>
        <w:t>Los porcentajes eficientes de AOM para cada una de las empresas, así como los montos eficientes de gastos de AOM indicados anteriormente,</w:t>
      </w:r>
      <w:r w:rsidRPr="002D45E2">
        <w:rPr>
          <w:rFonts w:ascii="Bookman Old Style" w:hAnsi="Bookman Old Style"/>
          <w:bCs/>
        </w:rPr>
        <w:t xml:space="preserve"> se determinaron d</w:t>
      </w:r>
      <w:r w:rsidRPr="002D45E2">
        <w:rPr>
          <w:rFonts w:ascii="Bookman Old Style" w:hAnsi="Bookman Old Style"/>
        </w:rPr>
        <w:t>e acuerdo con el procedimi</w:t>
      </w:r>
      <w:r>
        <w:rPr>
          <w:rFonts w:ascii="Bookman Old Style" w:hAnsi="Bookman Old Style"/>
        </w:rPr>
        <w:t xml:space="preserve">ento establecido en </w:t>
      </w:r>
      <w:r w:rsidRPr="002D45E2">
        <w:rPr>
          <w:rFonts w:ascii="Bookman Old Style" w:hAnsi="Bookman Old Style"/>
        </w:rPr>
        <w:t xml:space="preserve">el </w:t>
      </w:r>
      <w:r w:rsidRPr="002D45E2">
        <w:rPr>
          <w:rFonts w:ascii="Bookman Old Style" w:hAnsi="Bookman Old Style"/>
          <w:bCs/>
        </w:rPr>
        <w:t>Numeral 7.2 de la parte considerativa de la Resolución CREG 198 de 2017</w:t>
      </w:r>
      <w:r>
        <w:rPr>
          <w:rFonts w:ascii="Bookman Old Style" w:hAnsi="Bookman Old Style"/>
          <w:bCs/>
        </w:rPr>
        <w:t>.</w:t>
      </w:r>
    </w:p>
    <w:p w:rsidR="002D45E2" w:rsidRDefault="00AF00A7" w:rsidP="002D45E2">
      <w:pPr>
        <w:adjustRightInd w:val="0"/>
        <w:spacing w:before="240" w:after="240"/>
        <w:ind w:left="0"/>
        <w:jc w:val="both"/>
        <w:rPr>
          <w:rFonts w:ascii="Bookman Old Style" w:hAnsi="Bookman Old Style"/>
        </w:rPr>
      </w:pPr>
      <w:r>
        <w:rPr>
          <w:rFonts w:ascii="Bookman Old Style" w:hAnsi="Bookman Old Style"/>
        </w:rPr>
        <w:lastRenderedPageBreak/>
        <w:t xml:space="preserve">En concordancia con lo dispuesto en el Numeral 7.2 de la precitada resolución, </w:t>
      </w:r>
      <w:r w:rsidR="002D45E2">
        <w:rPr>
          <w:rFonts w:ascii="Bookman Old Style" w:hAnsi="Bookman Old Style"/>
        </w:rPr>
        <w:t>en el Artículo 4 de dicha resolución se dispone lo siguiente:</w:t>
      </w:r>
    </w:p>
    <w:p w:rsidR="002D45E2" w:rsidRPr="001E0575" w:rsidRDefault="002D45E2" w:rsidP="00011115">
      <w:pPr>
        <w:pStyle w:val="Textoindependiente"/>
        <w:ind w:left="426" w:right="425"/>
        <w:jc w:val="both"/>
        <w:rPr>
          <w:rFonts w:ascii="Bookman Old Style" w:hAnsi="Bookman Old Style"/>
          <w:b w:val="0"/>
          <w:i/>
          <w:sz w:val="22"/>
          <w:szCs w:val="22"/>
          <w:lang w:val="es-ES_tradnl"/>
        </w:rPr>
      </w:pPr>
      <w:r w:rsidRPr="001E0575">
        <w:rPr>
          <w:rFonts w:ascii="Bookman Old Style" w:hAnsi="Bookman Old Style"/>
          <w:b w:val="0"/>
          <w:bCs w:val="0"/>
          <w:i/>
          <w:sz w:val="22"/>
          <w:szCs w:val="22"/>
          <w:shd w:val="clear" w:color="auto" w:fill="FFFFFF"/>
        </w:rPr>
        <w:t>“</w:t>
      </w:r>
      <w:r w:rsidRPr="001E0575">
        <w:rPr>
          <w:rFonts w:ascii="Bookman Old Style" w:hAnsi="Bookman Old Style"/>
          <w:bCs w:val="0"/>
          <w:i/>
          <w:sz w:val="22"/>
          <w:szCs w:val="22"/>
          <w:shd w:val="clear" w:color="auto" w:fill="FFFFFF"/>
        </w:rPr>
        <w:t>ARTÍCULO 4. Gastos de Administración, Operación y Mantenimiento - AOM.</w:t>
      </w:r>
      <w:r w:rsidRPr="001E0575">
        <w:rPr>
          <w:rFonts w:ascii="Bookman Old Style" w:hAnsi="Bookman Old Style"/>
          <w:i/>
          <w:sz w:val="22"/>
          <w:szCs w:val="22"/>
          <w:shd w:val="clear" w:color="auto" w:fill="FFFFFF"/>
        </w:rPr>
        <w:t> </w:t>
      </w:r>
      <w:r w:rsidRPr="001E0575">
        <w:rPr>
          <w:rFonts w:ascii="Bookman Old Style" w:hAnsi="Bookman Old Style"/>
          <w:b w:val="0"/>
          <w:i/>
          <w:sz w:val="22"/>
          <w:szCs w:val="22"/>
          <w:shd w:val="clear" w:color="auto" w:fill="FFFFFF"/>
        </w:rPr>
        <w:t xml:space="preserve">El porcentaje eficiente de AOM establecido para el mercado existente de distribución es del 11,91%, del cual se obtiene </w:t>
      </w:r>
      <w:r w:rsidRPr="001E0575">
        <w:rPr>
          <w:rFonts w:ascii="Bookman Old Style" w:hAnsi="Bookman Old Style"/>
          <w:b w:val="0"/>
          <w:i/>
          <w:sz w:val="22"/>
          <w:szCs w:val="22"/>
          <w:u w:val="single"/>
          <w:shd w:val="clear" w:color="auto" w:fill="FFFFFF"/>
        </w:rPr>
        <w:t>el monto eficiente de gastos de AOM de $49.433.439.929 que se considerará en los cálculos de los cargos transitorios de distribución</w:t>
      </w:r>
      <w:r w:rsidRPr="001E0575">
        <w:rPr>
          <w:rFonts w:ascii="Bookman Old Style" w:hAnsi="Bookman Old Style"/>
          <w:b w:val="0"/>
          <w:i/>
          <w:sz w:val="22"/>
          <w:szCs w:val="22"/>
          <w:shd w:val="clear" w:color="auto" w:fill="FFFFFF"/>
        </w:rPr>
        <w:t>”</w:t>
      </w:r>
      <w:r w:rsidRPr="001E0575">
        <w:rPr>
          <w:rFonts w:ascii="Bookman Old Style" w:hAnsi="Bookman Old Style"/>
          <w:b w:val="0"/>
          <w:sz w:val="22"/>
          <w:szCs w:val="22"/>
          <w:shd w:val="clear" w:color="auto" w:fill="FFFFFF"/>
        </w:rPr>
        <w:t xml:space="preserve"> (Subraya fuera de texto)</w:t>
      </w:r>
      <w:r w:rsidRPr="001E0575">
        <w:rPr>
          <w:rFonts w:ascii="Bookman Old Style" w:hAnsi="Bookman Old Style"/>
          <w:b w:val="0"/>
          <w:i/>
          <w:sz w:val="22"/>
          <w:szCs w:val="22"/>
          <w:shd w:val="clear" w:color="auto" w:fill="FFFFFF"/>
        </w:rPr>
        <w:t>.</w:t>
      </w:r>
    </w:p>
    <w:p w:rsidR="00895717" w:rsidRDefault="00BF2700" w:rsidP="00BF2700">
      <w:pPr>
        <w:adjustRightInd w:val="0"/>
        <w:spacing w:before="240" w:after="240"/>
        <w:ind w:left="0"/>
        <w:jc w:val="both"/>
        <w:rPr>
          <w:rFonts w:ascii="Bookman Old Style" w:hAnsi="Bookman Old Style" w:cs="Arial"/>
          <w:shd w:val="clear" w:color="auto" w:fill="FFFFFF"/>
        </w:rPr>
      </w:pPr>
      <w:r w:rsidRPr="00BF2700">
        <w:rPr>
          <w:rFonts w:ascii="Bookman Old Style" w:hAnsi="Bookman Old Style"/>
        </w:rPr>
        <w:t xml:space="preserve">El porcentaje eficiente de AOM </w:t>
      </w:r>
      <w:r w:rsidRPr="00BF2700">
        <w:rPr>
          <w:rFonts w:ascii="Bookman Old Style" w:hAnsi="Bookman Old Style" w:cs="Arial"/>
          <w:shd w:val="clear" w:color="auto" w:fill="FFFFFF"/>
        </w:rPr>
        <w:t>establecido para el mercado existente de distribución, corre</w:t>
      </w:r>
      <w:r w:rsidR="00AF00A7">
        <w:rPr>
          <w:rFonts w:ascii="Bookman Old Style" w:hAnsi="Bookman Old Style" w:cs="Arial"/>
          <w:shd w:val="clear" w:color="auto" w:fill="FFFFFF"/>
        </w:rPr>
        <w:t xml:space="preserve">spondiente a 11,91%, se deriva </w:t>
      </w:r>
      <w:r w:rsidR="00895717">
        <w:rPr>
          <w:rFonts w:ascii="Bookman Old Style" w:hAnsi="Bookman Old Style" w:cs="Arial"/>
          <w:shd w:val="clear" w:color="auto" w:fill="FFFFFF"/>
        </w:rPr>
        <w:t>de ponderar el porcentaje eficiente de AOM establecido para cada una de las empresas por la Base Regulatoria de Activos aprobada para cada empresa.</w:t>
      </w:r>
    </w:p>
    <w:p w:rsidR="00A141D9" w:rsidRPr="00AB588A" w:rsidRDefault="00A141D9" w:rsidP="00C12990">
      <w:pPr>
        <w:adjustRightInd w:val="0"/>
        <w:spacing w:before="240" w:after="240"/>
        <w:ind w:left="0"/>
        <w:jc w:val="both"/>
        <w:rPr>
          <w:rFonts w:ascii="Bookman Old Style" w:hAnsi="Bookman Old Style"/>
        </w:rPr>
      </w:pPr>
      <w:r w:rsidRPr="00AB588A">
        <w:rPr>
          <w:rFonts w:ascii="Bookman Old Style" w:hAnsi="Bookman Old Style"/>
        </w:rPr>
        <w:t>Ahora bien, como se indicó anteriormente, m</w:t>
      </w:r>
      <w:r w:rsidRPr="00C12990">
        <w:rPr>
          <w:rFonts w:ascii="Bookman Old Style" w:hAnsi="Bookman Old Style"/>
        </w:rPr>
        <w:t>ediante Resolución CREG 018 de 2018 se modificó la Inversión Base aprobada para el mercado relevante conformado por municipios de los departamentos de Atlántico, Magdalena, Cesar y Bolívar</w:t>
      </w:r>
      <w:r w:rsidRPr="00AB588A">
        <w:rPr>
          <w:rFonts w:ascii="Bookman Old Style" w:hAnsi="Bookman Old Style"/>
        </w:rPr>
        <w:t xml:space="preserve"> </w:t>
      </w:r>
      <w:r w:rsidR="009523EC">
        <w:rPr>
          <w:rFonts w:ascii="Bookman Old Style" w:hAnsi="Bookman Old Style"/>
        </w:rPr>
        <w:t xml:space="preserve">pasando de </w:t>
      </w:r>
      <w:r w:rsidR="009523EC">
        <w:rPr>
          <w:rFonts w:ascii="Bookman Old Style" w:hAnsi="Bookman Old Style"/>
          <w:lang w:val="es-ES_tradnl"/>
        </w:rPr>
        <w:t>$</w:t>
      </w:r>
      <w:r w:rsidR="009523EC" w:rsidRPr="00D9689B">
        <w:rPr>
          <w:rFonts w:ascii="Bookman Old Style" w:hAnsi="Bookman Old Style"/>
          <w:lang w:val="es-ES_tradnl"/>
        </w:rPr>
        <w:t>415</w:t>
      </w:r>
      <w:r w:rsidR="009523EC">
        <w:rPr>
          <w:rFonts w:ascii="Bookman Old Style" w:hAnsi="Bookman Old Style"/>
          <w:lang w:val="es-ES_tradnl"/>
        </w:rPr>
        <w:t>.</w:t>
      </w:r>
      <w:r w:rsidR="009523EC" w:rsidRPr="00D9689B">
        <w:rPr>
          <w:rFonts w:ascii="Bookman Old Style" w:hAnsi="Bookman Old Style"/>
          <w:lang w:val="es-ES_tradnl"/>
        </w:rPr>
        <w:t>215</w:t>
      </w:r>
      <w:r w:rsidR="009523EC">
        <w:rPr>
          <w:rFonts w:ascii="Bookman Old Style" w:hAnsi="Bookman Old Style"/>
          <w:lang w:val="es-ES_tradnl"/>
        </w:rPr>
        <w:t>.</w:t>
      </w:r>
      <w:r w:rsidR="009523EC" w:rsidRPr="00D9689B">
        <w:rPr>
          <w:rFonts w:ascii="Bookman Old Style" w:hAnsi="Bookman Old Style"/>
          <w:lang w:val="es-ES_tradnl"/>
        </w:rPr>
        <w:t>212</w:t>
      </w:r>
      <w:r w:rsidR="009523EC">
        <w:rPr>
          <w:rFonts w:ascii="Bookman Old Style" w:hAnsi="Bookman Old Style"/>
          <w:lang w:val="es-ES_tradnl"/>
        </w:rPr>
        <w:t>.</w:t>
      </w:r>
      <w:r w:rsidR="009523EC" w:rsidRPr="00D9689B">
        <w:rPr>
          <w:rFonts w:ascii="Bookman Old Style" w:hAnsi="Bookman Old Style"/>
          <w:lang w:val="es-ES_tradnl"/>
        </w:rPr>
        <w:t>026</w:t>
      </w:r>
      <w:r w:rsidR="009523EC">
        <w:rPr>
          <w:rFonts w:ascii="Bookman Old Style" w:hAnsi="Bookman Old Style"/>
          <w:lang w:val="es-ES_tradnl"/>
        </w:rPr>
        <w:t xml:space="preserve"> a $436.150.757.831</w:t>
      </w:r>
      <w:r w:rsidRPr="00AB588A">
        <w:rPr>
          <w:rFonts w:ascii="Bookman Old Style" w:hAnsi="Bookman Old Style"/>
        </w:rPr>
        <w:t xml:space="preserve"> (pesos de 31 de diciembre de 2014)</w:t>
      </w:r>
      <w:r w:rsidR="005649AB" w:rsidRPr="00AB588A">
        <w:rPr>
          <w:rFonts w:ascii="Bookman Old Style" w:hAnsi="Bookman Old Style"/>
        </w:rPr>
        <w:t xml:space="preserve">, correspondiente a $392.769.909.960 </w:t>
      </w:r>
      <w:r w:rsidR="00E03B8D" w:rsidRPr="00AB588A">
        <w:rPr>
          <w:rFonts w:ascii="Bookman Old Style" w:hAnsi="Bookman Old Style"/>
        </w:rPr>
        <w:t>de activos de GASES DEL CARIBE S.A. E.S.P. y $43.380.847.871 de activos de PROMIGAS S.A</w:t>
      </w:r>
      <w:r w:rsidR="00011115">
        <w:rPr>
          <w:rFonts w:ascii="Bookman Old Style" w:hAnsi="Bookman Old Style"/>
        </w:rPr>
        <w:t>.</w:t>
      </w:r>
      <w:r w:rsidR="00E03B8D" w:rsidRPr="00AB588A">
        <w:rPr>
          <w:rFonts w:ascii="Bookman Old Style" w:hAnsi="Bookman Old Style"/>
        </w:rPr>
        <w:t xml:space="preserve"> E.S.P.</w:t>
      </w:r>
    </w:p>
    <w:p w:rsidR="009523EC" w:rsidRDefault="004E0CA3" w:rsidP="00C12990">
      <w:pPr>
        <w:adjustRightInd w:val="0"/>
        <w:spacing w:before="240" w:after="240"/>
        <w:ind w:left="0"/>
        <w:jc w:val="both"/>
        <w:rPr>
          <w:rFonts w:ascii="Bookman Old Style" w:hAnsi="Bookman Old Style"/>
        </w:rPr>
      </w:pPr>
      <w:r w:rsidRPr="00AB588A">
        <w:rPr>
          <w:rFonts w:ascii="Bookman Old Style" w:hAnsi="Bookman Old Style"/>
        </w:rPr>
        <w:t>Dado</w:t>
      </w:r>
      <w:r w:rsidR="007E705A" w:rsidRPr="00AB588A">
        <w:rPr>
          <w:rFonts w:ascii="Bookman Old Style" w:hAnsi="Bookman Old Style"/>
        </w:rPr>
        <w:t xml:space="preserve"> que se modificó la </w:t>
      </w:r>
      <w:r w:rsidR="00C12990" w:rsidRPr="00AB588A">
        <w:rPr>
          <w:rFonts w:ascii="Bookman Old Style" w:hAnsi="Bookman Old Style"/>
        </w:rPr>
        <w:t>inversión</w:t>
      </w:r>
      <w:r w:rsidR="007E705A" w:rsidRPr="00AB588A">
        <w:rPr>
          <w:rFonts w:ascii="Bookman Old Style" w:hAnsi="Bookman Old Style"/>
        </w:rPr>
        <w:t xml:space="preserve"> aprobada</w:t>
      </w:r>
      <w:r w:rsidR="00C12990" w:rsidRPr="00AB588A">
        <w:rPr>
          <w:rFonts w:ascii="Bookman Old Style" w:hAnsi="Bookman Old Style"/>
        </w:rPr>
        <w:t xml:space="preserve"> para la empresa GASES DEL CARIBE S.A. E.S.P., se determina </w:t>
      </w:r>
      <w:r w:rsidR="00C12990">
        <w:rPr>
          <w:rFonts w:ascii="Bookman Old Style" w:hAnsi="Bookman Old Style"/>
        </w:rPr>
        <w:t xml:space="preserve">nuevamente </w:t>
      </w:r>
      <w:r w:rsidR="00C12990" w:rsidRPr="00AB588A">
        <w:rPr>
          <w:rFonts w:ascii="Bookman Old Style" w:hAnsi="Bookman Old Style"/>
        </w:rPr>
        <w:t xml:space="preserve">el </w:t>
      </w:r>
      <w:r w:rsidR="007E705A" w:rsidRPr="00C12990">
        <w:rPr>
          <w:rFonts w:ascii="Bookman Old Style" w:hAnsi="Bookman Old Style"/>
        </w:rPr>
        <w:t xml:space="preserve">porcentaje eficiente de AOM para </w:t>
      </w:r>
      <w:r w:rsidR="00C12990" w:rsidRPr="00C12990">
        <w:rPr>
          <w:rFonts w:ascii="Bookman Old Style" w:hAnsi="Bookman Old Style"/>
        </w:rPr>
        <w:t>esta</w:t>
      </w:r>
      <w:r w:rsidR="00C12990">
        <w:rPr>
          <w:rFonts w:ascii="Bookman Old Style" w:hAnsi="Bookman Old Style"/>
        </w:rPr>
        <w:t xml:space="preserve"> empresa</w:t>
      </w:r>
      <w:r w:rsidR="007E705A" w:rsidRPr="00C12990">
        <w:rPr>
          <w:rFonts w:ascii="Bookman Old Style" w:hAnsi="Bookman Old Style"/>
        </w:rPr>
        <w:t xml:space="preserve">, así como </w:t>
      </w:r>
      <w:r w:rsidR="00C12990" w:rsidRPr="00C12990">
        <w:rPr>
          <w:rFonts w:ascii="Bookman Old Style" w:hAnsi="Bookman Old Style"/>
        </w:rPr>
        <w:t>su</w:t>
      </w:r>
      <w:r w:rsidR="007E705A" w:rsidRPr="00C12990">
        <w:rPr>
          <w:rFonts w:ascii="Bookman Old Style" w:hAnsi="Bookman Old Style"/>
        </w:rPr>
        <w:t xml:space="preserve"> monto eficiente de gastos de AOM</w:t>
      </w:r>
      <w:r w:rsidR="00C12990">
        <w:rPr>
          <w:rFonts w:ascii="Bookman Old Style" w:hAnsi="Bookman Old Style"/>
        </w:rPr>
        <w:t>.</w:t>
      </w:r>
    </w:p>
    <w:p w:rsidR="007E705A" w:rsidRPr="00477FE7" w:rsidRDefault="00C12990" w:rsidP="00C12990">
      <w:pPr>
        <w:adjustRightInd w:val="0"/>
        <w:spacing w:before="240" w:after="240"/>
        <w:ind w:left="0"/>
        <w:jc w:val="both"/>
        <w:rPr>
          <w:rFonts w:ascii="Bookman Old Style" w:hAnsi="Bookman Old Style"/>
        </w:rPr>
      </w:pPr>
      <w:r>
        <w:rPr>
          <w:rFonts w:ascii="Bookman Old Style" w:hAnsi="Bookman Old Style"/>
        </w:rPr>
        <w:t xml:space="preserve">Aplicando </w:t>
      </w:r>
      <w:r w:rsidR="007E705A" w:rsidRPr="00C12990">
        <w:rPr>
          <w:rFonts w:ascii="Bookman Old Style" w:hAnsi="Bookman Old Style"/>
        </w:rPr>
        <w:t>el procedimiento establecido en el Numeral 7.2 de la parte considerativa de la Resolución CREG 198 de 2017</w:t>
      </w:r>
      <w:r w:rsidRPr="00C12990">
        <w:rPr>
          <w:rFonts w:ascii="Bookman Old Style" w:hAnsi="Bookman Old Style"/>
        </w:rPr>
        <w:t xml:space="preserve"> y considerando la nueva Base Regulatoria de Activos aprobada para GASES DEL CARIBE S.A. E.S.P.</w:t>
      </w:r>
      <w:r>
        <w:rPr>
          <w:rFonts w:ascii="Bookman Old Style" w:hAnsi="Bookman Old Style"/>
        </w:rPr>
        <w:t xml:space="preserve"> se obtiene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321"/>
        <w:gridCol w:w="2321"/>
        <w:gridCol w:w="2321"/>
      </w:tblGrid>
      <w:tr w:rsidR="00C12990" w:rsidTr="00FF1CD7">
        <w:trPr>
          <w:trHeight w:val="365"/>
          <w:jc w:val="center"/>
        </w:trPr>
        <w:tc>
          <w:tcPr>
            <w:tcW w:w="2321" w:type="dxa"/>
            <w:shd w:val="clear" w:color="auto" w:fill="D9D9D9" w:themeFill="background1" w:themeFillShade="D9"/>
            <w:vAlign w:val="center"/>
          </w:tcPr>
          <w:p w:rsidR="00C12990" w:rsidRPr="00AB588A" w:rsidRDefault="00183DE6" w:rsidP="00FF1CD7">
            <w:pPr>
              <w:pStyle w:val="Prrafodelista"/>
              <w:tabs>
                <w:tab w:val="left" w:pos="0"/>
              </w:tabs>
              <w:ind w:left="0"/>
              <w:jc w:val="center"/>
              <w:rPr>
                <w:rFonts w:ascii="Bookman Old Style" w:hAnsi="Bookman Old Style" w:cs="Arial"/>
                <w:b/>
                <w:lang w:eastAsia="en-US"/>
              </w:rPr>
            </w:pPr>
            <m:oMathPara>
              <m:oMath>
                <m:f>
                  <m:fPr>
                    <m:ctrlPr>
                      <w:rPr>
                        <w:rFonts w:ascii="Cambria Math" w:eastAsia="MS Mincho" w:hAnsi="Cambria Math" w:cs="Arial"/>
                        <w:b/>
                        <w:szCs w:val="22"/>
                        <w:lang w:val="es-ES_tradnl" w:eastAsia="en-US"/>
                      </w:rPr>
                    </m:ctrlPr>
                  </m:fPr>
                  <m:num>
                    <m:f>
                      <m:fPr>
                        <m:ctrlPr>
                          <w:rPr>
                            <w:rFonts w:ascii="Cambria Math" w:eastAsia="MS Mincho" w:hAnsi="Cambria Math" w:cs="Arial"/>
                            <w:b/>
                            <w:szCs w:val="22"/>
                            <w:lang w:val="es-ES_tradnl" w:eastAsia="en-US"/>
                          </w:rPr>
                        </m:ctrlPr>
                      </m:fPr>
                      <m:num>
                        <m:sSub>
                          <m:sSubPr>
                            <m:ctrlPr>
                              <w:rPr>
                                <w:rFonts w:ascii="Cambria Math" w:eastAsia="MS Mincho" w:hAnsi="Cambria Math" w:cs="Arial"/>
                                <w:b/>
                                <w:szCs w:val="22"/>
                                <w:lang w:val="es-ES_tradnl" w:eastAsia="en-US"/>
                              </w:rPr>
                            </m:ctrlPr>
                          </m:sSubPr>
                          <m:e>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AOM</m:t>
                                </m:r>
                              </m:e>
                              <m:sub>
                                <m:r>
                                  <m:rPr>
                                    <m:sty m:val="b"/>
                                  </m:rPr>
                                  <w:rPr>
                                    <w:rFonts w:ascii="Cambria Math" w:eastAsia="MS Mincho" w:hAnsi="Cambria Math" w:cs="Arial"/>
                                    <w:szCs w:val="22"/>
                                    <w:lang w:val="es-ES_tradnl" w:eastAsia="en-US"/>
                                  </w:rPr>
                                  <m:t>ryd</m:t>
                                </m:r>
                              </m:sub>
                            </m:sSub>
                          </m:e>
                          <m:sub>
                            <m:r>
                              <m:rPr>
                                <m:sty m:val="bi"/>
                              </m:rPr>
                              <w:rPr>
                                <w:rFonts w:ascii="Cambria Math" w:eastAsia="MS Mincho" w:hAnsi="Cambria Math" w:cs="Arial"/>
                                <w:szCs w:val="22"/>
                                <w:lang w:val="es-ES_tradnl" w:eastAsia="en-US"/>
                              </w:rPr>
                              <m:t>k</m:t>
                            </m:r>
                          </m:sub>
                        </m:sSub>
                        <m:r>
                          <m:rPr>
                            <m:sty m:val="b"/>
                          </m:rPr>
                          <w:rPr>
                            <w:rFonts w:ascii="Cambria Math" w:eastAsia="MS Mincho" w:hAnsi="Cambria Math" w:cs="Arial"/>
                            <w:szCs w:val="22"/>
                            <w:lang w:val="es-ES_tradnl" w:eastAsia="en-US"/>
                          </w:rPr>
                          <m:t>+</m:t>
                        </m:r>
                        <m:sSub>
                          <m:sSubPr>
                            <m:ctrlPr>
                              <w:rPr>
                                <w:rFonts w:ascii="Cambria Math" w:eastAsia="MS Mincho" w:hAnsi="Cambria Math" w:cs="Arial"/>
                                <w:b/>
                                <w:szCs w:val="22"/>
                                <w:lang w:val="es-ES_tradnl" w:eastAsia="en-US"/>
                              </w:rPr>
                            </m:ctrlPr>
                          </m:sSubPr>
                          <m:e>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AOM</m:t>
                                </m:r>
                              </m:e>
                              <m:sub>
                                <m:r>
                                  <m:rPr>
                                    <m:sty m:val="b"/>
                                  </m:rPr>
                                  <w:rPr>
                                    <w:rFonts w:ascii="Cambria Math" w:eastAsia="MS Mincho" w:hAnsi="Cambria Math" w:cs="Arial"/>
                                    <w:szCs w:val="22"/>
                                    <w:lang w:val="es-ES_tradnl" w:eastAsia="en-US"/>
                                  </w:rPr>
                                  <m:t>rem</m:t>
                                </m:r>
                              </m:sub>
                            </m:sSub>
                          </m:e>
                          <m:sub>
                            <m:r>
                              <m:rPr>
                                <m:sty m:val="bi"/>
                              </m:rPr>
                              <w:rPr>
                                <w:rFonts w:ascii="Cambria Math" w:eastAsia="MS Mincho" w:hAnsi="Cambria Math" w:cs="Arial"/>
                                <w:szCs w:val="22"/>
                                <w:lang w:val="es-ES_tradnl" w:eastAsia="en-US"/>
                              </w:rPr>
                              <m:t>k</m:t>
                            </m:r>
                          </m:sub>
                        </m:sSub>
                      </m:num>
                      <m:den>
                        <m:r>
                          <m:rPr>
                            <m:sty m:val="b"/>
                          </m:rPr>
                          <w:rPr>
                            <w:rFonts w:ascii="Cambria Math" w:eastAsia="MS Mincho" w:hAnsi="Cambria Math" w:cs="Arial"/>
                            <w:szCs w:val="22"/>
                            <w:lang w:val="es-ES_tradnl" w:eastAsia="en-US"/>
                          </w:rPr>
                          <m:t>2</m:t>
                        </m:r>
                      </m:den>
                    </m:f>
                  </m:num>
                  <m:den>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BRA</m:t>
                        </m:r>
                      </m:e>
                      <m:sub>
                        <m:r>
                          <m:rPr>
                            <m:sty m:val="bi"/>
                          </m:rPr>
                          <w:rPr>
                            <w:rFonts w:ascii="Cambria Math" w:eastAsia="MS Mincho" w:hAnsi="Cambria Math" w:cs="Arial"/>
                            <w:szCs w:val="22"/>
                            <w:lang w:val="es-ES_tradnl" w:eastAsia="en-US"/>
                          </w:rPr>
                          <m:t>k</m:t>
                        </m:r>
                      </m:sub>
                    </m:sSub>
                  </m:den>
                </m:f>
              </m:oMath>
            </m:oMathPara>
          </w:p>
        </w:tc>
        <w:tc>
          <w:tcPr>
            <w:tcW w:w="2321" w:type="dxa"/>
            <w:shd w:val="clear" w:color="auto" w:fill="D9D9D9" w:themeFill="background1" w:themeFillShade="D9"/>
            <w:vAlign w:val="center"/>
          </w:tcPr>
          <w:p w:rsidR="00C12990" w:rsidRPr="00AB588A" w:rsidRDefault="00183DE6" w:rsidP="00FF1CD7">
            <w:pPr>
              <w:pStyle w:val="Prrafodelista"/>
              <w:tabs>
                <w:tab w:val="left" w:pos="0"/>
              </w:tabs>
              <w:ind w:left="0"/>
              <w:jc w:val="center"/>
              <w:rPr>
                <w:rFonts w:ascii="Bookman Old Style" w:hAnsi="Bookman Old Style" w:cs="Arial"/>
                <w:b/>
                <w:lang w:eastAsia="en-US"/>
              </w:rPr>
            </w:pPr>
            <m:oMathPara>
              <m:oMath>
                <m:sSub>
                  <m:sSubPr>
                    <m:ctrlPr>
                      <w:rPr>
                        <w:rFonts w:ascii="Cambria Math" w:eastAsia="MS Mincho" w:hAnsi="Cambria Math" w:cs="Arial"/>
                        <w:b/>
                        <w:szCs w:val="22"/>
                        <w:lang w:val="es-ES_tradnl" w:eastAsia="en-US"/>
                      </w:rPr>
                    </m:ctrlPr>
                  </m:sSubPr>
                  <m:e>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AOM</m:t>
                        </m:r>
                      </m:e>
                      <m:sub>
                        <m:func>
                          <m:funcPr>
                            <m:ctrlPr>
                              <w:rPr>
                                <w:rFonts w:ascii="Cambria Math" w:eastAsia="MS Mincho" w:hAnsi="Cambria Math" w:cs="Arial"/>
                                <w:b/>
                                <w:szCs w:val="22"/>
                                <w:lang w:val="es-ES_tradnl" w:eastAsia="en-US"/>
                              </w:rPr>
                            </m:ctrlPr>
                          </m:funcPr>
                          <m:fName>
                            <m:r>
                              <m:rPr>
                                <m:sty m:val="b"/>
                              </m:rPr>
                              <w:rPr>
                                <w:rFonts w:ascii="Cambria Math" w:eastAsia="MS Mincho" w:hAnsi="Cambria Math" w:cs="Arial"/>
                                <w:szCs w:val="22"/>
                                <w:lang w:val="es-ES_tradnl" w:eastAsia="en-US"/>
                              </w:rPr>
                              <m:t>max</m:t>
                            </m:r>
                          </m:fName>
                          <m:e>
                            <m:r>
                              <m:rPr>
                                <m:sty m:val="b"/>
                              </m:rPr>
                              <w:rPr>
                                <w:rFonts w:ascii="Cambria Math" w:eastAsia="MS Mincho" w:hAnsi="Cambria Math" w:cs="Arial"/>
                                <w:szCs w:val="22"/>
                                <w:lang w:val="es-ES_tradnl" w:eastAsia="en-US"/>
                              </w:rPr>
                              <m:t xml:space="preserve"> reconocer</m:t>
                            </m:r>
                          </m:e>
                        </m:func>
                      </m:sub>
                    </m:sSub>
                  </m:e>
                  <m:sub>
                    <m:r>
                      <m:rPr>
                        <m:sty m:val="bi"/>
                      </m:rPr>
                      <w:rPr>
                        <w:rFonts w:ascii="Cambria Math" w:eastAsia="MS Mincho" w:hAnsi="Cambria Math" w:cs="Arial"/>
                        <w:szCs w:val="22"/>
                        <w:lang w:val="es-ES_tradnl" w:eastAsia="en-US"/>
                      </w:rPr>
                      <m:t>k</m:t>
                    </m:r>
                  </m:sub>
                </m:sSub>
              </m:oMath>
            </m:oMathPara>
          </w:p>
        </w:tc>
        <w:tc>
          <w:tcPr>
            <w:tcW w:w="2321" w:type="dxa"/>
            <w:shd w:val="clear" w:color="auto" w:fill="D9D9D9" w:themeFill="background1" w:themeFillShade="D9"/>
            <w:vAlign w:val="center"/>
          </w:tcPr>
          <w:p w:rsidR="00C12990" w:rsidRPr="00AB588A" w:rsidRDefault="00183DE6" w:rsidP="00FF1CD7">
            <w:pPr>
              <w:pStyle w:val="Prrafodelista"/>
              <w:tabs>
                <w:tab w:val="left" w:pos="0"/>
              </w:tabs>
              <w:ind w:left="0"/>
              <w:jc w:val="center"/>
              <w:rPr>
                <w:rFonts w:ascii="Bookman Old Style" w:hAnsi="Bookman Old Style" w:cs="Arial"/>
                <w:b/>
                <w:lang w:eastAsia="en-US"/>
              </w:rPr>
            </w:pPr>
            <m:oMath>
              <m:f>
                <m:fPr>
                  <m:ctrlPr>
                    <w:rPr>
                      <w:rFonts w:ascii="Cambria Math" w:eastAsia="MS Mincho" w:hAnsi="Cambria Math" w:cs="Arial"/>
                      <w:b/>
                      <w:szCs w:val="22"/>
                      <w:lang w:val="es-ES_tradnl" w:eastAsia="en-US"/>
                    </w:rPr>
                  </m:ctrlPr>
                </m:fPr>
                <m:num>
                  <m:sSub>
                    <m:sSubPr>
                      <m:ctrlPr>
                        <w:rPr>
                          <w:rFonts w:ascii="Cambria Math" w:eastAsia="MS Mincho" w:hAnsi="Cambria Math" w:cs="Arial"/>
                          <w:b/>
                          <w:szCs w:val="22"/>
                          <w:lang w:val="es-ES_tradnl" w:eastAsia="en-US"/>
                        </w:rPr>
                      </m:ctrlPr>
                    </m:sSubPr>
                    <m:e>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AOM</m:t>
                          </m:r>
                        </m:e>
                        <m:sub>
                          <m:r>
                            <m:rPr>
                              <m:sty m:val="b"/>
                            </m:rPr>
                            <w:rPr>
                              <w:rFonts w:ascii="Cambria Math" w:eastAsia="MS Mincho" w:hAnsi="Cambria Math" w:cs="Arial"/>
                              <w:szCs w:val="22"/>
                              <w:lang w:val="es-ES_tradnl" w:eastAsia="en-US"/>
                            </w:rPr>
                            <m:t>ryd</m:t>
                          </m:r>
                        </m:sub>
                      </m:sSub>
                    </m:e>
                    <m:sub>
                      <m:r>
                        <m:rPr>
                          <m:sty m:val="bi"/>
                        </m:rPr>
                        <w:rPr>
                          <w:rFonts w:ascii="Cambria Math" w:eastAsia="MS Mincho" w:hAnsi="Cambria Math" w:cs="Arial"/>
                          <w:szCs w:val="22"/>
                          <w:lang w:val="es-ES_tradnl" w:eastAsia="en-US"/>
                        </w:rPr>
                        <m:t>k</m:t>
                      </m:r>
                    </m:sub>
                  </m:sSub>
                </m:num>
                <m:den>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BRA</m:t>
                      </m:r>
                    </m:e>
                    <m:sub>
                      <m:r>
                        <m:rPr>
                          <m:sty m:val="bi"/>
                        </m:rPr>
                        <w:rPr>
                          <w:rFonts w:ascii="Cambria Math" w:eastAsia="MS Mincho" w:hAnsi="Cambria Math" w:cs="Arial"/>
                          <w:szCs w:val="22"/>
                          <w:lang w:val="es-ES_tradnl" w:eastAsia="en-US"/>
                        </w:rPr>
                        <m:t>k</m:t>
                      </m:r>
                    </m:sub>
                  </m:sSub>
                </m:den>
              </m:f>
            </m:oMath>
            <w:r w:rsidR="00C12990" w:rsidRPr="00AB588A">
              <w:rPr>
                <w:rFonts w:ascii="Bookman Old Style" w:eastAsia="Calibri" w:hAnsi="Bookman Old Style" w:cs="Arial"/>
                <w:b/>
                <w:szCs w:val="22"/>
                <w:lang w:val="es-ES_tradnl" w:eastAsia="en-US"/>
              </w:rPr>
              <w:t>,</w:t>
            </w:r>
          </w:p>
        </w:tc>
        <w:tc>
          <w:tcPr>
            <w:tcW w:w="2321" w:type="dxa"/>
            <w:shd w:val="clear" w:color="auto" w:fill="D9D9D9" w:themeFill="background1" w:themeFillShade="D9"/>
            <w:vAlign w:val="center"/>
          </w:tcPr>
          <w:p w:rsidR="00C12990" w:rsidRPr="00AB588A" w:rsidRDefault="00183DE6" w:rsidP="00FF1CD7">
            <w:pPr>
              <w:pStyle w:val="Prrafodelista"/>
              <w:tabs>
                <w:tab w:val="left" w:pos="0"/>
              </w:tabs>
              <w:ind w:left="0"/>
              <w:jc w:val="center"/>
              <w:rPr>
                <w:rFonts w:ascii="Bookman Old Style" w:hAnsi="Bookman Old Style" w:cs="Arial"/>
                <w:b/>
                <w:lang w:val="es-ES_tradnl" w:eastAsia="en-US"/>
              </w:rPr>
            </w:pPr>
            <m:oMathPara>
              <m:oMath>
                <m:sSub>
                  <m:sSubPr>
                    <m:ctrlPr>
                      <w:rPr>
                        <w:rFonts w:ascii="Cambria Math" w:eastAsia="MS Mincho" w:hAnsi="Cambria Math" w:cs="Arial"/>
                        <w:b/>
                        <w:szCs w:val="22"/>
                        <w:lang w:val="es-ES_tradnl" w:eastAsia="en-US"/>
                      </w:rPr>
                    </m:ctrlPr>
                  </m:sSubPr>
                  <m:e>
                    <m:r>
                      <m:rPr>
                        <m:sty m:val="b"/>
                      </m:rPr>
                      <w:rPr>
                        <w:rFonts w:ascii="Cambria Math" w:eastAsia="MS Mincho" w:hAnsi="Cambria Math" w:cs="Arial"/>
                        <w:szCs w:val="22"/>
                        <w:lang w:val="es-ES_tradnl" w:eastAsia="en-US"/>
                      </w:rPr>
                      <m:t>%AOM</m:t>
                    </m:r>
                  </m:e>
                  <m:sub>
                    <m:r>
                      <m:rPr>
                        <m:sty m:val="b"/>
                      </m:rPr>
                      <w:rPr>
                        <w:rFonts w:ascii="Cambria Math" w:eastAsia="MS Mincho" w:hAnsi="Cambria Math" w:cs="Arial"/>
                        <w:szCs w:val="22"/>
                        <w:lang w:val="es-ES_tradnl" w:eastAsia="en-US"/>
                      </w:rPr>
                      <m:t>eficientek</m:t>
                    </m:r>
                  </m:sub>
                </m:sSub>
              </m:oMath>
            </m:oMathPara>
          </w:p>
        </w:tc>
      </w:tr>
      <w:tr w:rsidR="00C12990" w:rsidTr="00FF1CD7">
        <w:trPr>
          <w:trHeight w:val="365"/>
          <w:jc w:val="center"/>
        </w:trPr>
        <w:tc>
          <w:tcPr>
            <w:tcW w:w="2321" w:type="dxa"/>
            <w:shd w:val="clear" w:color="auto" w:fill="auto"/>
            <w:vAlign w:val="center"/>
          </w:tcPr>
          <w:p w:rsidR="00C12990" w:rsidRPr="00AB588A" w:rsidRDefault="00C12990" w:rsidP="00E93729">
            <w:pPr>
              <w:pStyle w:val="Prrafodelista"/>
              <w:tabs>
                <w:tab w:val="left" w:pos="0"/>
              </w:tabs>
              <w:ind w:left="0"/>
              <w:jc w:val="center"/>
              <w:rPr>
                <w:rFonts w:ascii="Bookman Old Style" w:eastAsia="Calibri" w:hAnsi="Bookman Old Style" w:cs="Arial"/>
                <w:sz w:val="24"/>
                <w:szCs w:val="24"/>
                <w:lang w:val="es-ES_tradnl" w:eastAsia="en-US"/>
              </w:rPr>
            </w:pPr>
            <w:r w:rsidRPr="00AB588A">
              <w:rPr>
                <w:rFonts w:ascii="Bookman Old Style" w:eastAsia="Calibri" w:hAnsi="Bookman Old Style" w:cs="Arial"/>
                <w:sz w:val="24"/>
                <w:szCs w:val="24"/>
                <w:lang w:val="es-ES_tradnl" w:eastAsia="en-US"/>
              </w:rPr>
              <w:t>10,</w:t>
            </w:r>
            <w:r w:rsidR="00E93729" w:rsidRPr="00AB588A">
              <w:rPr>
                <w:rFonts w:ascii="Bookman Old Style" w:eastAsia="Calibri" w:hAnsi="Bookman Old Style" w:cs="Arial"/>
                <w:sz w:val="24"/>
                <w:szCs w:val="24"/>
                <w:lang w:val="es-ES_tradnl" w:eastAsia="en-US"/>
              </w:rPr>
              <w:t>22</w:t>
            </w:r>
            <w:r w:rsidRPr="00AB588A">
              <w:rPr>
                <w:rFonts w:ascii="Bookman Old Style" w:eastAsia="Calibri" w:hAnsi="Bookman Old Style" w:cs="Arial"/>
                <w:sz w:val="24"/>
                <w:szCs w:val="24"/>
                <w:lang w:val="es-ES_tradnl" w:eastAsia="en-US"/>
              </w:rPr>
              <w:t>%</w:t>
            </w:r>
          </w:p>
        </w:tc>
        <w:tc>
          <w:tcPr>
            <w:tcW w:w="2321" w:type="dxa"/>
            <w:shd w:val="clear" w:color="auto" w:fill="auto"/>
            <w:vAlign w:val="center"/>
          </w:tcPr>
          <w:p w:rsidR="00C12990" w:rsidRPr="00AB588A" w:rsidRDefault="00C12990" w:rsidP="00E93729">
            <w:pPr>
              <w:pStyle w:val="Prrafodelista"/>
              <w:tabs>
                <w:tab w:val="left" w:pos="0"/>
              </w:tabs>
              <w:ind w:left="0"/>
              <w:jc w:val="center"/>
              <w:rPr>
                <w:rFonts w:ascii="Bookman Old Style" w:hAnsi="Bookman Old Style" w:cs="Arial"/>
                <w:sz w:val="24"/>
                <w:szCs w:val="24"/>
                <w:lang w:val="es-ES_tradnl" w:eastAsia="en-US"/>
              </w:rPr>
            </w:pPr>
            <w:r w:rsidRPr="00AB588A">
              <w:rPr>
                <w:rFonts w:ascii="Bookman Old Style" w:hAnsi="Bookman Old Style" w:cs="Arial"/>
                <w:sz w:val="24"/>
                <w:szCs w:val="24"/>
                <w:lang w:val="es-ES_tradnl" w:eastAsia="en-US"/>
              </w:rPr>
              <w:t>1</w:t>
            </w:r>
            <w:r w:rsidR="00E93729" w:rsidRPr="00AB588A">
              <w:rPr>
                <w:rFonts w:ascii="Bookman Old Style" w:hAnsi="Bookman Old Style" w:cs="Arial"/>
                <w:sz w:val="24"/>
                <w:szCs w:val="24"/>
                <w:lang w:val="es-ES_tradnl" w:eastAsia="en-US"/>
              </w:rPr>
              <w:t>0</w:t>
            </w:r>
            <w:r w:rsidRPr="00AB588A">
              <w:rPr>
                <w:rFonts w:ascii="Bookman Old Style" w:hAnsi="Bookman Old Style" w:cs="Arial"/>
                <w:sz w:val="24"/>
                <w:szCs w:val="24"/>
                <w:lang w:val="es-ES_tradnl" w:eastAsia="en-US"/>
              </w:rPr>
              <w:t>,</w:t>
            </w:r>
            <w:r w:rsidR="00E93729" w:rsidRPr="00AB588A">
              <w:rPr>
                <w:rFonts w:ascii="Bookman Old Style" w:hAnsi="Bookman Old Style" w:cs="Arial"/>
                <w:sz w:val="24"/>
                <w:szCs w:val="24"/>
                <w:lang w:val="es-ES_tradnl" w:eastAsia="en-US"/>
              </w:rPr>
              <w:t>98</w:t>
            </w:r>
            <w:r w:rsidRPr="00AB588A">
              <w:rPr>
                <w:rFonts w:ascii="Bookman Old Style" w:hAnsi="Bookman Old Style" w:cs="Arial"/>
                <w:sz w:val="24"/>
                <w:szCs w:val="24"/>
                <w:lang w:val="es-ES_tradnl" w:eastAsia="en-US"/>
              </w:rPr>
              <w:t>%</w:t>
            </w:r>
          </w:p>
        </w:tc>
        <w:tc>
          <w:tcPr>
            <w:tcW w:w="2321" w:type="dxa"/>
            <w:shd w:val="clear" w:color="auto" w:fill="auto"/>
            <w:vAlign w:val="center"/>
          </w:tcPr>
          <w:p w:rsidR="00C12990" w:rsidRPr="00AB588A" w:rsidRDefault="00C12990" w:rsidP="00E93729">
            <w:pPr>
              <w:pStyle w:val="Prrafodelista"/>
              <w:tabs>
                <w:tab w:val="left" w:pos="0"/>
              </w:tabs>
              <w:ind w:left="0"/>
              <w:jc w:val="center"/>
              <w:rPr>
                <w:rFonts w:ascii="Bookman Old Style" w:hAnsi="Bookman Old Style" w:cs="Arial"/>
                <w:sz w:val="24"/>
                <w:szCs w:val="24"/>
                <w:lang w:val="es-ES_tradnl" w:eastAsia="en-US"/>
              </w:rPr>
            </w:pPr>
            <w:r w:rsidRPr="00AB588A">
              <w:rPr>
                <w:rFonts w:ascii="Bookman Old Style" w:hAnsi="Bookman Old Style" w:cs="Arial"/>
                <w:sz w:val="24"/>
                <w:szCs w:val="24"/>
                <w:lang w:val="es-ES_tradnl" w:eastAsia="en-US"/>
              </w:rPr>
              <w:t>1</w:t>
            </w:r>
            <w:r w:rsidR="00E93729" w:rsidRPr="00AB588A">
              <w:rPr>
                <w:rFonts w:ascii="Bookman Old Style" w:hAnsi="Bookman Old Style" w:cs="Arial"/>
                <w:sz w:val="24"/>
                <w:szCs w:val="24"/>
                <w:lang w:val="es-ES_tradnl" w:eastAsia="en-US"/>
              </w:rPr>
              <w:t>1</w:t>
            </w:r>
            <w:r w:rsidRPr="00AB588A">
              <w:rPr>
                <w:rFonts w:ascii="Bookman Old Style" w:hAnsi="Bookman Old Style" w:cs="Arial"/>
                <w:sz w:val="24"/>
                <w:szCs w:val="24"/>
                <w:lang w:val="es-ES_tradnl" w:eastAsia="en-US"/>
              </w:rPr>
              <w:t>,</w:t>
            </w:r>
            <w:r w:rsidR="00E93729" w:rsidRPr="00AB588A">
              <w:rPr>
                <w:rFonts w:ascii="Bookman Old Style" w:hAnsi="Bookman Old Style" w:cs="Arial"/>
                <w:sz w:val="24"/>
                <w:szCs w:val="24"/>
                <w:lang w:val="es-ES_tradnl" w:eastAsia="en-US"/>
              </w:rPr>
              <w:t>80</w:t>
            </w:r>
            <w:r w:rsidRPr="00AB588A">
              <w:rPr>
                <w:rFonts w:ascii="Bookman Old Style" w:hAnsi="Bookman Old Style" w:cs="Arial"/>
                <w:sz w:val="24"/>
                <w:szCs w:val="24"/>
                <w:lang w:val="es-ES_tradnl" w:eastAsia="en-US"/>
              </w:rPr>
              <w:t>%</w:t>
            </w:r>
          </w:p>
        </w:tc>
        <w:tc>
          <w:tcPr>
            <w:tcW w:w="2321" w:type="dxa"/>
            <w:shd w:val="clear" w:color="auto" w:fill="auto"/>
            <w:vAlign w:val="center"/>
          </w:tcPr>
          <w:p w:rsidR="00C12990" w:rsidRPr="00AB588A" w:rsidRDefault="00C12990" w:rsidP="00E93729">
            <w:pPr>
              <w:pStyle w:val="Prrafodelista"/>
              <w:tabs>
                <w:tab w:val="left" w:pos="0"/>
              </w:tabs>
              <w:ind w:left="0"/>
              <w:jc w:val="center"/>
              <w:rPr>
                <w:rFonts w:ascii="Bookman Old Style" w:hAnsi="Bookman Old Style" w:cs="Arial"/>
                <w:b/>
                <w:sz w:val="24"/>
                <w:szCs w:val="24"/>
                <w:lang w:val="es-ES_tradnl" w:eastAsia="en-US"/>
              </w:rPr>
            </w:pPr>
            <w:r w:rsidRPr="00AB588A">
              <w:rPr>
                <w:rFonts w:ascii="Bookman Old Style" w:hAnsi="Bookman Old Style" w:cs="Arial"/>
                <w:b/>
                <w:sz w:val="24"/>
                <w:szCs w:val="24"/>
                <w:lang w:val="es-ES_tradnl" w:eastAsia="en-US"/>
              </w:rPr>
              <w:t>10,</w:t>
            </w:r>
            <w:r w:rsidR="00E93729" w:rsidRPr="00AB588A">
              <w:rPr>
                <w:rFonts w:ascii="Bookman Old Style" w:hAnsi="Bookman Old Style" w:cs="Arial"/>
                <w:b/>
                <w:sz w:val="24"/>
                <w:szCs w:val="24"/>
                <w:lang w:val="es-ES_tradnl" w:eastAsia="en-US"/>
              </w:rPr>
              <w:t>22</w:t>
            </w:r>
            <w:r w:rsidRPr="00AB588A">
              <w:rPr>
                <w:rFonts w:ascii="Bookman Old Style" w:hAnsi="Bookman Old Style" w:cs="Arial"/>
                <w:b/>
                <w:sz w:val="24"/>
                <w:szCs w:val="24"/>
                <w:lang w:val="es-ES_tradnl" w:eastAsia="en-US"/>
              </w:rPr>
              <w:t>%</w:t>
            </w:r>
          </w:p>
        </w:tc>
      </w:tr>
    </w:tbl>
    <w:p w:rsidR="00BC6F53" w:rsidRPr="00AB588A" w:rsidRDefault="00BC6F53" w:rsidP="00AB588A">
      <w:pPr>
        <w:adjustRightInd w:val="0"/>
        <w:spacing w:before="240" w:after="240"/>
        <w:ind w:left="0"/>
        <w:jc w:val="both"/>
        <w:rPr>
          <w:rFonts w:ascii="Bookman Old Style" w:hAnsi="Bookman Old Style" w:cs="Arial"/>
          <w:u w:val="single"/>
          <w:lang w:val="es-CO" w:eastAsia="es-CO"/>
        </w:rPr>
      </w:pPr>
      <w:r w:rsidRPr="00BC6F53">
        <w:rPr>
          <w:rFonts w:ascii="Bookman Old Style" w:hAnsi="Bookman Old Style"/>
        </w:rPr>
        <w:t xml:space="preserve">Así las cosas, el </w:t>
      </w:r>
      <w:r w:rsidRPr="00AB588A">
        <w:rPr>
          <w:rFonts w:ascii="Bookman Old Style" w:hAnsi="Bookman Old Style" w:cs="Arial"/>
          <w:lang w:val="es-CO" w:eastAsia="es-CO"/>
        </w:rPr>
        <w:t>porcentaje eficiente de AOM establecido para la empresa GASES DEL CARIBE S.A. E.S.P. para el mercado existente de distribución es 10,22%, del cual se obtiene el monto eficiente de gastos de AOM de $ 40.146.120.875.</w:t>
      </w:r>
    </w:p>
    <w:p w:rsidR="00C25174" w:rsidRDefault="00C25174" w:rsidP="00C25174">
      <w:pPr>
        <w:adjustRightInd w:val="0"/>
        <w:spacing w:before="240" w:after="240"/>
        <w:ind w:left="0"/>
        <w:jc w:val="both"/>
        <w:rPr>
          <w:rFonts w:ascii="Bookman Old Style" w:hAnsi="Bookman Old Style" w:cs="Arial"/>
          <w:shd w:val="clear" w:color="auto" w:fill="FFFFFF"/>
        </w:rPr>
      </w:pPr>
      <w:r>
        <w:rPr>
          <w:rFonts w:ascii="Bookman Old Style" w:hAnsi="Bookman Old Style"/>
        </w:rPr>
        <w:t xml:space="preserve">Se determina </w:t>
      </w:r>
      <w:r w:rsidR="009523EC">
        <w:rPr>
          <w:rFonts w:ascii="Bookman Old Style" w:hAnsi="Bookman Old Style"/>
        </w:rPr>
        <w:t>entonces</w:t>
      </w:r>
      <w:r>
        <w:rPr>
          <w:rFonts w:ascii="Bookman Old Style" w:hAnsi="Bookman Old Style"/>
        </w:rPr>
        <w:t xml:space="preserve"> el </w:t>
      </w:r>
      <w:r w:rsidRPr="00BF2700">
        <w:rPr>
          <w:rFonts w:ascii="Bookman Old Style" w:hAnsi="Bookman Old Style"/>
        </w:rPr>
        <w:t xml:space="preserve">porcentaje eficiente de AOM </w:t>
      </w:r>
      <w:r w:rsidRPr="00BF2700">
        <w:rPr>
          <w:rFonts w:ascii="Bookman Old Style" w:hAnsi="Bookman Old Style" w:cs="Arial"/>
          <w:shd w:val="clear" w:color="auto" w:fill="FFFFFF"/>
        </w:rPr>
        <w:t xml:space="preserve">establecido para el mercado existente de distribución, </w:t>
      </w:r>
      <w:r>
        <w:rPr>
          <w:rFonts w:ascii="Bookman Old Style" w:hAnsi="Bookman Old Style" w:cs="Arial"/>
          <w:shd w:val="clear" w:color="auto" w:fill="FFFFFF"/>
        </w:rPr>
        <w:t>ponderando el porcentaje eficiente de AOM establecido para cada una de las empresas por la Base Regulatoria de Activos aprobada para cada empresa, obteniendo así un porcentaje correspondiente a 11,33%.</w:t>
      </w:r>
    </w:p>
    <w:p w:rsidR="009D0420" w:rsidRPr="000A155D" w:rsidRDefault="009D0420" w:rsidP="000A155D">
      <w:pPr>
        <w:adjustRightInd w:val="0"/>
        <w:spacing w:before="240" w:after="240"/>
        <w:ind w:left="0"/>
        <w:jc w:val="both"/>
        <w:rPr>
          <w:rFonts w:ascii="Bookman Old Style" w:hAnsi="Bookman Old Style"/>
        </w:rPr>
      </w:pPr>
      <w:r w:rsidRPr="000A155D">
        <w:rPr>
          <w:rFonts w:ascii="Bookman Old Style" w:hAnsi="Bookman Old Style"/>
        </w:rPr>
        <w:t>Por su parte, en el Artículo 2 de la Resolución CREG 018 de 2018, por el cual se modifica el Artículo 4 de la Resolución CREG 198 de 2017, dispone lo siguiente:</w:t>
      </w:r>
    </w:p>
    <w:p w:rsidR="009D0420" w:rsidRPr="000A155D" w:rsidRDefault="009D0420" w:rsidP="000A155D">
      <w:pPr>
        <w:tabs>
          <w:tab w:val="left" w:pos="8505"/>
          <w:tab w:val="left" w:pos="8647"/>
        </w:tabs>
        <w:spacing w:before="240" w:after="240"/>
        <w:ind w:left="284" w:right="284"/>
        <w:jc w:val="both"/>
        <w:rPr>
          <w:rFonts w:ascii="Bookman Old Style" w:hAnsi="Bookman Old Style" w:cs="Arial"/>
          <w:i/>
          <w:sz w:val="22"/>
          <w:szCs w:val="22"/>
          <w:shd w:val="clear" w:color="auto" w:fill="FFFFFF"/>
          <w:lang w:val="es-CO" w:eastAsia="es-CO"/>
        </w:rPr>
      </w:pPr>
      <w:r w:rsidRPr="000A155D">
        <w:rPr>
          <w:rFonts w:ascii="Bookman Old Style" w:hAnsi="Bookman Old Style" w:cs="Arial"/>
          <w:b/>
          <w:bCs/>
          <w:i/>
          <w:sz w:val="22"/>
          <w:szCs w:val="22"/>
          <w:shd w:val="clear" w:color="auto" w:fill="FFFFFF"/>
          <w:lang w:val="es-CO" w:eastAsia="es-CO"/>
        </w:rPr>
        <w:t>“ARTÍCULO 2. </w:t>
      </w:r>
      <w:r w:rsidRPr="000A155D">
        <w:rPr>
          <w:rFonts w:ascii="Bookman Old Style" w:hAnsi="Bookman Old Style" w:cs="Arial"/>
          <w:i/>
          <w:sz w:val="22"/>
          <w:szCs w:val="22"/>
          <w:shd w:val="clear" w:color="auto" w:fill="FFFFFF"/>
          <w:lang w:val="es-CO" w:eastAsia="es-CO"/>
        </w:rPr>
        <w:t>Modificar el Artículo 4 “Gastos de Administración, Operación y Mantenimiento - AOM” de la Resolución CREG 198 de 2017, el cual quedará así:</w:t>
      </w:r>
    </w:p>
    <w:p w:rsidR="009D0420" w:rsidRPr="000A155D" w:rsidRDefault="009D0420" w:rsidP="000A155D">
      <w:pPr>
        <w:shd w:val="clear" w:color="auto" w:fill="FFFFFF"/>
        <w:tabs>
          <w:tab w:val="left" w:pos="8505"/>
          <w:tab w:val="left" w:pos="8647"/>
        </w:tabs>
        <w:spacing w:before="240" w:after="240"/>
        <w:ind w:right="284"/>
        <w:jc w:val="both"/>
        <w:rPr>
          <w:rFonts w:ascii="Bookman Old Style" w:hAnsi="Bookman Old Style" w:cs="Arial"/>
          <w:sz w:val="22"/>
          <w:szCs w:val="22"/>
          <w:lang w:val="es-CO" w:eastAsia="es-CO"/>
        </w:rPr>
      </w:pPr>
      <w:r w:rsidRPr="000A155D">
        <w:rPr>
          <w:rFonts w:ascii="Bookman Old Style" w:hAnsi="Bookman Old Style" w:cs="Arial"/>
          <w:b/>
          <w:bCs/>
          <w:i/>
          <w:iCs/>
          <w:sz w:val="22"/>
          <w:szCs w:val="22"/>
          <w:lang w:val="es-CO" w:eastAsia="es-CO"/>
        </w:rPr>
        <w:t>‘ARTÍCULO 4. Gastos de Administración, Operación y Mantenimiento - AOM.</w:t>
      </w:r>
      <w:r w:rsidRPr="000A155D">
        <w:rPr>
          <w:rFonts w:ascii="Bookman Old Style" w:hAnsi="Bookman Old Style" w:cs="Arial"/>
          <w:i/>
          <w:iCs/>
          <w:sz w:val="22"/>
          <w:szCs w:val="22"/>
          <w:lang w:val="es-CO" w:eastAsia="es-CO"/>
        </w:rPr>
        <w:t> </w:t>
      </w:r>
      <w:r w:rsidRPr="00AB588A">
        <w:rPr>
          <w:rFonts w:ascii="Bookman Old Style" w:hAnsi="Bookman Old Style" w:cs="Arial"/>
          <w:i/>
          <w:iCs/>
          <w:sz w:val="22"/>
          <w:szCs w:val="22"/>
          <w:u w:val="single"/>
          <w:lang w:val="es-CO" w:eastAsia="es-CO"/>
        </w:rPr>
        <w:t xml:space="preserve">El porcentaje eficiente de AOM establecido para el mercado existente de </w:t>
      </w:r>
      <w:r w:rsidRPr="00AB588A">
        <w:rPr>
          <w:rFonts w:ascii="Bookman Old Style" w:hAnsi="Bookman Old Style" w:cs="Arial"/>
          <w:i/>
          <w:iCs/>
          <w:sz w:val="22"/>
          <w:szCs w:val="22"/>
          <w:u w:val="single"/>
          <w:lang w:val="es-CO" w:eastAsia="es-CO"/>
        </w:rPr>
        <w:lastRenderedPageBreak/>
        <w:t>distribución es del 11,91%</w:t>
      </w:r>
      <w:r w:rsidRPr="000A155D">
        <w:rPr>
          <w:rFonts w:ascii="Bookman Old Style" w:hAnsi="Bookman Old Style" w:cs="Arial"/>
          <w:i/>
          <w:iCs/>
          <w:sz w:val="22"/>
          <w:szCs w:val="22"/>
          <w:lang w:val="es-CO" w:eastAsia="es-CO"/>
        </w:rPr>
        <w:t xml:space="preserve">, del cual se obtiene </w:t>
      </w:r>
      <w:r w:rsidRPr="00AB588A">
        <w:rPr>
          <w:rFonts w:ascii="Bookman Old Style" w:hAnsi="Bookman Old Style" w:cs="Arial"/>
          <w:i/>
          <w:iCs/>
          <w:sz w:val="22"/>
          <w:szCs w:val="22"/>
          <w:lang w:val="es-CO" w:eastAsia="es-CO"/>
        </w:rPr>
        <w:t>el monto eficiente de gastos de AOM de $49.433.439.929</w:t>
      </w:r>
      <w:r w:rsidRPr="009523EC">
        <w:rPr>
          <w:rFonts w:ascii="Bookman Old Style" w:hAnsi="Bookman Old Style" w:cs="Arial"/>
          <w:i/>
          <w:iCs/>
          <w:sz w:val="22"/>
          <w:szCs w:val="22"/>
          <w:lang w:val="es-CO" w:eastAsia="es-CO"/>
        </w:rPr>
        <w:t xml:space="preserve"> </w:t>
      </w:r>
      <w:r w:rsidRPr="000A155D">
        <w:rPr>
          <w:rFonts w:ascii="Bookman Old Style" w:hAnsi="Bookman Old Style" w:cs="Arial"/>
          <w:i/>
          <w:iCs/>
          <w:sz w:val="22"/>
          <w:szCs w:val="22"/>
          <w:lang w:val="es-CO" w:eastAsia="es-CO"/>
        </w:rPr>
        <w:t>que se considerará en los cálculos de los cargos transitorios de distribución (…)”</w:t>
      </w:r>
      <w:r w:rsidRPr="000A155D">
        <w:rPr>
          <w:rFonts w:ascii="Bookman Old Style" w:hAnsi="Bookman Old Style" w:cs="Arial"/>
          <w:iCs/>
          <w:sz w:val="22"/>
          <w:szCs w:val="22"/>
          <w:lang w:val="es-CO" w:eastAsia="es-CO"/>
        </w:rPr>
        <w:t xml:space="preserve"> (Subraya fuera de texto)</w:t>
      </w:r>
      <w:r w:rsidRPr="000A155D">
        <w:rPr>
          <w:rFonts w:ascii="Bookman Old Style" w:hAnsi="Bookman Old Style" w:cs="Arial"/>
          <w:i/>
          <w:iCs/>
          <w:sz w:val="22"/>
          <w:szCs w:val="22"/>
          <w:lang w:val="es-CO" w:eastAsia="es-CO"/>
        </w:rPr>
        <w:t>.</w:t>
      </w:r>
    </w:p>
    <w:p w:rsidR="00015592" w:rsidRDefault="00C25174" w:rsidP="00CB52B8">
      <w:pPr>
        <w:adjustRightInd w:val="0"/>
        <w:spacing w:before="240" w:after="240"/>
        <w:ind w:left="0"/>
        <w:jc w:val="both"/>
        <w:rPr>
          <w:rFonts w:ascii="Bookman Old Style" w:hAnsi="Bookman Old Style"/>
        </w:rPr>
      </w:pPr>
      <w:r>
        <w:rPr>
          <w:rFonts w:ascii="Bookman Old Style" w:hAnsi="Bookman Old Style"/>
        </w:rPr>
        <w:t>S</w:t>
      </w:r>
      <w:r w:rsidR="00015592">
        <w:rPr>
          <w:rFonts w:ascii="Bookman Old Style" w:hAnsi="Bookman Old Style"/>
        </w:rPr>
        <w:t>e observa</w:t>
      </w:r>
      <w:r w:rsidR="009523EC">
        <w:rPr>
          <w:rFonts w:ascii="Bookman Old Style" w:hAnsi="Bookman Old Style"/>
        </w:rPr>
        <w:t>,</w:t>
      </w:r>
      <w:r w:rsidR="00015592">
        <w:rPr>
          <w:rFonts w:ascii="Bookman Old Style" w:hAnsi="Bookman Old Style"/>
        </w:rPr>
        <w:t xml:space="preserve"> en el artículo transcrito</w:t>
      </w:r>
      <w:r w:rsidR="009523EC">
        <w:rPr>
          <w:rFonts w:ascii="Bookman Old Style" w:hAnsi="Bookman Old Style"/>
        </w:rPr>
        <w:t>,</w:t>
      </w:r>
      <w:r w:rsidR="00CB52B8">
        <w:rPr>
          <w:rFonts w:ascii="Bookman Old Style" w:hAnsi="Bookman Old Style"/>
        </w:rPr>
        <w:t xml:space="preserve"> que</w:t>
      </w:r>
      <w:r w:rsidR="00015592">
        <w:rPr>
          <w:rFonts w:ascii="Bookman Old Style" w:hAnsi="Bookman Old Style"/>
        </w:rPr>
        <w:t xml:space="preserve"> el porcentaje eficiente de AOM establecido para el mercado existente de distribución se mantiene en 11,91%</w:t>
      </w:r>
      <w:r w:rsidR="00CB52B8">
        <w:rPr>
          <w:rFonts w:ascii="Bookman Old Style" w:hAnsi="Bookman Old Style"/>
        </w:rPr>
        <w:t>. Lo anterior</w:t>
      </w:r>
      <w:r w:rsidR="00015592">
        <w:rPr>
          <w:rFonts w:ascii="Bookman Old Style" w:hAnsi="Bookman Old Style"/>
        </w:rPr>
        <w:t xml:space="preserve"> no es coherente con el nuevo monto de Base Regulatoria de Activos aprobado en la Resolución CREG 018 de 201</w:t>
      </w:r>
      <w:r w:rsidR="005A12B4">
        <w:rPr>
          <w:rFonts w:ascii="Bookman Old Style" w:hAnsi="Bookman Old Style"/>
        </w:rPr>
        <w:t>8</w:t>
      </w:r>
      <w:r w:rsidR="00CB52B8">
        <w:rPr>
          <w:rFonts w:ascii="Bookman Old Style" w:hAnsi="Bookman Old Style"/>
        </w:rPr>
        <w:t xml:space="preserve"> ya que</w:t>
      </w:r>
      <w:r>
        <w:rPr>
          <w:rFonts w:ascii="Bookman Old Style" w:hAnsi="Bookman Old Style"/>
        </w:rPr>
        <w:t>, como se mostró anteriormente, este porcentaje corresponde a 11,33% y no a 11,91%.</w:t>
      </w:r>
    </w:p>
    <w:p w:rsidR="00B75844" w:rsidRPr="008664E1" w:rsidRDefault="00B75844" w:rsidP="008664E1">
      <w:pPr>
        <w:adjustRightInd w:val="0"/>
        <w:spacing w:before="240" w:after="240"/>
        <w:ind w:left="0"/>
        <w:jc w:val="both"/>
        <w:rPr>
          <w:rFonts w:ascii="Bookman Old Style" w:hAnsi="Bookman Old Style"/>
        </w:rPr>
      </w:pPr>
      <w:r w:rsidRPr="008664E1">
        <w:rPr>
          <w:rFonts w:ascii="Bookman Old Style" w:hAnsi="Bookman Old Style"/>
        </w:rPr>
        <w:t xml:space="preserve">En este sentido, la Comisión </w:t>
      </w:r>
      <w:r w:rsidR="008D20EB">
        <w:rPr>
          <w:rFonts w:ascii="Bookman Old Style" w:hAnsi="Bookman Old Style"/>
        </w:rPr>
        <w:t xml:space="preserve">encuentra </w:t>
      </w:r>
      <w:r w:rsidRPr="008664E1">
        <w:rPr>
          <w:rFonts w:ascii="Bookman Old Style" w:hAnsi="Bookman Old Style"/>
        </w:rPr>
        <w:t xml:space="preserve">que dicho error se ajusta a los presupuestos del </w:t>
      </w:r>
      <w:r w:rsidR="008D20EB">
        <w:rPr>
          <w:rFonts w:ascii="Bookman Old Style" w:hAnsi="Bookman Old Style"/>
        </w:rPr>
        <w:t>A</w:t>
      </w:r>
      <w:r w:rsidRPr="008664E1">
        <w:rPr>
          <w:rFonts w:ascii="Bookman Old Style" w:hAnsi="Bookman Old Style"/>
        </w:rPr>
        <w:t>rtículo 45 de la Ley 1437 de 2011, toda vez que el mismo se considera como un error de transcripción, el cual no genera cambios en sentido material de la aplicación del</w:t>
      </w:r>
      <w:r w:rsidR="000C181E" w:rsidRPr="008664E1">
        <w:rPr>
          <w:rFonts w:ascii="Bookman Old Style" w:hAnsi="Bookman Old Style"/>
        </w:rPr>
        <w:t xml:space="preserve"> cargo aprobado para el </w:t>
      </w:r>
      <w:r w:rsidR="000C181E" w:rsidRPr="00153AF2">
        <w:rPr>
          <w:rFonts w:ascii="Bookman Old Style" w:hAnsi="Bookman Old Style"/>
        </w:rPr>
        <w:t>mercado relevante conformado por municipios de los departamentos de Atlántico, Magdalena, Cesar y Bolívar</w:t>
      </w:r>
      <w:r w:rsidRPr="008664E1">
        <w:rPr>
          <w:rFonts w:ascii="Bookman Old Style" w:hAnsi="Bookman Old Style"/>
        </w:rPr>
        <w:t xml:space="preserve">. Esta norma establece lo siguiente: </w:t>
      </w:r>
    </w:p>
    <w:p w:rsidR="00B75844" w:rsidRPr="00906168" w:rsidRDefault="00B75844" w:rsidP="008D20EB">
      <w:pPr>
        <w:ind w:left="426" w:right="425"/>
        <w:jc w:val="both"/>
        <w:rPr>
          <w:rFonts w:ascii="Bookman Old Style" w:hAnsi="Bookman Old Style" w:cs="Arial"/>
          <w:i/>
          <w:sz w:val="22"/>
          <w:szCs w:val="22"/>
        </w:rPr>
      </w:pPr>
      <w:r>
        <w:rPr>
          <w:rFonts w:ascii="Bookman Old Style" w:hAnsi="Bookman Old Style" w:cs="Arial"/>
          <w:b/>
          <w:i/>
          <w:sz w:val="22"/>
          <w:szCs w:val="22"/>
        </w:rPr>
        <w:t>“</w:t>
      </w:r>
      <w:r w:rsidRPr="00906168">
        <w:rPr>
          <w:rFonts w:ascii="Bookman Old Style" w:hAnsi="Bookman Old Style" w:cs="Arial"/>
          <w:b/>
          <w:i/>
          <w:sz w:val="22"/>
          <w:szCs w:val="22"/>
        </w:rPr>
        <w:t>Artículo 45. Corrección de errores formales.</w:t>
      </w:r>
      <w:r w:rsidRPr="00906168">
        <w:rPr>
          <w:rFonts w:ascii="Bookman Old Style" w:hAnsi="Bookman Old Style" w:cs="Arial"/>
          <w:i/>
          <w:sz w:val="22"/>
          <w:szCs w:val="22"/>
        </w:rPr>
        <w:t xml:space="preserve"> 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r>
        <w:rPr>
          <w:rFonts w:ascii="Bookman Old Style" w:hAnsi="Bookman Old Style" w:cs="Arial"/>
          <w:i/>
          <w:sz w:val="22"/>
          <w:szCs w:val="22"/>
        </w:rPr>
        <w:t>”</w:t>
      </w:r>
    </w:p>
    <w:p w:rsidR="00B75844" w:rsidRPr="008664E1" w:rsidRDefault="00B75844" w:rsidP="008664E1">
      <w:pPr>
        <w:adjustRightInd w:val="0"/>
        <w:spacing w:before="240" w:after="240"/>
        <w:ind w:left="0"/>
        <w:jc w:val="both"/>
        <w:rPr>
          <w:rFonts w:ascii="Bookman Old Style" w:hAnsi="Bookman Old Style"/>
        </w:rPr>
      </w:pPr>
      <w:r w:rsidRPr="008664E1">
        <w:rPr>
          <w:rFonts w:ascii="Bookman Old Style" w:hAnsi="Bookman Old Style"/>
        </w:rPr>
        <w:t>Con base en los anteriores considerandos, le corresponde a esta Comisión</w:t>
      </w:r>
      <w:r w:rsidR="008664E1" w:rsidRPr="008664E1">
        <w:rPr>
          <w:rFonts w:ascii="Bookman Old Style" w:hAnsi="Bookman Old Style"/>
        </w:rPr>
        <w:t>,</w:t>
      </w:r>
      <w:r w:rsidRPr="008664E1">
        <w:rPr>
          <w:rFonts w:ascii="Bookman Old Style" w:hAnsi="Bookman Old Style"/>
        </w:rPr>
        <w:t xml:space="preserve"> en el marco del </w:t>
      </w:r>
      <w:r w:rsidR="008664E1" w:rsidRPr="008664E1">
        <w:rPr>
          <w:rFonts w:ascii="Bookman Old Style" w:hAnsi="Bookman Old Style"/>
        </w:rPr>
        <w:t>Artículo 45 de la Ley 1437 de 2011,</w:t>
      </w:r>
      <w:r w:rsidRPr="008664E1">
        <w:rPr>
          <w:rFonts w:ascii="Bookman Old Style" w:hAnsi="Bookman Old Style"/>
        </w:rPr>
        <w:t xml:space="preserve"> </w:t>
      </w:r>
      <w:r w:rsidR="008D20EB" w:rsidRPr="008664E1">
        <w:rPr>
          <w:rFonts w:ascii="Bookman Old Style" w:hAnsi="Bookman Old Style"/>
        </w:rPr>
        <w:t xml:space="preserve">corregir y eliminar el error de transcripción identificado </w:t>
      </w:r>
      <w:r w:rsidR="008664E1" w:rsidRPr="008664E1">
        <w:rPr>
          <w:rFonts w:ascii="Bookman Old Style" w:hAnsi="Bookman Old Style"/>
        </w:rPr>
        <w:t>e</w:t>
      </w:r>
      <w:r w:rsidRPr="008664E1">
        <w:rPr>
          <w:rFonts w:ascii="Bookman Old Style" w:hAnsi="Bookman Old Style"/>
        </w:rPr>
        <w:t>l</w:t>
      </w:r>
      <w:r w:rsidR="008664E1" w:rsidRPr="008664E1">
        <w:rPr>
          <w:rFonts w:ascii="Bookman Old Style" w:hAnsi="Bookman Old Style"/>
        </w:rPr>
        <w:t xml:space="preserve"> A</w:t>
      </w:r>
      <w:r w:rsidRPr="008664E1">
        <w:rPr>
          <w:rFonts w:ascii="Bookman Old Style" w:hAnsi="Bookman Old Style"/>
        </w:rPr>
        <w:t>rtículo</w:t>
      </w:r>
      <w:r w:rsidR="008664E1" w:rsidRPr="008664E1">
        <w:rPr>
          <w:rFonts w:ascii="Bookman Old Style" w:hAnsi="Bookman Old Style"/>
        </w:rPr>
        <w:t xml:space="preserve"> 2</w:t>
      </w:r>
      <w:r w:rsidRPr="008664E1">
        <w:rPr>
          <w:rFonts w:ascii="Bookman Old Style" w:hAnsi="Bookman Old Style"/>
        </w:rPr>
        <w:t xml:space="preserve"> de la Resolución CREG </w:t>
      </w:r>
      <w:r w:rsidR="008664E1" w:rsidRPr="008664E1">
        <w:rPr>
          <w:rFonts w:ascii="Bookman Old Style" w:hAnsi="Bookman Old Style"/>
        </w:rPr>
        <w:t>018</w:t>
      </w:r>
      <w:r w:rsidRPr="008664E1">
        <w:rPr>
          <w:rFonts w:ascii="Bookman Old Style" w:hAnsi="Bookman Old Style"/>
        </w:rPr>
        <w:t xml:space="preserve"> de 2018 a efectos de.</w:t>
      </w:r>
    </w:p>
    <w:p w:rsidR="00B75844" w:rsidRPr="00DC5E95" w:rsidRDefault="00B75844" w:rsidP="00DC5E95">
      <w:pPr>
        <w:adjustRightInd w:val="0"/>
        <w:spacing w:before="240" w:after="240"/>
        <w:ind w:left="0"/>
        <w:jc w:val="both"/>
        <w:rPr>
          <w:rFonts w:ascii="Bookman Old Style" w:hAnsi="Bookman Old Style"/>
        </w:rPr>
      </w:pPr>
      <w:r w:rsidRPr="00DC5E95">
        <w:rPr>
          <w:rFonts w:ascii="Bookman Old Style" w:hAnsi="Bookman Old Style"/>
        </w:rPr>
        <w:t xml:space="preserve">Teniendo en cuenta lo anterior, y dado que la presente resolución corresponde a una medida adoptada a efectos de </w:t>
      </w:r>
      <w:r w:rsidR="008664E1" w:rsidRPr="00DC5E95">
        <w:rPr>
          <w:rFonts w:ascii="Bookman Old Style" w:hAnsi="Bookman Old Style"/>
        </w:rPr>
        <w:t>corregir</w:t>
      </w:r>
      <w:r w:rsidRPr="00DC5E95">
        <w:rPr>
          <w:rFonts w:ascii="Bookman Old Style" w:hAnsi="Bookman Old Style"/>
        </w:rPr>
        <w:t xml:space="preserve"> una actuación administrativa de la CREG en </w:t>
      </w:r>
      <w:r w:rsidR="008664E1" w:rsidRPr="00DC5E95">
        <w:rPr>
          <w:rFonts w:ascii="Bookman Old Style" w:hAnsi="Bookman Old Style"/>
        </w:rPr>
        <w:t>aplicación a lo previsto en el A</w:t>
      </w:r>
      <w:r w:rsidRPr="00DC5E95">
        <w:rPr>
          <w:rFonts w:ascii="Bookman Old Style" w:hAnsi="Bookman Old Style"/>
        </w:rPr>
        <w:t xml:space="preserve">rtículo </w:t>
      </w:r>
      <w:r w:rsidR="008664E1" w:rsidRPr="00DC5E95">
        <w:rPr>
          <w:rFonts w:ascii="Bookman Old Style" w:hAnsi="Bookman Old Style"/>
        </w:rPr>
        <w:t>45</w:t>
      </w:r>
      <w:r w:rsidRPr="00DC5E95">
        <w:rPr>
          <w:rFonts w:ascii="Bookman Old Style" w:hAnsi="Bookman Old Style"/>
        </w:rPr>
        <w:t xml:space="preserve"> de la </w:t>
      </w:r>
      <w:r w:rsidR="008664E1" w:rsidRPr="008664E1">
        <w:rPr>
          <w:rFonts w:ascii="Bookman Old Style" w:hAnsi="Bookman Old Style"/>
        </w:rPr>
        <w:t>Ley 1437 de 2011</w:t>
      </w:r>
      <w:r w:rsidRPr="00DC5E95">
        <w:rPr>
          <w:rFonts w:ascii="Bookman Old Style" w:hAnsi="Bookman Old Style"/>
        </w:rPr>
        <w:t>, el presente acto administrativo no requiere ser remitido a la SIC para los efectos establecidos en el artículo 7 de la Ley 1340 de 2009, reglamentado por el Decreto 2897 de 2010</w:t>
      </w:r>
      <w:r w:rsidRPr="00C07D45">
        <w:rPr>
          <w:rFonts w:ascii="Bookman Old Style" w:hAnsi="Bookman Old Style"/>
          <w:vertAlign w:val="superscript"/>
        </w:rPr>
        <w:footnoteReference w:id="1"/>
      </w:r>
      <w:r w:rsidRPr="00DC5E95">
        <w:rPr>
          <w:rFonts w:ascii="Bookman Old Style" w:hAnsi="Bookman Old Style"/>
        </w:rPr>
        <w:t>, por no tener incidencia sobre la libre competencia.</w:t>
      </w:r>
    </w:p>
    <w:p w:rsidR="00DC5E95" w:rsidRDefault="00DC5E95" w:rsidP="00DC5E95">
      <w:pPr>
        <w:adjustRightInd w:val="0"/>
        <w:spacing w:before="240" w:after="240"/>
        <w:ind w:left="0"/>
        <w:jc w:val="both"/>
        <w:rPr>
          <w:rFonts w:ascii="Bookman Old Style" w:hAnsi="Bookman Old Style"/>
          <w:color w:val="000000"/>
          <w:lang w:val="es-ES_tradnl"/>
        </w:rPr>
      </w:pPr>
      <w:r w:rsidRPr="00DC5E95">
        <w:rPr>
          <w:rFonts w:ascii="Bookman Old Style" w:hAnsi="Bookman Old Style"/>
        </w:rPr>
        <w:t>La Comisión de Regulación de Energía y Gas, en su sesión No.</w:t>
      </w:r>
      <w:r w:rsidR="005A12B4">
        <w:rPr>
          <w:rFonts w:ascii="Bookman Old Style" w:hAnsi="Bookman Old Style"/>
        </w:rPr>
        <w:t xml:space="preserve">949 </w:t>
      </w:r>
      <w:r w:rsidRPr="00DC5E95">
        <w:rPr>
          <w:rFonts w:ascii="Bookman Old Style" w:hAnsi="Bookman Old Style"/>
        </w:rPr>
        <w:t xml:space="preserve">del </w:t>
      </w:r>
      <w:r w:rsidR="005A12B4">
        <w:rPr>
          <w:rFonts w:ascii="Bookman Old Style" w:hAnsi="Bookman Old Style"/>
        </w:rPr>
        <w:t>4</w:t>
      </w:r>
      <w:r w:rsidRPr="00DC5E95">
        <w:rPr>
          <w:rFonts w:ascii="Bookman Old Style" w:hAnsi="Bookman Old Style"/>
        </w:rPr>
        <w:t xml:space="preserve"> de octubre de 2019, aprobó</w:t>
      </w:r>
      <w:r w:rsidRPr="001954E9">
        <w:rPr>
          <w:rFonts w:ascii="Bookman Old Style" w:hAnsi="Bookman Old Style"/>
          <w:color w:val="000000"/>
          <w:lang w:val="es-ES_tradnl"/>
        </w:rPr>
        <w:t xml:space="preserve"> expedir la presente </w:t>
      </w:r>
      <w:r>
        <w:rPr>
          <w:rFonts w:ascii="Bookman Old Style" w:hAnsi="Bookman Old Style"/>
          <w:color w:val="000000"/>
          <w:lang w:val="es-ES_tradnl"/>
        </w:rPr>
        <w:t>R</w:t>
      </w:r>
      <w:r w:rsidRPr="001954E9">
        <w:rPr>
          <w:rFonts w:ascii="Bookman Old Style" w:hAnsi="Bookman Old Style"/>
          <w:color w:val="000000"/>
          <w:lang w:val="es-ES_tradnl"/>
        </w:rPr>
        <w:t>esolución</w:t>
      </w:r>
      <w:r>
        <w:rPr>
          <w:rFonts w:ascii="Bookman Old Style" w:hAnsi="Bookman Old Style"/>
          <w:color w:val="000000"/>
          <w:lang w:val="es-ES_tradnl"/>
        </w:rPr>
        <w:t xml:space="preserve"> y, en consecuencia,</w:t>
      </w:r>
    </w:p>
    <w:p w:rsidR="00045D3D" w:rsidRPr="00C435C3" w:rsidRDefault="00045D3D" w:rsidP="00AB588A">
      <w:pPr>
        <w:keepNext/>
        <w:suppressAutoHyphens/>
        <w:spacing w:before="480" w:after="360"/>
        <w:jc w:val="center"/>
        <w:rPr>
          <w:rFonts w:ascii="Bookman Old Style" w:hAnsi="Bookman Old Style"/>
          <w:spacing w:val="-3"/>
        </w:rPr>
      </w:pPr>
      <w:r w:rsidRPr="00C435C3">
        <w:rPr>
          <w:rFonts w:ascii="Bookman Old Style" w:hAnsi="Bookman Old Style"/>
          <w:b/>
          <w:spacing w:val="-3"/>
        </w:rPr>
        <w:t>R E S U E L V E:</w:t>
      </w:r>
    </w:p>
    <w:p w:rsidR="00131570" w:rsidRPr="00C245F6" w:rsidRDefault="00045D3D" w:rsidP="00FA647B">
      <w:pPr>
        <w:spacing w:before="240" w:after="240"/>
        <w:ind w:left="0"/>
        <w:jc w:val="both"/>
        <w:rPr>
          <w:rFonts w:ascii="Bookman Old Style" w:hAnsi="Bookman Old Style"/>
          <w:lang w:val="es-CO"/>
        </w:rPr>
      </w:pPr>
      <w:r w:rsidRPr="002A782A">
        <w:rPr>
          <w:rFonts w:ascii="Bookman Old Style" w:hAnsi="Bookman Old Style"/>
          <w:b/>
        </w:rPr>
        <w:t xml:space="preserve">ARTÍCULO 1. </w:t>
      </w:r>
      <w:r w:rsidR="00131570">
        <w:rPr>
          <w:rFonts w:ascii="Bookman Old Style" w:hAnsi="Bookman Old Style"/>
          <w:lang w:val="es-CO"/>
        </w:rPr>
        <w:t>Establézcase</w:t>
      </w:r>
      <w:r w:rsidR="00131570" w:rsidRPr="00C245F6">
        <w:rPr>
          <w:rFonts w:ascii="Bookman Old Style" w:hAnsi="Bookman Old Style"/>
          <w:lang w:val="es-CO"/>
        </w:rPr>
        <w:t xml:space="preserve"> la </w:t>
      </w:r>
      <w:r w:rsidR="00131570">
        <w:rPr>
          <w:rFonts w:ascii="Bookman Old Style" w:hAnsi="Bookman Old Style"/>
          <w:lang w:val="es-CO"/>
        </w:rPr>
        <w:t>identificación</w:t>
      </w:r>
      <w:r w:rsidR="00131570" w:rsidRPr="00C245F6">
        <w:rPr>
          <w:rFonts w:ascii="Bookman Old Style" w:hAnsi="Bookman Old Style"/>
          <w:lang w:val="es-CO"/>
        </w:rPr>
        <w:t xml:space="preserve"> de un error formal en relación con </w:t>
      </w:r>
      <w:r w:rsidR="00131570">
        <w:rPr>
          <w:rFonts w:ascii="Bookman Old Style" w:hAnsi="Bookman Old Style"/>
          <w:lang w:val="es-CO"/>
        </w:rPr>
        <w:t xml:space="preserve">el porcentaje </w:t>
      </w:r>
      <w:r w:rsidR="00131570">
        <w:rPr>
          <w:rFonts w:ascii="Bookman Old Style" w:hAnsi="Bookman Old Style"/>
        </w:rPr>
        <w:t xml:space="preserve">eficiente de AOM establecido para el mercado existente de distribución </w:t>
      </w:r>
      <w:r w:rsidR="00FA647B">
        <w:rPr>
          <w:rFonts w:ascii="Bookman Old Style" w:hAnsi="Bookman Old Style"/>
        </w:rPr>
        <w:t>aprobado mediante el Artículo 1 de la Resolución CREG 198 de 2017</w:t>
      </w:r>
      <w:r w:rsidR="00131570" w:rsidRPr="00C245F6">
        <w:rPr>
          <w:rFonts w:ascii="Bookman Old Style" w:hAnsi="Bookman Old Style"/>
          <w:lang w:val="es-CO"/>
        </w:rPr>
        <w:t xml:space="preserve"> en los términos del</w:t>
      </w:r>
      <w:r w:rsidR="00E7606B">
        <w:rPr>
          <w:rFonts w:ascii="Bookman Old Style" w:hAnsi="Bookman Old Style"/>
          <w:lang w:val="es-CO"/>
        </w:rPr>
        <w:t xml:space="preserve"> </w:t>
      </w:r>
      <w:r w:rsidR="008D20EB">
        <w:rPr>
          <w:rFonts w:ascii="Bookman Old Style" w:hAnsi="Bookman Old Style"/>
          <w:lang w:val="es-CO"/>
        </w:rPr>
        <w:t>A</w:t>
      </w:r>
      <w:r w:rsidR="00131570" w:rsidRPr="00C245F6">
        <w:rPr>
          <w:rFonts w:ascii="Bookman Old Style" w:hAnsi="Bookman Old Style"/>
          <w:lang w:val="es-CO"/>
        </w:rPr>
        <w:t>rtículo 45 de la Ley 1437 de 2011.</w:t>
      </w:r>
    </w:p>
    <w:p w:rsidR="00045D3D" w:rsidRDefault="00045D3D" w:rsidP="00FA647B">
      <w:pPr>
        <w:ind w:left="0"/>
        <w:jc w:val="both"/>
        <w:rPr>
          <w:rFonts w:ascii="Bookman Old Style" w:hAnsi="Bookman Old Style"/>
          <w:lang w:val="es-CO"/>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sidR="00FA647B">
        <w:rPr>
          <w:rFonts w:ascii="Bookman Old Style" w:hAnsi="Bookman Old Style"/>
          <w:i/>
          <w:sz w:val="22"/>
        </w:rPr>
        <w:t xml:space="preserve"> </w:t>
      </w:r>
      <w:r w:rsidR="008D20EB" w:rsidRPr="00AB588A">
        <w:rPr>
          <w:rFonts w:ascii="Bookman Old Style" w:hAnsi="Bookman Old Style"/>
        </w:rPr>
        <w:t xml:space="preserve">Corregir </w:t>
      </w:r>
      <w:r w:rsidR="008D20EB">
        <w:rPr>
          <w:rFonts w:ascii="Bookman Old Style" w:hAnsi="Bookman Old Style"/>
          <w:lang w:val="es-CO"/>
        </w:rPr>
        <w:t>e</w:t>
      </w:r>
      <w:r w:rsidR="00FA647B">
        <w:rPr>
          <w:rFonts w:ascii="Bookman Old Style" w:hAnsi="Bookman Old Style"/>
          <w:lang w:val="es-CO"/>
        </w:rPr>
        <w:t xml:space="preserve">l </w:t>
      </w:r>
      <w:r w:rsidR="008D20EB">
        <w:rPr>
          <w:rFonts w:ascii="Bookman Old Style" w:hAnsi="Bookman Old Style"/>
          <w:lang w:val="es-CO"/>
        </w:rPr>
        <w:t xml:space="preserve">error formal identificado en el </w:t>
      </w:r>
      <w:r w:rsidR="00FA647B">
        <w:rPr>
          <w:rFonts w:ascii="Bookman Old Style" w:hAnsi="Bookman Old Style"/>
          <w:lang w:val="es-CO"/>
        </w:rPr>
        <w:t>A</w:t>
      </w:r>
      <w:r w:rsidR="00FA647B" w:rsidRPr="00C245F6">
        <w:rPr>
          <w:rFonts w:ascii="Bookman Old Style" w:hAnsi="Bookman Old Style"/>
          <w:lang w:val="es-CO"/>
        </w:rPr>
        <w:t xml:space="preserve">rtículo </w:t>
      </w:r>
      <w:r w:rsidR="00FA647B">
        <w:rPr>
          <w:rFonts w:ascii="Bookman Old Style" w:hAnsi="Bookman Old Style"/>
          <w:lang w:val="es-CO"/>
        </w:rPr>
        <w:t>2</w:t>
      </w:r>
      <w:r w:rsidR="00FA647B" w:rsidRPr="00C245F6">
        <w:rPr>
          <w:rFonts w:ascii="Bookman Old Style" w:hAnsi="Bookman Old Style"/>
          <w:lang w:val="es-CO"/>
        </w:rPr>
        <w:t xml:space="preserve"> de la Resolución CREG 0</w:t>
      </w:r>
      <w:r w:rsidR="00FA647B">
        <w:rPr>
          <w:rFonts w:ascii="Bookman Old Style" w:hAnsi="Bookman Old Style"/>
          <w:lang w:val="es-CO"/>
        </w:rPr>
        <w:t>18</w:t>
      </w:r>
      <w:r w:rsidR="00FA647B" w:rsidRPr="00C245F6">
        <w:rPr>
          <w:rFonts w:ascii="Bookman Old Style" w:hAnsi="Bookman Old Style"/>
          <w:lang w:val="es-CO"/>
        </w:rPr>
        <w:t xml:space="preserve"> de 2018</w:t>
      </w:r>
      <w:r w:rsidR="00BD588B">
        <w:rPr>
          <w:rFonts w:ascii="Bookman Old Style" w:hAnsi="Bookman Old Style"/>
          <w:lang w:val="es-CO"/>
        </w:rPr>
        <w:t xml:space="preserve"> conforme a lo indicado en la parte motiva de la presente Resolución el cual, en consecuencia,</w:t>
      </w:r>
      <w:r w:rsidR="00FA647B" w:rsidRPr="00C245F6">
        <w:rPr>
          <w:rFonts w:ascii="Bookman Old Style" w:hAnsi="Bookman Old Style"/>
          <w:lang w:val="es-CO"/>
        </w:rPr>
        <w:t xml:space="preserve"> quedará así:</w:t>
      </w:r>
    </w:p>
    <w:p w:rsidR="00FA647B" w:rsidRPr="00E32B8C" w:rsidRDefault="00FA647B" w:rsidP="008D20EB">
      <w:pPr>
        <w:tabs>
          <w:tab w:val="left" w:pos="0"/>
          <w:tab w:val="left" w:pos="993"/>
        </w:tabs>
        <w:autoSpaceDE w:val="0"/>
        <w:autoSpaceDN w:val="0"/>
        <w:adjustRightInd w:val="0"/>
        <w:spacing w:before="240" w:after="240"/>
        <w:ind w:left="426" w:right="425"/>
        <w:jc w:val="both"/>
        <w:rPr>
          <w:rFonts w:ascii="Bookman Old Style" w:hAnsi="Bookman Old Style" w:cs="Arial"/>
          <w:i/>
          <w:sz w:val="22"/>
          <w:szCs w:val="22"/>
        </w:rPr>
      </w:pPr>
      <w:r w:rsidRPr="00E32B8C">
        <w:rPr>
          <w:rFonts w:ascii="Bookman Old Style" w:eastAsia="Calibri" w:hAnsi="Bookman Old Style" w:cs="Century Gothic"/>
          <w:b/>
          <w:i/>
          <w:sz w:val="22"/>
          <w:szCs w:val="22"/>
          <w:lang w:eastAsia="es-CO"/>
        </w:rPr>
        <w:lastRenderedPageBreak/>
        <w:t xml:space="preserve">“ARTÍCULO 2. </w:t>
      </w:r>
      <w:r w:rsidRPr="00E32B8C">
        <w:rPr>
          <w:rFonts w:ascii="Bookman Old Style" w:eastAsia="Calibri" w:hAnsi="Bookman Old Style" w:cs="Century Gothic"/>
          <w:i/>
          <w:sz w:val="22"/>
          <w:szCs w:val="22"/>
          <w:lang w:eastAsia="es-CO"/>
        </w:rPr>
        <w:t>Modificar el Artículo 4 “Gastos de Administración, Operación y Mantenimiento - AOM</w:t>
      </w:r>
      <w:r w:rsidRPr="00E32B8C">
        <w:rPr>
          <w:rFonts w:ascii="Bookman Old Style" w:hAnsi="Bookman Old Style" w:cs="Arial"/>
          <w:i/>
          <w:sz w:val="22"/>
          <w:szCs w:val="22"/>
        </w:rPr>
        <w:t>” de la Resolución CREG 198 de 2017, el cual quedará así:</w:t>
      </w:r>
    </w:p>
    <w:p w:rsidR="00FA647B" w:rsidRPr="00E32B8C" w:rsidRDefault="00FA647B" w:rsidP="008D20EB">
      <w:pPr>
        <w:spacing w:before="240" w:after="240"/>
        <w:ind w:left="426" w:right="425"/>
        <w:jc w:val="both"/>
        <w:rPr>
          <w:rFonts w:ascii="Bookman Old Style" w:hAnsi="Bookman Old Style" w:cs="Arial"/>
          <w:bCs/>
          <w:i/>
          <w:sz w:val="22"/>
          <w:szCs w:val="22"/>
        </w:rPr>
      </w:pPr>
      <w:r w:rsidRPr="00E32B8C">
        <w:rPr>
          <w:rFonts w:ascii="Bookman Old Style" w:hAnsi="Bookman Old Style" w:cs="Arial"/>
          <w:b/>
          <w:i/>
          <w:sz w:val="22"/>
          <w:szCs w:val="22"/>
        </w:rPr>
        <w:t>‘ARTÍCULO 4. Gastos de Administración, Operación y Mantenimiento - AOM.</w:t>
      </w:r>
      <w:r w:rsidRPr="00E32B8C">
        <w:rPr>
          <w:rFonts w:ascii="Bookman Old Style" w:hAnsi="Bookman Old Style" w:cs="Arial"/>
          <w:bCs/>
          <w:i/>
          <w:sz w:val="22"/>
          <w:szCs w:val="22"/>
        </w:rPr>
        <w:t xml:space="preserve"> El porcentaje eficiente de AOM establecido para el mercado existente de distribución es del 11,</w:t>
      </w:r>
      <w:r w:rsidR="00355ACD">
        <w:rPr>
          <w:rFonts w:ascii="Bookman Old Style" w:hAnsi="Bookman Old Style" w:cs="Arial"/>
          <w:bCs/>
          <w:i/>
          <w:sz w:val="22"/>
          <w:szCs w:val="22"/>
        </w:rPr>
        <w:t>33</w:t>
      </w:r>
      <w:r w:rsidRPr="00E32B8C">
        <w:rPr>
          <w:rFonts w:ascii="Bookman Old Style" w:hAnsi="Bookman Old Style" w:cs="Arial"/>
          <w:bCs/>
          <w:i/>
          <w:sz w:val="22"/>
          <w:szCs w:val="22"/>
        </w:rPr>
        <w:t xml:space="preserve">%, del cual se obtiene el </w:t>
      </w:r>
      <w:r w:rsidRPr="00E32B8C">
        <w:rPr>
          <w:rFonts w:ascii="Bookman Old Style" w:hAnsi="Bookman Old Style" w:cs="Arial"/>
          <w:i/>
          <w:sz w:val="22"/>
          <w:szCs w:val="22"/>
          <w:lang w:val="es-ES_tradnl" w:eastAsia="es-CO"/>
        </w:rPr>
        <w:t>monto eficiente de gastos de AOM de $</w:t>
      </w:r>
      <w:r w:rsidRPr="00E32B8C">
        <w:rPr>
          <w:rFonts w:ascii="Bookman Old Style" w:hAnsi="Bookman Old Style" w:cs="Arial"/>
          <w:i/>
          <w:color w:val="000000"/>
          <w:sz w:val="22"/>
          <w:szCs w:val="22"/>
          <w:lang w:val="es-CO" w:eastAsia="es-CO"/>
        </w:rPr>
        <w:t xml:space="preserve">49.433.439.929 </w:t>
      </w:r>
      <w:r w:rsidRPr="00E32B8C">
        <w:rPr>
          <w:rFonts w:ascii="Bookman Old Style" w:hAnsi="Bookman Old Style" w:cs="Arial"/>
          <w:i/>
          <w:sz w:val="22"/>
          <w:szCs w:val="22"/>
          <w:lang w:val="es-ES_tradnl" w:eastAsia="es-CO"/>
        </w:rPr>
        <w:t>que se considerará en los cálculos de los cargos transitorios de distribución.</w:t>
      </w:r>
    </w:p>
    <w:p w:rsidR="00FA647B" w:rsidRPr="00E32B8C" w:rsidRDefault="00FA647B" w:rsidP="008D20EB">
      <w:pPr>
        <w:adjustRightInd w:val="0"/>
        <w:spacing w:before="240" w:after="240"/>
        <w:ind w:left="426" w:right="425"/>
        <w:jc w:val="both"/>
        <w:rPr>
          <w:rFonts w:ascii="Bookman Old Style" w:hAnsi="Bookman Old Style" w:cs="Arial"/>
          <w:b/>
          <w:i/>
          <w:sz w:val="22"/>
          <w:szCs w:val="22"/>
        </w:rPr>
      </w:pPr>
      <w:r w:rsidRPr="00E32B8C">
        <w:rPr>
          <w:rFonts w:ascii="Bookman Old Style" w:hAnsi="Bookman Old Style" w:cs="Arial"/>
          <w:i/>
          <w:sz w:val="22"/>
          <w:szCs w:val="22"/>
        </w:rPr>
        <w:t>Aplicando la metodología contenida en la Resolución CREG 202 de 2013 y sus modificaciones y adiciones, se calcularon conforme a las formulas establecidas en los numerales 9.1.1.1. y 9.2.1.1. del artículo 9 para la componente que remunera los gastos de AOM, aplicable a usuarios de uso residencial y a usuarios diferentes a los de uso residencial, las siguientes variables principales:</w:t>
      </w:r>
    </w:p>
    <w:tbl>
      <w:tblPr>
        <w:tblW w:w="465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2457"/>
        <w:gridCol w:w="2180"/>
        <w:gridCol w:w="2457"/>
      </w:tblGrid>
      <w:tr w:rsidR="00FA647B" w:rsidRPr="008D20EB" w:rsidTr="00AB588A">
        <w:trPr>
          <w:trHeight w:val="219"/>
          <w:tblHeader/>
        </w:trPr>
        <w:tc>
          <w:tcPr>
            <w:tcW w:w="5000" w:type="pct"/>
            <w:gridSpan w:val="4"/>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Usuarios de Uso Residencial</w:t>
            </w:r>
          </w:p>
        </w:tc>
      </w:tr>
      <w:tr w:rsidR="00FA647B" w:rsidRPr="008D20EB" w:rsidTr="00AB588A">
        <w:trPr>
          <w:trHeight w:val="230"/>
          <w:tblHeader/>
        </w:trPr>
        <w:tc>
          <w:tcPr>
            <w:tcW w:w="991" w:type="pct"/>
            <w:vMerge w:val="restar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Variable</w:t>
            </w:r>
          </w:p>
        </w:tc>
        <w:tc>
          <w:tcPr>
            <w:tcW w:w="4008" w:type="pct"/>
            <w:gridSpan w:val="3"/>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Valor ($31 Dic 2014)</w:t>
            </w:r>
          </w:p>
        </w:tc>
      </w:tr>
      <w:tr w:rsidR="00FA647B" w:rsidRPr="008D20EB" w:rsidTr="00AB588A">
        <w:trPr>
          <w:trHeight w:val="104"/>
          <w:tblHeader/>
        </w:trPr>
        <w:tc>
          <w:tcPr>
            <w:tcW w:w="991" w:type="pct"/>
            <w:vMerge/>
            <w:shd w:val="clear" w:color="auto" w:fill="D9D9D9"/>
            <w:vAlign w:val="center"/>
          </w:tcPr>
          <w:p w:rsidR="00FA647B" w:rsidRPr="00AB588A" w:rsidRDefault="00FA647B" w:rsidP="008D20EB">
            <w:pPr>
              <w:ind w:left="426" w:right="425"/>
              <w:jc w:val="both"/>
              <w:rPr>
                <w:rFonts w:ascii="Bookman Old Style" w:hAnsi="Bookman Old Style" w:cs="Arial"/>
                <w:i/>
                <w:sz w:val="18"/>
                <w:szCs w:val="18"/>
              </w:rPr>
            </w:pPr>
          </w:p>
        </w:tc>
        <w:tc>
          <w:tcPr>
            <w:tcW w:w="1336"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2017</w:t>
            </w:r>
          </w:p>
        </w:tc>
        <w:tc>
          <w:tcPr>
            <w:tcW w:w="1336"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2018</w:t>
            </w:r>
          </w:p>
        </w:tc>
        <w:tc>
          <w:tcPr>
            <w:tcW w:w="1336"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2019 – 2020 - 2021</w:t>
            </w:r>
          </w:p>
        </w:tc>
      </w:tr>
      <w:tr w:rsidR="00FA647B" w:rsidRPr="008D20EB" w:rsidTr="00AB588A">
        <w:trPr>
          <w:trHeight w:val="331"/>
        </w:trPr>
        <w:tc>
          <w:tcPr>
            <w:tcW w:w="9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AOM</m:t>
                    </m:r>
                  </m:e>
                  <m:sub>
                    <m:r>
                      <w:rPr>
                        <w:rFonts w:ascii="Cambria Math" w:hAnsi="Cambria Math" w:cs="Arial"/>
                        <w:sz w:val="18"/>
                        <w:szCs w:val="18"/>
                      </w:rPr>
                      <m:t>RPk</m:t>
                    </m:r>
                  </m:sub>
                </m:sSub>
              </m:oMath>
            </m:oMathPara>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rsidR="00FA647B" w:rsidRPr="00AB588A" w:rsidRDefault="00FA647B" w:rsidP="00021AF6">
            <w:pPr>
              <w:ind w:left="426" w:right="425"/>
              <w:rPr>
                <w:rFonts w:ascii="Bookman Old Style" w:hAnsi="Bookman Old Style" w:cs="Arial"/>
                <w:i/>
                <w:sz w:val="18"/>
                <w:szCs w:val="18"/>
              </w:rPr>
            </w:pPr>
            <w:r w:rsidRPr="00AB588A">
              <w:rPr>
                <w:rFonts w:ascii="Bookman Old Style" w:hAnsi="Bookman Old Style"/>
                <w:i/>
                <w:color w:val="000000"/>
                <w:sz w:val="18"/>
                <w:szCs w:val="18"/>
              </w:rPr>
              <w:t>19.002.794.660</w:t>
            </w:r>
          </w:p>
        </w:tc>
        <w:tc>
          <w:tcPr>
            <w:tcW w:w="1336" w:type="pct"/>
            <w:tcBorders>
              <w:top w:val="single" w:sz="4" w:space="0" w:color="auto"/>
              <w:left w:val="nil"/>
              <w:bottom w:val="single" w:sz="4" w:space="0" w:color="auto"/>
              <w:right w:val="single" w:sz="4" w:space="0" w:color="auto"/>
            </w:tcBorders>
            <w:shd w:val="clear" w:color="auto" w:fill="auto"/>
            <w:vAlign w:val="center"/>
          </w:tcPr>
          <w:p w:rsidR="00FA647B" w:rsidRPr="00AB588A" w:rsidRDefault="00FA647B" w:rsidP="00021AF6">
            <w:pPr>
              <w:ind w:left="426"/>
              <w:rPr>
                <w:rFonts w:ascii="Bookman Old Style" w:hAnsi="Bookman Old Style" w:cs="Arial"/>
                <w:i/>
                <w:sz w:val="18"/>
                <w:szCs w:val="18"/>
              </w:rPr>
            </w:pPr>
            <w:r w:rsidRPr="00AB588A">
              <w:rPr>
                <w:rFonts w:ascii="Bookman Old Style" w:hAnsi="Bookman Old Style"/>
                <w:i/>
                <w:color w:val="000000"/>
                <w:sz w:val="18"/>
                <w:szCs w:val="18"/>
              </w:rPr>
              <w:t>19.002.794.660</w:t>
            </w:r>
          </w:p>
        </w:tc>
        <w:tc>
          <w:tcPr>
            <w:tcW w:w="1336" w:type="pct"/>
            <w:tcBorders>
              <w:top w:val="single" w:sz="4" w:space="0" w:color="auto"/>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19.002.794.660</w:t>
            </w:r>
          </w:p>
        </w:tc>
      </w:tr>
      <w:tr w:rsidR="00FA647B" w:rsidRPr="008D20EB" w:rsidTr="00AB588A">
        <w:trPr>
          <w:trHeight w:val="331"/>
        </w:trPr>
        <w:tc>
          <w:tcPr>
            <w:tcW w:w="9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AOM</m:t>
                    </m:r>
                  </m:e>
                  <m:sub>
                    <m:r>
                      <w:rPr>
                        <w:rFonts w:ascii="Cambria Math" w:hAnsi="Cambria Math" w:cs="Arial"/>
                        <w:sz w:val="18"/>
                        <w:szCs w:val="18"/>
                      </w:rPr>
                      <m:t>RSk</m:t>
                    </m:r>
                  </m:sub>
                </m:sSub>
              </m:oMath>
            </m:oMathPara>
          </w:p>
        </w:tc>
        <w:tc>
          <w:tcPr>
            <w:tcW w:w="13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021AF6">
            <w:pPr>
              <w:ind w:left="426"/>
              <w:rPr>
                <w:rFonts w:ascii="Bookman Old Style" w:hAnsi="Bookman Old Style" w:cs="Arial"/>
                <w:i/>
                <w:sz w:val="18"/>
                <w:szCs w:val="18"/>
              </w:rPr>
            </w:pPr>
            <w:r w:rsidRPr="00AB588A">
              <w:rPr>
                <w:rFonts w:ascii="Bookman Old Style" w:hAnsi="Bookman Old Style"/>
                <w:i/>
                <w:color w:val="000000"/>
                <w:sz w:val="18"/>
                <w:szCs w:val="18"/>
              </w:rPr>
              <w:t>32.985.730.146</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021AF6">
            <w:pPr>
              <w:ind w:left="426"/>
              <w:rPr>
                <w:rFonts w:ascii="Bookman Old Style" w:hAnsi="Bookman Old Style" w:cs="Arial"/>
                <w:i/>
                <w:sz w:val="18"/>
                <w:szCs w:val="18"/>
              </w:rPr>
            </w:pPr>
            <w:r w:rsidRPr="00AB588A">
              <w:rPr>
                <w:rFonts w:ascii="Bookman Old Style" w:hAnsi="Bookman Old Style"/>
                <w:i/>
                <w:color w:val="000000"/>
                <w:sz w:val="18"/>
                <w:szCs w:val="18"/>
              </w:rPr>
              <w:t>32.985.730.146</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32.985.730.146</w:t>
            </w:r>
          </w:p>
        </w:tc>
      </w:tr>
      <w:tr w:rsidR="00FA647B" w:rsidRPr="008D20EB" w:rsidTr="00AB588A">
        <w:trPr>
          <w:trHeight w:val="331"/>
        </w:trPr>
        <w:tc>
          <w:tcPr>
            <w:tcW w:w="9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Tk</m:t>
                    </m:r>
                  </m:sub>
                </m:sSub>
              </m:oMath>
            </m:oMathPara>
          </w:p>
        </w:tc>
        <w:tc>
          <w:tcPr>
            <w:tcW w:w="13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021AF6">
            <w:pPr>
              <w:ind w:left="426" w:right="425"/>
              <w:rPr>
                <w:rFonts w:ascii="Bookman Old Style" w:hAnsi="Bookman Old Style" w:cs="Arial"/>
                <w:i/>
                <w:sz w:val="18"/>
                <w:szCs w:val="18"/>
              </w:rPr>
            </w:pPr>
            <w:r w:rsidRPr="00AB588A">
              <w:rPr>
                <w:rFonts w:ascii="Bookman Old Style" w:hAnsi="Bookman Old Style"/>
                <w:i/>
                <w:color w:val="000000"/>
                <w:sz w:val="18"/>
                <w:szCs w:val="18"/>
              </w:rPr>
              <w:t>562.910.459</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021AF6">
            <w:pPr>
              <w:ind w:left="426" w:right="425"/>
              <w:rPr>
                <w:rFonts w:ascii="Bookman Old Style" w:hAnsi="Bookman Old Style" w:cs="Arial"/>
                <w:i/>
                <w:sz w:val="18"/>
                <w:szCs w:val="18"/>
              </w:rPr>
            </w:pPr>
            <w:r w:rsidRPr="00AB588A">
              <w:rPr>
                <w:rFonts w:ascii="Bookman Old Style" w:hAnsi="Bookman Old Style"/>
                <w:i/>
                <w:color w:val="000000"/>
                <w:sz w:val="18"/>
                <w:szCs w:val="18"/>
              </w:rPr>
              <w:t>562.910.459</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562.910.459</w:t>
            </w:r>
          </w:p>
        </w:tc>
      </w:tr>
      <w:tr w:rsidR="00FA647B" w:rsidRPr="008D20EB" w:rsidTr="00AB588A">
        <w:trPr>
          <w:trHeight w:val="331"/>
        </w:trPr>
        <w:tc>
          <w:tcPr>
            <w:tcW w:w="9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NoResRSk</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Resk</m:t>
                    </m:r>
                  </m:sub>
                </m:sSub>
              </m:oMath>
            </m:oMathPara>
          </w:p>
        </w:tc>
        <w:tc>
          <w:tcPr>
            <w:tcW w:w="13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021AF6">
            <w:pPr>
              <w:ind w:left="426" w:right="425"/>
              <w:rPr>
                <w:rFonts w:ascii="Bookman Old Style" w:hAnsi="Bookman Old Style" w:cs="Arial"/>
                <w:i/>
                <w:sz w:val="18"/>
                <w:szCs w:val="18"/>
              </w:rPr>
            </w:pPr>
            <w:r w:rsidRPr="00AB588A">
              <w:rPr>
                <w:rFonts w:ascii="Bookman Old Style" w:hAnsi="Bookman Old Style"/>
                <w:i/>
                <w:color w:val="000000"/>
                <w:sz w:val="18"/>
                <w:szCs w:val="18"/>
              </w:rPr>
              <w:t>224.952.504</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021AF6">
            <w:pPr>
              <w:ind w:left="426" w:right="425"/>
              <w:rPr>
                <w:rFonts w:ascii="Bookman Old Style" w:hAnsi="Bookman Old Style" w:cs="Arial"/>
                <w:i/>
                <w:sz w:val="18"/>
                <w:szCs w:val="18"/>
              </w:rPr>
            </w:pPr>
            <w:r w:rsidRPr="00AB588A">
              <w:rPr>
                <w:rFonts w:ascii="Bookman Old Style" w:hAnsi="Bookman Old Style"/>
                <w:i/>
                <w:color w:val="000000"/>
                <w:sz w:val="18"/>
                <w:szCs w:val="18"/>
              </w:rPr>
              <w:t>224.952.504</w:t>
            </w:r>
          </w:p>
        </w:tc>
        <w:tc>
          <w:tcPr>
            <w:tcW w:w="1336"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224.952.504</w:t>
            </w:r>
          </w:p>
        </w:tc>
      </w:tr>
    </w:tbl>
    <w:p w:rsidR="00FA647B" w:rsidRPr="00AB588A" w:rsidRDefault="00FA647B" w:rsidP="008D20EB">
      <w:pPr>
        <w:ind w:left="426" w:right="425"/>
        <w:jc w:val="both"/>
        <w:rPr>
          <w:rFonts w:ascii="Bookman Old Style" w:hAnsi="Bookman Old Style" w:cs="Arial"/>
          <w:i/>
          <w:sz w:val="18"/>
          <w:szCs w:val="18"/>
        </w:rPr>
      </w:pPr>
    </w:p>
    <w:tbl>
      <w:tblPr>
        <w:tblW w:w="470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2457"/>
        <w:gridCol w:w="2194"/>
        <w:gridCol w:w="2457"/>
      </w:tblGrid>
      <w:tr w:rsidR="00FA647B" w:rsidRPr="008D20EB" w:rsidTr="00FA647B">
        <w:trPr>
          <w:tblHeader/>
        </w:trPr>
        <w:tc>
          <w:tcPr>
            <w:tcW w:w="5000" w:type="pct"/>
            <w:gridSpan w:val="4"/>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Usuarios Diferentes a los de Uso Residencial</w:t>
            </w:r>
          </w:p>
        </w:tc>
      </w:tr>
      <w:tr w:rsidR="00FA647B" w:rsidRPr="008D20EB" w:rsidTr="00FA647B">
        <w:trPr>
          <w:tblHeader/>
        </w:trPr>
        <w:tc>
          <w:tcPr>
            <w:tcW w:w="1291" w:type="pct"/>
            <w:vMerge w:val="restar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Variable</w:t>
            </w:r>
          </w:p>
        </w:tc>
        <w:tc>
          <w:tcPr>
            <w:tcW w:w="3709" w:type="pct"/>
            <w:gridSpan w:val="3"/>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Valor ($31 Dic 2014)</w:t>
            </w:r>
          </w:p>
        </w:tc>
      </w:tr>
      <w:tr w:rsidR="00FA647B" w:rsidRPr="008D20EB" w:rsidTr="00FA647B">
        <w:trPr>
          <w:trHeight w:val="119"/>
          <w:tblHeader/>
        </w:trPr>
        <w:tc>
          <w:tcPr>
            <w:tcW w:w="1291" w:type="pct"/>
            <w:vMerge/>
            <w:shd w:val="clear" w:color="auto" w:fill="D9D9D9"/>
            <w:vAlign w:val="center"/>
          </w:tcPr>
          <w:p w:rsidR="00FA647B" w:rsidRPr="00AB588A" w:rsidRDefault="00FA647B" w:rsidP="008D20EB">
            <w:pPr>
              <w:ind w:left="426" w:right="425"/>
              <w:jc w:val="both"/>
              <w:rPr>
                <w:rFonts w:ascii="Bookman Old Style" w:hAnsi="Bookman Old Style" w:cs="Arial"/>
                <w:i/>
                <w:sz w:val="18"/>
                <w:szCs w:val="18"/>
              </w:rPr>
            </w:pPr>
          </w:p>
        </w:tc>
        <w:tc>
          <w:tcPr>
            <w:tcW w:w="1236"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2017</w:t>
            </w:r>
          </w:p>
        </w:tc>
        <w:tc>
          <w:tcPr>
            <w:tcW w:w="1236"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2018</w:t>
            </w:r>
          </w:p>
        </w:tc>
        <w:tc>
          <w:tcPr>
            <w:tcW w:w="1237" w:type="pct"/>
            <w:shd w:val="clear" w:color="auto" w:fill="D9D9D9"/>
            <w:vAlign w:val="center"/>
          </w:tcPr>
          <w:p w:rsidR="00FA647B" w:rsidRPr="00AB588A" w:rsidRDefault="00FA647B" w:rsidP="008D20EB">
            <w:pPr>
              <w:ind w:left="426" w:right="425"/>
              <w:jc w:val="center"/>
              <w:rPr>
                <w:rFonts w:ascii="Bookman Old Style" w:hAnsi="Bookman Old Style" w:cs="Arial"/>
                <w:b/>
                <w:i/>
                <w:sz w:val="18"/>
                <w:szCs w:val="18"/>
              </w:rPr>
            </w:pPr>
            <w:r w:rsidRPr="00AB588A">
              <w:rPr>
                <w:rFonts w:ascii="Bookman Old Style" w:hAnsi="Bookman Old Style" w:cs="Arial"/>
                <w:b/>
                <w:i/>
                <w:sz w:val="18"/>
                <w:szCs w:val="18"/>
              </w:rPr>
              <w:t>2019 – 2020 - 2021</w:t>
            </w:r>
          </w:p>
        </w:tc>
      </w:tr>
      <w:tr w:rsidR="00FA647B" w:rsidRPr="008D20EB" w:rsidTr="00FA647B">
        <w:trPr>
          <w:trHeight w:val="378"/>
        </w:trPr>
        <w:tc>
          <w:tcPr>
            <w:tcW w:w="12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AOM</m:t>
                    </m:r>
                  </m:e>
                  <m:sub>
                    <m:r>
                      <w:rPr>
                        <w:rFonts w:ascii="Cambria Math" w:hAnsi="Cambria Math" w:cs="Arial"/>
                        <w:sz w:val="18"/>
                        <w:szCs w:val="18"/>
                      </w:rPr>
                      <m:t>RPk</m:t>
                    </m:r>
                  </m:sub>
                </m:sSub>
              </m:oMath>
            </m:oMathPara>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19.002.794.660</w:t>
            </w:r>
          </w:p>
        </w:tc>
        <w:tc>
          <w:tcPr>
            <w:tcW w:w="1236" w:type="pct"/>
            <w:tcBorders>
              <w:top w:val="single" w:sz="4" w:space="0" w:color="auto"/>
              <w:left w:val="nil"/>
              <w:bottom w:val="single" w:sz="4" w:space="0" w:color="auto"/>
              <w:right w:val="single" w:sz="4" w:space="0" w:color="auto"/>
            </w:tcBorders>
            <w:shd w:val="clear" w:color="auto" w:fill="auto"/>
            <w:vAlign w:val="center"/>
          </w:tcPr>
          <w:p w:rsidR="00FA647B" w:rsidRPr="00AB588A" w:rsidRDefault="00FA647B" w:rsidP="00021AF6">
            <w:pPr>
              <w:ind w:left="426" w:right="162"/>
              <w:jc w:val="center"/>
              <w:rPr>
                <w:rFonts w:ascii="Bookman Old Style" w:hAnsi="Bookman Old Style" w:cs="Arial"/>
                <w:i/>
                <w:sz w:val="18"/>
                <w:szCs w:val="18"/>
              </w:rPr>
            </w:pPr>
            <w:r w:rsidRPr="00AB588A">
              <w:rPr>
                <w:rFonts w:ascii="Bookman Old Style" w:hAnsi="Bookman Old Style"/>
                <w:i/>
                <w:color w:val="000000"/>
                <w:sz w:val="18"/>
                <w:szCs w:val="18"/>
              </w:rPr>
              <w:t>19.002.794.660</w:t>
            </w:r>
          </w:p>
        </w:tc>
        <w:tc>
          <w:tcPr>
            <w:tcW w:w="1236" w:type="pct"/>
            <w:tcBorders>
              <w:top w:val="single" w:sz="4" w:space="0" w:color="auto"/>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19.002.794.660</w:t>
            </w:r>
          </w:p>
        </w:tc>
      </w:tr>
      <w:tr w:rsidR="00FA647B" w:rsidRPr="008D20EB" w:rsidTr="00FA647B">
        <w:trPr>
          <w:trHeight w:val="378"/>
        </w:trPr>
        <w:tc>
          <w:tcPr>
            <w:tcW w:w="12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AOM</m:t>
                    </m:r>
                  </m:e>
                  <m:sub>
                    <m:r>
                      <w:rPr>
                        <w:rFonts w:ascii="Cambria Math" w:hAnsi="Cambria Math" w:cs="Arial"/>
                        <w:sz w:val="18"/>
                        <w:szCs w:val="18"/>
                      </w:rPr>
                      <m:t>RS(NoRes)k</m:t>
                    </m:r>
                  </m:sub>
                </m:sSub>
              </m:oMath>
            </m:oMathPara>
          </w:p>
        </w:tc>
        <w:tc>
          <w:tcPr>
            <w:tcW w:w="12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11.711.113.618</w:t>
            </w:r>
          </w:p>
        </w:tc>
        <w:tc>
          <w:tcPr>
            <w:tcW w:w="1236" w:type="pct"/>
            <w:tcBorders>
              <w:top w:val="nil"/>
              <w:left w:val="nil"/>
              <w:bottom w:val="single" w:sz="4" w:space="0" w:color="auto"/>
              <w:right w:val="single" w:sz="4" w:space="0" w:color="auto"/>
            </w:tcBorders>
            <w:shd w:val="clear" w:color="auto" w:fill="auto"/>
            <w:vAlign w:val="center"/>
          </w:tcPr>
          <w:p w:rsidR="00FA647B" w:rsidRPr="00AB588A" w:rsidRDefault="00FA647B" w:rsidP="00021AF6">
            <w:pPr>
              <w:ind w:left="426" w:right="162"/>
              <w:jc w:val="center"/>
              <w:rPr>
                <w:rFonts w:ascii="Bookman Old Style" w:hAnsi="Bookman Old Style" w:cs="Arial"/>
                <w:i/>
                <w:sz w:val="18"/>
                <w:szCs w:val="18"/>
              </w:rPr>
            </w:pPr>
            <w:r w:rsidRPr="00AB588A">
              <w:rPr>
                <w:rFonts w:ascii="Bookman Old Style" w:hAnsi="Bookman Old Style"/>
                <w:i/>
                <w:color w:val="000000"/>
                <w:sz w:val="18"/>
                <w:szCs w:val="18"/>
              </w:rPr>
              <w:t>11.711.113.618</w:t>
            </w:r>
          </w:p>
        </w:tc>
        <w:tc>
          <w:tcPr>
            <w:tcW w:w="1237"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11.711.113.618</w:t>
            </w:r>
          </w:p>
        </w:tc>
      </w:tr>
      <w:tr w:rsidR="00FA647B" w:rsidRPr="008D20EB" w:rsidTr="00FA647B">
        <w:trPr>
          <w:trHeight w:val="378"/>
        </w:trPr>
        <w:tc>
          <w:tcPr>
            <w:tcW w:w="12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Tk</m:t>
                    </m:r>
                  </m:sub>
                </m:sSub>
              </m:oMath>
            </m:oMathPara>
          </w:p>
        </w:tc>
        <w:tc>
          <w:tcPr>
            <w:tcW w:w="12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562.910.459</w:t>
            </w:r>
          </w:p>
        </w:tc>
        <w:tc>
          <w:tcPr>
            <w:tcW w:w="1236"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562.910.459</w:t>
            </w:r>
          </w:p>
        </w:tc>
        <w:tc>
          <w:tcPr>
            <w:tcW w:w="1237"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562.910.459</w:t>
            </w:r>
          </w:p>
        </w:tc>
      </w:tr>
      <w:tr w:rsidR="00FA647B" w:rsidRPr="008D20EB" w:rsidTr="00FA647B">
        <w:trPr>
          <w:trHeight w:val="378"/>
        </w:trPr>
        <w:tc>
          <w:tcPr>
            <w:tcW w:w="1291" w:type="pct"/>
            <w:shd w:val="clear" w:color="auto" w:fill="auto"/>
            <w:vAlign w:val="center"/>
          </w:tcPr>
          <w:p w:rsidR="00FA647B" w:rsidRPr="00AB588A" w:rsidRDefault="00183DE6" w:rsidP="008D20EB">
            <w:pPr>
              <w:ind w:left="426" w:right="425"/>
              <w:jc w:val="both"/>
              <w:rPr>
                <w:rFonts w:ascii="Bookman Old Style" w:hAnsi="Bookman Old Style" w:cs="Arial"/>
                <w:i/>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Tk</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Resk</m:t>
                    </m:r>
                  </m:sub>
                </m:sSub>
              </m:oMath>
            </m:oMathPara>
          </w:p>
        </w:tc>
        <w:tc>
          <w:tcPr>
            <w:tcW w:w="1236" w:type="pct"/>
            <w:tcBorders>
              <w:top w:val="nil"/>
              <w:left w:val="single" w:sz="4" w:space="0" w:color="auto"/>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417.824.137</w:t>
            </w:r>
          </w:p>
        </w:tc>
        <w:tc>
          <w:tcPr>
            <w:tcW w:w="1236"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417.824.137</w:t>
            </w:r>
          </w:p>
        </w:tc>
        <w:tc>
          <w:tcPr>
            <w:tcW w:w="1237" w:type="pct"/>
            <w:tcBorders>
              <w:top w:val="nil"/>
              <w:left w:val="nil"/>
              <w:bottom w:val="single" w:sz="4" w:space="0" w:color="auto"/>
              <w:right w:val="single" w:sz="4" w:space="0" w:color="auto"/>
            </w:tcBorders>
            <w:shd w:val="clear" w:color="auto" w:fill="auto"/>
            <w:vAlign w:val="center"/>
          </w:tcPr>
          <w:p w:rsidR="00FA647B" w:rsidRPr="00AB588A" w:rsidRDefault="00FA647B" w:rsidP="008D20EB">
            <w:pPr>
              <w:ind w:left="426" w:right="425"/>
              <w:jc w:val="center"/>
              <w:rPr>
                <w:rFonts w:ascii="Bookman Old Style" w:hAnsi="Bookman Old Style" w:cs="Arial"/>
                <w:i/>
                <w:sz w:val="18"/>
                <w:szCs w:val="18"/>
              </w:rPr>
            </w:pPr>
            <w:r w:rsidRPr="00AB588A">
              <w:rPr>
                <w:rFonts w:ascii="Bookman Old Style" w:hAnsi="Bookman Old Style"/>
                <w:i/>
                <w:color w:val="000000"/>
                <w:sz w:val="18"/>
                <w:szCs w:val="18"/>
              </w:rPr>
              <w:t>417.824.137</w:t>
            </w:r>
          </w:p>
        </w:tc>
      </w:tr>
    </w:tbl>
    <w:p w:rsidR="00FA647B" w:rsidRPr="00FA647B" w:rsidRDefault="00FA647B" w:rsidP="008D20EB">
      <w:pPr>
        <w:ind w:left="426" w:right="425"/>
        <w:jc w:val="both"/>
        <w:rPr>
          <w:rFonts w:ascii="Bookman Old Style" w:hAnsi="Bookman Old Style"/>
          <w:i/>
          <w:sz w:val="22"/>
          <w:szCs w:val="22"/>
        </w:rPr>
      </w:pPr>
    </w:p>
    <w:p w:rsidR="00FA647B" w:rsidRDefault="00B96BA9" w:rsidP="00B96BA9">
      <w:pPr>
        <w:ind w:left="0"/>
        <w:jc w:val="both"/>
        <w:rPr>
          <w:rFonts w:ascii="Bookman Old Style" w:hAnsi="Bookman Old Style"/>
          <w:i/>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w:t>
      </w:r>
      <w:r>
        <w:rPr>
          <w:rFonts w:ascii="Bookman Old Style" w:hAnsi="Bookman Old Style"/>
          <w:b/>
        </w:rPr>
        <w:t xml:space="preserve"> </w:t>
      </w:r>
      <w:r w:rsidRPr="00027053">
        <w:rPr>
          <w:rFonts w:ascii="Bookman Old Style" w:hAnsi="Bookman Old Style"/>
        </w:rPr>
        <w:t>La presente Resolución deberá notificarse a la</w:t>
      </w:r>
      <w:r>
        <w:rPr>
          <w:rFonts w:ascii="Bookman Old Style" w:hAnsi="Bookman Old Style"/>
        </w:rPr>
        <w:t>s</w:t>
      </w:r>
      <w:r w:rsidRPr="00027053">
        <w:rPr>
          <w:rFonts w:ascii="Bookman Old Style" w:hAnsi="Bookman Old Style"/>
        </w:rPr>
        <w:t xml:space="preserve"> empresa</w:t>
      </w:r>
      <w:r>
        <w:rPr>
          <w:rFonts w:ascii="Bookman Old Style" w:hAnsi="Bookman Old Style"/>
        </w:rPr>
        <w:t>s</w:t>
      </w:r>
      <w:r w:rsidRPr="00027053">
        <w:rPr>
          <w:rFonts w:ascii="Bookman Old Style" w:hAnsi="Bookman Old Style"/>
        </w:rPr>
        <w:t xml:space="preserve"> </w:t>
      </w:r>
      <w:r>
        <w:rPr>
          <w:rFonts w:ascii="Bookman Old Style" w:hAnsi="Bookman Old Style"/>
        </w:rPr>
        <w:t>GASES DEL CARIBE S.A. E.S.P.</w:t>
      </w:r>
      <w:r w:rsidRPr="00027053">
        <w:rPr>
          <w:rFonts w:ascii="Bookman Old Style" w:hAnsi="Bookman Old Style"/>
        </w:rPr>
        <w:t xml:space="preserve"> y </w:t>
      </w:r>
      <w:r>
        <w:rPr>
          <w:rFonts w:ascii="Bookman Old Style" w:hAnsi="Bookman Old Style"/>
        </w:rPr>
        <w:t>PROMIGAS S.A. E.S.P.</w:t>
      </w:r>
      <w:r w:rsidRPr="00027053">
        <w:rPr>
          <w:rFonts w:ascii="Bookman Old Style" w:hAnsi="Bookman Old Style"/>
        </w:rPr>
        <w:t xml:space="preserve"> y publicarse en el </w:t>
      </w:r>
      <w:r w:rsidRPr="00027053">
        <w:rPr>
          <w:rFonts w:ascii="Bookman Old Style" w:hAnsi="Bookman Old Style"/>
          <w:i/>
        </w:rPr>
        <w:t>Diario Oficial</w:t>
      </w:r>
      <w:r w:rsidRPr="00027053">
        <w:rPr>
          <w:rFonts w:ascii="Bookman Old Style" w:hAnsi="Bookman Old Style"/>
        </w:rPr>
        <w:t xml:space="preserve">. </w:t>
      </w:r>
    </w:p>
    <w:p w:rsidR="00FA647B" w:rsidRDefault="00FA647B" w:rsidP="00FA647B">
      <w:pPr>
        <w:ind w:left="0"/>
        <w:jc w:val="both"/>
        <w:rPr>
          <w:rFonts w:ascii="Bookman Old Style" w:hAnsi="Bookman Old Style"/>
          <w:i/>
        </w:rPr>
      </w:pPr>
    </w:p>
    <w:p w:rsidR="00B96BA9" w:rsidRPr="001954E9" w:rsidRDefault="00B96BA9" w:rsidP="00B96BA9">
      <w:pPr>
        <w:widowControl w:val="0"/>
        <w:adjustRightInd w:val="0"/>
        <w:ind w:left="0" w:right="20"/>
        <w:jc w:val="center"/>
        <w:rPr>
          <w:rFonts w:ascii="Bookman Old Style" w:hAnsi="Bookman Old Style" w:cs="Arial"/>
          <w:b/>
        </w:rPr>
      </w:pPr>
    </w:p>
    <w:p w:rsidR="00B96BA9" w:rsidRPr="001954E9" w:rsidRDefault="00B96BA9" w:rsidP="00B96BA9">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B96BA9" w:rsidRDefault="00B96BA9" w:rsidP="00B96BA9">
      <w:pPr>
        <w:widowControl w:val="0"/>
        <w:adjustRightInd w:val="0"/>
        <w:ind w:left="0" w:right="20"/>
        <w:jc w:val="both"/>
        <w:rPr>
          <w:rFonts w:ascii="Bookman Old Style" w:hAnsi="Bookman Old Style" w:cs="Arial"/>
        </w:rPr>
      </w:pPr>
    </w:p>
    <w:p w:rsidR="00281824" w:rsidRPr="001954E9" w:rsidRDefault="00281824" w:rsidP="00B96BA9">
      <w:pPr>
        <w:widowControl w:val="0"/>
        <w:adjustRightInd w:val="0"/>
        <w:ind w:left="0" w:right="20"/>
        <w:jc w:val="both"/>
        <w:rPr>
          <w:rFonts w:ascii="Bookman Old Style" w:hAnsi="Bookman Old Style" w:cs="Arial"/>
        </w:rPr>
      </w:pPr>
    </w:p>
    <w:p w:rsidR="00B96BA9" w:rsidRPr="001954E9" w:rsidRDefault="00B96BA9" w:rsidP="00B96BA9">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B96BA9" w:rsidRDefault="00B96BA9" w:rsidP="00B96BA9">
      <w:pPr>
        <w:widowControl w:val="0"/>
        <w:tabs>
          <w:tab w:val="left" w:pos="-720"/>
        </w:tabs>
        <w:suppressAutoHyphens/>
        <w:adjustRightInd w:val="0"/>
        <w:ind w:left="0" w:right="20"/>
        <w:jc w:val="both"/>
        <w:rPr>
          <w:rFonts w:ascii="Bookman Old Style" w:hAnsi="Bookman Old Style" w:cs="Arial"/>
          <w:spacing w:val="-3"/>
        </w:rPr>
      </w:pPr>
    </w:p>
    <w:p w:rsidR="00B96BA9" w:rsidRDefault="00B96BA9" w:rsidP="00B96BA9">
      <w:pPr>
        <w:widowControl w:val="0"/>
        <w:tabs>
          <w:tab w:val="left" w:pos="-720"/>
        </w:tabs>
        <w:suppressAutoHyphens/>
        <w:adjustRightInd w:val="0"/>
        <w:ind w:left="0" w:right="20"/>
        <w:jc w:val="both"/>
        <w:rPr>
          <w:rFonts w:ascii="Bookman Old Style" w:hAnsi="Bookman Old Style" w:cs="Arial"/>
          <w:spacing w:val="-3"/>
        </w:rPr>
      </w:pPr>
    </w:p>
    <w:p w:rsidR="00B96BA9" w:rsidRDefault="00B96BA9" w:rsidP="00B96BA9">
      <w:pPr>
        <w:widowControl w:val="0"/>
        <w:tabs>
          <w:tab w:val="left" w:pos="-720"/>
        </w:tabs>
        <w:suppressAutoHyphens/>
        <w:adjustRightInd w:val="0"/>
        <w:ind w:left="0" w:right="20"/>
        <w:jc w:val="both"/>
        <w:rPr>
          <w:rFonts w:ascii="Bookman Old Style" w:hAnsi="Bookman Old Style" w:cs="Arial"/>
          <w:spacing w:val="-3"/>
        </w:rPr>
      </w:pPr>
    </w:p>
    <w:p w:rsidR="00B96BA9" w:rsidRDefault="00B96BA9" w:rsidP="00B96BA9">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B96BA9" w:rsidRPr="00666660" w:rsidTr="003B3C89">
        <w:trPr>
          <w:trHeight w:val="887"/>
          <w:jc w:val="center"/>
        </w:trPr>
        <w:tc>
          <w:tcPr>
            <w:tcW w:w="5171" w:type="dxa"/>
          </w:tcPr>
          <w:p w:rsidR="00B96BA9" w:rsidRPr="00CD73E0" w:rsidRDefault="00B96BA9" w:rsidP="003B3C89">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rsidR="00B96BA9" w:rsidRDefault="00B96BA9" w:rsidP="003B3C89">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rsidR="00B96BA9" w:rsidRPr="00BD0865" w:rsidRDefault="00B96BA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rsidR="00B96BA9" w:rsidRPr="00666660" w:rsidRDefault="00B96BA9" w:rsidP="003B3C89">
            <w:pPr>
              <w:tabs>
                <w:tab w:val="left" w:pos="-720"/>
              </w:tabs>
              <w:suppressAutoHyphens/>
              <w:ind w:left="0"/>
              <w:jc w:val="center"/>
              <w:rPr>
                <w:rFonts w:ascii="Bookman Old Style" w:hAnsi="Bookman Old Style" w:cs="Arial"/>
                <w:b/>
              </w:rPr>
            </w:pPr>
            <w:r>
              <w:rPr>
                <w:rFonts w:ascii="Bookman Old Style" w:hAnsi="Bookman Old Style" w:cs="Arial"/>
                <w:b/>
              </w:rPr>
              <w:t>CHRISTIAN JARAMILLO HERRERA</w:t>
            </w:r>
          </w:p>
          <w:p w:rsidR="00B96BA9" w:rsidRPr="00666660" w:rsidRDefault="00B96BA9" w:rsidP="003B3C8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rsidR="00FA647B" w:rsidRDefault="00FA647B">
      <w:pPr>
        <w:ind w:left="0"/>
        <w:jc w:val="both"/>
        <w:rPr>
          <w:rFonts w:ascii="Bookman Old Style" w:hAnsi="Bookman Old Style"/>
          <w:i/>
        </w:rPr>
      </w:pPr>
    </w:p>
    <w:sectPr w:rsidR="00FA647B"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1AB" w:rsidRDefault="000041AB">
      <w:r>
        <w:separator/>
      </w:r>
    </w:p>
  </w:endnote>
  <w:endnote w:type="continuationSeparator" w:id="0">
    <w:p w:rsidR="000041AB" w:rsidRDefault="0000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1AB" w:rsidRDefault="000041AB">
      <w:r>
        <w:separator/>
      </w:r>
    </w:p>
  </w:footnote>
  <w:footnote w:type="continuationSeparator" w:id="0">
    <w:p w:rsidR="000041AB" w:rsidRDefault="000041AB">
      <w:r>
        <w:continuationSeparator/>
      </w:r>
    </w:p>
  </w:footnote>
  <w:footnote w:id="1">
    <w:p w:rsidR="00B75844" w:rsidRPr="00E11B48" w:rsidRDefault="00B75844" w:rsidP="00B75844">
      <w:pPr>
        <w:pStyle w:val="Textonotapie"/>
        <w:ind w:left="0"/>
        <w:jc w:val="both"/>
        <w:rPr>
          <w:lang w:val="es-CO"/>
        </w:rPr>
      </w:pPr>
      <w:r w:rsidRPr="008664E1">
        <w:rPr>
          <w:rFonts w:ascii="Bookman Old Style" w:hAnsi="Bookman Old Style" w:cs="Arial"/>
          <w:sz w:val="18"/>
          <w:szCs w:val="18"/>
          <w:vertAlign w:val="superscript"/>
        </w:rPr>
        <w:footnoteRef/>
      </w:r>
      <w:r w:rsidRPr="00DE4206">
        <w:rPr>
          <w:rFonts w:ascii="Bookman Old Style" w:hAnsi="Bookman Old Style" w:cs="Arial"/>
          <w:sz w:val="18"/>
          <w:szCs w:val="18"/>
        </w:rPr>
        <w:t xml:space="preserve"> Esta norma se encuentra compilada en el Decreto No 1074 de 26 de mayo de 2015 "Por medio del cual se expidió el Decreto Único Reglamentario del Sector Comercio, Industria y Turismo".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183DE6">
      <w:rPr>
        <w:rFonts w:ascii="Bookman Old Style" w:hAnsi="Bookman Old Style" w:cs="Arial"/>
        <w:b w:val="0"/>
        <w:noProof/>
        <w:sz w:val="22"/>
        <w:szCs w:val="22"/>
      </w:rPr>
      <w:t>6</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183DE6">
      <w:fldChar w:fldCharType="begin"/>
    </w:r>
    <w:r w:rsidR="00183DE6">
      <w:instrText xml:space="preserve"> NUMPAGES  \* MERGEFORMAT </w:instrText>
    </w:r>
    <w:r w:rsidR="00183DE6">
      <w:fldChar w:fldCharType="separate"/>
    </w:r>
    <w:r w:rsidR="00183DE6" w:rsidRPr="00183DE6">
      <w:rPr>
        <w:rFonts w:ascii="Bookman Old Style" w:hAnsi="Bookman Old Style" w:cs="Arial"/>
        <w:b w:val="0"/>
        <w:noProof/>
        <w:sz w:val="22"/>
        <w:szCs w:val="22"/>
      </w:rPr>
      <w:t>6</w:t>
    </w:r>
    <w:r w:rsidR="00183DE6">
      <w:rPr>
        <w:rFonts w:ascii="Bookman Old Style" w:hAnsi="Bookman Old Style" w:cs="Arial"/>
        <w:b w:val="0"/>
        <w:noProof/>
        <w:sz w:val="22"/>
        <w:szCs w:val="22"/>
      </w:rPr>
      <w:fldChar w:fldCharType="end"/>
    </w:r>
  </w:p>
  <w:p w:rsidR="006F6D95" w:rsidRDefault="00477FE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75F8"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45D3D" w:rsidRPr="005A12B4" w:rsidRDefault="006E0C3B" w:rsidP="006E0C3B">
    <w:pPr>
      <w:ind w:left="0"/>
      <w:jc w:val="both"/>
      <w:rPr>
        <w:rFonts w:ascii="Bookman Old Style" w:hAnsi="Bookman Old Style"/>
        <w:sz w:val="22"/>
        <w:szCs w:val="22"/>
      </w:rPr>
    </w:pPr>
    <w:r w:rsidRPr="005A12B4">
      <w:rPr>
        <w:rFonts w:ascii="Bookman Old Style" w:hAnsi="Bookman Old Style"/>
        <w:sz w:val="22"/>
        <w:szCs w:val="22"/>
      </w:rPr>
      <w:t>Por la cual se corrige un error formal en el Artículo 2 de la Resolución CREG 198 de 2017, el cual modifica el Artículo 4 de la Resolución CREG 198 de 2017</w:t>
    </w:r>
  </w:p>
  <w:p w:rsidR="0044318E" w:rsidRPr="004C508E" w:rsidRDefault="0044318E" w:rsidP="00AD01E4">
    <w:pPr>
      <w:pBdr>
        <w:bottom w:val="single" w:sz="4" w:space="1" w:color="auto"/>
      </w:pBdr>
      <w:ind w:left="142" w:right="148"/>
      <w:rPr>
        <w:b/>
        <w:sz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A4" w:rsidRDefault="00725FA4" w:rsidP="006B49C6">
    <w:pPr>
      <w:pStyle w:val="Encabezado"/>
      <w:ind w:left="0"/>
      <w:jc w:val="center"/>
      <w:rPr>
        <w:rFonts w:ascii="Arial" w:hAnsi="Arial" w:cs="Arial"/>
        <w:spacing w:val="20"/>
        <w:sz w:val="20"/>
      </w:rPr>
    </w:pPr>
    <w:r>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477FE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4482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CE7E24"/>
    <w:multiLevelType w:val="hybridMultilevel"/>
    <w:tmpl w:val="ECA03FB0"/>
    <w:lvl w:ilvl="0" w:tplc="BCB039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136A14"/>
    <w:multiLevelType w:val="hybridMultilevel"/>
    <w:tmpl w:val="ECA03FB0"/>
    <w:lvl w:ilvl="0" w:tplc="BCB039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3"/>
  </w:num>
  <w:num w:numId="12">
    <w:abstractNumId w:val="20"/>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9"/>
  </w:num>
  <w:num w:numId="20">
    <w:abstractNumId w:val="14"/>
  </w:num>
  <w:num w:numId="21">
    <w:abstractNumId w:val="7"/>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41AB"/>
    <w:rsid w:val="00005EC8"/>
    <w:rsid w:val="00006AE2"/>
    <w:rsid w:val="000076A1"/>
    <w:rsid w:val="00011115"/>
    <w:rsid w:val="00012259"/>
    <w:rsid w:val="00015592"/>
    <w:rsid w:val="00021AF6"/>
    <w:rsid w:val="00025383"/>
    <w:rsid w:val="000408C0"/>
    <w:rsid w:val="00045D3D"/>
    <w:rsid w:val="00063657"/>
    <w:rsid w:val="00076680"/>
    <w:rsid w:val="00076A1D"/>
    <w:rsid w:val="0008073E"/>
    <w:rsid w:val="00091CDB"/>
    <w:rsid w:val="000A155D"/>
    <w:rsid w:val="000A19AC"/>
    <w:rsid w:val="000B2EC9"/>
    <w:rsid w:val="000C181E"/>
    <w:rsid w:val="000D26F8"/>
    <w:rsid w:val="00106654"/>
    <w:rsid w:val="00131570"/>
    <w:rsid w:val="0013526C"/>
    <w:rsid w:val="001405C6"/>
    <w:rsid w:val="00141013"/>
    <w:rsid w:val="00153AF2"/>
    <w:rsid w:val="0016657C"/>
    <w:rsid w:val="00183DE6"/>
    <w:rsid w:val="00192CBF"/>
    <w:rsid w:val="00192FF1"/>
    <w:rsid w:val="001A5F1B"/>
    <w:rsid w:val="001B1C22"/>
    <w:rsid w:val="001B34C6"/>
    <w:rsid w:val="001D7832"/>
    <w:rsid w:val="001E0575"/>
    <w:rsid w:val="001E1AF7"/>
    <w:rsid w:val="00210647"/>
    <w:rsid w:val="00210DC1"/>
    <w:rsid w:val="00211584"/>
    <w:rsid w:val="00211D34"/>
    <w:rsid w:val="00214F04"/>
    <w:rsid w:val="002352B9"/>
    <w:rsid w:val="00243633"/>
    <w:rsid w:val="00266CD6"/>
    <w:rsid w:val="002673AC"/>
    <w:rsid w:val="00275DAB"/>
    <w:rsid w:val="00281824"/>
    <w:rsid w:val="002903C0"/>
    <w:rsid w:val="002A782A"/>
    <w:rsid w:val="002B11E2"/>
    <w:rsid w:val="002B24B8"/>
    <w:rsid w:val="002D3AE9"/>
    <w:rsid w:val="002D4510"/>
    <w:rsid w:val="002D45E2"/>
    <w:rsid w:val="002F0734"/>
    <w:rsid w:val="002F46E7"/>
    <w:rsid w:val="003037E4"/>
    <w:rsid w:val="003101DA"/>
    <w:rsid w:val="003111C3"/>
    <w:rsid w:val="00314757"/>
    <w:rsid w:val="003163BC"/>
    <w:rsid w:val="003211CE"/>
    <w:rsid w:val="0034579C"/>
    <w:rsid w:val="0035403A"/>
    <w:rsid w:val="00355ACD"/>
    <w:rsid w:val="0036394B"/>
    <w:rsid w:val="00366DB6"/>
    <w:rsid w:val="003709B5"/>
    <w:rsid w:val="003759C2"/>
    <w:rsid w:val="003971D8"/>
    <w:rsid w:val="00397365"/>
    <w:rsid w:val="003A31F6"/>
    <w:rsid w:val="003C3447"/>
    <w:rsid w:val="003D076C"/>
    <w:rsid w:val="003E78B5"/>
    <w:rsid w:val="00415BAB"/>
    <w:rsid w:val="00415ED2"/>
    <w:rsid w:val="0042068C"/>
    <w:rsid w:val="0042274B"/>
    <w:rsid w:val="0042493E"/>
    <w:rsid w:val="00430115"/>
    <w:rsid w:val="0044318E"/>
    <w:rsid w:val="00443B35"/>
    <w:rsid w:val="00464769"/>
    <w:rsid w:val="0047122B"/>
    <w:rsid w:val="00473B7A"/>
    <w:rsid w:val="00477FE7"/>
    <w:rsid w:val="004960E9"/>
    <w:rsid w:val="004A2E88"/>
    <w:rsid w:val="004A5305"/>
    <w:rsid w:val="004A7209"/>
    <w:rsid w:val="004C09BC"/>
    <w:rsid w:val="004C508E"/>
    <w:rsid w:val="004D7634"/>
    <w:rsid w:val="004E0CA3"/>
    <w:rsid w:val="004E611A"/>
    <w:rsid w:val="004F6460"/>
    <w:rsid w:val="00501E39"/>
    <w:rsid w:val="005300D3"/>
    <w:rsid w:val="00542A10"/>
    <w:rsid w:val="00544F82"/>
    <w:rsid w:val="005509D2"/>
    <w:rsid w:val="005649AB"/>
    <w:rsid w:val="00583B66"/>
    <w:rsid w:val="00593C4F"/>
    <w:rsid w:val="005946A8"/>
    <w:rsid w:val="005A12B4"/>
    <w:rsid w:val="005A4407"/>
    <w:rsid w:val="005A59EF"/>
    <w:rsid w:val="005B1C7E"/>
    <w:rsid w:val="005C50E2"/>
    <w:rsid w:val="005C6976"/>
    <w:rsid w:val="005F6F41"/>
    <w:rsid w:val="00615B67"/>
    <w:rsid w:val="00625DC6"/>
    <w:rsid w:val="0064391D"/>
    <w:rsid w:val="00651821"/>
    <w:rsid w:val="00654384"/>
    <w:rsid w:val="006675CD"/>
    <w:rsid w:val="00684D9B"/>
    <w:rsid w:val="0068510A"/>
    <w:rsid w:val="00697556"/>
    <w:rsid w:val="006B4647"/>
    <w:rsid w:val="006B49C6"/>
    <w:rsid w:val="006B4C2B"/>
    <w:rsid w:val="006B6194"/>
    <w:rsid w:val="006B6D47"/>
    <w:rsid w:val="006C5AFE"/>
    <w:rsid w:val="006E0C3B"/>
    <w:rsid w:val="006F2EC8"/>
    <w:rsid w:val="006F6D95"/>
    <w:rsid w:val="00706F13"/>
    <w:rsid w:val="007072E8"/>
    <w:rsid w:val="0071618D"/>
    <w:rsid w:val="00725FA4"/>
    <w:rsid w:val="00740446"/>
    <w:rsid w:val="007438A9"/>
    <w:rsid w:val="0074491E"/>
    <w:rsid w:val="0076247A"/>
    <w:rsid w:val="0076595E"/>
    <w:rsid w:val="00775964"/>
    <w:rsid w:val="007765FE"/>
    <w:rsid w:val="00794E2E"/>
    <w:rsid w:val="00795BFB"/>
    <w:rsid w:val="007B2760"/>
    <w:rsid w:val="007C1792"/>
    <w:rsid w:val="007E705A"/>
    <w:rsid w:val="008016FD"/>
    <w:rsid w:val="00804B77"/>
    <w:rsid w:val="00806C01"/>
    <w:rsid w:val="008148CC"/>
    <w:rsid w:val="008211A4"/>
    <w:rsid w:val="0083182E"/>
    <w:rsid w:val="0084693A"/>
    <w:rsid w:val="008664E1"/>
    <w:rsid w:val="00873150"/>
    <w:rsid w:val="0087657D"/>
    <w:rsid w:val="008807D5"/>
    <w:rsid w:val="00880832"/>
    <w:rsid w:val="00886EE1"/>
    <w:rsid w:val="0088727D"/>
    <w:rsid w:val="00895717"/>
    <w:rsid w:val="00897C75"/>
    <w:rsid w:val="008B1B94"/>
    <w:rsid w:val="008C1130"/>
    <w:rsid w:val="008D18E6"/>
    <w:rsid w:val="008D20EB"/>
    <w:rsid w:val="008D7A9B"/>
    <w:rsid w:val="008E0060"/>
    <w:rsid w:val="008E7091"/>
    <w:rsid w:val="008E76AC"/>
    <w:rsid w:val="008F21F6"/>
    <w:rsid w:val="008F7D10"/>
    <w:rsid w:val="009062FC"/>
    <w:rsid w:val="0092235F"/>
    <w:rsid w:val="00951F79"/>
    <w:rsid w:val="009523EC"/>
    <w:rsid w:val="00974112"/>
    <w:rsid w:val="00974AB5"/>
    <w:rsid w:val="0098706D"/>
    <w:rsid w:val="009935FB"/>
    <w:rsid w:val="009C41A1"/>
    <w:rsid w:val="009D0420"/>
    <w:rsid w:val="009F4A54"/>
    <w:rsid w:val="009F4BEC"/>
    <w:rsid w:val="009F55C9"/>
    <w:rsid w:val="009F5874"/>
    <w:rsid w:val="00A1406E"/>
    <w:rsid w:val="00A141D9"/>
    <w:rsid w:val="00A17F48"/>
    <w:rsid w:val="00A25FD7"/>
    <w:rsid w:val="00A36CB0"/>
    <w:rsid w:val="00A43AFF"/>
    <w:rsid w:val="00A5251F"/>
    <w:rsid w:val="00A7793A"/>
    <w:rsid w:val="00AA4CC7"/>
    <w:rsid w:val="00AA5E8E"/>
    <w:rsid w:val="00AB2BAD"/>
    <w:rsid w:val="00AB588A"/>
    <w:rsid w:val="00AB6CA7"/>
    <w:rsid w:val="00AD01E4"/>
    <w:rsid w:val="00AD0858"/>
    <w:rsid w:val="00AE02E3"/>
    <w:rsid w:val="00AE7340"/>
    <w:rsid w:val="00AF00A7"/>
    <w:rsid w:val="00AF1BBD"/>
    <w:rsid w:val="00B10207"/>
    <w:rsid w:val="00B141E7"/>
    <w:rsid w:val="00B351B4"/>
    <w:rsid w:val="00B46BCA"/>
    <w:rsid w:val="00B478AA"/>
    <w:rsid w:val="00B72DCE"/>
    <w:rsid w:val="00B75844"/>
    <w:rsid w:val="00B80565"/>
    <w:rsid w:val="00B87806"/>
    <w:rsid w:val="00B87EC9"/>
    <w:rsid w:val="00B96BA9"/>
    <w:rsid w:val="00BC38FD"/>
    <w:rsid w:val="00BC6F53"/>
    <w:rsid w:val="00BD588B"/>
    <w:rsid w:val="00BF2700"/>
    <w:rsid w:val="00C034CB"/>
    <w:rsid w:val="00C051A8"/>
    <w:rsid w:val="00C054BC"/>
    <w:rsid w:val="00C07D45"/>
    <w:rsid w:val="00C107DA"/>
    <w:rsid w:val="00C12990"/>
    <w:rsid w:val="00C17897"/>
    <w:rsid w:val="00C25174"/>
    <w:rsid w:val="00C409D5"/>
    <w:rsid w:val="00C435C3"/>
    <w:rsid w:val="00C44E5F"/>
    <w:rsid w:val="00C51B7C"/>
    <w:rsid w:val="00C61E72"/>
    <w:rsid w:val="00C6234B"/>
    <w:rsid w:val="00C63EAE"/>
    <w:rsid w:val="00C73260"/>
    <w:rsid w:val="00C7629F"/>
    <w:rsid w:val="00C825A3"/>
    <w:rsid w:val="00C8661B"/>
    <w:rsid w:val="00CA03C8"/>
    <w:rsid w:val="00CA139A"/>
    <w:rsid w:val="00CA2899"/>
    <w:rsid w:val="00CA3A3D"/>
    <w:rsid w:val="00CA3AA6"/>
    <w:rsid w:val="00CA77FB"/>
    <w:rsid w:val="00CB379B"/>
    <w:rsid w:val="00CB52B8"/>
    <w:rsid w:val="00CB5DD0"/>
    <w:rsid w:val="00CC51D4"/>
    <w:rsid w:val="00CC65DA"/>
    <w:rsid w:val="00CF21B9"/>
    <w:rsid w:val="00CF6BF9"/>
    <w:rsid w:val="00D03800"/>
    <w:rsid w:val="00D065D3"/>
    <w:rsid w:val="00D108AC"/>
    <w:rsid w:val="00D14C94"/>
    <w:rsid w:val="00D342A6"/>
    <w:rsid w:val="00D45CA6"/>
    <w:rsid w:val="00D464BF"/>
    <w:rsid w:val="00D53E26"/>
    <w:rsid w:val="00D9689B"/>
    <w:rsid w:val="00DB182C"/>
    <w:rsid w:val="00DC5E95"/>
    <w:rsid w:val="00DD4F0E"/>
    <w:rsid w:val="00DF0BF0"/>
    <w:rsid w:val="00DF3CA2"/>
    <w:rsid w:val="00E01463"/>
    <w:rsid w:val="00E03B8D"/>
    <w:rsid w:val="00E05E0A"/>
    <w:rsid w:val="00E060BE"/>
    <w:rsid w:val="00E1202C"/>
    <w:rsid w:val="00E2051B"/>
    <w:rsid w:val="00E32B8C"/>
    <w:rsid w:val="00E51A76"/>
    <w:rsid w:val="00E534CF"/>
    <w:rsid w:val="00E54C66"/>
    <w:rsid w:val="00E73F8B"/>
    <w:rsid w:val="00E7606B"/>
    <w:rsid w:val="00E81CB4"/>
    <w:rsid w:val="00E8585B"/>
    <w:rsid w:val="00E87F41"/>
    <w:rsid w:val="00E93729"/>
    <w:rsid w:val="00E97C87"/>
    <w:rsid w:val="00EA3F15"/>
    <w:rsid w:val="00EA7847"/>
    <w:rsid w:val="00EB4C2F"/>
    <w:rsid w:val="00EC12CE"/>
    <w:rsid w:val="00EE2E6E"/>
    <w:rsid w:val="00F05565"/>
    <w:rsid w:val="00F0759E"/>
    <w:rsid w:val="00F16A43"/>
    <w:rsid w:val="00F46780"/>
    <w:rsid w:val="00F77D2D"/>
    <w:rsid w:val="00F821A3"/>
    <w:rsid w:val="00F9314A"/>
    <w:rsid w:val="00F940B2"/>
    <w:rsid w:val="00FA647B"/>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13ED3B5-557F-4BE7-AC10-B44BD56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B7584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B75844"/>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1E0575"/>
    <w:rPr>
      <w:vertAlign w:val="superscript"/>
    </w:rPr>
  </w:style>
  <w:style w:type="character" w:styleId="Textodelmarcadordeposicin">
    <w:name w:val="Placeholder Text"/>
    <w:basedOn w:val="Fuentedeprrafopredeter"/>
    <w:uiPriority w:val="99"/>
    <w:semiHidden/>
    <w:rsid w:val="00E97C87"/>
    <w:rPr>
      <w:color w:val="808080"/>
    </w:rPr>
  </w:style>
  <w:style w:type="paragraph" w:styleId="Descripcin">
    <w:name w:val="caption"/>
    <w:basedOn w:val="Normal"/>
    <w:next w:val="Normal"/>
    <w:uiPriority w:val="35"/>
    <w:qFormat/>
    <w:rsid w:val="00C12990"/>
    <w:pPr>
      <w:spacing w:after="200"/>
      <w:ind w:left="0"/>
    </w:pPr>
    <w:rPr>
      <w:rFonts w:ascii="Arial" w:hAnsi="Arial"/>
      <w:i/>
      <w:iCs/>
      <w:color w:val="44546A" w:themeColor="text2"/>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4B1C-2832-4C88-8795-C7BF6627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2425</Words>
  <Characters>13343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2019-10-21T16:57:00Z</cp:lastPrinted>
  <dcterms:created xsi:type="dcterms:W3CDTF">2019-10-28T20:38:00Z</dcterms:created>
  <dcterms:modified xsi:type="dcterms:W3CDTF">2019-10-28T20:38:00Z</dcterms:modified>
</cp:coreProperties>
</file>