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037E16"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8" o:title=""/>
          </v:shape>
          <o:OLEObject Type="Embed" ProgID="PBrush" ShapeID="_x0000_s1026" DrawAspect="Content" ObjectID="_1663499067" r:id="rId9"/>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3679271" w:rsidR="00CA77FB" w:rsidRPr="00950BF4" w:rsidRDefault="00CA77FB" w:rsidP="00341E8F">
      <w:pPr>
        <w:pStyle w:val="Ttulo5"/>
        <w:tabs>
          <w:tab w:val="left" w:pos="0"/>
          <w:tab w:val="right" w:pos="9356"/>
        </w:tabs>
        <w:ind w:left="0"/>
        <w:rPr>
          <w:rFonts w:ascii="Bookman Old Style" w:hAnsi="Bookman Old Style"/>
          <w:sz w:val="24"/>
          <w:szCs w:val="24"/>
        </w:rPr>
      </w:pPr>
      <w:r w:rsidRPr="00950BF4">
        <w:rPr>
          <w:rFonts w:ascii="Bookman Old Style" w:hAnsi="Bookman Old Style"/>
          <w:sz w:val="24"/>
          <w:szCs w:val="24"/>
        </w:rPr>
        <w:t>RESOLUCIÓN No.</w:t>
      </w:r>
      <w:r w:rsidR="00822798" w:rsidRPr="00950BF4">
        <w:rPr>
          <w:rFonts w:ascii="Bookman Old Style" w:hAnsi="Bookman Old Style"/>
          <w:sz w:val="24"/>
          <w:szCs w:val="24"/>
        </w:rPr>
        <w:t xml:space="preserve"> </w:t>
      </w:r>
      <w:r w:rsidR="00822798" w:rsidRPr="00950BF4">
        <w:rPr>
          <w:rFonts w:ascii="Bookman Old Style" w:hAnsi="Bookman Old Style"/>
          <w:sz w:val="32"/>
          <w:szCs w:val="32"/>
        </w:rPr>
        <w:t xml:space="preserve">181  </w:t>
      </w:r>
      <w:r w:rsidRPr="00950BF4">
        <w:rPr>
          <w:rFonts w:ascii="Bookman Old Style" w:hAnsi="Bookman Old Style"/>
          <w:sz w:val="24"/>
          <w:szCs w:val="24"/>
        </w:rPr>
        <w:t xml:space="preserve">DE </w:t>
      </w:r>
      <w:r w:rsidR="007E0A6B" w:rsidRPr="00950BF4">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1A3B150"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w:t>
      </w:r>
      <w:r w:rsidR="00822798">
        <w:rPr>
          <w:rFonts w:ascii="Bookman Old Style" w:hAnsi="Bookman Old Style"/>
          <w:b w:val="0"/>
          <w:szCs w:val="24"/>
        </w:rPr>
        <w:t xml:space="preserve">   </w:t>
      </w:r>
      <w:r w:rsidR="00822798" w:rsidRPr="00822798">
        <w:rPr>
          <w:rFonts w:ascii="Bookman Old Style" w:hAnsi="Bookman Old Style"/>
          <w:bCs/>
          <w:sz w:val="32"/>
          <w:szCs w:val="32"/>
        </w:rPr>
        <w:t>18 SEP. 2020</w:t>
      </w:r>
      <w:r w:rsidR="00822798">
        <w:rPr>
          <w:rFonts w:ascii="Bookman Old Style" w:hAnsi="Bookman Old Style"/>
          <w:b w:val="0"/>
          <w:szCs w:val="24"/>
        </w:rPr>
        <w:t xml:space="preserve">  </w:t>
      </w:r>
      <w:r w:rsidRPr="001954E9">
        <w:rPr>
          <w:rFonts w:ascii="Bookman Old Style" w:hAnsi="Bookman Old Style"/>
          <w:b w:val="0"/>
          <w:szCs w:val="24"/>
        </w:rPr>
        <w:t>)</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72A00233"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2719AC" w:rsidRPr="00341E8F">
        <w:rPr>
          <w:rFonts w:ascii="Bookman Old Style" w:hAnsi="Bookman Old Style" w:cs="Arial"/>
          <w:lang w:val="es-ES_tradnl"/>
        </w:rPr>
        <w:t xml:space="preserve">Gas </w:t>
      </w:r>
      <w:r w:rsidR="002719AC">
        <w:rPr>
          <w:rFonts w:ascii="Bookman Old Style" w:hAnsi="Bookman Old Style" w:cs="Arial"/>
          <w:lang w:val="es-ES_tradnl"/>
        </w:rPr>
        <w:t>Licuado de Petróleo -GLP-</w:t>
      </w:r>
      <w:r w:rsidR="00656686" w:rsidRPr="00341E8F">
        <w:rPr>
          <w:rFonts w:ascii="Bookman Old Style" w:hAnsi="Bookman Old Style" w:cs="Arial"/>
          <w:lang w:val="es-ES_tradnl"/>
        </w:rPr>
        <w:t xml:space="preserve"> por redes de tubería para el mercado relevante</w:t>
      </w:r>
      <w:r w:rsidR="00D27095">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 xml:space="preserve">las veredas </w:t>
      </w:r>
      <w:r w:rsidR="001A7702">
        <w:rPr>
          <w:rFonts w:ascii="Bookman Old Style" w:hAnsi="Bookman Old Style" w:cs="Arial"/>
          <w:lang w:val="es-ES_tradnl"/>
        </w:rPr>
        <w:t xml:space="preserve">Astillero, La María, </w:t>
      </w:r>
      <w:r w:rsidR="00A94D21">
        <w:rPr>
          <w:rFonts w:ascii="Bookman Old Style" w:hAnsi="Bookman Old Style" w:cs="Arial"/>
          <w:lang w:val="es-ES_tradnl"/>
        </w:rPr>
        <w:t xml:space="preserve">Granadillo y Alto Buenavista </w:t>
      </w:r>
      <w:r w:rsidR="003B5C95">
        <w:rPr>
          <w:rFonts w:ascii="Bookman Old Style" w:hAnsi="Bookman Old Style" w:cs="Arial"/>
          <w:lang w:val="es-ES_tradnl"/>
        </w:rPr>
        <w:t>en el</w:t>
      </w:r>
      <w:r w:rsidR="003E7718">
        <w:rPr>
          <w:rFonts w:ascii="Bookman Old Style" w:hAnsi="Bookman Old Style" w:cs="Arial"/>
          <w:lang w:val="es-ES_tradnl"/>
        </w:rPr>
        <w:t xml:space="preserve"> </w:t>
      </w:r>
      <w:r w:rsidR="005D4E4A">
        <w:rPr>
          <w:rFonts w:ascii="Bookman Old Style" w:hAnsi="Bookman Old Style" w:cs="Arial"/>
          <w:lang w:val="es-ES_tradnl"/>
        </w:rPr>
        <w:t>M</w:t>
      </w:r>
      <w:r w:rsidR="003E7718">
        <w:rPr>
          <w:rFonts w:ascii="Bookman Old Style" w:hAnsi="Bookman Old Style" w:cs="Arial"/>
          <w:lang w:val="es-ES_tradnl"/>
        </w:rPr>
        <w:t xml:space="preserve">unicipio de </w:t>
      </w:r>
      <w:r w:rsidR="00A94D21">
        <w:rPr>
          <w:rFonts w:ascii="Bookman Old Style" w:hAnsi="Bookman Old Style" w:cs="Arial"/>
          <w:lang w:val="es-ES_tradnl"/>
        </w:rPr>
        <w:t>Agrado</w:t>
      </w:r>
      <w:r w:rsidR="005214DD">
        <w:rPr>
          <w:rFonts w:ascii="Bookman Old Style" w:hAnsi="Bookman Old Style" w:cs="Arial"/>
          <w:lang w:val="es-ES_tradnl"/>
        </w:rPr>
        <w:t>;</w:t>
      </w:r>
      <w:r w:rsidR="00C62CA2" w:rsidRPr="006D6067">
        <w:rPr>
          <w:rFonts w:ascii="Bookman Old Style" w:hAnsi="Bookman Old Style" w:cs="Arial"/>
          <w:lang w:val="es-ES_tradnl"/>
        </w:rPr>
        <w:t xml:space="preserve"> </w:t>
      </w:r>
      <w:r w:rsidR="00A94D21">
        <w:rPr>
          <w:rFonts w:ascii="Bookman Old Style" w:hAnsi="Bookman Old Style" w:cs="Arial"/>
          <w:lang w:val="es-ES_tradnl"/>
        </w:rPr>
        <w:t xml:space="preserve">La Carbona en el Municipio de Acevedo y </w:t>
      </w:r>
      <w:r w:rsidR="00A97FD8">
        <w:rPr>
          <w:rFonts w:ascii="Bookman Old Style" w:hAnsi="Bookman Old Style" w:cs="Arial"/>
          <w:lang w:val="es-ES_tradnl"/>
        </w:rPr>
        <w:t xml:space="preserve">El Encanto - </w:t>
      </w:r>
      <w:r w:rsidR="00A94D21">
        <w:rPr>
          <w:rFonts w:ascii="Bookman Old Style" w:hAnsi="Bookman Old Style" w:cs="Arial"/>
          <w:lang w:val="es-ES_tradnl"/>
        </w:rPr>
        <w:t xml:space="preserve">Las Juntas en el Municipio de Santa Maria,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DB3FF6">
        <w:rPr>
          <w:rFonts w:ascii="Bookman Old Style" w:hAnsi="Bookman Old Style" w:cs="Arial"/>
          <w:lang w:val="es-ES_tradnl"/>
        </w:rPr>
        <w:t xml:space="preserve"> </w:t>
      </w:r>
      <w:r w:rsidR="003B5C95">
        <w:rPr>
          <w:rFonts w:ascii="Bookman Old Style" w:hAnsi="Bookman Old Style" w:cs="Arial"/>
          <w:lang w:val="es-ES_tradnl"/>
        </w:rPr>
        <w:t>Huila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3B5C95">
        <w:rPr>
          <w:rFonts w:ascii="Bookman Old Style" w:hAnsi="Bookman Old Style" w:cs="Arial"/>
          <w:lang w:val="es-ES_tradnl"/>
        </w:rPr>
        <w:t>SURCOLOMBIANA DE GAS</w:t>
      </w:r>
      <w:r w:rsidR="00761659">
        <w:rPr>
          <w:rFonts w:ascii="Bookman Old Style" w:hAnsi="Bookman Old Style" w:cs="Arial"/>
          <w:lang w:val="es-ES_tradnl"/>
        </w:rPr>
        <w:t xml:space="preserve"> </w:t>
      </w:r>
      <w:r w:rsidR="00B56578">
        <w:rPr>
          <w:rFonts w:ascii="Bookman Old Style" w:hAnsi="Bookman Old Style" w:cs="Arial"/>
          <w:lang w:val="es-ES_tradnl"/>
        </w:rPr>
        <w:t>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EBEDFFE" w:rsidR="009D138E"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4BA3C074" w14:textId="77777777" w:rsidR="00ED112D" w:rsidRPr="001954E9" w:rsidRDefault="00ED112D" w:rsidP="00B565E2">
      <w:pPr>
        <w:ind w:left="0"/>
        <w:jc w:val="center"/>
        <w:rPr>
          <w:rFonts w:ascii="Bookman Old Style" w:hAnsi="Bookman Old Style" w:cs="Arial"/>
        </w:rPr>
      </w:pP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4F69B8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CD2A54D" w:rsidR="00273C2C"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38AB4F36" w14:textId="77777777" w:rsidR="00305A65" w:rsidRDefault="00305A65" w:rsidP="00305A65">
      <w:pPr>
        <w:adjustRightInd w:val="0"/>
        <w:spacing w:before="240" w:after="240"/>
        <w:ind w:left="0"/>
        <w:jc w:val="both"/>
        <w:rPr>
          <w:rFonts w:ascii="Bookman Old Style" w:hAnsi="Bookman Old Style" w:cs="Arial"/>
        </w:rPr>
      </w:pPr>
      <w:r>
        <w:rPr>
          <w:rFonts w:ascii="Bookman Old Style" w:hAnsi="Bookman Old Style" w:cs="Arial"/>
        </w:rPr>
        <w:t xml:space="preserve">El Numeral 87.9 del Artículo 87 de la Ley 142 de 1994, modificado por el Artículo 99 de la Ley 1450 de 2011, señala que: </w:t>
      </w:r>
    </w:p>
    <w:p w14:paraId="381C7B7A" w14:textId="2103A88B" w:rsidR="00305A65" w:rsidRPr="001954E9" w:rsidRDefault="00305A65" w:rsidP="00305A65">
      <w:pPr>
        <w:adjustRightInd w:val="0"/>
        <w:spacing w:before="240" w:after="240"/>
        <w:ind w:left="708"/>
        <w:jc w:val="both"/>
        <w:rPr>
          <w:rFonts w:ascii="Bookman Old Style" w:hAnsi="Bookman Old Style" w:cs="Arial"/>
        </w:rPr>
      </w:pPr>
      <w:r>
        <w:rPr>
          <w:rFonts w:ascii="Bookman Old Style" w:hAnsi="Bookman Old Style" w:cs="Arial"/>
          <w:i/>
          <w:iCs/>
        </w:rPr>
        <w:t xml:space="preserve">“Las entidades públicas podrán aportar bienes o derechos a las empresas de servicios públicos domiciliarios, siempre y cuando su valor no se incluya </w:t>
      </w:r>
      <w:r>
        <w:rPr>
          <w:rFonts w:ascii="Bookman Old Style" w:hAnsi="Bookman Old Style" w:cs="Arial"/>
          <w:i/>
          <w:iCs/>
        </w:rPr>
        <w:lastRenderedPageBreak/>
        <w:t>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de dichos bienes o derechos”.</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3643BCA7"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de 2018</w:t>
      </w:r>
      <w:r w:rsidRPr="009B3468">
        <w:rPr>
          <w:rFonts w:ascii="Bookman Old Style" w:hAnsi="Bookman Old Style" w:cs="Arial"/>
          <w:color w:val="000000" w:themeColor="text1"/>
          <w:shd w:val="clear" w:color="auto" w:fill="FFFFFF"/>
          <w:lang w:val="es-CO" w:eastAsia="es-ES_tradnl"/>
        </w:rPr>
        <w:t>, 132 de 2018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7C152E47"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3A71FD">
        <w:rPr>
          <w:rFonts w:ascii="Bookman Old Style" w:hAnsi="Bookman Old Style" w:cs="Arial"/>
        </w:rPr>
        <w:t>SURCOLOMBIANA DE GAS</w:t>
      </w:r>
      <w:r w:rsidR="00D52C6D">
        <w:rPr>
          <w:rFonts w:ascii="Bookman Old Style" w:hAnsi="Bookman Old Style" w:cs="Arial"/>
        </w:rPr>
        <w:t xml:space="preserve"> </w:t>
      </w:r>
      <w:r w:rsidR="00B56578">
        <w:rPr>
          <w:rFonts w:ascii="Bookman Old Style" w:hAnsi="Bookman Old Style" w:cs="Arial"/>
        </w:rPr>
        <w:t>S.A.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w:t>
      </w:r>
      <w:r w:rsidR="003A71FD">
        <w:rPr>
          <w:rFonts w:ascii="Bookman Old Style" w:hAnsi="Bookman Old Style" w:cs="Arial"/>
        </w:rPr>
        <w:t>19</w:t>
      </w:r>
      <w:r w:rsidR="009A4B63" w:rsidRPr="006D6067">
        <w:rPr>
          <w:rFonts w:ascii="Bookman Old Style" w:hAnsi="Bookman Old Style" w:cs="Arial"/>
        </w:rPr>
        <w:t>-</w:t>
      </w:r>
      <w:r w:rsidR="008A585C">
        <w:rPr>
          <w:rFonts w:ascii="Bookman Old Style" w:hAnsi="Bookman Old Style" w:cs="Arial"/>
        </w:rPr>
        <w:t>0</w:t>
      </w:r>
      <w:r w:rsidR="00AB7794">
        <w:rPr>
          <w:rFonts w:ascii="Bookman Old Style" w:hAnsi="Bookman Old Style" w:cs="Arial"/>
        </w:rPr>
        <w:t>0</w:t>
      </w:r>
      <w:r w:rsidR="00366574">
        <w:rPr>
          <w:rFonts w:ascii="Bookman Old Style" w:hAnsi="Bookman Old Style" w:cs="Arial"/>
        </w:rPr>
        <w:t>8211</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0A77FB">
        <w:rPr>
          <w:rFonts w:ascii="Bookman Old Style" w:hAnsi="Bookman Old Style" w:cs="Arial"/>
        </w:rPr>
        <w:t>31</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0A77FB">
        <w:rPr>
          <w:rFonts w:ascii="Bookman Old Style" w:hAnsi="Bookman Old Style" w:cs="Arial"/>
        </w:rPr>
        <w:t>julio</w:t>
      </w:r>
      <w:r w:rsidR="006D6067" w:rsidRPr="006D6067">
        <w:rPr>
          <w:rFonts w:ascii="Bookman Old Style" w:hAnsi="Bookman Old Style" w:cs="Arial"/>
        </w:rPr>
        <w:t xml:space="preserve"> de 20</w:t>
      </w:r>
      <w:r w:rsidR="003F2794">
        <w:rPr>
          <w:rFonts w:ascii="Bookman Old Style" w:hAnsi="Bookman Old Style" w:cs="Arial"/>
        </w:rPr>
        <w:t>19</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537AA5">
        <w:rPr>
          <w:rFonts w:ascii="Bookman Old Style" w:hAnsi="Bookman Old Style" w:cs="Arial"/>
        </w:rPr>
        <w:t>3</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0A77FB">
        <w:rPr>
          <w:rFonts w:ascii="Bookman Old Style" w:hAnsi="Bookman Old Style" w:cs="Arial"/>
        </w:rPr>
        <w:t>LP</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w:t>
      </w:r>
      <w:r w:rsidR="002A71E9">
        <w:rPr>
          <w:rFonts w:ascii="Bookman Old Style" w:hAnsi="Bookman Old Style" w:cs="Arial"/>
        </w:rPr>
        <w:t xml:space="preserve">Especial </w:t>
      </w:r>
      <w:r w:rsidRPr="006D6067">
        <w:rPr>
          <w:rFonts w:ascii="Bookman Old Style" w:hAnsi="Bookman Old Style" w:cs="Arial"/>
        </w:rPr>
        <w:t>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596D99" w:rsidRPr="00010337" w14:paraId="0AE98CD9" w14:textId="77777777" w:rsidTr="00C03DBE">
        <w:trPr>
          <w:tblHeader/>
          <w:jc w:val="center"/>
        </w:trPr>
        <w:tc>
          <w:tcPr>
            <w:tcW w:w="1960" w:type="dxa"/>
            <w:shd w:val="clear" w:color="auto" w:fill="D9D9D9" w:themeFill="background1" w:themeFillShade="D9"/>
            <w:vAlign w:val="center"/>
          </w:tcPr>
          <w:p w14:paraId="5C1D37DB" w14:textId="141EBDD1" w:rsidR="00596D99" w:rsidRPr="00C03DBE" w:rsidRDefault="00596D99" w:rsidP="00C03DBE">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sidR="00846B96">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7D47225F" w14:textId="08B97948" w:rsidR="00596D99" w:rsidRPr="00C03DBE" w:rsidRDefault="00F9329B" w:rsidP="00C03DBE">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03015489" w14:textId="0BBA1869"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641B1C" w:rsidRPr="00010337" w14:paraId="0A46B16C" w14:textId="77777777" w:rsidTr="00305A65">
        <w:trPr>
          <w:jc w:val="center"/>
        </w:trPr>
        <w:tc>
          <w:tcPr>
            <w:tcW w:w="1960" w:type="dxa"/>
            <w:shd w:val="clear" w:color="auto" w:fill="auto"/>
          </w:tcPr>
          <w:p w14:paraId="3CCD2A7D" w14:textId="6A336C13" w:rsidR="00641B1C" w:rsidRPr="006D6067" w:rsidRDefault="00641B1C" w:rsidP="00641B1C">
            <w:pPr>
              <w:ind w:left="22" w:hanging="22"/>
              <w:jc w:val="center"/>
              <w:rPr>
                <w:rFonts w:ascii="Bookman Old Style" w:hAnsi="Bookman Old Style"/>
                <w:sz w:val="22"/>
                <w:szCs w:val="22"/>
                <w:lang w:val="es-CO" w:eastAsia="es-CO"/>
              </w:rPr>
            </w:pPr>
            <w:r w:rsidRPr="00E61EA2">
              <w:rPr>
                <w:rFonts w:ascii="Bookman Old Style" w:hAnsi="Bookman Old Style"/>
                <w:sz w:val="22"/>
                <w:szCs w:val="22"/>
                <w:lang w:val="es-CO" w:eastAsia="es-CO"/>
              </w:rPr>
              <w:t>4101300</w:t>
            </w:r>
            <w:r>
              <w:rPr>
                <w:rFonts w:ascii="Bookman Old Style" w:hAnsi="Bookman Old Style"/>
                <w:sz w:val="22"/>
                <w:szCs w:val="22"/>
                <w:lang w:val="es-CO" w:eastAsia="es-CO"/>
              </w:rPr>
              <w:t>4</w:t>
            </w:r>
          </w:p>
        </w:tc>
        <w:tc>
          <w:tcPr>
            <w:tcW w:w="1744" w:type="dxa"/>
            <w:vAlign w:val="center"/>
          </w:tcPr>
          <w:p w14:paraId="195BC167" w14:textId="7629428E" w:rsidR="00641B1C" w:rsidRDefault="00641B1C" w:rsidP="00641B1C">
            <w:pPr>
              <w:ind w:left="22" w:hanging="22"/>
              <w:jc w:val="center"/>
              <w:rPr>
                <w:rFonts w:ascii="Bookman Old Style" w:hAnsi="Bookman Old Style"/>
                <w:color w:val="000000"/>
                <w:sz w:val="22"/>
                <w:szCs w:val="22"/>
              </w:rPr>
            </w:pPr>
            <w:r>
              <w:rPr>
                <w:rFonts w:ascii="Bookman Old Style" w:hAnsi="Bookman Old Style"/>
                <w:color w:val="000000"/>
                <w:sz w:val="22"/>
                <w:szCs w:val="22"/>
              </w:rPr>
              <w:t>Astillero</w:t>
            </w:r>
          </w:p>
        </w:tc>
        <w:tc>
          <w:tcPr>
            <w:tcW w:w="1744" w:type="dxa"/>
          </w:tcPr>
          <w:p w14:paraId="6A7D9416" w14:textId="3B177536" w:rsidR="00641B1C" w:rsidRDefault="00641B1C" w:rsidP="00641B1C">
            <w:pPr>
              <w:ind w:left="22" w:hanging="22"/>
              <w:jc w:val="center"/>
              <w:rPr>
                <w:rFonts w:ascii="Bookman Old Style" w:hAnsi="Bookman Old Style"/>
                <w:color w:val="000000"/>
                <w:sz w:val="22"/>
                <w:szCs w:val="22"/>
              </w:rPr>
            </w:pPr>
            <w:r w:rsidRPr="00EC7982">
              <w:rPr>
                <w:rFonts w:ascii="Bookman Old Style" w:hAnsi="Bookman Old Style"/>
                <w:color w:val="000000"/>
                <w:sz w:val="22"/>
                <w:szCs w:val="22"/>
              </w:rPr>
              <w:t>Agrado</w:t>
            </w:r>
          </w:p>
        </w:tc>
        <w:tc>
          <w:tcPr>
            <w:tcW w:w="2362" w:type="dxa"/>
            <w:shd w:val="clear" w:color="auto" w:fill="auto"/>
            <w:vAlign w:val="center"/>
          </w:tcPr>
          <w:p w14:paraId="7F661529" w14:textId="0EF34AE3" w:rsidR="00641B1C" w:rsidRPr="006D6067" w:rsidRDefault="00641B1C" w:rsidP="00641B1C">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641B1C" w:rsidRPr="00010337" w14:paraId="63DD2FFD" w14:textId="77777777" w:rsidTr="00305A65">
        <w:trPr>
          <w:jc w:val="center"/>
        </w:trPr>
        <w:tc>
          <w:tcPr>
            <w:tcW w:w="1960" w:type="dxa"/>
            <w:shd w:val="clear" w:color="auto" w:fill="auto"/>
          </w:tcPr>
          <w:p w14:paraId="27436E02" w14:textId="57B9B4AC" w:rsidR="00641B1C" w:rsidRDefault="00600426" w:rsidP="00641B1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w:t>
            </w:r>
          </w:p>
        </w:tc>
        <w:tc>
          <w:tcPr>
            <w:tcW w:w="1744" w:type="dxa"/>
            <w:vAlign w:val="center"/>
          </w:tcPr>
          <w:p w14:paraId="6B42F7A4" w14:textId="1CDFBC13" w:rsidR="00641B1C" w:rsidRDefault="00641B1C" w:rsidP="00641B1C">
            <w:pPr>
              <w:ind w:left="22" w:hanging="22"/>
              <w:jc w:val="center"/>
              <w:rPr>
                <w:rFonts w:ascii="Bookman Old Style" w:hAnsi="Bookman Old Style"/>
                <w:color w:val="000000"/>
                <w:sz w:val="22"/>
                <w:szCs w:val="22"/>
              </w:rPr>
            </w:pPr>
            <w:r>
              <w:rPr>
                <w:rFonts w:ascii="Bookman Old Style" w:hAnsi="Bookman Old Style"/>
                <w:color w:val="000000"/>
                <w:sz w:val="22"/>
                <w:szCs w:val="22"/>
              </w:rPr>
              <w:t>La María</w:t>
            </w:r>
          </w:p>
        </w:tc>
        <w:tc>
          <w:tcPr>
            <w:tcW w:w="1744" w:type="dxa"/>
          </w:tcPr>
          <w:p w14:paraId="0C56A1A9" w14:textId="0D9F7773" w:rsidR="00641B1C" w:rsidRDefault="00641B1C" w:rsidP="00641B1C">
            <w:pPr>
              <w:ind w:left="22" w:hanging="22"/>
              <w:jc w:val="center"/>
              <w:rPr>
                <w:rFonts w:ascii="Bookman Old Style" w:hAnsi="Bookman Old Style"/>
                <w:color w:val="000000"/>
                <w:sz w:val="22"/>
                <w:szCs w:val="22"/>
              </w:rPr>
            </w:pPr>
            <w:r w:rsidRPr="00EC7982">
              <w:rPr>
                <w:rFonts w:ascii="Bookman Old Style" w:hAnsi="Bookman Old Style"/>
                <w:color w:val="000000"/>
                <w:sz w:val="22"/>
                <w:szCs w:val="22"/>
              </w:rPr>
              <w:t>Agrado</w:t>
            </w:r>
          </w:p>
        </w:tc>
        <w:tc>
          <w:tcPr>
            <w:tcW w:w="2362" w:type="dxa"/>
            <w:shd w:val="clear" w:color="auto" w:fill="auto"/>
            <w:vAlign w:val="center"/>
          </w:tcPr>
          <w:p w14:paraId="7284988C" w14:textId="63A67C12" w:rsidR="00641B1C" w:rsidRDefault="00641B1C" w:rsidP="00641B1C">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641B1C" w:rsidRPr="00010337" w14:paraId="2ECE6A6F" w14:textId="77777777" w:rsidTr="00305A65">
        <w:trPr>
          <w:jc w:val="center"/>
        </w:trPr>
        <w:tc>
          <w:tcPr>
            <w:tcW w:w="1960" w:type="dxa"/>
            <w:shd w:val="clear" w:color="auto" w:fill="auto"/>
          </w:tcPr>
          <w:p w14:paraId="1F0DF5D2" w14:textId="03449A62" w:rsidR="00641B1C" w:rsidRDefault="00600426" w:rsidP="00641B1C">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w:t>
            </w:r>
          </w:p>
        </w:tc>
        <w:tc>
          <w:tcPr>
            <w:tcW w:w="1744" w:type="dxa"/>
            <w:vAlign w:val="center"/>
          </w:tcPr>
          <w:p w14:paraId="759C324E" w14:textId="11FA5BA3" w:rsidR="00641B1C" w:rsidRDefault="00641B1C" w:rsidP="00641B1C">
            <w:pPr>
              <w:ind w:left="22" w:hanging="22"/>
              <w:jc w:val="center"/>
              <w:rPr>
                <w:rFonts w:ascii="Bookman Old Style" w:hAnsi="Bookman Old Style"/>
                <w:color w:val="000000"/>
                <w:sz w:val="22"/>
                <w:szCs w:val="22"/>
              </w:rPr>
            </w:pPr>
            <w:r>
              <w:rPr>
                <w:rFonts w:ascii="Bookman Old Style" w:hAnsi="Bookman Old Style"/>
                <w:color w:val="000000"/>
                <w:sz w:val="22"/>
                <w:szCs w:val="22"/>
              </w:rPr>
              <w:t>Granadillo</w:t>
            </w:r>
          </w:p>
        </w:tc>
        <w:tc>
          <w:tcPr>
            <w:tcW w:w="1744" w:type="dxa"/>
          </w:tcPr>
          <w:p w14:paraId="0442E34F" w14:textId="1C7731AD" w:rsidR="00641B1C" w:rsidRDefault="00641B1C" w:rsidP="00641B1C">
            <w:pPr>
              <w:ind w:left="22" w:hanging="22"/>
              <w:jc w:val="center"/>
              <w:rPr>
                <w:rFonts w:ascii="Bookman Old Style" w:hAnsi="Bookman Old Style"/>
                <w:color w:val="000000"/>
                <w:sz w:val="22"/>
                <w:szCs w:val="22"/>
              </w:rPr>
            </w:pPr>
            <w:r w:rsidRPr="00EC7982">
              <w:rPr>
                <w:rFonts w:ascii="Bookman Old Style" w:hAnsi="Bookman Old Style"/>
                <w:color w:val="000000"/>
                <w:sz w:val="22"/>
                <w:szCs w:val="22"/>
              </w:rPr>
              <w:t>Agrado</w:t>
            </w:r>
          </w:p>
        </w:tc>
        <w:tc>
          <w:tcPr>
            <w:tcW w:w="2362" w:type="dxa"/>
            <w:shd w:val="clear" w:color="auto" w:fill="auto"/>
            <w:vAlign w:val="center"/>
          </w:tcPr>
          <w:p w14:paraId="151702AD" w14:textId="3CD682DC" w:rsidR="00641B1C" w:rsidRDefault="00641B1C" w:rsidP="00641B1C">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43557A" w:rsidRPr="00010337" w14:paraId="3B593EAF" w14:textId="77777777" w:rsidTr="0043557A">
        <w:trPr>
          <w:jc w:val="center"/>
        </w:trPr>
        <w:tc>
          <w:tcPr>
            <w:tcW w:w="1960" w:type="dxa"/>
            <w:shd w:val="clear" w:color="auto" w:fill="auto"/>
            <w:vAlign w:val="center"/>
          </w:tcPr>
          <w:p w14:paraId="239D186A" w14:textId="45C284D5" w:rsidR="0043557A" w:rsidRDefault="0043557A" w:rsidP="0043557A">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w:t>
            </w:r>
            <w:r w:rsidR="00EA2AFC">
              <w:rPr>
                <w:rFonts w:ascii="Bookman Old Style" w:hAnsi="Bookman Old Style"/>
                <w:sz w:val="22"/>
                <w:szCs w:val="22"/>
                <w:lang w:val="es-CO" w:eastAsia="es-CO"/>
              </w:rPr>
              <w:t>013001</w:t>
            </w:r>
          </w:p>
        </w:tc>
        <w:tc>
          <w:tcPr>
            <w:tcW w:w="1744" w:type="dxa"/>
            <w:vAlign w:val="center"/>
          </w:tcPr>
          <w:p w14:paraId="5CBE4CEF" w14:textId="7E3308E7" w:rsidR="0043557A" w:rsidRDefault="0043557A" w:rsidP="0043557A">
            <w:pPr>
              <w:ind w:left="22" w:hanging="22"/>
              <w:jc w:val="center"/>
              <w:rPr>
                <w:rFonts w:ascii="Bookman Old Style" w:hAnsi="Bookman Old Style"/>
                <w:color w:val="000000"/>
                <w:sz w:val="22"/>
                <w:szCs w:val="22"/>
              </w:rPr>
            </w:pPr>
            <w:r>
              <w:rPr>
                <w:rFonts w:ascii="Bookman Old Style" w:hAnsi="Bookman Old Style"/>
                <w:color w:val="000000"/>
                <w:sz w:val="22"/>
                <w:szCs w:val="22"/>
              </w:rPr>
              <w:t>Alto Buenavista</w:t>
            </w:r>
          </w:p>
        </w:tc>
        <w:tc>
          <w:tcPr>
            <w:tcW w:w="1744" w:type="dxa"/>
            <w:vAlign w:val="center"/>
          </w:tcPr>
          <w:p w14:paraId="0B9A5008" w14:textId="1D6CE644" w:rsidR="0043557A" w:rsidRDefault="0043557A" w:rsidP="0043557A">
            <w:pPr>
              <w:ind w:left="22" w:hanging="22"/>
              <w:jc w:val="center"/>
              <w:rPr>
                <w:rFonts w:ascii="Bookman Old Style" w:hAnsi="Bookman Old Style"/>
                <w:color w:val="000000"/>
                <w:sz w:val="22"/>
                <w:szCs w:val="22"/>
              </w:rPr>
            </w:pPr>
            <w:r w:rsidRPr="00EC7982">
              <w:rPr>
                <w:rFonts w:ascii="Bookman Old Style" w:hAnsi="Bookman Old Style"/>
                <w:color w:val="000000"/>
                <w:sz w:val="22"/>
                <w:szCs w:val="22"/>
              </w:rPr>
              <w:t>Agrado</w:t>
            </w:r>
          </w:p>
        </w:tc>
        <w:tc>
          <w:tcPr>
            <w:tcW w:w="2362" w:type="dxa"/>
            <w:shd w:val="clear" w:color="auto" w:fill="auto"/>
            <w:vAlign w:val="center"/>
          </w:tcPr>
          <w:p w14:paraId="39FD0944" w14:textId="0C6705EC" w:rsidR="0043557A" w:rsidRDefault="0043557A" w:rsidP="0043557A">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F40BD6" w:rsidRPr="00010337" w14:paraId="7541D123" w14:textId="77777777" w:rsidTr="00305A65">
        <w:trPr>
          <w:jc w:val="center"/>
        </w:trPr>
        <w:tc>
          <w:tcPr>
            <w:tcW w:w="1960" w:type="dxa"/>
            <w:shd w:val="clear" w:color="auto" w:fill="auto"/>
            <w:vAlign w:val="center"/>
          </w:tcPr>
          <w:p w14:paraId="2E8E5A97" w14:textId="02F90226" w:rsidR="00F40BD6" w:rsidRDefault="00F40BD6" w:rsidP="00F40BD6">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41006016</w:t>
            </w:r>
          </w:p>
        </w:tc>
        <w:tc>
          <w:tcPr>
            <w:tcW w:w="1744" w:type="dxa"/>
            <w:vAlign w:val="center"/>
          </w:tcPr>
          <w:p w14:paraId="26362906" w14:textId="12F931E5" w:rsidR="00F40BD6" w:rsidRDefault="00F40BD6" w:rsidP="00F40BD6">
            <w:pPr>
              <w:ind w:left="22" w:hanging="22"/>
              <w:jc w:val="center"/>
              <w:rPr>
                <w:rFonts w:ascii="Bookman Old Style" w:hAnsi="Bookman Old Style"/>
                <w:color w:val="000000"/>
                <w:sz w:val="22"/>
                <w:szCs w:val="22"/>
              </w:rPr>
            </w:pPr>
            <w:r>
              <w:rPr>
                <w:rFonts w:ascii="Bookman Old Style" w:hAnsi="Bookman Old Style"/>
                <w:color w:val="000000"/>
                <w:sz w:val="22"/>
                <w:szCs w:val="22"/>
              </w:rPr>
              <w:t>La Carbona</w:t>
            </w:r>
          </w:p>
        </w:tc>
        <w:tc>
          <w:tcPr>
            <w:tcW w:w="1744" w:type="dxa"/>
            <w:vAlign w:val="center"/>
          </w:tcPr>
          <w:p w14:paraId="06D0A0AD" w14:textId="4863F627" w:rsidR="00F40BD6" w:rsidRDefault="00F40BD6" w:rsidP="00F40BD6">
            <w:pPr>
              <w:ind w:left="22" w:hanging="22"/>
              <w:jc w:val="center"/>
              <w:rPr>
                <w:rFonts w:ascii="Bookman Old Style" w:hAnsi="Bookman Old Style"/>
                <w:color w:val="000000"/>
                <w:sz w:val="22"/>
                <w:szCs w:val="22"/>
              </w:rPr>
            </w:pPr>
            <w:r>
              <w:rPr>
                <w:rFonts w:ascii="Bookman Old Style" w:hAnsi="Bookman Old Style"/>
                <w:color w:val="000000"/>
                <w:sz w:val="22"/>
                <w:szCs w:val="22"/>
              </w:rPr>
              <w:t>Acevedo</w:t>
            </w:r>
          </w:p>
        </w:tc>
        <w:tc>
          <w:tcPr>
            <w:tcW w:w="2362" w:type="dxa"/>
            <w:shd w:val="clear" w:color="auto" w:fill="auto"/>
          </w:tcPr>
          <w:p w14:paraId="0CB0C9FE" w14:textId="75598DF1" w:rsidR="00F40BD6" w:rsidRDefault="00F40BD6" w:rsidP="00F40BD6">
            <w:pPr>
              <w:ind w:left="22" w:hanging="22"/>
              <w:jc w:val="center"/>
              <w:rPr>
                <w:rFonts w:ascii="Bookman Old Style" w:hAnsi="Bookman Old Style"/>
                <w:color w:val="000000"/>
                <w:sz w:val="22"/>
                <w:szCs w:val="22"/>
              </w:rPr>
            </w:pPr>
            <w:r w:rsidRPr="0023769F">
              <w:rPr>
                <w:rFonts w:ascii="Bookman Old Style" w:hAnsi="Bookman Old Style"/>
                <w:color w:val="000000"/>
                <w:sz w:val="22"/>
                <w:szCs w:val="22"/>
              </w:rPr>
              <w:t>Huila</w:t>
            </w:r>
          </w:p>
        </w:tc>
      </w:tr>
      <w:tr w:rsidR="00F40BD6" w:rsidRPr="00010337" w14:paraId="5FB5216D" w14:textId="77777777" w:rsidTr="00BE0CC0">
        <w:trPr>
          <w:jc w:val="center"/>
        </w:trPr>
        <w:tc>
          <w:tcPr>
            <w:tcW w:w="1960" w:type="dxa"/>
            <w:shd w:val="clear" w:color="auto" w:fill="auto"/>
            <w:vAlign w:val="center"/>
          </w:tcPr>
          <w:p w14:paraId="3B169E5C" w14:textId="46E86422" w:rsidR="00F40BD6" w:rsidRDefault="004B4FB1" w:rsidP="00BE0CC0">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41676</w:t>
            </w:r>
            <w:r w:rsidR="00BE0CC0">
              <w:rPr>
                <w:rFonts w:ascii="Bookman Old Style" w:hAnsi="Bookman Old Style"/>
                <w:sz w:val="22"/>
                <w:szCs w:val="22"/>
                <w:lang w:val="es-CO" w:eastAsia="es-CO"/>
              </w:rPr>
              <w:t>013</w:t>
            </w:r>
            <w:r w:rsidR="00BE0CC0">
              <w:rPr>
                <w:rStyle w:val="Refdenotaalpie"/>
                <w:rFonts w:ascii="Bookman Old Style" w:hAnsi="Bookman Old Style"/>
                <w:sz w:val="22"/>
                <w:szCs w:val="22"/>
                <w:lang w:val="es-CO" w:eastAsia="es-CO"/>
              </w:rPr>
              <w:footnoteReference w:id="2"/>
            </w:r>
          </w:p>
        </w:tc>
        <w:tc>
          <w:tcPr>
            <w:tcW w:w="1744" w:type="dxa"/>
            <w:vAlign w:val="center"/>
          </w:tcPr>
          <w:p w14:paraId="6DC5F16E" w14:textId="04E7AD1A" w:rsidR="00F40BD6" w:rsidRDefault="00BE0CC0" w:rsidP="00BE0CC0">
            <w:pPr>
              <w:ind w:left="22" w:hanging="22"/>
              <w:jc w:val="center"/>
              <w:rPr>
                <w:rFonts w:ascii="Bookman Old Style" w:hAnsi="Bookman Old Style"/>
                <w:color w:val="000000"/>
                <w:sz w:val="22"/>
                <w:szCs w:val="22"/>
              </w:rPr>
            </w:pPr>
            <w:r>
              <w:rPr>
                <w:rFonts w:ascii="Bookman Old Style" w:hAnsi="Bookman Old Style"/>
                <w:color w:val="000000"/>
                <w:sz w:val="22"/>
                <w:szCs w:val="22"/>
              </w:rPr>
              <w:t>El Encanto -</w:t>
            </w:r>
            <w:r w:rsidR="00F40BD6">
              <w:rPr>
                <w:rFonts w:ascii="Bookman Old Style" w:hAnsi="Bookman Old Style"/>
                <w:color w:val="000000"/>
                <w:sz w:val="22"/>
                <w:szCs w:val="22"/>
              </w:rPr>
              <w:t>Las Juntas</w:t>
            </w:r>
          </w:p>
        </w:tc>
        <w:tc>
          <w:tcPr>
            <w:tcW w:w="1744" w:type="dxa"/>
            <w:vAlign w:val="center"/>
          </w:tcPr>
          <w:p w14:paraId="5DCC0A23" w14:textId="64DE7D75" w:rsidR="00F40BD6" w:rsidRDefault="00F40BD6" w:rsidP="00BE0CC0">
            <w:pPr>
              <w:ind w:left="22" w:hanging="22"/>
              <w:jc w:val="center"/>
              <w:rPr>
                <w:rFonts w:ascii="Bookman Old Style" w:hAnsi="Bookman Old Style"/>
                <w:color w:val="000000"/>
                <w:sz w:val="22"/>
                <w:szCs w:val="22"/>
              </w:rPr>
            </w:pPr>
            <w:r>
              <w:rPr>
                <w:rFonts w:ascii="Bookman Old Style" w:hAnsi="Bookman Old Style"/>
                <w:color w:val="000000"/>
                <w:sz w:val="22"/>
                <w:szCs w:val="22"/>
              </w:rPr>
              <w:t>Santa María</w:t>
            </w:r>
          </w:p>
        </w:tc>
        <w:tc>
          <w:tcPr>
            <w:tcW w:w="2362" w:type="dxa"/>
            <w:shd w:val="clear" w:color="auto" w:fill="auto"/>
            <w:vAlign w:val="center"/>
          </w:tcPr>
          <w:p w14:paraId="77ADC03F" w14:textId="07A74107" w:rsidR="00F40BD6" w:rsidRDefault="00F40BD6" w:rsidP="00BE0CC0">
            <w:pPr>
              <w:ind w:left="22" w:hanging="22"/>
              <w:jc w:val="center"/>
              <w:rPr>
                <w:rFonts w:ascii="Bookman Old Style" w:hAnsi="Bookman Old Style"/>
                <w:color w:val="000000"/>
                <w:sz w:val="22"/>
                <w:szCs w:val="22"/>
              </w:rPr>
            </w:pPr>
            <w:r w:rsidRPr="0023769F">
              <w:rPr>
                <w:rFonts w:ascii="Bookman Old Style" w:hAnsi="Bookman Old Style"/>
                <w:color w:val="000000"/>
                <w:sz w:val="22"/>
                <w:szCs w:val="22"/>
              </w:rPr>
              <w:t>Huila</w:t>
            </w:r>
          </w:p>
        </w:tc>
      </w:tr>
    </w:tbl>
    <w:p w14:paraId="52F709DA" w14:textId="77777777" w:rsidR="000568BA" w:rsidRDefault="005873FD" w:rsidP="00FF3F21">
      <w:pPr>
        <w:adjustRightInd w:val="0"/>
        <w:spacing w:before="240" w:after="240"/>
        <w:ind w:left="0" w:right="20"/>
        <w:jc w:val="both"/>
        <w:rPr>
          <w:rFonts w:ascii="Bookman Old Style" w:hAnsi="Bookman Old Style" w:cs="Arial"/>
        </w:rPr>
      </w:pPr>
      <w:bookmarkStart w:id="1" w:name="_Hlk35434991"/>
      <w:r w:rsidRPr="001954E9">
        <w:rPr>
          <w:rFonts w:ascii="Bookman Old Style" w:hAnsi="Bookman Old Style" w:cs="Arial"/>
        </w:rPr>
        <w:lastRenderedPageBreak/>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52C6D">
        <w:rPr>
          <w:rFonts w:ascii="Bookman Old Style" w:hAnsi="Bookman Old Style" w:cs="Arial"/>
        </w:rPr>
        <w:t>–</w:t>
      </w:r>
      <w:r w:rsidR="00886F37" w:rsidRPr="00B73E62">
        <w:rPr>
          <w:rFonts w:ascii="Bookman Old Style" w:hAnsi="Bookman Old Style" w:cs="Arial"/>
        </w:rPr>
        <w:t>AOM</w:t>
      </w:r>
      <w:r w:rsidR="00D52C6D">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0605B1EB" w14:textId="001F985C" w:rsidR="007B6360" w:rsidRPr="001954E9" w:rsidRDefault="00F66046" w:rsidP="00FF3F21">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Pr>
          <w:rFonts w:ascii="Bookman Old Style" w:hAnsi="Bookman Old Style" w:cs="Arial"/>
        </w:rPr>
        <w:t>SURCOLOMBIANA DE GAS</w:t>
      </w:r>
      <w:r w:rsidRPr="001B6126">
        <w:rPr>
          <w:rFonts w:ascii="Bookman Old Style" w:hAnsi="Bookman Old Style" w:cs="Arial"/>
        </w:rPr>
        <w:t xml:space="preserve"> S.A. E.S.P. manifestó en su solicitud que el proyecto cuenta con recursos públicos</w:t>
      </w:r>
      <w:r w:rsidR="003A5C87">
        <w:rPr>
          <w:rFonts w:ascii="Bookman Old Style" w:hAnsi="Bookman Old Style" w:cs="Arial"/>
        </w:rPr>
        <w:t xml:space="preserve"> por parte</w:t>
      </w:r>
      <w:r w:rsidRPr="001B6126">
        <w:rPr>
          <w:rFonts w:ascii="Bookman Old Style" w:hAnsi="Bookman Old Style" w:cs="Arial"/>
        </w:rPr>
        <w:t xml:space="preserve"> </w:t>
      </w:r>
      <w:r w:rsidR="00E96796">
        <w:rPr>
          <w:rFonts w:ascii="Bookman Old Style" w:hAnsi="Bookman Old Style" w:cs="Arial"/>
        </w:rPr>
        <w:t>de</w:t>
      </w:r>
      <w:r w:rsidR="003A5C87">
        <w:rPr>
          <w:rFonts w:ascii="Bookman Old Style" w:hAnsi="Bookman Old Style" w:cs="Arial"/>
        </w:rPr>
        <w:t xml:space="preserve"> l</w:t>
      </w:r>
      <w:r w:rsidR="00E96796">
        <w:rPr>
          <w:rFonts w:ascii="Bookman Old Style" w:hAnsi="Bookman Old Style" w:cs="Arial"/>
        </w:rPr>
        <w:t xml:space="preserve">os MUNICIPIOS DE </w:t>
      </w:r>
      <w:r w:rsidR="004B538E">
        <w:rPr>
          <w:rFonts w:ascii="Bookman Old Style" w:hAnsi="Bookman Old Style" w:cs="Arial"/>
        </w:rPr>
        <w:t>AGRADO, MUNICIPIO DE ACEVEDO y</w:t>
      </w:r>
      <w:r w:rsidR="00F94797">
        <w:rPr>
          <w:rFonts w:ascii="Bookman Old Style" w:hAnsi="Bookman Old Style" w:cs="Arial"/>
        </w:rPr>
        <w:t xml:space="preserve"> el</w:t>
      </w:r>
      <w:r w:rsidR="004B538E">
        <w:rPr>
          <w:rFonts w:ascii="Bookman Old Style" w:hAnsi="Bookman Old Style" w:cs="Arial"/>
        </w:rPr>
        <w:t xml:space="preserve"> MUNICIPIO DE SANTA MARÍA </w:t>
      </w:r>
      <w:r w:rsidRPr="001B6126">
        <w:rPr>
          <w:rFonts w:ascii="Bookman Old Style" w:hAnsi="Bookman Old Style" w:cs="Arial"/>
        </w:rPr>
        <w:t xml:space="preserve">para la construcción de la infraestructura de distribución de gas por redes </w:t>
      </w:r>
      <w:r>
        <w:rPr>
          <w:rFonts w:ascii="Bookman Old Style" w:hAnsi="Bookman Old Style" w:cs="Arial"/>
        </w:rPr>
        <w:t>en dich</w:t>
      </w:r>
      <w:r w:rsidR="00560A7E">
        <w:rPr>
          <w:rFonts w:ascii="Bookman Old Style" w:hAnsi="Bookman Old Style" w:cs="Arial"/>
        </w:rPr>
        <w:t>a</w:t>
      </w:r>
      <w:r>
        <w:rPr>
          <w:rFonts w:ascii="Bookman Old Style" w:hAnsi="Bookman Old Style" w:cs="Arial"/>
        </w:rPr>
        <w:t xml:space="preserve">s </w:t>
      </w:r>
      <w:r w:rsidR="00560A7E">
        <w:rPr>
          <w:rFonts w:ascii="Bookman Old Style" w:hAnsi="Bookman Old Style" w:cs="Arial"/>
        </w:rPr>
        <w:t>veredas</w:t>
      </w:r>
      <w:r>
        <w:rPr>
          <w:rFonts w:ascii="Bookman Old Style" w:hAnsi="Bookman Old Style" w:cs="Arial"/>
        </w:rPr>
        <w:t xml:space="preserve"> </w:t>
      </w:r>
      <w:r w:rsidRPr="001B6126">
        <w:rPr>
          <w:rFonts w:ascii="Bookman Old Style" w:hAnsi="Bookman Old Style" w:cs="Arial"/>
        </w:rPr>
        <w:t xml:space="preserve">por </w:t>
      </w:r>
      <w:r>
        <w:rPr>
          <w:rFonts w:ascii="Bookman Old Style" w:hAnsi="Bookman Old Style" w:cs="Arial"/>
        </w:rPr>
        <w:t xml:space="preserve">la suma </w:t>
      </w:r>
      <w:r w:rsidRPr="001B6126">
        <w:rPr>
          <w:rFonts w:ascii="Bookman Old Style" w:hAnsi="Bookman Old Style" w:cs="Arial"/>
        </w:rPr>
        <w:t>de $</w:t>
      </w:r>
      <w:r w:rsidR="007E4360">
        <w:rPr>
          <w:rFonts w:ascii="Bookman Old Style" w:hAnsi="Bookman Old Style" w:cs="Arial"/>
        </w:rPr>
        <w:t>746</w:t>
      </w:r>
      <w:r w:rsidRPr="001B6126">
        <w:rPr>
          <w:rFonts w:ascii="Bookman Old Style" w:hAnsi="Bookman Old Style" w:cs="Arial"/>
        </w:rPr>
        <w:t>,</w:t>
      </w:r>
      <w:r w:rsidR="00E017C5">
        <w:rPr>
          <w:rFonts w:ascii="Bookman Old Style" w:hAnsi="Bookman Old Style" w:cs="Arial"/>
        </w:rPr>
        <w:t>000</w:t>
      </w:r>
      <w:r w:rsidRPr="001B6126">
        <w:rPr>
          <w:rFonts w:ascii="Bookman Old Style" w:hAnsi="Bookman Old Style" w:cs="Arial"/>
        </w:rPr>
        <w:t>,</w:t>
      </w:r>
      <w:r w:rsidR="00E017C5">
        <w:rPr>
          <w:rFonts w:ascii="Bookman Old Style" w:hAnsi="Bookman Old Style" w:cs="Arial"/>
        </w:rPr>
        <w:t>000</w:t>
      </w:r>
      <w:r w:rsidR="00B07FF1">
        <w:rPr>
          <w:rFonts w:ascii="Bookman Old Style" w:hAnsi="Bookman Old Style" w:cs="Arial"/>
        </w:rPr>
        <w:t>;</w:t>
      </w:r>
      <w:r w:rsidR="007E4360">
        <w:rPr>
          <w:rFonts w:ascii="Bookman Old Style" w:hAnsi="Bookman Old Style" w:cs="Arial"/>
        </w:rPr>
        <w:t xml:space="preserve"> </w:t>
      </w:r>
      <w:r w:rsidRPr="001B6126">
        <w:rPr>
          <w:rFonts w:ascii="Bookman Old Style" w:hAnsi="Bookman Old Style" w:cs="Arial"/>
        </w:rPr>
        <w:t>$</w:t>
      </w:r>
      <w:r w:rsidR="008176D6">
        <w:rPr>
          <w:rFonts w:ascii="Bookman Old Style" w:hAnsi="Bookman Old Style" w:cs="Arial"/>
        </w:rPr>
        <w:t>6</w:t>
      </w:r>
      <w:r w:rsidR="007E4360">
        <w:rPr>
          <w:rFonts w:ascii="Bookman Old Style" w:hAnsi="Bookman Old Style" w:cs="Arial"/>
        </w:rPr>
        <w:t>1</w:t>
      </w:r>
      <w:r w:rsidRPr="001B6126">
        <w:rPr>
          <w:rFonts w:ascii="Bookman Old Style" w:hAnsi="Bookman Old Style" w:cs="Arial"/>
        </w:rPr>
        <w:t>,</w:t>
      </w:r>
      <w:r w:rsidR="007E4360">
        <w:rPr>
          <w:rFonts w:ascii="Bookman Old Style" w:hAnsi="Bookman Old Style" w:cs="Arial"/>
        </w:rPr>
        <w:t>647</w:t>
      </w:r>
      <w:r w:rsidRPr="001B6126">
        <w:rPr>
          <w:rFonts w:ascii="Bookman Old Style" w:hAnsi="Bookman Old Style" w:cs="Arial"/>
        </w:rPr>
        <w:t>,</w:t>
      </w:r>
      <w:r w:rsidR="007E4360">
        <w:rPr>
          <w:rFonts w:ascii="Bookman Old Style" w:hAnsi="Bookman Old Style" w:cs="Arial"/>
        </w:rPr>
        <w:t>434 Y $</w:t>
      </w:r>
      <w:r w:rsidR="00850ADD">
        <w:rPr>
          <w:rFonts w:ascii="Bookman Old Style" w:hAnsi="Bookman Old Style" w:cs="Arial"/>
        </w:rPr>
        <w:t>130,000,000</w:t>
      </w:r>
      <w:r w:rsidRPr="001B6126">
        <w:rPr>
          <w:rFonts w:ascii="Bookman Old Style" w:hAnsi="Bookman Old Style" w:cs="Arial"/>
        </w:rPr>
        <w:t xml:space="preserve"> respectivamente.</w:t>
      </w:r>
    </w:p>
    <w:p w14:paraId="3E746F7D" w14:textId="41FE7C08"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través del aplicativo ApliGas,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CE754E">
        <w:rPr>
          <w:rFonts w:ascii="Bookman Old Style" w:hAnsi="Bookman Old Style" w:cs="Arial"/>
        </w:rPr>
        <w:t xml:space="preserve">SURCOLOMBIANA DE GAS S.A. E.S.P.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467202">
        <w:rPr>
          <w:rFonts w:ascii="Bookman Old Style" w:hAnsi="Bookman Old Style" w:cs="Arial"/>
        </w:rPr>
        <w:t>19</w:t>
      </w:r>
      <w:r w:rsidR="002853D1">
        <w:rPr>
          <w:rFonts w:ascii="Bookman Old Style" w:hAnsi="Bookman Old Style" w:cs="Arial"/>
        </w:rPr>
        <w:t>43</w:t>
      </w:r>
      <w:r w:rsidRPr="00F2162A">
        <w:rPr>
          <w:rFonts w:ascii="Bookman Old Style" w:hAnsi="Bookman Old Style" w:cs="Arial"/>
        </w:rPr>
        <w:t>.</w:t>
      </w:r>
    </w:p>
    <w:p w14:paraId="2BDC6340" w14:textId="2181F6D1" w:rsidR="00923677" w:rsidRPr="00F2162A" w:rsidRDefault="00923677" w:rsidP="00FA2C07">
      <w:pPr>
        <w:autoSpaceDE w:val="0"/>
        <w:autoSpaceDN w:val="0"/>
        <w:adjustRightInd w:val="0"/>
        <w:ind w:left="0"/>
        <w:jc w:val="both"/>
        <w:rPr>
          <w:rFonts w:ascii="Bookman Old Style" w:hAnsi="Bookman Old Style" w:cs="Arial"/>
        </w:rPr>
      </w:pPr>
      <w:r w:rsidRPr="00923677">
        <w:rPr>
          <w:rFonts w:ascii="Bookman Old Style" w:hAnsi="Bookman Old Style" w:cs="Arial"/>
        </w:rPr>
        <w:t>De acuerdo con lo dispuesto en el Parágrafo 4 del Numeral 5.2 del Artículo 5 de la metodología , 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w:t>
      </w:r>
      <w:r>
        <w:rPr>
          <w:rFonts w:ascii="Bookman Old Style" w:hAnsi="Bookman Old Style" w:cs="Arial"/>
        </w:rPr>
        <w:t xml:space="preserve"> </w:t>
      </w:r>
      <w:r w:rsidRPr="00923677">
        <w:rPr>
          <w:rFonts w:ascii="Bookman Old Style" w:hAnsi="Bookman Old Style" w:cs="Arial"/>
        </w:rPr>
        <w:t>componente de gastos de AOM y, para el cálculo del cargo que remunera la</w:t>
      </w:r>
      <w:r>
        <w:rPr>
          <w:rFonts w:ascii="Bookman Old Style" w:hAnsi="Bookman Old Style" w:cs="Arial"/>
        </w:rPr>
        <w:t xml:space="preserve"> </w:t>
      </w:r>
      <w:r w:rsidRPr="00923677">
        <w:rPr>
          <w:rFonts w:ascii="Bookman Old Style" w:hAnsi="Bookman Old Style" w:cs="Arial"/>
        </w:rPr>
        <w:t>componente de inversión, se mantendrá el beneficio de los recursos públicos en cabeza de sus destinatarios conforme al procedimiento establecido en el Anexo</w:t>
      </w:r>
      <w:r>
        <w:rPr>
          <w:rFonts w:ascii="Bookman Old Style" w:hAnsi="Bookman Old Style" w:cs="Arial"/>
        </w:rPr>
        <w:t xml:space="preserve"> </w:t>
      </w:r>
      <w:r w:rsidRPr="00923677">
        <w:rPr>
          <w:rFonts w:ascii="Bookman Old Style" w:hAnsi="Bookman Old Style" w:cs="Arial"/>
        </w:rPr>
        <w:t>21 de dicha metodología.</w:t>
      </w:r>
    </w:p>
    <w:p w14:paraId="567CA366" w14:textId="62C6FC11" w:rsidR="00F94E7F" w:rsidRDefault="00157EAF" w:rsidP="00A2542F">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 xml:space="preserve">con la solicitud presentada por la empresa </w:t>
      </w:r>
      <w:r w:rsidR="009F1F5F">
        <w:rPr>
          <w:rFonts w:ascii="Bookman Old Style" w:hAnsi="Bookman Old Style" w:cs="Arial"/>
        </w:rPr>
        <w:t>SURCOLOMBIANA DE GAS S.A. E.S.P.</w:t>
      </w:r>
      <w:r w:rsidRPr="00C11A90">
        <w:rPr>
          <w:rFonts w:ascii="Bookman Old Style" w:hAnsi="Bookman Old Style" w:cs="Arial"/>
        </w:rPr>
        <w:t xml:space="preserve"> </w:t>
      </w:r>
      <w:r w:rsidR="00DB789B">
        <w:rPr>
          <w:rFonts w:ascii="Bookman Old Style" w:hAnsi="Bookman Old Style" w:cs="Arial"/>
        </w:rPr>
        <w:t xml:space="preserve">no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r w:rsidR="00D874CC">
        <w:rPr>
          <w:rFonts w:ascii="Bookman Old Style" w:hAnsi="Bookman Old Style" w:cs="Arial"/>
        </w:rPr>
        <w:t xml:space="preserve">En consecuencia, </w:t>
      </w:r>
      <w:r w:rsidR="009B395F">
        <w:rPr>
          <w:rFonts w:ascii="Bookman Old Style" w:hAnsi="Bookman Old Style" w:cs="Arial"/>
        </w:rPr>
        <w:t>mediante comunicación con radicado CREG S-20</w:t>
      </w:r>
      <w:r w:rsidR="003D5D9B">
        <w:rPr>
          <w:rFonts w:ascii="Bookman Old Style" w:hAnsi="Bookman Old Style" w:cs="Arial"/>
        </w:rPr>
        <w:t>19</w:t>
      </w:r>
      <w:r w:rsidR="009B395F">
        <w:rPr>
          <w:rFonts w:ascii="Bookman Old Style" w:hAnsi="Bookman Old Style" w:cs="Arial"/>
        </w:rPr>
        <w:t>-00</w:t>
      </w:r>
      <w:r w:rsidR="00590723">
        <w:rPr>
          <w:rFonts w:ascii="Bookman Old Style" w:hAnsi="Bookman Old Style" w:cs="Arial"/>
        </w:rPr>
        <w:t>4441</w:t>
      </w:r>
      <w:r w:rsidR="001173B6">
        <w:rPr>
          <w:rFonts w:ascii="Bookman Old Style" w:hAnsi="Bookman Old Style" w:cs="Arial"/>
        </w:rPr>
        <w:t xml:space="preserve"> del 6 de agosto </w:t>
      </w:r>
      <w:r w:rsidR="00A55185">
        <w:rPr>
          <w:rFonts w:ascii="Bookman Old Style" w:hAnsi="Bookman Old Style" w:cs="Arial"/>
        </w:rPr>
        <w:t>de 2019, se solicitó a la Empresa remitir</w:t>
      </w:r>
      <w:r w:rsidR="00317D39">
        <w:rPr>
          <w:rFonts w:ascii="Bookman Old Style" w:hAnsi="Bookman Old Style" w:cs="Arial"/>
        </w:rPr>
        <w:t xml:space="preserve"> la </w:t>
      </w:r>
      <w:r w:rsidR="00B81D7E">
        <w:rPr>
          <w:rFonts w:ascii="Bookman Old Style" w:hAnsi="Bookman Old Style" w:cs="Arial"/>
        </w:rPr>
        <w:t>siguiente información:</w:t>
      </w:r>
    </w:p>
    <w:p w14:paraId="323B6003" w14:textId="1042CA4E" w:rsidR="003B691E" w:rsidRPr="00E817FF" w:rsidRDefault="00E817FF" w:rsidP="004B6850">
      <w:pPr>
        <w:pStyle w:val="Prrafodelista"/>
        <w:numPr>
          <w:ilvl w:val="0"/>
          <w:numId w:val="5"/>
        </w:numPr>
        <w:adjustRightInd w:val="0"/>
        <w:spacing w:before="240" w:after="240"/>
        <w:ind w:right="20"/>
        <w:jc w:val="both"/>
        <w:rPr>
          <w:rFonts w:ascii="Bookman Old Style" w:hAnsi="Bookman Old Style" w:cs="Arial"/>
          <w:i/>
          <w:iCs/>
          <w:sz w:val="22"/>
          <w:szCs w:val="22"/>
          <w:lang w:val="es-ES"/>
        </w:rPr>
      </w:pPr>
      <w:r>
        <w:rPr>
          <w:rFonts w:ascii="Bookman Old Style" w:hAnsi="Bookman Old Style" w:cs="Arial"/>
          <w:i/>
          <w:iCs/>
          <w:sz w:val="22"/>
          <w:szCs w:val="22"/>
          <w:lang w:val="es-ES"/>
        </w:rPr>
        <w:t>“</w:t>
      </w:r>
      <w:r w:rsidR="00031DA1" w:rsidRPr="00E817FF">
        <w:rPr>
          <w:rFonts w:ascii="Bookman Old Style" w:hAnsi="Bookman Old Style" w:cs="Arial"/>
          <w:i/>
          <w:iCs/>
          <w:sz w:val="22"/>
          <w:szCs w:val="22"/>
          <w:lang w:val="es-ES"/>
        </w:rPr>
        <w:t>Certificación que demuestre que al menos el 80% de los usuarios potenciales del servicio de gas en los centros poblados solicitados están interesados en contar con el servicio (Parágrafo 1 del Subnumeral 5.3 del Artículo 5 de la Metodología)</w:t>
      </w:r>
      <w:r w:rsidR="00852D35" w:rsidRPr="00E817FF">
        <w:rPr>
          <w:rFonts w:ascii="Bookman Old Style" w:hAnsi="Bookman Old Style" w:cs="Arial"/>
          <w:i/>
          <w:iCs/>
          <w:sz w:val="22"/>
          <w:szCs w:val="22"/>
          <w:lang w:val="es-ES"/>
        </w:rPr>
        <w:t>,</w:t>
      </w:r>
      <w:r w:rsidR="00852D35" w:rsidRPr="00E817FF">
        <w:rPr>
          <w:rFonts w:ascii="Arial" w:hAnsi="Arial" w:cs="Arial"/>
          <w:i/>
          <w:iCs/>
          <w:sz w:val="22"/>
          <w:szCs w:val="22"/>
        </w:rPr>
        <w:t xml:space="preserve"> </w:t>
      </w:r>
      <w:r w:rsidR="00852D35" w:rsidRPr="00E817FF">
        <w:rPr>
          <w:rFonts w:ascii="Bookman Old Style" w:hAnsi="Bookman Old Style" w:cs="Arial"/>
          <w:i/>
          <w:iCs/>
          <w:sz w:val="22"/>
          <w:szCs w:val="22"/>
          <w:lang w:val="es-ES"/>
        </w:rPr>
        <w:t>considerando lo dispuesto en el numeral 2.3 de la Circular CREG 030 de 2019 al respecto.</w:t>
      </w:r>
    </w:p>
    <w:p w14:paraId="09689986" w14:textId="338C319A" w:rsidR="00852D35" w:rsidRPr="00E817FF" w:rsidRDefault="00852D35" w:rsidP="004B6850">
      <w:pPr>
        <w:pStyle w:val="Prrafodelista"/>
        <w:numPr>
          <w:ilvl w:val="0"/>
          <w:numId w:val="5"/>
        </w:numPr>
        <w:shd w:val="clear" w:color="auto" w:fill="FFFFFF"/>
        <w:spacing w:before="240" w:after="240"/>
        <w:contextualSpacing/>
        <w:jc w:val="both"/>
        <w:rPr>
          <w:rFonts w:ascii="Bookman Old Style" w:hAnsi="Bookman Old Style" w:cs="Arial"/>
          <w:i/>
          <w:iCs/>
          <w:sz w:val="22"/>
          <w:szCs w:val="22"/>
          <w:lang w:val="es-ES"/>
        </w:rPr>
      </w:pPr>
      <w:r w:rsidRPr="00E817FF">
        <w:rPr>
          <w:rFonts w:ascii="Bookman Old Style" w:hAnsi="Bookman Old Style" w:cs="Arial"/>
          <w:i/>
          <w:iCs/>
          <w:sz w:val="22"/>
          <w:szCs w:val="22"/>
          <w:lang w:val="es-ES"/>
        </w:rPr>
        <w:t>Manifestación expresa de si el Sistema de Distribución del Mercado Relevante de Distribución para el Siguiente Período Tarifario solicitado se desprende de otro Mercado Relevante de Distribución. En caso afirmativo, indicar dicho mercado y el Cargo de Distribución que deberán pagar los usuarios por el uso de ese Sistema de Distribución. Adicionalmente, indicar a que red del otro sistema de distribución se conectará (primaria o secundaria) y la inversión en activos de conexión. Si el sistema de distribución no se desprende de otro sistema, manifestarlo expresamente (Numeral 8 del Anexo 2 de la metodología).</w:t>
      </w:r>
    </w:p>
    <w:p w14:paraId="2457A5BB" w14:textId="77777777" w:rsidR="008B1BD7" w:rsidRPr="00E817FF" w:rsidRDefault="008B1BD7" w:rsidP="008B1BD7">
      <w:pPr>
        <w:pStyle w:val="Prrafodelista"/>
        <w:shd w:val="clear" w:color="auto" w:fill="FFFFFF"/>
        <w:spacing w:before="240" w:after="240"/>
        <w:ind w:left="720"/>
        <w:contextualSpacing/>
        <w:jc w:val="both"/>
        <w:rPr>
          <w:rFonts w:ascii="Bookman Old Style" w:hAnsi="Bookman Old Style" w:cs="Arial"/>
          <w:i/>
          <w:iCs/>
          <w:sz w:val="22"/>
          <w:szCs w:val="22"/>
          <w:lang w:val="es-ES"/>
        </w:rPr>
      </w:pPr>
    </w:p>
    <w:p w14:paraId="00FA9061" w14:textId="67E1AFB3" w:rsidR="008B1BD7" w:rsidRPr="00E817FF" w:rsidRDefault="008B1BD7" w:rsidP="004B6850">
      <w:pPr>
        <w:pStyle w:val="Prrafodelista"/>
        <w:numPr>
          <w:ilvl w:val="0"/>
          <w:numId w:val="5"/>
        </w:numPr>
        <w:shd w:val="clear" w:color="auto" w:fill="FFFFFF"/>
        <w:spacing w:before="240" w:after="240"/>
        <w:contextualSpacing/>
        <w:jc w:val="both"/>
        <w:rPr>
          <w:rFonts w:ascii="Bookman Old Style" w:hAnsi="Bookman Old Style" w:cs="Arial"/>
          <w:i/>
          <w:iCs/>
          <w:sz w:val="22"/>
          <w:szCs w:val="22"/>
          <w:lang w:val="es-ES"/>
        </w:rPr>
      </w:pPr>
      <w:r w:rsidRPr="00E817FF">
        <w:rPr>
          <w:rFonts w:ascii="Bookman Old Style" w:hAnsi="Bookman Old Style" w:cs="Arial"/>
          <w:i/>
          <w:iCs/>
          <w:sz w:val="22"/>
          <w:szCs w:val="22"/>
          <w:lang w:val="es-ES"/>
        </w:rPr>
        <w:lastRenderedPageBreak/>
        <w:t>Copia del radicado UPME mediante el cual se remitieron a dicha entidad las proyecciones y el estudio de demanda del mercado relevante solicitado para su evaluación metodológica y concepto (Subnumeral 4.2 del numeral 9.8.2 del artículo 9 de la metodología).</w:t>
      </w:r>
    </w:p>
    <w:p w14:paraId="2033A365" w14:textId="77777777" w:rsidR="008B1BD7" w:rsidRPr="00E817FF" w:rsidRDefault="008B1BD7" w:rsidP="008B1BD7">
      <w:pPr>
        <w:pStyle w:val="Prrafodelista"/>
        <w:rPr>
          <w:rFonts w:ascii="Bookman Old Style" w:hAnsi="Bookman Old Style" w:cs="Arial"/>
          <w:i/>
          <w:iCs/>
          <w:sz w:val="22"/>
          <w:szCs w:val="22"/>
          <w:lang w:val="es-ES"/>
        </w:rPr>
      </w:pPr>
    </w:p>
    <w:p w14:paraId="7C175609" w14:textId="776E3C48" w:rsidR="008B1BD7" w:rsidRPr="00E817FF" w:rsidRDefault="008B1BD7" w:rsidP="004B6850">
      <w:pPr>
        <w:pStyle w:val="Prrafodelista"/>
        <w:numPr>
          <w:ilvl w:val="0"/>
          <w:numId w:val="5"/>
        </w:numPr>
        <w:shd w:val="clear" w:color="auto" w:fill="FFFFFF"/>
        <w:spacing w:before="240" w:after="240"/>
        <w:contextualSpacing/>
        <w:jc w:val="both"/>
        <w:rPr>
          <w:rFonts w:ascii="Bookman Old Style" w:hAnsi="Bookman Old Style" w:cs="Arial"/>
          <w:i/>
          <w:iCs/>
          <w:sz w:val="22"/>
          <w:szCs w:val="22"/>
          <w:lang w:val="es-ES"/>
        </w:rPr>
      </w:pPr>
      <w:r w:rsidRPr="00E817FF">
        <w:rPr>
          <w:rFonts w:ascii="Bookman Old Style" w:hAnsi="Bookman Old Style" w:cs="Arial"/>
          <w:i/>
          <w:iCs/>
          <w:sz w:val="22"/>
          <w:szCs w:val="22"/>
          <w:lang w:val="es-ES"/>
        </w:rPr>
        <w:t>Indicación expresa de la destinación de los recursos públicos con los que cuenta el proyecto para la financiación de infraestructura de distribución (Numeral 6.2 del Artículo 6 de la Metodología).</w:t>
      </w:r>
      <w:r w:rsidR="00E817FF">
        <w:rPr>
          <w:rFonts w:ascii="Bookman Old Style" w:hAnsi="Bookman Old Style" w:cs="Arial"/>
          <w:i/>
          <w:iCs/>
          <w:sz w:val="22"/>
          <w:szCs w:val="22"/>
          <w:lang w:val="es-ES"/>
        </w:rPr>
        <w:t>”</w:t>
      </w:r>
    </w:p>
    <w:p w14:paraId="2FB00EBB" w14:textId="28D79602" w:rsidR="00D62205" w:rsidRDefault="00AE7E89" w:rsidP="00D62205">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A través de oficio </w:t>
      </w:r>
      <w:r w:rsidR="00D62205" w:rsidRPr="00D62205">
        <w:rPr>
          <w:rFonts w:ascii="Bookman Old Style" w:hAnsi="Bookman Old Style" w:cs="Arial"/>
          <w:szCs w:val="22"/>
        </w:rPr>
        <w:t>bajo radicado CREG E-20</w:t>
      </w:r>
      <w:r w:rsidR="008F63FD">
        <w:rPr>
          <w:rFonts w:ascii="Bookman Old Style" w:hAnsi="Bookman Old Style" w:cs="Arial"/>
          <w:szCs w:val="22"/>
        </w:rPr>
        <w:t>19</w:t>
      </w:r>
      <w:r w:rsidR="00D62205" w:rsidRPr="00D62205">
        <w:rPr>
          <w:rFonts w:ascii="Bookman Old Style" w:hAnsi="Bookman Old Style" w:cs="Arial"/>
          <w:szCs w:val="22"/>
        </w:rPr>
        <w:t>-008</w:t>
      </w:r>
      <w:r w:rsidR="0012770D">
        <w:rPr>
          <w:rFonts w:ascii="Bookman Old Style" w:hAnsi="Bookman Old Style" w:cs="Arial"/>
          <w:szCs w:val="22"/>
        </w:rPr>
        <w:t>8</w:t>
      </w:r>
      <w:r w:rsidR="008F63FD">
        <w:rPr>
          <w:rFonts w:ascii="Bookman Old Style" w:hAnsi="Bookman Old Style" w:cs="Arial"/>
          <w:szCs w:val="22"/>
        </w:rPr>
        <w:t>2</w:t>
      </w:r>
      <w:r w:rsidR="00D62205" w:rsidRPr="00D62205">
        <w:rPr>
          <w:rFonts w:ascii="Bookman Old Style" w:hAnsi="Bookman Old Style" w:cs="Arial"/>
          <w:szCs w:val="22"/>
        </w:rPr>
        <w:t xml:space="preserve">4 del </w:t>
      </w:r>
      <w:r w:rsidR="008F63FD">
        <w:rPr>
          <w:rFonts w:ascii="Bookman Old Style" w:hAnsi="Bookman Old Style" w:cs="Arial"/>
          <w:szCs w:val="22"/>
        </w:rPr>
        <w:t>20</w:t>
      </w:r>
      <w:r w:rsidR="00D62205" w:rsidRPr="00D62205">
        <w:rPr>
          <w:rFonts w:ascii="Bookman Old Style" w:hAnsi="Bookman Old Style" w:cs="Arial"/>
          <w:szCs w:val="22"/>
        </w:rPr>
        <w:t xml:space="preserve"> de </w:t>
      </w:r>
      <w:r w:rsidR="008F63FD">
        <w:rPr>
          <w:rFonts w:ascii="Bookman Old Style" w:hAnsi="Bookman Old Style" w:cs="Arial"/>
          <w:szCs w:val="22"/>
        </w:rPr>
        <w:t>agosto</w:t>
      </w:r>
      <w:r w:rsidR="00D62205" w:rsidRPr="00D62205">
        <w:rPr>
          <w:rFonts w:ascii="Bookman Old Style" w:hAnsi="Bookman Old Style" w:cs="Arial"/>
          <w:szCs w:val="22"/>
        </w:rPr>
        <w:t xml:space="preserve"> de 20</w:t>
      </w:r>
      <w:r w:rsidR="008F63FD">
        <w:rPr>
          <w:rFonts w:ascii="Bookman Old Style" w:hAnsi="Bookman Old Style" w:cs="Arial"/>
          <w:szCs w:val="22"/>
        </w:rPr>
        <w:t>19</w:t>
      </w:r>
      <w:r w:rsidR="00D62205" w:rsidRPr="00D62205">
        <w:rPr>
          <w:rFonts w:ascii="Bookman Old Style" w:hAnsi="Bookman Old Style" w:cs="Arial"/>
          <w:szCs w:val="22"/>
        </w:rPr>
        <w:t xml:space="preserve">, </w:t>
      </w:r>
      <w:r w:rsidR="007774A8">
        <w:rPr>
          <w:rFonts w:ascii="Bookman Old Style" w:hAnsi="Bookman Old Style" w:cs="Arial"/>
          <w:szCs w:val="22"/>
        </w:rPr>
        <w:t xml:space="preserve">la </w:t>
      </w:r>
      <w:r w:rsidR="00D915E6">
        <w:rPr>
          <w:rFonts w:ascii="Bookman Old Style" w:hAnsi="Bookman Old Style" w:cs="Arial"/>
          <w:szCs w:val="22"/>
        </w:rPr>
        <w:t>e</w:t>
      </w:r>
      <w:r w:rsidR="007774A8">
        <w:rPr>
          <w:rFonts w:ascii="Bookman Old Style" w:hAnsi="Bookman Old Style" w:cs="Arial"/>
          <w:szCs w:val="22"/>
        </w:rPr>
        <w:t>mpresa SURCOLOMBIANA DE GAS S.A. E.S.P.</w:t>
      </w:r>
      <w:r w:rsidR="00D62205" w:rsidRPr="00D62205">
        <w:rPr>
          <w:rFonts w:ascii="Bookman Old Style" w:hAnsi="Bookman Old Style" w:cs="Arial"/>
          <w:szCs w:val="22"/>
        </w:rPr>
        <w:t xml:space="preserve"> solicitó ampliar por un término de 1</w:t>
      </w:r>
      <w:r w:rsidR="00EF391B">
        <w:rPr>
          <w:rFonts w:ascii="Bookman Old Style" w:hAnsi="Bookman Old Style" w:cs="Arial"/>
          <w:szCs w:val="22"/>
        </w:rPr>
        <w:t>5</w:t>
      </w:r>
      <w:r w:rsidR="00D62205" w:rsidRPr="00D62205">
        <w:rPr>
          <w:rFonts w:ascii="Bookman Old Style" w:hAnsi="Bookman Old Style" w:cs="Arial"/>
          <w:szCs w:val="22"/>
        </w:rPr>
        <w:t xml:space="preserve"> días</w:t>
      </w:r>
      <w:r w:rsidR="00551FF0">
        <w:rPr>
          <w:rFonts w:ascii="Bookman Old Style" w:hAnsi="Bookman Old Style" w:cs="Arial"/>
          <w:szCs w:val="22"/>
        </w:rPr>
        <w:t xml:space="preserve"> el plazo</w:t>
      </w:r>
      <w:r w:rsidR="00D62205" w:rsidRPr="00D62205">
        <w:rPr>
          <w:rFonts w:ascii="Bookman Old Style" w:hAnsi="Bookman Old Style" w:cs="Arial"/>
          <w:szCs w:val="22"/>
        </w:rPr>
        <w:t xml:space="preserve"> para atender el requerimiento realizado por la Comisión.</w:t>
      </w:r>
    </w:p>
    <w:p w14:paraId="0075B0A2" w14:textId="4617CA63" w:rsidR="00B51363" w:rsidRDefault="00AE7E89" w:rsidP="00B51363">
      <w:pPr>
        <w:adjustRightInd w:val="0"/>
        <w:spacing w:before="240" w:after="240"/>
        <w:ind w:left="0" w:right="20"/>
        <w:jc w:val="both"/>
        <w:rPr>
          <w:rFonts w:ascii="Bookman Old Style" w:hAnsi="Bookman Old Style" w:cs="Arial"/>
          <w:szCs w:val="22"/>
        </w:rPr>
      </w:pPr>
      <w:r>
        <w:rPr>
          <w:rFonts w:ascii="Bookman Old Style" w:hAnsi="Bookman Old Style" w:cs="Arial"/>
          <w:szCs w:val="22"/>
        </w:rPr>
        <w:t>La Comisión m</w:t>
      </w:r>
      <w:r w:rsidR="00B51363">
        <w:rPr>
          <w:rFonts w:ascii="Bookman Old Style" w:hAnsi="Bookman Old Style" w:cs="Arial"/>
          <w:szCs w:val="22"/>
        </w:rPr>
        <w:t>ediante radicado CREG S-2019-00</w:t>
      </w:r>
      <w:r w:rsidR="008C208C">
        <w:rPr>
          <w:rFonts w:ascii="Bookman Old Style" w:hAnsi="Bookman Old Style" w:cs="Arial"/>
          <w:szCs w:val="22"/>
        </w:rPr>
        <w:t>4668</w:t>
      </w:r>
      <w:r w:rsidR="00B51363">
        <w:rPr>
          <w:rFonts w:ascii="Bookman Old Style" w:hAnsi="Bookman Old Style" w:cs="Arial"/>
          <w:szCs w:val="22"/>
        </w:rPr>
        <w:t xml:space="preserve"> del </w:t>
      </w:r>
      <w:r w:rsidR="008C208C">
        <w:rPr>
          <w:rFonts w:ascii="Bookman Old Style" w:hAnsi="Bookman Old Style" w:cs="Arial"/>
          <w:szCs w:val="22"/>
        </w:rPr>
        <w:t>21</w:t>
      </w:r>
      <w:r w:rsidR="00B51363">
        <w:rPr>
          <w:rFonts w:ascii="Bookman Old Style" w:hAnsi="Bookman Old Style" w:cs="Arial"/>
          <w:szCs w:val="22"/>
        </w:rPr>
        <w:t xml:space="preserve"> de </w:t>
      </w:r>
      <w:r w:rsidR="00E52E1E">
        <w:rPr>
          <w:rFonts w:ascii="Bookman Old Style" w:hAnsi="Bookman Old Style" w:cs="Arial"/>
          <w:szCs w:val="22"/>
        </w:rPr>
        <w:t>agosto</w:t>
      </w:r>
      <w:r w:rsidR="00B51363">
        <w:rPr>
          <w:rFonts w:ascii="Bookman Old Style" w:hAnsi="Bookman Old Style" w:cs="Arial"/>
          <w:szCs w:val="22"/>
        </w:rPr>
        <w:t xml:space="preserve"> de 20</w:t>
      </w:r>
      <w:r w:rsidR="00E52E1E">
        <w:rPr>
          <w:rFonts w:ascii="Bookman Old Style" w:hAnsi="Bookman Old Style" w:cs="Arial"/>
          <w:szCs w:val="22"/>
        </w:rPr>
        <w:t>19</w:t>
      </w:r>
      <w:r w:rsidR="00B51363">
        <w:rPr>
          <w:rFonts w:ascii="Bookman Old Style" w:hAnsi="Bookman Old Style" w:cs="Arial"/>
          <w:szCs w:val="22"/>
        </w:rPr>
        <w:t xml:space="preserve"> </w:t>
      </w:r>
      <w:r w:rsidR="00551FF0">
        <w:rPr>
          <w:rFonts w:ascii="Bookman Old Style" w:hAnsi="Bookman Old Style" w:cs="Arial"/>
          <w:szCs w:val="22"/>
        </w:rPr>
        <w:t>prorrogó</w:t>
      </w:r>
      <w:r w:rsidR="00B51363">
        <w:rPr>
          <w:rFonts w:ascii="Bookman Old Style" w:hAnsi="Bookman Old Style" w:cs="Arial"/>
          <w:szCs w:val="22"/>
        </w:rPr>
        <w:t xml:space="preserve"> el </w:t>
      </w:r>
      <w:r w:rsidR="00E52E1E">
        <w:rPr>
          <w:rFonts w:ascii="Bookman Old Style" w:hAnsi="Bookman Old Style" w:cs="Arial"/>
          <w:szCs w:val="22"/>
        </w:rPr>
        <w:t xml:space="preserve">término </w:t>
      </w:r>
      <w:r>
        <w:rPr>
          <w:rFonts w:ascii="Bookman Old Style" w:hAnsi="Bookman Old Style" w:cs="Arial"/>
          <w:szCs w:val="22"/>
        </w:rPr>
        <w:t>solicitado por</w:t>
      </w:r>
      <w:r w:rsidR="00042A07">
        <w:rPr>
          <w:rFonts w:ascii="Bookman Old Style" w:hAnsi="Bookman Old Style" w:cs="Arial"/>
          <w:szCs w:val="22"/>
        </w:rPr>
        <w:t xml:space="preserve"> la </w:t>
      </w:r>
      <w:r w:rsidR="00D915E6">
        <w:rPr>
          <w:rFonts w:ascii="Bookman Old Style" w:hAnsi="Bookman Old Style" w:cs="Arial"/>
          <w:szCs w:val="22"/>
        </w:rPr>
        <w:t>e</w:t>
      </w:r>
      <w:r w:rsidR="00042A07">
        <w:rPr>
          <w:rFonts w:ascii="Bookman Old Style" w:hAnsi="Bookman Old Style" w:cs="Arial"/>
          <w:szCs w:val="22"/>
        </w:rPr>
        <w:t xml:space="preserve">mpresa SURCOLOMBIANA DE GAS S.A. E.S.P. </w:t>
      </w:r>
      <w:r>
        <w:rPr>
          <w:rFonts w:ascii="Bookman Old Style" w:hAnsi="Bookman Old Style" w:cs="Arial"/>
          <w:szCs w:val="22"/>
        </w:rPr>
        <w:t xml:space="preserve">para </w:t>
      </w:r>
      <w:r w:rsidR="00551FF0">
        <w:rPr>
          <w:rFonts w:ascii="Bookman Old Style" w:hAnsi="Bookman Old Style" w:cs="Arial"/>
          <w:szCs w:val="22"/>
        </w:rPr>
        <w:t xml:space="preserve">atender </w:t>
      </w:r>
      <w:r w:rsidR="00042A07">
        <w:rPr>
          <w:rFonts w:ascii="Bookman Old Style" w:hAnsi="Bookman Old Style" w:cs="Arial"/>
          <w:szCs w:val="22"/>
        </w:rPr>
        <w:t>el requerimiento</w:t>
      </w:r>
      <w:r w:rsidR="00F06884">
        <w:rPr>
          <w:rFonts w:ascii="Bookman Old Style" w:hAnsi="Bookman Old Style" w:cs="Arial"/>
          <w:szCs w:val="22"/>
        </w:rPr>
        <w:t>.</w:t>
      </w:r>
    </w:p>
    <w:p w14:paraId="14538A49" w14:textId="79F7393B" w:rsidR="00EF391B" w:rsidRPr="00E67EF1" w:rsidRDefault="00551FF0" w:rsidP="00D62205">
      <w:pPr>
        <w:adjustRightInd w:val="0"/>
        <w:spacing w:before="240" w:after="240"/>
        <w:ind w:left="0" w:right="20"/>
        <w:jc w:val="both"/>
        <w:rPr>
          <w:rFonts w:ascii="Bookman Old Style" w:hAnsi="Bookman Old Style" w:cs="Arial"/>
        </w:rPr>
      </w:pPr>
      <w:r>
        <w:rPr>
          <w:rFonts w:ascii="Bookman Old Style" w:hAnsi="Bookman Old Style" w:cs="Arial"/>
          <w:szCs w:val="22"/>
        </w:rPr>
        <w:t xml:space="preserve">La Unidad de Planeación Minero Energética – UPME </w:t>
      </w:r>
      <w:r w:rsidR="007D1D8D">
        <w:rPr>
          <w:rFonts w:ascii="Bookman Old Style" w:hAnsi="Bookman Old Style" w:cs="Arial"/>
          <w:szCs w:val="22"/>
        </w:rPr>
        <w:t>bajo radicado CREG E-2019-009026 del 27 de agosto</w:t>
      </w:r>
      <w:r w:rsidR="00217EB8">
        <w:rPr>
          <w:rFonts w:ascii="Bookman Old Style" w:hAnsi="Bookman Old Style" w:cs="Arial"/>
          <w:szCs w:val="22"/>
        </w:rPr>
        <w:t xml:space="preserve"> de </w:t>
      </w:r>
      <w:r w:rsidR="00992552">
        <w:rPr>
          <w:rFonts w:ascii="Bookman Old Style" w:hAnsi="Bookman Old Style" w:cs="Arial"/>
          <w:szCs w:val="22"/>
        </w:rPr>
        <w:t xml:space="preserve">2019, allegó oficio correspondiente a la </w:t>
      </w:r>
      <w:r w:rsidR="0051621D" w:rsidRPr="0051621D">
        <w:rPr>
          <w:rFonts w:ascii="Bookman Old Style" w:hAnsi="Bookman Old Style" w:cs="Arial"/>
          <w:szCs w:val="22"/>
        </w:rPr>
        <w:t>evaluación metodológica y concepto</w:t>
      </w:r>
      <w:r w:rsidR="00992552">
        <w:rPr>
          <w:rFonts w:ascii="Bookman Old Style" w:hAnsi="Bookman Old Style" w:cs="Arial"/>
          <w:szCs w:val="22"/>
        </w:rPr>
        <w:t xml:space="preserve"> de la proyección de demanda de gas combustible, conforme </w:t>
      </w:r>
      <w:r w:rsidR="00B07FF1">
        <w:rPr>
          <w:rFonts w:ascii="Bookman Old Style" w:hAnsi="Bookman Old Style" w:cs="Arial"/>
          <w:szCs w:val="22"/>
        </w:rPr>
        <w:t>al</w:t>
      </w:r>
      <w:r w:rsidR="00992552">
        <w:rPr>
          <w:rFonts w:ascii="Bookman Old Style" w:hAnsi="Bookman Old Style" w:cs="Arial"/>
          <w:szCs w:val="22"/>
        </w:rPr>
        <w:t xml:space="preserve"> Anexo 13 de la Metodología.</w:t>
      </w:r>
    </w:p>
    <w:p w14:paraId="18465CDC" w14:textId="2AC42543" w:rsidR="003B691E" w:rsidRDefault="00AE7E89" w:rsidP="00EB4A1A">
      <w:pPr>
        <w:adjustRightInd w:val="0"/>
        <w:spacing w:before="240" w:after="240"/>
        <w:ind w:left="0" w:right="20"/>
        <w:jc w:val="both"/>
        <w:rPr>
          <w:rFonts w:ascii="Bookman Old Style" w:hAnsi="Bookman Old Style" w:cs="Arial"/>
          <w:szCs w:val="22"/>
        </w:rPr>
      </w:pPr>
      <w:r>
        <w:rPr>
          <w:rFonts w:ascii="Bookman Old Style" w:hAnsi="Bookman Old Style" w:cs="Arial"/>
        </w:rPr>
        <w:t>Por medio de</w:t>
      </w:r>
      <w:r w:rsidR="00F234CE">
        <w:rPr>
          <w:rFonts w:ascii="Bookman Old Style" w:hAnsi="Bookman Old Style" w:cs="Arial"/>
        </w:rPr>
        <w:t xml:space="preserve"> comunicación </w:t>
      </w:r>
      <w:r w:rsidR="00F234CE">
        <w:rPr>
          <w:rFonts w:ascii="Bookman Old Style" w:hAnsi="Bookman Old Style" w:cs="Arial"/>
          <w:szCs w:val="22"/>
        </w:rPr>
        <w:t>bajo radicado CREG E-2019-00</w:t>
      </w:r>
      <w:r w:rsidR="006F5FEE">
        <w:rPr>
          <w:rFonts w:ascii="Bookman Old Style" w:hAnsi="Bookman Old Style" w:cs="Arial"/>
          <w:szCs w:val="22"/>
        </w:rPr>
        <w:t>9</w:t>
      </w:r>
      <w:r w:rsidR="00F234CE">
        <w:rPr>
          <w:rFonts w:ascii="Bookman Old Style" w:hAnsi="Bookman Old Style" w:cs="Arial"/>
          <w:szCs w:val="22"/>
        </w:rPr>
        <w:t>4</w:t>
      </w:r>
      <w:r w:rsidR="006F5FEE">
        <w:rPr>
          <w:rFonts w:ascii="Bookman Old Style" w:hAnsi="Bookman Old Style" w:cs="Arial"/>
          <w:szCs w:val="22"/>
        </w:rPr>
        <w:t xml:space="preserve">24 </w:t>
      </w:r>
      <w:r w:rsidR="00F234CE">
        <w:rPr>
          <w:rFonts w:ascii="Bookman Old Style" w:hAnsi="Bookman Old Style" w:cs="Arial"/>
          <w:szCs w:val="22"/>
        </w:rPr>
        <w:t xml:space="preserve">del </w:t>
      </w:r>
      <w:r w:rsidR="006F5FEE">
        <w:rPr>
          <w:rFonts w:ascii="Bookman Old Style" w:hAnsi="Bookman Old Style" w:cs="Arial"/>
          <w:szCs w:val="22"/>
        </w:rPr>
        <w:t>04</w:t>
      </w:r>
      <w:r w:rsidR="00F234CE">
        <w:rPr>
          <w:rFonts w:ascii="Bookman Old Style" w:hAnsi="Bookman Old Style" w:cs="Arial"/>
          <w:szCs w:val="22"/>
        </w:rPr>
        <w:t xml:space="preserve"> de </w:t>
      </w:r>
      <w:r w:rsidR="006F5FEE">
        <w:rPr>
          <w:rFonts w:ascii="Bookman Old Style" w:hAnsi="Bookman Old Style" w:cs="Arial"/>
          <w:szCs w:val="22"/>
        </w:rPr>
        <w:t>septiembre</w:t>
      </w:r>
      <w:r w:rsidR="00F234CE">
        <w:rPr>
          <w:rFonts w:ascii="Bookman Old Style" w:hAnsi="Bookman Old Style" w:cs="Arial"/>
          <w:szCs w:val="22"/>
        </w:rPr>
        <w:t xml:space="preserve"> de 2019 la </w:t>
      </w:r>
      <w:r w:rsidR="006F5FEE">
        <w:rPr>
          <w:rFonts w:ascii="Bookman Old Style" w:hAnsi="Bookman Old Style" w:cs="Arial"/>
          <w:szCs w:val="22"/>
        </w:rPr>
        <w:t xml:space="preserve">empresa </w:t>
      </w:r>
      <w:r w:rsidR="00F234CE">
        <w:rPr>
          <w:rFonts w:ascii="Bookman Old Style" w:hAnsi="Bookman Old Style" w:cs="Arial"/>
          <w:szCs w:val="22"/>
        </w:rPr>
        <w:t xml:space="preserve">SURCOLOMBIANA DE GAS S.A. E.S.P. </w:t>
      </w:r>
      <w:r w:rsidR="003606CE">
        <w:rPr>
          <w:rFonts w:ascii="Bookman Old Style" w:hAnsi="Bookman Old Style" w:cs="Arial"/>
          <w:szCs w:val="22"/>
        </w:rPr>
        <w:t>atendió</w:t>
      </w:r>
      <w:r w:rsidR="00992552">
        <w:rPr>
          <w:rFonts w:ascii="Bookman Old Style" w:hAnsi="Bookman Old Style" w:cs="Arial"/>
          <w:szCs w:val="22"/>
        </w:rPr>
        <w:t xml:space="preserve"> la solicitud de completitud realizada </w:t>
      </w:r>
      <w:r w:rsidR="006F5FEE">
        <w:rPr>
          <w:rFonts w:ascii="Bookman Old Style" w:hAnsi="Bookman Old Style" w:cs="Arial"/>
          <w:szCs w:val="22"/>
        </w:rPr>
        <w:t>por la Comisión</w:t>
      </w:r>
      <w:r w:rsidR="003606CE">
        <w:rPr>
          <w:rFonts w:ascii="Bookman Old Style" w:hAnsi="Bookman Old Style" w:cs="Arial"/>
          <w:szCs w:val="22"/>
        </w:rPr>
        <w:t>.</w:t>
      </w:r>
    </w:p>
    <w:p w14:paraId="2A37A283" w14:textId="77777777" w:rsidR="0046434F" w:rsidRDefault="0046434F" w:rsidP="0046434F">
      <w:pPr>
        <w:pStyle w:val="Default"/>
        <w:jc w:val="both"/>
        <w:rPr>
          <w:rFonts w:ascii="Bookman Old Style" w:hAnsi="Bookman Old Style"/>
          <w:szCs w:val="22"/>
        </w:rPr>
      </w:pPr>
      <w:r>
        <w:rPr>
          <w:rFonts w:ascii="Bookman Old Style" w:hAnsi="Bookman Old Style"/>
          <w:szCs w:val="22"/>
        </w:rPr>
        <w:t xml:space="preserve">El Literal I del Anexo 1 de la metodología establece el procedimiento para expedición </w:t>
      </w:r>
      <w:r w:rsidRPr="00ED60D2">
        <w:rPr>
          <w:rFonts w:ascii="Bookman Old Style" w:hAnsi="Bookman Old Style"/>
          <w:szCs w:val="22"/>
        </w:rPr>
        <w:t>de cargos de distribución de mercados relevantes de distribución que se conectan a los sistemas de distribución de otros mercados relevantes</w:t>
      </w:r>
      <w:r>
        <w:rPr>
          <w:rFonts w:ascii="Bookman Old Style" w:hAnsi="Bookman Old Style"/>
          <w:szCs w:val="22"/>
        </w:rPr>
        <w:t>.</w:t>
      </w:r>
    </w:p>
    <w:p w14:paraId="336247F1" w14:textId="77777777" w:rsidR="0046434F" w:rsidRDefault="0046434F" w:rsidP="0046434F">
      <w:pPr>
        <w:pStyle w:val="Default"/>
        <w:jc w:val="both"/>
        <w:rPr>
          <w:rFonts w:ascii="Bookman Old Style" w:hAnsi="Bookman Old Style"/>
          <w:szCs w:val="22"/>
        </w:rPr>
      </w:pPr>
    </w:p>
    <w:p w14:paraId="5C6EC5E9" w14:textId="77777777" w:rsidR="0046434F" w:rsidRDefault="0046434F" w:rsidP="0046434F">
      <w:pPr>
        <w:pStyle w:val="Default"/>
        <w:jc w:val="both"/>
        <w:rPr>
          <w:rFonts w:ascii="Bookman Old Style" w:hAnsi="Bookman Old Style"/>
          <w:szCs w:val="22"/>
        </w:rPr>
      </w:pPr>
      <w:r>
        <w:rPr>
          <w:rFonts w:ascii="Bookman Old Style" w:hAnsi="Bookman Old Style"/>
          <w:szCs w:val="22"/>
        </w:rPr>
        <w:t xml:space="preserve">El Numeral 1 del Literal I del Anexo 1 dispone: </w:t>
      </w:r>
      <w:r w:rsidRPr="00812DCC">
        <w:rPr>
          <w:rFonts w:ascii="Bookman Old Style" w:hAnsi="Bookman Old Style"/>
          <w:i/>
          <w:iCs/>
          <w:szCs w:val="22"/>
        </w:rPr>
        <w:t>“Cuando un Distribuidor esté interesado en conectar un Nuevo Mercado Relevante de Distribución o un mercado que está siendo atendido con GNC que ha sido a</w:t>
      </w:r>
      <w:r>
        <w:rPr>
          <w:rFonts w:ascii="Bookman Old Style" w:hAnsi="Bookman Old Style"/>
          <w:i/>
          <w:iCs/>
          <w:szCs w:val="22"/>
        </w:rPr>
        <w:t xml:space="preserve"> (sic)</w:t>
      </w:r>
      <w:r w:rsidRPr="00812DCC">
        <w:rPr>
          <w:rFonts w:ascii="Bookman Old Style" w:hAnsi="Bookman Old Style"/>
          <w:i/>
          <w:iCs/>
          <w:szCs w:val="22"/>
        </w:rPr>
        <w:t>, a otro Mercado Existente, deberá hacerlo explícito en su solicitud tarifaria indicando todos los aspectos técnicos e incluyendo longitud, unidades constructivas y trazado entre otros aspectos”</w:t>
      </w:r>
      <w:r w:rsidRPr="00123C2E">
        <w:rPr>
          <w:rFonts w:ascii="Bookman Old Style" w:hAnsi="Bookman Old Style"/>
          <w:szCs w:val="22"/>
        </w:rPr>
        <w:t>.</w:t>
      </w:r>
    </w:p>
    <w:p w14:paraId="20AB61ED" w14:textId="3C944E35" w:rsidR="0046434F" w:rsidRDefault="0046434F" w:rsidP="0046434F">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szCs w:val="22"/>
        </w:rPr>
      </w:pPr>
      <w:r>
        <w:rPr>
          <w:rFonts w:ascii="Bookman Old Style" w:hAnsi="Bookman Old Style" w:cs="Arial"/>
          <w:szCs w:val="22"/>
        </w:rPr>
        <w:t xml:space="preserve">La empresa SURCOLOMBIANA DE GAS S.A. E.S.P. en </w:t>
      </w:r>
      <w:r w:rsidR="00AE3F7E">
        <w:rPr>
          <w:rFonts w:ascii="Bookman Old Style" w:hAnsi="Bookman Old Style" w:cs="Arial"/>
          <w:szCs w:val="22"/>
        </w:rPr>
        <w:t xml:space="preserve">comunicación bajo radicado CREG E-2019-009424 </w:t>
      </w:r>
      <w:r>
        <w:rPr>
          <w:rFonts w:ascii="Bookman Old Style" w:hAnsi="Bookman Old Style" w:cs="Arial"/>
          <w:szCs w:val="22"/>
        </w:rPr>
        <w:t>manifestó lo siguiente:</w:t>
      </w:r>
    </w:p>
    <w:p w14:paraId="69D87240" w14:textId="0B14A56E" w:rsidR="0046434F" w:rsidRPr="00EB3FFE" w:rsidRDefault="0046434F" w:rsidP="0046434F">
      <w:pPr>
        <w:jc w:val="both"/>
        <w:rPr>
          <w:rFonts w:ascii="Bookman Old Style" w:hAnsi="Bookman Old Style" w:cs="Arial"/>
          <w:i/>
          <w:sz w:val="22"/>
          <w:szCs w:val="22"/>
        </w:rPr>
      </w:pPr>
      <w:r w:rsidRPr="00EB3FFE">
        <w:rPr>
          <w:rFonts w:ascii="Bookman Old Style" w:hAnsi="Bookman Old Style" w:cs="Arial"/>
          <w:i/>
          <w:sz w:val="22"/>
          <w:szCs w:val="22"/>
        </w:rPr>
        <w:t>“</w:t>
      </w:r>
      <w:r w:rsidR="00356756" w:rsidRPr="00EB3FFE">
        <w:rPr>
          <w:rFonts w:ascii="Bookman Old Style" w:hAnsi="Bookman Old Style" w:cs="Arial"/>
          <w:i/>
          <w:sz w:val="22"/>
          <w:szCs w:val="22"/>
        </w:rPr>
        <w:t xml:space="preserve">… el mercado relevante especial </w:t>
      </w:r>
      <w:r w:rsidR="00C60A5D" w:rsidRPr="00EB3FFE">
        <w:rPr>
          <w:rFonts w:ascii="Bookman Old Style" w:hAnsi="Bookman Old Style" w:cs="Arial"/>
          <w:i/>
          <w:sz w:val="22"/>
          <w:szCs w:val="22"/>
        </w:rPr>
        <w:t>de distribución conformado por los centros poblados de Astillero, La María, Granadillo y Alto Buenavista</w:t>
      </w:r>
      <w:r w:rsidR="00B95DBA" w:rsidRPr="00EB3FFE">
        <w:rPr>
          <w:rFonts w:ascii="Bookman Old Style" w:hAnsi="Bookman Old Style" w:cs="Arial"/>
          <w:i/>
          <w:sz w:val="22"/>
          <w:szCs w:val="22"/>
        </w:rPr>
        <w:t>, Municipio de Agrado;</w:t>
      </w:r>
      <w:r w:rsidR="00247A0C" w:rsidRPr="00EB3FFE">
        <w:rPr>
          <w:rFonts w:ascii="Bookman Old Style" w:hAnsi="Bookman Old Style" w:cs="Arial"/>
          <w:i/>
          <w:sz w:val="22"/>
          <w:szCs w:val="22"/>
        </w:rPr>
        <w:t xml:space="preserve"> Centro Poblado</w:t>
      </w:r>
      <w:r w:rsidR="00B95DBA" w:rsidRPr="00EB3FFE">
        <w:rPr>
          <w:rFonts w:ascii="Bookman Old Style" w:hAnsi="Bookman Old Style" w:cs="Arial"/>
          <w:i/>
          <w:sz w:val="22"/>
          <w:szCs w:val="22"/>
        </w:rPr>
        <w:t xml:space="preserve"> La Carbona, Municipio de Acevedo y </w:t>
      </w:r>
      <w:r w:rsidR="00247A0C" w:rsidRPr="00EB3FFE">
        <w:rPr>
          <w:rFonts w:ascii="Bookman Old Style" w:hAnsi="Bookman Old Style" w:cs="Arial"/>
          <w:i/>
          <w:sz w:val="22"/>
          <w:szCs w:val="22"/>
        </w:rPr>
        <w:t xml:space="preserve">el Centro Poblado </w:t>
      </w:r>
      <w:r w:rsidR="00B95DBA" w:rsidRPr="00EB3FFE">
        <w:rPr>
          <w:rFonts w:ascii="Bookman Old Style" w:hAnsi="Bookman Old Style" w:cs="Arial"/>
          <w:i/>
          <w:sz w:val="22"/>
          <w:szCs w:val="22"/>
        </w:rPr>
        <w:t xml:space="preserve">Las Juntas </w:t>
      </w:r>
      <w:r w:rsidR="006B6374" w:rsidRPr="00EB3FFE">
        <w:rPr>
          <w:rFonts w:ascii="Bookman Old Style" w:hAnsi="Bookman Old Style" w:cs="Arial"/>
          <w:i/>
          <w:sz w:val="22"/>
          <w:szCs w:val="22"/>
        </w:rPr>
        <w:t xml:space="preserve">del </w:t>
      </w:r>
      <w:r w:rsidR="00B95DBA" w:rsidRPr="00EB3FFE">
        <w:rPr>
          <w:rFonts w:ascii="Bookman Old Style" w:hAnsi="Bookman Old Style" w:cs="Arial"/>
          <w:i/>
          <w:sz w:val="22"/>
          <w:szCs w:val="22"/>
        </w:rPr>
        <w:t>Municipio</w:t>
      </w:r>
      <w:r w:rsidR="006B6374" w:rsidRPr="00EB3FFE">
        <w:rPr>
          <w:rFonts w:ascii="Bookman Old Style" w:hAnsi="Bookman Old Style" w:cs="Arial"/>
          <w:i/>
          <w:sz w:val="22"/>
          <w:szCs w:val="22"/>
        </w:rPr>
        <w:t xml:space="preserve"> de</w:t>
      </w:r>
      <w:r w:rsidR="00B95DBA" w:rsidRPr="00EB3FFE">
        <w:rPr>
          <w:rFonts w:ascii="Bookman Old Style" w:hAnsi="Bookman Old Style" w:cs="Arial"/>
          <w:i/>
          <w:sz w:val="22"/>
          <w:szCs w:val="22"/>
        </w:rPr>
        <w:t xml:space="preserve"> Santa María</w:t>
      </w:r>
      <w:r w:rsidR="006B6374" w:rsidRPr="00EB3FFE">
        <w:rPr>
          <w:rFonts w:ascii="Bookman Old Style" w:hAnsi="Bookman Old Style" w:cs="Arial"/>
          <w:i/>
          <w:sz w:val="22"/>
          <w:szCs w:val="22"/>
        </w:rPr>
        <w:t>, Departamento del Huila, es un mercado</w:t>
      </w:r>
      <w:r w:rsidR="009F3167" w:rsidRPr="00EB3FFE">
        <w:rPr>
          <w:rFonts w:ascii="Bookman Old Style" w:hAnsi="Bookman Old Style" w:cs="Arial"/>
          <w:i/>
          <w:sz w:val="22"/>
          <w:szCs w:val="22"/>
        </w:rPr>
        <w:t xml:space="preserve"> relevante</w:t>
      </w:r>
      <w:r w:rsidR="006B6374" w:rsidRPr="00EB3FFE">
        <w:rPr>
          <w:rFonts w:ascii="Bookman Old Style" w:hAnsi="Bookman Old Style" w:cs="Arial"/>
          <w:i/>
          <w:sz w:val="22"/>
          <w:szCs w:val="22"/>
        </w:rPr>
        <w:t xml:space="preserve"> especial</w:t>
      </w:r>
      <w:r w:rsidRPr="00EB3FFE">
        <w:rPr>
          <w:rFonts w:ascii="Bookman Old Style" w:hAnsi="Bookman Old Style" w:cs="Arial"/>
          <w:i/>
          <w:sz w:val="22"/>
          <w:szCs w:val="22"/>
        </w:rPr>
        <w:t xml:space="preserve"> nuevo</w:t>
      </w:r>
      <w:r w:rsidR="009F3167" w:rsidRPr="00EB3FFE">
        <w:rPr>
          <w:rFonts w:ascii="Bookman Old Style" w:hAnsi="Bookman Old Style" w:cs="Arial"/>
          <w:i/>
          <w:sz w:val="22"/>
          <w:szCs w:val="22"/>
        </w:rPr>
        <w:t xml:space="preserve"> y algunos centros se desprenden de otro mercado relevante de distribución </w:t>
      </w:r>
      <w:r w:rsidR="00ED684F" w:rsidRPr="00EB3FFE">
        <w:rPr>
          <w:rFonts w:ascii="Bookman Old Style" w:hAnsi="Bookman Old Style" w:cs="Arial"/>
          <w:i/>
          <w:sz w:val="22"/>
          <w:szCs w:val="22"/>
        </w:rPr>
        <w:t>así:</w:t>
      </w:r>
    </w:p>
    <w:p w14:paraId="321B1C51" w14:textId="551A2179" w:rsidR="00ED684F" w:rsidRDefault="00ED684F" w:rsidP="0046434F">
      <w:pPr>
        <w:jc w:val="both"/>
        <w:rPr>
          <w:rFonts w:ascii="Bookman Old Style" w:hAnsi="Bookman Old Style" w:cs="Arial"/>
          <w:i/>
        </w:rPr>
      </w:pPr>
    </w:p>
    <w:p w14:paraId="6682F4D3" w14:textId="327CF62C" w:rsidR="00ED684F" w:rsidRDefault="00ED684F" w:rsidP="00ED684F">
      <w:pPr>
        <w:pStyle w:val="Prrafodelista"/>
        <w:numPr>
          <w:ilvl w:val="0"/>
          <w:numId w:val="7"/>
        </w:numPr>
        <w:jc w:val="both"/>
        <w:rPr>
          <w:rFonts w:ascii="Bookman Old Style" w:hAnsi="Bookman Old Style" w:cs="Arial"/>
          <w:i/>
        </w:rPr>
      </w:pPr>
      <w:r>
        <w:rPr>
          <w:rFonts w:ascii="Bookman Old Style" w:hAnsi="Bookman Old Style" w:cs="Arial"/>
          <w:i/>
        </w:rPr>
        <w:lastRenderedPageBreak/>
        <w:t xml:space="preserve">Para los </w:t>
      </w:r>
      <w:r w:rsidR="00AC4CA7">
        <w:rPr>
          <w:rFonts w:ascii="Bookman Old Style" w:hAnsi="Bookman Old Style" w:cs="Arial"/>
          <w:i/>
        </w:rPr>
        <w:t>C</w:t>
      </w:r>
      <w:r>
        <w:rPr>
          <w:rFonts w:ascii="Bookman Old Style" w:hAnsi="Bookman Old Style" w:cs="Arial"/>
          <w:i/>
        </w:rPr>
        <w:t>ent</w:t>
      </w:r>
      <w:r w:rsidR="00B7594A">
        <w:rPr>
          <w:rFonts w:ascii="Bookman Old Style" w:hAnsi="Bookman Old Style" w:cs="Arial"/>
          <w:i/>
        </w:rPr>
        <w:t>r</w:t>
      </w:r>
      <w:r>
        <w:rPr>
          <w:rFonts w:ascii="Bookman Old Style" w:hAnsi="Bookman Old Style" w:cs="Arial"/>
          <w:i/>
        </w:rPr>
        <w:t xml:space="preserve">os </w:t>
      </w:r>
      <w:r w:rsidR="00AC4CA7">
        <w:rPr>
          <w:rFonts w:ascii="Bookman Old Style" w:hAnsi="Bookman Old Style" w:cs="Arial"/>
          <w:i/>
        </w:rPr>
        <w:t>P</w:t>
      </w:r>
      <w:r>
        <w:rPr>
          <w:rFonts w:ascii="Bookman Old Style" w:hAnsi="Bookman Old Style" w:cs="Arial"/>
          <w:i/>
        </w:rPr>
        <w:t>oblados de Astillero, La Maria, Granadillo y Alto Buenavista en el Municipio de Agrado</w:t>
      </w:r>
      <w:r w:rsidR="005A407B">
        <w:rPr>
          <w:rFonts w:ascii="Bookman Old Style" w:hAnsi="Bookman Old Style" w:cs="Arial"/>
          <w:i/>
        </w:rPr>
        <w:t xml:space="preserve">, no se desprende de otro mercado relevante de distribución, puesto que tiene contemplado </w:t>
      </w:r>
      <w:r w:rsidR="0035347F">
        <w:rPr>
          <w:rFonts w:ascii="Bookman Old Style" w:hAnsi="Bookman Old Style" w:cs="Arial"/>
          <w:i/>
        </w:rPr>
        <w:t>en sus inversiones una estación de GLP de 3</w:t>
      </w:r>
      <w:r w:rsidR="004230D4">
        <w:rPr>
          <w:rFonts w:ascii="Bookman Old Style" w:hAnsi="Bookman Old Style" w:cs="Arial"/>
          <w:i/>
        </w:rPr>
        <w:t>,</w:t>
      </w:r>
      <w:r w:rsidR="0035347F">
        <w:rPr>
          <w:rFonts w:ascii="Bookman Old Style" w:hAnsi="Bookman Old Style" w:cs="Arial"/>
          <w:i/>
        </w:rPr>
        <w:t>000</w:t>
      </w:r>
      <w:r w:rsidR="00746BF4">
        <w:rPr>
          <w:rFonts w:ascii="Bookman Old Style" w:hAnsi="Bookman Old Style" w:cs="Arial"/>
          <w:i/>
        </w:rPr>
        <w:t>Gl.</w:t>
      </w:r>
    </w:p>
    <w:p w14:paraId="1FFE5987" w14:textId="77777777" w:rsidR="00200EFB" w:rsidRDefault="00200EFB" w:rsidP="00200EFB">
      <w:pPr>
        <w:pStyle w:val="Prrafodelista"/>
        <w:ind w:left="1287"/>
        <w:jc w:val="both"/>
        <w:rPr>
          <w:rFonts w:ascii="Bookman Old Style" w:hAnsi="Bookman Old Style" w:cs="Arial"/>
          <w:i/>
        </w:rPr>
      </w:pPr>
    </w:p>
    <w:p w14:paraId="7C36E203" w14:textId="24412291" w:rsidR="00200EFB" w:rsidRPr="00AC4CA7" w:rsidRDefault="00746BF4" w:rsidP="00305A65">
      <w:pPr>
        <w:pStyle w:val="Prrafodelista"/>
        <w:numPr>
          <w:ilvl w:val="0"/>
          <w:numId w:val="7"/>
        </w:numPr>
        <w:jc w:val="both"/>
        <w:rPr>
          <w:rFonts w:ascii="Bookman Old Style" w:hAnsi="Bookman Old Style" w:cs="Arial"/>
          <w:i/>
        </w:rPr>
      </w:pPr>
      <w:r w:rsidRPr="00AC4CA7">
        <w:rPr>
          <w:rFonts w:ascii="Bookman Old Style" w:hAnsi="Bookman Old Style" w:cs="Arial"/>
          <w:i/>
        </w:rPr>
        <w:t>E</w:t>
      </w:r>
      <w:r w:rsidR="00B7594A">
        <w:rPr>
          <w:rFonts w:ascii="Bookman Old Style" w:hAnsi="Bookman Old Style" w:cs="Arial"/>
          <w:i/>
        </w:rPr>
        <w:t>l</w:t>
      </w:r>
      <w:r w:rsidRPr="00AC4CA7">
        <w:rPr>
          <w:rFonts w:ascii="Bookman Old Style" w:hAnsi="Bookman Old Style" w:cs="Arial"/>
          <w:i/>
        </w:rPr>
        <w:t xml:space="preserve"> Centro Poblado La Carbona del Municipio de Acevedo</w:t>
      </w:r>
      <w:r w:rsidR="004230D4" w:rsidRPr="00AC4CA7">
        <w:rPr>
          <w:rFonts w:ascii="Bookman Old Style" w:hAnsi="Bookman Old Style" w:cs="Arial"/>
          <w:i/>
        </w:rPr>
        <w:t>, se desprende el Mercado Relevante de Acevedo, de la estación de 3,000Gl</w:t>
      </w:r>
      <w:r w:rsidR="00FC1D9C" w:rsidRPr="00AC4CA7">
        <w:rPr>
          <w:rFonts w:ascii="Bookman Old Style" w:hAnsi="Bookman Old Style" w:cs="Arial"/>
          <w:i/>
        </w:rPr>
        <w:t xml:space="preserve"> con una tubería de 1” hasta la conexión con 2.25km y al nuevo mercado especial </w:t>
      </w:r>
      <w:r w:rsidR="00183014" w:rsidRPr="00AC4CA7">
        <w:rPr>
          <w:rFonts w:ascii="Bookman Old Style" w:hAnsi="Bookman Old Style" w:cs="Arial"/>
          <w:i/>
        </w:rPr>
        <w:t>con un diámetro de 1” en un tramo de 3.2km hasta los anillados.</w:t>
      </w:r>
    </w:p>
    <w:p w14:paraId="27978E32" w14:textId="77777777" w:rsidR="00200EFB" w:rsidRDefault="00200EFB" w:rsidP="00200EFB">
      <w:pPr>
        <w:pStyle w:val="Prrafodelista"/>
        <w:ind w:left="1287"/>
        <w:jc w:val="both"/>
        <w:rPr>
          <w:rFonts w:ascii="Bookman Old Style" w:hAnsi="Bookman Old Style" w:cs="Arial"/>
          <w:i/>
        </w:rPr>
      </w:pPr>
    </w:p>
    <w:p w14:paraId="44E4393D" w14:textId="498A6343" w:rsidR="00183014" w:rsidRDefault="00183014" w:rsidP="00ED684F">
      <w:pPr>
        <w:pStyle w:val="Prrafodelista"/>
        <w:numPr>
          <w:ilvl w:val="0"/>
          <w:numId w:val="7"/>
        </w:numPr>
        <w:jc w:val="both"/>
        <w:rPr>
          <w:rFonts w:ascii="Bookman Old Style" w:hAnsi="Bookman Old Style" w:cs="Arial"/>
          <w:i/>
        </w:rPr>
      </w:pPr>
      <w:r>
        <w:rPr>
          <w:rFonts w:ascii="Bookman Old Style" w:hAnsi="Bookman Old Style" w:cs="Arial"/>
          <w:i/>
        </w:rPr>
        <w:t xml:space="preserve">Para el Centro Poblado Las Juntas </w:t>
      </w:r>
      <w:r w:rsidR="00FA79DF">
        <w:rPr>
          <w:rFonts w:ascii="Bookman Old Style" w:hAnsi="Bookman Old Style" w:cs="Arial"/>
          <w:i/>
        </w:rPr>
        <w:t xml:space="preserve">del Municipio de Santa María, se desprende el Mercado Relevante de Santa María </w:t>
      </w:r>
      <w:r w:rsidR="002277F4">
        <w:rPr>
          <w:rFonts w:ascii="Bookman Old Style" w:hAnsi="Bookman Old Style" w:cs="Arial"/>
          <w:i/>
        </w:rPr>
        <w:t>(San Joaquín), de la estación de 3,000Gl</w:t>
      </w:r>
      <w:r w:rsidR="006D0391">
        <w:rPr>
          <w:rFonts w:ascii="Bookman Old Style" w:hAnsi="Bookman Old Style" w:cs="Arial"/>
          <w:i/>
        </w:rPr>
        <w:t xml:space="preserve"> con una tubería de 2” hasta la conexión con una tubería de 1,44km y al nuevo mercado especial </w:t>
      </w:r>
      <w:r w:rsidR="00200EFB">
        <w:rPr>
          <w:rFonts w:ascii="Bookman Old Style" w:hAnsi="Bookman Old Style" w:cs="Arial"/>
          <w:i/>
        </w:rPr>
        <w:t>con un diámetro de 1” en un tramo de 3.3km hasta los anillados.</w:t>
      </w:r>
    </w:p>
    <w:p w14:paraId="1BC7DEBC" w14:textId="77777777" w:rsidR="00283EFF" w:rsidRPr="00283EFF" w:rsidRDefault="00283EFF" w:rsidP="00283EFF">
      <w:pPr>
        <w:pStyle w:val="Prrafodelista"/>
        <w:rPr>
          <w:rFonts w:ascii="Bookman Old Style" w:hAnsi="Bookman Old Style" w:cs="Arial"/>
          <w:i/>
        </w:rPr>
      </w:pPr>
    </w:p>
    <w:p w14:paraId="3CFEC8AF" w14:textId="77777777" w:rsidR="0046434F" w:rsidRPr="006E1383" w:rsidRDefault="0046434F" w:rsidP="0046434F">
      <w:pPr>
        <w:jc w:val="both"/>
        <w:rPr>
          <w:rFonts w:ascii="Bookman Old Style" w:hAnsi="Bookman Old Style" w:cs="Arial"/>
          <w:iCs/>
          <w:sz w:val="22"/>
          <w:szCs w:val="22"/>
        </w:rPr>
      </w:pPr>
      <w:r w:rsidRPr="006E1383">
        <w:rPr>
          <w:rFonts w:ascii="Bookman Old Style" w:hAnsi="Bookman Old Style" w:cs="Arial"/>
          <w:i/>
          <w:sz w:val="22"/>
          <w:szCs w:val="22"/>
          <w:u w:val="single"/>
        </w:rPr>
        <w:t>No se tiene estipulado cargo de distribución que deberán pagar los usuarios por el uso del sistema de distribución, puesto que estos mercados inicialmente fueron aprobados con recursos 100% públicos</w:t>
      </w:r>
      <w:r w:rsidRPr="006E1383">
        <w:rPr>
          <w:rFonts w:ascii="Bookman Old Style" w:hAnsi="Bookman Old Style" w:cs="Arial"/>
          <w:i/>
          <w:sz w:val="22"/>
          <w:szCs w:val="22"/>
        </w:rPr>
        <w:t>”</w:t>
      </w:r>
      <w:r w:rsidRPr="006E1383">
        <w:rPr>
          <w:rFonts w:ascii="Bookman Old Style" w:hAnsi="Bookman Old Style" w:cs="Arial"/>
          <w:iCs/>
          <w:sz w:val="22"/>
          <w:szCs w:val="22"/>
        </w:rPr>
        <w:t>. (subraya fuera de texto).</w:t>
      </w:r>
    </w:p>
    <w:p w14:paraId="1565A430" w14:textId="77777777" w:rsidR="0046434F" w:rsidRPr="006E1383" w:rsidRDefault="0046434F" w:rsidP="0046434F">
      <w:pPr>
        <w:ind w:left="0"/>
        <w:jc w:val="both"/>
        <w:rPr>
          <w:rFonts w:ascii="Bookman Old Style" w:hAnsi="Bookman Old Style" w:cs="Arial"/>
          <w:iCs/>
          <w:sz w:val="22"/>
          <w:szCs w:val="22"/>
        </w:rPr>
      </w:pPr>
    </w:p>
    <w:p w14:paraId="1AE3BAFF" w14:textId="5A96A692" w:rsidR="0046434F" w:rsidRDefault="0046434F" w:rsidP="0046434F">
      <w:pPr>
        <w:ind w:left="0"/>
        <w:jc w:val="both"/>
        <w:rPr>
          <w:rFonts w:ascii="Bookman Old Style" w:hAnsi="Bookman Old Style" w:cs="Arial"/>
          <w:iCs/>
        </w:rPr>
      </w:pPr>
      <w:r w:rsidRPr="001A5569">
        <w:rPr>
          <w:rFonts w:ascii="Bookman Old Style" w:hAnsi="Bookman Old Style" w:cs="Arial"/>
          <w:iCs/>
        </w:rPr>
        <w:t xml:space="preserve">Conforme a lo establecido en el numeral ii) del artículo 4 de la </w:t>
      </w:r>
      <w:r>
        <w:rPr>
          <w:rFonts w:ascii="Bookman Old Style" w:hAnsi="Bookman Old Style" w:cs="Arial"/>
          <w:iCs/>
        </w:rPr>
        <w:t>Metodología</w:t>
      </w:r>
      <w:r w:rsidRPr="001A5569">
        <w:rPr>
          <w:rFonts w:ascii="Bookman Old Style" w:hAnsi="Bookman Old Style" w:cs="Arial"/>
          <w:iCs/>
        </w:rPr>
        <w:t>, el Sistema de Distribución que se conecte a otro Sistema de Distribución, deb</w:t>
      </w:r>
      <w:r>
        <w:rPr>
          <w:rFonts w:ascii="Bookman Old Style" w:hAnsi="Bookman Old Style" w:cs="Arial"/>
          <w:iCs/>
        </w:rPr>
        <w:t>erá</w:t>
      </w:r>
      <w:r w:rsidRPr="001A5569">
        <w:rPr>
          <w:rFonts w:ascii="Bookman Old Style" w:hAnsi="Bookman Old Style" w:cs="Arial"/>
          <w:iCs/>
        </w:rPr>
        <w:t xml:space="preserve"> pagar por su uso.</w:t>
      </w:r>
      <w:r>
        <w:rPr>
          <w:rFonts w:ascii="Bookman Old Style" w:hAnsi="Bookman Old Style" w:cs="Arial"/>
          <w:iCs/>
        </w:rPr>
        <w:t xml:space="preserve"> En este sentido, y en el caso de resoluciones particulares la Comisión </w:t>
      </w:r>
      <w:r w:rsidRPr="001A5569">
        <w:rPr>
          <w:rFonts w:ascii="Bookman Old Style" w:hAnsi="Bookman Old Style" w:cs="Arial"/>
          <w:iCs/>
        </w:rPr>
        <w:t>establecerá los cargos que como máximo deberán pagar los usuarios del mercado relevante de distribución que se conecta a otro mercado relevante, de acuerdo con el tipo de red al que se conecta.</w:t>
      </w:r>
    </w:p>
    <w:p w14:paraId="55B8B654" w14:textId="0501F4EE" w:rsidR="0046434F" w:rsidRDefault="0046434F" w:rsidP="00EB4A1A">
      <w:pPr>
        <w:adjustRightInd w:val="0"/>
        <w:spacing w:before="240" w:after="240"/>
        <w:ind w:left="0" w:right="20"/>
        <w:jc w:val="both"/>
        <w:rPr>
          <w:rFonts w:ascii="Bookman Old Style" w:hAnsi="Bookman Old Style" w:cs="Arial"/>
          <w:szCs w:val="22"/>
        </w:rPr>
      </w:pPr>
      <w:r>
        <w:rPr>
          <w:rFonts w:ascii="Bookman Old Style" w:hAnsi="Bookman Old Style" w:cs="Arial"/>
          <w:iCs/>
        </w:rPr>
        <w:t>Así las cosas, teniendo en cu</w:t>
      </w:r>
      <w:r w:rsidR="006E1383">
        <w:rPr>
          <w:rFonts w:ascii="Bookman Old Style" w:hAnsi="Bookman Old Style" w:cs="Arial"/>
          <w:iCs/>
        </w:rPr>
        <w:t>e</w:t>
      </w:r>
      <w:r>
        <w:rPr>
          <w:rFonts w:ascii="Bookman Old Style" w:hAnsi="Bookman Old Style" w:cs="Arial"/>
          <w:iCs/>
        </w:rPr>
        <w:t>nta que la empresa SURCOLOMBIANA DE GAS S.A. E.S.P. es el prestador del servicio en la</w:t>
      </w:r>
      <w:r w:rsidR="00B7594A">
        <w:rPr>
          <w:rFonts w:ascii="Bookman Old Style" w:hAnsi="Bookman Old Style" w:cs="Arial"/>
          <w:iCs/>
        </w:rPr>
        <w:t>s</w:t>
      </w:r>
      <w:r>
        <w:rPr>
          <w:rFonts w:ascii="Bookman Old Style" w:hAnsi="Bookman Old Style" w:cs="Arial"/>
          <w:iCs/>
        </w:rPr>
        <w:t xml:space="preserve"> cabecera</w:t>
      </w:r>
      <w:r w:rsidR="00B7594A">
        <w:rPr>
          <w:rFonts w:ascii="Bookman Old Style" w:hAnsi="Bookman Old Style" w:cs="Arial"/>
          <w:iCs/>
        </w:rPr>
        <w:t>s</w:t>
      </w:r>
      <w:r>
        <w:rPr>
          <w:rFonts w:ascii="Bookman Old Style" w:hAnsi="Bookman Old Style" w:cs="Arial"/>
          <w:iCs/>
        </w:rPr>
        <w:t xml:space="preserve"> municipal</w:t>
      </w:r>
      <w:r w:rsidR="00B7594A">
        <w:rPr>
          <w:rFonts w:ascii="Bookman Old Style" w:hAnsi="Bookman Old Style" w:cs="Arial"/>
          <w:iCs/>
        </w:rPr>
        <w:t>es</w:t>
      </w:r>
      <w:r>
        <w:rPr>
          <w:rFonts w:ascii="Bookman Old Style" w:hAnsi="Bookman Old Style" w:cs="Arial"/>
          <w:iCs/>
        </w:rPr>
        <w:t xml:space="preserve"> a la cual</w:t>
      </w:r>
      <w:r w:rsidR="00B7594A">
        <w:rPr>
          <w:rFonts w:ascii="Bookman Old Style" w:hAnsi="Bookman Old Style" w:cs="Arial"/>
          <w:iCs/>
        </w:rPr>
        <w:t>es</w:t>
      </w:r>
      <w:r>
        <w:rPr>
          <w:rFonts w:ascii="Bookman Old Style" w:hAnsi="Bookman Old Style" w:cs="Arial"/>
          <w:iCs/>
        </w:rPr>
        <w:t xml:space="preserve"> pertenecen las veredas para las cuales está solicitando cargo de distribución de G</w:t>
      </w:r>
      <w:r w:rsidR="00B7594A">
        <w:rPr>
          <w:rFonts w:ascii="Bookman Old Style" w:hAnsi="Bookman Old Style" w:cs="Arial"/>
          <w:iCs/>
        </w:rPr>
        <w:t>LP</w:t>
      </w:r>
      <w:r>
        <w:rPr>
          <w:rFonts w:ascii="Bookman Old Style" w:hAnsi="Bookman Old Style" w:cs="Arial"/>
          <w:iCs/>
        </w:rPr>
        <w:t xml:space="preserve"> por redes, se entiende que la empresa renuncia al cargo por conexión previsto en el Literal II del Anexo 1 de la Metodología.</w:t>
      </w:r>
    </w:p>
    <w:p w14:paraId="50226A1F" w14:textId="77777777" w:rsidR="00EF721B" w:rsidRDefault="00EF721B" w:rsidP="00EF721B">
      <w:pPr>
        <w:adjustRightInd w:val="0"/>
        <w:spacing w:before="240" w:after="240"/>
        <w:ind w:left="0" w:right="20"/>
        <w:jc w:val="both"/>
        <w:rPr>
          <w:rFonts w:ascii="Bookman Old Style" w:hAnsi="Bookman Old Style" w:cs="Arial"/>
        </w:rPr>
      </w:pPr>
      <w:r>
        <w:rPr>
          <w:rFonts w:ascii="Bookman Old Style" w:hAnsi="Bookman Old Style" w:cs="Arial"/>
        </w:rPr>
        <w:t xml:space="preserve">La Comisión verificó el cumplimiento de los requisitos establecidos en la Metodología, evidenciando que la información remitida con la solicitud presentada por la empresa SURCOLOMBIANA DE GAS S.A. E.S.P. era suficiente para iniciar la actuación administrativa correspondiente. </w:t>
      </w:r>
    </w:p>
    <w:p w14:paraId="534DF9C2" w14:textId="414207CE" w:rsidR="00EF721B" w:rsidRDefault="00EF721B" w:rsidP="00EF721B">
      <w:pPr>
        <w:adjustRightInd w:val="0"/>
        <w:spacing w:before="240" w:after="240"/>
        <w:ind w:left="0" w:right="20"/>
        <w:jc w:val="both"/>
        <w:rPr>
          <w:rFonts w:ascii="Bookman Old Style" w:hAnsi="Bookman Old Style" w:cs="Arial"/>
          <w:szCs w:val="22"/>
        </w:rPr>
      </w:pPr>
      <w:r>
        <w:rPr>
          <w:rFonts w:ascii="Bookman Old Style" w:hAnsi="Bookman Old Style" w:cs="Arial"/>
        </w:rPr>
        <w:t xml:space="preserve">Mediante Auto I-2019-005521 proferido el día 10 de septiembre de 2019, la Dirección Ejecutiva de la Comisión dispuso iniciar la respectiva actuación administrativa con fundamento en la solicitud presentada por la empresa SURCOLOMBIANA DE GAS S.A. E.S.P. para la aprobación de los cargos de </w:t>
      </w:r>
      <w:r>
        <w:rPr>
          <w:rFonts w:ascii="Bookman Old Style" w:hAnsi="Bookman Old Style" w:cs="Arial"/>
          <w:szCs w:val="22"/>
        </w:rPr>
        <w:t>distribución de G</w:t>
      </w:r>
      <w:r w:rsidR="002B14D1">
        <w:rPr>
          <w:rFonts w:ascii="Bookman Old Style" w:hAnsi="Bookman Old Style" w:cs="Arial"/>
          <w:szCs w:val="22"/>
        </w:rPr>
        <w:t>LP</w:t>
      </w:r>
      <w:r>
        <w:rPr>
          <w:rFonts w:ascii="Bookman Old Style" w:hAnsi="Bookman Old Style" w:cs="Arial"/>
          <w:szCs w:val="22"/>
        </w:rPr>
        <w:t xml:space="preserve"> por redes de tubería para el </w:t>
      </w:r>
      <w:r>
        <w:rPr>
          <w:rFonts w:ascii="Bookman Old Style" w:hAnsi="Bookman Old Style" w:cs="Arial"/>
        </w:rPr>
        <w:t xml:space="preserve">Mercado Relevante Especial </w:t>
      </w:r>
      <w:r>
        <w:rPr>
          <w:rFonts w:ascii="Bookman Old Style" w:hAnsi="Bookman Old Style" w:cs="Arial"/>
          <w:szCs w:val="22"/>
        </w:rPr>
        <w:t>conformado por las</w:t>
      </w:r>
      <w:r w:rsidR="002B14D1">
        <w:rPr>
          <w:rFonts w:ascii="Bookman Old Style" w:hAnsi="Bookman Old Style" w:cs="Arial"/>
        </w:rPr>
        <w:t xml:space="preserve"> veredas </w:t>
      </w:r>
      <w:r w:rsidR="002B14D1" w:rsidRPr="00E67EF1">
        <w:rPr>
          <w:rFonts w:ascii="Bookman Old Style" w:hAnsi="Bookman Old Style" w:cs="Arial"/>
        </w:rPr>
        <w:t>de Astillero, La María, Granadillo y Alto Buenavista en el Municipio de Agrado</w:t>
      </w:r>
      <w:r w:rsidR="00D9075A">
        <w:rPr>
          <w:rFonts w:ascii="Bookman Old Style" w:hAnsi="Bookman Old Style" w:cs="Arial"/>
        </w:rPr>
        <w:t>;</w:t>
      </w:r>
      <w:r w:rsidR="002B14D1" w:rsidRPr="00E67EF1">
        <w:rPr>
          <w:rFonts w:ascii="Bookman Old Style" w:hAnsi="Bookman Old Style" w:cs="Arial"/>
        </w:rPr>
        <w:t xml:space="preserve"> La Carbona en el Municipio de Acevedo y Las Juntas en el Municipio de Santa María, </w:t>
      </w:r>
      <w:r>
        <w:rPr>
          <w:rFonts w:ascii="Bookman Old Style" w:hAnsi="Bookman Old Style" w:cs="Arial"/>
        </w:rPr>
        <w:t>en el Departamento de Huila</w:t>
      </w:r>
      <w:r>
        <w:rPr>
          <w:rFonts w:ascii="Bookman Old Style" w:hAnsi="Bookman Old Style" w:cs="Arial"/>
          <w:szCs w:val="22"/>
        </w:rPr>
        <w:t>.</w:t>
      </w:r>
    </w:p>
    <w:p w14:paraId="717360CA" w14:textId="220B0313" w:rsidR="00EF721B" w:rsidRDefault="00EF721B" w:rsidP="00EF721B">
      <w:pPr>
        <w:adjustRightInd w:val="0"/>
        <w:spacing w:before="240" w:after="240"/>
        <w:ind w:left="0" w:right="20"/>
        <w:jc w:val="both"/>
        <w:rPr>
          <w:rFonts w:ascii="Bookman Old Style" w:hAnsi="Bookman Old Style" w:cs="Arial"/>
          <w:szCs w:val="22"/>
        </w:rPr>
      </w:pPr>
      <w:r>
        <w:rPr>
          <w:rFonts w:ascii="Bookman Old Style" w:hAnsi="Bookman Old Style" w:cs="Arial"/>
          <w:szCs w:val="22"/>
        </w:rPr>
        <w:t>De acuerdo con lo establecido en Auto de Inicio de la actuación administrativa y, conforme a lo dispuesto en el Artículo 37 del Código de Procedimiento Administrativo y de lo Contencioso Administrativo, C.P.A.C.A., con el fin de que los terceros interesados puedan hacerse parte en la respectiva actuación, se publicó en el Diario Oficial No. 51.0</w:t>
      </w:r>
      <w:r w:rsidR="00C80629">
        <w:rPr>
          <w:rFonts w:ascii="Bookman Old Style" w:hAnsi="Bookman Old Style" w:cs="Arial"/>
          <w:szCs w:val="22"/>
        </w:rPr>
        <w:t>72</w:t>
      </w:r>
      <w:r>
        <w:rPr>
          <w:rFonts w:ascii="Bookman Old Style" w:hAnsi="Bookman Old Style" w:cs="Arial"/>
          <w:szCs w:val="22"/>
        </w:rPr>
        <w:t xml:space="preserve"> del </w:t>
      </w:r>
      <w:r w:rsidR="006B4AB1">
        <w:rPr>
          <w:rFonts w:ascii="Bookman Old Style" w:hAnsi="Bookman Old Style" w:cs="Arial"/>
          <w:szCs w:val="22"/>
        </w:rPr>
        <w:t>10</w:t>
      </w:r>
      <w:r>
        <w:rPr>
          <w:rFonts w:ascii="Bookman Old Style" w:hAnsi="Bookman Old Style" w:cs="Arial"/>
          <w:szCs w:val="22"/>
        </w:rPr>
        <w:t xml:space="preserve"> de septiembre de 2019 el Aviso No. </w:t>
      </w:r>
      <w:r>
        <w:rPr>
          <w:rFonts w:ascii="Bookman Old Style" w:hAnsi="Bookman Old Style" w:cs="Arial"/>
          <w:szCs w:val="22"/>
        </w:rPr>
        <w:lastRenderedPageBreak/>
        <w:t>0</w:t>
      </w:r>
      <w:r w:rsidR="00C80629">
        <w:rPr>
          <w:rFonts w:ascii="Bookman Old Style" w:hAnsi="Bookman Old Style" w:cs="Arial"/>
          <w:szCs w:val="22"/>
        </w:rPr>
        <w:t>59</w:t>
      </w:r>
      <w:r>
        <w:rPr>
          <w:rFonts w:ascii="Bookman Old Style" w:hAnsi="Bookman Old Style" w:cs="Arial"/>
          <w:szCs w:val="22"/>
        </w:rPr>
        <w:t xml:space="preserve"> de 2019 que contiene el resumen de la solicitud tarifaria presentada por </w:t>
      </w:r>
      <w:r>
        <w:rPr>
          <w:rFonts w:ascii="Bookman Old Style" w:hAnsi="Bookman Old Style" w:cs="Arial"/>
        </w:rPr>
        <w:t xml:space="preserve">SURCOLOMBIANA DE GAS S.A. E.S.P. para la aprobación de cargos de </w:t>
      </w:r>
      <w:r>
        <w:rPr>
          <w:rFonts w:ascii="Bookman Old Style" w:hAnsi="Bookman Old Style" w:cs="Arial"/>
          <w:szCs w:val="22"/>
        </w:rPr>
        <w:t>distribución de G</w:t>
      </w:r>
      <w:r w:rsidR="00D755CF">
        <w:rPr>
          <w:rFonts w:ascii="Bookman Old Style" w:hAnsi="Bookman Old Style" w:cs="Arial"/>
          <w:szCs w:val="22"/>
        </w:rPr>
        <w:t>LP</w:t>
      </w:r>
      <w:r>
        <w:rPr>
          <w:rFonts w:ascii="Bookman Old Style" w:hAnsi="Bookman Old Style" w:cs="Arial"/>
          <w:szCs w:val="22"/>
        </w:rPr>
        <w:t xml:space="preserve"> por redes de tubería.</w:t>
      </w:r>
    </w:p>
    <w:p w14:paraId="60F2D493" w14:textId="003F3972" w:rsidR="00A85AA2" w:rsidRDefault="00AE7E89" w:rsidP="00A85AA2">
      <w:pPr>
        <w:adjustRightInd w:val="0"/>
        <w:spacing w:before="240" w:after="240"/>
        <w:ind w:left="0" w:right="20"/>
        <w:jc w:val="both"/>
        <w:rPr>
          <w:rFonts w:ascii="Bookman Old Style" w:hAnsi="Bookman Old Style" w:cs="Arial"/>
          <w:szCs w:val="22"/>
        </w:rPr>
      </w:pPr>
      <w:r>
        <w:rPr>
          <w:rFonts w:ascii="Bookman Old Style" w:hAnsi="Bookman Old Style" w:cs="Arial"/>
        </w:rPr>
        <w:t>A través de oficio</w:t>
      </w:r>
      <w:r w:rsidR="00A85AA2">
        <w:rPr>
          <w:rFonts w:ascii="Bookman Old Style" w:hAnsi="Bookman Old Style" w:cs="Arial"/>
        </w:rPr>
        <w:t xml:space="preserve"> </w:t>
      </w:r>
      <w:r w:rsidR="00A85AA2">
        <w:rPr>
          <w:rFonts w:ascii="Bookman Old Style" w:hAnsi="Bookman Old Style" w:cs="Arial"/>
          <w:szCs w:val="22"/>
        </w:rPr>
        <w:t>bajo radicado CREG E-2019-009</w:t>
      </w:r>
      <w:r w:rsidR="00147472">
        <w:rPr>
          <w:rFonts w:ascii="Bookman Old Style" w:hAnsi="Bookman Old Style" w:cs="Arial"/>
          <w:szCs w:val="22"/>
        </w:rPr>
        <w:t>655</w:t>
      </w:r>
      <w:r w:rsidR="00A85AA2">
        <w:rPr>
          <w:rFonts w:ascii="Bookman Old Style" w:hAnsi="Bookman Old Style" w:cs="Arial"/>
          <w:szCs w:val="22"/>
        </w:rPr>
        <w:t xml:space="preserve"> del </w:t>
      </w:r>
      <w:r w:rsidR="00147472">
        <w:rPr>
          <w:rFonts w:ascii="Bookman Old Style" w:hAnsi="Bookman Old Style" w:cs="Arial"/>
          <w:szCs w:val="22"/>
        </w:rPr>
        <w:t>11</w:t>
      </w:r>
      <w:r w:rsidR="00A85AA2">
        <w:rPr>
          <w:rFonts w:ascii="Bookman Old Style" w:hAnsi="Bookman Old Style" w:cs="Arial"/>
          <w:szCs w:val="22"/>
        </w:rPr>
        <w:t xml:space="preserve"> de septiembre de 2019</w:t>
      </w:r>
      <w:r w:rsidR="00D74C87">
        <w:rPr>
          <w:rFonts w:ascii="Bookman Old Style" w:hAnsi="Bookman Old Style" w:cs="Arial"/>
          <w:szCs w:val="22"/>
        </w:rPr>
        <w:t>,</w:t>
      </w:r>
      <w:r w:rsidR="00A85AA2">
        <w:rPr>
          <w:rFonts w:ascii="Bookman Old Style" w:hAnsi="Bookman Old Style" w:cs="Arial"/>
          <w:szCs w:val="22"/>
        </w:rPr>
        <w:t xml:space="preserve"> la empresa SURCOLOMBIANA DE GAS S.A. E.S.P. </w:t>
      </w:r>
      <w:r w:rsidR="00834625">
        <w:rPr>
          <w:rFonts w:ascii="Bookman Old Style" w:hAnsi="Bookman Old Style" w:cs="Arial"/>
          <w:szCs w:val="22"/>
        </w:rPr>
        <w:t>realiza</w:t>
      </w:r>
      <w:r w:rsidR="00147472">
        <w:rPr>
          <w:rFonts w:ascii="Bookman Old Style" w:hAnsi="Bookman Old Style" w:cs="Arial"/>
          <w:szCs w:val="22"/>
        </w:rPr>
        <w:t xml:space="preserve"> un alcance a la completitud de</w:t>
      </w:r>
      <w:r w:rsidR="005612F2">
        <w:rPr>
          <w:rFonts w:ascii="Bookman Old Style" w:hAnsi="Bookman Old Style" w:cs="Arial"/>
          <w:szCs w:val="22"/>
        </w:rPr>
        <w:t>l</w:t>
      </w:r>
      <w:r w:rsidR="00147472">
        <w:rPr>
          <w:rFonts w:ascii="Bookman Old Style" w:hAnsi="Bookman Old Style" w:cs="Arial"/>
          <w:szCs w:val="22"/>
        </w:rPr>
        <w:t xml:space="preserve"> radicado CREG E-2019-009424 del 04 de septiembre de 2019</w:t>
      </w:r>
      <w:r w:rsidR="00A85AA2">
        <w:rPr>
          <w:rFonts w:ascii="Bookman Old Style" w:hAnsi="Bookman Old Style" w:cs="Arial"/>
          <w:szCs w:val="22"/>
        </w:rPr>
        <w:t>.</w:t>
      </w:r>
    </w:p>
    <w:p w14:paraId="17F2FE63" w14:textId="4F60E201" w:rsidR="008E6AE6" w:rsidRDefault="00AE7E89" w:rsidP="00A85AA2">
      <w:pPr>
        <w:adjustRightInd w:val="0"/>
        <w:spacing w:before="240" w:after="240"/>
        <w:ind w:left="0" w:right="20"/>
        <w:jc w:val="both"/>
        <w:rPr>
          <w:rFonts w:ascii="Bookman Old Style" w:hAnsi="Bookman Old Style" w:cs="Arial"/>
          <w:szCs w:val="22"/>
        </w:rPr>
      </w:pPr>
      <w:r>
        <w:rPr>
          <w:rFonts w:ascii="Bookman Old Style" w:hAnsi="Bookman Old Style" w:cs="Arial"/>
        </w:rPr>
        <w:t xml:space="preserve">La </w:t>
      </w:r>
      <w:r w:rsidRPr="00373986">
        <w:rPr>
          <w:rFonts w:ascii="Bookman Old Style" w:hAnsi="Bookman Old Style" w:cs="Arial"/>
        </w:rPr>
        <w:t>Unidad de Planeación Minero</w:t>
      </w:r>
      <w:r w:rsidR="00D74C87">
        <w:rPr>
          <w:rFonts w:ascii="Bookman Old Style" w:hAnsi="Bookman Old Style" w:cs="Arial"/>
        </w:rPr>
        <w:t xml:space="preserve"> </w:t>
      </w:r>
      <w:r w:rsidRPr="00373986">
        <w:rPr>
          <w:rFonts w:ascii="Bookman Old Style" w:hAnsi="Bookman Old Style" w:cs="Arial"/>
        </w:rPr>
        <w:t>Energética</w:t>
      </w:r>
      <w:r w:rsidR="00D74C87">
        <w:rPr>
          <w:rFonts w:ascii="Bookman Old Style" w:hAnsi="Bookman Old Style" w:cs="Arial"/>
        </w:rPr>
        <w:t>-</w:t>
      </w:r>
      <w:r w:rsidRPr="00373986">
        <w:rPr>
          <w:rFonts w:ascii="Bookman Old Style" w:hAnsi="Bookman Old Style" w:cs="Arial"/>
        </w:rPr>
        <w:t>UPME</w:t>
      </w:r>
      <w:r>
        <w:rPr>
          <w:rFonts w:ascii="Bookman Old Style" w:hAnsi="Bookman Old Style" w:cs="Arial"/>
        </w:rPr>
        <w:t>, por medio de oficio</w:t>
      </w:r>
      <w:r w:rsidR="008E6AE6" w:rsidRPr="00373986">
        <w:rPr>
          <w:rFonts w:ascii="Bookman Old Style" w:hAnsi="Bookman Old Style" w:cs="Arial"/>
        </w:rPr>
        <w:t xml:space="preserve"> con radicado CREG E-2019-0</w:t>
      </w:r>
      <w:r w:rsidR="008E6AE6">
        <w:rPr>
          <w:rFonts w:ascii="Bookman Old Style" w:hAnsi="Bookman Old Style" w:cs="Arial"/>
        </w:rPr>
        <w:t>11438</w:t>
      </w:r>
      <w:r w:rsidR="008E6AE6" w:rsidRPr="00373986">
        <w:rPr>
          <w:rFonts w:ascii="Bookman Old Style" w:hAnsi="Bookman Old Style" w:cs="Arial"/>
        </w:rPr>
        <w:t xml:space="preserve"> del 2</w:t>
      </w:r>
      <w:r w:rsidR="008E6AE6">
        <w:rPr>
          <w:rFonts w:ascii="Bookman Old Style" w:hAnsi="Bookman Old Style" w:cs="Arial"/>
        </w:rPr>
        <w:t>2</w:t>
      </w:r>
      <w:r w:rsidR="008E6AE6" w:rsidRPr="00373986">
        <w:rPr>
          <w:rFonts w:ascii="Bookman Old Style" w:hAnsi="Bookman Old Style" w:cs="Arial"/>
        </w:rPr>
        <w:t xml:space="preserve"> de o</w:t>
      </w:r>
      <w:r w:rsidR="008E6AE6">
        <w:rPr>
          <w:rFonts w:ascii="Bookman Old Style" w:hAnsi="Bookman Old Style" w:cs="Arial"/>
        </w:rPr>
        <w:t>ctubre</w:t>
      </w:r>
      <w:r w:rsidR="008E6AE6" w:rsidRPr="00373986">
        <w:rPr>
          <w:rFonts w:ascii="Bookman Old Style" w:hAnsi="Bookman Old Style" w:cs="Arial"/>
        </w:rPr>
        <w:t xml:space="preserve"> de 2019, remitió a la Comisión, concepto en el que considera que la metodología de proyección de demanda de gas propuesta por la empresa SURCOLOMBIANA DE GAS S.A. E.S.P. para las veredas de Astillero, La María, Granadillo y Alto Buenavista en el Municipio</w:t>
      </w:r>
      <w:r w:rsidR="008E6AE6" w:rsidRPr="00E67EF1">
        <w:rPr>
          <w:rFonts w:ascii="Bookman Old Style" w:hAnsi="Bookman Old Style" w:cs="Arial"/>
        </w:rPr>
        <w:t xml:space="preserve"> de Agrado</w:t>
      </w:r>
      <w:r w:rsidR="008E6AE6">
        <w:rPr>
          <w:rFonts w:ascii="Bookman Old Style" w:hAnsi="Bookman Old Style" w:cs="Arial"/>
        </w:rPr>
        <w:t>;</w:t>
      </w:r>
      <w:r w:rsidR="008E6AE6" w:rsidRPr="00E67EF1">
        <w:rPr>
          <w:rFonts w:ascii="Bookman Old Style" w:hAnsi="Bookman Old Style" w:cs="Arial"/>
        </w:rPr>
        <w:t xml:space="preserve"> La Carbona en el Municipio de Acevedo y Las Juntas en el Municipio de Santa María, Departamento de Huila</w:t>
      </w:r>
      <w:r w:rsidR="008E6AE6">
        <w:rPr>
          <w:rFonts w:ascii="Bookman Old Style" w:hAnsi="Bookman Old Style" w:cs="Arial"/>
        </w:rPr>
        <w:t>, cumple con los requerimientos contenidos en el Anexo 13 de la Resolución CREG 202 de 2013.</w:t>
      </w:r>
    </w:p>
    <w:p w14:paraId="6C3B73F7" w14:textId="3984DC84" w:rsidR="00B55753" w:rsidRDefault="00B55753" w:rsidP="00B55753">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Auto I-2019-00</w:t>
      </w:r>
      <w:r w:rsidR="003914AB">
        <w:rPr>
          <w:rFonts w:ascii="Bookman Old Style" w:hAnsi="Bookman Old Style" w:cs="Arial"/>
          <w:szCs w:val="22"/>
        </w:rPr>
        <w:t>6531</w:t>
      </w:r>
      <w:r>
        <w:rPr>
          <w:rFonts w:ascii="Bookman Old Style" w:hAnsi="Bookman Old Style" w:cs="Arial"/>
          <w:szCs w:val="22"/>
        </w:rPr>
        <w:t xml:space="preserve"> del 09 de </w:t>
      </w:r>
      <w:r w:rsidR="00416119">
        <w:rPr>
          <w:rFonts w:ascii="Bookman Old Style" w:hAnsi="Bookman Old Style" w:cs="Arial"/>
          <w:szCs w:val="22"/>
        </w:rPr>
        <w:t>enero</w:t>
      </w:r>
      <w:r>
        <w:rPr>
          <w:rFonts w:ascii="Bookman Old Style" w:hAnsi="Bookman Old Style" w:cs="Arial"/>
          <w:szCs w:val="22"/>
        </w:rPr>
        <w:t xml:space="preserve"> de 2020, la Dirección Ejecutiva de la Comisión, de oficio, abrió a pruebas la actuación administrativa iniciada con base en la solicitud presentada por </w:t>
      </w:r>
      <w:r>
        <w:rPr>
          <w:rFonts w:ascii="Bookman Old Style" w:hAnsi="Bookman Old Style" w:cs="Arial"/>
        </w:rPr>
        <w:t>SURCOLOMBIANA DE GAS S.A. E.S.P.</w:t>
      </w:r>
      <w:r>
        <w:rPr>
          <w:rFonts w:ascii="Bookman Old Style" w:hAnsi="Bookman Old Style" w:cs="Arial"/>
          <w:szCs w:val="22"/>
        </w:rPr>
        <w:t xml:space="preserve"> por un término de veinte (20) días y ordeno oficiar al </w:t>
      </w:r>
      <w:r>
        <w:rPr>
          <w:rFonts w:ascii="Bookman Old Style" w:hAnsi="Bookman Old Style" w:cs="Arial"/>
        </w:rPr>
        <w:t>DEPARTAMENTO ADMINISTRATIVO NACIONAL DE ESTADISTICA – DANE,</w:t>
      </w:r>
      <w:r>
        <w:rPr>
          <w:rFonts w:ascii="Bookman Old Style" w:hAnsi="Bookman Old Style" w:cs="Arial"/>
          <w:szCs w:val="22"/>
        </w:rPr>
        <w:t xml:space="preserve"> a la empresa </w:t>
      </w:r>
      <w:r>
        <w:rPr>
          <w:rFonts w:ascii="Bookman Old Style" w:hAnsi="Bookman Old Style" w:cs="Arial"/>
        </w:rPr>
        <w:t>SURCOLOMBIANA DE GAS S.A. E.S.P.</w:t>
      </w:r>
      <w:r w:rsidR="005B1C91" w:rsidRPr="005B1C91">
        <w:rPr>
          <w:rFonts w:ascii="Bookman Old Style" w:hAnsi="Bookman Old Style" w:cs="Arial"/>
        </w:rPr>
        <w:t xml:space="preserve"> </w:t>
      </w:r>
      <w:r w:rsidR="005B1C91">
        <w:rPr>
          <w:rFonts w:ascii="Bookman Old Style" w:hAnsi="Bookman Old Style" w:cs="Arial"/>
        </w:rPr>
        <w:t>y al</w:t>
      </w:r>
      <w:r w:rsidR="005B1C91">
        <w:rPr>
          <w:rFonts w:ascii="Bookman Old Style" w:hAnsi="Bookman Old Style" w:cs="Arial"/>
          <w:szCs w:val="22"/>
        </w:rPr>
        <w:t xml:space="preserve"> MUNICIPIO DE SANTA MARIA, HUILA</w:t>
      </w:r>
      <w:r>
        <w:rPr>
          <w:rFonts w:ascii="Bookman Old Style" w:hAnsi="Bookman Old Style" w:cs="Arial"/>
        </w:rPr>
        <w:t xml:space="preserve"> </w:t>
      </w:r>
      <w:r>
        <w:rPr>
          <w:rFonts w:ascii="Bookman Old Style" w:hAnsi="Bookman Old Style" w:cs="Arial"/>
          <w:szCs w:val="22"/>
        </w:rPr>
        <w:t xml:space="preserve">con el fin de que sirvieran de: </w:t>
      </w:r>
    </w:p>
    <w:p w14:paraId="304B5CB9" w14:textId="2DA6583D" w:rsidR="002D08AE" w:rsidRPr="002C2A65" w:rsidRDefault="002C2A65" w:rsidP="004B6850">
      <w:pPr>
        <w:pStyle w:val="Prrafodelista"/>
        <w:numPr>
          <w:ilvl w:val="0"/>
          <w:numId w:val="6"/>
        </w:numPr>
        <w:adjustRightInd w:val="0"/>
        <w:spacing w:before="240" w:after="240"/>
        <w:ind w:right="20"/>
        <w:jc w:val="both"/>
        <w:rPr>
          <w:rFonts w:ascii="Bookman Old Style" w:hAnsi="Bookman Old Style" w:cs="Arial"/>
          <w:i/>
          <w:iCs/>
          <w:sz w:val="22"/>
          <w:szCs w:val="22"/>
          <w:lang w:val="es-ES"/>
        </w:rPr>
      </w:pPr>
      <w:r>
        <w:rPr>
          <w:rFonts w:ascii="Bookman Old Style" w:hAnsi="Bookman Old Style" w:cs="Arial"/>
          <w:i/>
          <w:iCs/>
          <w:sz w:val="22"/>
          <w:szCs w:val="22"/>
          <w:lang w:val="es-ES"/>
        </w:rPr>
        <w:t>“</w:t>
      </w:r>
      <w:r w:rsidR="002D08AE" w:rsidRPr="002C2A65">
        <w:rPr>
          <w:rFonts w:ascii="Bookman Old Style" w:hAnsi="Bookman Old Style" w:cs="Arial"/>
          <w:i/>
          <w:iCs/>
          <w:sz w:val="22"/>
          <w:szCs w:val="22"/>
          <w:lang w:val="es-ES"/>
        </w:rPr>
        <w:t>Informe si las poblaciones Astillero, La María, Granadillo y Alto Buenavista en el municipio de Agrado; La Carbona en el municipio de Acevedo y Las Juntas en el municipio de Santa María, Departamento del Huila corresponden a centros poblados y, de ser así, que informe a esta Comisión sus códigos DIVIPOLA.</w:t>
      </w:r>
    </w:p>
    <w:p w14:paraId="59BF3272" w14:textId="1EA081AA" w:rsidR="002C3480" w:rsidRPr="002C2A65" w:rsidRDefault="002C3480" w:rsidP="004B6850">
      <w:pPr>
        <w:pStyle w:val="Prrafodelista"/>
        <w:numPr>
          <w:ilvl w:val="0"/>
          <w:numId w:val="6"/>
        </w:numPr>
        <w:adjustRightInd w:val="0"/>
        <w:spacing w:before="240" w:after="240"/>
        <w:ind w:right="20"/>
        <w:jc w:val="both"/>
        <w:rPr>
          <w:rFonts w:ascii="Bookman Old Style" w:hAnsi="Bookman Old Style" w:cs="Arial"/>
          <w:i/>
          <w:iCs/>
          <w:sz w:val="22"/>
          <w:szCs w:val="22"/>
          <w:lang w:val="es-ES"/>
        </w:rPr>
      </w:pPr>
      <w:r w:rsidRPr="002C2A65">
        <w:rPr>
          <w:rFonts w:ascii="Bookman Old Style" w:hAnsi="Bookman Old Style" w:cs="Arial"/>
          <w:i/>
          <w:iCs/>
          <w:sz w:val="22"/>
          <w:szCs w:val="22"/>
          <w:lang w:val="es-ES"/>
        </w:rPr>
        <w:t xml:space="preserve">Indique </w:t>
      </w:r>
      <w:r w:rsidR="00CD6E2E" w:rsidRPr="002C2A65">
        <w:rPr>
          <w:rFonts w:ascii="Bookman Old Style" w:hAnsi="Bookman Old Style" w:cs="Arial"/>
          <w:i/>
          <w:iCs/>
          <w:sz w:val="22"/>
          <w:szCs w:val="22"/>
          <w:lang w:val="es-ES"/>
        </w:rPr>
        <w:t>todos los aspectos técnicos, incluyendo longitud, unidades constructivas, planos y trazado entre otros, de las conexiones de los centros poblados La Carbona y Las Juntas a otros sistemas de distribución, referidos en el numeral 2 de la parte considerativa del presente Auto.</w:t>
      </w:r>
    </w:p>
    <w:p w14:paraId="52CC2C0B" w14:textId="0F11ECA4" w:rsidR="002C3480" w:rsidRPr="002C2A65" w:rsidRDefault="00CD6E2E" w:rsidP="004B6850">
      <w:pPr>
        <w:pStyle w:val="Prrafodelista"/>
        <w:numPr>
          <w:ilvl w:val="0"/>
          <w:numId w:val="6"/>
        </w:numPr>
        <w:adjustRightInd w:val="0"/>
        <w:spacing w:before="240" w:after="240"/>
        <w:ind w:right="20"/>
        <w:jc w:val="both"/>
        <w:rPr>
          <w:rFonts w:ascii="Bookman Old Style" w:hAnsi="Bookman Old Style" w:cs="Arial"/>
          <w:i/>
          <w:iCs/>
          <w:sz w:val="22"/>
          <w:szCs w:val="22"/>
          <w:lang w:val="es-ES"/>
        </w:rPr>
      </w:pPr>
      <w:r w:rsidRPr="002C2A65">
        <w:rPr>
          <w:rFonts w:ascii="Bookman Old Style" w:hAnsi="Bookman Old Style" w:cs="Arial"/>
          <w:i/>
          <w:iCs/>
          <w:sz w:val="22"/>
          <w:szCs w:val="22"/>
          <w:lang w:val="es-ES"/>
        </w:rPr>
        <w:t xml:space="preserve">Conforme </w:t>
      </w:r>
      <w:r w:rsidR="001F473F" w:rsidRPr="002C2A65">
        <w:rPr>
          <w:rFonts w:ascii="Bookman Old Style" w:hAnsi="Bookman Old Style" w:cs="Arial"/>
          <w:i/>
          <w:iCs/>
          <w:sz w:val="22"/>
          <w:szCs w:val="22"/>
          <w:lang w:val="es-ES"/>
        </w:rPr>
        <w:t>los centros poblados del mercado propuesto en la solicitud tarifaria del asunto de tal forma que se dé cumplimiento a lo establecido en el parágrafo 4 del numeral 5.2 del Artículo 5 de la Metodología contenida en las Resoluciones CREG 202 de 2013, 138 de 2014, 090 de 2018 y 132 de 2018 en cuanto a que el beneficio de los recursos públicos debe mantenerse en cabeza de sus destinatarios. Adicionalmente, para que reporte los gastos de AOM, los otros gastos de AOM y los otros Activos según la conformación de mercados que realicen.</w:t>
      </w:r>
    </w:p>
    <w:p w14:paraId="065058E3" w14:textId="1803DA13" w:rsidR="002C3480" w:rsidRPr="002C2A65" w:rsidRDefault="0004510B" w:rsidP="004B6850">
      <w:pPr>
        <w:pStyle w:val="Prrafodelista"/>
        <w:numPr>
          <w:ilvl w:val="0"/>
          <w:numId w:val="6"/>
        </w:numPr>
        <w:adjustRightInd w:val="0"/>
        <w:spacing w:before="240" w:after="240"/>
        <w:ind w:right="20"/>
        <w:jc w:val="both"/>
        <w:rPr>
          <w:rFonts w:ascii="Bookman Old Style" w:hAnsi="Bookman Old Style" w:cs="Arial"/>
          <w:i/>
          <w:iCs/>
          <w:sz w:val="22"/>
          <w:szCs w:val="22"/>
          <w:lang w:val="es-ES"/>
        </w:rPr>
      </w:pPr>
      <w:r w:rsidRPr="002C2A65">
        <w:rPr>
          <w:rFonts w:ascii="Bookman Old Style" w:hAnsi="Bookman Old Style" w:cs="Arial"/>
          <w:i/>
          <w:iCs/>
          <w:sz w:val="22"/>
          <w:szCs w:val="22"/>
          <w:lang w:val="es-ES"/>
        </w:rPr>
        <w:t>Aclare las diferencias en la información de gastos de AOM y de Otros Activos reportada mediante radicado CREG E-2019-008211 y la reportada mediante solicitud No. 1943 de ApliGas.</w:t>
      </w:r>
      <w:r w:rsidR="002D08AE" w:rsidRPr="002C2A65">
        <w:rPr>
          <w:rFonts w:ascii="Bookman Old Style" w:hAnsi="Bookman Old Style" w:cs="Arial"/>
          <w:i/>
          <w:iCs/>
          <w:sz w:val="22"/>
          <w:szCs w:val="22"/>
          <w:lang w:val="es-ES"/>
        </w:rPr>
        <w:t xml:space="preserve"> </w:t>
      </w:r>
    </w:p>
    <w:p w14:paraId="7201CF5F" w14:textId="72D7778A" w:rsidR="001F47A7" w:rsidRPr="002C2A65" w:rsidRDefault="008372C9" w:rsidP="004B6850">
      <w:pPr>
        <w:pStyle w:val="Prrafodelista"/>
        <w:numPr>
          <w:ilvl w:val="0"/>
          <w:numId w:val="6"/>
        </w:numPr>
        <w:adjustRightInd w:val="0"/>
        <w:spacing w:before="240" w:after="240"/>
        <w:ind w:right="20"/>
        <w:jc w:val="both"/>
        <w:rPr>
          <w:rFonts w:ascii="Bookman Old Style" w:hAnsi="Bookman Old Style" w:cs="Arial"/>
          <w:i/>
          <w:iCs/>
          <w:sz w:val="22"/>
          <w:szCs w:val="22"/>
          <w:lang w:val="es-ES"/>
        </w:rPr>
      </w:pPr>
      <w:r w:rsidRPr="002C2A65">
        <w:rPr>
          <w:rFonts w:ascii="Bookman Old Style" w:hAnsi="Bookman Old Style" w:cs="Arial"/>
          <w:i/>
          <w:iCs/>
          <w:sz w:val="22"/>
          <w:szCs w:val="22"/>
          <w:lang w:val="es-ES"/>
        </w:rPr>
        <w:t>I</w:t>
      </w:r>
      <w:r w:rsidR="005B1C91" w:rsidRPr="002C2A65">
        <w:rPr>
          <w:rFonts w:ascii="Bookman Old Style" w:hAnsi="Bookman Old Style" w:cs="Arial"/>
          <w:i/>
          <w:iCs/>
          <w:sz w:val="22"/>
          <w:szCs w:val="22"/>
          <w:lang w:val="es-ES"/>
        </w:rPr>
        <w:t xml:space="preserve">nforme la discriminación del monto de recursos públicos otorgado mediante el Convenio de Cooperación No. 011 de 2019 según objeto de los recursos (infraestructura de distribución, conexiones, instalaciones internas, entre otros) y </w:t>
      </w:r>
      <w:r w:rsidR="005B1C91" w:rsidRPr="002C2A65">
        <w:rPr>
          <w:rFonts w:ascii="Bookman Old Style" w:hAnsi="Bookman Old Style" w:cs="Arial"/>
          <w:i/>
          <w:iCs/>
          <w:sz w:val="22"/>
          <w:szCs w:val="22"/>
          <w:lang w:val="es-ES"/>
        </w:rPr>
        <w:lastRenderedPageBreak/>
        <w:t>según destinatario (barrio La Inmaculada y vereda La Carbona). Adicionalmente, para que informe a qué municipio o centro poblado pertenece el barrio La Inmaculada.</w:t>
      </w:r>
      <w:r w:rsidR="002C2A65">
        <w:rPr>
          <w:rFonts w:ascii="Bookman Old Style" w:hAnsi="Bookman Old Style" w:cs="Arial"/>
          <w:i/>
          <w:iCs/>
          <w:sz w:val="22"/>
          <w:szCs w:val="22"/>
          <w:lang w:val="es-ES"/>
        </w:rPr>
        <w:t>”</w:t>
      </w:r>
    </w:p>
    <w:p w14:paraId="34A16CC0" w14:textId="70C2F7EA" w:rsidR="00DA75E5" w:rsidRDefault="00AE7E89" w:rsidP="00DA75E5">
      <w:pPr>
        <w:adjustRightInd w:val="0"/>
        <w:spacing w:before="240" w:after="240"/>
        <w:ind w:left="0" w:right="20"/>
        <w:jc w:val="both"/>
        <w:rPr>
          <w:rFonts w:ascii="Bookman Old Style" w:hAnsi="Bookman Old Style" w:cs="Arial"/>
        </w:rPr>
      </w:pPr>
      <w:r>
        <w:rPr>
          <w:rFonts w:ascii="Bookman Old Style" w:hAnsi="Bookman Old Style" w:cs="Arial"/>
        </w:rPr>
        <w:t>En respuesta al requerimiento bajo</w:t>
      </w:r>
      <w:r w:rsidR="00DA75E5">
        <w:rPr>
          <w:rFonts w:ascii="Bookman Old Style" w:hAnsi="Bookman Old Style" w:cs="Arial"/>
        </w:rPr>
        <w:t xml:space="preserve"> radicado CREG E-2020-00000699 del 28 de enero de 2020, el DANE manifestó lo siguiente:</w:t>
      </w:r>
    </w:p>
    <w:p w14:paraId="2FD5D0CD" w14:textId="77777777" w:rsidR="00DA75E5" w:rsidRPr="006E320B" w:rsidRDefault="00DA75E5" w:rsidP="00DA75E5">
      <w:pPr>
        <w:jc w:val="both"/>
        <w:rPr>
          <w:rFonts w:ascii="Bookman Old Style" w:hAnsi="Bookman Old Style" w:cs="Arial"/>
          <w:i/>
          <w:sz w:val="22"/>
          <w:szCs w:val="22"/>
        </w:rPr>
      </w:pPr>
      <w:r w:rsidRPr="006E320B">
        <w:rPr>
          <w:rFonts w:ascii="Bookman Old Style" w:hAnsi="Bookman Old Style" w:cs="Arial"/>
          <w:i/>
          <w:sz w:val="22"/>
          <w:szCs w:val="22"/>
        </w:rPr>
        <w:t>“(…) el DANE tiene disponible la Codificación de la División Político Administrativa de Colombia – DIVIPOLA, Departamentos, Municipios, Cabeceras municipales, Centros poblados y Áreas no municipalizadas.</w:t>
      </w:r>
    </w:p>
    <w:p w14:paraId="38B81427" w14:textId="77777777" w:rsidR="00DA75E5" w:rsidRPr="006E320B" w:rsidRDefault="00DA75E5" w:rsidP="00DA75E5">
      <w:pPr>
        <w:adjustRightInd w:val="0"/>
        <w:spacing w:before="240" w:after="240"/>
        <w:ind w:right="20"/>
        <w:jc w:val="both"/>
        <w:rPr>
          <w:rFonts w:ascii="Bookman Old Style" w:hAnsi="Bookman Old Style" w:cs="Arial"/>
          <w:sz w:val="22"/>
          <w:szCs w:val="22"/>
        </w:rPr>
      </w:pPr>
      <w:r w:rsidRPr="006E320B">
        <w:rPr>
          <w:rFonts w:ascii="Bookman Old Style" w:hAnsi="Bookman Old Style" w:cs="Arial"/>
          <w:i/>
          <w:sz w:val="22"/>
          <w:szCs w:val="22"/>
        </w:rPr>
        <w:t>Esta codificación, acorde con la dinámica territorial del país, es actualizada periódicamente por nuestra entidad, de acuerdo con la información suministrada por las administraciones municipales y departamentales, constituyéndose en fuente de consulta sobre la organización administrativa y política del país”</w:t>
      </w:r>
    </w:p>
    <w:p w14:paraId="08E9E12E" w14:textId="287B15EA" w:rsidR="00DA75E5" w:rsidRDefault="00AE7E89" w:rsidP="00DA75E5">
      <w:pPr>
        <w:adjustRightInd w:val="0"/>
        <w:spacing w:before="240" w:after="240"/>
        <w:ind w:left="0" w:right="20"/>
        <w:jc w:val="both"/>
        <w:rPr>
          <w:rFonts w:ascii="Bookman Old Style" w:hAnsi="Bookman Old Style" w:cs="Arial"/>
        </w:rPr>
      </w:pPr>
      <w:r>
        <w:rPr>
          <w:rFonts w:ascii="Bookman Old Style" w:hAnsi="Bookman Old Style" w:cs="Arial"/>
        </w:rPr>
        <w:t>Junto con la respuesta en cita,</w:t>
      </w:r>
      <w:r w:rsidR="00AA0956">
        <w:rPr>
          <w:rFonts w:ascii="Bookman Old Style" w:hAnsi="Bookman Old Style" w:cs="Arial"/>
        </w:rPr>
        <w:t xml:space="preserve"> r</w:t>
      </w:r>
      <w:r w:rsidR="00DA75E5">
        <w:rPr>
          <w:rFonts w:ascii="Bookman Old Style" w:hAnsi="Bookman Old Style" w:cs="Arial"/>
        </w:rPr>
        <w:t>emitie</w:t>
      </w:r>
      <w:r w:rsidR="00AA0956">
        <w:rPr>
          <w:rFonts w:ascii="Bookman Old Style" w:hAnsi="Bookman Old Style" w:cs="Arial"/>
        </w:rPr>
        <w:t>ron el</w:t>
      </w:r>
      <w:r w:rsidR="00DA75E5">
        <w:rPr>
          <w:rFonts w:ascii="Bookman Old Style" w:hAnsi="Bookman Old Style" w:cs="Arial"/>
        </w:rPr>
        <w:t xml:space="preserve"> enlace de consulta con la información del Geoportal del código DIVIPOLA</w:t>
      </w:r>
      <w:r w:rsidR="00AA0956">
        <w:rPr>
          <w:rFonts w:ascii="Bookman Old Style" w:hAnsi="Bookman Old Style" w:cs="Arial"/>
        </w:rPr>
        <w:t xml:space="preserve"> y</w:t>
      </w:r>
      <w:r w:rsidR="00DA75E5">
        <w:rPr>
          <w:rFonts w:ascii="Bookman Old Style" w:hAnsi="Bookman Old Style" w:cs="Arial"/>
        </w:rPr>
        <w:t xml:space="preserve"> </w:t>
      </w:r>
      <w:r w:rsidR="00AA0956">
        <w:rPr>
          <w:rFonts w:ascii="Bookman Old Style" w:hAnsi="Bookman Old Style" w:cs="Arial"/>
        </w:rPr>
        <w:t>a</w:t>
      </w:r>
      <w:r w:rsidR="00DA75E5">
        <w:rPr>
          <w:rFonts w:ascii="Bookman Old Style" w:hAnsi="Bookman Old Style" w:cs="Arial"/>
        </w:rPr>
        <w:t>dicionalmente, alleg</w:t>
      </w:r>
      <w:r w:rsidR="00AA0956">
        <w:rPr>
          <w:rFonts w:ascii="Bookman Old Style" w:hAnsi="Bookman Old Style" w:cs="Arial"/>
        </w:rPr>
        <w:t>aron</w:t>
      </w:r>
      <w:r w:rsidR="00DA75E5">
        <w:rPr>
          <w:rFonts w:ascii="Bookman Old Style" w:hAnsi="Bookman Old Style" w:cs="Arial"/>
        </w:rPr>
        <w:t xml:space="preserve"> un enlace con la información de la capa de referencia de veredas la cual ha sido actualizada con fines estadísticos a los límites de departamentos y municipios del Instituto Geográfico Agustín Codazzi - IGAC.</w:t>
      </w:r>
    </w:p>
    <w:p w14:paraId="05E9777D" w14:textId="0C3C4A9A" w:rsidR="001F47A7" w:rsidRDefault="006135EA" w:rsidP="001F47A7">
      <w:pPr>
        <w:adjustRightInd w:val="0"/>
        <w:spacing w:before="240" w:after="240"/>
        <w:ind w:left="0" w:right="20"/>
        <w:jc w:val="both"/>
        <w:rPr>
          <w:rFonts w:ascii="Bookman Old Style" w:hAnsi="Bookman Old Style" w:cs="Arial"/>
        </w:rPr>
      </w:pPr>
      <w:r>
        <w:rPr>
          <w:rFonts w:ascii="Bookman Old Style" w:hAnsi="Bookman Old Style" w:cs="Arial"/>
        </w:rPr>
        <w:t>Mediante comunicación bajo radicado CREG E-2020-00082</w:t>
      </w:r>
      <w:r w:rsidR="00AC31FC">
        <w:rPr>
          <w:rFonts w:ascii="Bookman Old Style" w:hAnsi="Bookman Old Style" w:cs="Arial"/>
        </w:rPr>
        <w:t>2</w:t>
      </w:r>
      <w:r>
        <w:rPr>
          <w:rFonts w:ascii="Bookman Old Style" w:hAnsi="Bookman Old Style" w:cs="Arial"/>
        </w:rPr>
        <w:t xml:space="preserve"> del 31 de enero de 2020, la empresa SURCOLOMBIANA DE GAS S.A. E.S.P. atiende el requerimiento efectuado por la Comisión, allegando</w:t>
      </w:r>
      <w:r w:rsidR="00B9791F">
        <w:rPr>
          <w:rFonts w:ascii="Bookman Old Style" w:hAnsi="Bookman Old Style" w:cs="Arial"/>
        </w:rPr>
        <w:t xml:space="preserve"> los</w:t>
      </w:r>
      <w:r w:rsidR="00B9791F" w:rsidRPr="00B9791F">
        <w:rPr>
          <w:rFonts w:ascii="Bookman Old Style" w:hAnsi="Bookman Old Style" w:cs="Arial"/>
        </w:rPr>
        <w:t xml:space="preserve"> planos con los aspectos técnicos, incluyendo longitud, unidades constructivas de</w:t>
      </w:r>
      <w:r w:rsidR="00335537">
        <w:rPr>
          <w:rFonts w:ascii="Bookman Old Style" w:hAnsi="Bookman Old Style" w:cs="Arial"/>
        </w:rPr>
        <w:t xml:space="preserve"> los sistemas de distribución para las veredas de</w:t>
      </w:r>
      <w:r w:rsidR="00B9791F" w:rsidRPr="00B9791F">
        <w:rPr>
          <w:rFonts w:ascii="Bookman Old Style" w:hAnsi="Bookman Old Style" w:cs="Arial"/>
        </w:rPr>
        <w:t xml:space="preserve"> Astillero, La Maria, Granadillo y Alto Buenavista en el Municipio de Agrado; La Carbona en el Municipio de Acevedo y las Juntas en el Municipio de Santa Maria, Departamento del Huila</w:t>
      </w:r>
      <w:r w:rsidR="00335537">
        <w:rPr>
          <w:rFonts w:ascii="Bookman Old Style" w:hAnsi="Bookman Old Style" w:cs="Arial"/>
        </w:rPr>
        <w:t>.</w:t>
      </w:r>
    </w:p>
    <w:p w14:paraId="0006C021" w14:textId="4393FED6" w:rsidR="00335537" w:rsidRPr="004A27A4" w:rsidRDefault="00A5480F" w:rsidP="001F47A7">
      <w:pPr>
        <w:adjustRightInd w:val="0"/>
        <w:spacing w:before="240" w:after="240"/>
        <w:ind w:left="0" w:right="20"/>
        <w:jc w:val="both"/>
        <w:rPr>
          <w:rFonts w:ascii="Bookman Old Style" w:hAnsi="Bookman Old Style" w:cs="Arial"/>
        </w:rPr>
      </w:pPr>
      <w:r w:rsidRPr="005612F2">
        <w:rPr>
          <w:rFonts w:ascii="Bookman Old Style" w:hAnsi="Bookman Old Style" w:cs="Arial"/>
        </w:rPr>
        <w:t xml:space="preserve">Adicionalmente, </w:t>
      </w:r>
      <w:r w:rsidR="000F03C6" w:rsidRPr="005612F2">
        <w:rPr>
          <w:rFonts w:ascii="Bookman Old Style" w:hAnsi="Bookman Old Style" w:cs="Arial"/>
        </w:rPr>
        <w:t xml:space="preserve">la empresa </w:t>
      </w:r>
      <w:r w:rsidR="00C07C93" w:rsidRPr="005612F2">
        <w:rPr>
          <w:rFonts w:ascii="Bookman Old Style" w:hAnsi="Bookman Old Style" w:cs="Arial"/>
        </w:rPr>
        <w:t>inform</w:t>
      </w:r>
      <w:r w:rsidR="005612F2" w:rsidRPr="005612F2">
        <w:rPr>
          <w:rFonts w:ascii="Bookman Old Style" w:hAnsi="Bookman Old Style" w:cs="Arial"/>
        </w:rPr>
        <w:t>ó</w:t>
      </w:r>
      <w:r w:rsidR="00C07C93" w:rsidRPr="005612F2">
        <w:rPr>
          <w:rFonts w:ascii="Bookman Old Style" w:hAnsi="Bookman Old Style" w:cs="Arial"/>
        </w:rPr>
        <w:t xml:space="preserve"> </w:t>
      </w:r>
      <w:r w:rsidR="009C49AB" w:rsidRPr="005612F2">
        <w:rPr>
          <w:rFonts w:ascii="Bookman Old Style" w:hAnsi="Bookman Old Style" w:cs="Arial"/>
        </w:rPr>
        <w:t>que, en</w:t>
      </w:r>
      <w:r w:rsidR="00C07C93" w:rsidRPr="005612F2">
        <w:rPr>
          <w:rFonts w:ascii="Bookman Old Style" w:hAnsi="Bookman Old Style" w:cs="Arial"/>
        </w:rPr>
        <w:t xml:space="preserve"> la solicitud tarifaria se </w:t>
      </w:r>
      <w:r w:rsidR="009C49AB" w:rsidRPr="005612F2">
        <w:rPr>
          <w:rFonts w:ascii="Bookman Old Style" w:hAnsi="Bookman Old Style" w:cs="Arial"/>
        </w:rPr>
        <w:t>adjunt</w:t>
      </w:r>
      <w:r w:rsidR="004A27A4">
        <w:rPr>
          <w:rFonts w:ascii="Bookman Old Style" w:hAnsi="Bookman Old Style" w:cs="Arial"/>
        </w:rPr>
        <w:t xml:space="preserve">aron los </w:t>
      </w:r>
      <w:r w:rsidR="00C07C93" w:rsidRPr="005612F2">
        <w:rPr>
          <w:rFonts w:ascii="Bookman Old Style" w:hAnsi="Bookman Old Style" w:cs="Arial"/>
        </w:rPr>
        <w:t>Convenio</w:t>
      </w:r>
      <w:r w:rsidR="004A27A4">
        <w:rPr>
          <w:rFonts w:ascii="Bookman Old Style" w:hAnsi="Bookman Old Style" w:cs="Arial"/>
        </w:rPr>
        <w:t>s</w:t>
      </w:r>
      <w:r w:rsidR="00C07C93" w:rsidRPr="005612F2">
        <w:rPr>
          <w:rFonts w:ascii="Bookman Old Style" w:hAnsi="Bookman Old Style" w:cs="Arial"/>
        </w:rPr>
        <w:t xml:space="preserve"> de Cooperación No</w:t>
      </w:r>
      <w:r w:rsidR="004A27A4">
        <w:rPr>
          <w:rFonts w:ascii="Bookman Old Style" w:hAnsi="Bookman Old Style" w:cs="Arial"/>
        </w:rPr>
        <w:t>s</w:t>
      </w:r>
      <w:r w:rsidR="00C07C93" w:rsidRPr="005612F2">
        <w:rPr>
          <w:rFonts w:ascii="Bookman Old Style" w:hAnsi="Bookman Old Style" w:cs="Arial"/>
        </w:rPr>
        <w:t>.</w:t>
      </w:r>
      <w:r w:rsidR="004A27A4">
        <w:rPr>
          <w:rFonts w:ascii="Bookman Old Style" w:hAnsi="Bookman Old Style" w:cs="Arial"/>
        </w:rPr>
        <w:t xml:space="preserve"> 06 de 2019,</w:t>
      </w:r>
      <w:r w:rsidR="00C07C93" w:rsidRPr="005612F2">
        <w:rPr>
          <w:rFonts w:ascii="Bookman Old Style" w:hAnsi="Bookman Old Style" w:cs="Arial"/>
        </w:rPr>
        <w:t xml:space="preserve"> 011 de 2019</w:t>
      </w:r>
      <w:r w:rsidR="004A27A4">
        <w:rPr>
          <w:rFonts w:ascii="Bookman Old Style" w:hAnsi="Bookman Old Style" w:cs="Arial"/>
        </w:rPr>
        <w:t xml:space="preserve"> y 012 de 2019. Respecto al Convenio 011 de 2019, </w:t>
      </w:r>
      <w:r w:rsidR="00C07C93" w:rsidRPr="005612F2">
        <w:rPr>
          <w:rFonts w:ascii="Bookman Old Style" w:hAnsi="Bookman Old Style" w:cs="Arial"/>
        </w:rPr>
        <w:t xml:space="preserve">celebrado entre el Municipio de Acevedo y </w:t>
      </w:r>
      <w:r w:rsidR="00915D50" w:rsidRPr="005612F2">
        <w:rPr>
          <w:rFonts w:ascii="Bookman Old Style" w:hAnsi="Bookman Old Style" w:cs="Arial"/>
        </w:rPr>
        <w:t xml:space="preserve">SURCOLOMBIANA DE GAS </w:t>
      </w:r>
      <w:r w:rsidR="00C07C93" w:rsidRPr="005612F2">
        <w:rPr>
          <w:rFonts w:ascii="Bookman Old Style" w:hAnsi="Bookman Old Style" w:cs="Arial"/>
        </w:rPr>
        <w:t>S</w:t>
      </w:r>
      <w:r w:rsidR="005612F2" w:rsidRPr="005612F2">
        <w:rPr>
          <w:rFonts w:ascii="Bookman Old Style" w:hAnsi="Bookman Old Style" w:cs="Arial"/>
        </w:rPr>
        <w:t>.</w:t>
      </w:r>
      <w:r w:rsidR="00C07C93" w:rsidRPr="005612F2">
        <w:rPr>
          <w:rFonts w:ascii="Bookman Old Style" w:hAnsi="Bookman Old Style" w:cs="Arial"/>
        </w:rPr>
        <w:t>A. E</w:t>
      </w:r>
      <w:r w:rsidR="00915D50" w:rsidRPr="005612F2">
        <w:rPr>
          <w:rFonts w:ascii="Bookman Old Style" w:hAnsi="Bookman Old Style" w:cs="Arial"/>
        </w:rPr>
        <w:t>.</w:t>
      </w:r>
      <w:r w:rsidR="00C07C93" w:rsidRPr="005612F2">
        <w:rPr>
          <w:rFonts w:ascii="Bookman Old Style" w:hAnsi="Bookman Old Style" w:cs="Arial"/>
        </w:rPr>
        <w:t>S</w:t>
      </w:r>
      <w:r w:rsidR="00915D50" w:rsidRPr="005612F2">
        <w:rPr>
          <w:rFonts w:ascii="Bookman Old Style" w:hAnsi="Bookman Old Style" w:cs="Arial"/>
        </w:rPr>
        <w:t>.</w:t>
      </w:r>
      <w:r w:rsidR="00C07C93" w:rsidRPr="005612F2">
        <w:rPr>
          <w:rFonts w:ascii="Bookman Old Style" w:hAnsi="Bookman Old Style" w:cs="Arial"/>
        </w:rPr>
        <w:t>P., se asigna</w:t>
      </w:r>
      <w:r w:rsidR="004A27A4">
        <w:rPr>
          <w:rFonts w:ascii="Bookman Old Style" w:hAnsi="Bookman Old Style" w:cs="Arial"/>
        </w:rPr>
        <w:t>ron</w:t>
      </w:r>
      <w:r w:rsidR="00C07C93" w:rsidRPr="005612F2">
        <w:rPr>
          <w:rFonts w:ascii="Bookman Old Style" w:hAnsi="Bookman Old Style" w:cs="Arial"/>
        </w:rPr>
        <w:t xml:space="preserve"> recursos públicos para </w:t>
      </w:r>
      <w:r w:rsidR="00300577" w:rsidRPr="005612F2">
        <w:rPr>
          <w:rFonts w:ascii="Bookman Old Style" w:hAnsi="Bookman Old Style" w:cs="Arial"/>
        </w:rPr>
        <w:t>la</w:t>
      </w:r>
      <w:r w:rsidR="00C07C93" w:rsidRPr="005612F2">
        <w:rPr>
          <w:rFonts w:ascii="Bookman Old Style" w:hAnsi="Bookman Old Style" w:cs="Arial"/>
        </w:rPr>
        <w:t xml:space="preserve"> </w:t>
      </w:r>
      <w:r w:rsidR="00300577" w:rsidRPr="005612F2">
        <w:rPr>
          <w:rFonts w:ascii="Bookman Old Style" w:hAnsi="Bookman Old Style" w:cs="Arial"/>
        </w:rPr>
        <w:t>vereda</w:t>
      </w:r>
      <w:r w:rsidR="00C07C93" w:rsidRPr="005612F2">
        <w:rPr>
          <w:rFonts w:ascii="Bookman Old Style" w:hAnsi="Bookman Old Style" w:cs="Arial"/>
        </w:rPr>
        <w:t xml:space="preserve"> La Carbona (objeto de la solicitud de cargos) y el barrio la Inmaculada de este Municipio</w:t>
      </w:r>
      <w:r w:rsidR="002F5BFD" w:rsidRPr="005612F2">
        <w:rPr>
          <w:rFonts w:ascii="Bookman Old Style" w:hAnsi="Bookman Old Style" w:cs="Arial"/>
        </w:rPr>
        <w:t>,</w:t>
      </w:r>
      <w:r w:rsidR="00C07C93" w:rsidRPr="005612F2">
        <w:rPr>
          <w:rFonts w:ascii="Bookman Old Style" w:hAnsi="Bookman Old Style" w:cs="Arial"/>
        </w:rPr>
        <w:t xml:space="preserve"> </w:t>
      </w:r>
      <w:r w:rsidR="00695F36" w:rsidRPr="005612F2">
        <w:rPr>
          <w:rFonts w:ascii="Bookman Old Style" w:hAnsi="Bookman Old Style" w:cs="Arial"/>
        </w:rPr>
        <w:t>el cual</w:t>
      </w:r>
      <w:r w:rsidR="00C07C93" w:rsidRPr="005612F2">
        <w:rPr>
          <w:rFonts w:ascii="Bookman Old Style" w:hAnsi="Bookman Old Style" w:cs="Arial"/>
        </w:rPr>
        <w:t xml:space="preserve"> no </w:t>
      </w:r>
      <w:r w:rsidR="00695F36" w:rsidRPr="005612F2">
        <w:rPr>
          <w:rFonts w:ascii="Bookman Old Style" w:hAnsi="Bookman Old Style" w:cs="Arial"/>
        </w:rPr>
        <w:t>hace</w:t>
      </w:r>
      <w:r w:rsidR="00C07C93" w:rsidRPr="005612F2">
        <w:rPr>
          <w:rFonts w:ascii="Bookman Old Style" w:hAnsi="Bookman Old Style" w:cs="Arial"/>
        </w:rPr>
        <w:t xml:space="preserve"> </w:t>
      </w:r>
      <w:r w:rsidR="00695F36" w:rsidRPr="005612F2">
        <w:rPr>
          <w:rFonts w:ascii="Bookman Old Style" w:hAnsi="Bookman Old Style" w:cs="Arial"/>
        </w:rPr>
        <w:t>parte de</w:t>
      </w:r>
      <w:r w:rsidR="00C07C93" w:rsidRPr="005612F2">
        <w:rPr>
          <w:rFonts w:ascii="Bookman Old Style" w:hAnsi="Bookman Old Style" w:cs="Arial"/>
        </w:rPr>
        <w:t xml:space="preserve"> la solicitud tarifaria del mercado especial</w:t>
      </w:r>
      <w:r w:rsidR="00AF723E" w:rsidRPr="005612F2">
        <w:rPr>
          <w:rFonts w:ascii="Bookman Old Style" w:hAnsi="Bookman Old Style" w:cs="Arial"/>
        </w:rPr>
        <w:t>. En el Convenio No. 011, el Municipio aporta $90.000.000, de los cuales $61.647.434 son para redes de distribución de la vereda La Carbona</w:t>
      </w:r>
      <w:r w:rsidR="001B1D0D" w:rsidRPr="005612F2">
        <w:rPr>
          <w:rFonts w:ascii="Bookman Old Style" w:hAnsi="Bookman Old Style" w:cs="Arial"/>
        </w:rPr>
        <w:t>, y $21.758.946 para subsidios al derecho de conexión de este y los $6.593.620 corresponden al subsidio al derecho de conexión para 20 usuarios del barrio la Inmaculada que no se encuentra dentro de la solicitud tarifaria por tener ya un cargo aprobado.</w:t>
      </w:r>
      <w:r w:rsidR="000F03C6" w:rsidRPr="000F03C6">
        <w:rPr>
          <w:rFonts w:ascii="Bookman Old Style" w:hAnsi="Bookman Old Style" w:cs="Arial"/>
          <w:sz w:val="22"/>
          <w:szCs w:val="22"/>
        </w:rPr>
        <w:t xml:space="preserve"> </w:t>
      </w:r>
    </w:p>
    <w:p w14:paraId="69AFA053" w14:textId="6593D686" w:rsidR="001F47A7" w:rsidRPr="00232F92" w:rsidRDefault="005A0D73" w:rsidP="001F47A7">
      <w:pPr>
        <w:adjustRightInd w:val="0"/>
        <w:spacing w:before="240" w:after="240"/>
        <w:ind w:left="0" w:right="20"/>
        <w:jc w:val="both"/>
        <w:rPr>
          <w:rFonts w:ascii="Bookman Old Style" w:hAnsi="Bookman Old Style" w:cs="Arial"/>
        </w:rPr>
      </w:pPr>
      <w:r w:rsidRPr="00232F92">
        <w:rPr>
          <w:rFonts w:ascii="Bookman Old Style" w:hAnsi="Bookman Old Style" w:cs="Arial"/>
        </w:rPr>
        <w:t xml:space="preserve">Finalmente, la empresa </w:t>
      </w:r>
      <w:r w:rsidR="00613021" w:rsidRPr="00C07C93">
        <w:rPr>
          <w:rFonts w:ascii="Bookman Old Style" w:hAnsi="Bookman Old Style" w:cs="Arial"/>
        </w:rPr>
        <w:t>SURCOLOMBIANA DE GAS S</w:t>
      </w:r>
      <w:r w:rsidR="00F66CBB">
        <w:rPr>
          <w:rFonts w:ascii="Bookman Old Style" w:hAnsi="Bookman Old Style" w:cs="Arial"/>
        </w:rPr>
        <w:t>.</w:t>
      </w:r>
      <w:r w:rsidR="00613021" w:rsidRPr="00C07C93">
        <w:rPr>
          <w:rFonts w:ascii="Bookman Old Style" w:hAnsi="Bookman Old Style" w:cs="Arial"/>
        </w:rPr>
        <w:t>A. E</w:t>
      </w:r>
      <w:r w:rsidR="00613021">
        <w:rPr>
          <w:rFonts w:ascii="Bookman Old Style" w:hAnsi="Bookman Old Style" w:cs="Arial"/>
        </w:rPr>
        <w:t>.</w:t>
      </w:r>
      <w:r w:rsidR="00613021" w:rsidRPr="00C07C93">
        <w:rPr>
          <w:rFonts w:ascii="Bookman Old Style" w:hAnsi="Bookman Old Style" w:cs="Arial"/>
        </w:rPr>
        <w:t>S</w:t>
      </w:r>
      <w:r w:rsidR="00613021">
        <w:rPr>
          <w:rFonts w:ascii="Bookman Old Style" w:hAnsi="Bookman Old Style" w:cs="Arial"/>
        </w:rPr>
        <w:t>.</w:t>
      </w:r>
      <w:r w:rsidR="00613021" w:rsidRPr="00C07C93">
        <w:rPr>
          <w:rFonts w:ascii="Bookman Old Style" w:hAnsi="Bookman Old Style" w:cs="Arial"/>
        </w:rPr>
        <w:t>P.</w:t>
      </w:r>
      <w:r w:rsidR="00613021">
        <w:rPr>
          <w:rFonts w:ascii="Bookman Old Style" w:hAnsi="Bookman Old Style" w:cs="Arial"/>
        </w:rPr>
        <w:t xml:space="preserve"> </w:t>
      </w:r>
      <w:r w:rsidRPr="00232F92">
        <w:rPr>
          <w:rFonts w:ascii="Bookman Old Style" w:hAnsi="Bookman Old Style" w:cs="Arial"/>
        </w:rPr>
        <w:t xml:space="preserve">aclara </w:t>
      </w:r>
      <w:r w:rsidR="0060504A">
        <w:rPr>
          <w:rFonts w:ascii="Bookman Old Style" w:hAnsi="Bookman Old Style" w:cs="Arial"/>
        </w:rPr>
        <w:t xml:space="preserve">las diferencias </w:t>
      </w:r>
      <w:r w:rsidR="00DB6F22">
        <w:rPr>
          <w:rFonts w:ascii="Bookman Old Style" w:hAnsi="Bookman Old Style" w:cs="Arial"/>
        </w:rPr>
        <w:t xml:space="preserve">encontradas </w:t>
      </w:r>
      <w:r w:rsidR="0060504A">
        <w:rPr>
          <w:rFonts w:ascii="Bookman Old Style" w:hAnsi="Bookman Old Style" w:cs="Arial"/>
        </w:rPr>
        <w:t xml:space="preserve">entre la información reportada </w:t>
      </w:r>
      <w:r w:rsidR="00DB6F22">
        <w:rPr>
          <w:rFonts w:ascii="Bookman Old Style" w:hAnsi="Bookman Old Style" w:cs="Arial"/>
        </w:rPr>
        <w:t>en la solicitud física y la</w:t>
      </w:r>
      <w:r w:rsidR="003926E5">
        <w:rPr>
          <w:rFonts w:ascii="Bookman Old Style" w:hAnsi="Bookman Old Style" w:cs="Arial"/>
        </w:rPr>
        <w:t xml:space="preserve"> reportada mediante el aplicativo ApliGas tanto</w:t>
      </w:r>
      <w:r w:rsidR="006C436F">
        <w:rPr>
          <w:rFonts w:ascii="Bookman Old Style" w:hAnsi="Bookman Old Style" w:cs="Arial"/>
        </w:rPr>
        <w:t xml:space="preserve"> en</w:t>
      </w:r>
      <w:r w:rsidR="00232F92">
        <w:rPr>
          <w:rFonts w:ascii="Bookman Old Style" w:hAnsi="Bookman Old Style" w:cs="Arial"/>
        </w:rPr>
        <w:t xml:space="preserve"> Otros Activos </w:t>
      </w:r>
      <w:r w:rsidR="006C436F">
        <w:rPr>
          <w:rFonts w:ascii="Bookman Old Style" w:hAnsi="Bookman Old Style" w:cs="Arial"/>
        </w:rPr>
        <w:t>como en</w:t>
      </w:r>
      <w:r w:rsidR="003E7EF9">
        <w:rPr>
          <w:rFonts w:ascii="Bookman Old Style" w:hAnsi="Bookman Old Style" w:cs="Arial"/>
        </w:rPr>
        <w:t xml:space="preserve"> gastos de </w:t>
      </w:r>
      <w:r w:rsidR="003160F6">
        <w:rPr>
          <w:rFonts w:ascii="Bookman Old Style" w:hAnsi="Bookman Old Style" w:cs="Arial"/>
        </w:rPr>
        <w:t xml:space="preserve">administración, </w:t>
      </w:r>
      <w:r w:rsidR="003E7EF9">
        <w:rPr>
          <w:rFonts w:ascii="Bookman Old Style" w:hAnsi="Bookman Old Style" w:cs="Arial"/>
        </w:rPr>
        <w:t>operación y mantenimiento AOM</w:t>
      </w:r>
      <w:r w:rsidR="006C436F">
        <w:rPr>
          <w:rFonts w:ascii="Bookman Old Style" w:hAnsi="Bookman Old Style" w:cs="Arial"/>
        </w:rPr>
        <w:t>, manifestando que l</w:t>
      </w:r>
      <w:r w:rsidR="008A3C5D">
        <w:rPr>
          <w:rFonts w:ascii="Bookman Old Style" w:hAnsi="Bookman Old Style" w:cs="Arial"/>
        </w:rPr>
        <w:t>a información</w:t>
      </w:r>
      <w:r w:rsidR="006C436F">
        <w:rPr>
          <w:rFonts w:ascii="Bookman Old Style" w:hAnsi="Bookman Old Style" w:cs="Arial"/>
        </w:rPr>
        <w:t xml:space="preserve"> correct</w:t>
      </w:r>
      <w:r w:rsidR="008A3C5D">
        <w:rPr>
          <w:rFonts w:ascii="Bookman Old Style" w:hAnsi="Bookman Old Style" w:cs="Arial"/>
        </w:rPr>
        <w:t>a</w:t>
      </w:r>
      <w:r w:rsidR="00613021">
        <w:rPr>
          <w:rFonts w:ascii="Bookman Old Style" w:hAnsi="Bookman Old Style" w:cs="Arial"/>
        </w:rPr>
        <w:t xml:space="preserve"> corresponde a la información reportada en el aplicativo Apli</w:t>
      </w:r>
      <w:r w:rsidR="006C436F">
        <w:rPr>
          <w:rFonts w:ascii="Bookman Old Style" w:hAnsi="Bookman Old Style" w:cs="Arial"/>
        </w:rPr>
        <w:t>G</w:t>
      </w:r>
      <w:r w:rsidR="00613021">
        <w:rPr>
          <w:rFonts w:ascii="Bookman Old Style" w:hAnsi="Bookman Old Style" w:cs="Arial"/>
        </w:rPr>
        <w:t>as.</w:t>
      </w:r>
    </w:p>
    <w:p w14:paraId="62FB938A" w14:textId="3FB5690F" w:rsidR="002D08AE" w:rsidRPr="00E65EB1" w:rsidRDefault="00E65EB1" w:rsidP="00B55753">
      <w:pPr>
        <w:adjustRightInd w:val="0"/>
        <w:spacing w:before="240" w:after="240"/>
        <w:ind w:left="0" w:right="20"/>
        <w:jc w:val="both"/>
        <w:rPr>
          <w:rFonts w:ascii="Bookman Old Style" w:hAnsi="Bookman Old Style" w:cs="Arial"/>
          <w:szCs w:val="22"/>
        </w:rPr>
      </w:pPr>
      <w:r>
        <w:rPr>
          <w:rFonts w:ascii="Bookman Old Style" w:hAnsi="Bookman Old Style" w:cs="Arial"/>
          <w:szCs w:val="22"/>
        </w:rPr>
        <w:lastRenderedPageBreak/>
        <w:t>Mediante comunicación bajo radicado CREG E-2020-</w:t>
      </w:r>
      <w:r w:rsidR="00E37EA6">
        <w:rPr>
          <w:rFonts w:ascii="Bookman Old Style" w:hAnsi="Bookman Old Style" w:cs="Arial"/>
          <w:szCs w:val="22"/>
        </w:rPr>
        <w:t xml:space="preserve">001066 del 10 de febrero de 2020, la Alcaldía del Municipio de Acevedo en el Departamento de Huila atendió la </w:t>
      </w:r>
      <w:r w:rsidR="00FF214D">
        <w:rPr>
          <w:rFonts w:ascii="Bookman Old Style" w:hAnsi="Bookman Old Style" w:cs="Arial"/>
          <w:szCs w:val="22"/>
        </w:rPr>
        <w:t xml:space="preserve">solicitud allegando la constancia de ejecución de los recursos públicos </w:t>
      </w:r>
      <w:r w:rsidR="00925024">
        <w:rPr>
          <w:rFonts w:ascii="Bookman Old Style" w:hAnsi="Bookman Old Style" w:cs="Arial"/>
          <w:szCs w:val="22"/>
        </w:rPr>
        <w:t>girados a la empresa SURCOLOMBIANA DE GAS S.A. E.S.P.</w:t>
      </w:r>
    </w:p>
    <w:p w14:paraId="009FFDCE" w14:textId="4C6DD272" w:rsidR="001B2A11" w:rsidRDefault="001B2A11" w:rsidP="001B2A11">
      <w:pPr>
        <w:adjustRightInd w:val="0"/>
        <w:spacing w:before="240" w:after="240"/>
        <w:ind w:left="0" w:right="20"/>
        <w:jc w:val="both"/>
        <w:rPr>
          <w:rFonts w:ascii="Bookman Old Style" w:hAnsi="Bookman Old Style" w:cs="Arial"/>
          <w:szCs w:val="22"/>
        </w:rPr>
      </w:pPr>
      <w:r>
        <w:rPr>
          <w:rFonts w:ascii="Bookman Old Style" w:hAnsi="Bookman Old Style" w:cs="Arial"/>
          <w:szCs w:val="22"/>
        </w:rPr>
        <w:t>Revisada la información suministrada por el DANE y teniendo en cuenta que no se encontraban las poblaciones objeto de esta solicitud tarifaria, la Dirección Ejecutiva de la Comisión, mediante Auto I-2020-00234</w:t>
      </w:r>
      <w:r w:rsidR="00A17286">
        <w:rPr>
          <w:rFonts w:ascii="Bookman Old Style" w:hAnsi="Bookman Old Style" w:cs="Arial"/>
          <w:szCs w:val="22"/>
        </w:rPr>
        <w:t>2</w:t>
      </w:r>
      <w:r>
        <w:rPr>
          <w:rFonts w:ascii="Bookman Old Style" w:hAnsi="Bookman Old Style" w:cs="Arial"/>
          <w:szCs w:val="22"/>
        </w:rPr>
        <w:t xml:space="preserve"> del </w:t>
      </w:r>
      <w:r w:rsidR="00A17286">
        <w:rPr>
          <w:rFonts w:ascii="Bookman Old Style" w:hAnsi="Bookman Old Style" w:cs="Arial"/>
          <w:szCs w:val="22"/>
        </w:rPr>
        <w:t>25</w:t>
      </w:r>
      <w:r>
        <w:rPr>
          <w:rFonts w:ascii="Bookman Old Style" w:hAnsi="Bookman Old Style" w:cs="Arial"/>
          <w:szCs w:val="22"/>
        </w:rPr>
        <w:t xml:space="preserve"> de junio de 2020 de oficio, abrió nuevamente a pruebas la actuación administrativa iniciada con base en la solicitud presentada por </w:t>
      </w:r>
      <w:r>
        <w:rPr>
          <w:rFonts w:ascii="Bookman Old Style" w:hAnsi="Bookman Old Style" w:cs="Arial"/>
        </w:rPr>
        <w:t>SURCOLOMBIANA DE GAS S.A. E.S.P.</w:t>
      </w:r>
      <w:r>
        <w:rPr>
          <w:rFonts w:ascii="Bookman Old Style" w:hAnsi="Bookman Old Style" w:cs="Arial"/>
          <w:szCs w:val="22"/>
        </w:rPr>
        <w:t xml:space="preserve"> por un término de diez (10) días y ordeno oficiar </w:t>
      </w:r>
      <w:r w:rsidR="00A17286">
        <w:rPr>
          <w:rFonts w:ascii="Bookman Old Style" w:hAnsi="Bookman Old Style" w:cs="Arial"/>
          <w:szCs w:val="22"/>
        </w:rPr>
        <w:t>al</w:t>
      </w:r>
      <w:r>
        <w:rPr>
          <w:rFonts w:ascii="Bookman Old Style" w:hAnsi="Bookman Old Style" w:cs="Arial"/>
          <w:szCs w:val="22"/>
        </w:rPr>
        <w:t xml:space="preserve"> MUNICIPIO DE </w:t>
      </w:r>
      <w:r w:rsidR="00E75E3B">
        <w:rPr>
          <w:rFonts w:ascii="Bookman Old Style" w:hAnsi="Bookman Old Style" w:cs="Arial"/>
          <w:szCs w:val="22"/>
        </w:rPr>
        <w:t>AGRADO</w:t>
      </w:r>
      <w:r w:rsidR="00A17286">
        <w:rPr>
          <w:rFonts w:ascii="Bookman Old Style" w:hAnsi="Bookman Old Style" w:cs="Arial"/>
          <w:szCs w:val="22"/>
        </w:rPr>
        <w:t>; MUNICI</w:t>
      </w:r>
      <w:r w:rsidR="00E75E3B">
        <w:rPr>
          <w:rFonts w:ascii="Bookman Old Style" w:hAnsi="Bookman Old Style" w:cs="Arial"/>
          <w:szCs w:val="22"/>
        </w:rPr>
        <w:t>PIO DE ACEVEDO</w:t>
      </w:r>
      <w:r>
        <w:rPr>
          <w:rFonts w:ascii="Bookman Old Style" w:hAnsi="Bookman Old Style" w:cs="Arial"/>
          <w:szCs w:val="22"/>
        </w:rPr>
        <w:t xml:space="preserve"> </w:t>
      </w:r>
      <w:r w:rsidR="00E75E3B">
        <w:rPr>
          <w:rFonts w:ascii="Bookman Old Style" w:hAnsi="Bookman Old Style" w:cs="Arial"/>
          <w:szCs w:val="22"/>
        </w:rPr>
        <w:t>y MUNICIPIO DE SANTA MARIA en el Departamento de Huila</w:t>
      </w:r>
      <w:r w:rsidR="00B66E83">
        <w:rPr>
          <w:rFonts w:ascii="Bookman Old Style" w:hAnsi="Bookman Old Style" w:cs="Arial"/>
          <w:szCs w:val="22"/>
        </w:rPr>
        <w:t>,</w:t>
      </w:r>
      <w:r w:rsidR="00E75E3B">
        <w:rPr>
          <w:rFonts w:ascii="Bookman Old Style" w:hAnsi="Bookman Old Style" w:cs="Arial"/>
          <w:szCs w:val="22"/>
        </w:rPr>
        <w:t xml:space="preserve"> </w:t>
      </w:r>
      <w:r>
        <w:rPr>
          <w:rFonts w:ascii="Bookman Old Style" w:hAnsi="Bookman Old Style" w:cs="Arial"/>
          <w:szCs w:val="22"/>
        </w:rPr>
        <w:t>para que mediante la Secretaria de Planeación de</w:t>
      </w:r>
      <w:r w:rsidR="00B66E83">
        <w:rPr>
          <w:rFonts w:ascii="Bookman Old Style" w:hAnsi="Bookman Old Style" w:cs="Arial"/>
          <w:szCs w:val="22"/>
        </w:rPr>
        <w:t xml:space="preserve"> los</w:t>
      </w:r>
      <w:r>
        <w:rPr>
          <w:rFonts w:ascii="Bookman Old Style" w:hAnsi="Bookman Old Style" w:cs="Arial"/>
          <w:szCs w:val="22"/>
        </w:rPr>
        <w:t xml:space="preserve"> </w:t>
      </w:r>
      <w:r w:rsidR="00B66E83">
        <w:rPr>
          <w:rFonts w:ascii="Bookman Old Style" w:hAnsi="Bookman Old Style" w:cs="Arial"/>
          <w:szCs w:val="22"/>
        </w:rPr>
        <w:t xml:space="preserve">respectivos </w:t>
      </w:r>
      <w:r>
        <w:rPr>
          <w:rFonts w:ascii="Bookman Old Style" w:hAnsi="Bookman Old Style" w:cs="Arial"/>
          <w:szCs w:val="22"/>
        </w:rPr>
        <w:t>Municipio</w:t>
      </w:r>
      <w:r w:rsidR="00B66E83">
        <w:rPr>
          <w:rFonts w:ascii="Bookman Old Style" w:hAnsi="Bookman Old Style" w:cs="Arial"/>
          <w:szCs w:val="22"/>
        </w:rPr>
        <w:t>s</w:t>
      </w:r>
      <w:r>
        <w:rPr>
          <w:rFonts w:ascii="Bookman Old Style" w:hAnsi="Bookman Old Style" w:cs="Arial"/>
          <w:szCs w:val="22"/>
        </w:rPr>
        <w:t xml:space="preserve"> allegara</w:t>
      </w:r>
      <w:r w:rsidR="00B66E83">
        <w:rPr>
          <w:rFonts w:ascii="Bookman Old Style" w:hAnsi="Bookman Old Style" w:cs="Arial"/>
          <w:szCs w:val="22"/>
        </w:rPr>
        <w:t>n</w:t>
      </w:r>
      <w:r>
        <w:rPr>
          <w:rFonts w:ascii="Bookman Old Style" w:hAnsi="Bookman Old Style" w:cs="Arial"/>
          <w:szCs w:val="22"/>
        </w:rPr>
        <w:t xml:space="preserve"> a la Comisión el Acto Administrativo que dé cuenta de la existencia de las poblaciones de </w:t>
      </w:r>
      <w:r w:rsidR="00B66E83" w:rsidRPr="00B9791F">
        <w:rPr>
          <w:rFonts w:ascii="Bookman Old Style" w:hAnsi="Bookman Old Style" w:cs="Arial"/>
        </w:rPr>
        <w:t>Astillero, La Maria, Granadillo y Alto Buenavista en el Municipio de Agrado; La Carbona en el Municipio de Acevedo y las Juntas en el Municipio de Santa Maria, Departamento del Huila</w:t>
      </w:r>
      <w:r w:rsidR="00B66E83">
        <w:rPr>
          <w:rFonts w:ascii="Bookman Old Style" w:hAnsi="Bookman Old Style" w:cs="Arial"/>
        </w:rPr>
        <w:t>.</w:t>
      </w:r>
    </w:p>
    <w:p w14:paraId="14D86A75" w14:textId="64FF13D2" w:rsidR="001B2A11" w:rsidRDefault="00AA0956" w:rsidP="001B2A11">
      <w:pPr>
        <w:adjustRightInd w:val="0"/>
        <w:spacing w:before="240" w:after="240"/>
        <w:ind w:left="0" w:right="20"/>
        <w:jc w:val="both"/>
        <w:rPr>
          <w:rFonts w:ascii="Bookman Old Style" w:hAnsi="Bookman Old Style" w:cs="Arial"/>
          <w:szCs w:val="22"/>
        </w:rPr>
      </w:pPr>
      <w:r>
        <w:rPr>
          <w:rFonts w:ascii="Bookman Old Style" w:hAnsi="Bookman Old Style" w:cs="Arial"/>
          <w:szCs w:val="22"/>
        </w:rPr>
        <w:t>La Alcaldía de</w:t>
      </w:r>
      <w:r w:rsidR="008F2295">
        <w:rPr>
          <w:rFonts w:ascii="Bookman Old Style" w:hAnsi="Bookman Old Style" w:cs="Arial"/>
          <w:szCs w:val="22"/>
        </w:rPr>
        <w:t>l Municipio de</w:t>
      </w:r>
      <w:r>
        <w:rPr>
          <w:rFonts w:ascii="Bookman Old Style" w:hAnsi="Bookman Old Style" w:cs="Arial"/>
          <w:szCs w:val="22"/>
        </w:rPr>
        <w:t xml:space="preserve"> Acevedo, Huila, </w:t>
      </w:r>
      <w:r w:rsidR="007D37CF">
        <w:rPr>
          <w:rFonts w:ascii="Bookman Old Style" w:hAnsi="Bookman Old Style" w:cs="Arial"/>
          <w:szCs w:val="22"/>
        </w:rPr>
        <w:t>mediante</w:t>
      </w:r>
      <w:r w:rsidR="001B2A11">
        <w:rPr>
          <w:rFonts w:ascii="Bookman Old Style" w:hAnsi="Bookman Old Style" w:cs="Arial"/>
          <w:szCs w:val="22"/>
        </w:rPr>
        <w:t xml:space="preserve"> comunicación bajo radicado CREG E-2020-007</w:t>
      </w:r>
      <w:r w:rsidR="00C31383">
        <w:rPr>
          <w:rFonts w:ascii="Bookman Old Style" w:hAnsi="Bookman Old Style" w:cs="Arial"/>
          <w:szCs w:val="22"/>
        </w:rPr>
        <w:t>477</w:t>
      </w:r>
      <w:r w:rsidR="001B2A11">
        <w:rPr>
          <w:rFonts w:ascii="Bookman Old Style" w:hAnsi="Bookman Old Style" w:cs="Arial"/>
          <w:szCs w:val="22"/>
        </w:rPr>
        <w:t xml:space="preserve"> del 0</w:t>
      </w:r>
      <w:r w:rsidR="00E84C86">
        <w:rPr>
          <w:rFonts w:ascii="Bookman Old Style" w:hAnsi="Bookman Old Style" w:cs="Arial"/>
          <w:szCs w:val="22"/>
        </w:rPr>
        <w:t>1</w:t>
      </w:r>
      <w:r w:rsidR="001B2A11">
        <w:rPr>
          <w:rFonts w:ascii="Bookman Old Style" w:hAnsi="Bookman Old Style" w:cs="Arial"/>
          <w:szCs w:val="22"/>
        </w:rPr>
        <w:t xml:space="preserve"> de julio de 2020, </w:t>
      </w:r>
      <w:r w:rsidR="007D37CF">
        <w:rPr>
          <w:rFonts w:ascii="Bookman Old Style" w:hAnsi="Bookman Old Style" w:cs="Arial"/>
          <w:szCs w:val="22"/>
        </w:rPr>
        <w:t xml:space="preserve">a través de </w:t>
      </w:r>
      <w:r w:rsidR="001B2A11">
        <w:rPr>
          <w:rFonts w:ascii="Bookman Old Style" w:hAnsi="Bookman Old Style" w:cs="Arial"/>
          <w:szCs w:val="22"/>
        </w:rPr>
        <w:t>la Secretaria de Planeación del Municipio allegó a la Comisión la certificación de existencia de la vereda</w:t>
      </w:r>
      <w:r w:rsidR="00E84C86">
        <w:rPr>
          <w:rFonts w:ascii="Bookman Old Style" w:hAnsi="Bookman Old Style" w:cs="Arial"/>
          <w:szCs w:val="22"/>
        </w:rPr>
        <w:t xml:space="preserve"> La Carbona</w:t>
      </w:r>
      <w:r w:rsidR="001B2A11">
        <w:rPr>
          <w:rFonts w:ascii="Bookman Old Style" w:hAnsi="Bookman Old Style" w:cs="Arial"/>
          <w:szCs w:val="22"/>
        </w:rPr>
        <w:t>, las cual se encuentra inclu</w:t>
      </w:r>
      <w:r w:rsidR="004A7620">
        <w:rPr>
          <w:rFonts w:ascii="Bookman Old Style" w:hAnsi="Bookman Old Style" w:cs="Arial"/>
          <w:szCs w:val="22"/>
        </w:rPr>
        <w:t>id</w:t>
      </w:r>
      <w:r>
        <w:rPr>
          <w:rFonts w:ascii="Bookman Old Style" w:hAnsi="Bookman Old Style" w:cs="Arial"/>
          <w:szCs w:val="22"/>
        </w:rPr>
        <w:t>a</w:t>
      </w:r>
      <w:r w:rsidR="001B2A11">
        <w:rPr>
          <w:rFonts w:ascii="Bookman Old Style" w:hAnsi="Bookman Old Style" w:cs="Arial"/>
          <w:szCs w:val="22"/>
        </w:rPr>
        <w:t xml:space="preserve"> en el </w:t>
      </w:r>
      <w:r w:rsidR="004A7620">
        <w:rPr>
          <w:rFonts w:ascii="Bookman Old Style" w:hAnsi="Bookman Old Style" w:cs="Arial"/>
          <w:szCs w:val="22"/>
        </w:rPr>
        <w:t xml:space="preserve">Plan Básico de Ordenamiento Territorial (P.B.O.T.) </w:t>
      </w:r>
      <w:r w:rsidR="001B2A11">
        <w:rPr>
          <w:rFonts w:ascii="Bookman Old Style" w:hAnsi="Bookman Old Style" w:cs="Arial"/>
          <w:szCs w:val="22"/>
        </w:rPr>
        <w:t>establecido mediante el Acuerdo Municipal No. 0</w:t>
      </w:r>
      <w:r w:rsidR="00FE171D">
        <w:rPr>
          <w:rFonts w:ascii="Bookman Old Style" w:hAnsi="Bookman Old Style" w:cs="Arial"/>
          <w:szCs w:val="22"/>
        </w:rPr>
        <w:t>09</w:t>
      </w:r>
      <w:r w:rsidR="001B2A11">
        <w:rPr>
          <w:rFonts w:ascii="Bookman Old Style" w:hAnsi="Bookman Old Style" w:cs="Arial"/>
          <w:szCs w:val="22"/>
        </w:rPr>
        <w:t xml:space="preserve"> de</w:t>
      </w:r>
      <w:r w:rsidR="00C533F3">
        <w:rPr>
          <w:rFonts w:ascii="Bookman Old Style" w:hAnsi="Bookman Old Style" w:cs="Arial"/>
          <w:szCs w:val="22"/>
        </w:rPr>
        <w:t>l 30 de noviembre de</w:t>
      </w:r>
      <w:r w:rsidR="001B2A11">
        <w:rPr>
          <w:rFonts w:ascii="Bookman Old Style" w:hAnsi="Bookman Old Style" w:cs="Arial"/>
          <w:szCs w:val="22"/>
        </w:rPr>
        <w:t xml:space="preserve"> 20</w:t>
      </w:r>
      <w:r w:rsidR="00FE171D">
        <w:rPr>
          <w:rFonts w:ascii="Bookman Old Style" w:hAnsi="Bookman Old Style" w:cs="Arial"/>
          <w:szCs w:val="22"/>
        </w:rPr>
        <w:t>18</w:t>
      </w:r>
      <w:r w:rsidR="00E22F80">
        <w:rPr>
          <w:rFonts w:ascii="Bookman Old Style" w:hAnsi="Bookman Old Style" w:cs="Arial"/>
          <w:szCs w:val="22"/>
        </w:rPr>
        <w:t>, haciendo parte del corregimiento Pueblo Viejo</w:t>
      </w:r>
      <w:r w:rsidR="001B2A11">
        <w:rPr>
          <w:rFonts w:ascii="Bookman Old Style" w:hAnsi="Bookman Old Style" w:cs="Arial"/>
          <w:szCs w:val="22"/>
        </w:rPr>
        <w:t xml:space="preserve">. </w:t>
      </w:r>
    </w:p>
    <w:p w14:paraId="6FED13DF" w14:textId="5C406B08" w:rsidR="00F6150B" w:rsidRDefault="00F6150B" w:rsidP="001B2A11">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comunicación bajo radicado CREG E-2020-00</w:t>
      </w:r>
      <w:r w:rsidR="009C3A01">
        <w:rPr>
          <w:rFonts w:ascii="Bookman Old Style" w:hAnsi="Bookman Old Style" w:cs="Arial"/>
          <w:szCs w:val="22"/>
        </w:rPr>
        <w:t>7555 del 01 de julio de 2020, la empresa SURCOLOMBIANA DE GAS S.A. E.S.P.</w:t>
      </w:r>
      <w:r w:rsidR="008F28A6">
        <w:rPr>
          <w:rFonts w:ascii="Bookman Old Style" w:hAnsi="Bookman Old Style" w:cs="Arial"/>
          <w:szCs w:val="22"/>
        </w:rPr>
        <w:t xml:space="preserve"> remitió las tres certificaciones de </w:t>
      </w:r>
      <w:r w:rsidR="00A84A96">
        <w:rPr>
          <w:rFonts w:ascii="Bookman Old Style" w:hAnsi="Bookman Old Style" w:cs="Arial"/>
          <w:szCs w:val="22"/>
        </w:rPr>
        <w:t xml:space="preserve">las </w:t>
      </w:r>
      <w:r w:rsidR="007D37CF">
        <w:rPr>
          <w:rFonts w:ascii="Bookman Old Style" w:hAnsi="Bookman Old Style" w:cs="Arial"/>
          <w:szCs w:val="22"/>
        </w:rPr>
        <w:t>S</w:t>
      </w:r>
      <w:r w:rsidR="00A84A96">
        <w:rPr>
          <w:rFonts w:ascii="Bookman Old Style" w:hAnsi="Bookman Old Style" w:cs="Arial"/>
          <w:szCs w:val="22"/>
        </w:rPr>
        <w:t xml:space="preserve">ecretarias de </w:t>
      </w:r>
      <w:r w:rsidR="007D37CF">
        <w:rPr>
          <w:rFonts w:ascii="Bookman Old Style" w:hAnsi="Bookman Old Style" w:cs="Arial"/>
          <w:szCs w:val="22"/>
        </w:rPr>
        <w:t>P</w:t>
      </w:r>
      <w:r w:rsidR="00A84A96">
        <w:rPr>
          <w:rFonts w:ascii="Bookman Old Style" w:hAnsi="Bookman Old Style" w:cs="Arial"/>
          <w:szCs w:val="22"/>
        </w:rPr>
        <w:t>laneación de los municipios de Agrado, Acevedo y Santa María</w:t>
      </w:r>
      <w:r w:rsidR="00A960F0">
        <w:rPr>
          <w:rFonts w:ascii="Bookman Old Style" w:hAnsi="Bookman Old Style" w:cs="Arial"/>
          <w:szCs w:val="22"/>
        </w:rPr>
        <w:t xml:space="preserve">, Departamento de Huila </w:t>
      </w:r>
      <w:r w:rsidR="00CC6ED0">
        <w:rPr>
          <w:rFonts w:ascii="Bookman Old Style" w:hAnsi="Bookman Old Style" w:cs="Arial"/>
          <w:szCs w:val="22"/>
        </w:rPr>
        <w:t xml:space="preserve">que dan cuenta de la existencia de las veredas </w:t>
      </w:r>
      <w:r w:rsidR="00F96E0F">
        <w:rPr>
          <w:rFonts w:ascii="Bookman Old Style" w:hAnsi="Bookman Old Style" w:cs="Arial"/>
          <w:szCs w:val="22"/>
        </w:rPr>
        <w:t>en los respectivos esquemas de ordenamiento territorial.</w:t>
      </w:r>
      <w:r w:rsidR="008F28A6">
        <w:rPr>
          <w:rFonts w:ascii="Bookman Old Style" w:hAnsi="Bookman Old Style" w:cs="Arial"/>
          <w:szCs w:val="22"/>
        </w:rPr>
        <w:t xml:space="preserve"> </w:t>
      </w:r>
    </w:p>
    <w:p w14:paraId="5552ACDC" w14:textId="77777777" w:rsidR="00FF18D3" w:rsidRDefault="00FF18D3" w:rsidP="00FF18D3">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FBE5D92" w14:textId="77777777" w:rsidR="00FF18D3" w:rsidRDefault="00FF18D3" w:rsidP="00FF18D3">
      <w:pPr>
        <w:tabs>
          <w:tab w:val="left" w:pos="7513"/>
        </w:tabs>
        <w:spacing w:before="240" w:after="240"/>
        <w:ind w:left="425" w:right="425"/>
        <w:jc w:val="both"/>
        <w:rPr>
          <w:rFonts w:ascii="Bookman Old Style" w:hAnsi="Bookman Old Style" w:cs="Arial"/>
          <w:b/>
          <w:i/>
          <w:sz w:val="22"/>
          <w:szCs w:val="20"/>
        </w:rPr>
      </w:pPr>
      <w:r>
        <w:rPr>
          <w:rFonts w:ascii="Bookman Old Style" w:hAnsi="Bookman Old Style" w:cs="Arial"/>
          <w:b/>
          <w:i/>
          <w:sz w:val="22"/>
          <w:szCs w:val="20"/>
        </w:rPr>
        <w:t>“9.3. CARGOS DE DISTRIBUCIÓN EN SISTEMAS DE DISTRIBUCIÓN QUE NO TIENEN CONECTADOS USUARIOS A LA RED PRIMARIA.</w:t>
      </w:r>
    </w:p>
    <w:p w14:paraId="2518883A" w14:textId="77777777" w:rsidR="00FF18D3" w:rsidRDefault="00FF18D3" w:rsidP="00FF18D3">
      <w:pPr>
        <w:tabs>
          <w:tab w:val="left" w:pos="7513"/>
        </w:tabs>
        <w:spacing w:before="240" w:after="240"/>
        <w:ind w:left="425" w:right="425"/>
        <w:jc w:val="both"/>
        <w:rPr>
          <w:rFonts w:ascii="Bookman Old Style" w:hAnsi="Bookman Old Style" w:cs="Arial"/>
          <w:i/>
          <w:sz w:val="22"/>
          <w:szCs w:val="20"/>
        </w:rPr>
      </w:pPr>
      <w:r>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deben excluir a los usuarios residenciales”.</w:t>
      </w:r>
    </w:p>
    <w:p w14:paraId="392ED8E9" w14:textId="77777777" w:rsidR="00FF18D3" w:rsidRDefault="00FF18D3" w:rsidP="00FF18D3">
      <w:pPr>
        <w:adjustRightInd w:val="0"/>
        <w:spacing w:before="240" w:after="240"/>
        <w:ind w:left="0" w:right="20"/>
        <w:jc w:val="both"/>
        <w:rPr>
          <w:rFonts w:ascii="Bookman Old Style" w:hAnsi="Bookman Old Style" w:cs="Arial"/>
        </w:rPr>
      </w:pPr>
      <w:r>
        <w:rPr>
          <w:rFonts w:ascii="Bookman Old Style" w:hAnsi="Bookman Old Style" w:cs="Arial"/>
        </w:rPr>
        <w:t xml:space="preserve">Dado que el sistema de distribución presentado por la empresa SURCOLOMBIANA DE GAS S.A. E.S.P. para el mercado relevante solicitado cuenta con red primaria y secundaria y todos sus usuarios están conectados a la red secundaria, se determinará para este mercado relevante un solo cargo de </w:t>
      </w:r>
      <w:r>
        <w:rPr>
          <w:rFonts w:ascii="Bookman Old Style" w:hAnsi="Bookman Old Style" w:cs="Arial"/>
        </w:rPr>
        <w:lastRenderedPageBreak/>
        <w:t>distribución que será aplicable a los usuarios de uso residencial y usuarios diferentes al uso residencial.</w:t>
      </w:r>
    </w:p>
    <w:p w14:paraId="55443331" w14:textId="77777777" w:rsidR="00FF18D3" w:rsidRDefault="00FF18D3" w:rsidP="00FF18D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El Parágrafo 4 del Numeral 5.2 del Artículo 5 de la Metodología dispone que, 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 componente de gastos de AOM y, para el cálculo del cargo que remunera la componente de inversión y se mantendrá el beneficio de los recursos públicos en cabeza de sus destinatarios conforme al procedimiento establecido en el Anexo 21 de dicha la Metodología.</w:t>
      </w:r>
    </w:p>
    <w:p w14:paraId="346CC2C2" w14:textId="77777777" w:rsidR="00FF18D3" w:rsidRDefault="00FF18D3" w:rsidP="00FF18D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El Subnumeral 2 del Numeral 21.1 del mencionado Anexo 21 establece lo siguiente:</w:t>
      </w:r>
    </w:p>
    <w:p w14:paraId="4B784BCA" w14:textId="77777777" w:rsidR="00FF18D3" w:rsidRPr="002B1A32" w:rsidRDefault="00FF18D3" w:rsidP="00FF18D3">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i/>
          <w:iCs/>
          <w:sz w:val="22"/>
          <w:szCs w:val="22"/>
        </w:rPr>
      </w:pPr>
      <w:r w:rsidRPr="002B1A32">
        <w:rPr>
          <w:rFonts w:ascii="Bookman Old Style" w:hAnsi="Bookman Old Style" w:cs="Arial"/>
          <w:i/>
          <w:iCs/>
          <w:sz w:val="22"/>
          <w:szCs w:val="22"/>
        </w:rPr>
        <w:t>“2.</w:t>
      </w:r>
      <w:r w:rsidRPr="002B1A32">
        <w:rPr>
          <w:rFonts w:ascii="Bookman Old Style" w:hAnsi="Bookman Old Style" w:cs="Arial"/>
          <w:i/>
          <w:iCs/>
          <w:sz w:val="22"/>
          <w:szCs w:val="22"/>
        </w:rPr>
        <w:tab/>
      </w:r>
      <w:r w:rsidRPr="002B1A32">
        <w:rPr>
          <w:rFonts w:ascii="Bookman Old Style" w:hAnsi="Bookman Old Style" w:cs="Arial"/>
          <w:i/>
          <w:iCs/>
          <w:sz w:val="22"/>
          <w:szCs w:val="22"/>
          <w:u w:val="single"/>
        </w:rPr>
        <w:t>Con el fin de mantener el beneficio de los recursos públicos en cabeza de sus destinatarios, el Mercado Relevante de Distribución para el Siguiente Periodo Tarifario se organizará en estructuras denominadas submercados</w:t>
      </w:r>
      <w:r w:rsidRPr="002B1A32">
        <w:rPr>
          <w:rFonts w:ascii="Bookman Old Style" w:hAnsi="Bookman Old Style" w:cs="Arial"/>
          <w:i/>
          <w:iCs/>
          <w:sz w:val="22"/>
          <w:szCs w:val="22"/>
        </w:rPr>
        <w:t xml:space="preserve">, que se conformarán así: </w:t>
      </w:r>
    </w:p>
    <w:p w14:paraId="610070E1" w14:textId="77777777" w:rsidR="00FF18D3" w:rsidRPr="002B1A32" w:rsidRDefault="00FF18D3" w:rsidP="00FF18D3">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i/>
          <w:iCs/>
          <w:sz w:val="22"/>
          <w:szCs w:val="22"/>
        </w:rPr>
      </w:pPr>
      <w:r w:rsidRPr="002B1A32">
        <w:rPr>
          <w:rFonts w:ascii="Bookman Old Style" w:hAnsi="Bookman Old Style" w:cs="Arial"/>
          <w:i/>
          <w:iCs/>
          <w:sz w:val="22"/>
          <w:szCs w:val="22"/>
        </w:rPr>
        <w:t>2.1.</w:t>
      </w:r>
      <w:r w:rsidRPr="002B1A32">
        <w:rPr>
          <w:rFonts w:ascii="Bookman Old Style" w:hAnsi="Bookman Old Style" w:cs="Arial"/>
          <w:i/>
          <w:iCs/>
          <w:sz w:val="22"/>
          <w:szCs w:val="22"/>
        </w:rPr>
        <w:tab/>
        <w:t>Los mercados que contaban con recursos públicos para la determinación del cargo en vigencia de la Resolución CREG 011 de 2003, mantendrán su estructura original y se conformarán como un submercado.</w:t>
      </w:r>
    </w:p>
    <w:p w14:paraId="68F7422D" w14:textId="77777777" w:rsidR="00FF18D3" w:rsidRPr="002B1A32" w:rsidRDefault="00FF18D3" w:rsidP="00FF18D3">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i/>
          <w:iCs/>
          <w:sz w:val="22"/>
          <w:szCs w:val="22"/>
        </w:rPr>
      </w:pPr>
      <w:r w:rsidRPr="002B1A32">
        <w:rPr>
          <w:rFonts w:ascii="Bookman Old Style" w:hAnsi="Bookman Old Style" w:cs="Arial"/>
          <w:i/>
          <w:iCs/>
          <w:sz w:val="22"/>
          <w:szCs w:val="22"/>
        </w:rPr>
        <w:t>2.2.</w:t>
      </w:r>
      <w:r w:rsidRPr="002B1A32">
        <w:rPr>
          <w:rFonts w:ascii="Bookman Old Style" w:hAnsi="Bookman Old Style" w:cs="Arial"/>
          <w:i/>
          <w:iCs/>
          <w:sz w:val="22"/>
          <w:szCs w:val="22"/>
        </w:rPr>
        <w:tab/>
        <w:t>Para aquellos mercados donde posterior a la determinación del cargo en vigencia de la Resolución CREG 011 de 2003 a alguno(s) de sus municipios o centros poblados les fue(ron) asignado(s) recursos públicos, este(os) deberá(n) retirarse del Mercado Existente de Distribución y conformar otro Mercado Relevante de Distribución para el Siguiente Período Tarifario, tal y como lo establece el numeral 6.7.1. del Artículo 6 de la presente Resolución. Cada uno de dichos Mercados Relevantes conformará un submercado.</w:t>
      </w:r>
    </w:p>
    <w:p w14:paraId="70B29B66" w14:textId="77777777" w:rsidR="00FF18D3" w:rsidRPr="002B1A32" w:rsidRDefault="00FF18D3" w:rsidP="00FF18D3">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i/>
          <w:iCs/>
          <w:sz w:val="22"/>
          <w:szCs w:val="22"/>
        </w:rPr>
      </w:pPr>
      <w:r w:rsidRPr="002B1A32">
        <w:rPr>
          <w:rFonts w:ascii="Bookman Old Style" w:hAnsi="Bookman Old Style" w:cs="Arial"/>
          <w:i/>
          <w:iCs/>
          <w:sz w:val="22"/>
          <w:szCs w:val="22"/>
        </w:rPr>
        <w:t>2.3.</w:t>
      </w:r>
      <w:r w:rsidRPr="002B1A32">
        <w:rPr>
          <w:rFonts w:ascii="Bookman Old Style" w:hAnsi="Bookman Old Style" w:cs="Arial"/>
          <w:i/>
          <w:iCs/>
          <w:sz w:val="22"/>
          <w:szCs w:val="22"/>
        </w:rPr>
        <w:tab/>
      </w:r>
      <w:r w:rsidRPr="002B1A32">
        <w:rPr>
          <w:rFonts w:ascii="Bookman Old Style" w:hAnsi="Bookman Old Style" w:cs="Arial"/>
          <w:i/>
          <w:iCs/>
          <w:sz w:val="22"/>
          <w:szCs w:val="22"/>
          <w:u w:val="single"/>
        </w:rPr>
        <w:t>Mercados Nuevos y/o Mercados Especiales que cuenten con recursos públicos, se conformarán en submercados independientes</w:t>
      </w:r>
      <w:r w:rsidRPr="002B1A32">
        <w:rPr>
          <w:rFonts w:ascii="Bookman Old Style" w:hAnsi="Bookman Old Style" w:cs="Arial"/>
          <w:i/>
          <w:iCs/>
          <w:sz w:val="22"/>
          <w:szCs w:val="22"/>
        </w:rPr>
        <w:t>.</w:t>
      </w:r>
    </w:p>
    <w:p w14:paraId="0F009D35" w14:textId="77777777" w:rsidR="00FF18D3" w:rsidRPr="002B1A32" w:rsidRDefault="00FF18D3" w:rsidP="00FF18D3">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sz w:val="22"/>
          <w:szCs w:val="22"/>
        </w:rPr>
      </w:pPr>
      <w:r w:rsidRPr="002B1A32">
        <w:rPr>
          <w:rFonts w:ascii="Bookman Old Style" w:hAnsi="Bookman Old Style" w:cs="Arial"/>
          <w:i/>
          <w:iCs/>
          <w:sz w:val="22"/>
          <w:szCs w:val="22"/>
        </w:rPr>
        <w:t>2.4.</w:t>
      </w:r>
      <w:r w:rsidRPr="002B1A32">
        <w:rPr>
          <w:rFonts w:ascii="Bookman Old Style" w:hAnsi="Bookman Old Style" w:cs="Arial"/>
          <w:i/>
          <w:iCs/>
          <w:sz w:val="22"/>
          <w:szCs w:val="22"/>
        </w:rPr>
        <w:tab/>
        <w:t>Aquellos municipios, centros poblados y/o mercados que no fueron financiados con recursos públicos para la construcción de infraestructura de distribución conformarán un solo submercado”</w:t>
      </w:r>
      <w:r>
        <w:rPr>
          <w:rFonts w:ascii="Bookman Old Style" w:hAnsi="Bookman Old Style" w:cs="Arial"/>
        </w:rPr>
        <w:t xml:space="preserve"> </w:t>
      </w:r>
      <w:r w:rsidRPr="002B1A32">
        <w:rPr>
          <w:rFonts w:ascii="Bookman Old Style" w:hAnsi="Bookman Old Style" w:cs="Arial"/>
          <w:sz w:val="22"/>
          <w:szCs w:val="22"/>
        </w:rPr>
        <w:t>(Subraya fuera de texto).</w:t>
      </w:r>
    </w:p>
    <w:bookmarkEnd w:id="1"/>
    <w:p w14:paraId="18E80424" w14:textId="34EE58B9" w:rsidR="00A51E0C" w:rsidRDefault="009A72D3" w:rsidP="00E41344">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szCs w:val="22"/>
        </w:rPr>
      </w:pPr>
      <w:r>
        <w:rPr>
          <w:rFonts w:ascii="Bookman Old Style" w:hAnsi="Bookman Old Style" w:cs="Arial"/>
        </w:rPr>
        <w:t>Dado que en su solicitud tarifaria SURCOLOMBIANA DE GAS S.A. E</w:t>
      </w:r>
      <w:r w:rsidR="00145E12">
        <w:rPr>
          <w:rFonts w:ascii="Bookman Old Style" w:hAnsi="Bookman Old Style" w:cs="Arial"/>
        </w:rPr>
        <w:t>.</w:t>
      </w:r>
      <w:r>
        <w:rPr>
          <w:rFonts w:ascii="Bookman Old Style" w:hAnsi="Bookman Old Style" w:cs="Arial"/>
        </w:rPr>
        <w:t xml:space="preserve">S.P. manifestó que el mercado propuesto cuenta con recursos públicos </w:t>
      </w:r>
      <w:r w:rsidRPr="00E4687B">
        <w:rPr>
          <w:rFonts w:ascii="Bookman Old Style" w:hAnsi="Bookman Old Style" w:cs="Arial"/>
        </w:rPr>
        <w:t xml:space="preserve">para la construcción de la infraestructura </w:t>
      </w:r>
      <w:r w:rsidR="00CF6C55">
        <w:rPr>
          <w:rFonts w:ascii="Bookman Old Style" w:hAnsi="Bookman Old Style" w:cs="Arial"/>
        </w:rPr>
        <w:t xml:space="preserve">de distribución </w:t>
      </w:r>
      <w:r w:rsidRPr="00E4687B">
        <w:rPr>
          <w:rFonts w:ascii="Bookman Old Style" w:hAnsi="Bookman Old Style" w:cs="Arial"/>
        </w:rPr>
        <w:t>para la prestación del servicio público domiciliario de gas en virtud de</w:t>
      </w:r>
      <w:r w:rsidR="00121318">
        <w:rPr>
          <w:rFonts w:ascii="Bookman Old Style" w:hAnsi="Bookman Old Style" w:cs="Arial"/>
        </w:rPr>
        <w:t>l</w:t>
      </w:r>
      <w:r w:rsidR="00121318" w:rsidRPr="00121318">
        <w:rPr>
          <w:rFonts w:ascii="Bookman Old Style" w:hAnsi="Bookman Old Style" w:cs="Arial"/>
        </w:rPr>
        <w:t xml:space="preserve"> </w:t>
      </w:r>
      <w:r w:rsidR="00121318" w:rsidRPr="00E4687B">
        <w:rPr>
          <w:rFonts w:ascii="Bookman Old Style" w:hAnsi="Bookman Old Style" w:cs="Arial"/>
        </w:rPr>
        <w:t>Convenio de</w:t>
      </w:r>
      <w:r w:rsidR="00121318">
        <w:rPr>
          <w:rFonts w:ascii="Bookman Old Style" w:hAnsi="Bookman Old Style" w:cs="Arial"/>
        </w:rPr>
        <w:t xml:space="preserve"> Apoyo y</w:t>
      </w:r>
      <w:r w:rsidR="00121318" w:rsidRPr="00E4687B">
        <w:rPr>
          <w:rFonts w:ascii="Bookman Old Style" w:hAnsi="Bookman Old Style" w:cs="Arial"/>
        </w:rPr>
        <w:t xml:space="preserve"> Cooperación No. 01</w:t>
      </w:r>
      <w:r w:rsidR="00121318">
        <w:rPr>
          <w:rFonts w:ascii="Bookman Old Style" w:hAnsi="Bookman Old Style" w:cs="Arial"/>
        </w:rPr>
        <w:t>2</w:t>
      </w:r>
      <w:r w:rsidR="00121318" w:rsidRPr="00E4687B">
        <w:rPr>
          <w:rFonts w:ascii="Bookman Old Style" w:hAnsi="Bookman Old Style" w:cs="Arial"/>
        </w:rPr>
        <w:t xml:space="preserve"> de 201</w:t>
      </w:r>
      <w:r w:rsidR="00121318">
        <w:rPr>
          <w:rFonts w:ascii="Bookman Old Style" w:hAnsi="Bookman Old Style" w:cs="Arial"/>
        </w:rPr>
        <w:t>9</w:t>
      </w:r>
      <w:r w:rsidR="00121318" w:rsidRPr="00E4687B">
        <w:rPr>
          <w:rFonts w:ascii="Bookman Old Style" w:hAnsi="Bookman Old Style" w:cs="Arial"/>
        </w:rPr>
        <w:t xml:space="preserve"> </w:t>
      </w:r>
      <w:r w:rsidR="00121318">
        <w:rPr>
          <w:rFonts w:ascii="Bookman Old Style" w:hAnsi="Bookman Old Style" w:cs="Arial"/>
        </w:rPr>
        <w:t xml:space="preserve">suscrito con </w:t>
      </w:r>
      <w:r w:rsidR="00121318" w:rsidRPr="00E4687B">
        <w:rPr>
          <w:rFonts w:ascii="Bookman Old Style" w:hAnsi="Bookman Old Style" w:cs="Arial"/>
        </w:rPr>
        <w:t xml:space="preserve">el Municipio de </w:t>
      </w:r>
      <w:r w:rsidR="00D41604">
        <w:rPr>
          <w:rFonts w:ascii="Bookman Old Style" w:hAnsi="Bookman Old Style" w:cs="Arial"/>
        </w:rPr>
        <w:t>Agrado</w:t>
      </w:r>
      <w:r w:rsidR="009F131B">
        <w:rPr>
          <w:rFonts w:ascii="Bookman Old Style" w:hAnsi="Bookman Old Style" w:cs="Arial"/>
        </w:rPr>
        <w:t>,</w:t>
      </w:r>
      <w:r w:rsidR="009F131B" w:rsidRPr="009F131B">
        <w:rPr>
          <w:rFonts w:ascii="Bookman Old Style" w:hAnsi="Bookman Old Style" w:cs="Arial"/>
        </w:rPr>
        <w:t xml:space="preserve"> </w:t>
      </w:r>
      <w:r w:rsidR="009F131B">
        <w:rPr>
          <w:rFonts w:ascii="Bookman Old Style" w:hAnsi="Bookman Old Style" w:cs="Arial"/>
        </w:rPr>
        <w:t>D</w:t>
      </w:r>
      <w:r w:rsidR="009F131B" w:rsidRPr="00E4687B">
        <w:rPr>
          <w:rFonts w:ascii="Bookman Old Style" w:hAnsi="Bookman Old Style" w:cs="Arial"/>
        </w:rPr>
        <w:t xml:space="preserve">epartamento de </w:t>
      </w:r>
      <w:r w:rsidR="009F131B">
        <w:rPr>
          <w:rFonts w:ascii="Bookman Old Style" w:hAnsi="Bookman Old Style" w:cs="Arial"/>
        </w:rPr>
        <w:t>Huila</w:t>
      </w:r>
      <w:r w:rsidR="000941E9">
        <w:rPr>
          <w:rFonts w:ascii="Bookman Old Style" w:hAnsi="Bookman Old Style" w:cs="Arial"/>
        </w:rPr>
        <w:t>;</w:t>
      </w:r>
      <w:r w:rsidR="00D41604">
        <w:rPr>
          <w:rFonts w:ascii="Bookman Old Style" w:hAnsi="Bookman Old Style" w:cs="Arial"/>
        </w:rPr>
        <w:t xml:space="preserve"> </w:t>
      </w:r>
      <w:r w:rsidR="000941E9" w:rsidRPr="00E4687B">
        <w:rPr>
          <w:rFonts w:ascii="Bookman Old Style" w:hAnsi="Bookman Old Style" w:cs="Arial"/>
        </w:rPr>
        <w:t>Convenio de</w:t>
      </w:r>
      <w:r w:rsidR="000941E9">
        <w:rPr>
          <w:rFonts w:ascii="Bookman Old Style" w:hAnsi="Bookman Old Style" w:cs="Arial"/>
        </w:rPr>
        <w:t xml:space="preserve"> </w:t>
      </w:r>
      <w:r w:rsidR="000941E9" w:rsidRPr="00E4687B">
        <w:rPr>
          <w:rFonts w:ascii="Bookman Old Style" w:hAnsi="Bookman Old Style" w:cs="Arial"/>
        </w:rPr>
        <w:t>Cooperación No. 01</w:t>
      </w:r>
      <w:r w:rsidR="000941E9">
        <w:rPr>
          <w:rFonts w:ascii="Bookman Old Style" w:hAnsi="Bookman Old Style" w:cs="Arial"/>
        </w:rPr>
        <w:t>1</w:t>
      </w:r>
      <w:r w:rsidR="000941E9" w:rsidRPr="00E4687B">
        <w:rPr>
          <w:rFonts w:ascii="Bookman Old Style" w:hAnsi="Bookman Old Style" w:cs="Arial"/>
        </w:rPr>
        <w:t xml:space="preserve"> de 201</w:t>
      </w:r>
      <w:r w:rsidR="000941E9">
        <w:rPr>
          <w:rFonts w:ascii="Bookman Old Style" w:hAnsi="Bookman Old Style" w:cs="Arial"/>
        </w:rPr>
        <w:t>9</w:t>
      </w:r>
      <w:r w:rsidR="000941E9" w:rsidRPr="00E4687B">
        <w:rPr>
          <w:rFonts w:ascii="Bookman Old Style" w:hAnsi="Bookman Old Style" w:cs="Arial"/>
        </w:rPr>
        <w:t xml:space="preserve"> </w:t>
      </w:r>
      <w:r w:rsidR="000941E9">
        <w:rPr>
          <w:rFonts w:ascii="Bookman Old Style" w:hAnsi="Bookman Old Style" w:cs="Arial"/>
        </w:rPr>
        <w:t xml:space="preserve">suscrito con </w:t>
      </w:r>
      <w:r w:rsidR="000941E9" w:rsidRPr="00E4687B">
        <w:rPr>
          <w:rFonts w:ascii="Bookman Old Style" w:hAnsi="Bookman Old Style" w:cs="Arial"/>
        </w:rPr>
        <w:t xml:space="preserve">el Municipio de </w:t>
      </w:r>
      <w:r w:rsidR="000941E9">
        <w:rPr>
          <w:rFonts w:ascii="Bookman Old Style" w:hAnsi="Bookman Old Style" w:cs="Arial"/>
        </w:rPr>
        <w:t>Acevedo</w:t>
      </w:r>
      <w:r w:rsidR="000143E8">
        <w:rPr>
          <w:rFonts w:ascii="Bookman Old Style" w:hAnsi="Bookman Old Style" w:cs="Arial"/>
        </w:rPr>
        <w:t>, D</w:t>
      </w:r>
      <w:r w:rsidR="000143E8" w:rsidRPr="00E4687B">
        <w:rPr>
          <w:rFonts w:ascii="Bookman Old Style" w:hAnsi="Bookman Old Style" w:cs="Arial"/>
        </w:rPr>
        <w:t xml:space="preserve">epartamento de </w:t>
      </w:r>
      <w:r w:rsidR="000143E8">
        <w:rPr>
          <w:rFonts w:ascii="Bookman Old Style" w:hAnsi="Bookman Old Style" w:cs="Arial"/>
        </w:rPr>
        <w:t>Huila</w:t>
      </w:r>
      <w:r w:rsidR="000941E9">
        <w:rPr>
          <w:rFonts w:ascii="Bookman Old Style" w:hAnsi="Bookman Old Style" w:cs="Arial"/>
        </w:rPr>
        <w:t xml:space="preserve"> y</w:t>
      </w:r>
      <w:r w:rsidR="009F131B">
        <w:rPr>
          <w:rFonts w:ascii="Bookman Old Style" w:hAnsi="Bookman Old Style" w:cs="Arial"/>
        </w:rPr>
        <w:t xml:space="preserve"> el </w:t>
      </w:r>
      <w:r w:rsidR="009F131B" w:rsidRPr="00E4687B">
        <w:rPr>
          <w:rFonts w:ascii="Bookman Old Style" w:hAnsi="Bookman Old Style" w:cs="Arial"/>
        </w:rPr>
        <w:t>Convenio de</w:t>
      </w:r>
      <w:r w:rsidR="009F131B">
        <w:rPr>
          <w:rFonts w:ascii="Bookman Old Style" w:hAnsi="Bookman Old Style" w:cs="Arial"/>
        </w:rPr>
        <w:t xml:space="preserve"> Apoyo y</w:t>
      </w:r>
      <w:r w:rsidR="009F131B" w:rsidRPr="00E4687B">
        <w:rPr>
          <w:rFonts w:ascii="Bookman Old Style" w:hAnsi="Bookman Old Style" w:cs="Arial"/>
        </w:rPr>
        <w:t xml:space="preserve"> Cooperación No. 0</w:t>
      </w:r>
      <w:r w:rsidR="009F131B">
        <w:rPr>
          <w:rFonts w:ascii="Bookman Old Style" w:hAnsi="Bookman Old Style" w:cs="Arial"/>
        </w:rPr>
        <w:t>06</w:t>
      </w:r>
      <w:r w:rsidR="009F131B" w:rsidRPr="00E4687B">
        <w:rPr>
          <w:rFonts w:ascii="Bookman Old Style" w:hAnsi="Bookman Old Style" w:cs="Arial"/>
        </w:rPr>
        <w:t xml:space="preserve"> de 201</w:t>
      </w:r>
      <w:r w:rsidR="009F131B">
        <w:rPr>
          <w:rFonts w:ascii="Bookman Old Style" w:hAnsi="Bookman Old Style" w:cs="Arial"/>
        </w:rPr>
        <w:t>9</w:t>
      </w:r>
      <w:r w:rsidR="009F131B" w:rsidRPr="00E4687B">
        <w:rPr>
          <w:rFonts w:ascii="Bookman Old Style" w:hAnsi="Bookman Old Style" w:cs="Arial"/>
        </w:rPr>
        <w:t xml:space="preserve"> </w:t>
      </w:r>
      <w:r w:rsidR="009F131B">
        <w:rPr>
          <w:rFonts w:ascii="Bookman Old Style" w:hAnsi="Bookman Old Style" w:cs="Arial"/>
        </w:rPr>
        <w:t xml:space="preserve">suscrito con </w:t>
      </w:r>
      <w:r w:rsidR="009F131B" w:rsidRPr="00E4687B">
        <w:rPr>
          <w:rFonts w:ascii="Bookman Old Style" w:hAnsi="Bookman Old Style" w:cs="Arial"/>
        </w:rPr>
        <w:t xml:space="preserve">el Municipio de </w:t>
      </w:r>
      <w:r w:rsidR="009F131B">
        <w:rPr>
          <w:rFonts w:ascii="Bookman Old Style" w:hAnsi="Bookman Old Style" w:cs="Arial"/>
        </w:rPr>
        <w:t>Santa Maria</w:t>
      </w:r>
      <w:r w:rsidR="000143E8">
        <w:rPr>
          <w:rFonts w:ascii="Bookman Old Style" w:hAnsi="Bookman Old Style" w:cs="Arial"/>
        </w:rPr>
        <w:t>,</w:t>
      </w:r>
      <w:r w:rsidR="000143E8" w:rsidRPr="000143E8">
        <w:rPr>
          <w:rFonts w:ascii="Bookman Old Style" w:hAnsi="Bookman Old Style" w:cs="Arial"/>
        </w:rPr>
        <w:t xml:space="preserve"> </w:t>
      </w:r>
      <w:r w:rsidR="000143E8">
        <w:rPr>
          <w:rFonts w:ascii="Bookman Old Style" w:hAnsi="Bookman Old Style" w:cs="Arial"/>
        </w:rPr>
        <w:t>D</w:t>
      </w:r>
      <w:r w:rsidR="000143E8" w:rsidRPr="00E4687B">
        <w:rPr>
          <w:rFonts w:ascii="Bookman Old Style" w:hAnsi="Bookman Old Style" w:cs="Arial"/>
        </w:rPr>
        <w:t xml:space="preserve">epartamento de </w:t>
      </w:r>
      <w:r w:rsidR="000143E8">
        <w:rPr>
          <w:rFonts w:ascii="Bookman Old Style" w:hAnsi="Bookman Old Style" w:cs="Arial"/>
        </w:rPr>
        <w:t>Huila</w:t>
      </w:r>
      <w:r w:rsidRPr="00E4687B">
        <w:rPr>
          <w:rFonts w:ascii="Bookman Old Style" w:hAnsi="Bookman Old Style" w:cs="Arial"/>
        </w:rPr>
        <w:t xml:space="preserve">, </w:t>
      </w:r>
      <w:r>
        <w:rPr>
          <w:rFonts w:ascii="Bookman Old Style" w:hAnsi="Bookman Old Style" w:cs="Arial"/>
        </w:rPr>
        <w:t xml:space="preserve">en orden a </w:t>
      </w:r>
      <w:r w:rsidRPr="00E4687B">
        <w:rPr>
          <w:rFonts w:ascii="Bookman Old Style" w:hAnsi="Bookman Old Style" w:cs="Arial"/>
        </w:rPr>
        <w:t>manten</w:t>
      </w:r>
      <w:r>
        <w:rPr>
          <w:rFonts w:ascii="Bookman Old Style" w:hAnsi="Bookman Old Style" w:cs="Arial"/>
        </w:rPr>
        <w:t>er</w:t>
      </w:r>
      <w:r w:rsidRPr="00E4687B">
        <w:rPr>
          <w:rFonts w:ascii="Bookman Old Style" w:hAnsi="Bookman Old Style" w:cs="Arial"/>
        </w:rPr>
        <w:t xml:space="preserve"> el beneficio de los recursos públicos en cabeza de sus destinatarios conforme al procedimiento establecido en el Anexo 21 de </w:t>
      </w:r>
      <w:r w:rsidR="00735302">
        <w:rPr>
          <w:rFonts w:ascii="Bookman Old Style" w:hAnsi="Bookman Old Style" w:cs="Arial"/>
        </w:rPr>
        <w:t xml:space="preserve">la </w:t>
      </w:r>
      <w:r w:rsidRPr="00E4687B">
        <w:rPr>
          <w:rFonts w:ascii="Bookman Old Style" w:hAnsi="Bookman Old Style" w:cs="Arial"/>
        </w:rPr>
        <w:t>Metodología</w:t>
      </w:r>
      <w:r w:rsidR="00163CA1">
        <w:rPr>
          <w:rFonts w:ascii="Bookman Old Style" w:hAnsi="Bookman Old Style" w:cs="Arial"/>
        </w:rPr>
        <w:t>,</w:t>
      </w:r>
      <w:r w:rsidRPr="00E4687B">
        <w:rPr>
          <w:rFonts w:ascii="Bookman Old Style" w:hAnsi="Bookman Old Style" w:cs="Arial"/>
        </w:rPr>
        <w:t xml:space="preserve"> el </w:t>
      </w:r>
      <w:r w:rsidRPr="00E4687B">
        <w:rPr>
          <w:rFonts w:ascii="Bookman Old Style" w:hAnsi="Bookman Old Style" w:cs="Arial"/>
        </w:rPr>
        <w:lastRenderedPageBreak/>
        <w:t xml:space="preserve">Mercado Relevante de Distribución </w:t>
      </w:r>
      <w:r>
        <w:rPr>
          <w:rFonts w:ascii="Bookman Old Style" w:hAnsi="Bookman Old Style" w:cs="Arial"/>
        </w:rPr>
        <w:t xml:space="preserve"> </w:t>
      </w:r>
      <w:r w:rsidR="00D73149">
        <w:rPr>
          <w:rFonts w:ascii="Bookman Old Style" w:hAnsi="Bookman Old Style" w:cs="Arial"/>
        </w:rPr>
        <w:t xml:space="preserve">Especial </w:t>
      </w:r>
      <w:r>
        <w:rPr>
          <w:rFonts w:ascii="Bookman Old Style" w:hAnsi="Bookman Old Style" w:cs="Arial"/>
        </w:rPr>
        <w:t xml:space="preserve">propuesto se debe subdividir </w:t>
      </w:r>
      <w:r w:rsidRPr="00E4687B">
        <w:rPr>
          <w:rFonts w:ascii="Bookman Old Style" w:hAnsi="Bookman Old Style" w:cs="Arial"/>
        </w:rPr>
        <w:t>en submercados, según la asignación de recursos públicos por parte de l</w:t>
      </w:r>
      <w:r w:rsidR="00BF22D6">
        <w:rPr>
          <w:rFonts w:ascii="Bookman Old Style" w:hAnsi="Bookman Old Style" w:cs="Arial"/>
        </w:rPr>
        <w:t>a</w:t>
      </w:r>
      <w:r w:rsidRPr="00E4687B">
        <w:rPr>
          <w:rFonts w:ascii="Bookman Old Style" w:hAnsi="Bookman Old Style" w:cs="Arial"/>
        </w:rPr>
        <w:t xml:space="preserve">s </w:t>
      </w:r>
      <w:r w:rsidR="00112AEA">
        <w:rPr>
          <w:rFonts w:ascii="Bookman Old Style" w:hAnsi="Bookman Old Style" w:cs="Arial"/>
        </w:rPr>
        <w:t>veredas</w:t>
      </w:r>
      <w:r w:rsidRPr="00E4687B">
        <w:rPr>
          <w:rFonts w:ascii="Bookman Old Style" w:hAnsi="Bookman Old Style" w:cs="Arial"/>
        </w:rPr>
        <w:t xml:space="preserve"> </w:t>
      </w:r>
      <w:r w:rsidR="000143E8">
        <w:rPr>
          <w:rFonts w:ascii="Bookman Old Style" w:hAnsi="Bookman Old Style" w:cs="Arial"/>
        </w:rPr>
        <w:t xml:space="preserve">de los Municipios </w:t>
      </w:r>
      <w:r w:rsidRPr="00E4687B">
        <w:rPr>
          <w:rFonts w:ascii="Bookman Old Style" w:hAnsi="Bookman Old Style" w:cs="Arial"/>
        </w:rPr>
        <w:t>que lo conforman.</w:t>
      </w:r>
    </w:p>
    <w:p w14:paraId="31AA1AA2" w14:textId="620D9796" w:rsidR="003A46CB" w:rsidRDefault="00496F1E"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8C67E6">
        <w:rPr>
          <w:rFonts w:ascii="Bookman Old Style" w:hAnsi="Bookman Old Style" w:cs="Arial"/>
        </w:rPr>
        <w:t>SURCOLOMBIANA DE GAS S.A.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E-20</w:t>
      </w:r>
      <w:r w:rsidR="00D0477E">
        <w:rPr>
          <w:rFonts w:ascii="Bookman Old Style" w:hAnsi="Bookman Old Style" w:cs="Arial"/>
        </w:rPr>
        <w:t>19</w:t>
      </w:r>
      <w:r w:rsidR="00A44586" w:rsidRPr="00910E8E">
        <w:rPr>
          <w:rFonts w:ascii="Bookman Old Style" w:hAnsi="Bookman Old Style" w:cs="Arial"/>
        </w:rPr>
        <w:t>-0</w:t>
      </w:r>
      <w:r w:rsidR="006147B3" w:rsidRPr="00910E8E">
        <w:rPr>
          <w:rFonts w:ascii="Bookman Old Style" w:hAnsi="Bookman Old Style" w:cs="Arial"/>
        </w:rPr>
        <w:t>0</w:t>
      </w:r>
      <w:r w:rsidR="00FF5FFB">
        <w:rPr>
          <w:rFonts w:ascii="Bookman Old Style" w:hAnsi="Bookman Old Style" w:cs="Arial"/>
        </w:rPr>
        <w:t>8211</w:t>
      </w:r>
      <w:r w:rsidR="00B4157A">
        <w:rPr>
          <w:rFonts w:ascii="Bookman Old Style" w:hAnsi="Bookman Old Style" w:cs="Arial"/>
        </w:rPr>
        <w:t>,</w:t>
      </w:r>
      <w:r w:rsidR="0002789F">
        <w:rPr>
          <w:rFonts w:ascii="Bookman Old Style" w:hAnsi="Bookman Old Style" w:cs="Arial"/>
        </w:rPr>
        <w:t xml:space="preserve"> E-20</w:t>
      </w:r>
      <w:r w:rsidR="00B4157A">
        <w:rPr>
          <w:rFonts w:ascii="Bookman Old Style" w:hAnsi="Bookman Old Style" w:cs="Arial"/>
        </w:rPr>
        <w:t>19</w:t>
      </w:r>
      <w:r w:rsidR="0002789F">
        <w:rPr>
          <w:rFonts w:ascii="Bookman Old Style" w:hAnsi="Bookman Old Style" w:cs="Arial"/>
        </w:rPr>
        <w:t>-00</w:t>
      </w:r>
      <w:r w:rsidR="00F801FA">
        <w:rPr>
          <w:rFonts w:ascii="Bookman Old Style" w:hAnsi="Bookman Old Style" w:cs="Arial"/>
        </w:rPr>
        <w:t>0</w:t>
      </w:r>
      <w:r w:rsidR="00AD164D">
        <w:rPr>
          <w:rFonts w:ascii="Bookman Old Style" w:hAnsi="Bookman Old Style" w:cs="Arial"/>
        </w:rPr>
        <w:t>8624</w:t>
      </w:r>
      <w:r w:rsidR="00827978" w:rsidRPr="00377941">
        <w:rPr>
          <w:rFonts w:ascii="Bookman Old Style" w:hAnsi="Bookman Old Style" w:cs="Arial"/>
        </w:rPr>
        <w:t>,</w:t>
      </w:r>
      <w:r w:rsidR="003B7819" w:rsidRPr="003B7819">
        <w:rPr>
          <w:rFonts w:ascii="Bookman Old Style" w:hAnsi="Bookman Old Style" w:cs="Arial"/>
        </w:rPr>
        <w:t xml:space="preserve"> </w:t>
      </w:r>
      <w:r w:rsidR="003B7819">
        <w:rPr>
          <w:rFonts w:ascii="Bookman Old Style" w:hAnsi="Bookman Old Style" w:cs="Arial"/>
        </w:rPr>
        <w:t>E-201</w:t>
      </w:r>
      <w:r w:rsidR="000F2D9D">
        <w:rPr>
          <w:rFonts w:ascii="Bookman Old Style" w:hAnsi="Bookman Old Style" w:cs="Arial"/>
        </w:rPr>
        <w:t>9</w:t>
      </w:r>
      <w:r w:rsidR="003B7819">
        <w:rPr>
          <w:rFonts w:ascii="Bookman Old Style" w:hAnsi="Bookman Old Style" w:cs="Arial"/>
        </w:rPr>
        <w:t>-00</w:t>
      </w:r>
      <w:r w:rsidR="006E73DE">
        <w:rPr>
          <w:rFonts w:ascii="Bookman Old Style" w:hAnsi="Bookman Old Style" w:cs="Arial"/>
        </w:rPr>
        <w:t>9026</w:t>
      </w:r>
      <w:r w:rsidR="003B7819">
        <w:rPr>
          <w:rFonts w:ascii="Bookman Old Style" w:hAnsi="Bookman Old Style" w:cs="Arial"/>
        </w:rPr>
        <w:t>,</w:t>
      </w:r>
      <w:r w:rsidR="000571E5">
        <w:rPr>
          <w:rFonts w:ascii="Bookman Old Style" w:hAnsi="Bookman Old Style" w:cs="Arial"/>
        </w:rPr>
        <w:t xml:space="preserve"> E-20</w:t>
      </w:r>
      <w:r w:rsidR="000F2D9D">
        <w:rPr>
          <w:rFonts w:ascii="Bookman Old Style" w:hAnsi="Bookman Old Style" w:cs="Arial"/>
        </w:rPr>
        <w:t>19</w:t>
      </w:r>
      <w:r w:rsidR="000571E5">
        <w:rPr>
          <w:rFonts w:ascii="Bookman Old Style" w:hAnsi="Bookman Old Style" w:cs="Arial"/>
        </w:rPr>
        <w:t>-00</w:t>
      </w:r>
      <w:r w:rsidR="00C3238C">
        <w:rPr>
          <w:rFonts w:ascii="Bookman Old Style" w:hAnsi="Bookman Old Style" w:cs="Arial"/>
        </w:rPr>
        <w:t>9424</w:t>
      </w:r>
      <w:r w:rsidR="000571E5">
        <w:rPr>
          <w:rFonts w:ascii="Bookman Old Style" w:hAnsi="Bookman Old Style" w:cs="Arial"/>
        </w:rPr>
        <w:t>,</w:t>
      </w:r>
      <w:r w:rsidR="00A44586" w:rsidRPr="00377941">
        <w:rPr>
          <w:rFonts w:ascii="Bookman Old Style" w:hAnsi="Bookman Old Style" w:cs="Arial"/>
        </w:rPr>
        <w:t xml:space="preserve"> </w:t>
      </w:r>
      <w:r w:rsidR="00B4157A">
        <w:rPr>
          <w:rFonts w:ascii="Bookman Old Style" w:hAnsi="Bookman Old Style" w:cs="Arial"/>
        </w:rPr>
        <w:t>E-20</w:t>
      </w:r>
      <w:r w:rsidR="000F2D9D">
        <w:rPr>
          <w:rFonts w:ascii="Bookman Old Style" w:hAnsi="Bookman Old Style" w:cs="Arial"/>
        </w:rPr>
        <w:t>19</w:t>
      </w:r>
      <w:r w:rsidR="00B4157A">
        <w:rPr>
          <w:rFonts w:ascii="Bookman Old Style" w:hAnsi="Bookman Old Style" w:cs="Arial"/>
        </w:rPr>
        <w:t>-</w:t>
      </w:r>
      <w:r w:rsidR="00E07D13">
        <w:rPr>
          <w:rFonts w:ascii="Bookman Old Style" w:hAnsi="Bookman Old Style" w:cs="Arial"/>
        </w:rPr>
        <w:t>00</w:t>
      </w:r>
      <w:r w:rsidR="000F2D9D">
        <w:rPr>
          <w:rFonts w:ascii="Bookman Old Style" w:hAnsi="Bookman Old Style" w:cs="Arial"/>
        </w:rPr>
        <w:t>9655</w:t>
      </w:r>
      <w:r w:rsidR="00E07D13">
        <w:rPr>
          <w:rFonts w:ascii="Bookman Old Style" w:hAnsi="Bookman Old Style" w:cs="Arial"/>
        </w:rPr>
        <w:t>,</w:t>
      </w:r>
      <w:r w:rsidR="002B1A32">
        <w:rPr>
          <w:rFonts w:ascii="Bookman Old Style" w:hAnsi="Bookman Old Style" w:cs="Arial"/>
        </w:rPr>
        <w:t xml:space="preserve"> E-2019-011438,</w:t>
      </w:r>
      <w:r w:rsidR="00E07D13">
        <w:rPr>
          <w:rFonts w:ascii="Bookman Old Style" w:hAnsi="Bookman Old Style" w:cs="Arial"/>
        </w:rPr>
        <w:t xml:space="preserve"> </w:t>
      </w:r>
      <w:r w:rsidR="00564D78">
        <w:rPr>
          <w:rFonts w:ascii="Bookman Old Style" w:hAnsi="Bookman Old Style" w:cs="Arial"/>
        </w:rPr>
        <w:t>E-2020-000</w:t>
      </w:r>
      <w:r w:rsidR="00F6535D">
        <w:rPr>
          <w:rFonts w:ascii="Bookman Old Style" w:hAnsi="Bookman Old Style" w:cs="Arial"/>
        </w:rPr>
        <w:t>699</w:t>
      </w:r>
      <w:r w:rsidR="003B7819">
        <w:rPr>
          <w:rFonts w:ascii="Bookman Old Style" w:hAnsi="Bookman Old Style" w:cs="Arial"/>
        </w:rPr>
        <w:t>,</w:t>
      </w:r>
      <w:r w:rsidR="001454C3">
        <w:rPr>
          <w:rFonts w:ascii="Bookman Old Style" w:hAnsi="Bookman Old Style" w:cs="Arial"/>
        </w:rPr>
        <w:t xml:space="preserve"> E-2020-00</w:t>
      </w:r>
      <w:r w:rsidR="00F6535D">
        <w:rPr>
          <w:rFonts w:ascii="Bookman Old Style" w:hAnsi="Bookman Old Style" w:cs="Arial"/>
        </w:rPr>
        <w:t>0822</w:t>
      </w:r>
      <w:r w:rsidR="001454C3">
        <w:rPr>
          <w:rFonts w:ascii="Bookman Old Style" w:hAnsi="Bookman Old Style" w:cs="Arial"/>
        </w:rPr>
        <w:t>,</w:t>
      </w:r>
      <w:r w:rsidR="003B7819">
        <w:rPr>
          <w:rFonts w:ascii="Bookman Old Style" w:hAnsi="Bookman Old Style" w:cs="Arial"/>
        </w:rPr>
        <w:t xml:space="preserve"> E-2020-00</w:t>
      </w:r>
      <w:r w:rsidR="00C57EF1">
        <w:rPr>
          <w:rFonts w:ascii="Bookman Old Style" w:hAnsi="Bookman Old Style" w:cs="Arial"/>
        </w:rPr>
        <w:t>1066</w:t>
      </w:r>
      <w:r w:rsidR="00FF5FEA">
        <w:rPr>
          <w:rFonts w:ascii="Bookman Old Style" w:hAnsi="Bookman Old Style" w:cs="Arial"/>
        </w:rPr>
        <w:t>, E-2020-00</w:t>
      </w:r>
      <w:r w:rsidR="00E064BA">
        <w:rPr>
          <w:rFonts w:ascii="Bookman Old Style" w:hAnsi="Bookman Old Style" w:cs="Arial"/>
        </w:rPr>
        <w:t>7</w:t>
      </w:r>
      <w:r w:rsidR="00C57EF1">
        <w:rPr>
          <w:rFonts w:ascii="Bookman Old Style" w:hAnsi="Bookman Old Style" w:cs="Arial"/>
        </w:rPr>
        <w:t>447</w:t>
      </w:r>
      <w:r w:rsidR="001C1B0B">
        <w:rPr>
          <w:rFonts w:ascii="Bookman Old Style" w:hAnsi="Bookman Old Style" w:cs="Arial"/>
        </w:rPr>
        <w:t xml:space="preserve"> y E-2020-00</w:t>
      </w:r>
      <w:r w:rsidR="004406FB">
        <w:rPr>
          <w:rFonts w:ascii="Bookman Old Style" w:hAnsi="Bookman Old Style" w:cs="Arial"/>
        </w:rPr>
        <w:t>7555,</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2" w:name="_Hlk35526275"/>
      <w:r w:rsidR="003B48A4">
        <w:rPr>
          <w:rFonts w:ascii="Bookman Old Style" w:hAnsi="Bookman Old Style" w:cs="Arial"/>
        </w:rPr>
        <w:t>M</w:t>
      </w:r>
      <w:r w:rsidR="00CF7E45" w:rsidRPr="00377941">
        <w:rPr>
          <w:rFonts w:ascii="Bookman Old Style" w:hAnsi="Bookman Old Style" w:cs="Arial"/>
        </w:rPr>
        <w:t>etodología contenida en las Resoluciones CREG 202 de 2013, 138 de 2014, 090 de 2018, 132 de 2018 y 011 de 2020</w:t>
      </w:r>
      <w:bookmarkEnd w:id="2"/>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125077A9"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950BF4">
        <w:rPr>
          <w:rFonts w:ascii="Bookman Old Style" w:hAnsi="Bookman Old Style" w:cs="Arial"/>
        </w:rPr>
        <w:t>145</w:t>
      </w:r>
      <w:r w:rsidR="006922CB" w:rsidRPr="001954E9">
        <w:rPr>
          <w:rFonts w:ascii="Bookman Old Style" w:hAnsi="Bookman Old Style" w:cs="Arial"/>
        </w:rPr>
        <w:t xml:space="preserve"> de </w:t>
      </w:r>
      <w:r w:rsidR="006C2525">
        <w:rPr>
          <w:rFonts w:ascii="Bookman Old Style" w:hAnsi="Bookman Old Style" w:cs="Arial"/>
        </w:rPr>
        <w:t>2020</w:t>
      </w:r>
      <w:r w:rsidR="006922CB" w:rsidRPr="001954E9">
        <w:rPr>
          <w:rFonts w:ascii="Bookman Old Style" w:hAnsi="Bookman Old Style" w:cs="Arial"/>
        </w:rPr>
        <w:t>.</w:t>
      </w:r>
    </w:p>
    <w:p w14:paraId="6F86F71F" w14:textId="51DA7702"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3"/>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Pr="009261B0">
        <w:rPr>
          <w:rFonts w:ascii="Bookman Old Style" w:hAnsi="Bookman Old Style" w:cs="Arial"/>
        </w:rPr>
        <w:t xml:space="preserve"> para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 xml:space="preserve">donde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950BF4">
        <w:rPr>
          <w:rFonts w:ascii="Bookman Old Style" w:hAnsi="Bookman Old Style" w:cs="Arial"/>
        </w:rPr>
        <w:t>145</w:t>
      </w:r>
      <w:r w:rsidRPr="00CD73E0">
        <w:rPr>
          <w:rFonts w:ascii="Bookman Old Style" w:hAnsi="Bookman Old Style" w:cs="Arial"/>
        </w:rPr>
        <w:t xml:space="preserve"> de 2</w:t>
      </w:r>
      <w:r w:rsidR="006C2525">
        <w:rPr>
          <w:rFonts w:ascii="Bookman Old Style" w:hAnsi="Bookman Old Style" w:cs="Arial"/>
        </w:rPr>
        <w:t>020</w:t>
      </w:r>
      <w:r w:rsidRPr="00CD73E0">
        <w:rPr>
          <w:rFonts w:ascii="Bookman Old Style" w:hAnsi="Bookman Old Style" w:cs="Arial"/>
        </w:rPr>
        <w:t>.</w:t>
      </w:r>
    </w:p>
    <w:p w14:paraId="27C365C9" w14:textId="4BD84A44"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3"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1F2BD1">
        <w:rPr>
          <w:rFonts w:ascii="Bookman Old Style" w:hAnsi="Bookman Old Style"/>
          <w:bCs/>
          <w:lang w:val="es-CO"/>
        </w:rPr>
        <w:t xml:space="preserve">138 de 2014, </w:t>
      </w:r>
      <w:r>
        <w:rPr>
          <w:rFonts w:ascii="Bookman Old Style" w:hAnsi="Bookman Old Style" w:cs="Arial"/>
        </w:rPr>
        <w:t>090 de 2018</w:t>
      </w:r>
      <w:r w:rsidR="00BF0913">
        <w:rPr>
          <w:rFonts w:ascii="Bookman Old Style" w:hAnsi="Bookman Old Style" w:cs="Arial"/>
        </w:rPr>
        <w:t>,</w:t>
      </w:r>
      <w:r>
        <w:rPr>
          <w:rFonts w:ascii="Bookman Old Style" w:hAnsi="Bookman Old Style" w:cs="Arial"/>
        </w:rPr>
        <w:t>132 de 2018</w:t>
      </w:r>
      <w:r w:rsidR="00BF0913">
        <w:rPr>
          <w:rFonts w:ascii="Bookman Old Style" w:hAnsi="Bookman Old Style" w:cs="Arial"/>
        </w:rPr>
        <w:t xml:space="preserve"> y 011 de 2020</w:t>
      </w:r>
      <w:bookmarkEnd w:id="3"/>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4"/>
      </w:r>
      <w:r w:rsidRPr="001954E9">
        <w:rPr>
          <w:rFonts w:ascii="Bookman Old Style" w:hAnsi="Bookman Old Style" w:cs="Arial"/>
        </w:rPr>
        <w:t xml:space="preserve">. </w:t>
      </w:r>
    </w:p>
    <w:p w14:paraId="0E249DE0" w14:textId="71139FE0" w:rsidR="001504DB" w:rsidRDefault="001504DB" w:rsidP="00791FE2">
      <w:pPr>
        <w:spacing w:before="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B049E5">
        <w:rPr>
          <w:rFonts w:ascii="Bookman Old Style" w:hAnsi="Bookman Old Style" w:cs="Arial"/>
          <w:color w:val="000000"/>
          <w:spacing w:val="-3"/>
        </w:rPr>
        <w:t>o.1047</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B049E5">
        <w:rPr>
          <w:rFonts w:ascii="Bookman Old Style" w:hAnsi="Bookman Old Style" w:cs="Arial"/>
          <w:color w:val="000000"/>
          <w:spacing w:val="-3"/>
        </w:rPr>
        <w:t>18</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2B1A32" w:rsidRPr="00B049E5">
        <w:rPr>
          <w:rFonts w:ascii="Bookman Old Style" w:hAnsi="Bookman Old Style" w:cs="Arial"/>
          <w:color w:val="000000"/>
          <w:spacing w:val="-3"/>
        </w:rPr>
        <w:t>septiembre</w:t>
      </w:r>
      <w:r w:rsidR="009B5845" w:rsidRPr="00B049E5">
        <w:rPr>
          <w:rFonts w:ascii="Bookman Old Style" w:hAnsi="Bookman Old Style" w:cs="Arial"/>
          <w:color w:val="000000"/>
          <w:spacing w:val="-3"/>
        </w:rPr>
        <w:t xml:space="preserve"> </w:t>
      </w:r>
      <w:r w:rsidRPr="00B049E5">
        <w:rPr>
          <w:rFonts w:ascii="Bookman Old Style" w:hAnsi="Bookman Old Style" w:cs="Arial"/>
          <w:color w:val="000000"/>
          <w:spacing w:val="-3"/>
        </w:rPr>
        <w:t>de 20</w:t>
      </w:r>
      <w:r w:rsidR="00DE3AEB" w:rsidRPr="00B049E5">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18E93928" w14:textId="77777777" w:rsidR="00791FE2" w:rsidRDefault="00791FE2" w:rsidP="00791FE2">
      <w:pPr>
        <w:ind w:left="0"/>
        <w:jc w:val="both"/>
        <w:rPr>
          <w:rFonts w:ascii="Bookman Old Style" w:hAnsi="Bookman Old Style"/>
          <w:color w:val="000000"/>
          <w:lang w:val="es-ES_tradnl"/>
        </w:rPr>
      </w:pPr>
    </w:p>
    <w:p w14:paraId="2DC9434A" w14:textId="006C09F1" w:rsidR="00273C2C" w:rsidRDefault="00273C2C" w:rsidP="00791FE2">
      <w:pPr>
        <w:keepNext/>
        <w:ind w:left="0"/>
        <w:jc w:val="center"/>
        <w:rPr>
          <w:rFonts w:ascii="Bookman Old Style" w:hAnsi="Bookman Old Style" w:cs="Arial"/>
        </w:rPr>
      </w:pPr>
      <w:r w:rsidRPr="00317451">
        <w:rPr>
          <w:rFonts w:ascii="Bookman Old Style" w:hAnsi="Bookman Old Style" w:cs="Arial"/>
          <w:b/>
          <w:spacing w:val="80"/>
        </w:rPr>
        <w:lastRenderedPageBreak/>
        <w:t>RESUELVE</w:t>
      </w:r>
      <w:r w:rsidRPr="00317451">
        <w:rPr>
          <w:rFonts w:ascii="Bookman Old Style" w:hAnsi="Bookman Old Style" w:cs="Arial"/>
        </w:rPr>
        <w:t>:</w:t>
      </w:r>
    </w:p>
    <w:p w14:paraId="4BC61FFE" w14:textId="77777777" w:rsidR="00791FE2" w:rsidRPr="00317451" w:rsidRDefault="00791FE2" w:rsidP="00791FE2">
      <w:pPr>
        <w:keepNext/>
        <w:ind w:left="0"/>
        <w:jc w:val="center"/>
        <w:rPr>
          <w:rFonts w:ascii="Bookman Old Style" w:hAnsi="Bookman Old Style" w:cs="Arial"/>
        </w:rPr>
      </w:pPr>
    </w:p>
    <w:p w14:paraId="1D27281B" w14:textId="0AC62B05" w:rsidR="002D1ECA" w:rsidRDefault="002D1ECA" w:rsidP="00791FE2">
      <w:pPr>
        <w:keepNext/>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6F6D124A" w14:textId="77777777" w:rsidR="00791FE2" w:rsidRPr="001954E9" w:rsidRDefault="00791FE2" w:rsidP="00791FE2">
      <w:pPr>
        <w:keepNext/>
        <w:ind w:left="0"/>
        <w:jc w:val="center"/>
        <w:rPr>
          <w:rFonts w:ascii="Bookman Old Style" w:hAnsi="Bookman Old Style" w:cs="Arial"/>
          <w:b/>
          <w:spacing w:val="80"/>
        </w:rPr>
      </w:pPr>
    </w:p>
    <w:p w14:paraId="023A4C75" w14:textId="466398EB" w:rsidR="002D1ECA" w:rsidRDefault="002D1ECA" w:rsidP="00791FE2">
      <w:pPr>
        <w:keepNext/>
        <w:ind w:left="0"/>
        <w:jc w:val="center"/>
        <w:rPr>
          <w:rFonts w:ascii="Bookman Old Style" w:hAnsi="Bookman Old Style" w:cs="Arial"/>
          <w:b/>
          <w:spacing w:val="80"/>
        </w:rPr>
      </w:pPr>
      <w:r>
        <w:rPr>
          <w:rFonts w:ascii="Bookman Old Style" w:hAnsi="Bookman Old Style" w:cs="Arial"/>
          <w:b/>
          <w:spacing w:val="80"/>
        </w:rPr>
        <w:t>CARGO DE DISTRIBUCIÓN</w:t>
      </w:r>
    </w:p>
    <w:p w14:paraId="75EE48E8" w14:textId="77777777" w:rsidR="00791FE2" w:rsidRPr="001954E9" w:rsidRDefault="00791FE2" w:rsidP="00791FE2">
      <w:pPr>
        <w:keepNext/>
        <w:ind w:left="0"/>
        <w:jc w:val="center"/>
        <w:rPr>
          <w:rFonts w:ascii="Bookman Old Style" w:hAnsi="Bookman Old Style" w:cs="Arial"/>
          <w:b/>
          <w:spacing w:val="80"/>
        </w:rPr>
      </w:pPr>
    </w:p>
    <w:p w14:paraId="1193E445" w14:textId="40195308"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590E65">
        <w:rPr>
          <w:rFonts w:ascii="Bookman Old Style" w:hAnsi="Bookman Old Style" w:cs="Arial"/>
        </w:rPr>
        <w:t>3</w:t>
      </w:r>
      <w:r w:rsidR="00834B60" w:rsidRPr="00341E8F">
        <w:rPr>
          <w:rFonts w:ascii="Bookman Old Style" w:hAnsi="Bookman Old Style" w:cs="Arial"/>
        </w:rPr>
        <w:t xml:space="preserve"> </w:t>
      </w:r>
      <w:bookmarkStart w:id="4"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090 de 2018,132 de 2018 y</w:t>
      </w:r>
      <w:r w:rsidR="009C348E">
        <w:rPr>
          <w:rFonts w:ascii="Bookman Old Style" w:hAnsi="Bookman Old Style" w:cs="Arial"/>
        </w:rPr>
        <w:t xml:space="preserve"> </w:t>
      </w:r>
      <w:r w:rsidR="007213C9" w:rsidRPr="00713F06">
        <w:rPr>
          <w:rFonts w:ascii="Bookman Old Style" w:hAnsi="Bookman Old Style" w:cs="Arial"/>
        </w:rPr>
        <w:t>011 de 2020</w:t>
      </w:r>
      <w:bookmarkEnd w:id="4"/>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 xml:space="preserve">para el Siguiente Periodo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962B20">
        <w:rPr>
          <w:rFonts w:ascii="Bookman Old Style" w:hAnsi="Bookman Old Style" w:cs="Arial"/>
        </w:rPr>
        <w:t xml:space="preserve">Especial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396899">
        <w:rPr>
          <w:rFonts w:ascii="Bookman Old Style" w:hAnsi="Bookman Old Style" w:cs="Arial"/>
          <w:szCs w:val="20"/>
          <w:lang w:val="es-ES_tradnl"/>
        </w:rPr>
        <w:t>las</w:t>
      </w:r>
      <w:r w:rsidR="009F40BC">
        <w:rPr>
          <w:rFonts w:ascii="Bookman Old Style" w:hAnsi="Bookman Old Style" w:cs="Arial"/>
        </w:rPr>
        <w:t xml:space="preserve"> </w:t>
      </w:r>
      <w:r w:rsidR="00834B60">
        <w:rPr>
          <w:rFonts w:ascii="Bookman Old Style" w:hAnsi="Bookman Old Style" w:cs="Arial"/>
        </w:rPr>
        <w:t>siguiente</w:t>
      </w:r>
      <w:r w:rsidR="00396899">
        <w:rPr>
          <w:rFonts w:ascii="Bookman Old Style" w:hAnsi="Bookman Old Style" w:cs="Arial"/>
        </w:rPr>
        <w:t>s</w:t>
      </w:r>
      <w:r w:rsidR="000A4571">
        <w:rPr>
          <w:rFonts w:ascii="Bookman Old Style" w:hAnsi="Bookman Old Style" w:cs="Arial"/>
        </w:rPr>
        <w:t xml:space="preserve"> </w:t>
      </w:r>
      <w:r w:rsidR="00396899">
        <w:rPr>
          <w:rFonts w:ascii="Bookman Old Style" w:hAnsi="Bookman Old Style" w:cs="Arial"/>
        </w:rPr>
        <w:t>veredas</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692973" w:rsidRPr="00010337" w14:paraId="257D5F2B" w14:textId="77777777" w:rsidTr="00305A65">
        <w:trPr>
          <w:tblHeader/>
          <w:jc w:val="center"/>
        </w:trPr>
        <w:tc>
          <w:tcPr>
            <w:tcW w:w="1960" w:type="dxa"/>
            <w:shd w:val="clear" w:color="auto" w:fill="D9D9D9" w:themeFill="background1" w:themeFillShade="D9"/>
            <w:vAlign w:val="center"/>
          </w:tcPr>
          <w:p w14:paraId="66F365C9" w14:textId="77777777" w:rsidR="00692973" w:rsidRPr="00C03DBE" w:rsidRDefault="00692973" w:rsidP="00305A65">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2294B686" w14:textId="77777777" w:rsidR="00692973" w:rsidRPr="00C03DBE" w:rsidRDefault="00692973" w:rsidP="00305A65">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3E2AF8BD" w14:textId="77777777" w:rsidR="00692973" w:rsidRPr="00C03DBE" w:rsidRDefault="00692973" w:rsidP="00305A65">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11953E22" w14:textId="77777777" w:rsidR="00692973" w:rsidRPr="00C03DBE" w:rsidRDefault="00692973" w:rsidP="00305A65">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600426" w:rsidRPr="00010337" w14:paraId="63AAEB9D" w14:textId="77777777" w:rsidTr="00305A65">
        <w:trPr>
          <w:jc w:val="center"/>
        </w:trPr>
        <w:tc>
          <w:tcPr>
            <w:tcW w:w="1960" w:type="dxa"/>
            <w:shd w:val="clear" w:color="auto" w:fill="auto"/>
          </w:tcPr>
          <w:p w14:paraId="55B8ACAB" w14:textId="4A0E4528" w:rsidR="00600426" w:rsidRPr="006D6067" w:rsidRDefault="00600426" w:rsidP="00600426">
            <w:pPr>
              <w:ind w:left="22" w:hanging="22"/>
              <w:jc w:val="center"/>
              <w:rPr>
                <w:rFonts w:ascii="Bookman Old Style" w:hAnsi="Bookman Old Style"/>
                <w:sz w:val="22"/>
                <w:szCs w:val="22"/>
                <w:lang w:val="es-CO" w:eastAsia="es-CO"/>
              </w:rPr>
            </w:pPr>
            <w:r w:rsidRPr="00E61EA2">
              <w:rPr>
                <w:rFonts w:ascii="Bookman Old Style" w:hAnsi="Bookman Old Style"/>
                <w:sz w:val="22"/>
                <w:szCs w:val="22"/>
                <w:lang w:val="es-CO" w:eastAsia="es-CO"/>
              </w:rPr>
              <w:t>4101300</w:t>
            </w:r>
            <w:r>
              <w:rPr>
                <w:rFonts w:ascii="Bookman Old Style" w:hAnsi="Bookman Old Style"/>
                <w:sz w:val="22"/>
                <w:szCs w:val="22"/>
                <w:lang w:val="es-CO" w:eastAsia="es-CO"/>
              </w:rPr>
              <w:t>4</w:t>
            </w:r>
          </w:p>
        </w:tc>
        <w:tc>
          <w:tcPr>
            <w:tcW w:w="1744" w:type="dxa"/>
            <w:vAlign w:val="center"/>
          </w:tcPr>
          <w:p w14:paraId="28C4F0DE"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Astillero</w:t>
            </w:r>
          </w:p>
        </w:tc>
        <w:tc>
          <w:tcPr>
            <w:tcW w:w="1744" w:type="dxa"/>
          </w:tcPr>
          <w:p w14:paraId="265938D6" w14:textId="77777777" w:rsidR="00600426" w:rsidRDefault="00600426" w:rsidP="00600426">
            <w:pPr>
              <w:ind w:left="22" w:hanging="22"/>
              <w:jc w:val="center"/>
              <w:rPr>
                <w:rFonts w:ascii="Bookman Old Style" w:hAnsi="Bookman Old Style"/>
                <w:color w:val="000000"/>
                <w:sz w:val="22"/>
                <w:szCs w:val="22"/>
              </w:rPr>
            </w:pPr>
            <w:r w:rsidRPr="00EC7982">
              <w:rPr>
                <w:rFonts w:ascii="Bookman Old Style" w:hAnsi="Bookman Old Style"/>
                <w:color w:val="000000"/>
                <w:sz w:val="22"/>
                <w:szCs w:val="22"/>
              </w:rPr>
              <w:t>Agrado</w:t>
            </w:r>
          </w:p>
        </w:tc>
        <w:tc>
          <w:tcPr>
            <w:tcW w:w="2362" w:type="dxa"/>
            <w:shd w:val="clear" w:color="auto" w:fill="auto"/>
            <w:vAlign w:val="center"/>
          </w:tcPr>
          <w:p w14:paraId="47E62875" w14:textId="77777777" w:rsidR="00600426" w:rsidRPr="006D6067"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600426" w:rsidRPr="00010337" w14:paraId="1549F9E3" w14:textId="77777777" w:rsidTr="00305A65">
        <w:trPr>
          <w:jc w:val="center"/>
        </w:trPr>
        <w:tc>
          <w:tcPr>
            <w:tcW w:w="1960" w:type="dxa"/>
            <w:shd w:val="clear" w:color="auto" w:fill="auto"/>
          </w:tcPr>
          <w:p w14:paraId="2F1DE172" w14:textId="6448A8C7" w:rsidR="00600426" w:rsidRDefault="00600426" w:rsidP="00600426">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w:t>
            </w:r>
          </w:p>
        </w:tc>
        <w:tc>
          <w:tcPr>
            <w:tcW w:w="1744" w:type="dxa"/>
            <w:vAlign w:val="center"/>
          </w:tcPr>
          <w:p w14:paraId="285E8C1C"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La María</w:t>
            </w:r>
          </w:p>
        </w:tc>
        <w:tc>
          <w:tcPr>
            <w:tcW w:w="1744" w:type="dxa"/>
          </w:tcPr>
          <w:p w14:paraId="4E31E2C4" w14:textId="77777777" w:rsidR="00600426" w:rsidRDefault="00600426" w:rsidP="00600426">
            <w:pPr>
              <w:ind w:left="22" w:hanging="22"/>
              <w:jc w:val="center"/>
              <w:rPr>
                <w:rFonts w:ascii="Bookman Old Style" w:hAnsi="Bookman Old Style"/>
                <w:color w:val="000000"/>
                <w:sz w:val="22"/>
                <w:szCs w:val="22"/>
              </w:rPr>
            </w:pPr>
            <w:r w:rsidRPr="00EC7982">
              <w:rPr>
                <w:rFonts w:ascii="Bookman Old Style" w:hAnsi="Bookman Old Style"/>
                <w:color w:val="000000"/>
                <w:sz w:val="22"/>
                <w:szCs w:val="22"/>
              </w:rPr>
              <w:t>Agrado</w:t>
            </w:r>
          </w:p>
        </w:tc>
        <w:tc>
          <w:tcPr>
            <w:tcW w:w="2362" w:type="dxa"/>
            <w:shd w:val="clear" w:color="auto" w:fill="auto"/>
            <w:vAlign w:val="center"/>
          </w:tcPr>
          <w:p w14:paraId="6AD555D0"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600426" w:rsidRPr="00010337" w14:paraId="2778B168" w14:textId="77777777" w:rsidTr="00305A65">
        <w:trPr>
          <w:jc w:val="center"/>
        </w:trPr>
        <w:tc>
          <w:tcPr>
            <w:tcW w:w="1960" w:type="dxa"/>
            <w:shd w:val="clear" w:color="auto" w:fill="auto"/>
          </w:tcPr>
          <w:p w14:paraId="52042D8A" w14:textId="0D83B099" w:rsidR="00600426" w:rsidRDefault="00600426" w:rsidP="00600426">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w:t>
            </w:r>
          </w:p>
        </w:tc>
        <w:tc>
          <w:tcPr>
            <w:tcW w:w="1744" w:type="dxa"/>
            <w:vAlign w:val="center"/>
          </w:tcPr>
          <w:p w14:paraId="0553EA31"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Granadillo</w:t>
            </w:r>
          </w:p>
        </w:tc>
        <w:tc>
          <w:tcPr>
            <w:tcW w:w="1744" w:type="dxa"/>
          </w:tcPr>
          <w:p w14:paraId="7F4C1238" w14:textId="77777777" w:rsidR="00600426" w:rsidRDefault="00600426" w:rsidP="00600426">
            <w:pPr>
              <w:ind w:left="22" w:hanging="22"/>
              <w:jc w:val="center"/>
              <w:rPr>
                <w:rFonts w:ascii="Bookman Old Style" w:hAnsi="Bookman Old Style"/>
                <w:color w:val="000000"/>
                <w:sz w:val="22"/>
                <w:szCs w:val="22"/>
              </w:rPr>
            </w:pPr>
            <w:r w:rsidRPr="00EC7982">
              <w:rPr>
                <w:rFonts w:ascii="Bookman Old Style" w:hAnsi="Bookman Old Style"/>
                <w:color w:val="000000"/>
                <w:sz w:val="22"/>
                <w:szCs w:val="22"/>
              </w:rPr>
              <w:t>Agrado</w:t>
            </w:r>
          </w:p>
        </w:tc>
        <w:tc>
          <w:tcPr>
            <w:tcW w:w="2362" w:type="dxa"/>
            <w:shd w:val="clear" w:color="auto" w:fill="auto"/>
            <w:vAlign w:val="center"/>
          </w:tcPr>
          <w:p w14:paraId="2463E5EE"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600426" w:rsidRPr="00010337" w14:paraId="1FD0C228" w14:textId="77777777" w:rsidTr="00305A65">
        <w:trPr>
          <w:jc w:val="center"/>
        </w:trPr>
        <w:tc>
          <w:tcPr>
            <w:tcW w:w="1960" w:type="dxa"/>
            <w:shd w:val="clear" w:color="auto" w:fill="auto"/>
            <w:vAlign w:val="center"/>
          </w:tcPr>
          <w:p w14:paraId="5C3AA35E" w14:textId="66052094" w:rsidR="00600426" w:rsidRDefault="00600426" w:rsidP="00600426">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41013001</w:t>
            </w:r>
          </w:p>
        </w:tc>
        <w:tc>
          <w:tcPr>
            <w:tcW w:w="1744" w:type="dxa"/>
            <w:vAlign w:val="center"/>
          </w:tcPr>
          <w:p w14:paraId="509A3D04"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Alto Buenavista</w:t>
            </w:r>
          </w:p>
        </w:tc>
        <w:tc>
          <w:tcPr>
            <w:tcW w:w="1744" w:type="dxa"/>
            <w:vAlign w:val="center"/>
          </w:tcPr>
          <w:p w14:paraId="4823A38F" w14:textId="77777777" w:rsidR="00600426" w:rsidRDefault="00600426" w:rsidP="00600426">
            <w:pPr>
              <w:ind w:left="22" w:hanging="22"/>
              <w:jc w:val="center"/>
              <w:rPr>
                <w:rFonts w:ascii="Bookman Old Style" w:hAnsi="Bookman Old Style"/>
                <w:color w:val="000000"/>
                <w:sz w:val="22"/>
                <w:szCs w:val="22"/>
              </w:rPr>
            </w:pPr>
            <w:r w:rsidRPr="00EC7982">
              <w:rPr>
                <w:rFonts w:ascii="Bookman Old Style" w:hAnsi="Bookman Old Style"/>
                <w:color w:val="000000"/>
                <w:sz w:val="22"/>
                <w:szCs w:val="22"/>
              </w:rPr>
              <w:t>Agrado</w:t>
            </w:r>
          </w:p>
        </w:tc>
        <w:tc>
          <w:tcPr>
            <w:tcW w:w="2362" w:type="dxa"/>
            <w:shd w:val="clear" w:color="auto" w:fill="auto"/>
            <w:vAlign w:val="center"/>
          </w:tcPr>
          <w:p w14:paraId="1A468E60"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600426" w:rsidRPr="00010337" w14:paraId="5B87AA1A" w14:textId="77777777" w:rsidTr="00305A65">
        <w:trPr>
          <w:jc w:val="center"/>
        </w:trPr>
        <w:tc>
          <w:tcPr>
            <w:tcW w:w="1960" w:type="dxa"/>
            <w:shd w:val="clear" w:color="auto" w:fill="auto"/>
            <w:vAlign w:val="center"/>
          </w:tcPr>
          <w:p w14:paraId="26B544BC" w14:textId="6CB8D50A" w:rsidR="00600426" w:rsidRDefault="00600426" w:rsidP="00600426">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41006016</w:t>
            </w:r>
          </w:p>
        </w:tc>
        <w:tc>
          <w:tcPr>
            <w:tcW w:w="1744" w:type="dxa"/>
            <w:vAlign w:val="center"/>
          </w:tcPr>
          <w:p w14:paraId="131AAFB9"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La Carbona</w:t>
            </w:r>
          </w:p>
        </w:tc>
        <w:tc>
          <w:tcPr>
            <w:tcW w:w="1744" w:type="dxa"/>
            <w:vAlign w:val="center"/>
          </w:tcPr>
          <w:p w14:paraId="01D4145E" w14:textId="77777777" w:rsidR="00600426" w:rsidRDefault="00600426" w:rsidP="00600426">
            <w:pPr>
              <w:ind w:left="22" w:hanging="22"/>
              <w:jc w:val="center"/>
              <w:rPr>
                <w:rFonts w:ascii="Bookman Old Style" w:hAnsi="Bookman Old Style"/>
                <w:color w:val="000000"/>
                <w:sz w:val="22"/>
                <w:szCs w:val="22"/>
              </w:rPr>
            </w:pPr>
            <w:r>
              <w:rPr>
                <w:rFonts w:ascii="Bookman Old Style" w:hAnsi="Bookman Old Style"/>
                <w:color w:val="000000"/>
                <w:sz w:val="22"/>
                <w:szCs w:val="22"/>
              </w:rPr>
              <w:t>Acevedo</w:t>
            </w:r>
          </w:p>
        </w:tc>
        <w:tc>
          <w:tcPr>
            <w:tcW w:w="2362" w:type="dxa"/>
            <w:shd w:val="clear" w:color="auto" w:fill="auto"/>
          </w:tcPr>
          <w:p w14:paraId="401E0A8D" w14:textId="77777777" w:rsidR="00600426" w:rsidRDefault="00600426" w:rsidP="00600426">
            <w:pPr>
              <w:ind w:left="22" w:hanging="22"/>
              <w:jc w:val="center"/>
              <w:rPr>
                <w:rFonts w:ascii="Bookman Old Style" w:hAnsi="Bookman Old Style"/>
                <w:color w:val="000000"/>
                <w:sz w:val="22"/>
                <w:szCs w:val="22"/>
              </w:rPr>
            </w:pPr>
            <w:r w:rsidRPr="0023769F">
              <w:rPr>
                <w:rFonts w:ascii="Bookman Old Style" w:hAnsi="Bookman Old Style"/>
                <w:color w:val="000000"/>
                <w:sz w:val="22"/>
                <w:szCs w:val="22"/>
              </w:rPr>
              <w:t>Huila</w:t>
            </w:r>
          </w:p>
        </w:tc>
      </w:tr>
      <w:tr w:rsidR="00600426" w:rsidRPr="00010337" w14:paraId="0710B09B" w14:textId="77777777" w:rsidTr="002B1A32">
        <w:trPr>
          <w:jc w:val="center"/>
        </w:trPr>
        <w:tc>
          <w:tcPr>
            <w:tcW w:w="1960" w:type="dxa"/>
            <w:shd w:val="clear" w:color="auto" w:fill="auto"/>
            <w:vAlign w:val="center"/>
          </w:tcPr>
          <w:p w14:paraId="7E9580FB" w14:textId="1B366504" w:rsidR="00600426" w:rsidRDefault="00600426" w:rsidP="002B1A3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41676</w:t>
            </w:r>
            <w:r w:rsidR="002B1A32">
              <w:rPr>
                <w:rFonts w:ascii="Bookman Old Style" w:hAnsi="Bookman Old Style"/>
                <w:sz w:val="22"/>
                <w:szCs w:val="22"/>
                <w:lang w:val="es-CO" w:eastAsia="es-CO"/>
              </w:rPr>
              <w:t>013</w:t>
            </w:r>
            <w:r w:rsidR="00FD4FA1">
              <w:rPr>
                <w:rStyle w:val="Refdenotaalpie"/>
                <w:rFonts w:ascii="Bookman Old Style" w:hAnsi="Bookman Old Style"/>
                <w:sz w:val="22"/>
                <w:szCs w:val="22"/>
                <w:lang w:val="es-CO" w:eastAsia="es-CO"/>
              </w:rPr>
              <w:footnoteReference w:id="5"/>
            </w:r>
          </w:p>
        </w:tc>
        <w:tc>
          <w:tcPr>
            <w:tcW w:w="1744" w:type="dxa"/>
            <w:vAlign w:val="center"/>
          </w:tcPr>
          <w:p w14:paraId="48821FB5" w14:textId="6FC1AFB3" w:rsidR="00600426" w:rsidRDefault="002B1A32" w:rsidP="002B1A32">
            <w:pPr>
              <w:ind w:left="22" w:hanging="22"/>
              <w:jc w:val="center"/>
              <w:rPr>
                <w:rFonts w:ascii="Bookman Old Style" w:hAnsi="Bookman Old Style"/>
                <w:color w:val="000000"/>
                <w:sz w:val="22"/>
                <w:szCs w:val="22"/>
              </w:rPr>
            </w:pPr>
            <w:r>
              <w:rPr>
                <w:rFonts w:ascii="Bookman Old Style" w:hAnsi="Bookman Old Style"/>
                <w:color w:val="000000"/>
                <w:sz w:val="22"/>
                <w:szCs w:val="22"/>
              </w:rPr>
              <w:t>El Encanto-</w:t>
            </w:r>
            <w:r w:rsidR="00600426">
              <w:rPr>
                <w:rFonts w:ascii="Bookman Old Style" w:hAnsi="Bookman Old Style"/>
                <w:color w:val="000000"/>
                <w:sz w:val="22"/>
                <w:szCs w:val="22"/>
              </w:rPr>
              <w:t>Las Juntas</w:t>
            </w:r>
          </w:p>
        </w:tc>
        <w:tc>
          <w:tcPr>
            <w:tcW w:w="1744" w:type="dxa"/>
            <w:vAlign w:val="center"/>
          </w:tcPr>
          <w:p w14:paraId="43074CC7" w14:textId="77777777" w:rsidR="00600426" w:rsidRDefault="00600426" w:rsidP="002B1A32">
            <w:pPr>
              <w:ind w:left="22" w:hanging="22"/>
              <w:jc w:val="center"/>
              <w:rPr>
                <w:rFonts w:ascii="Bookman Old Style" w:hAnsi="Bookman Old Style"/>
                <w:color w:val="000000"/>
                <w:sz w:val="22"/>
                <w:szCs w:val="22"/>
              </w:rPr>
            </w:pPr>
            <w:r>
              <w:rPr>
                <w:rFonts w:ascii="Bookman Old Style" w:hAnsi="Bookman Old Style"/>
                <w:color w:val="000000"/>
                <w:sz w:val="22"/>
                <w:szCs w:val="22"/>
              </w:rPr>
              <w:t>Santa María</w:t>
            </w:r>
          </w:p>
        </w:tc>
        <w:tc>
          <w:tcPr>
            <w:tcW w:w="2362" w:type="dxa"/>
            <w:shd w:val="clear" w:color="auto" w:fill="auto"/>
            <w:vAlign w:val="center"/>
          </w:tcPr>
          <w:p w14:paraId="0A1948F6" w14:textId="77777777" w:rsidR="00600426" w:rsidRDefault="00600426" w:rsidP="002B1A32">
            <w:pPr>
              <w:ind w:left="22" w:hanging="22"/>
              <w:jc w:val="center"/>
              <w:rPr>
                <w:rFonts w:ascii="Bookman Old Style" w:hAnsi="Bookman Old Style"/>
                <w:color w:val="000000"/>
                <w:sz w:val="22"/>
                <w:szCs w:val="22"/>
              </w:rPr>
            </w:pPr>
            <w:r w:rsidRPr="0023769F">
              <w:rPr>
                <w:rFonts w:ascii="Bookman Old Style" w:hAnsi="Bookman Old Style"/>
                <w:color w:val="000000"/>
                <w:sz w:val="22"/>
                <w:szCs w:val="22"/>
              </w:rPr>
              <w:t>Huila</w:t>
            </w:r>
          </w:p>
        </w:tc>
      </w:tr>
    </w:tbl>
    <w:p w14:paraId="4575E51F" w14:textId="144288BD" w:rsidR="00BD308B" w:rsidRDefault="00BD308B" w:rsidP="00BD308B">
      <w:pPr>
        <w:tabs>
          <w:tab w:val="left" w:pos="0"/>
        </w:tabs>
        <w:adjustRightInd w:val="0"/>
        <w:spacing w:before="240" w:after="240"/>
        <w:ind w:left="0" w:right="23"/>
        <w:jc w:val="both"/>
        <w:rPr>
          <w:rFonts w:ascii="Bookman Old Style" w:hAnsi="Bookman Old Style" w:cs="Arial"/>
        </w:rPr>
      </w:pPr>
      <w:r w:rsidRPr="00570730">
        <w:rPr>
          <w:rFonts w:ascii="Bookman Old Style" w:hAnsi="Bookman Old Style" w:cs="Arial"/>
          <w:b/>
          <w:bCs/>
        </w:rPr>
        <w:t>PARÁGRAFO.</w:t>
      </w:r>
      <w:r>
        <w:rPr>
          <w:rFonts w:ascii="Bookman Old Style" w:hAnsi="Bookman Old Style" w:cs="Arial"/>
        </w:rPr>
        <w:t xml:space="preserve"> </w:t>
      </w:r>
      <w:r w:rsidRPr="00FE5285">
        <w:rPr>
          <w:rFonts w:ascii="Bookman Old Style" w:hAnsi="Bookman Old Style" w:cs="Arial"/>
        </w:rPr>
        <w:t>En aplicación de lo establecido en el Anexo 21</w:t>
      </w:r>
      <w:r>
        <w:rPr>
          <w:rFonts w:ascii="Bookman Old Style" w:hAnsi="Bookman Old Style" w:cs="Arial"/>
        </w:rPr>
        <w:t xml:space="preserve"> de la metodología contenida en las </w:t>
      </w:r>
      <w:r w:rsidRPr="006C7C28">
        <w:rPr>
          <w:rFonts w:ascii="Bookman Old Style" w:hAnsi="Bookman Old Style" w:cs="Arial"/>
        </w:rPr>
        <w:t xml:space="preserve">Resoluciones CREG 202 de 2013, 138 de 2014, 090 de 2018, </w:t>
      </w:r>
      <w:r>
        <w:rPr>
          <w:rFonts w:ascii="Bookman Old Style" w:hAnsi="Bookman Old Style" w:cs="Arial"/>
        </w:rPr>
        <w:t>132 de 2018</w:t>
      </w:r>
      <w:r w:rsidRPr="006C7C28">
        <w:rPr>
          <w:rFonts w:ascii="Bookman Old Style" w:hAnsi="Bookman Old Style" w:cs="Arial"/>
        </w:rPr>
        <w:t xml:space="preserve"> y 011 de 2020</w:t>
      </w:r>
      <w:r>
        <w:rPr>
          <w:rFonts w:ascii="Bookman Old Style" w:hAnsi="Bookman Old Style" w:cs="Arial"/>
        </w:rPr>
        <w:t xml:space="preserve">, </w:t>
      </w:r>
      <w:r w:rsidRPr="00FE5285">
        <w:rPr>
          <w:rFonts w:ascii="Bookman Old Style" w:hAnsi="Bookman Old Style" w:cs="Arial"/>
        </w:rPr>
        <w:t xml:space="preserve">el Mercado Relevante de Distribución </w:t>
      </w:r>
      <w:r>
        <w:rPr>
          <w:rFonts w:ascii="Bookman Old Style" w:hAnsi="Bookman Old Style" w:cs="Arial"/>
        </w:rPr>
        <w:t xml:space="preserve">Especial </w:t>
      </w:r>
      <w:r w:rsidRPr="00FE5285">
        <w:rPr>
          <w:rFonts w:ascii="Bookman Old Style" w:hAnsi="Bookman Old Style" w:cs="Arial"/>
        </w:rPr>
        <w:t>para el Siguiente Periodo Tarifario</w:t>
      </w:r>
      <w:r>
        <w:rPr>
          <w:rFonts w:ascii="Bookman Old Style" w:hAnsi="Bookman Old Style" w:cs="Arial"/>
        </w:rPr>
        <w:t xml:space="preserve"> aprobado en el presente Artículo</w:t>
      </w:r>
      <w:r w:rsidRPr="00FE5285">
        <w:rPr>
          <w:rFonts w:ascii="Bookman Old Style" w:hAnsi="Bookman Old Style" w:cs="Arial"/>
        </w:rPr>
        <w:t xml:space="preserve"> </w:t>
      </w:r>
      <w:r>
        <w:rPr>
          <w:rFonts w:ascii="Bookman Old Style" w:hAnsi="Bookman Old Style" w:cs="Arial"/>
        </w:rPr>
        <w:t xml:space="preserve">se divide </w:t>
      </w:r>
      <w:r w:rsidRPr="00FE5285">
        <w:rPr>
          <w:rFonts w:ascii="Bookman Old Style" w:hAnsi="Bookman Old Style" w:cs="Arial"/>
        </w:rPr>
        <w:t xml:space="preserve">en los siguientes submercados, según la asignación de recursos públicos </w:t>
      </w:r>
      <w:r w:rsidR="00984F93">
        <w:rPr>
          <w:rFonts w:ascii="Bookman Old Style" w:hAnsi="Bookman Old Style" w:cs="Arial"/>
        </w:rPr>
        <w:t>para las veredas q</w:t>
      </w:r>
      <w:r w:rsidRPr="00FE5285">
        <w:rPr>
          <w:rFonts w:ascii="Bookman Old Style" w:hAnsi="Bookman Old Style" w:cs="Arial"/>
        </w:rPr>
        <w:t>ue lo conforman:</w:t>
      </w:r>
    </w:p>
    <w:tbl>
      <w:tblPr>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5"/>
        <w:gridCol w:w="1235"/>
        <w:gridCol w:w="1359"/>
        <w:gridCol w:w="1359"/>
        <w:gridCol w:w="1975"/>
        <w:gridCol w:w="1849"/>
      </w:tblGrid>
      <w:tr w:rsidR="008E43D1" w:rsidRPr="008E43D1" w14:paraId="5FAD865A" w14:textId="77777777" w:rsidTr="00A02534">
        <w:trPr>
          <w:trHeight w:val="985"/>
          <w:tblHeader/>
          <w:jc w:val="center"/>
        </w:trPr>
        <w:tc>
          <w:tcPr>
            <w:tcW w:w="1725" w:type="dxa"/>
            <w:shd w:val="clear" w:color="auto" w:fill="D9D9D9" w:themeFill="background1" w:themeFillShade="D9"/>
            <w:vAlign w:val="center"/>
          </w:tcPr>
          <w:p w14:paraId="5017FD0D" w14:textId="77777777" w:rsidR="008E43D1" w:rsidRPr="00A02534" w:rsidRDefault="008E43D1" w:rsidP="00305A65">
            <w:pPr>
              <w:keepNext/>
              <w:ind w:left="0"/>
              <w:jc w:val="center"/>
              <w:rPr>
                <w:rFonts w:ascii="Bookman Old Style" w:hAnsi="Bookman Old Style" w:cs="Arial"/>
                <w:b/>
                <w:sz w:val="18"/>
                <w:szCs w:val="18"/>
              </w:rPr>
            </w:pPr>
            <w:r w:rsidRPr="00A02534">
              <w:rPr>
                <w:rFonts w:ascii="Bookman Old Style" w:hAnsi="Bookman Old Style" w:cs="Arial"/>
                <w:b/>
                <w:sz w:val="18"/>
                <w:szCs w:val="18"/>
              </w:rPr>
              <w:t>NO. SUBMERCADO</w:t>
            </w:r>
          </w:p>
        </w:tc>
        <w:tc>
          <w:tcPr>
            <w:tcW w:w="1235" w:type="dxa"/>
            <w:shd w:val="clear" w:color="auto" w:fill="D9D9D9" w:themeFill="background1" w:themeFillShade="D9"/>
            <w:vAlign w:val="center"/>
          </w:tcPr>
          <w:p w14:paraId="4353BE41" w14:textId="77777777" w:rsidR="008E43D1" w:rsidRPr="00A02534" w:rsidRDefault="008E43D1" w:rsidP="00305A65">
            <w:pPr>
              <w:keepNext/>
              <w:ind w:left="28"/>
              <w:jc w:val="center"/>
              <w:rPr>
                <w:rFonts w:ascii="Bookman Old Style" w:hAnsi="Bookman Old Style" w:cs="Arial"/>
                <w:b/>
                <w:sz w:val="18"/>
                <w:szCs w:val="18"/>
              </w:rPr>
            </w:pPr>
            <w:r w:rsidRPr="00A02534">
              <w:rPr>
                <w:rFonts w:ascii="Bookman Old Style" w:hAnsi="Bookman Old Style" w:cs="Arial"/>
                <w:b/>
                <w:sz w:val="18"/>
                <w:szCs w:val="18"/>
              </w:rPr>
              <w:t>CODIGO DANE</w:t>
            </w:r>
          </w:p>
        </w:tc>
        <w:tc>
          <w:tcPr>
            <w:tcW w:w="1359" w:type="dxa"/>
            <w:shd w:val="clear" w:color="auto" w:fill="D9D9D9" w:themeFill="background1" w:themeFillShade="D9"/>
            <w:vAlign w:val="center"/>
          </w:tcPr>
          <w:p w14:paraId="60337127" w14:textId="17E1F0A4" w:rsidR="008E43D1" w:rsidRPr="00A02534" w:rsidRDefault="008E43D1" w:rsidP="008E43D1">
            <w:pPr>
              <w:keepNext/>
              <w:ind w:left="0"/>
              <w:jc w:val="center"/>
              <w:rPr>
                <w:rFonts w:ascii="Bookman Old Style" w:hAnsi="Bookman Old Style" w:cs="Arial"/>
                <w:b/>
                <w:sz w:val="18"/>
                <w:szCs w:val="18"/>
              </w:rPr>
            </w:pPr>
            <w:r w:rsidRPr="00A02534">
              <w:rPr>
                <w:rFonts w:ascii="Bookman Old Style" w:hAnsi="Bookman Old Style" w:cs="Arial"/>
                <w:b/>
                <w:sz w:val="18"/>
                <w:szCs w:val="18"/>
              </w:rPr>
              <w:t>VEREDA</w:t>
            </w:r>
          </w:p>
        </w:tc>
        <w:tc>
          <w:tcPr>
            <w:tcW w:w="1359" w:type="dxa"/>
            <w:shd w:val="clear" w:color="auto" w:fill="D9D9D9" w:themeFill="background1" w:themeFillShade="D9"/>
            <w:vAlign w:val="center"/>
          </w:tcPr>
          <w:p w14:paraId="7EB697FB" w14:textId="0E94093F" w:rsidR="008E43D1" w:rsidRPr="00A02534" w:rsidRDefault="008E43D1" w:rsidP="00305A65">
            <w:pPr>
              <w:keepNext/>
              <w:ind w:left="0"/>
              <w:jc w:val="center"/>
              <w:rPr>
                <w:rFonts w:ascii="Bookman Old Style" w:hAnsi="Bookman Old Style" w:cs="Arial"/>
                <w:b/>
                <w:sz w:val="18"/>
                <w:szCs w:val="18"/>
              </w:rPr>
            </w:pPr>
            <w:r w:rsidRPr="00A02534">
              <w:rPr>
                <w:rFonts w:ascii="Bookman Old Style" w:hAnsi="Bookman Old Style" w:cs="Arial"/>
                <w:b/>
                <w:sz w:val="18"/>
                <w:szCs w:val="18"/>
              </w:rPr>
              <w:t>MUNICIPIO</w:t>
            </w:r>
          </w:p>
        </w:tc>
        <w:tc>
          <w:tcPr>
            <w:tcW w:w="1975" w:type="dxa"/>
            <w:shd w:val="clear" w:color="auto" w:fill="D9D9D9" w:themeFill="background1" w:themeFillShade="D9"/>
            <w:vAlign w:val="center"/>
          </w:tcPr>
          <w:p w14:paraId="3DF16641" w14:textId="77777777" w:rsidR="008E43D1" w:rsidRPr="00A02534" w:rsidRDefault="008E43D1" w:rsidP="00305A65">
            <w:pPr>
              <w:keepNext/>
              <w:ind w:left="0"/>
              <w:jc w:val="center"/>
              <w:rPr>
                <w:rFonts w:ascii="Bookman Old Style" w:hAnsi="Bookman Old Style" w:cs="Arial"/>
                <w:b/>
                <w:sz w:val="18"/>
                <w:szCs w:val="18"/>
              </w:rPr>
            </w:pPr>
            <w:r w:rsidRPr="00A02534">
              <w:rPr>
                <w:rFonts w:ascii="Bookman Old Style" w:hAnsi="Bookman Old Style" w:cs="Arial"/>
                <w:b/>
                <w:sz w:val="18"/>
                <w:szCs w:val="18"/>
              </w:rPr>
              <w:t>DEPARTAMENTO</w:t>
            </w:r>
          </w:p>
        </w:tc>
        <w:tc>
          <w:tcPr>
            <w:tcW w:w="1849" w:type="dxa"/>
            <w:shd w:val="clear" w:color="auto" w:fill="D9D9D9" w:themeFill="background1" w:themeFillShade="D9"/>
            <w:vAlign w:val="center"/>
          </w:tcPr>
          <w:p w14:paraId="70EC9F01" w14:textId="77777777" w:rsidR="008E43D1" w:rsidRPr="00A02534" w:rsidRDefault="008E43D1" w:rsidP="00305A65">
            <w:pPr>
              <w:keepNext/>
              <w:ind w:left="0"/>
              <w:jc w:val="center"/>
              <w:rPr>
                <w:rFonts w:ascii="Bookman Old Style" w:hAnsi="Bookman Old Style" w:cs="Arial"/>
                <w:b/>
                <w:sz w:val="18"/>
                <w:szCs w:val="18"/>
              </w:rPr>
            </w:pPr>
            <w:r w:rsidRPr="00A02534">
              <w:rPr>
                <w:rFonts w:ascii="Bookman Old Style" w:hAnsi="Bookman Old Style" w:cs="Arial"/>
                <w:b/>
                <w:sz w:val="18"/>
                <w:szCs w:val="18"/>
              </w:rPr>
              <w:t>CUENTA CON RECURSOS PÚBLICOS</w:t>
            </w:r>
          </w:p>
          <w:p w14:paraId="409CEFEF" w14:textId="77777777" w:rsidR="008E43D1" w:rsidRPr="00A02534" w:rsidRDefault="008E43D1" w:rsidP="00305A65">
            <w:pPr>
              <w:keepNext/>
              <w:ind w:left="-111"/>
              <w:jc w:val="center"/>
              <w:rPr>
                <w:rFonts w:ascii="Bookman Old Style" w:hAnsi="Bookman Old Style" w:cs="Arial"/>
                <w:b/>
                <w:sz w:val="18"/>
                <w:szCs w:val="18"/>
              </w:rPr>
            </w:pPr>
            <w:r w:rsidRPr="00A02534">
              <w:rPr>
                <w:rFonts w:ascii="Bookman Old Style" w:hAnsi="Bookman Old Style" w:cs="Arial"/>
                <w:b/>
                <w:sz w:val="18"/>
                <w:szCs w:val="18"/>
              </w:rPr>
              <w:t>SI/NO</w:t>
            </w:r>
          </w:p>
        </w:tc>
      </w:tr>
      <w:tr w:rsidR="00600426" w:rsidRPr="008E43D1" w14:paraId="00977FC5" w14:textId="77777777" w:rsidTr="00305A65">
        <w:trPr>
          <w:trHeight w:val="228"/>
          <w:jc w:val="center"/>
        </w:trPr>
        <w:tc>
          <w:tcPr>
            <w:tcW w:w="1725" w:type="dxa"/>
            <w:vAlign w:val="center"/>
          </w:tcPr>
          <w:p w14:paraId="1F08256E" w14:textId="77777777" w:rsidR="00600426" w:rsidRPr="00A02534" w:rsidRDefault="00600426" w:rsidP="00600426">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1</w:t>
            </w:r>
          </w:p>
        </w:tc>
        <w:tc>
          <w:tcPr>
            <w:tcW w:w="1235" w:type="dxa"/>
            <w:shd w:val="clear" w:color="auto" w:fill="auto"/>
          </w:tcPr>
          <w:p w14:paraId="1690B4AC" w14:textId="49750E6A" w:rsidR="00600426" w:rsidRPr="00600426" w:rsidRDefault="00600426" w:rsidP="00600426">
            <w:pPr>
              <w:ind w:left="22" w:hanging="22"/>
              <w:jc w:val="center"/>
              <w:rPr>
                <w:rFonts w:ascii="Bookman Old Style" w:hAnsi="Bookman Old Style"/>
                <w:sz w:val="18"/>
                <w:szCs w:val="18"/>
                <w:lang w:val="es-CO" w:eastAsia="es-CO"/>
              </w:rPr>
            </w:pPr>
            <w:r w:rsidRPr="00600426">
              <w:rPr>
                <w:rFonts w:ascii="Bookman Old Style" w:hAnsi="Bookman Old Style"/>
                <w:sz w:val="18"/>
                <w:szCs w:val="18"/>
                <w:lang w:val="es-CO" w:eastAsia="es-CO"/>
              </w:rPr>
              <w:t>41013004</w:t>
            </w:r>
          </w:p>
        </w:tc>
        <w:tc>
          <w:tcPr>
            <w:tcW w:w="1359" w:type="dxa"/>
            <w:vAlign w:val="center"/>
          </w:tcPr>
          <w:p w14:paraId="1D293D00" w14:textId="65FB8C9A"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Astillero</w:t>
            </w:r>
          </w:p>
        </w:tc>
        <w:tc>
          <w:tcPr>
            <w:tcW w:w="1359" w:type="dxa"/>
            <w:shd w:val="clear" w:color="auto" w:fill="auto"/>
            <w:vAlign w:val="center"/>
          </w:tcPr>
          <w:p w14:paraId="486FD771" w14:textId="12FA43E8"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Agrado</w:t>
            </w:r>
          </w:p>
        </w:tc>
        <w:tc>
          <w:tcPr>
            <w:tcW w:w="1975" w:type="dxa"/>
            <w:shd w:val="clear" w:color="auto" w:fill="auto"/>
            <w:vAlign w:val="center"/>
          </w:tcPr>
          <w:p w14:paraId="05A8E34B" w14:textId="2553760C" w:rsidR="00600426" w:rsidRPr="00A02534" w:rsidRDefault="00600426" w:rsidP="00600426">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Huila</w:t>
            </w:r>
          </w:p>
        </w:tc>
        <w:tc>
          <w:tcPr>
            <w:tcW w:w="1849" w:type="dxa"/>
            <w:vAlign w:val="center"/>
          </w:tcPr>
          <w:p w14:paraId="3B247489" w14:textId="77777777" w:rsidR="00600426" w:rsidRPr="00A02534" w:rsidRDefault="00600426" w:rsidP="00600426">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Sí</w:t>
            </w:r>
          </w:p>
        </w:tc>
      </w:tr>
      <w:tr w:rsidR="00600426" w:rsidRPr="008E43D1" w14:paraId="13DC3BEA" w14:textId="77777777" w:rsidTr="00305A65">
        <w:trPr>
          <w:trHeight w:val="242"/>
          <w:jc w:val="center"/>
        </w:trPr>
        <w:tc>
          <w:tcPr>
            <w:tcW w:w="1725" w:type="dxa"/>
            <w:vAlign w:val="center"/>
          </w:tcPr>
          <w:p w14:paraId="37339127" w14:textId="02F32A59" w:rsidR="00600426" w:rsidRPr="00A02534" w:rsidRDefault="00600426" w:rsidP="00600426">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1</w:t>
            </w:r>
          </w:p>
        </w:tc>
        <w:tc>
          <w:tcPr>
            <w:tcW w:w="1235" w:type="dxa"/>
            <w:shd w:val="clear" w:color="auto" w:fill="auto"/>
          </w:tcPr>
          <w:p w14:paraId="505465D3" w14:textId="418E1F11" w:rsidR="00600426" w:rsidRPr="00600426" w:rsidRDefault="00600426" w:rsidP="00600426">
            <w:pPr>
              <w:ind w:left="22" w:hanging="22"/>
              <w:jc w:val="center"/>
              <w:rPr>
                <w:rFonts w:ascii="Bookman Old Style" w:hAnsi="Bookman Old Style"/>
                <w:sz w:val="18"/>
                <w:szCs w:val="18"/>
                <w:lang w:val="es-CO" w:eastAsia="es-CO"/>
              </w:rPr>
            </w:pPr>
            <w:r w:rsidRPr="00600426">
              <w:rPr>
                <w:rFonts w:ascii="Bookman Old Style" w:hAnsi="Bookman Old Style"/>
                <w:sz w:val="18"/>
                <w:szCs w:val="18"/>
                <w:lang w:val="es-CO" w:eastAsia="es-CO"/>
              </w:rPr>
              <w:t>41013</w:t>
            </w:r>
          </w:p>
        </w:tc>
        <w:tc>
          <w:tcPr>
            <w:tcW w:w="1359" w:type="dxa"/>
            <w:vAlign w:val="center"/>
          </w:tcPr>
          <w:p w14:paraId="1CA52B18" w14:textId="205B17EE"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La María</w:t>
            </w:r>
          </w:p>
        </w:tc>
        <w:tc>
          <w:tcPr>
            <w:tcW w:w="1359" w:type="dxa"/>
            <w:shd w:val="clear" w:color="auto" w:fill="auto"/>
            <w:vAlign w:val="center"/>
          </w:tcPr>
          <w:p w14:paraId="50D335A1" w14:textId="703F23A9" w:rsidR="00600426" w:rsidRPr="00A02534" w:rsidRDefault="00600426" w:rsidP="00600426">
            <w:pPr>
              <w:ind w:left="22" w:hanging="22"/>
              <w:jc w:val="center"/>
              <w:rPr>
                <w:rFonts w:ascii="Bookman Old Style" w:hAnsi="Bookman Old Style"/>
                <w:color w:val="000000"/>
                <w:sz w:val="18"/>
                <w:szCs w:val="18"/>
              </w:rPr>
            </w:pPr>
            <w:r w:rsidRPr="000533CD">
              <w:rPr>
                <w:rFonts w:ascii="Bookman Old Style" w:hAnsi="Bookman Old Style"/>
                <w:color w:val="000000"/>
                <w:sz w:val="18"/>
                <w:szCs w:val="18"/>
              </w:rPr>
              <w:t>Agrado</w:t>
            </w:r>
          </w:p>
        </w:tc>
        <w:tc>
          <w:tcPr>
            <w:tcW w:w="1975" w:type="dxa"/>
            <w:shd w:val="clear" w:color="auto" w:fill="auto"/>
            <w:vAlign w:val="center"/>
          </w:tcPr>
          <w:p w14:paraId="51BD437E" w14:textId="64C94006" w:rsidR="00600426" w:rsidRPr="00A02534" w:rsidRDefault="00600426" w:rsidP="00600426">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Huila</w:t>
            </w:r>
          </w:p>
        </w:tc>
        <w:tc>
          <w:tcPr>
            <w:tcW w:w="1849" w:type="dxa"/>
            <w:vAlign w:val="center"/>
          </w:tcPr>
          <w:p w14:paraId="64D32917" w14:textId="45774674" w:rsidR="00600426" w:rsidRPr="00A02534" w:rsidRDefault="00600426" w:rsidP="00600426">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Sí</w:t>
            </w:r>
          </w:p>
        </w:tc>
      </w:tr>
      <w:tr w:rsidR="00600426" w:rsidRPr="008E43D1" w14:paraId="39D8E493" w14:textId="77777777" w:rsidTr="00305A65">
        <w:trPr>
          <w:trHeight w:val="242"/>
          <w:jc w:val="center"/>
        </w:trPr>
        <w:tc>
          <w:tcPr>
            <w:tcW w:w="1725" w:type="dxa"/>
            <w:vAlign w:val="center"/>
          </w:tcPr>
          <w:p w14:paraId="3C9CEA95" w14:textId="50C5BA56" w:rsidR="00600426" w:rsidRPr="00A02534" w:rsidRDefault="00600426" w:rsidP="00600426">
            <w:pPr>
              <w:ind w:left="22" w:hanging="22"/>
              <w:jc w:val="center"/>
              <w:rPr>
                <w:rFonts w:ascii="Bookman Old Style" w:hAnsi="Bookman Old Style"/>
                <w:sz w:val="18"/>
                <w:szCs w:val="18"/>
                <w:lang w:val="es-CO" w:eastAsia="es-CO"/>
              </w:rPr>
            </w:pPr>
            <w:r>
              <w:rPr>
                <w:rFonts w:ascii="Bookman Old Style" w:hAnsi="Bookman Old Style"/>
                <w:sz w:val="18"/>
                <w:szCs w:val="18"/>
                <w:lang w:val="es-CO" w:eastAsia="es-CO"/>
              </w:rPr>
              <w:t>1</w:t>
            </w:r>
          </w:p>
        </w:tc>
        <w:tc>
          <w:tcPr>
            <w:tcW w:w="1235" w:type="dxa"/>
            <w:shd w:val="clear" w:color="auto" w:fill="auto"/>
          </w:tcPr>
          <w:p w14:paraId="6AE01AB0" w14:textId="3E543ADC" w:rsidR="00600426" w:rsidRPr="00600426" w:rsidRDefault="00600426" w:rsidP="00600426">
            <w:pPr>
              <w:ind w:left="22" w:hanging="22"/>
              <w:jc w:val="center"/>
              <w:rPr>
                <w:rFonts w:ascii="Bookman Old Style" w:hAnsi="Bookman Old Style"/>
                <w:sz w:val="18"/>
                <w:szCs w:val="18"/>
                <w:lang w:val="es-CO" w:eastAsia="es-CO"/>
              </w:rPr>
            </w:pPr>
            <w:r w:rsidRPr="00600426">
              <w:rPr>
                <w:rFonts w:ascii="Bookman Old Style" w:hAnsi="Bookman Old Style"/>
                <w:sz w:val="18"/>
                <w:szCs w:val="18"/>
                <w:lang w:val="es-CO" w:eastAsia="es-CO"/>
              </w:rPr>
              <w:t>41013</w:t>
            </w:r>
          </w:p>
        </w:tc>
        <w:tc>
          <w:tcPr>
            <w:tcW w:w="1359" w:type="dxa"/>
            <w:vAlign w:val="center"/>
          </w:tcPr>
          <w:p w14:paraId="326CB37F" w14:textId="4A7A3DAD"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Granadillo</w:t>
            </w:r>
          </w:p>
        </w:tc>
        <w:tc>
          <w:tcPr>
            <w:tcW w:w="1359" w:type="dxa"/>
            <w:shd w:val="clear" w:color="auto" w:fill="auto"/>
            <w:vAlign w:val="center"/>
          </w:tcPr>
          <w:p w14:paraId="0F2ED5CC" w14:textId="4147F997" w:rsidR="00600426" w:rsidRPr="00A02534" w:rsidRDefault="00600426" w:rsidP="00600426">
            <w:pPr>
              <w:ind w:left="22" w:hanging="22"/>
              <w:jc w:val="center"/>
              <w:rPr>
                <w:rFonts w:ascii="Bookman Old Style" w:hAnsi="Bookman Old Style"/>
                <w:color w:val="000000"/>
                <w:sz w:val="18"/>
                <w:szCs w:val="18"/>
              </w:rPr>
            </w:pPr>
            <w:r w:rsidRPr="000533CD">
              <w:rPr>
                <w:rFonts w:ascii="Bookman Old Style" w:hAnsi="Bookman Old Style"/>
                <w:color w:val="000000"/>
                <w:sz w:val="18"/>
                <w:szCs w:val="18"/>
              </w:rPr>
              <w:t>Agrado</w:t>
            </w:r>
          </w:p>
        </w:tc>
        <w:tc>
          <w:tcPr>
            <w:tcW w:w="1975" w:type="dxa"/>
            <w:shd w:val="clear" w:color="auto" w:fill="auto"/>
            <w:vAlign w:val="center"/>
          </w:tcPr>
          <w:p w14:paraId="12CCB19A" w14:textId="6F71FBC0"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Huila</w:t>
            </w:r>
          </w:p>
        </w:tc>
        <w:tc>
          <w:tcPr>
            <w:tcW w:w="1849" w:type="dxa"/>
            <w:vAlign w:val="center"/>
          </w:tcPr>
          <w:p w14:paraId="51C62727" w14:textId="1A2F0FF2"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Sí</w:t>
            </w:r>
          </w:p>
        </w:tc>
      </w:tr>
      <w:tr w:rsidR="00600426" w:rsidRPr="008E43D1" w14:paraId="09A39D82" w14:textId="77777777" w:rsidTr="004A7C4C">
        <w:trPr>
          <w:trHeight w:val="242"/>
          <w:jc w:val="center"/>
        </w:trPr>
        <w:tc>
          <w:tcPr>
            <w:tcW w:w="1725" w:type="dxa"/>
            <w:vAlign w:val="center"/>
          </w:tcPr>
          <w:p w14:paraId="10B498B3" w14:textId="45AC3D7F" w:rsidR="00600426" w:rsidRPr="00A02534" w:rsidRDefault="00600426" w:rsidP="00600426">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1</w:t>
            </w:r>
          </w:p>
        </w:tc>
        <w:tc>
          <w:tcPr>
            <w:tcW w:w="1235" w:type="dxa"/>
            <w:shd w:val="clear" w:color="auto" w:fill="auto"/>
            <w:vAlign w:val="center"/>
          </w:tcPr>
          <w:p w14:paraId="7B52C864" w14:textId="2C3BA7DA" w:rsidR="00600426" w:rsidRPr="00600426" w:rsidRDefault="00600426" w:rsidP="00600426">
            <w:pPr>
              <w:ind w:left="22" w:hanging="22"/>
              <w:jc w:val="center"/>
              <w:rPr>
                <w:rFonts w:ascii="Bookman Old Style" w:hAnsi="Bookman Old Style"/>
                <w:sz w:val="18"/>
                <w:szCs w:val="18"/>
                <w:lang w:val="es-CO" w:eastAsia="es-CO"/>
              </w:rPr>
            </w:pPr>
            <w:r w:rsidRPr="00600426">
              <w:rPr>
                <w:rFonts w:ascii="Bookman Old Style" w:hAnsi="Bookman Old Style"/>
                <w:sz w:val="18"/>
                <w:szCs w:val="18"/>
                <w:lang w:val="es-CO" w:eastAsia="es-CO"/>
              </w:rPr>
              <w:t>41013001</w:t>
            </w:r>
          </w:p>
        </w:tc>
        <w:tc>
          <w:tcPr>
            <w:tcW w:w="1359" w:type="dxa"/>
            <w:vAlign w:val="center"/>
          </w:tcPr>
          <w:p w14:paraId="64431AA7" w14:textId="7CD4F0C4"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Alto Buenavista</w:t>
            </w:r>
          </w:p>
        </w:tc>
        <w:tc>
          <w:tcPr>
            <w:tcW w:w="1359" w:type="dxa"/>
            <w:shd w:val="clear" w:color="auto" w:fill="auto"/>
            <w:vAlign w:val="center"/>
          </w:tcPr>
          <w:p w14:paraId="31DE9B77" w14:textId="63EEEED2" w:rsidR="00600426" w:rsidRPr="00A02534" w:rsidRDefault="00600426" w:rsidP="00600426">
            <w:pPr>
              <w:ind w:left="22" w:hanging="22"/>
              <w:jc w:val="center"/>
              <w:rPr>
                <w:rFonts w:ascii="Bookman Old Style" w:hAnsi="Bookman Old Style"/>
                <w:color w:val="000000"/>
                <w:sz w:val="18"/>
                <w:szCs w:val="18"/>
              </w:rPr>
            </w:pPr>
            <w:r w:rsidRPr="000533CD">
              <w:rPr>
                <w:rFonts w:ascii="Bookman Old Style" w:hAnsi="Bookman Old Style"/>
                <w:color w:val="000000"/>
                <w:sz w:val="18"/>
                <w:szCs w:val="18"/>
              </w:rPr>
              <w:t>Agrado</w:t>
            </w:r>
          </w:p>
        </w:tc>
        <w:tc>
          <w:tcPr>
            <w:tcW w:w="1975" w:type="dxa"/>
            <w:shd w:val="clear" w:color="auto" w:fill="auto"/>
            <w:vAlign w:val="center"/>
          </w:tcPr>
          <w:p w14:paraId="43FEF6E0" w14:textId="78E54D31" w:rsidR="00600426" w:rsidRPr="00A02534" w:rsidRDefault="00600426" w:rsidP="00600426">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Huila</w:t>
            </w:r>
          </w:p>
        </w:tc>
        <w:tc>
          <w:tcPr>
            <w:tcW w:w="1849" w:type="dxa"/>
            <w:vAlign w:val="center"/>
          </w:tcPr>
          <w:p w14:paraId="2751D6A1" w14:textId="0BD6A51D" w:rsidR="00600426" w:rsidRPr="00A02534" w:rsidRDefault="00600426" w:rsidP="00600426">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Sí</w:t>
            </w:r>
          </w:p>
        </w:tc>
      </w:tr>
      <w:tr w:rsidR="00600426" w:rsidRPr="008E43D1" w14:paraId="09833776" w14:textId="77777777" w:rsidTr="004A7C4C">
        <w:trPr>
          <w:trHeight w:val="242"/>
          <w:jc w:val="center"/>
        </w:trPr>
        <w:tc>
          <w:tcPr>
            <w:tcW w:w="1725" w:type="dxa"/>
            <w:vAlign w:val="center"/>
          </w:tcPr>
          <w:p w14:paraId="4F0D4D6E" w14:textId="77777777" w:rsidR="00600426" w:rsidRPr="00A02534" w:rsidRDefault="00600426" w:rsidP="00600426">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2</w:t>
            </w:r>
          </w:p>
        </w:tc>
        <w:tc>
          <w:tcPr>
            <w:tcW w:w="1235" w:type="dxa"/>
            <w:shd w:val="clear" w:color="auto" w:fill="auto"/>
            <w:vAlign w:val="center"/>
          </w:tcPr>
          <w:p w14:paraId="4C605CE3" w14:textId="1629AC7A" w:rsidR="00600426" w:rsidRPr="00600426" w:rsidRDefault="00600426" w:rsidP="00600426">
            <w:pPr>
              <w:ind w:left="22" w:hanging="22"/>
              <w:jc w:val="center"/>
              <w:rPr>
                <w:rFonts w:ascii="Bookman Old Style" w:hAnsi="Bookman Old Style"/>
                <w:sz w:val="18"/>
                <w:szCs w:val="18"/>
                <w:lang w:val="es-CO" w:eastAsia="es-CO"/>
              </w:rPr>
            </w:pPr>
            <w:r w:rsidRPr="00600426">
              <w:rPr>
                <w:rFonts w:ascii="Bookman Old Style" w:hAnsi="Bookman Old Style"/>
                <w:sz w:val="18"/>
                <w:szCs w:val="18"/>
                <w:lang w:val="es-CO" w:eastAsia="es-CO"/>
              </w:rPr>
              <w:t>41006016</w:t>
            </w:r>
          </w:p>
        </w:tc>
        <w:tc>
          <w:tcPr>
            <w:tcW w:w="1359" w:type="dxa"/>
            <w:vAlign w:val="center"/>
          </w:tcPr>
          <w:p w14:paraId="2145EDA2" w14:textId="4E8A445B"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La Carbona</w:t>
            </w:r>
          </w:p>
        </w:tc>
        <w:tc>
          <w:tcPr>
            <w:tcW w:w="1359" w:type="dxa"/>
            <w:shd w:val="clear" w:color="auto" w:fill="auto"/>
            <w:vAlign w:val="center"/>
          </w:tcPr>
          <w:p w14:paraId="27D8534C" w14:textId="5E1B6E3B"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Acevedo</w:t>
            </w:r>
          </w:p>
        </w:tc>
        <w:tc>
          <w:tcPr>
            <w:tcW w:w="1975" w:type="dxa"/>
            <w:shd w:val="clear" w:color="auto" w:fill="auto"/>
            <w:vAlign w:val="center"/>
          </w:tcPr>
          <w:p w14:paraId="3100547D" w14:textId="12C02586" w:rsidR="00600426" w:rsidRPr="00A02534" w:rsidRDefault="00600426" w:rsidP="00600426">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Huila</w:t>
            </w:r>
          </w:p>
        </w:tc>
        <w:tc>
          <w:tcPr>
            <w:tcW w:w="1849" w:type="dxa"/>
            <w:vAlign w:val="center"/>
          </w:tcPr>
          <w:p w14:paraId="74B61CFE" w14:textId="77777777" w:rsidR="00600426" w:rsidRPr="00A02534" w:rsidRDefault="00600426" w:rsidP="00600426">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Sí</w:t>
            </w:r>
          </w:p>
        </w:tc>
      </w:tr>
      <w:tr w:rsidR="00600426" w:rsidRPr="008E43D1" w14:paraId="6043302D" w14:textId="77777777" w:rsidTr="004A7C4C">
        <w:trPr>
          <w:trHeight w:val="242"/>
          <w:jc w:val="center"/>
        </w:trPr>
        <w:tc>
          <w:tcPr>
            <w:tcW w:w="1725" w:type="dxa"/>
            <w:vAlign w:val="center"/>
          </w:tcPr>
          <w:p w14:paraId="7F83613E" w14:textId="0C9C1886" w:rsidR="00600426" w:rsidRPr="00A02534" w:rsidRDefault="00600426" w:rsidP="00600426">
            <w:pPr>
              <w:ind w:left="22" w:hanging="22"/>
              <w:jc w:val="center"/>
              <w:rPr>
                <w:rFonts w:ascii="Bookman Old Style" w:hAnsi="Bookman Old Style"/>
                <w:sz w:val="18"/>
                <w:szCs w:val="18"/>
                <w:lang w:val="es-CO" w:eastAsia="es-CO"/>
              </w:rPr>
            </w:pPr>
            <w:r>
              <w:rPr>
                <w:rFonts w:ascii="Bookman Old Style" w:hAnsi="Bookman Old Style"/>
                <w:sz w:val="18"/>
                <w:szCs w:val="18"/>
                <w:lang w:val="es-CO" w:eastAsia="es-CO"/>
              </w:rPr>
              <w:t>3</w:t>
            </w:r>
          </w:p>
        </w:tc>
        <w:tc>
          <w:tcPr>
            <w:tcW w:w="1235" w:type="dxa"/>
            <w:shd w:val="clear" w:color="auto" w:fill="auto"/>
            <w:vAlign w:val="center"/>
          </w:tcPr>
          <w:p w14:paraId="6E3693A4" w14:textId="3FF3C1FE" w:rsidR="00600426" w:rsidRPr="00600426" w:rsidRDefault="00600426" w:rsidP="00600426">
            <w:pPr>
              <w:ind w:left="22" w:hanging="22"/>
              <w:jc w:val="center"/>
              <w:rPr>
                <w:rFonts w:ascii="Bookman Old Style" w:hAnsi="Bookman Old Style"/>
                <w:sz w:val="18"/>
                <w:szCs w:val="18"/>
                <w:lang w:val="es-CO" w:eastAsia="es-CO"/>
              </w:rPr>
            </w:pPr>
            <w:r w:rsidRPr="00600426">
              <w:rPr>
                <w:rFonts w:ascii="Bookman Old Style" w:hAnsi="Bookman Old Style"/>
                <w:sz w:val="18"/>
                <w:szCs w:val="18"/>
                <w:lang w:val="es-CO" w:eastAsia="es-CO"/>
              </w:rPr>
              <w:t>41676</w:t>
            </w:r>
            <w:r w:rsidR="00EA12A6">
              <w:rPr>
                <w:rFonts w:ascii="Bookman Old Style" w:hAnsi="Bookman Old Style"/>
                <w:sz w:val="18"/>
                <w:szCs w:val="18"/>
                <w:lang w:val="es-CO" w:eastAsia="es-CO"/>
              </w:rPr>
              <w:t>013</w:t>
            </w:r>
          </w:p>
        </w:tc>
        <w:tc>
          <w:tcPr>
            <w:tcW w:w="1359" w:type="dxa"/>
            <w:vAlign w:val="center"/>
          </w:tcPr>
          <w:p w14:paraId="3ECADEC2" w14:textId="22FD3617" w:rsidR="00600426" w:rsidRPr="00A02534" w:rsidRDefault="00EA12A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El Encanto-</w:t>
            </w:r>
            <w:r w:rsidR="00600426">
              <w:rPr>
                <w:rFonts w:ascii="Bookman Old Style" w:hAnsi="Bookman Old Style"/>
                <w:color w:val="000000"/>
                <w:sz w:val="18"/>
                <w:szCs w:val="18"/>
              </w:rPr>
              <w:t>Las Juntas</w:t>
            </w:r>
          </w:p>
        </w:tc>
        <w:tc>
          <w:tcPr>
            <w:tcW w:w="1359" w:type="dxa"/>
            <w:shd w:val="clear" w:color="auto" w:fill="auto"/>
            <w:vAlign w:val="center"/>
          </w:tcPr>
          <w:p w14:paraId="07D08CC6" w14:textId="5532BE4A"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Santa María</w:t>
            </w:r>
          </w:p>
        </w:tc>
        <w:tc>
          <w:tcPr>
            <w:tcW w:w="1975" w:type="dxa"/>
            <w:shd w:val="clear" w:color="auto" w:fill="auto"/>
            <w:vAlign w:val="center"/>
          </w:tcPr>
          <w:p w14:paraId="66B548AA" w14:textId="1E1BD14A"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Huila</w:t>
            </w:r>
          </w:p>
        </w:tc>
        <w:tc>
          <w:tcPr>
            <w:tcW w:w="1849" w:type="dxa"/>
            <w:vAlign w:val="center"/>
          </w:tcPr>
          <w:p w14:paraId="53B19F90" w14:textId="404D1C37" w:rsidR="00600426" w:rsidRPr="00A02534" w:rsidRDefault="00600426" w:rsidP="00600426">
            <w:pPr>
              <w:ind w:left="22" w:hanging="22"/>
              <w:jc w:val="center"/>
              <w:rPr>
                <w:rFonts w:ascii="Bookman Old Style" w:hAnsi="Bookman Old Style"/>
                <w:color w:val="000000"/>
                <w:sz w:val="18"/>
                <w:szCs w:val="18"/>
              </w:rPr>
            </w:pPr>
            <w:r>
              <w:rPr>
                <w:rFonts w:ascii="Bookman Old Style" w:hAnsi="Bookman Old Style"/>
                <w:color w:val="000000"/>
                <w:sz w:val="18"/>
                <w:szCs w:val="18"/>
              </w:rPr>
              <w:t>Sí</w:t>
            </w:r>
          </w:p>
        </w:tc>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lastRenderedPageBreak/>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1C549CC1"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DA16A9">
        <w:rPr>
          <w:rFonts w:ascii="Bookman Old Style" w:hAnsi="Bookman Old Style" w:cs="Arial"/>
        </w:rPr>
        <w:t>1,3</w:t>
      </w:r>
      <w:r w:rsidR="00797368">
        <w:rPr>
          <w:rFonts w:ascii="Bookman Old Style" w:hAnsi="Bookman Old Style" w:cs="Arial"/>
        </w:rPr>
        <w:t>51</w:t>
      </w:r>
      <w:r w:rsidR="00D77272" w:rsidRPr="00897A21">
        <w:rPr>
          <w:rFonts w:ascii="Bookman Old Style" w:hAnsi="Bookman Old Style" w:cs="Arial"/>
        </w:rPr>
        <w:t>,</w:t>
      </w:r>
      <w:r w:rsidR="00F319B1">
        <w:rPr>
          <w:rFonts w:ascii="Bookman Old Style" w:hAnsi="Bookman Old Style" w:cs="Arial"/>
        </w:rPr>
        <w:t>2</w:t>
      </w:r>
      <w:r w:rsidR="009712D9">
        <w:rPr>
          <w:rFonts w:ascii="Bookman Old Style" w:hAnsi="Bookman Old Style" w:cs="Arial"/>
        </w:rPr>
        <w:t>94</w:t>
      </w:r>
      <w:r w:rsidR="00D77272" w:rsidRPr="00897A21">
        <w:rPr>
          <w:rFonts w:ascii="Bookman Old Style" w:hAnsi="Bookman Old Style" w:cs="Arial"/>
        </w:rPr>
        <w:t>,</w:t>
      </w:r>
      <w:r w:rsidR="009712D9">
        <w:rPr>
          <w:rFonts w:ascii="Bookman Old Style" w:hAnsi="Bookman Old Style" w:cs="Arial"/>
        </w:rPr>
        <w:t>887</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F319B1">
        <w:rPr>
          <w:rFonts w:ascii="Bookman Old Style" w:hAnsi="Bookman Old Style" w:cs="Arial"/>
        </w:rPr>
        <w:t>8</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4090215D"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de 2018, 132 de 2018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745CBF5A" w14:textId="77777777" w:rsidR="009712D9" w:rsidRPr="009353D2" w:rsidRDefault="009712D9"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C443B5" w:rsidRPr="00A10908" w14:paraId="5471299E" w14:textId="77777777" w:rsidTr="00317451">
        <w:trPr>
          <w:trHeight w:val="417"/>
          <w:jc w:val="center"/>
        </w:trPr>
        <w:tc>
          <w:tcPr>
            <w:tcW w:w="5000" w:type="pct"/>
            <w:gridSpan w:val="4"/>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C443B5" w:rsidRPr="00A10908" w14:paraId="695016D8" w14:textId="77777777" w:rsidTr="00317451">
        <w:trPr>
          <w:trHeight w:val="313"/>
          <w:jc w:val="center"/>
        </w:trPr>
        <w:tc>
          <w:tcPr>
            <w:tcW w:w="1742" w:type="pct"/>
            <w:shd w:val="clear" w:color="auto" w:fill="D9D9D9" w:themeFill="background1" w:themeFillShade="D9"/>
            <w:vAlign w:val="center"/>
            <w:hideMark/>
          </w:tcPr>
          <w:p w14:paraId="14566978"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086" w:type="pct"/>
            <w:shd w:val="clear" w:color="auto" w:fill="D9D9D9" w:themeFill="background1" w:themeFillShade="D9"/>
            <w:vAlign w:val="center"/>
          </w:tcPr>
          <w:p w14:paraId="5218D69E"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86" w:type="pct"/>
            <w:shd w:val="clear" w:color="auto" w:fill="D9D9D9" w:themeFill="background1" w:themeFillShade="D9"/>
            <w:vAlign w:val="center"/>
          </w:tcPr>
          <w:p w14:paraId="1DEE43D1"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86" w:type="pct"/>
            <w:shd w:val="clear" w:color="auto" w:fill="D9D9D9" w:themeFill="background1" w:themeFillShade="D9"/>
            <w:vAlign w:val="center"/>
            <w:hideMark/>
          </w:tcPr>
          <w:p w14:paraId="58AC694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47559B" w:rsidRPr="00A10908" w14:paraId="2732B8BE" w14:textId="77777777" w:rsidTr="00305A65">
        <w:trPr>
          <w:trHeight w:val="271"/>
          <w:jc w:val="center"/>
        </w:trPr>
        <w:tc>
          <w:tcPr>
            <w:tcW w:w="1742" w:type="pct"/>
            <w:shd w:val="clear" w:color="auto" w:fill="auto"/>
            <w:hideMark/>
          </w:tcPr>
          <w:p w14:paraId="408949F0" w14:textId="77777777" w:rsidR="0047559B" w:rsidRPr="009353D2" w:rsidRDefault="0047559B" w:rsidP="0047559B">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vAlign w:val="center"/>
          </w:tcPr>
          <w:p w14:paraId="6DE6647C" w14:textId="631E0ED5" w:rsidR="0047559B" w:rsidRPr="0047559B" w:rsidRDefault="0047559B" w:rsidP="0047559B">
            <w:pPr>
              <w:tabs>
                <w:tab w:val="left" w:pos="315"/>
                <w:tab w:val="center" w:pos="1063"/>
              </w:tabs>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778,489,168</w:t>
            </w:r>
          </w:p>
        </w:tc>
        <w:tc>
          <w:tcPr>
            <w:tcW w:w="1086" w:type="pct"/>
            <w:vAlign w:val="center"/>
          </w:tcPr>
          <w:p w14:paraId="3AA9E341" w14:textId="132BF898"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779,601,494</w:t>
            </w:r>
          </w:p>
        </w:tc>
        <w:tc>
          <w:tcPr>
            <w:tcW w:w="1086" w:type="pct"/>
            <w:shd w:val="clear" w:color="auto" w:fill="auto"/>
            <w:vAlign w:val="center"/>
          </w:tcPr>
          <w:p w14:paraId="22801858" w14:textId="18EC9253"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780,717,003</w:t>
            </w:r>
          </w:p>
        </w:tc>
      </w:tr>
      <w:tr w:rsidR="0047559B" w:rsidRPr="00A10908" w14:paraId="7F09C5F5" w14:textId="77777777" w:rsidTr="00305A65">
        <w:trPr>
          <w:trHeight w:val="271"/>
          <w:jc w:val="center"/>
        </w:trPr>
        <w:tc>
          <w:tcPr>
            <w:tcW w:w="1742" w:type="pct"/>
            <w:shd w:val="clear" w:color="auto" w:fill="auto"/>
            <w:hideMark/>
          </w:tcPr>
          <w:p w14:paraId="5FE62385" w14:textId="77777777" w:rsidR="0047559B" w:rsidRPr="009353D2" w:rsidRDefault="0047559B" w:rsidP="0047559B">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vAlign w:val="center"/>
          </w:tcPr>
          <w:p w14:paraId="1AED7EA2" w14:textId="554F132D"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428,301,350</w:t>
            </w:r>
          </w:p>
        </w:tc>
        <w:tc>
          <w:tcPr>
            <w:tcW w:w="1086" w:type="pct"/>
            <w:vAlign w:val="center"/>
          </w:tcPr>
          <w:p w14:paraId="241FD41C" w14:textId="559F9810"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428,913,318</w:t>
            </w:r>
          </w:p>
        </w:tc>
        <w:tc>
          <w:tcPr>
            <w:tcW w:w="1086" w:type="pct"/>
            <w:shd w:val="clear" w:color="auto" w:fill="auto"/>
            <w:vAlign w:val="center"/>
          </w:tcPr>
          <w:p w14:paraId="7419060B" w14:textId="66997B2C"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429,527,028</w:t>
            </w:r>
          </w:p>
        </w:tc>
      </w:tr>
      <w:tr w:rsidR="0047559B" w:rsidRPr="00A10908" w14:paraId="2CFC5B92" w14:textId="77777777" w:rsidTr="00305A65">
        <w:trPr>
          <w:trHeight w:val="271"/>
          <w:jc w:val="center"/>
        </w:trPr>
        <w:tc>
          <w:tcPr>
            <w:tcW w:w="1742" w:type="pct"/>
            <w:shd w:val="clear" w:color="auto" w:fill="auto"/>
            <w:hideMark/>
          </w:tcPr>
          <w:p w14:paraId="34FC52D9" w14:textId="77777777" w:rsidR="0047559B" w:rsidRPr="009353D2" w:rsidRDefault="0047559B" w:rsidP="0047559B">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086" w:type="pct"/>
            <w:vAlign w:val="center"/>
          </w:tcPr>
          <w:p w14:paraId="4F0318A3" w14:textId="79303ADA"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167,642</w:t>
            </w:r>
          </w:p>
        </w:tc>
        <w:tc>
          <w:tcPr>
            <w:tcW w:w="1086" w:type="pct"/>
            <w:vAlign w:val="center"/>
          </w:tcPr>
          <w:p w14:paraId="44D4FBD5" w14:textId="4A4EC364"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169,452</w:t>
            </w:r>
          </w:p>
        </w:tc>
        <w:tc>
          <w:tcPr>
            <w:tcW w:w="1086" w:type="pct"/>
            <w:shd w:val="clear" w:color="auto" w:fill="auto"/>
            <w:vAlign w:val="center"/>
          </w:tcPr>
          <w:p w14:paraId="39CDF352" w14:textId="4AAAB974"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171,294</w:t>
            </w:r>
          </w:p>
        </w:tc>
      </w:tr>
      <w:tr w:rsidR="0047559B" w:rsidRPr="00A10908" w14:paraId="637C5FDC" w14:textId="77777777" w:rsidTr="00305A65">
        <w:trPr>
          <w:trHeight w:val="242"/>
          <w:jc w:val="center"/>
        </w:trPr>
        <w:tc>
          <w:tcPr>
            <w:tcW w:w="1742" w:type="pct"/>
            <w:shd w:val="clear" w:color="auto" w:fill="auto"/>
            <w:hideMark/>
          </w:tcPr>
          <w:p w14:paraId="6851AE27" w14:textId="77777777" w:rsidR="0047559B" w:rsidRPr="009353D2" w:rsidRDefault="0047559B" w:rsidP="0047559B">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vAlign w:val="center"/>
          </w:tcPr>
          <w:p w14:paraId="2092FE43" w14:textId="26E018B5"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167,642</w:t>
            </w:r>
          </w:p>
        </w:tc>
        <w:tc>
          <w:tcPr>
            <w:tcW w:w="1086" w:type="pct"/>
            <w:vAlign w:val="center"/>
          </w:tcPr>
          <w:p w14:paraId="42311FFD" w14:textId="7E2096B1"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169,452</w:t>
            </w:r>
          </w:p>
        </w:tc>
        <w:tc>
          <w:tcPr>
            <w:tcW w:w="1086" w:type="pct"/>
            <w:shd w:val="clear" w:color="auto" w:fill="auto"/>
            <w:vAlign w:val="center"/>
          </w:tcPr>
          <w:p w14:paraId="71A509F8" w14:textId="4341F452" w:rsidR="0047559B" w:rsidRPr="0047559B" w:rsidRDefault="0047559B" w:rsidP="0047559B">
            <w:pPr>
              <w:ind w:left="0"/>
              <w:jc w:val="center"/>
              <w:rPr>
                <w:rFonts w:ascii="Bookman Old Style" w:hAnsi="Bookman Old Style"/>
                <w:color w:val="000000"/>
                <w:sz w:val="22"/>
                <w:lang w:val="es-CO" w:eastAsia="es-CO"/>
              </w:rPr>
            </w:pPr>
            <w:r w:rsidRPr="0047559B">
              <w:rPr>
                <w:rFonts w:ascii="Bookman Old Style" w:hAnsi="Bookman Old Style"/>
                <w:color w:val="000000"/>
                <w:sz w:val="22"/>
                <w:lang w:val="es-CO" w:eastAsia="es-CO"/>
              </w:rPr>
              <w:t>171,294</w:t>
            </w:r>
          </w:p>
        </w:tc>
      </w:tr>
    </w:tbl>
    <w:p w14:paraId="72BCD11E" w14:textId="5C73BD4A"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04201">
        <w:rPr>
          <w:rFonts w:ascii="Bookman Old Style" w:hAnsi="Bookman Old Style" w:cs="Arial"/>
          <w:sz w:val="16"/>
        </w:rPr>
        <w:t>8</w:t>
      </w:r>
      <w:r w:rsidRPr="007B0D3E">
        <w:rPr>
          <w:rFonts w:ascii="Bookman Old Style" w:hAnsi="Bookman Old Style" w:cs="Arial"/>
          <w:sz w:val="16"/>
        </w:rPr>
        <w:t>.</w:t>
      </w:r>
    </w:p>
    <w:p w14:paraId="4F8A264B" w14:textId="728BDE72"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6565F2">
        <w:rPr>
          <w:rFonts w:ascii="Bookman Old Style" w:hAnsi="Bookman Old Style" w:cs="Arial"/>
          <w:bCs/>
        </w:rPr>
        <w:t>2</w:t>
      </w:r>
      <w:r w:rsidR="003B183E" w:rsidRPr="00FF49DF">
        <w:rPr>
          <w:rFonts w:ascii="Bookman Old Style" w:hAnsi="Bookman Old Style" w:cs="Arial"/>
          <w:bCs/>
        </w:rPr>
        <w:t>.</w:t>
      </w:r>
      <w:r w:rsidR="006565F2">
        <w:rPr>
          <w:rFonts w:ascii="Bookman Old Style" w:hAnsi="Bookman Old Style" w:cs="Arial"/>
          <w:bCs/>
        </w:rPr>
        <w:t>57</w:t>
      </w:r>
      <w:r w:rsidR="001B63E5" w:rsidRPr="002C0A7D">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801C76">
        <w:rPr>
          <w:rFonts w:ascii="Bookman Old Style" w:hAnsi="Bookman Old Style" w:cs="Arial"/>
          <w:bCs/>
        </w:rPr>
        <w:t>100</w:t>
      </w:r>
      <w:r w:rsidR="009F0D33">
        <w:rPr>
          <w:rFonts w:ascii="Bookman Old Style" w:hAnsi="Bookman Old Style" w:cs="Arial"/>
          <w:bCs/>
        </w:rPr>
        <w:t>.</w:t>
      </w:r>
      <w:r w:rsidR="00801C76">
        <w:rPr>
          <w:rFonts w:ascii="Bookman Old Style" w:hAnsi="Bookman Old Style" w:cs="Arial"/>
          <w:bCs/>
        </w:rPr>
        <w:t>00</w:t>
      </w:r>
      <w:r w:rsidR="001B63E5" w:rsidRPr="002C0A7D">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5"/>
        <w:gridCol w:w="1936"/>
        <w:gridCol w:w="1936"/>
      </w:tblGrid>
      <w:tr w:rsidR="00BF76B2" w:rsidRPr="00F37572" w14:paraId="58B3D047" w14:textId="77777777" w:rsidTr="00317451">
        <w:trPr>
          <w:trHeight w:val="287"/>
          <w:jc w:val="center"/>
        </w:trPr>
        <w:tc>
          <w:tcPr>
            <w:tcW w:w="1893" w:type="pct"/>
            <w:shd w:val="clear" w:color="auto" w:fill="D9D9D9" w:themeFill="background1" w:themeFillShade="D9"/>
            <w:vAlign w:val="center"/>
            <w:hideMark/>
          </w:tcPr>
          <w:p w14:paraId="02E3B2B6" w14:textId="77777777" w:rsidR="00C443B5" w:rsidRPr="00F37572" w:rsidRDefault="00C443B5">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35" w:type="pct"/>
            <w:shd w:val="clear" w:color="auto" w:fill="D9D9D9" w:themeFill="background1" w:themeFillShade="D9"/>
            <w:vAlign w:val="center"/>
          </w:tcPr>
          <w:p w14:paraId="744BA77D" w14:textId="77777777" w:rsidR="00C443B5" w:rsidRPr="00F37572"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6" w:type="pct"/>
            <w:shd w:val="clear" w:color="auto" w:fill="D9D9D9" w:themeFill="background1" w:themeFillShade="D9"/>
            <w:vAlign w:val="center"/>
          </w:tcPr>
          <w:p w14:paraId="1565492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6" w:type="pct"/>
            <w:shd w:val="clear" w:color="auto" w:fill="D9D9D9" w:themeFill="background1" w:themeFillShade="D9"/>
            <w:vAlign w:val="center"/>
          </w:tcPr>
          <w:p w14:paraId="69B4D09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5A0896" w:rsidRPr="00F37572" w14:paraId="3352C414" w14:textId="77777777" w:rsidTr="00317451">
        <w:trPr>
          <w:trHeight w:val="478"/>
          <w:jc w:val="center"/>
        </w:trPr>
        <w:tc>
          <w:tcPr>
            <w:tcW w:w="1893" w:type="pct"/>
            <w:shd w:val="clear" w:color="auto" w:fill="auto"/>
            <w:vAlign w:val="center"/>
            <w:hideMark/>
          </w:tcPr>
          <w:p w14:paraId="054A2B4F" w14:textId="77777777" w:rsidR="005A0896" w:rsidRPr="00F37572" w:rsidRDefault="005A0896" w:rsidP="005A0896">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35" w:type="pct"/>
            <w:vAlign w:val="center"/>
          </w:tcPr>
          <w:p w14:paraId="096C1E50" w14:textId="3D905558" w:rsidR="005A0896" w:rsidRPr="00C443B5" w:rsidRDefault="005A0896" w:rsidP="005A0896">
            <w:pPr>
              <w:ind w:left="0"/>
              <w:jc w:val="center"/>
              <w:rPr>
                <w:rFonts w:ascii="Bookman Old Style" w:hAnsi="Bookman Old Style"/>
                <w:color w:val="000000"/>
                <w:sz w:val="22"/>
                <w:lang w:val="es-CO" w:eastAsia="es-CO"/>
              </w:rPr>
            </w:pPr>
            <w:r w:rsidRPr="005A0896">
              <w:rPr>
                <w:rFonts w:ascii="Bookman Old Style" w:hAnsi="Bookman Old Style"/>
                <w:color w:val="000000"/>
                <w:sz w:val="22"/>
                <w:lang w:val="es-CO" w:eastAsia="es-CO"/>
              </w:rPr>
              <w:t>271,759,290</w:t>
            </w:r>
          </w:p>
        </w:tc>
        <w:tc>
          <w:tcPr>
            <w:tcW w:w="1036" w:type="pct"/>
            <w:vAlign w:val="center"/>
          </w:tcPr>
          <w:p w14:paraId="13D3A7C6" w14:textId="6526DDD8" w:rsidR="005A0896" w:rsidRPr="00C443B5" w:rsidRDefault="005A0896" w:rsidP="005A0896">
            <w:pPr>
              <w:ind w:left="0"/>
              <w:jc w:val="center"/>
              <w:rPr>
                <w:rFonts w:ascii="Bookman Old Style" w:hAnsi="Bookman Old Style"/>
                <w:color w:val="000000"/>
                <w:sz w:val="22"/>
                <w:lang w:val="es-CO" w:eastAsia="es-CO"/>
              </w:rPr>
            </w:pPr>
            <w:r w:rsidRPr="005A0896">
              <w:rPr>
                <w:rFonts w:ascii="Bookman Old Style" w:hAnsi="Bookman Old Style"/>
                <w:color w:val="000000"/>
                <w:sz w:val="22"/>
                <w:lang w:val="es-CO" w:eastAsia="es-CO"/>
              </w:rPr>
              <w:t>274,638,533</w:t>
            </w:r>
          </w:p>
        </w:tc>
        <w:tc>
          <w:tcPr>
            <w:tcW w:w="1036" w:type="pct"/>
            <w:vAlign w:val="center"/>
          </w:tcPr>
          <w:p w14:paraId="39D8200F" w14:textId="1F198F3F" w:rsidR="005A0896" w:rsidRPr="00C443B5" w:rsidRDefault="005A0896" w:rsidP="005A0896">
            <w:pPr>
              <w:ind w:left="0"/>
              <w:jc w:val="center"/>
              <w:rPr>
                <w:rFonts w:ascii="Bookman Old Style" w:hAnsi="Bookman Old Style"/>
                <w:color w:val="000000"/>
                <w:sz w:val="22"/>
                <w:lang w:val="es-CO" w:eastAsia="es-CO"/>
              </w:rPr>
            </w:pPr>
            <w:r w:rsidRPr="005A0896">
              <w:rPr>
                <w:rFonts w:ascii="Bookman Old Style" w:hAnsi="Bookman Old Style"/>
                <w:color w:val="000000"/>
                <w:sz w:val="22"/>
                <w:lang w:val="es-CO" w:eastAsia="es-CO"/>
              </w:rPr>
              <w:t>277,568,160</w:t>
            </w:r>
          </w:p>
        </w:tc>
      </w:tr>
    </w:tbl>
    <w:p w14:paraId="5AE402A5" w14:textId="11836A9A" w:rsidR="00591693" w:rsidRPr="00317451" w:rsidRDefault="00591693" w:rsidP="00317451">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04201">
        <w:rPr>
          <w:rFonts w:ascii="Bookman Old Style" w:hAnsi="Bookman Old Style" w:cs="Arial"/>
          <w:sz w:val="16"/>
        </w:rPr>
        <w:t>8</w:t>
      </w:r>
      <w:r w:rsidRPr="007B0D3E">
        <w:rPr>
          <w:rFonts w:ascii="Bookman Old Style" w:hAnsi="Bookman Old Style" w:cs="Arial"/>
          <w:sz w:val="16"/>
        </w:rPr>
        <w:t>.</w:t>
      </w:r>
    </w:p>
    <w:p w14:paraId="10FDFD5F" w14:textId="6605D592"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267"/>
        <w:gridCol w:w="1985"/>
        <w:gridCol w:w="2123"/>
      </w:tblGrid>
      <w:tr w:rsidR="00ED4D6F" w:rsidRPr="00A10908" w14:paraId="47CC1D6F" w14:textId="77777777" w:rsidTr="00317451">
        <w:trPr>
          <w:trHeight w:val="343"/>
          <w:tblHeader/>
          <w:jc w:val="center"/>
        </w:trPr>
        <w:tc>
          <w:tcPr>
            <w:tcW w:w="5000" w:type="pct"/>
            <w:gridSpan w:val="4"/>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ED4D6F" w:rsidRPr="00A10908" w14:paraId="6296DF31" w14:textId="77777777" w:rsidTr="00CA2271">
        <w:trPr>
          <w:trHeight w:val="313"/>
          <w:tblHeader/>
          <w:jc w:val="center"/>
        </w:trPr>
        <w:tc>
          <w:tcPr>
            <w:tcW w:w="1589" w:type="pct"/>
            <w:shd w:val="clear" w:color="auto" w:fill="D9D9D9" w:themeFill="background1" w:themeFillShade="D9"/>
            <w:vAlign w:val="center"/>
            <w:hideMark/>
          </w:tcPr>
          <w:p w14:paraId="7C921472" w14:textId="77777777" w:rsidR="00ED4D6F" w:rsidRPr="00A10908" w:rsidRDefault="00ED4D6F"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13" w:type="pct"/>
            <w:shd w:val="clear" w:color="auto" w:fill="D9D9D9" w:themeFill="background1" w:themeFillShade="D9"/>
            <w:vAlign w:val="center"/>
            <w:hideMark/>
          </w:tcPr>
          <w:p w14:paraId="0B27538D" w14:textId="77777777" w:rsidR="00ED4D6F" w:rsidRPr="00A10908" w:rsidRDefault="00ED4D6F" w:rsidP="00D52C6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062" w:type="pct"/>
            <w:shd w:val="clear" w:color="auto" w:fill="D9D9D9" w:themeFill="background1" w:themeFillShade="D9"/>
            <w:vAlign w:val="center"/>
          </w:tcPr>
          <w:p w14:paraId="7EBCFEB1"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tcPr>
          <w:p w14:paraId="3383CE87"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3F72A4" w:rsidRPr="00A10908" w14:paraId="60DC9AD3" w14:textId="77777777" w:rsidTr="00305A65">
        <w:trPr>
          <w:trHeight w:val="271"/>
          <w:jc w:val="center"/>
        </w:trPr>
        <w:tc>
          <w:tcPr>
            <w:tcW w:w="1589" w:type="pct"/>
            <w:shd w:val="clear" w:color="auto" w:fill="auto"/>
            <w:hideMark/>
          </w:tcPr>
          <w:p w14:paraId="50FD45F3" w14:textId="77777777" w:rsidR="003F72A4" w:rsidRPr="00A10908" w:rsidRDefault="003F72A4" w:rsidP="003F72A4">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3" w:type="pct"/>
            <w:shd w:val="clear" w:color="auto" w:fill="auto"/>
            <w:vAlign w:val="center"/>
          </w:tcPr>
          <w:p w14:paraId="1F714B61" w14:textId="58FFCD94"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140,275,422</w:t>
            </w:r>
          </w:p>
        </w:tc>
        <w:tc>
          <w:tcPr>
            <w:tcW w:w="1062" w:type="pct"/>
            <w:vAlign w:val="center"/>
          </w:tcPr>
          <w:p w14:paraId="58658262" w14:textId="687E9788"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141,761,617</w:t>
            </w:r>
          </w:p>
        </w:tc>
        <w:tc>
          <w:tcPr>
            <w:tcW w:w="1136" w:type="pct"/>
            <w:vAlign w:val="center"/>
          </w:tcPr>
          <w:p w14:paraId="4947C1A4" w14:textId="5B882468"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143,273,818</w:t>
            </w:r>
          </w:p>
        </w:tc>
      </w:tr>
      <w:tr w:rsidR="003F72A4" w:rsidRPr="00A10908" w14:paraId="2E63EABA" w14:textId="77777777" w:rsidTr="00305A65">
        <w:trPr>
          <w:trHeight w:val="271"/>
          <w:jc w:val="center"/>
        </w:trPr>
        <w:tc>
          <w:tcPr>
            <w:tcW w:w="1589" w:type="pct"/>
            <w:shd w:val="clear" w:color="auto" w:fill="auto"/>
            <w:hideMark/>
          </w:tcPr>
          <w:p w14:paraId="0A2C8039" w14:textId="77777777" w:rsidR="003F72A4" w:rsidRPr="00A10908" w:rsidRDefault="003F72A4" w:rsidP="003F72A4">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3" w:type="pct"/>
            <w:shd w:val="clear" w:color="auto" w:fill="auto"/>
            <w:vAlign w:val="center"/>
          </w:tcPr>
          <w:p w14:paraId="683FCFF0" w14:textId="6A17B4AC"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131,483,867</w:t>
            </w:r>
          </w:p>
        </w:tc>
        <w:tc>
          <w:tcPr>
            <w:tcW w:w="1062" w:type="pct"/>
            <w:vAlign w:val="center"/>
          </w:tcPr>
          <w:p w14:paraId="73192418" w14:textId="2A7B1928"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132,876,916</w:t>
            </w:r>
          </w:p>
        </w:tc>
        <w:tc>
          <w:tcPr>
            <w:tcW w:w="1136" w:type="pct"/>
            <w:vAlign w:val="center"/>
          </w:tcPr>
          <w:p w14:paraId="268A9ADD" w14:textId="4F80D1DF"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143,294,342</w:t>
            </w:r>
          </w:p>
        </w:tc>
      </w:tr>
      <w:tr w:rsidR="003F72A4" w:rsidRPr="00A10908" w14:paraId="34BD4BE2" w14:textId="77777777" w:rsidTr="00305A65">
        <w:trPr>
          <w:trHeight w:val="271"/>
          <w:jc w:val="center"/>
        </w:trPr>
        <w:tc>
          <w:tcPr>
            <w:tcW w:w="1589" w:type="pct"/>
            <w:shd w:val="clear" w:color="auto" w:fill="auto"/>
            <w:hideMark/>
          </w:tcPr>
          <w:p w14:paraId="4A309E43" w14:textId="77777777" w:rsidR="003F72A4" w:rsidRPr="000B4904" w:rsidRDefault="003F72A4" w:rsidP="003F72A4">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w:lastRenderedPageBreak/>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13" w:type="pct"/>
            <w:shd w:val="clear" w:color="auto" w:fill="auto"/>
            <w:vAlign w:val="center"/>
          </w:tcPr>
          <w:p w14:paraId="46344F20" w14:textId="4F3D4197"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167,642</w:t>
            </w:r>
          </w:p>
        </w:tc>
        <w:tc>
          <w:tcPr>
            <w:tcW w:w="1062" w:type="pct"/>
            <w:vAlign w:val="center"/>
          </w:tcPr>
          <w:p w14:paraId="5FCC4FD8" w14:textId="7C0A1C09"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169,452</w:t>
            </w:r>
          </w:p>
        </w:tc>
        <w:tc>
          <w:tcPr>
            <w:tcW w:w="1136" w:type="pct"/>
            <w:vAlign w:val="center"/>
          </w:tcPr>
          <w:p w14:paraId="3C200DC6" w14:textId="2AE291D6"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171,294</w:t>
            </w:r>
          </w:p>
        </w:tc>
      </w:tr>
      <w:tr w:rsidR="003F72A4" w:rsidRPr="00A10908" w14:paraId="57757A29" w14:textId="77777777" w:rsidTr="00305A65">
        <w:trPr>
          <w:trHeight w:val="271"/>
          <w:jc w:val="center"/>
        </w:trPr>
        <w:tc>
          <w:tcPr>
            <w:tcW w:w="1589" w:type="pct"/>
            <w:shd w:val="clear" w:color="auto" w:fill="auto"/>
            <w:hideMark/>
          </w:tcPr>
          <w:p w14:paraId="5D14E69B" w14:textId="77777777" w:rsidR="003F72A4" w:rsidRPr="00A10908" w:rsidRDefault="003F72A4" w:rsidP="003F72A4">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shd w:val="clear" w:color="auto" w:fill="auto"/>
            <w:vAlign w:val="center"/>
          </w:tcPr>
          <w:p w14:paraId="05DFA96B" w14:textId="43E2EDD6"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167,642</w:t>
            </w:r>
          </w:p>
        </w:tc>
        <w:tc>
          <w:tcPr>
            <w:tcW w:w="1062" w:type="pct"/>
            <w:vAlign w:val="center"/>
          </w:tcPr>
          <w:p w14:paraId="707330EE" w14:textId="73CB106B"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169,452</w:t>
            </w:r>
          </w:p>
        </w:tc>
        <w:tc>
          <w:tcPr>
            <w:tcW w:w="1136" w:type="pct"/>
            <w:vAlign w:val="center"/>
          </w:tcPr>
          <w:p w14:paraId="0E290A1C" w14:textId="5041C55E" w:rsidR="003F72A4" w:rsidRPr="003F72A4" w:rsidRDefault="003F72A4" w:rsidP="003F72A4">
            <w:pPr>
              <w:ind w:left="0"/>
              <w:jc w:val="center"/>
              <w:rPr>
                <w:rFonts w:ascii="Bookman Old Style" w:hAnsi="Bookman Old Style"/>
                <w:color w:val="000000"/>
                <w:sz w:val="22"/>
                <w:lang w:val="es-CO" w:eastAsia="es-CO"/>
              </w:rPr>
            </w:pPr>
            <w:r w:rsidRPr="003F72A4">
              <w:rPr>
                <w:rFonts w:ascii="Bookman Old Style" w:hAnsi="Bookman Old Style"/>
                <w:color w:val="000000"/>
                <w:sz w:val="22"/>
                <w:lang w:val="es-CO" w:eastAsia="es-CO"/>
              </w:rPr>
              <w:t>171,294</w:t>
            </w:r>
          </w:p>
        </w:tc>
      </w:tr>
    </w:tbl>
    <w:p w14:paraId="351609A9" w14:textId="1BAF831B"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F6760">
        <w:rPr>
          <w:rFonts w:ascii="Bookman Old Style" w:hAnsi="Bookman Old Style" w:cs="Arial"/>
          <w:sz w:val="16"/>
        </w:rPr>
        <w:t>8</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ED4D6F" w:rsidRPr="00202111" w14:paraId="28125954" w14:textId="77777777" w:rsidTr="00317451">
        <w:trPr>
          <w:trHeight w:val="345"/>
          <w:tblHeader/>
        </w:trPr>
        <w:tc>
          <w:tcPr>
            <w:tcW w:w="9351" w:type="dxa"/>
            <w:gridSpan w:val="5"/>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ED4D6F" w:rsidRPr="00202111" w14:paraId="701EF923" w14:textId="77777777" w:rsidTr="00317451">
        <w:trPr>
          <w:trHeight w:val="406"/>
          <w:tblHeader/>
        </w:trPr>
        <w:tc>
          <w:tcPr>
            <w:tcW w:w="3736" w:type="dxa"/>
            <w:shd w:val="clear" w:color="auto" w:fill="D9D9D9" w:themeFill="background1" w:themeFillShade="D9"/>
            <w:vAlign w:val="center"/>
          </w:tcPr>
          <w:p w14:paraId="62F9B16C"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20186822" w14:textId="77777777" w:rsidR="00ED4D6F" w:rsidRPr="00202111" w:rsidRDefault="00ED4D6F" w:rsidP="00D52C6D">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635FA968"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67F2D871"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6A6642D6"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AA1645" w:rsidRPr="00202111" w14:paraId="41DE93AE" w14:textId="77777777" w:rsidTr="00317451">
        <w:trPr>
          <w:trHeight w:val="516"/>
        </w:trPr>
        <w:tc>
          <w:tcPr>
            <w:tcW w:w="3736" w:type="dxa"/>
            <w:shd w:val="clear" w:color="auto" w:fill="auto"/>
            <w:vAlign w:val="center"/>
          </w:tcPr>
          <w:p w14:paraId="6F48950B" w14:textId="77777777" w:rsidR="00AA1645" w:rsidRPr="00202111" w:rsidRDefault="00AA1645" w:rsidP="00AA1645">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4E8AC566" w14:textId="77777777" w:rsidR="00AA1645" w:rsidRPr="00202111" w:rsidRDefault="00AA1645" w:rsidP="00AA164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3CC3C461" w14:textId="2E917F36" w:rsidR="00AA1645" w:rsidRPr="00AA1645" w:rsidRDefault="00AA1645" w:rsidP="00AA1645">
            <w:pPr>
              <w:ind w:left="0"/>
              <w:jc w:val="center"/>
              <w:rPr>
                <w:rFonts w:ascii="Bookman Old Style" w:hAnsi="Bookman Old Style"/>
                <w:b/>
                <w:bCs/>
                <w:color w:val="000000"/>
                <w:sz w:val="22"/>
                <w:szCs w:val="22"/>
                <w:lang w:val="es-ES_tradnl" w:eastAsia="es-CO"/>
              </w:rPr>
            </w:pPr>
            <w:r w:rsidRPr="00AA1645">
              <w:rPr>
                <w:rFonts w:ascii="Bookman Old Style" w:hAnsi="Bookman Old Style"/>
                <w:b/>
                <w:bCs/>
                <w:color w:val="000000"/>
                <w:sz w:val="22"/>
                <w:szCs w:val="22"/>
                <w:lang w:val="es-ES_tradnl" w:eastAsia="es-CO"/>
              </w:rPr>
              <w:t>8,819.66</w:t>
            </w:r>
          </w:p>
        </w:tc>
        <w:tc>
          <w:tcPr>
            <w:tcW w:w="1596" w:type="dxa"/>
            <w:vAlign w:val="center"/>
          </w:tcPr>
          <w:p w14:paraId="3D518D69" w14:textId="48602B1C" w:rsidR="00AA1645" w:rsidRPr="00AA1645" w:rsidRDefault="00AA1645" w:rsidP="00AA1645">
            <w:pPr>
              <w:ind w:left="0"/>
              <w:jc w:val="center"/>
              <w:rPr>
                <w:rFonts w:ascii="Bookman Old Style" w:hAnsi="Bookman Old Style"/>
                <w:b/>
                <w:bCs/>
                <w:color w:val="000000"/>
                <w:sz w:val="22"/>
                <w:szCs w:val="22"/>
                <w:lang w:val="es-ES_tradnl" w:eastAsia="es-CO"/>
              </w:rPr>
            </w:pPr>
            <w:r w:rsidRPr="00AA1645">
              <w:rPr>
                <w:rFonts w:ascii="Bookman Old Style" w:hAnsi="Bookman Old Style"/>
                <w:b/>
                <w:bCs/>
                <w:color w:val="000000"/>
                <w:sz w:val="22"/>
                <w:szCs w:val="22"/>
                <w:lang w:val="es-ES_tradnl" w:eastAsia="es-CO"/>
              </w:rPr>
              <w:t>8,752.61</w:t>
            </w:r>
          </w:p>
        </w:tc>
        <w:tc>
          <w:tcPr>
            <w:tcW w:w="1597" w:type="dxa"/>
            <w:vAlign w:val="center"/>
          </w:tcPr>
          <w:p w14:paraId="7CAADC9E" w14:textId="5EBAB59B" w:rsidR="00AA1645" w:rsidRPr="00AA1645" w:rsidRDefault="00AA1645" w:rsidP="00AA1645">
            <w:pPr>
              <w:ind w:left="0"/>
              <w:jc w:val="center"/>
              <w:rPr>
                <w:rFonts w:ascii="Bookman Old Style" w:hAnsi="Bookman Old Style"/>
                <w:b/>
                <w:bCs/>
                <w:color w:val="000000"/>
                <w:sz w:val="22"/>
                <w:szCs w:val="22"/>
                <w:lang w:val="es-ES_tradnl" w:eastAsia="es-CO"/>
              </w:rPr>
            </w:pPr>
            <w:r w:rsidRPr="00AA1645">
              <w:rPr>
                <w:rFonts w:ascii="Bookman Old Style" w:hAnsi="Bookman Old Style"/>
                <w:b/>
                <w:bCs/>
                <w:color w:val="000000"/>
                <w:sz w:val="22"/>
                <w:szCs w:val="22"/>
                <w:lang w:val="es-ES_tradnl" w:eastAsia="es-CO"/>
              </w:rPr>
              <w:t>8,685.67</w:t>
            </w:r>
          </w:p>
        </w:tc>
      </w:tr>
      <w:tr w:rsidR="00AA1645" w:rsidRPr="00202111" w14:paraId="6F3E45F8" w14:textId="77777777" w:rsidTr="00317451">
        <w:trPr>
          <w:trHeight w:val="516"/>
        </w:trPr>
        <w:tc>
          <w:tcPr>
            <w:tcW w:w="3736" w:type="dxa"/>
            <w:shd w:val="clear" w:color="auto" w:fill="auto"/>
            <w:vAlign w:val="center"/>
          </w:tcPr>
          <w:p w14:paraId="12D464D6" w14:textId="7A60671A" w:rsidR="00AA1645" w:rsidRPr="00202111" w:rsidRDefault="00AA1645" w:rsidP="00AA1645">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26" w:type="dxa"/>
            <w:shd w:val="clear" w:color="auto" w:fill="auto"/>
            <w:vAlign w:val="center"/>
          </w:tcPr>
          <w:p w14:paraId="792D2B6C" w14:textId="77777777" w:rsidR="00AA1645" w:rsidRPr="00202111" w:rsidRDefault="00AA1645" w:rsidP="00AA164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4E7CB97" w14:textId="1A0AAEAE" w:rsidR="00AA1645" w:rsidRPr="00AA1645" w:rsidRDefault="00AA1645" w:rsidP="00AA1645">
            <w:pPr>
              <w:ind w:left="0"/>
              <w:jc w:val="center"/>
              <w:rPr>
                <w:rFonts w:ascii="Bookman Old Style" w:hAnsi="Bookman Old Style" w:cs="Arial"/>
                <w:sz w:val="22"/>
                <w:szCs w:val="22"/>
              </w:rPr>
            </w:pPr>
            <w:r w:rsidRPr="00AA1645">
              <w:rPr>
                <w:rFonts w:ascii="Bookman Old Style" w:hAnsi="Bookman Old Style" w:cs="Arial"/>
                <w:sz w:val="22"/>
                <w:szCs w:val="22"/>
              </w:rPr>
              <w:t>7,198.60</w:t>
            </w:r>
          </w:p>
        </w:tc>
        <w:tc>
          <w:tcPr>
            <w:tcW w:w="1596" w:type="dxa"/>
            <w:vAlign w:val="center"/>
          </w:tcPr>
          <w:p w14:paraId="5B7A3559" w14:textId="623469B1" w:rsidR="00AA1645" w:rsidRPr="00AA1645" w:rsidRDefault="00AA1645" w:rsidP="00AA1645">
            <w:pPr>
              <w:ind w:left="0"/>
              <w:jc w:val="center"/>
              <w:rPr>
                <w:rFonts w:ascii="Bookman Old Style" w:hAnsi="Bookman Old Style" w:cs="Arial"/>
                <w:sz w:val="22"/>
                <w:szCs w:val="22"/>
              </w:rPr>
            </w:pPr>
            <w:r w:rsidRPr="00AA1645">
              <w:rPr>
                <w:rFonts w:ascii="Bookman Old Style" w:hAnsi="Bookman Old Style" w:cs="Arial"/>
                <w:sz w:val="22"/>
                <w:szCs w:val="22"/>
              </w:rPr>
              <w:t>7,131.87</w:t>
            </w:r>
          </w:p>
        </w:tc>
        <w:tc>
          <w:tcPr>
            <w:tcW w:w="1597" w:type="dxa"/>
            <w:vAlign w:val="center"/>
          </w:tcPr>
          <w:p w14:paraId="7A5D7AD5" w14:textId="76DAEA43" w:rsidR="00AA1645" w:rsidRPr="00AA1645" w:rsidRDefault="00AA1645" w:rsidP="00AA1645">
            <w:pPr>
              <w:ind w:left="0"/>
              <w:jc w:val="center"/>
              <w:rPr>
                <w:rFonts w:ascii="Bookman Old Style" w:hAnsi="Bookman Old Style" w:cs="Arial"/>
                <w:sz w:val="22"/>
                <w:szCs w:val="22"/>
              </w:rPr>
            </w:pPr>
            <w:r w:rsidRPr="00AA1645">
              <w:rPr>
                <w:rFonts w:ascii="Bookman Old Style" w:hAnsi="Bookman Old Style" w:cs="Arial"/>
                <w:sz w:val="22"/>
                <w:szCs w:val="22"/>
              </w:rPr>
              <w:t>7,065.26</w:t>
            </w:r>
          </w:p>
        </w:tc>
      </w:tr>
      <w:tr w:rsidR="00AA1645" w:rsidRPr="00202111" w14:paraId="7D74475E" w14:textId="77777777" w:rsidTr="00317451">
        <w:trPr>
          <w:trHeight w:val="517"/>
        </w:trPr>
        <w:tc>
          <w:tcPr>
            <w:tcW w:w="3736" w:type="dxa"/>
            <w:shd w:val="clear" w:color="auto" w:fill="auto"/>
            <w:vAlign w:val="center"/>
          </w:tcPr>
          <w:p w14:paraId="430F4064" w14:textId="77777777" w:rsidR="00AA1645" w:rsidRPr="00202111" w:rsidRDefault="00AA1645" w:rsidP="00AA1645">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B261B90" w14:textId="77777777" w:rsidR="00AA1645" w:rsidRPr="00202111" w:rsidRDefault="00AA1645" w:rsidP="00AA164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3FFC37FB" w14:textId="61BA639B" w:rsidR="00AA1645" w:rsidRPr="00AA1645" w:rsidRDefault="00AA1645" w:rsidP="00AA1645">
            <w:pPr>
              <w:ind w:left="0"/>
              <w:jc w:val="center"/>
              <w:rPr>
                <w:rFonts w:ascii="Bookman Old Style" w:hAnsi="Bookman Old Style" w:cs="Arial"/>
                <w:sz w:val="22"/>
                <w:szCs w:val="22"/>
              </w:rPr>
            </w:pPr>
            <w:r w:rsidRPr="00AA1645">
              <w:rPr>
                <w:rFonts w:ascii="Bookman Old Style" w:hAnsi="Bookman Old Style" w:cs="Arial"/>
                <w:sz w:val="22"/>
                <w:szCs w:val="22"/>
              </w:rPr>
              <w:t>1,621.06</w:t>
            </w:r>
          </w:p>
        </w:tc>
        <w:tc>
          <w:tcPr>
            <w:tcW w:w="1596" w:type="dxa"/>
            <w:vAlign w:val="center"/>
          </w:tcPr>
          <w:p w14:paraId="49FC7BC3" w14:textId="0AAAA7E5" w:rsidR="00AA1645" w:rsidRPr="00AA1645" w:rsidRDefault="00AA1645" w:rsidP="00AA1645">
            <w:pPr>
              <w:ind w:left="0"/>
              <w:jc w:val="center"/>
              <w:rPr>
                <w:rFonts w:ascii="Bookman Old Style" w:hAnsi="Bookman Old Style" w:cs="Arial"/>
                <w:sz w:val="22"/>
                <w:szCs w:val="22"/>
              </w:rPr>
            </w:pPr>
            <w:r w:rsidRPr="00AA1645">
              <w:rPr>
                <w:rFonts w:ascii="Bookman Old Style" w:hAnsi="Bookman Old Style" w:cs="Arial"/>
                <w:sz w:val="22"/>
                <w:szCs w:val="22"/>
              </w:rPr>
              <w:t>1,620.74</w:t>
            </w:r>
          </w:p>
        </w:tc>
        <w:tc>
          <w:tcPr>
            <w:tcW w:w="1597" w:type="dxa"/>
            <w:vAlign w:val="center"/>
          </w:tcPr>
          <w:p w14:paraId="7624D109" w14:textId="6DFB0F31" w:rsidR="00AA1645" w:rsidRPr="00AA1645" w:rsidRDefault="00AA1645" w:rsidP="00AA1645">
            <w:pPr>
              <w:ind w:left="0"/>
              <w:jc w:val="center"/>
              <w:rPr>
                <w:rFonts w:ascii="Bookman Old Style" w:hAnsi="Bookman Old Style" w:cs="Arial"/>
                <w:sz w:val="22"/>
                <w:szCs w:val="22"/>
              </w:rPr>
            </w:pPr>
            <w:r w:rsidRPr="00AA1645">
              <w:rPr>
                <w:rFonts w:ascii="Bookman Old Style" w:hAnsi="Bookman Old Style" w:cs="Arial"/>
                <w:sz w:val="22"/>
                <w:szCs w:val="22"/>
              </w:rPr>
              <w:t>1,620.41</w:t>
            </w:r>
          </w:p>
        </w:tc>
      </w:tr>
    </w:tbl>
    <w:p w14:paraId="06120D91" w14:textId="6CE568B6"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607270">
        <w:rPr>
          <w:rFonts w:ascii="Bookman Old Style" w:hAnsi="Bookman Old Style" w:cs="Arial"/>
          <w:sz w:val="16"/>
          <w:lang w:val="es-CO" w:eastAsia="x-none"/>
        </w:rPr>
        <w:t>8</w:t>
      </w:r>
    </w:p>
    <w:p w14:paraId="246C36E3" w14:textId="444A9149" w:rsidR="00905E98" w:rsidRDefault="00905E98" w:rsidP="007213C9">
      <w:pPr>
        <w:widowControl w:val="0"/>
        <w:adjustRightInd w:val="0"/>
        <w:spacing w:before="240" w:after="240"/>
        <w:ind w:left="0" w:right="20"/>
        <w:jc w:val="both"/>
        <w:rPr>
          <w:rFonts w:ascii="Bookman Old Style" w:hAnsi="Bookman Old Style" w:cs="Arial"/>
          <w:b/>
          <w:bCs/>
        </w:rPr>
      </w:pPr>
      <w:r w:rsidRPr="0096758E">
        <w:rPr>
          <w:rFonts w:ascii="Bookman Old Style" w:hAnsi="Bookman Old Style" w:cs="Arial"/>
        </w:rPr>
        <w:t xml:space="preserve">El anterior cargo no contempla </w:t>
      </w:r>
      <w:r w:rsidRPr="00570730">
        <w:rPr>
          <w:rFonts w:ascii="Bookman Old Style" w:hAnsi="Bookman Old Style"/>
          <w:color w:val="000000"/>
          <w:shd w:val="clear" w:color="auto" w:fill="FFFFFF"/>
        </w:rPr>
        <w:t>el efecto del aporte de recursos públicos,</w:t>
      </w:r>
      <w:r>
        <w:rPr>
          <w:rFonts w:ascii="Bookman Old Style" w:hAnsi="Bookman Old Style"/>
          <w:color w:val="000000"/>
          <w:shd w:val="clear" w:color="auto" w:fill="FFFFFF"/>
        </w:rPr>
        <w:t xml:space="preserve"> </w:t>
      </w:r>
      <w:r w:rsidRPr="00570730">
        <w:rPr>
          <w:rFonts w:ascii="Bookman Old Style" w:hAnsi="Bookman Old Style"/>
          <w:color w:val="000000"/>
          <w:shd w:val="clear" w:color="auto" w:fill="FFFFFF"/>
        </w:rPr>
        <w:t xml:space="preserve">en consecuencia, </w:t>
      </w:r>
      <w:r w:rsidRPr="0096758E">
        <w:rPr>
          <w:rFonts w:ascii="Bookman Old Style" w:hAnsi="Bookman Old Style" w:cs="Arial"/>
        </w:rPr>
        <w:t>en aplicación de lo establecido en el Anexo 21 de la metodología contenida en las Resoluciones CREG 202 de 2013, 138 de 2014, 090 de 2018, 132 de 2018 y 011 de 2020, el cargo de distribución aplicable a los usuarios de uso residencial en cada uno de los submercados del Mercado Relevante definido en el Artículo 1° para recuperar los costos de inversión y los gastos de AOM para la distribución domiciliaria de gas combustible por redes de tubería se fija de la siguiente manera:</w:t>
      </w:r>
    </w:p>
    <w:p w14:paraId="3377F595" w14:textId="19356EFB" w:rsidR="00905E98" w:rsidRDefault="008A6A4A" w:rsidP="007213C9">
      <w:pPr>
        <w:widowControl w:val="0"/>
        <w:adjustRightInd w:val="0"/>
        <w:spacing w:before="240" w:after="240"/>
        <w:ind w:left="0" w:right="20"/>
        <w:jc w:val="both"/>
        <w:rPr>
          <w:rFonts w:ascii="Bookman Old Style" w:hAnsi="Bookman Old Style" w:cs="Arial"/>
        </w:rPr>
      </w:pPr>
      <w:r>
        <w:rPr>
          <w:rFonts w:ascii="Bookman Old Style" w:hAnsi="Bookman Old Style" w:cs="Arial"/>
          <w:b/>
        </w:rPr>
        <w:t xml:space="preserve">5.1. </w:t>
      </w:r>
      <w:r>
        <w:rPr>
          <w:rFonts w:ascii="Bookman Old Style" w:hAnsi="Bookman Old Style" w:cs="Arial"/>
        </w:rPr>
        <w:t>L</w:t>
      </w:r>
      <w:r w:rsidRPr="00B94732">
        <w:rPr>
          <w:rFonts w:ascii="Bookman Old Style" w:hAnsi="Bookman Old Style" w:cs="Arial"/>
        </w:rPr>
        <w:t xml:space="preserve">os cargos </w:t>
      </w:r>
      <w:r>
        <w:rPr>
          <w:rFonts w:ascii="Bookman Old Style" w:hAnsi="Bookman Old Style" w:cs="Arial"/>
        </w:rPr>
        <w:t xml:space="preserve">de distribución </w:t>
      </w:r>
      <w:r w:rsidRPr="00B94732">
        <w:rPr>
          <w:rFonts w:ascii="Bookman Old Style" w:hAnsi="Bookman Old Style" w:cs="Arial"/>
        </w:rPr>
        <w:t xml:space="preserve">aplicables </w:t>
      </w:r>
      <w:r>
        <w:rPr>
          <w:rFonts w:ascii="Bookman Old Style" w:hAnsi="Bookman Old Style" w:cs="Arial"/>
        </w:rPr>
        <w:t xml:space="preserve">a </w:t>
      </w:r>
      <w:r w:rsidRPr="00B94732">
        <w:rPr>
          <w:rFonts w:ascii="Bookman Old Style" w:hAnsi="Bookman Old Style" w:cs="Arial"/>
        </w:rPr>
        <w:t>l</w:t>
      </w:r>
      <w:r>
        <w:rPr>
          <w:rFonts w:ascii="Bookman Old Style" w:hAnsi="Bookman Old Style" w:cs="Arial"/>
        </w:rPr>
        <w:t>os Usuarios de Uso Residencial en el</w:t>
      </w:r>
      <w:r w:rsidRPr="00B94732">
        <w:rPr>
          <w:rFonts w:ascii="Bookman Old Style" w:hAnsi="Bookman Old Style" w:cs="Arial"/>
        </w:rPr>
        <w:t xml:space="preserve"> </w:t>
      </w:r>
      <w:r>
        <w:rPr>
          <w:rFonts w:ascii="Bookman Old Style" w:hAnsi="Bookman Old Style" w:cs="Arial"/>
        </w:rPr>
        <w:t xml:space="preserve">Submercado 1 de que trata el Parágrafo del Artículo 1 de esta Resolución, conformado por las veredas </w:t>
      </w:r>
      <w:r w:rsidR="00327DBD">
        <w:rPr>
          <w:rFonts w:ascii="Bookman Old Style" w:hAnsi="Bookman Old Style" w:cs="Arial"/>
        </w:rPr>
        <w:t>Astillero, La María, Granadillo y Alto Buenavista</w:t>
      </w:r>
      <w:r w:rsidR="000A5A11">
        <w:rPr>
          <w:rFonts w:ascii="Bookman Old Style" w:hAnsi="Bookman Old Style" w:cs="Arial"/>
        </w:rPr>
        <w:t xml:space="preserve"> en </w:t>
      </w:r>
      <w:r>
        <w:rPr>
          <w:rFonts w:ascii="Bookman Old Style" w:hAnsi="Bookman Old Style" w:cs="Arial"/>
        </w:rPr>
        <w:t>el M</w:t>
      </w:r>
      <w:r w:rsidRPr="00B94732">
        <w:rPr>
          <w:rFonts w:ascii="Bookman Old Style" w:hAnsi="Bookman Old Style" w:cs="Arial"/>
        </w:rPr>
        <w:t xml:space="preserve">unicipio de </w:t>
      </w:r>
      <w:r w:rsidR="00327DBD">
        <w:rPr>
          <w:rFonts w:ascii="Bookman Old Style" w:hAnsi="Bookman Old Style" w:cs="Arial"/>
        </w:rPr>
        <w:t>Agrado</w:t>
      </w:r>
      <w:r w:rsidRPr="00B94732">
        <w:rPr>
          <w:rFonts w:ascii="Bookman Old Style" w:hAnsi="Bookman Old Style" w:cs="Arial"/>
        </w:rPr>
        <w:t xml:space="preserve">, </w:t>
      </w:r>
      <w:r>
        <w:rPr>
          <w:rFonts w:ascii="Bookman Old Style" w:hAnsi="Bookman Old Style" w:cs="Arial"/>
        </w:rPr>
        <w:t>Departamento</w:t>
      </w:r>
      <w:r w:rsidRPr="00B94732">
        <w:rPr>
          <w:rFonts w:ascii="Bookman Old Style" w:hAnsi="Bookman Old Style" w:cs="Arial"/>
        </w:rPr>
        <w:t xml:space="preserve"> de </w:t>
      </w:r>
      <w:r w:rsidR="000A5A11">
        <w:rPr>
          <w:rFonts w:ascii="Bookman Old Style" w:hAnsi="Bookman Old Style" w:cs="Arial"/>
        </w:rPr>
        <w:t>Huila</w:t>
      </w:r>
      <w:r w:rsidRPr="00B94732">
        <w:rPr>
          <w:rFonts w:ascii="Bookman Old Style" w:hAnsi="Bookman Old Style" w:cs="Arial"/>
        </w:rPr>
        <w:t>, s</w:t>
      </w:r>
      <w:r>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834E68" w:rsidRPr="00202111" w14:paraId="75D11C80" w14:textId="77777777" w:rsidTr="00305A65">
        <w:trPr>
          <w:trHeight w:val="77"/>
          <w:tblHeader/>
          <w:jc w:val="center"/>
        </w:trPr>
        <w:tc>
          <w:tcPr>
            <w:tcW w:w="9209" w:type="dxa"/>
            <w:gridSpan w:val="5"/>
            <w:shd w:val="clear" w:color="auto" w:fill="D9D9D9" w:themeFill="background1" w:themeFillShade="D9"/>
            <w:vAlign w:val="center"/>
          </w:tcPr>
          <w:p w14:paraId="4028BC6B" w14:textId="77777777" w:rsidR="00834E68" w:rsidRPr="00202111" w:rsidRDefault="00834E68" w:rsidP="00305A65">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834E68" w:rsidRPr="00202111" w14:paraId="26B7E625" w14:textId="77777777" w:rsidTr="00305A65">
        <w:trPr>
          <w:trHeight w:val="406"/>
          <w:tblHeader/>
          <w:jc w:val="center"/>
        </w:trPr>
        <w:tc>
          <w:tcPr>
            <w:tcW w:w="3544" w:type="dxa"/>
            <w:shd w:val="clear" w:color="auto" w:fill="D9D9D9" w:themeFill="background1" w:themeFillShade="D9"/>
            <w:vAlign w:val="center"/>
          </w:tcPr>
          <w:p w14:paraId="723F4D36" w14:textId="77777777" w:rsidR="00834E68" w:rsidRPr="00202111" w:rsidRDefault="00834E68" w:rsidP="00305A6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0182146C" w14:textId="77777777" w:rsidR="00834E68" w:rsidRPr="00202111" w:rsidRDefault="00834E68" w:rsidP="00305A65">
            <w:pPr>
              <w:widowControl w:val="0"/>
              <w:adjustRightInd w:val="0"/>
              <w:ind w:left="0" w:right="20"/>
              <w:jc w:val="center"/>
              <w:rPr>
                <w:rFonts w:ascii="Bookman Old Style" w:hAnsi="Bookman Old Style" w:cs="Arial"/>
                <w:sz w:val="22"/>
                <w:szCs w:val="22"/>
              </w:rPr>
            </w:pPr>
          </w:p>
        </w:tc>
        <w:tc>
          <w:tcPr>
            <w:tcW w:w="1604" w:type="dxa"/>
            <w:shd w:val="clear" w:color="auto" w:fill="D9D9D9" w:themeFill="background1" w:themeFillShade="D9"/>
            <w:vAlign w:val="center"/>
          </w:tcPr>
          <w:p w14:paraId="765613D3" w14:textId="77777777" w:rsidR="00834E68" w:rsidRPr="00202111" w:rsidRDefault="00834E68" w:rsidP="00305A65">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 xml:space="preserve">Año </w:t>
            </w:r>
            <w:r w:rsidRPr="00DE69B3">
              <w:rPr>
                <w:rFonts w:ascii="Bookman Old Style" w:hAnsi="Bookman Old Style" w:cs="Arial"/>
                <w:b/>
                <w:sz w:val="22"/>
                <w:szCs w:val="22"/>
              </w:rPr>
              <w:t>2020</w:t>
            </w:r>
          </w:p>
        </w:tc>
        <w:tc>
          <w:tcPr>
            <w:tcW w:w="1605" w:type="dxa"/>
            <w:shd w:val="clear" w:color="auto" w:fill="D9D9D9" w:themeFill="background1" w:themeFillShade="D9"/>
            <w:vAlign w:val="center"/>
          </w:tcPr>
          <w:p w14:paraId="5F438661" w14:textId="77777777" w:rsidR="00834E68" w:rsidRDefault="00834E68"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605" w:type="dxa"/>
            <w:shd w:val="clear" w:color="auto" w:fill="D9D9D9" w:themeFill="background1" w:themeFillShade="D9"/>
            <w:vAlign w:val="center"/>
          </w:tcPr>
          <w:p w14:paraId="3C871EDD" w14:textId="77777777" w:rsidR="00834E68" w:rsidRDefault="00834E68"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4015B4" w:rsidRPr="00202111" w14:paraId="1ED473CA" w14:textId="77777777" w:rsidTr="00305A65">
        <w:trPr>
          <w:trHeight w:val="367"/>
          <w:jc w:val="center"/>
        </w:trPr>
        <w:tc>
          <w:tcPr>
            <w:tcW w:w="3544" w:type="dxa"/>
            <w:shd w:val="clear" w:color="auto" w:fill="auto"/>
            <w:vAlign w:val="center"/>
          </w:tcPr>
          <w:p w14:paraId="7804D575" w14:textId="77777777" w:rsidR="004015B4" w:rsidRPr="00202111" w:rsidRDefault="004015B4" w:rsidP="004015B4">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6C7DD64C" w14:textId="77777777" w:rsidR="004015B4" w:rsidRPr="00202111" w:rsidRDefault="004015B4" w:rsidP="004015B4">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604" w:type="dxa"/>
            <w:shd w:val="clear" w:color="auto" w:fill="auto"/>
            <w:vAlign w:val="center"/>
          </w:tcPr>
          <w:p w14:paraId="329317EC" w14:textId="4DA2FC75" w:rsidR="004015B4" w:rsidRPr="004015B4" w:rsidRDefault="004015B4" w:rsidP="004015B4">
            <w:pPr>
              <w:widowControl w:val="0"/>
              <w:adjustRightInd w:val="0"/>
              <w:ind w:left="0" w:right="20"/>
              <w:jc w:val="center"/>
              <w:rPr>
                <w:rFonts w:ascii="Bookman Old Style" w:hAnsi="Bookman Old Style"/>
                <w:b/>
                <w:bCs/>
                <w:color w:val="000000"/>
                <w:sz w:val="22"/>
                <w:szCs w:val="22"/>
                <w:lang w:val="es-ES_tradnl" w:eastAsia="es-CO"/>
              </w:rPr>
            </w:pPr>
            <w:r w:rsidRPr="004015B4">
              <w:rPr>
                <w:rFonts w:ascii="Bookman Old Style" w:hAnsi="Bookman Old Style"/>
                <w:b/>
                <w:bCs/>
                <w:color w:val="000000"/>
                <w:sz w:val="22"/>
                <w:szCs w:val="22"/>
                <w:lang w:val="es-ES_tradnl" w:eastAsia="es-CO"/>
              </w:rPr>
              <w:t>2,208.66</w:t>
            </w:r>
          </w:p>
        </w:tc>
        <w:tc>
          <w:tcPr>
            <w:tcW w:w="1605" w:type="dxa"/>
            <w:vAlign w:val="center"/>
          </w:tcPr>
          <w:p w14:paraId="50098B61" w14:textId="47F961FB" w:rsidR="004015B4" w:rsidRPr="004015B4" w:rsidRDefault="004015B4" w:rsidP="004015B4">
            <w:pPr>
              <w:widowControl w:val="0"/>
              <w:adjustRightInd w:val="0"/>
              <w:ind w:left="0" w:right="20"/>
              <w:jc w:val="center"/>
              <w:rPr>
                <w:rFonts w:ascii="Bookman Old Style" w:hAnsi="Bookman Old Style"/>
                <w:b/>
                <w:bCs/>
                <w:color w:val="000000"/>
                <w:sz w:val="22"/>
                <w:szCs w:val="22"/>
                <w:lang w:val="es-ES_tradnl" w:eastAsia="es-CO"/>
              </w:rPr>
            </w:pPr>
            <w:r w:rsidRPr="004015B4">
              <w:rPr>
                <w:rFonts w:ascii="Bookman Old Style" w:hAnsi="Bookman Old Style"/>
                <w:b/>
                <w:bCs/>
                <w:color w:val="000000"/>
                <w:sz w:val="22"/>
                <w:szCs w:val="22"/>
                <w:lang w:val="es-ES_tradnl" w:eastAsia="es-CO"/>
              </w:rPr>
              <w:t>2,203.14</w:t>
            </w:r>
          </w:p>
        </w:tc>
        <w:tc>
          <w:tcPr>
            <w:tcW w:w="1605" w:type="dxa"/>
            <w:vAlign w:val="center"/>
          </w:tcPr>
          <w:p w14:paraId="1934EF7E" w14:textId="771E36D5" w:rsidR="004015B4" w:rsidRPr="004015B4" w:rsidRDefault="004015B4" w:rsidP="004015B4">
            <w:pPr>
              <w:widowControl w:val="0"/>
              <w:adjustRightInd w:val="0"/>
              <w:ind w:left="0" w:right="20"/>
              <w:jc w:val="center"/>
              <w:rPr>
                <w:rFonts w:ascii="Bookman Old Style" w:hAnsi="Bookman Old Style"/>
                <w:b/>
                <w:bCs/>
                <w:color w:val="000000"/>
                <w:sz w:val="22"/>
                <w:szCs w:val="22"/>
                <w:lang w:val="es-ES_tradnl" w:eastAsia="es-CO"/>
              </w:rPr>
            </w:pPr>
            <w:r w:rsidRPr="004015B4">
              <w:rPr>
                <w:rFonts w:ascii="Bookman Old Style" w:hAnsi="Bookman Old Style"/>
                <w:b/>
                <w:bCs/>
                <w:color w:val="000000"/>
                <w:sz w:val="22"/>
                <w:szCs w:val="22"/>
                <w:lang w:val="es-ES_tradnl" w:eastAsia="es-CO"/>
              </w:rPr>
              <w:t>2,197.63</w:t>
            </w:r>
          </w:p>
        </w:tc>
      </w:tr>
      <w:tr w:rsidR="004015B4" w:rsidRPr="00202111" w14:paraId="7700CE47" w14:textId="77777777" w:rsidTr="00305A65">
        <w:trPr>
          <w:trHeight w:val="367"/>
          <w:jc w:val="center"/>
        </w:trPr>
        <w:tc>
          <w:tcPr>
            <w:tcW w:w="3544" w:type="dxa"/>
            <w:shd w:val="clear" w:color="auto" w:fill="auto"/>
            <w:vAlign w:val="center"/>
          </w:tcPr>
          <w:p w14:paraId="576ADD01" w14:textId="6A8B9A83" w:rsidR="004015B4" w:rsidRPr="00202111" w:rsidRDefault="004015B4" w:rsidP="004015B4">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AGRADO</w:t>
            </w:r>
          </w:p>
        </w:tc>
        <w:tc>
          <w:tcPr>
            <w:tcW w:w="851" w:type="dxa"/>
            <w:shd w:val="clear" w:color="auto" w:fill="auto"/>
            <w:vAlign w:val="center"/>
          </w:tcPr>
          <w:p w14:paraId="39AD5A49" w14:textId="77777777" w:rsidR="004015B4" w:rsidRPr="00202111" w:rsidRDefault="004015B4" w:rsidP="004015B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4A6D8413" w14:textId="420720CF" w:rsidR="004015B4" w:rsidRPr="004015B4" w:rsidRDefault="004015B4" w:rsidP="004015B4">
            <w:pPr>
              <w:widowControl w:val="0"/>
              <w:adjustRightInd w:val="0"/>
              <w:ind w:left="0" w:right="20"/>
              <w:jc w:val="center"/>
              <w:rPr>
                <w:rFonts w:ascii="Bookman Old Style" w:hAnsi="Bookman Old Style" w:cs="Arial"/>
                <w:sz w:val="22"/>
                <w:szCs w:val="22"/>
              </w:rPr>
            </w:pPr>
            <w:r w:rsidRPr="004015B4">
              <w:rPr>
                <w:rFonts w:ascii="Bookman Old Style" w:hAnsi="Bookman Old Style" w:cs="Arial"/>
                <w:sz w:val="22"/>
                <w:szCs w:val="22"/>
              </w:rPr>
              <w:t>587.59</w:t>
            </w:r>
          </w:p>
        </w:tc>
        <w:tc>
          <w:tcPr>
            <w:tcW w:w="1605" w:type="dxa"/>
            <w:vAlign w:val="center"/>
          </w:tcPr>
          <w:p w14:paraId="6670B9C5" w14:textId="74793505" w:rsidR="004015B4" w:rsidRPr="004015B4" w:rsidRDefault="004015B4" w:rsidP="004015B4">
            <w:pPr>
              <w:widowControl w:val="0"/>
              <w:adjustRightInd w:val="0"/>
              <w:ind w:left="0" w:right="20"/>
              <w:jc w:val="center"/>
              <w:rPr>
                <w:rFonts w:ascii="Bookman Old Style" w:hAnsi="Bookman Old Style" w:cs="Arial"/>
                <w:sz w:val="22"/>
                <w:szCs w:val="22"/>
              </w:rPr>
            </w:pPr>
            <w:r w:rsidRPr="004015B4">
              <w:rPr>
                <w:rFonts w:ascii="Bookman Old Style" w:hAnsi="Bookman Old Style" w:cs="Arial"/>
                <w:sz w:val="22"/>
                <w:szCs w:val="22"/>
              </w:rPr>
              <w:t>582.40</w:t>
            </w:r>
          </w:p>
        </w:tc>
        <w:tc>
          <w:tcPr>
            <w:tcW w:w="1605" w:type="dxa"/>
            <w:vAlign w:val="center"/>
          </w:tcPr>
          <w:p w14:paraId="0D93B7DA" w14:textId="74CC437E" w:rsidR="004015B4" w:rsidRPr="004015B4" w:rsidRDefault="004015B4" w:rsidP="004015B4">
            <w:pPr>
              <w:widowControl w:val="0"/>
              <w:adjustRightInd w:val="0"/>
              <w:ind w:left="0" w:right="20"/>
              <w:jc w:val="center"/>
              <w:rPr>
                <w:rFonts w:ascii="Bookman Old Style" w:hAnsi="Bookman Old Style" w:cs="Arial"/>
                <w:sz w:val="22"/>
                <w:szCs w:val="22"/>
              </w:rPr>
            </w:pPr>
            <w:r w:rsidRPr="004015B4">
              <w:rPr>
                <w:rFonts w:ascii="Bookman Old Style" w:hAnsi="Bookman Old Style" w:cs="Arial"/>
                <w:sz w:val="22"/>
                <w:szCs w:val="22"/>
              </w:rPr>
              <w:t>577.22</w:t>
            </w:r>
          </w:p>
        </w:tc>
      </w:tr>
      <w:tr w:rsidR="004015B4" w:rsidRPr="00202111" w14:paraId="1E5BF182" w14:textId="77777777" w:rsidTr="00305A65">
        <w:trPr>
          <w:trHeight w:val="367"/>
          <w:jc w:val="center"/>
        </w:trPr>
        <w:tc>
          <w:tcPr>
            <w:tcW w:w="3544" w:type="dxa"/>
            <w:shd w:val="clear" w:color="auto" w:fill="auto"/>
            <w:vAlign w:val="center"/>
          </w:tcPr>
          <w:p w14:paraId="74F680D0" w14:textId="77777777" w:rsidR="004015B4" w:rsidRPr="00202111" w:rsidRDefault="004015B4" w:rsidP="004015B4">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2FB891B1" w14:textId="77777777" w:rsidR="004015B4" w:rsidRPr="00202111" w:rsidRDefault="004015B4" w:rsidP="004015B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56B9FCF4" w14:textId="2F32CA16" w:rsidR="004015B4" w:rsidRPr="004015B4" w:rsidRDefault="004015B4" w:rsidP="004015B4">
            <w:pPr>
              <w:widowControl w:val="0"/>
              <w:adjustRightInd w:val="0"/>
              <w:ind w:left="0" w:right="20"/>
              <w:jc w:val="center"/>
              <w:rPr>
                <w:rFonts w:ascii="Bookman Old Style" w:hAnsi="Bookman Old Style" w:cs="Arial"/>
                <w:sz w:val="22"/>
                <w:szCs w:val="22"/>
              </w:rPr>
            </w:pPr>
            <w:r w:rsidRPr="004015B4">
              <w:rPr>
                <w:rFonts w:ascii="Bookman Old Style" w:hAnsi="Bookman Old Style" w:cs="Arial"/>
                <w:sz w:val="22"/>
                <w:szCs w:val="22"/>
              </w:rPr>
              <w:t>1,621.06</w:t>
            </w:r>
          </w:p>
        </w:tc>
        <w:tc>
          <w:tcPr>
            <w:tcW w:w="1605" w:type="dxa"/>
            <w:vAlign w:val="center"/>
          </w:tcPr>
          <w:p w14:paraId="382A0BAF" w14:textId="14E79D77" w:rsidR="004015B4" w:rsidRPr="004015B4" w:rsidRDefault="004015B4" w:rsidP="004015B4">
            <w:pPr>
              <w:widowControl w:val="0"/>
              <w:adjustRightInd w:val="0"/>
              <w:ind w:left="0" w:right="20"/>
              <w:jc w:val="center"/>
              <w:rPr>
                <w:rFonts w:ascii="Bookman Old Style" w:hAnsi="Bookman Old Style" w:cs="Arial"/>
                <w:sz w:val="22"/>
                <w:szCs w:val="22"/>
              </w:rPr>
            </w:pPr>
            <w:r w:rsidRPr="004015B4">
              <w:rPr>
                <w:rFonts w:ascii="Bookman Old Style" w:hAnsi="Bookman Old Style" w:cs="Arial"/>
                <w:sz w:val="22"/>
                <w:szCs w:val="22"/>
              </w:rPr>
              <w:t>1,620.74</w:t>
            </w:r>
          </w:p>
        </w:tc>
        <w:tc>
          <w:tcPr>
            <w:tcW w:w="1605" w:type="dxa"/>
            <w:vAlign w:val="center"/>
          </w:tcPr>
          <w:p w14:paraId="400F19C2" w14:textId="0B3AE705" w:rsidR="004015B4" w:rsidRPr="004015B4" w:rsidRDefault="004015B4" w:rsidP="004015B4">
            <w:pPr>
              <w:widowControl w:val="0"/>
              <w:adjustRightInd w:val="0"/>
              <w:ind w:left="0" w:right="20"/>
              <w:jc w:val="center"/>
              <w:rPr>
                <w:rFonts w:ascii="Bookman Old Style" w:hAnsi="Bookman Old Style" w:cs="Arial"/>
                <w:sz w:val="22"/>
                <w:szCs w:val="22"/>
              </w:rPr>
            </w:pPr>
            <w:r w:rsidRPr="004015B4">
              <w:rPr>
                <w:rFonts w:ascii="Bookman Old Style" w:hAnsi="Bookman Old Style" w:cs="Arial"/>
                <w:sz w:val="22"/>
                <w:szCs w:val="22"/>
              </w:rPr>
              <w:t>1,620.41</w:t>
            </w:r>
          </w:p>
        </w:tc>
      </w:tr>
    </w:tbl>
    <w:p w14:paraId="75183CD1" w14:textId="77777777" w:rsidR="00F92BEE" w:rsidRDefault="00F92BEE" w:rsidP="00F92B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2E69366E" w14:textId="1CFD9A12" w:rsidR="00B27654" w:rsidRDefault="00B27654" w:rsidP="00B27654">
      <w:pPr>
        <w:widowControl w:val="0"/>
        <w:adjustRightInd w:val="0"/>
        <w:spacing w:before="240" w:after="240"/>
        <w:ind w:left="0" w:right="20"/>
        <w:jc w:val="both"/>
        <w:rPr>
          <w:rFonts w:ascii="Bookman Old Style" w:hAnsi="Bookman Old Style" w:cs="Arial"/>
        </w:rPr>
      </w:pPr>
      <w:r>
        <w:rPr>
          <w:rFonts w:ascii="Bookman Old Style" w:hAnsi="Bookman Old Style" w:cs="Arial"/>
          <w:b/>
        </w:rPr>
        <w:lastRenderedPageBreak/>
        <w:t xml:space="preserve">5.2. </w:t>
      </w:r>
      <w:r>
        <w:rPr>
          <w:rFonts w:ascii="Bookman Old Style" w:hAnsi="Bookman Old Style" w:cs="Arial"/>
        </w:rPr>
        <w:t>L</w:t>
      </w:r>
      <w:r w:rsidRPr="00B94732">
        <w:rPr>
          <w:rFonts w:ascii="Bookman Old Style" w:hAnsi="Bookman Old Style" w:cs="Arial"/>
        </w:rPr>
        <w:t xml:space="preserve">os cargos </w:t>
      </w:r>
      <w:r>
        <w:rPr>
          <w:rFonts w:ascii="Bookman Old Style" w:hAnsi="Bookman Old Style" w:cs="Arial"/>
        </w:rPr>
        <w:t xml:space="preserve">de distribución </w:t>
      </w:r>
      <w:r w:rsidRPr="00B94732">
        <w:rPr>
          <w:rFonts w:ascii="Bookman Old Style" w:hAnsi="Bookman Old Style" w:cs="Arial"/>
        </w:rPr>
        <w:t xml:space="preserve">aplicables </w:t>
      </w:r>
      <w:r>
        <w:rPr>
          <w:rFonts w:ascii="Bookman Old Style" w:hAnsi="Bookman Old Style" w:cs="Arial"/>
        </w:rPr>
        <w:t xml:space="preserve">a los Usuarios de Uso Residencial en el Submercado 2 de que trata el Parágrafo del Artículo 1 de esta Resolución, conformado por la vereda </w:t>
      </w:r>
      <w:r w:rsidR="008520BC">
        <w:rPr>
          <w:rFonts w:ascii="Bookman Old Style" w:hAnsi="Bookman Old Style" w:cs="Arial"/>
        </w:rPr>
        <w:t>La Carbona</w:t>
      </w:r>
      <w:r>
        <w:rPr>
          <w:rFonts w:ascii="Bookman Old Style" w:hAnsi="Bookman Old Style" w:cs="Arial"/>
        </w:rPr>
        <w:t xml:space="preserve"> en el M</w:t>
      </w:r>
      <w:r w:rsidRPr="00B94732">
        <w:rPr>
          <w:rFonts w:ascii="Bookman Old Style" w:hAnsi="Bookman Old Style" w:cs="Arial"/>
        </w:rPr>
        <w:t xml:space="preserve">unicipio de </w:t>
      </w:r>
      <w:r w:rsidR="008520BC">
        <w:rPr>
          <w:rFonts w:ascii="Bookman Old Style" w:hAnsi="Bookman Old Style" w:cs="Arial"/>
        </w:rPr>
        <w:t>Acevedo</w:t>
      </w:r>
      <w:r w:rsidRPr="00B94732">
        <w:rPr>
          <w:rFonts w:ascii="Bookman Old Style" w:hAnsi="Bookman Old Style" w:cs="Arial"/>
        </w:rPr>
        <w:t xml:space="preserve">, </w:t>
      </w:r>
      <w:r>
        <w:rPr>
          <w:rFonts w:ascii="Bookman Old Style" w:hAnsi="Bookman Old Style" w:cs="Arial"/>
        </w:rPr>
        <w:t>Departamento</w:t>
      </w:r>
      <w:r w:rsidRPr="00B94732">
        <w:rPr>
          <w:rFonts w:ascii="Bookman Old Style" w:hAnsi="Bookman Old Style" w:cs="Arial"/>
        </w:rPr>
        <w:t xml:space="preserve"> de </w:t>
      </w:r>
      <w:r>
        <w:rPr>
          <w:rFonts w:ascii="Bookman Old Style" w:hAnsi="Bookman Old Style" w:cs="Arial"/>
        </w:rPr>
        <w:t>Huila</w:t>
      </w:r>
      <w:r w:rsidRPr="00B94732">
        <w:rPr>
          <w:rFonts w:ascii="Bookman Old Style" w:hAnsi="Bookman Old Style" w:cs="Arial"/>
        </w:rPr>
        <w:t>, s</w:t>
      </w:r>
      <w:r>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851"/>
        <w:gridCol w:w="1568"/>
        <w:gridCol w:w="1569"/>
        <w:gridCol w:w="1569"/>
      </w:tblGrid>
      <w:tr w:rsidR="00244B12" w:rsidRPr="00202111" w14:paraId="592C9162" w14:textId="77777777" w:rsidTr="00305A65">
        <w:trPr>
          <w:trHeight w:val="77"/>
          <w:tblHeader/>
          <w:jc w:val="center"/>
        </w:trPr>
        <w:tc>
          <w:tcPr>
            <w:tcW w:w="9101" w:type="dxa"/>
            <w:gridSpan w:val="5"/>
            <w:shd w:val="clear" w:color="auto" w:fill="D9D9D9" w:themeFill="background1" w:themeFillShade="D9"/>
            <w:vAlign w:val="center"/>
          </w:tcPr>
          <w:p w14:paraId="6640A5FC" w14:textId="48B45384" w:rsidR="00244B12" w:rsidRPr="00202111" w:rsidRDefault="004A44ED" w:rsidP="00305A65">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244B12" w:rsidRPr="00202111" w14:paraId="2D8A6618" w14:textId="77777777" w:rsidTr="00305A65">
        <w:trPr>
          <w:trHeight w:val="406"/>
          <w:tblHeader/>
          <w:jc w:val="center"/>
        </w:trPr>
        <w:tc>
          <w:tcPr>
            <w:tcW w:w="3544" w:type="dxa"/>
            <w:shd w:val="clear" w:color="auto" w:fill="D9D9D9" w:themeFill="background1" w:themeFillShade="D9"/>
            <w:vAlign w:val="center"/>
          </w:tcPr>
          <w:p w14:paraId="1DD23877" w14:textId="77777777" w:rsidR="00244B12" w:rsidRPr="00202111" w:rsidRDefault="00244B12" w:rsidP="00305A6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24CCFB3C" w14:textId="77777777" w:rsidR="00244B12" w:rsidRPr="00202111" w:rsidRDefault="00244B12" w:rsidP="00305A65">
            <w:pPr>
              <w:widowControl w:val="0"/>
              <w:adjustRightInd w:val="0"/>
              <w:ind w:left="0" w:right="20"/>
              <w:jc w:val="center"/>
              <w:rPr>
                <w:rFonts w:ascii="Bookman Old Style" w:hAnsi="Bookman Old Style" w:cs="Arial"/>
                <w:sz w:val="22"/>
                <w:szCs w:val="22"/>
              </w:rPr>
            </w:pPr>
          </w:p>
        </w:tc>
        <w:tc>
          <w:tcPr>
            <w:tcW w:w="1568" w:type="dxa"/>
            <w:shd w:val="clear" w:color="auto" w:fill="D9D9D9" w:themeFill="background1" w:themeFillShade="D9"/>
            <w:vAlign w:val="center"/>
          </w:tcPr>
          <w:p w14:paraId="66CEE3A4" w14:textId="77777777" w:rsidR="00244B12" w:rsidRPr="00202111" w:rsidRDefault="00244B12" w:rsidP="00305A65">
            <w:pPr>
              <w:widowControl w:val="0"/>
              <w:adjustRightInd w:val="0"/>
              <w:ind w:left="0" w:right="20"/>
              <w:jc w:val="center"/>
              <w:rPr>
                <w:rFonts w:ascii="Bookman Old Style" w:hAnsi="Bookman Old Style" w:cs="Arial"/>
                <w:sz w:val="22"/>
                <w:szCs w:val="22"/>
              </w:rPr>
            </w:pPr>
            <w:r w:rsidRPr="00DE69B3">
              <w:rPr>
                <w:rFonts w:ascii="Bookman Old Style" w:hAnsi="Bookman Old Style" w:cs="Arial"/>
                <w:b/>
                <w:sz w:val="22"/>
                <w:szCs w:val="22"/>
              </w:rPr>
              <w:t>2020</w:t>
            </w:r>
          </w:p>
        </w:tc>
        <w:tc>
          <w:tcPr>
            <w:tcW w:w="1569" w:type="dxa"/>
            <w:shd w:val="clear" w:color="auto" w:fill="D9D9D9" w:themeFill="background1" w:themeFillShade="D9"/>
            <w:vAlign w:val="center"/>
          </w:tcPr>
          <w:p w14:paraId="2A000949" w14:textId="77777777" w:rsidR="00244B12" w:rsidRDefault="00244B12"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69" w:type="dxa"/>
            <w:shd w:val="clear" w:color="auto" w:fill="D9D9D9" w:themeFill="background1" w:themeFillShade="D9"/>
            <w:vAlign w:val="center"/>
          </w:tcPr>
          <w:p w14:paraId="5E70EEEA" w14:textId="77777777" w:rsidR="00244B12" w:rsidRDefault="00244B12"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901111" w:rsidRPr="00202111" w14:paraId="7170583F" w14:textId="77777777" w:rsidTr="00305A65">
        <w:trPr>
          <w:trHeight w:val="367"/>
          <w:jc w:val="center"/>
        </w:trPr>
        <w:tc>
          <w:tcPr>
            <w:tcW w:w="3544" w:type="dxa"/>
            <w:shd w:val="clear" w:color="auto" w:fill="auto"/>
            <w:vAlign w:val="center"/>
          </w:tcPr>
          <w:p w14:paraId="317B6D74" w14:textId="77777777" w:rsidR="00901111" w:rsidRPr="00202111" w:rsidRDefault="00901111" w:rsidP="00901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6722C099" w14:textId="77777777" w:rsidR="00901111" w:rsidRPr="00202111" w:rsidRDefault="00901111" w:rsidP="00901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68" w:type="dxa"/>
            <w:shd w:val="clear" w:color="auto" w:fill="auto"/>
            <w:vAlign w:val="center"/>
          </w:tcPr>
          <w:p w14:paraId="3B439608" w14:textId="189600AD" w:rsidR="00901111" w:rsidRPr="00901111" w:rsidRDefault="00901111" w:rsidP="00901111">
            <w:pPr>
              <w:widowControl w:val="0"/>
              <w:adjustRightInd w:val="0"/>
              <w:ind w:left="0" w:right="20"/>
              <w:jc w:val="center"/>
              <w:rPr>
                <w:rFonts w:ascii="Bookman Old Style" w:hAnsi="Bookman Old Style"/>
                <w:b/>
                <w:bCs/>
                <w:color w:val="000000"/>
                <w:sz w:val="22"/>
                <w:szCs w:val="22"/>
                <w:lang w:val="es-ES_tradnl" w:eastAsia="es-CO"/>
              </w:rPr>
            </w:pPr>
            <w:r w:rsidRPr="00901111">
              <w:rPr>
                <w:rFonts w:ascii="Bookman Old Style" w:hAnsi="Bookman Old Style"/>
                <w:b/>
                <w:bCs/>
                <w:color w:val="000000"/>
                <w:sz w:val="22"/>
                <w:szCs w:val="22"/>
                <w:lang w:val="es-ES_tradnl" w:eastAsia="es-CO"/>
              </w:rPr>
              <w:t>7,380.19</w:t>
            </w:r>
          </w:p>
        </w:tc>
        <w:tc>
          <w:tcPr>
            <w:tcW w:w="1569" w:type="dxa"/>
            <w:vAlign w:val="center"/>
          </w:tcPr>
          <w:p w14:paraId="2ADF92B0" w14:textId="4011BD0A" w:rsidR="00901111" w:rsidRPr="00901111" w:rsidRDefault="00901111" w:rsidP="00901111">
            <w:pPr>
              <w:widowControl w:val="0"/>
              <w:adjustRightInd w:val="0"/>
              <w:ind w:left="0" w:right="20"/>
              <w:jc w:val="center"/>
              <w:rPr>
                <w:rFonts w:ascii="Bookman Old Style" w:hAnsi="Bookman Old Style"/>
                <w:b/>
                <w:bCs/>
                <w:color w:val="000000"/>
                <w:sz w:val="22"/>
                <w:szCs w:val="22"/>
                <w:lang w:val="es-ES_tradnl" w:eastAsia="es-CO"/>
              </w:rPr>
            </w:pPr>
            <w:r w:rsidRPr="00901111">
              <w:rPr>
                <w:rFonts w:ascii="Bookman Old Style" w:hAnsi="Bookman Old Style"/>
                <w:b/>
                <w:bCs/>
                <w:color w:val="000000"/>
                <w:sz w:val="22"/>
                <w:szCs w:val="22"/>
                <w:lang w:val="es-ES_tradnl" w:eastAsia="es-CO"/>
              </w:rPr>
              <w:t>7,326.40</w:t>
            </w:r>
          </w:p>
        </w:tc>
        <w:tc>
          <w:tcPr>
            <w:tcW w:w="1569" w:type="dxa"/>
            <w:vAlign w:val="center"/>
          </w:tcPr>
          <w:p w14:paraId="5E0B4559" w14:textId="7A15CCB8" w:rsidR="00901111" w:rsidRPr="00901111" w:rsidRDefault="00901111" w:rsidP="00901111">
            <w:pPr>
              <w:widowControl w:val="0"/>
              <w:adjustRightInd w:val="0"/>
              <w:ind w:left="0" w:right="20"/>
              <w:jc w:val="center"/>
              <w:rPr>
                <w:rFonts w:ascii="Bookman Old Style" w:hAnsi="Bookman Old Style"/>
                <w:b/>
                <w:bCs/>
                <w:color w:val="000000"/>
                <w:sz w:val="22"/>
                <w:szCs w:val="22"/>
                <w:lang w:val="es-ES_tradnl" w:eastAsia="es-CO"/>
              </w:rPr>
            </w:pPr>
            <w:r w:rsidRPr="00901111">
              <w:rPr>
                <w:rFonts w:ascii="Bookman Old Style" w:hAnsi="Bookman Old Style"/>
                <w:b/>
                <w:bCs/>
                <w:color w:val="000000"/>
                <w:sz w:val="22"/>
                <w:szCs w:val="22"/>
                <w:lang w:val="es-ES_tradnl" w:eastAsia="es-CO"/>
              </w:rPr>
              <w:t>7,272.70</w:t>
            </w:r>
          </w:p>
        </w:tc>
      </w:tr>
      <w:tr w:rsidR="00901111" w:rsidRPr="00202111" w14:paraId="74679DD0" w14:textId="77777777" w:rsidTr="00305A65">
        <w:trPr>
          <w:trHeight w:val="367"/>
          <w:jc w:val="center"/>
        </w:trPr>
        <w:tc>
          <w:tcPr>
            <w:tcW w:w="3544" w:type="dxa"/>
            <w:shd w:val="clear" w:color="auto" w:fill="auto"/>
            <w:vAlign w:val="center"/>
          </w:tcPr>
          <w:p w14:paraId="7DF65ED2" w14:textId="5AFF2715" w:rsidR="00901111" w:rsidRPr="00202111" w:rsidRDefault="00901111" w:rsidP="00901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ACEVEDO</w:t>
            </w:r>
          </w:p>
        </w:tc>
        <w:tc>
          <w:tcPr>
            <w:tcW w:w="851" w:type="dxa"/>
            <w:shd w:val="clear" w:color="auto" w:fill="auto"/>
            <w:vAlign w:val="center"/>
          </w:tcPr>
          <w:p w14:paraId="6FA09AE4" w14:textId="77777777" w:rsidR="00901111" w:rsidRPr="00202111" w:rsidRDefault="00901111" w:rsidP="00901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7F631FB9" w14:textId="26B30162" w:rsidR="00901111" w:rsidRPr="00901111" w:rsidRDefault="00901111" w:rsidP="00901111">
            <w:pPr>
              <w:widowControl w:val="0"/>
              <w:adjustRightInd w:val="0"/>
              <w:ind w:left="0" w:right="20"/>
              <w:jc w:val="center"/>
              <w:rPr>
                <w:rFonts w:ascii="Bookman Old Style" w:hAnsi="Bookman Old Style" w:cs="Arial"/>
                <w:sz w:val="22"/>
                <w:szCs w:val="22"/>
              </w:rPr>
            </w:pPr>
            <w:r w:rsidRPr="00901111">
              <w:rPr>
                <w:rFonts w:ascii="Bookman Old Style" w:hAnsi="Bookman Old Style" w:cs="Arial"/>
                <w:sz w:val="22"/>
                <w:szCs w:val="22"/>
              </w:rPr>
              <w:t>5,759.13</w:t>
            </w:r>
          </w:p>
        </w:tc>
        <w:tc>
          <w:tcPr>
            <w:tcW w:w="1569" w:type="dxa"/>
            <w:vAlign w:val="center"/>
          </w:tcPr>
          <w:p w14:paraId="18C50900" w14:textId="53AEEF5E" w:rsidR="00901111" w:rsidRPr="00901111" w:rsidRDefault="00901111" w:rsidP="00901111">
            <w:pPr>
              <w:widowControl w:val="0"/>
              <w:adjustRightInd w:val="0"/>
              <w:ind w:left="0" w:right="20"/>
              <w:jc w:val="center"/>
              <w:rPr>
                <w:rFonts w:ascii="Bookman Old Style" w:hAnsi="Bookman Old Style" w:cs="Arial"/>
                <w:sz w:val="22"/>
                <w:szCs w:val="22"/>
              </w:rPr>
            </w:pPr>
            <w:r w:rsidRPr="00901111">
              <w:rPr>
                <w:rFonts w:ascii="Bookman Old Style" w:hAnsi="Bookman Old Style" w:cs="Arial"/>
                <w:sz w:val="22"/>
                <w:szCs w:val="22"/>
              </w:rPr>
              <w:t>5,705.66</w:t>
            </w:r>
          </w:p>
        </w:tc>
        <w:tc>
          <w:tcPr>
            <w:tcW w:w="1569" w:type="dxa"/>
            <w:vAlign w:val="center"/>
          </w:tcPr>
          <w:p w14:paraId="59F7042A" w14:textId="224772CC" w:rsidR="00901111" w:rsidRPr="00901111" w:rsidRDefault="00901111" w:rsidP="00901111">
            <w:pPr>
              <w:widowControl w:val="0"/>
              <w:adjustRightInd w:val="0"/>
              <w:ind w:left="0" w:right="20"/>
              <w:jc w:val="center"/>
              <w:rPr>
                <w:rFonts w:ascii="Bookman Old Style" w:hAnsi="Bookman Old Style" w:cs="Arial"/>
                <w:sz w:val="22"/>
                <w:szCs w:val="22"/>
              </w:rPr>
            </w:pPr>
            <w:r w:rsidRPr="00901111">
              <w:rPr>
                <w:rFonts w:ascii="Bookman Old Style" w:hAnsi="Bookman Old Style" w:cs="Arial"/>
                <w:sz w:val="22"/>
                <w:szCs w:val="22"/>
              </w:rPr>
              <w:t>5,652.29</w:t>
            </w:r>
          </w:p>
        </w:tc>
      </w:tr>
      <w:tr w:rsidR="00901111" w:rsidRPr="00202111" w14:paraId="7D0E6CEF" w14:textId="77777777" w:rsidTr="00305A65">
        <w:trPr>
          <w:trHeight w:val="367"/>
          <w:jc w:val="center"/>
        </w:trPr>
        <w:tc>
          <w:tcPr>
            <w:tcW w:w="3544" w:type="dxa"/>
            <w:shd w:val="clear" w:color="auto" w:fill="auto"/>
            <w:vAlign w:val="center"/>
          </w:tcPr>
          <w:p w14:paraId="461E3D9B" w14:textId="77777777" w:rsidR="00901111" w:rsidRPr="00202111" w:rsidRDefault="00901111" w:rsidP="00901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112E45B1" w14:textId="77777777" w:rsidR="00901111" w:rsidRPr="00202111" w:rsidRDefault="00901111" w:rsidP="00901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37345DBC" w14:textId="1DE5D8F5" w:rsidR="00901111" w:rsidRPr="00901111" w:rsidRDefault="00901111" w:rsidP="00901111">
            <w:pPr>
              <w:widowControl w:val="0"/>
              <w:adjustRightInd w:val="0"/>
              <w:ind w:left="0" w:right="20"/>
              <w:jc w:val="center"/>
              <w:rPr>
                <w:rFonts w:ascii="Bookman Old Style" w:hAnsi="Bookman Old Style" w:cs="Arial"/>
                <w:sz w:val="22"/>
                <w:szCs w:val="22"/>
              </w:rPr>
            </w:pPr>
            <w:r w:rsidRPr="00901111">
              <w:rPr>
                <w:rFonts w:ascii="Bookman Old Style" w:hAnsi="Bookman Old Style" w:cs="Arial"/>
                <w:sz w:val="22"/>
                <w:szCs w:val="22"/>
              </w:rPr>
              <w:t>1,621.06</w:t>
            </w:r>
          </w:p>
        </w:tc>
        <w:tc>
          <w:tcPr>
            <w:tcW w:w="1569" w:type="dxa"/>
            <w:vAlign w:val="center"/>
          </w:tcPr>
          <w:p w14:paraId="6EFCC53E" w14:textId="2885E344" w:rsidR="00901111" w:rsidRPr="00901111" w:rsidRDefault="00901111" w:rsidP="00901111">
            <w:pPr>
              <w:widowControl w:val="0"/>
              <w:adjustRightInd w:val="0"/>
              <w:ind w:left="0" w:right="20"/>
              <w:jc w:val="center"/>
              <w:rPr>
                <w:rFonts w:ascii="Bookman Old Style" w:hAnsi="Bookman Old Style" w:cs="Arial"/>
                <w:sz w:val="22"/>
                <w:szCs w:val="22"/>
              </w:rPr>
            </w:pPr>
            <w:r w:rsidRPr="00901111">
              <w:rPr>
                <w:rFonts w:ascii="Bookman Old Style" w:hAnsi="Bookman Old Style" w:cs="Arial"/>
                <w:sz w:val="22"/>
                <w:szCs w:val="22"/>
              </w:rPr>
              <w:t>1,620.74</w:t>
            </w:r>
          </w:p>
        </w:tc>
        <w:tc>
          <w:tcPr>
            <w:tcW w:w="1569" w:type="dxa"/>
            <w:vAlign w:val="center"/>
          </w:tcPr>
          <w:p w14:paraId="7227D474" w14:textId="60403661" w:rsidR="00901111" w:rsidRPr="00901111" w:rsidRDefault="00901111" w:rsidP="00901111">
            <w:pPr>
              <w:widowControl w:val="0"/>
              <w:adjustRightInd w:val="0"/>
              <w:ind w:left="0" w:right="20"/>
              <w:jc w:val="center"/>
              <w:rPr>
                <w:rFonts w:ascii="Bookman Old Style" w:hAnsi="Bookman Old Style" w:cs="Arial"/>
                <w:sz w:val="22"/>
                <w:szCs w:val="22"/>
              </w:rPr>
            </w:pPr>
            <w:r w:rsidRPr="00901111">
              <w:rPr>
                <w:rFonts w:ascii="Bookman Old Style" w:hAnsi="Bookman Old Style" w:cs="Arial"/>
                <w:sz w:val="22"/>
                <w:szCs w:val="22"/>
              </w:rPr>
              <w:t>1,620.41</w:t>
            </w:r>
          </w:p>
        </w:tc>
      </w:tr>
    </w:tbl>
    <w:p w14:paraId="74F2E9EA" w14:textId="77777777" w:rsidR="004763D9" w:rsidRDefault="004763D9" w:rsidP="004763D9">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3CCB0975" w14:textId="0BA1AE7D" w:rsidR="00327DBD" w:rsidRDefault="00327DBD" w:rsidP="00327DBD">
      <w:pPr>
        <w:widowControl w:val="0"/>
        <w:adjustRightInd w:val="0"/>
        <w:spacing w:before="240" w:after="240"/>
        <w:ind w:left="0" w:right="20"/>
        <w:jc w:val="both"/>
        <w:rPr>
          <w:rFonts w:ascii="Bookman Old Style" w:hAnsi="Bookman Old Style" w:cs="Arial"/>
        </w:rPr>
      </w:pPr>
      <w:r>
        <w:rPr>
          <w:rFonts w:ascii="Bookman Old Style" w:hAnsi="Bookman Old Style" w:cs="Arial"/>
          <w:b/>
        </w:rPr>
        <w:t xml:space="preserve">5.3. </w:t>
      </w:r>
      <w:r>
        <w:rPr>
          <w:rFonts w:ascii="Bookman Old Style" w:hAnsi="Bookman Old Style" w:cs="Arial"/>
        </w:rPr>
        <w:t>L</w:t>
      </w:r>
      <w:r w:rsidRPr="00B94732">
        <w:rPr>
          <w:rFonts w:ascii="Bookman Old Style" w:hAnsi="Bookman Old Style" w:cs="Arial"/>
        </w:rPr>
        <w:t xml:space="preserve">os cargos </w:t>
      </w:r>
      <w:r>
        <w:rPr>
          <w:rFonts w:ascii="Bookman Old Style" w:hAnsi="Bookman Old Style" w:cs="Arial"/>
        </w:rPr>
        <w:t xml:space="preserve">de distribución </w:t>
      </w:r>
      <w:r w:rsidRPr="00B94732">
        <w:rPr>
          <w:rFonts w:ascii="Bookman Old Style" w:hAnsi="Bookman Old Style" w:cs="Arial"/>
        </w:rPr>
        <w:t xml:space="preserve">aplicables </w:t>
      </w:r>
      <w:r>
        <w:rPr>
          <w:rFonts w:ascii="Bookman Old Style" w:hAnsi="Bookman Old Style" w:cs="Arial"/>
        </w:rPr>
        <w:t xml:space="preserve">a los Usuarios de Uso Residencial en el Submercado </w:t>
      </w:r>
      <w:r w:rsidR="00B12ED6">
        <w:rPr>
          <w:rFonts w:ascii="Bookman Old Style" w:hAnsi="Bookman Old Style" w:cs="Arial"/>
        </w:rPr>
        <w:t>3</w:t>
      </w:r>
      <w:r>
        <w:rPr>
          <w:rFonts w:ascii="Bookman Old Style" w:hAnsi="Bookman Old Style" w:cs="Arial"/>
        </w:rPr>
        <w:t xml:space="preserve"> de que trata el Parágrafo del Artículo 1 de esta Resolución, conformado por la vereda</w:t>
      </w:r>
      <w:r w:rsidR="00EA12A6">
        <w:rPr>
          <w:rFonts w:ascii="Bookman Old Style" w:hAnsi="Bookman Old Style" w:cs="Arial"/>
        </w:rPr>
        <w:t xml:space="preserve"> El Encanto -</w:t>
      </w:r>
      <w:r>
        <w:rPr>
          <w:rFonts w:ascii="Bookman Old Style" w:hAnsi="Bookman Old Style" w:cs="Arial"/>
        </w:rPr>
        <w:t xml:space="preserve"> </w:t>
      </w:r>
      <w:r w:rsidR="00901111">
        <w:rPr>
          <w:rFonts w:ascii="Bookman Old Style" w:hAnsi="Bookman Old Style" w:cs="Arial"/>
        </w:rPr>
        <w:t>Las Juntas</w:t>
      </w:r>
      <w:r>
        <w:rPr>
          <w:rFonts w:ascii="Bookman Old Style" w:hAnsi="Bookman Old Style" w:cs="Arial"/>
        </w:rPr>
        <w:t xml:space="preserve"> en el M</w:t>
      </w:r>
      <w:r w:rsidRPr="00B94732">
        <w:rPr>
          <w:rFonts w:ascii="Bookman Old Style" w:hAnsi="Bookman Old Style" w:cs="Arial"/>
        </w:rPr>
        <w:t xml:space="preserve">unicipio de </w:t>
      </w:r>
      <w:r>
        <w:rPr>
          <w:rFonts w:ascii="Bookman Old Style" w:hAnsi="Bookman Old Style" w:cs="Arial"/>
        </w:rPr>
        <w:t>S</w:t>
      </w:r>
      <w:r w:rsidR="00901111">
        <w:rPr>
          <w:rFonts w:ascii="Bookman Old Style" w:hAnsi="Bookman Old Style" w:cs="Arial"/>
        </w:rPr>
        <w:t>anta María</w:t>
      </w:r>
      <w:r w:rsidRPr="00B94732">
        <w:rPr>
          <w:rFonts w:ascii="Bookman Old Style" w:hAnsi="Bookman Old Style" w:cs="Arial"/>
        </w:rPr>
        <w:t xml:space="preserve">, </w:t>
      </w:r>
      <w:r>
        <w:rPr>
          <w:rFonts w:ascii="Bookman Old Style" w:hAnsi="Bookman Old Style" w:cs="Arial"/>
        </w:rPr>
        <w:t>Departamento</w:t>
      </w:r>
      <w:r w:rsidRPr="00B94732">
        <w:rPr>
          <w:rFonts w:ascii="Bookman Old Style" w:hAnsi="Bookman Old Style" w:cs="Arial"/>
        </w:rPr>
        <w:t xml:space="preserve"> de </w:t>
      </w:r>
      <w:r>
        <w:rPr>
          <w:rFonts w:ascii="Bookman Old Style" w:hAnsi="Bookman Old Style" w:cs="Arial"/>
        </w:rPr>
        <w:t>Huila</w:t>
      </w:r>
      <w:r w:rsidRPr="00B94732">
        <w:rPr>
          <w:rFonts w:ascii="Bookman Old Style" w:hAnsi="Bookman Old Style" w:cs="Arial"/>
        </w:rPr>
        <w:t>, s</w:t>
      </w:r>
      <w:r>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851"/>
        <w:gridCol w:w="1568"/>
        <w:gridCol w:w="1569"/>
        <w:gridCol w:w="1569"/>
      </w:tblGrid>
      <w:tr w:rsidR="00327DBD" w:rsidRPr="00202111" w14:paraId="4F6590A6" w14:textId="77777777" w:rsidTr="00305A65">
        <w:trPr>
          <w:trHeight w:val="77"/>
          <w:tblHeader/>
          <w:jc w:val="center"/>
        </w:trPr>
        <w:tc>
          <w:tcPr>
            <w:tcW w:w="9101" w:type="dxa"/>
            <w:gridSpan w:val="5"/>
            <w:shd w:val="clear" w:color="auto" w:fill="D9D9D9" w:themeFill="background1" w:themeFillShade="D9"/>
            <w:vAlign w:val="center"/>
          </w:tcPr>
          <w:p w14:paraId="5436A505" w14:textId="48F4DC80" w:rsidR="00327DBD" w:rsidRPr="00202111" w:rsidRDefault="00327DBD" w:rsidP="00305A65">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327DBD" w:rsidRPr="00202111" w14:paraId="4D2A1F02" w14:textId="77777777" w:rsidTr="00305A65">
        <w:trPr>
          <w:trHeight w:val="406"/>
          <w:tblHeader/>
          <w:jc w:val="center"/>
        </w:trPr>
        <w:tc>
          <w:tcPr>
            <w:tcW w:w="3544" w:type="dxa"/>
            <w:shd w:val="clear" w:color="auto" w:fill="D9D9D9" w:themeFill="background1" w:themeFillShade="D9"/>
            <w:vAlign w:val="center"/>
          </w:tcPr>
          <w:p w14:paraId="066B165C" w14:textId="77777777" w:rsidR="00327DBD" w:rsidRPr="00202111" w:rsidRDefault="00327DBD" w:rsidP="00305A6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55458A08" w14:textId="77777777" w:rsidR="00327DBD" w:rsidRPr="00202111" w:rsidRDefault="00327DBD" w:rsidP="00305A65">
            <w:pPr>
              <w:widowControl w:val="0"/>
              <w:adjustRightInd w:val="0"/>
              <w:ind w:left="0" w:right="20"/>
              <w:jc w:val="center"/>
              <w:rPr>
                <w:rFonts w:ascii="Bookman Old Style" w:hAnsi="Bookman Old Style" w:cs="Arial"/>
                <w:sz w:val="22"/>
                <w:szCs w:val="22"/>
              </w:rPr>
            </w:pPr>
          </w:p>
        </w:tc>
        <w:tc>
          <w:tcPr>
            <w:tcW w:w="1568" w:type="dxa"/>
            <w:shd w:val="clear" w:color="auto" w:fill="D9D9D9" w:themeFill="background1" w:themeFillShade="D9"/>
            <w:vAlign w:val="center"/>
          </w:tcPr>
          <w:p w14:paraId="67CD411A" w14:textId="77777777" w:rsidR="00327DBD" w:rsidRPr="00202111" w:rsidRDefault="00327DBD" w:rsidP="00305A65">
            <w:pPr>
              <w:widowControl w:val="0"/>
              <w:adjustRightInd w:val="0"/>
              <w:ind w:left="0" w:right="20"/>
              <w:jc w:val="center"/>
              <w:rPr>
                <w:rFonts w:ascii="Bookman Old Style" w:hAnsi="Bookman Old Style" w:cs="Arial"/>
                <w:sz w:val="22"/>
                <w:szCs w:val="22"/>
              </w:rPr>
            </w:pPr>
            <w:r w:rsidRPr="00DE69B3">
              <w:rPr>
                <w:rFonts w:ascii="Bookman Old Style" w:hAnsi="Bookman Old Style" w:cs="Arial"/>
                <w:b/>
                <w:sz w:val="22"/>
                <w:szCs w:val="22"/>
              </w:rPr>
              <w:t>2020</w:t>
            </w:r>
          </w:p>
        </w:tc>
        <w:tc>
          <w:tcPr>
            <w:tcW w:w="1569" w:type="dxa"/>
            <w:shd w:val="clear" w:color="auto" w:fill="D9D9D9" w:themeFill="background1" w:themeFillShade="D9"/>
            <w:vAlign w:val="center"/>
          </w:tcPr>
          <w:p w14:paraId="48476760" w14:textId="77777777" w:rsidR="00327DBD" w:rsidRDefault="00327DBD"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69" w:type="dxa"/>
            <w:shd w:val="clear" w:color="auto" w:fill="D9D9D9" w:themeFill="background1" w:themeFillShade="D9"/>
            <w:vAlign w:val="center"/>
          </w:tcPr>
          <w:p w14:paraId="76559B0C" w14:textId="77777777" w:rsidR="00327DBD" w:rsidRDefault="00327DBD"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1E3F03" w:rsidRPr="00202111" w14:paraId="63458365" w14:textId="77777777" w:rsidTr="00305A65">
        <w:trPr>
          <w:trHeight w:val="367"/>
          <w:jc w:val="center"/>
        </w:trPr>
        <w:tc>
          <w:tcPr>
            <w:tcW w:w="3544" w:type="dxa"/>
            <w:shd w:val="clear" w:color="auto" w:fill="auto"/>
            <w:vAlign w:val="center"/>
          </w:tcPr>
          <w:p w14:paraId="63F46F1C" w14:textId="77777777" w:rsidR="001E3F03" w:rsidRPr="00202111" w:rsidRDefault="001E3F03" w:rsidP="001E3F03">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335767C7" w14:textId="77777777" w:rsidR="001E3F03" w:rsidRPr="00202111" w:rsidRDefault="001E3F03" w:rsidP="001E3F0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68" w:type="dxa"/>
            <w:shd w:val="clear" w:color="auto" w:fill="auto"/>
            <w:vAlign w:val="center"/>
          </w:tcPr>
          <w:p w14:paraId="3B3518A2" w14:textId="286FB0B6" w:rsidR="001E3F03" w:rsidRPr="001E3F03" w:rsidRDefault="001E3F03" w:rsidP="001E3F03">
            <w:pPr>
              <w:widowControl w:val="0"/>
              <w:adjustRightInd w:val="0"/>
              <w:ind w:left="0" w:right="20"/>
              <w:jc w:val="center"/>
              <w:rPr>
                <w:rFonts w:ascii="Bookman Old Style" w:hAnsi="Bookman Old Style"/>
                <w:b/>
                <w:bCs/>
                <w:color w:val="000000"/>
                <w:sz w:val="22"/>
                <w:szCs w:val="22"/>
                <w:lang w:val="es-ES_tradnl" w:eastAsia="es-CO"/>
              </w:rPr>
            </w:pPr>
            <w:r w:rsidRPr="001E3F03">
              <w:rPr>
                <w:rFonts w:ascii="Bookman Old Style" w:hAnsi="Bookman Old Style"/>
                <w:b/>
                <w:bCs/>
                <w:color w:val="000000"/>
                <w:sz w:val="22"/>
                <w:szCs w:val="22"/>
                <w:lang w:val="es-ES_tradnl" w:eastAsia="es-CO"/>
              </w:rPr>
              <w:t>4,798.09</w:t>
            </w:r>
          </w:p>
        </w:tc>
        <w:tc>
          <w:tcPr>
            <w:tcW w:w="1569" w:type="dxa"/>
            <w:vAlign w:val="center"/>
          </w:tcPr>
          <w:p w14:paraId="7EFEC26F" w14:textId="5FDB07CA" w:rsidR="001E3F03" w:rsidRPr="001E3F03" w:rsidRDefault="001E3F03" w:rsidP="001E3F03">
            <w:pPr>
              <w:widowControl w:val="0"/>
              <w:adjustRightInd w:val="0"/>
              <w:ind w:left="0" w:right="20"/>
              <w:jc w:val="center"/>
              <w:rPr>
                <w:rFonts w:ascii="Bookman Old Style" w:hAnsi="Bookman Old Style"/>
                <w:b/>
                <w:bCs/>
                <w:color w:val="000000"/>
                <w:sz w:val="22"/>
                <w:szCs w:val="22"/>
                <w:lang w:val="es-ES_tradnl" w:eastAsia="es-CO"/>
              </w:rPr>
            </w:pPr>
            <w:r w:rsidRPr="001E3F03">
              <w:rPr>
                <w:rFonts w:ascii="Bookman Old Style" w:hAnsi="Bookman Old Style"/>
                <w:b/>
                <w:bCs/>
                <w:color w:val="000000"/>
                <w:sz w:val="22"/>
                <w:szCs w:val="22"/>
                <w:lang w:val="es-ES_tradnl" w:eastAsia="es-CO"/>
              </w:rPr>
              <w:t>4,768.07</w:t>
            </w:r>
          </w:p>
        </w:tc>
        <w:tc>
          <w:tcPr>
            <w:tcW w:w="1569" w:type="dxa"/>
            <w:vAlign w:val="center"/>
          </w:tcPr>
          <w:p w14:paraId="0E761663" w14:textId="70C6A9C5" w:rsidR="001E3F03" w:rsidRPr="001E3F03" w:rsidRDefault="001E3F03" w:rsidP="001E3F03">
            <w:pPr>
              <w:widowControl w:val="0"/>
              <w:adjustRightInd w:val="0"/>
              <w:ind w:left="0" w:right="20"/>
              <w:jc w:val="center"/>
              <w:rPr>
                <w:rFonts w:ascii="Bookman Old Style" w:hAnsi="Bookman Old Style"/>
                <w:b/>
                <w:bCs/>
                <w:color w:val="000000"/>
                <w:sz w:val="22"/>
                <w:szCs w:val="22"/>
                <w:lang w:val="es-ES_tradnl" w:eastAsia="es-CO"/>
              </w:rPr>
            </w:pPr>
            <w:r w:rsidRPr="001E3F03">
              <w:rPr>
                <w:rFonts w:ascii="Bookman Old Style" w:hAnsi="Bookman Old Style"/>
                <w:b/>
                <w:bCs/>
                <w:color w:val="000000"/>
                <w:sz w:val="22"/>
                <w:szCs w:val="22"/>
                <w:lang w:val="es-ES_tradnl" w:eastAsia="es-CO"/>
              </w:rPr>
              <w:t>4,738.12</w:t>
            </w:r>
          </w:p>
        </w:tc>
      </w:tr>
      <w:tr w:rsidR="001E3F03" w:rsidRPr="00202111" w14:paraId="5249DA38" w14:textId="77777777" w:rsidTr="00305A65">
        <w:trPr>
          <w:trHeight w:val="367"/>
          <w:jc w:val="center"/>
        </w:trPr>
        <w:tc>
          <w:tcPr>
            <w:tcW w:w="3544" w:type="dxa"/>
            <w:shd w:val="clear" w:color="auto" w:fill="auto"/>
            <w:vAlign w:val="center"/>
          </w:tcPr>
          <w:p w14:paraId="7CCE92B4" w14:textId="6370902F" w:rsidR="001E3F03" w:rsidRPr="00202111" w:rsidRDefault="001E3F03" w:rsidP="001E3F03">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descontando el efecto del aporte de recursos públicos del MUNICIPIO DE </w:t>
            </w:r>
            <w:r w:rsidR="00B12ED6">
              <w:rPr>
                <w:rFonts w:ascii="Bookman Old Style" w:hAnsi="Bookman Old Style"/>
                <w:color w:val="000000"/>
                <w:sz w:val="22"/>
                <w:szCs w:val="22"/>
                <w:lang w:val="es-CO" w:eastAsia="es-CO"/>
              </w:rPr>
              <w:t>SANTA MARÍA</w:t>
            </w:r>
          </w:p>
        </w:tc>
        <w:tc>
          <w:tcPr>
            <w:tcW w:w="851" w:type="dxa"/>
            <w:shd w:val="clear" w:color="auto" w:fill="auto"/>
            <w:vAlign w:val="center"/>
          </w:tcPr>
          <w:p w14:paraId="1BDEFB81" w14:textId="77777777" w:rsidR="001E3F03" w:rsidRPr="00202111" w:rsidRDefault="001E3F03" w:rsidP="001E3F0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54633DEF" w14:textId="106BDF28" w:rsidR="001E3F03" w:rsidRPr="001E3F03" w:rsidRDefault="001E3F03" w:rsidP="001E3F03">
            <w:pPr>
              <w:widowControl w:val="0"/>
              <w:adjustRightInd w:val="0"/>
              <w:ind w:left="0" w:right="20"/>
              <w:jc w:val="center"/>
              <w:rPr>
                <w:rFonts w:ascii="Bookman Old Style" w:hAnsi="Bookman Old Style" w:cs="Arial"/>
                <w:sz w:val="22"/>
                <w:szCs w:val="22"/>
              </w:rPr>
            </w:pPr>
            <w:r w:rsidRPr="001E3F03">
              <w:rPr>
                <w:rFonts w:ascii="Bookman Old Style" w:hAnsi="Bookman Old Style" w:cs="Arial"/>
                <w:sz w:val="22"/>
                <w:szCs w:val="22"/>
              </w:rPr>
              <w:t>3,177.02</w:t>
            </w:r>
          </w:p>
        </w:tc>
        <w:tc>
          <w:tcPr>
            <w:tcW w:w="1569" w:type="dxa"/>
            <w:vAlign w:val="center"/>
          </w:tcPr>
          <w:p w14:paraId="7E4BCAE5" w14:textId="155CCD49" w:rsidR="001E3F03" w:rsidRPr="001E3F03" w:rsidRDefault="001E3F03" w:rsidP="001E3F03">
            <w:pPr>
              <w:widowControl w:val="0"/>
              <w:adjustRightInd w:val="0"/>
              <w:ind w:left="0" w:right="20"/>
              <w:jc w:val="center"/>
              <w:rPr>
                <w:rFonts w:ascii="Bookman Old Style" w:hAnsi="Bookman Old Style" w:cs="Arial"/>
                <w:sz w:val="22"/>
                <w:szCs w:val="22"/>
              </w:rPr>
            </w:pPr>
            <w:r w:rsidRPr="001E3F03">
              <w:rPr>
                <w:rFonts w:ascii="Bookman Old Style" w:hAnsi="Bookman Old Style" w:cs="Arial"/>
                <w:sz w:val="22"/>
                <w:szCs w:val="22"/>
              </w:rPr>
              <w:t>3,147.34</w:t>
            </w:r>
          </w:p>
        </w:tc>
        <w:tc>
          <w:tcPr>
            <w:tcW w:w="1569" w:type="dxa"/>
            <w:vAlign w:val="center"/>
          </w:tcPr>
          <w:p w14:paraId="3CB3A190" w14:textId="243C3580" w:rsidR="001E3F03" w:rsidRPr="001E3F03" w:rsidRDefault="001E3F03" w:rsidP="001E3F03">
            <w:pPr>
              <w:widowControl w:val="0"/>
              <w:adjustRightInd w:val="0"/>
              <w:ind w:left="0" w:right="20"/>
              <w:jc w:val="center"/>
              <w:rPr>
                <w:rFonts w:ascii="Bookman Old Style" w:hAnsi="Bookman Old Style" w:cs="Arial"/>
                <w:sz w:val="22"/>
                <w:szCs w:val="22"/>
              </w:rPr>
            </w:pPr>
            <w:r w:rsidRPr="001E3F03">
              <w:rPr>
                <w:rFonts w:ascii="Bookman Old Style" w:hAnsi="Bookman Old Style" w:cs="Arial"/>
                <w:sz w:val="22"/>
                <w:szCs w:val="22"/>
              </w:rPr>
              <w:t>3,117.71</w:t>
            </w:r>
          </w:p>
        </w:tc>
      </w:tr>
      <w:tr w:rsidR="001E3F03" w:rsidRPr="00202111" w14:paraId="5E5E1C17" w14:textId="77777777" w:rsidTr="00305A65">
        <w:trPr>
          <w:trHeight w:val="367"/>
          <w:jc w:val="center"/>
        </w:trPr>
        <w:tc>
          <w:tcPr>
            <w:tcW w:w="3544" w:type="dxa"/>
            <w:shd w:val="clear" w:color="auto" w:fill="auto"/>
            <w:vAlign w:val="center"/>
          </w:tcPr>
          <w:p w14:paraId="76456611" w14:textId="77777777" w:rsidR="001E3F03" w:rsidRPr="00202111" w:rsidRDefault="001E3F03" w:rsidP="001E3F03">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5F697E34" w14:textId="77777777" w:rsidR="001E3F03" w:rsidRPr="00202111" w:rsidRDefault="001E3F03" w:rsidP="001E3F03">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6D1B7D9C" w14:textId="34DD2A05" w:rsidR="001E3F03" w:rsidRPr="001E3F03" w:rsidRDefault="001E3F03" w:rsidP="001E3F03">
            <w:pPr>
              <w:widowControl w:val="0"/>
              <w:adjustRightInd w:val="0"/>
              <w:ind w:left="0" w:right="20"/>
              <w:jc w:val="center"/>
              <w:rPr>
                <w:rFonts w:ascii="Bookman Old Style" w:hAnsi="Bookman Old Style" w:cs="Arial"/>
                <w:sz w:val="22"/>
                <w:szCs w:val="22"/>
              </w:rPr>
            </w:pPr>
            <w:r w:rsidRPr="001E3F03">
              <w:rPr>
                <w:rFonts w:ascii="Bookman Old Style" w:hAnsi="Bookman Old Style" w:cs="Arial"/>
                <w:sz w:val="22"/>
                <w:szCs w:val="22"/>
              </w:rPr>
              <w:t>1,621.06</w:t>
            </w:r>
          </w:p>
        </w:tc>
        <w:tc>
          <w:tcPr>
            <w:tcW w:w="1569" w:type="dxa"/>
            <w:vAlign w:val="center"/>
          </w:tcPr>
          <w:p w14:paraId="52AEB904" w14:textId="23A1D656" w:rsidR="001E3F03" w:rsidRPr="001E3F03" w:rsidRDefault="001E3F03" w:rsidP="001E3F03">
            <w:pPr>
              <w:widowControl w:val="0"/>
              <w:adjustRightInd w:val="0"/>
              <w:ind w:left="0" w:right="20"/>
              <w:jc w:val="center"/>
              <w:rPr>
                <w:rFonts w:ascii="Bookman Old Style" w:hAnsi="Bookman Old Style" w:cs="Arial"/>
                <w:sz w:val="22"/>
                <w:szCs w:val="22"/>
              </w:rPr>
            </w:pPr>
            <w:r w:rsidRPr="001E3F03">
              <w:rPr>
                <w:rFonts w:ascii="Bookman Old Style" w:hAnsi="Bookman Old Style" w:cs="Arial"/>
                <w:sz w:val="22"/>
                <w:szCs w:val="22"/>
              </w:rPr>
              <w:t>1,620.74</w:t>
            </w:r>
          </w:p>
        </w:tc>
        <w:tc>
          <w:tcPr>
            <w:tcW w:w="1569" w:type="dxa"/>
            <w:vAlign w:val="center"/>
          </w:tcPr>
          <w:p w14:paraId="13FCA54C" w14:textId="12A876E3" w:rsidR="001E3F03" w:rsidRPr="001E3F03" w:rsidRDefault="001E3F03" w:rsidP="001E3F03">
            <w:pPr>
              <w:widowControl w:val="0"/>
              <w:adjustRightInd w:val="0"/>
              <w:ind w:left="0" w:right="20"/>
              <w:jc w:val="center"/>
              <w:rPr>
                <w:rFonts w:ascii="Bookman Old Style" w:hAnsi="Bookman Old Style" w:cs="Arial"/>
                <w:sz w:val="22"/>
                <w:szCs w:val="22"/>
              </w:rPr>
            </w:pPr>
            <w:r w:rsidRPr="001E3F03">
              <w:rPr>
                <w:rFonts w:ascii="Bookman Old Style" w:hAnsi="Bookman Old Style" w:cs="Arial"/>
                <w:sz w:val="22"/>
                <w:szCs w:val="22"/>
              </w:rPr>
              <w:t>1,620.41</w:t>
            </w:r>
          </w:p>
        </w:tc>
      </w:tr>
    </w:tbl>
    <w:p w14:paraId="3D6A8B0C" w14:textId="5B688322" w:rsidR="00327DBD" w:rsidRDefault="00327DBD" w:rsidP="00327DBD">
      <w:pPr>
        <w:widowControl w:val="0"/>
        <w:adjustRightInd w:val="0"/>
        <w:ind w:left="0" w:right="23"/>
        <w:jc w:val="center"/>
        <w:rPr>
          <w:rFonts w:ascii="Bookman Old Style" w:hAnsi="Bookman Old Style" w:cs="Arial"/>
          <w:b/>
          <w:bCs/>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7D9F237A" w14:textId="2FB4C3B2"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5"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de 2018, </w:t>
      </w:r>
      <w:r w:rsidR="005F4633">
        <w:rPr>
          <w:rFonts w:ascii="Bookman Old Style" w:hAnsi="Bookman Old Style" w:cs="Arial"/>
        </w:rPr>
        <w:t>132 de 2018</w:t>
      </w:r>
      <w:r w:rsidRPr="006C7C28">
        <w:rPr>
          <w:rFonts w:ascii="Bookman Old Style" w:hAnsi="Bookman Old Style" w:cs="Arial"/>
        </w:rPr>
        <w:t xml:space="preserve"> y 011 de 2020</w:t>
      </w:r>
      <w:bookmarkEnd w:id="5"/>
      <w:r>
        <w:rPr>
          <w:rFonts w:ascii="Bookman Old Style" w:hAnsi="Bookman Old Style" w:cs="Arial"/>
        </w:rPr>
        <w:t>.</w:t>
      </w:r>
    </w:p>
    <w:p w14:paraId="0FAF761F" w14:textId="0EBC0C1D"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DC60EE" w:rsidRPr="00202111" w14:paraId="28665439" w14:textId="77777777" w:rsidTr="00AE4A1E">
        <w:trPr>
          <w:trHeight w:val="345"/>
          <w:tblHeader/>
        </w:trPr>
        <w:tc>
          <w:tcPr>
            <w:tcW w:w="9351" w:type="dxa"/>
            <w:gridSpan w:val="5"/>
            <w:shd w:val="clear" w:color="auto" w:fill="D9D9D9" w:themeFill="background1" w:themeFillShade="D9"/>
            <w:vAlign w:val="center"/>
          </w:tcPr>
          <w:p w14:paraId="355C138A" w14:textId="046C5488" w:rsidR="00DC60EE" w:rsidRPr="00202111" w:rsidRDefault="00DC60EE" w:rsidP="00AE4A1E">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lastRenderedPageBreak/>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DC60EE" w:rsidRPr="00202111" w14:paraId="476B376C" w14:textId="77777777" w:rsidTr="00AE4A1E">
        <w:trPr>
          <w:trHeight w:val="406"/>
          <w:tblHeader/>
        </w:trPr>
        <w:tc>
          <w:tcPr>
            <w:tcW w:w="3736" w:type="dxa"/>
            <w:shd w:val="clear" w:color="auto" w:fill="D9D9D9" w:themeFill="background1" w:themeFillShade="D9"/>
            <w:vAlign w:val="center"/>
          </w:tcPr>
          <w:p w14:paraId="78B9E64C"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EC4D86A" w14:textId="77777777" w:rsidR="00DC60EE" w:rsidRPr="00202111" w:rsidRDefault="00DC60EE" w:rsidP="00AE4A1E">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30AF1614"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47EEC040"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2D523FED"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271CEB" w:rsidRPr="00202111" w14:paraId="3E0CAC79" w14:textId="77777777" w:rsidTr="00AE4A1E">
        <w:trPr>
          <w:trHeight w:val="516"/>
        </w:trPr>
        <w:tc>
          <w:tcPr>
            <w:tcW w:w="3736" w:type="dxa"/>
            <w:shd w:val="clear" w:color="auto" w:fill="auto"/>
            <w:vAlign w:val="center"/>
          </w:tcPr>
          <w:p w14:paraId="7739F948" w14:textId="77777777" w:rsidR="00271CEB" w:rsidRPr="00202111" w:rsidRDefault="00271CEB" w:rsidP="00271CEB">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061D3133" w14:textId="77777777" w:rsidR="00271CEB" w:rsidRPr="00202111" w:rsidRDefault="00271CEB" w:rsidP="00271CEB">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28F536B0" w14:textId="746FA3D6" w:rsidR="00271CEB" w:rsidRPr="007E5060" w:rsidRDefault="00271CEB" w:rsidP="00271CEB">
            <w:pPr>
              <w:ind w:left="0"/>
              <w:jc w:val="center"/>
              <w:rPr>
                <w:rFonts w:ascii="Bookman Old Style" w:hAnsi="Bookman Old Style"/>
                <w:b/>
                <w:color w:val="000000"/>
                <w:sz w:val="22"/>
                <w:szCs w:val="20"/>
              </w:rPr>
            </w:pPr>
            <w:r w:rsidRPr="00AA1645">
              <w:rPr>
                <w:rFonts w:ascii="Bookman Old Style" w:hAnsi="Bookman Old Style"/>
                <w:b/>
                <w:bCs/>
                <w:color w:val="000000"/>
                <w:sz w:val="22"/>
                <w:szCs w:val="22"/>
                <w:lang w:val="es-ES_tradnl" w:eastAsia="es-CO"/>
              </w:rPr>
              <w:t>8,819.66</w:t>
            </w:r>
          </w:p>
        </w:tc>
        <w:tc>
          <w:tcPr>
            <w:tcW w:w="1596" w:type="dxa"/>
            <w:vAlign w:val="center"/>
          </w:tcPr>
          <w:p w14:paraId="623FCA83" w14:textId="1B03AC7B" w:rsidR="00271CEB" w:rsidRPr="0017553D" w:rsidRDefault="00271CEB" w:rsidP="00271CEB">
            <w:pPr>
              <w:ind w:left="0"/>
              <w:jc w:val="center"/>
              <w:rPr>
                <w:rFonts w:ascii="Bookman Old Style" w:hAnsi="Bookman Old Style"/>
                <w:b/>
                <w:color w:val="000000"/>
                <w:sz w:val="22"/>
                <w:szCs w:val="20"/>
                <w:highlight w:val="yellow"/>
              </w:rPr>
            </w:pPr>
            <w:r w:rsidRPr="00AA1645">
              <w:rPr>
                <w:rFonts w:ascii="Bookman Old Style" w:hAnsi="Bookman Old Style"/>
                <w:b/>
                <w:bCs/>
                <w:color w:val="000000"/>
                <w:sz w:val="22"/>
                <w:szCs w:val="22"/>
                <w:lang w:val="es-ES_tradnl" w:eastAsia="es-CO"/>
              </w:rPr>
              <w:t>8,752.61</w:t>
            </w:r>
          </w:p>
        </w:tc>
        <w:tc>
          <w:tcPr>
            <w:tcW w:w="1597" w:type="dxa"/>
            <w:vAlign w:val="center"/>
          </w:tcPr>
          <w:p w14:paraId="4448F5DB" w14:textId="54A298B0" w:rsidR="00271CEB" w:rsidRPr="0017553D" w:rsidRDefault="00271CEB" w:rsidP="00271CEB">
            <w:pPr>
              <w:ind w:left="0"/>
              <w:jc w:val="center"/>
              <w:rPr>
                <w:rFonts w:ascii="Bookman Old Style" w:hAnsi="Bookman Old Style"/>
                <w:b/>
                <w:color w:val="000000"/>
                <w:sz w:val="22"/>
                <w:szCs w:val="20"/>
                <w:highlight w:val="yellow"/>
              </w:rPr>
            </w:pPr>
            <w:r w:rsidRPr="00AA1645">
              <w:rPr>
                <w:rFonts w:ascii="Bookman Old Style" w:hAnsi="Bookman Old Style"/>
                <w:b/>
                <w:bCs/>
                <w:color w:val="000000"/>
                <w:sz w:val="22"/>
                <w:szCs w:val="22"/>
                <w:lang w:val="es-ES_tradnl" w:eastAsia="es-CO"/>
              </w:rPr>
              <w:t>8,685.67</w:t>
            </w:r>
          </w:p>
        </w:tc>
      </w:tr>
      <w:tr w:rsidR="00271CEB" w:rsidRPr="00202111" w14:paraId="771A9B76" w14:textId="77777777" w:rsidTr="00AE4A1E">
        <w:trPr>
          <w:trHeight w:val="516"/>
        </w:trPr>
        <w:tc>
          <w:tcPr>
            <w:tcW w:w="3736" w:type="dxa"/>
            <w:shd w:val="clear" w:color="auto" w:fill="auto"/>
            <w:vAlign w:val="center"/>
          </w:tcPr>
          <w:p w14:paraId="3189C8FA" w14:textId="408C65C6" w:rsidR="00271CEB" w:rsidRPr="00202111" w:rsidRDefault="00271CEB" w:rsidP="00271CEB">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26" w:type="dxa"/>
            <w:shd w:val="clear" w:color="auto" w:fill="auto"/>
            <w:vAlign w:val="center"/>
          </w:tcPr>
          <w:p w14:paraId="0DEFDD9D" w14:textId="77777777" w:rsidR="00271CEB" w:rsidRPr="00202111" w:rsidRDefault="00271CEB" w:rsidP="00271CEB">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46158BC1" w14:textId="2F68C07C" w:rsidR="00271CEB" w:rsidRPr="00ED4D6F" w:rsidRDefault="00271CEB" w:rsidP="00271CEB">
            <w:pPr>
              <w:ind w:left="0"/>
              <w:jc w:val="center"/>
              <w:rPr>
                <w:rFonts w:ascii="Bookman Old Style" w:hAnsi="Bookman Old Style"/>
                <w:color w:val="000000"/>
                <w:sz w:val="22"/>
                <w:szCs w:val="20"/>
              </w:rPr>
            </w:pPr>
            <w:r w:rsidRPr="00AA1645">
              <w:rPr>
                <w:rFonts w:ascii="Bookman Old Style" w:hAnsi="Bookman Old Style" w:cs="Arial"/>
                <w:sz w:val="22"/>
                <w:szCs w:val="22"/>
              </w:rPr>
              <w:t>7,198.60</w:t>
            </w:r>
          </w:p>
        </w:tc>
        <w:tc>
          <w:tcPr>
            <w:tcW w:w="1596" w:type="dxa"/>
            <w:vAlign w:val="center"/>
          </w:tcPr>
          <w:p w14:paraId="439F3C09" w14:textId="6E4013E5" w:rsidR="00271CEB" w:rsidRPr="0017553D" w:rsidRDefault="00271CEB" w:rsidP="00271CEB">
            <w:pPr>
              <w:ind w:left="0"/>
              <w:jc w:val="center"/>
              <w:rPr>
                <w:rFonts w:ascii="Bookman Old Style" w:hAnsi="Bookman Old Style"/>
                <w:color w:val="000000"/>
                <w:sz w:val="22"/>
                <w:szCs w:val="20"/>
                <w:highlight w:val="yellow"/>
              </w:rPr>
            </w:pPr>
            <w:r w:rsidRPr="00AA1645">
              <w:rPr>
                <w:rFonts w:ascii="Bookman Old Style" w:hAnsi="Bookman Old Style" w:cs="Arial"/>
                <w:sz w:val="22"/>
                <w:szCs w:val="22"/>
              </w:rPr>
              <w:t>7,131.87</w:t>
            </w:r>
          </w:p>
        </w:tc>
        <w:tc>
          <w:tcPr>
            <w:tcW w:w="1597" w:type="dxa"/>
            <w:vAlign w:val="center"/>
          </w:tcPr>
          <w:p w14:paraId="4ECF05B4" w14:textId="0966B1F2" w:rsidR="00271CEB" w:rsidRPr="0017553D" w:rsidRDefault="00271CEB" w:rsidP="00271CEB">
            <w:pPr>
              <w:ind w:left="0"/>
              <w:jc w:val="center"/>
              <w:rPr>
                <w:rFonts w:ascii="Bookman Old Style" w:hAnsi="Bookman Old Style"/>
                <w:color w:val="000000"/>
                <w:sz w:val="22"/>
                <w:szCs w:val="20"/>
                <w:highlight w:val="yellow"/>
              </w:rPr>
            </w:pPr>
            <w:r w:rsidRPr="00AA1645">
              <w:rPr>
                <w:rFonts w:ascii="Bookman Old Style" w:hAnsi="Bookman Old Style" w:cs="Arial"/>
                <w:sz w:val="22"/>
                <w:szCs w:val="22"/>
              </w:rPr>
              <w:t>7,065.26</w:t>
            </w:r>
          </w:p>
        </w:tc>
      </w:tr>
      <w:tr w:rsidR="00271CEB" w:rsidRPr="00202111" w14:paraId="0FA9074F" w14:textId="77777777" w:rsidTr="00AE4A1E">
        <w:trPr>
          <w:trHeight w:val="517"/>
        </w:trPr>
        <w:tc>
          <w:tcPr>
            <w:tcW w:w="3736" w:type="dxa"/>
            <w:shd w:val="clear" w:color="auto" w:fill="auto"/>
            <w:vAlign w:val="center"/>
          </w:tcPr>
          <w:p w14:paraId="52CAEC3C" w14:textId="77777777" w:rsidR="00271CEB" w:rsidRPr="00202111" w:rsidRDefault="00271CEB" w:rsidP="00271CEB">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4DD5A911" w14:textId="77777777" w:rsidR="00271CEB" w:rsidRPr="00202111" w:rsidRDefault="00271CEB" w:rsidP="00271CEB">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18C3C0E7" w14:textId="03B7CCAA" w:rsidR="00271CEB" w:rsidRPr="00ED4D6F" w:rsidRDefault="00271CEB" w:rsidP="00271CEB">
            <w:pPr>
              <w:ind w:left="0"/>
              <w:jc w:val="center"/>
              <w:rPr>
                <w:rFonts w:ascii="Bookman Old Style" w:hAnsi="Bookman Old Style"/>
                <w:color w:val="000000"/>
                <w:sz w:val="22"/>
                <w:szCs w:val="20"/>
              </w:rPr>
            </w:pPr>
            <w:r w:rsidRPr="00AA1645">
              <w:rPr>
                <w:rFonts w:ascii="Bookman Old Style" w:hAnsi="Bookman Old Style" w:cs="Arial"/>
                <w:sz w:val="22"/>
                <w:szCs w:val="22"/>
              </w:rPr>
              <w:t>1,621.06</w:t>
            </w:r>
          </w:p>
        </w:tc>
        <w:tc>
          <w:tcPr>
            <w:tcW w:w="1596" w:type="dxa"/>
            <w:vAlign w:val="center"/>
          </w:tcPr>
          <w:p w14:paraId="28CC1B96" w14:textId="75116302" w:rsidR="00271CEB" w:rsidRPr="0017553D" w:rsidRDefault="00271CEB" w:rsidP="00271CEB">
            <w:pPr>
              <w:ind w:left="0"/>
              <w:jc w:val="center"/>
              <w:rPr>
                <w:rFonts w:ascii="Bookman Old Style" w:hAnsi="Bookman Old Style"/>
                <w:color w:val="000000"/>
                <w:sz w:val="22"/>
                <w:szCs w:val="20"/>
                <w:highlight w:val="yellow"/>
              </w:rPr>
            </w:pPr>
            <w:r w:rsidRPr="00AA1645">
              <w:rPr>
                <w:rFonts w:ascii="Bookman Old Style" w:hAnsi="Bookman Old Style" w:cs="Arial"/>
                <w:sz w:val="22"/>
                <w:szCs w:val="22"/>
              </w:rPr>
              <w:t>1,620.74</w:t>
            </w:r>
          </w:p>
        </w:tc>
        <w:tc>
          <w:tcPr>
            <w:tcW w:w="1597" w:type="dxa"/>
            <w:vAlign w:val="center"/>
          </w:tcPr>
          <w:p w14:paraId="394B0FC7" w14:textId="0316D526" w:rsidR="00271CEB" w:rsidRPr="0017553D" w:rsidRDefault="00271CEB" w:rsidP="00271CEB">
            <w:pPr>
              <w:ind w:left="0"/>
              <w:jc w:val="center"/>
              <w:rPr>
                <w:rFonts w:ascii="Bookman Old Style" w:hAnsi="Bookman Old Style"/>
                <w:color w:val="000000"/>
                <w:sz w:val="22"/>
                <w:szCs w:val="20"/>
                <w:highlight w:val="yellow"/>
              </w:rPr>
            </w:pPr>
            <w:r w:rsidRPr="00AA1645">
              <w:rPr>
                <w:rFonts w:ascii="Bookman Old Style" w:hAnsi="Bookman Old Style" w:cs="Arial"/>
                <w:sz w:val="22"/>
                <w:szCs w:val="22"/>
              </w:rPr>
              <w:t>1,620.41</w:t>
            </w:r>
          </w:p>
        </w:tc>
      </w:tr>
    </w:tbl>
    <w:p w14:paraId="628A1626" w14:textId="0E3E4432"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847C7F">
        <w:rPr>
          <w:rFonts w:ascii="Bookman Old Style" w:hAnsi="Bookman Old Style" w:cs="Arial"/>
          <w:sz w:val="16"/>
          <w:lang w:val="es-CO" w:eastAsia="x-none"/>
        </w:rPr>
        <w:t>8</w:t>
      </w:r>
    </w:p>
    <w:p w14:paraId="20B84B7E" w14:textId="242B7A90" w:rsidR="006B5FB5" w:rsidRDefault="006B5FB5" w:rsidP="006B5FB5">
      <w:pPr>
        <w:widowControl w:val="0"/>
        <w:adjustRightInd w:val="0"/>
        <w:spacing w:before="240" w:after="240"/>
        <w:ind w:left="0" w:right="20"/>
        <w:jc w:val="both"/>
        <w:rPr>
          <w:rFonts w:ascii="Bookman Old Style" w:hAnsi="Bookman Old Style" w:cs="Arial"/>
          <w:b/>
          <w:bCs/>
        </w:rPr>
      </w:pPr>
      <w:r w:rsidRPr="0096758E">
        <w:rPr>
          <w:rFonts w:ascii="Bookman Old Style" w:hAnsi="Bookman Old Style" w:cs="Arial"/>
        </w:rPr>
        <w:t xml:space="preserve">El anterior cargo no contempla </w:t>
      </w:r>
      <w:r w:rsidRPr="00570730">
        <w:rPr>
          <w:rFonts w:ascii="Bookman Old Style" w:hAnsi="Bookman Old Style"/>
          <w:color w:val="000000"/>
          <w:shd w:val="clear" w:color="auto" w:fill="FFFFFF"/>
        </w:rPr>
        <w:t>el efecto del aporte de recursos públicos,</w:t>
      </w:r>
      <w:r>
        <w:rPr>
          <w:rFonts w:ascii="Bookman Old Style" w:hAnsi="Bookman Old Style"/>
          <w:color w:val="000000"/>
          <w:shd w:val="clear" w:color="auto" w:fill="FFFFFF"/>
        </w:rPr>
        <w:t xml:space="preserve"> </w:t>
      </w:r>
      <w:r w:rsidRPr="00570730">
        <w:rPr>
          <w:rFonts w:ascii="Bookman Old Style" w:hAnsi="Bookman Old Style"/>
          <w:color w:val="000000"/>
          <w:shd w:val="clear" w:color="auto" w:fill="FFFFFF"/>
        </w:rPr>
        <w:t xml:space="preserve">en consecuencia, </w:t>
      </w:r>
      <w:r w:rsidRPr="0096758E">
        <w:rPr>
          <w:rFonts w:ascii="Bookman Old Style" w:hAnsi="Bookman Old Style" w:cs="Arial"/>
        </w:rPr>
        <w:t>en aplicación de lo establecido en el Anexo 21 de la metodología contenida en las Resoluciones CREG 202 de 2013,</w:t>
      </w:r>
      <w:r w:rsidR="00EA12A6">
        <w:rPr>
          <w:rFonts w:ascii="Bookman Old Style" w:hAnsi="Bookman Old Style" w:cs="Arial"/>
        </w:rPr>
        <w:t xml:space="preserve"> </w:t>
      </w:r>
      <w:r w:rsidRPr="0096758E">
        <w:rPr>
          <w:rFonts w:ascii="Bookman Old Style" w:hAnsi="Bookman Old Style" w:cs="Arial"/>
        </w:rPr>
        <w:t>138 de 2014,</w:t>
      </w:r>
      <w:r w:rsidR="00EA12A6">
        <w:rPr>
          <w:rFonts w:ascii="Bookman Old Style" w:hAnsi="Bookman Old Style" w:cs="Arial"/>
        </w:rPr>
        <w:t xml:space="preserve"> </w:t>
      </w:r>
      <w:r w:rsidRPr="0096758E">
        <w:rPr>
          <w:rFonts w:ascii="Bookman Old Style" w:hAnsi="Bookman Old Style" w:cs="Arial"/>
        </w:rPr>
        <w:t>090 de 2018, 132 de 2018 y 011 de 2020, el cargo de distribución aplicable a los usuarios de uso residencial en cada uno de los submercados del Mercado Relevante definido en el Artículo 1° para recuperar los costos de inversión y los gastos de AOM para la distribución domiciliaria de gas combustible por redes de tubería se fija de la siguiente manera:</w:t>
      </w:r>
    </w:p>
    <w:p w14:paraId="5D8F0E2B" w14:textId="196C7BD1" w:rsidR="0046259D" w:rsidRDefault="00BF1E70" w:rsidP="0046259D">
      <w:pPr>
        <w:widowControl w:val="0"/>
        <w:adjustRightInd w:val="0"/>
        <w:spacing w:before="240" w:after="240"/>
        <w:ind w:left="0" w:right="20"/>
        <w:jc w:val="both"/>
        <w:rPr>
          <w:rFonts w:ascii="Bookman Old Style" w:hAnsi="Bookman Old Style" w:cs="Arial"/>
        </w:rPr>
      </w:pPr>
      <w:r>
        <w:rPr>
          <w:rFonts w:ascii="Bookman Old Style" w:hAnsi="Bookman Old Style" w:cs="Arial"/>
          <w:b/>
        </w:rPr>
        <w:t>6</w:t>
      </w:r>
      <w:r w:rsidR="0046259D">
        <w:rPr>
          <w:rFonts w:ascii="Bookman Old Style" w:hAnsi="Bookman Old Style" w:cs="Arial"/>
          <w:b/>
        </w:rPr>
        <w:t xml:space="preserve">.1. </w:t>
      </w:r>
      <w:r w:rsidR="0046259D">
        <w:rPr>
          <w:rFonts w:ascii="Bookman Old Style" w:hAnsi="Bookman Old Style" w:cs="Arial"/>
        </w:rPr>
        <w:t>L</w:t>
      </w:r>
      <w:r w:rsidR="0046259D" w:rsidRPr="00B94732">
        <w:rPr>
          <w:rFonts w:ascii="Bookman Old Style" w:hAnsi="Bookman Old Style" w:cs="Arial"/>
        </w:rPr>
        <w:t xml:space="preserve">os cargos </w:t>
      </w:r>
      <w:r w:rsidR="0046259D">
        <w:rPr>
          <w:rFonts w:ascii="Bookman Old Style" w:hAnsi="Bookman Old Style" w:cs="Arial"/>
        </w:rPr>
        <w:t xml:space="preserve">de distribución </w:t>
      </w:r>
      <w:r w:rsidR="0046259D" w:rsidRPr="00B94732">
        <w:rPr>
          <w:rFonts w:ascii="Bookman Old Style" w:hAnsi="Bookman Old Style" w:cs="Arial"/>
        </w:rPr>
        <w:t xml:space="preserve">aplicables </w:t>
      </w:r>
      <w:r w:rsidR="0046259D">
        <w:rPr>
          <w:rFonts w:ascii="Bookman Old Style" w:hAnsi="Bookman Old Style" w:cs="Arial"/>
        </w:rPr>
        <w:t xml:space="preserve">a </w:t>
      </w:r>
      <w:r w:rsidR="0046259D" w:rsidRPr="00B94732">
        <w:rPr>
          <w:rFonts w:ascii="Bookman Old Style" w:hAnsi="Bookman Old Style" w:cs="Arial"/>
        </w:rPr>
        <w:t>l</w:t>
      </w:r>
      <w:r w:rsidR="0046259D">
        <w:rPr>
          <w:rFonts w:ascii="Bookman Old Style" w:hAnsi="Bookman Old Style" w:cs="Arial"/>
        </w:rPr>
        <w:t>os Usuarios</w:t>
      </w:r>
      <w:r>
        <w:rPr>
          <w:rFonts w:ascii="Bookman Old Style" w:hAnsi="Bookman Old Style" w:cs="Arial"/>
        </w:rPr>
        <w:t xml:space="preserve"> Diferentes a los</w:t>
      </w:r>
      <w:r w:rsidR="0046259D">
        <w:rPr>
          <w:rFonts w:ascii="Bookman Old Style" w:hAnsi="Bookman Old Style" w:cs="Arial"/>
        </w:rPr>
        <w:t xml:space="preserve"> de Uso Residencial en el</w:t>
      </w:r>
      <w:r w:rsidR="0046259D" w:rsidRPr="00B94732">
        <w:rPr>
          <w:rFonts w:ascii="Bookman Old Style" w:hAnsi="Bookman Old Style" w:cs="Arial"/>
        </w:rPr>
        <w:t xml:space="preserve"> </w:t>
      </w:r>
      <w:r w:rsidR="0046259D">
        <w:rPr>
          <w:rFonts w:ascii="Bookman Old Style" w:hAnsi="Bookman Old Style" w:cs="Arial"/>
        </w:rPr>
        <w:t xml:space="preserve">Submercado 1 de que trata el Parágrafo del Artículo 1 de esta Resolución, conformado por las veredas </w:t>
      </w:r>
      <w:r w:rsidR="002F47F1">
        <w:rPr>
          <w:rFonts w:ascii="Bookman Old Style" w:hAnsi="Bookman Old Style" w:cs="Arial"/>
        </w:rPr>
        <w:t>Astillero, La María, Granadillo y Alto Buenavista</w:t>
      </w:r>
      <w:r w:rsidR="0046259D">
        <w:rPr>
          <w:rFonts w:ascii="Bookman Old Style" w:hAnsi="Bookman Old Style" w:cs="Arial"/>
        </w:rPr>
        <w:t xml:space="preserve"> en el M</w:t>
      </w:r>
      <w:r w:rsidR="0046259D" w:rsidRPr="00B94732">
        <w:rPr>
          <w:rFonts w:ascii="Bookman Old Style" w:hAnsi="Bookman Old Style" w:cs="Arial"/>
        </w:rPr>
        <w:t xml:space="preserve">unicipio de </w:t>
      </w:r>
      <w:r w:rsidR="002F47F1">
        <w:rPr>
          <w:rFonts w:ascii="Bookman Old Style" w:hAnsi="Bookman Old Style" w:cs="Arial"/>
        </w:rPr>
        <w:t>Agrado</w:t>
      </w:r>
      <w:r w:rsidR="0046259D" w:rsidRPr="00B94732">
        <w:rPr>
          <w:rFonts w:ascii="Bookman Old Style" w:hAnsi="Bookman Old Style" w:cs="Arial"/>
        </w:rPr>
        <w:t xml:space="preserve">, </w:t>
      </w:r>
      <w:r w:rsidR="0046259D">
        <w:rPr>
          <w:rFonts w:ascii="Bookman Old Style" w:hAnsi="Bookman Old Style" w:cs="Arial"/>
        </w:rPr>
        <w:t>Departamento</w:t>
      </w:r>
      <w:r w:rsidR="0046259D" w:rsidRPr="00B94732">
        <w:rPr>
          <w:rFonts w:ascii="Bookman Old Style" w:hAnsi="Bookman Old Style" w:cs="Arial"/>
        </w:rPr>
        <w:t xml:space="preserve"> de </w:t>
      </w:r>
      <w:r w:rsidR="0046259D">
        <w:rPr>
          <w:rFonts w:ascii="Bookman Old Style" w:hAnsi="Bookman Old Style" w:cs="Arial"/>
        </w:rPr>
        <w:t>Huila</w:t>
      </w:r>
      <w:r w:rsidR="0046259D" w:rsidRPr="00B94732">
        <w:rPr>
          <w:rFonts w:ascii="Bookman Old Style" w:hAnsi="Bookman Old Style" w:cs="Arial"/>
        </w:rPr>
        <w:t>, s</w:t>
      </w:r>
      <w:r w:rsidR="0046259D">
        <w:rPr>
          <w:rFonts w:ascii="Bookman Old Style" w:hAnsi="Bookman Old Style" w:cs="Arial"/>
        </w:rPr>
        <w:t>erán los siguientes</w:t>
      </w:r>
      <w:r w:rsidR="0046259D"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0211CD" w:rsidRPr="00202111" w14:paraId="0BDD8162" w14:textId="77777777" w:rsidTr="00305A65">
        <w:trPr>
          <w:trHeight w:val="77"/>
          <w:tblHeader/>
          <w:jc w:val="center"/>
        </w:trPr>
        <w:tc>
          <w:tcPr>
            <w:tcW w:w="9209" w:type="dxa"/>
            <w:gridSpan w:val="5"/>
            <w:shd w:val="clear" w:color="auto" w:fill="D9D9D9" w:themeFill="background1" w:themeFillShade="D9"/>
            <w:vAlign w:val="center"/>
          </w:tcPr>
          <w:p w14:paraId="6F1B7828" w14:textId="12205BDB" w:rsidR="000211CD" w:rsidRPr="00202111" w:rsidRDefault="000211CD" w:rsidP="00305A65">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w:t>
            </w:r>
            <w:r>
              <w:rPr>
                <w:rFonts w:ascii="Bookman Old Style" w:hAnsi="Bookman Old Style"/>
                <w:b/>
                <w:bCs/>
                <w:color w:val="000000"/>
                <w:sz w:val="22"/>
                <w:szCs w:val="22"/>
                <w:lang w:eastAsia="es-CO"/>
              </w:rPr>
              <w:t xml:space="preserve"> Diferentes a los</w:t>
            </w:r>
            <w:r w:rsidRPr="00202111">
              <w:rPr>
                <w:rFonts w:ascii="Bookman Old Style" w:hAnsi="Bookman Old Style"/>
                <w:b/>
                <w:bCs/>
                <w:color w:val="000000"/>
                <w:sz w:val="22"/>
                <w:szCs w:val="22"/>
                <w:lang w:eastAsia="es-CO"/>
              </w:rPr>
              <w:t xml:space="preserve"> de Uso Residencial</w:t>
            </w:r>
          </w:p>
        </w:tc>
      </w:tr>
      <w:tr w:rsidR="000211CD" w:rsidRPr="00202111" w14:paraId="094E1A7A" w14:textId="77777777" w:rsidTr="00305A65">
        <w:trPr>
          <w:trHeight w:val="406"/>
          <w:tblHeader/>
          <w:jc w:val="center"/>
        </w:trPr>
        <w:tc>
          <w:tcPr>
            <w:tcW w:w="3544" w:type="dxa"/>
            <w:shd w:val="clear" w:color="auto" w:fill="D9D9D9" w:themeFill="background1" w:themeFillShade="D9"/>
            <w:vAlign w:val="center"/>
          </w:tcPr>
          <w:p w14:paraId="4BB940FA" w14:textId="77777777" w:rsidR="000211CD" w:rsidRPr="00202111" w:rsidRDefault="000211CD" w:rsidP="00305A6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1CFE8F63" w14:textId="77777777" w:rsidR="000211CD" w:rsidRPr="00202111" w:rsidRDefault="000211CD" w:rsidP="00305A65">
            <w:pPr>
              <w:widowControl w:val="0"/>
              <w:adjustRightInd w:val="0"/>
              <w:ind w:left="0" w:right="20"/>
              <w:jc w:val="center"/>
              <w:rPr>
                <w:rFonts w:ascii="Bookman Old Style" w:hAnsi="Bookman Old Style" w:cs="Arial"/>
                <w:sz w:val="22"/>
                <w:szCs w:val="22"/>
              </w:rPr>
            </w:pPr>
          </w:p>
        </w:tc>
        <w:tc>
          <w:tcPr>
            <w:tcW w:w="1604" w:type="dxa"/>
            <w:shd w:val="clear" w:color="auto" w:fill="D9D9D9" w:themeFill="background1" w:themeFillShade="D9"/>
            <w:vAlign w:val="center"/>
          </w:tcPr>
          <w:p w14:paraId="6CCF9743" w14:textId="77777777" w:rsidR="000211CD" w:rsidRPr="00202111" w:rsidRDefault="000211CD" w:rsidP="00305A65">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 xml:space="preserve">Año </w:t>
            </w:r>
            <w:r w:rsidRPr="00DE69B3">
              <w:rPr>
                <w:rFonts w:ascii="Bookman Old Style" w:hAnsi="Bookman Old Style" w:cs="Arial"/>
                <w:b/>
                <w:sz w:val="22"/>
                <w:szCs w:val="22"/>
              </w:rPr>
              <w:t>2020</w:t>
            </w:r>
          </w:p>
        </w:tc>
        <w:tc>
          <w:tcPr>
            <w:tcW w:w="1605" w:type="dxa"/>
            <w:shd w:val="clear" w:color="auto" w:fill="D9D9D9" w:themeFill="background1" w:themeFillShade="D9"/>
            <w:vAlign w:val="center"/>
          </w:tcPr>
          <w:p w14:paraId="72EADE6C" w14:textId="77777777" w:rsidR="000211CD" w:rsidRDefault="000211CD"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605" w:type="dxa"/>
            <w:shd w:val="clear" w:color="auto" w:fill="D9D9D9" w:themeFill="background1" w:themeFillShade="D9"/>
            <w:vAlign w:val="center"/>
          </w:tcPr>
          <w:p w14:paraId="3763C374" w14:textId="77777777" w:rsidR="000211CD" w:rsidRDefault="000211CD"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8A30C6" w:rsidRPr="00202111" w14:paraId="7860E233" w14:textId="77777777" w:rsidTr="00305A65">
        <w:trPr>
          <w:trHeight w:val="367"/>
          <w:jc w:val="center"/>
        </w:trPr>
        <w:tc>
          <w:tcPr>
            <w:tcW w:w="3544" w:type="dxa"/>
            <w:shd w:val="clear" w:color="auto" w:fill="auto"/>
            <w:vAlign w:val="center"/>
          </w:tcPr>
          <w:p w14:paraId="145A6BED" w14:textId="77777777" w:rsidR="008A30C6" w:rsidRPr="00202111" w:rsidRDefault="008A30C6" w:rsidP="008A30C6">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6BEB2003" w14:textId="77777777" w:rsidR="008A30C6" w:rsidRPr="00202111" w:rsidRDefault="008A30C6" w:rsidP="008A30C6">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604" w:type="dxa"/>
            <w:shd w:val="clear" w:color="auto" w:fill="auto"/>
            <w:vAlign w:val="center"/>
          </w:tcPr>
          <w:p w14:paraId="363806C8" w14:textId="1BEF1E69" w:rsidR="008A30C6" w:rsidRPr="000D5E85" w:rsidRDefault="008A30C6" w:rsidP="008A30C6">
            <w:pPr>
              <w:widowControl w:val="0"/>
              <w:adjustRightInd w:val="0"/>
              <w:ind w:left="0" w:right="20"/>
              <w:jc w:val="center"/>
              <w:rPr>
                <w:rFonts w:ascii="Bookman Old Style" w:hAnsi="Bookman Old Style" w:cs="Arial"/>
                <w:b/>
                <w:sz w:val="22"/>
                <w:szCs w:val="22"/>
                <w:highlight w:val="yellow"/>
              </w:rPr>
            </w:pPr>
            <w:r w:rsidRPr="004015B4">
              <w:rPr>
                <w:rFonts w:ascii="Bookman Old Style" w:hAnsi="Bookman Old Style"/>
                <w:b/>
                <w:bCs/>
                <w:color w:val="000000"/>
                <w:sz w:val="22"/>
                <w:szCs w:val="22"/>
                <w:lang w:val="es-ES_tradnl" w:eastAsia="es-CO"/>
              </w:rPr>
              <w:t>2,208.66</w:t>
            </w:r>
          </w:p>
        </w:tc>
        <w:tc>
          <w:tcPr>
            <w:tcW w:w="1605" w:type="dxa"/>
            <w:vAlign w:val="center"/>
          </w:tcPr>
          <w:p w14:paraId="1E68EB85" w14:textId="3F6E7611" w:rsidR="008A30C6" w:rsidRPr="000D5E85" w:rsidRDefault="008A30C6" w:rsidP="008A30C6">
            <w:pPr>
              <w:widowControl w:val="0"/>
              <w:adjustRightInd w:val="0"/>
              <w:ind w:left="0" w:right="20"/>
              <w:jc w:val="center"/>
              <w:rPr>
                <w:rFonts w:ascii="Bookman Old Style" w:hAnsi="Bookman Old Style" w:cs="Arial"/>
                <w:b/>
                <w:sz w:val="22"/>
                <w:szCs w:val="22"/>
                <w:highlight w:val="yellow"/>
              </w:rPr>
            </w:pPr>
            <w:r w:rsidRPr="004015B4">
              <w:rPr>
                <w:rFonts w:ascii="Bookman Old Style" w:hAnsi="Bookman Old Style"/>
                <w:b/>
                <w:bCs/>
                <w:color w:val="000000"/>
                <w:sz w:val="22"/>
                <w:szCs w:val="22"/>
                <w:lang w:val="es-ES_tradnl" w:eastAsia="es-CO"/>
              </w:rPr>
              <w:t>2,203.14</w:t>
            </w:r>
          </w:p>
        </w:tc>
        <w:tc>
          <w:tcPr>
            <w:tcW w:w="1605" w:type="dxa"/>
            <w:vAlign w:val="center"/>
          </w:tcPr>
          <w:p w14:paraId="3A1FFE05" w14:textId="0BB42E70" w:rsidR="008A30C6" w:rsidRPr="000D5E85" w:rsidRDefault="008A30C6" w:rsidP="008A30C6">
            <w:pPr>
              <w:widowControl w:val="0"/>
              <w:adjustRightInd w:val="0"/>
              <w:ind w:left="0" w:right="20"/>
              <w:jc w:val="center"/>
              <w:rPr>
                <w:rFonts w:ascii="Bookman Old Style" w:hAnsi="Bookman Old Style" w:cs="Arial"/>
                <w:b/>
                <w:sz w:val="22"/>
                <w:szCs w:val="22"/>
                <w:highlight w:val="yellow"/>
              </w:rPr>
            </w:pPr>
            <w:r w:rsidRPr="004015B4">
              <w:rPr>
                <w:rFonts w:ascii="Bookman Old Style" w:hAnsi="Bookman Old Style"/>
                <w:b/>
                <w:bCs/>
                <w:color w:val="000000"/>
                <w:sz w:val="22"/>
                <w:szCs w:val="22"/>
                <w:lang w:val="es-ES_tradnl" w:eastAsia="es-CO"/>
              </w:rPr>
              <w:t>2,197.63</w:t>
            </w:r>
          </w:p>
        </w:tc>
      </w:tr>
      <w:tr w:rsidR="008A30C6" w:rsidRPr="00202111" w14:paraId="0E0AE4E8" w14:textId="77777777" w:rsidTr="00305A65">
        <w:trPr>
          <w:trHeight w:val="367"/>
          <w:jc w:val="center"/>
        </w:trPr>
        <w:tc>
          <w:tcPr>
            <w:tcW w:w="3544" w:type="dxa"/>
            <w:shd w:val="clear" w:color="auto" w:fill="auto"/>
            <w:vAlign w:val="center"/>
          </w:tcPr>
          <w:p w14:paraId="37D2BD4F" w14:textId="6F5569AB" w:rsidR="008A30C6" w:rsidRPr="00202111" w:rsidRDefault="008A30C6" w:rsidP="008A30C6">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AGRADO</w:t>
            </w:r>
          </w:p>
        </w:tc>
        <w:tc>
          <w:tcPr>
            <w:tcW w:w="851" w:type="dxa"/>
            <w:shd w:val="clear" w:color="auto" w:fill="auto"/>
            <w:vAlign w:val="center"/>
          </w:tcPr>
          <w:p w14:paraId="2AB54010" w14:textId="77777777" w:rsidR="008A30C6" w:rsidRPr="00202111" w:rsidRDefault="008A30C6" w:rsidP="008A30C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066780C7" w14:textId="1A664460" w:rsidR="008A30C6" w:rsidRPr="000D5E85" w:rsidRDefault="008A30C6" w:rsidP="008A30C6">
            <w:pPr>
              <w:widowControl w:val="0"/>
              <w:adjustRightInd w:val="0"/>
              <w:ind w:left="0" w:right="20"/>
              <w:jc w:val="center"/>
              <w:rPr>
                <w:rFonts w:ascii="Bookman Old Style" w:hAnsi="Bookman Old Style" w:cs="Arial"/>
                <w:sz w:val="22"/>
                <w:szCs w:val="22"/>
                <w:highlight w:val="yellow"/>
              </w:rPr>
            </w:pPr>
            <w:r w:rsidRPr="004015B4">
              <w:rPr>
                <w:rFonts w:ascii="Bookman Old Style" w:hAnsi="Bookman Old Style" w:cs="Arial"/>
                <w:sz w:val="22"/>
                <w:szCs w:val="22"/>
              </w:rPr>
              <w:t>587.59</w:t>
            </w:r>
          </w:p>
        </w:tc>
        <w:tc>
          <w:tcPr>
            <w:tcW w:w="1605" w:type="dxa"/>
            <w:vAlign w:val="center"/>
          </w:tcPr>
          <w:p w14:paraId="4BC41966" w14:textId="6059C780" w:rsidR="008A30C6" w:rsidRPr="000D5E85" w:rsidRDefault="008A30C6" w:rsidP="008A30C6">
            <w:pPr>
              <w:widowControl w:val="0"/>
              <w:adjustRightInd w:val="0"/>
              <w:ind w:left="0" w:right="20"/>
              <w:jc w:val="center"/>
              <w:rPr>
                <w:rFonts w:ascii="Bookman Old Style" w:hAnsi="Bookman Old Style" w:cs="Arial"/>
                <w:sz w:val="22"/>
                <w:szCs w:val="22"/>
                <w:highlight w:val="yellow"/>
              </w:rPr>
            </w:pPr>
            <w:r w:rsidRPr="004015B4">
              <w:rPr>
                <w:rFonts w:ascii="Bookman Old Style" w:hAnsi="Bookman Old Style" w:cs="Arial"/>
                <w:sz w:val="22"/>
                <w:szCs w:val="22"/>
              </w:rPr>
              <w:t>582.40</w:t>
            </w:r>
          </w:p>
        </w:tc>
        <w:tc>
          <w:tcPr>
            <w:tcW w:w="1605" w:type="dxa"/>
            <w:vAlign w:val="center"/>
          </w:tcPr>
          <w:p w14:paraId="3D0F465B" w14:textId="6F477547" w:rsidR="008A30C6" w:rsidRPr="000D5E85" w:rsidRDefault="008A30C6" w:rsidP="008A30C6">
            <w:pPr>
              <w:widowControl w:val="0"/>
              <w:adjustRightInd w:val="0"/>
              <w:ind w:left="0" w:right="20"/>
              <w:jc w:val="center"/>
              <w:rPr>
                <w:rFonts w:ascii="Bookman Old Style" w:hAnsi="Bookman Old Style" w:cs="Arial"/>
                <w:sz w:val="22"/>
                <w:szCs w:val="22"/>
                <w:highlight w:val="yellow"/>
              </w:rPr>
            </w:pPr>
            <w:r w:rsidRPr="004015B4">
              <w:rPr>
                <w:rFonts w:ascii="Bookman Old Style" w:hAnsi="Bookman Old Style" w:cs="Arial"/>
                <w:sz w:val="22"/>
                <w:szCs w:val="22"/>
              </w:rPr>
              <w:t>577.22</w:t>
            </w:r>
          </w:p>
        </w:tc>
      </w:tr>
      <w:tr w:rsidR="008A30C6" w:rsidRPr="00202111" w14:paraId="44C3AC38" w14:textId="77777777" w:rsidTr="00305A65">
        <w:trPr>
          <w:trHeight w:val="367"/>
          <w:jc w:val="center"/>
        </w:trPr>
        <w:tc>
          <w:tcPr>
            <w:tcW w:w="3544" w:type="dxa"/>
            <w:shd w:val="clear" w:color="auto" w:fill="auto"/>
            <w:vAlign w:val="center"/>
          </w:tcPr>
          <w:p w14:paraId="52FC5592" w14:textId="77777777" w:rsidR="008A30C6" w:rsidRPr="00202111" w:rsidRDefault="008A30C6" w:rsidP="008A30C6">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356BB235" w14:textId="77777777" w:rsidR="008A30C6" w:rsidRPr="00202111" w:rsidRDefault="008A30C6" w:rsidP="008A30C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7FA071DE" w14:textId="236B27B2" w:rsidR="008A30C6" w:rsidRPr="000D5E85" w:rsidRDefault="008A30C6" w:rsidP="008A30C6">
            <w:pPr>
              <w:widowControl w:val="0"/>
              <w:adjustRightInd w:val="0"/>
              <w:ind w:left="0" w:right="20"/>
              <w:jc w:val="center"/>
              <w:rPr>
                <w:rFonts w:ascii="Bookman Old Style" w:hAnsi="Bookman Old Style" w:cs="Arial"/>
                <w:sz w:val="22"/>
                <w:szCs w:val="22"/>
                <w:highlight w:val="yellow"/>
              </w:rPr>
            </w:pPr>
            <w:r w:rsidRPr="004015B4">
              <w:rPr>
                <w:rFonts w:ascii="Bookman Old Style" w:hAnsi="Bookman Old Style" w:cs="Arial"/>
                <w:sz w:val="22"/>
                <w:szCs w:val="22"/>
              </w:rPr>
              <w:t>1,621.06</w:t>
            </w:r>
          </w:p>
        </w:tc>
        <w:tc>
          <w:tcPr>
            <w:tcW w:w="1605" w:type="dxa"/>
            <w:vAlign w:val="center"/>
          </w:tcPr>
          <w:p w14:paraId="493D50F4" w14:textId="60DE97BA" w:rsidR="008A30C6" w:rsidRPr="000D5E85" w:rsidRDefault="008A30C6" w:rsidP="008A30C6">
            <w:pPr>
              <w:widowControl w:val="0"/>
              <w:adjustRightInd w:val="0"/>
              <w:ind w:left="0" w:right="20"/>
              <w:jc w:val="center"/>
              <w:rPr>
                <w:rFonts w:ascii="Bookman Old Style" w:hAnsi="Bookman Old Style" w:cs="Arial"/>
                <w:sz w:val="22"/>
                <w:szCs w:val="22"/>
                <w:highlight w:val="yellow"/>
              </w:rPr>
            </w:pPr>
            <w:r w:rsidRPr="004015B4">
              <w:rPr>
                <w:rFonts w:ascii="Bookman Old Style" w:hAnsi="Bookman Old Style" w:cs="Arial"/>
                <w:sz w:val="22"/>
                <w:szCs w:val="22"/>
              </w:rPr>
              <w:t>1,620.74</w:t>
            </w:r>
          </w:p>
        </w:tc>
        <w:tc>
          <w:tcPr>
            <w:tcW w:w="1605" w:type="dxa"/>
            <w:vAlign w:val="center"/>
          </w:tcPr>
          <w:p w14:paraId="50576B7E" w14:textId="566FA006" w:rsidR="008A30C6" w:rsidRPr="000D5E85" w:rsidRDefault="008A30C6" w:rsidP="008A30C6">
            <w:pPr>
              <w:widowControl w:val="0"/>
              <w:adjustRightInd w:val="0"/>
              <w:ind w:left="0" w:right="20"/>
              <w:jc w:val="center"/>
              <w:rPr>
                <w:rFonts w:ascii="Bookman Old Style" w:hAnsi="Bookman Old Style" w:cs="Arial"/>
                <w:sz w:val="22"/>
                <w:szCs w:val="22"/>
                <w:highlight w:val="yellow"/>
              </w:rPr>
            </w:pPr>
            <w:r w:rsidRPr="004015B4">
              <w:rPr>
                <w:rFonts w:ascii="Bookman Old Style" w:hAnsi="Bookman Old Style" w:cs="Arial"/>
                <w:sz w:val="22"/>
                <w:szCs w:val="22"/>
              </w:rPr>
              <w:t>1,620.41</w:t>
            </w:r>
          </w:p>
        </w:tc>
      </w:tr>
    </w:tbl>
    <w:p w14:paraId="08CFC87D" w14:textId="77777777" w:rsidR="00847C7F" w:rsidRDefault="00847C7F" w:rsidP="00847C7F">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29423722" w14:textId="5B82F482" w:rsidR="00847C7F" w:rsidRDefault="00847C7F" w:rsidP="00847C7F">
      <w:pPr>
        <w:widowControl w:val="0"/>
        <w:adjustRightInd w:val="0"/>
        <w:spacing w:before="240" w:after="240"/>
        <w:ind w:left="0" w:right="20"/>
        <w:jc w:val="both"/>
        <w:rPr>
          <w:rFonts w:ascii="Bookman Old Style" w:hAnsi="Bookman Old Style" w:cs="Arial"/>
        </w:rPr>
      </w:pPr>
      <w:r>
        <w:rPr>
          <w:rFonts w:ascii="Bookman Old Style" w:hAnsi="Bookman Old Style" w:cs="Arial"/>
          <w:b/>
        </w:rPr>
        <w:t xml:space="preserve">6.2. </w:t>
      </w:r>
      <w:r>
        <w:rPr>
          <w:rFonts w:ascii="Bookman Old Style" w:hAnsi="Bookman Old Style" w:cs="Arial"/>
        </w:rPr>
        <w:t>L</w:t>
      </w:r>
      <w:r w:rsidRPr="00B94732">
        <w:rPr>
          <w:rFonts w:ascii="Bookman Old Style" w:hAnsi="Bookman Old Style" w:cs="Arial"/>
        </w:rPr>
        <w:t xml:space="preserve">os cargos </w:t>
      </w:r>
      <w:r>
        <w:rPr>
          <w:rFonts w:ascii="Bookman Old Style" w:hAnsi="Bookman Old Style" w:cs="Arial"/>
        </w:rPr>
        <w:t xml:space="preserve">de distribución </w:t>
      </w:r>
      <w:r w:rsidRPr="00B94732">
        <w:rPr>
          <w:rFonts w:ascii="Bookman Old Style" w:hAnsi="Bookman Old Style" w:cs="Arial"/>
        </w:rPr>
        <w:t xml:space="preserve">aplicables </w:t>
      </w:r>
      <w:r>
        <w:rPr>
          <w:rFonts w:ascii="Bookman Old Style" w:hAnsi="Bookman Old Style" w:cs="Arial"/>
        </w:rPr>
        <w:t>a los Usuarios</w:t>
      </w:r>
      <w:r w:rsidR="00E91952">
        <w:rPr>
          <w:rFonts w:ascii="Bookman Old Style" w:hAnsi="Bookman Old Style" w:cs="Arial"/>
        </w:rPr>
        <w:t xml:space="preserve"> Diferentes a los</w:t>
      </w:r>
      <w:r>
        <w:rPr>
          <w:rFonts w:ascii="Bookman Old Style" w:hAnsi="Bookman Old Style" w:cs="Arial"/>
        </w:rPr>
        <w:t xml:space="preserve"> de Uso Residencial en el Submercado 2 de que trata el Parágrafo del Artículo 1 de esta Resolución, conformado por la vereda </w:t>
      </w:r>
      <w:r w:rsidR="008A30C6">
        <w:rPr>
          <w:rFonts w:ascii="Bookman Old Style" w:hAnsi="Bookman Old Style" w:cs="Arial"/>
        </w:rPr>
        <w:t>La Carbona</w:t>
      </w:r>
      <w:r>
        <w:rPr>
          <w:rFonts w:ascii="Bookman Old Style" w:hAnsi="Bookman Old Style" w:cs="Arial"/>
        </w:rPr>
        <w:t xml:space="preserve"> en el M</w:t>
      </w:r>
      <w:r w:rsidRPr="00B94732">
        <w:rPr>
          <w:rFonts w:ascii="Bookman Old Style" w:hAnsi="Bookman Old Style" w:cs="Arial"/>
        </w:rPr>
        <w:t xml:space="preserve">unicipio de </w:t>
      </w:r>
      <w:r w:rsidR="008A30C6">
        <w:rPr>
          <w:rFonts w:ascii="Bookman Old Style" w:hAnsi="Bookman Old Style" w:cs="Arial"/>
        </w:rPr>
        <w:t>Acevedo</w:t>
      </w:r>
      <w:r w:rsidRPr="00B94732">
        <w:rPr>
          <w:rFonts w:ascii="Bookman Old Style" w:hAnsi="Bookman Old Style" w:cs="Arial"/>
        </w:rPr>
        <w:t xml:space="preserve">, </w:t>
      </w:r>
      <w:r>
        <w:rPr>
          <w:rFonts w:ascii="Bookman Old Style" w:hAnsi="Bookman Old Style" w:cs="Arial"/>
        </w:rPr>
        <w:t>Departamento</w:t>
      </w:r>
      <w:r w:rsidRPr="00B94732">
        <w:rPr>
          <w:rFonts w:ascii="Bookman Old Style" w:hAnsi="Bookman Old Style" w:cs="Arial"/>
        </w:rPr>
        <w:t xml:space="preserve"> de </w:t>
      </w:r>
      <w:r>
        <w:rPr>
          <w:rFonts w:ascii="Bookman Old Style" w:hAnsi="Bookman Old Style" w:cs="Arial"/>
        </w:rPr>
        <w:t>Huila</w:t>
      </w:r>
      <w:r w:rsidRPr="00B94732">
        <w:rPr>
          <w:rFonts w:ascii="Bookman Old Style" w:hAnsi="Bookman Old Style" w:cs="Arial"/>
        </w:rPr>
        <w:t>, s</w:t>
      </w:r>
      <w:r>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851"/>
        <w:gridCol w:w="1568"/>
        <w:gridCol w:w="1569"/>
        <w:gridCol w:w="1569"/>
      </w:tblGrid>
      <w:tr w:rsidR="00847C7F" w:rsidRPr="00202111" w14:paraId="06231220" w14:textId="77777777" w:rsidTr="00305A65">
        <w:trPr>
          <w:trHeight w:val="77"/>
          <w:tblHeader/>
          <w:jc w:val="center"/>
        </w:trPr>
        <w:tc>
          <w:tcPr>
            <w:tcW w:w="9101" w:type="dxa"/>
            <w:gridSpan w:val="5"/>
            <w:shd w:val="clear" w:color="auto" w:fill="D9D9D9" w:themeFill="background1" w:themeFillShade="D9"/>
            <w:vAlign w:val="center"/>
          </w:tcPr>
          <w:p w14:paraId="4E614F11" w14:textId="77777777" w:rsidR="00847C7F" w:rsidRPr="00202111" w:rsidRDefault="00847C7F" w:rsidP="00305A65">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847C7F" w:rsidRPr="00202111" w14:paraId="3D358B4C" w14:textId="77777777" w:rsidTr="00305A65">
        <w:trPr>
          <w:trHeight w:val="406"/>
          <w:tblHeader/>
          <w:jc w:val="center"/>
        </w:trPr>
        <w:tc>
          <w:tcPr>
            <w:tcW w:w="3544" w:type="dxa"/>
            <w:shd w:val="clear" w:color="auto" w:fill="D9D9D9" w:themeFill="background1" w:themeFillShade="D9"/>
            <w:vAlign w:val="center"/>
          </w:tcPr>
          <w:p w14:paraId="0A7B0C07" w14:textId="77777777" w:rsidR="00847C7F" w:rsidRPr="00202111" w:rsidRDefault="00847C7F" w:rsidP="00305A6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2D891713" w14:textId="77777777" w:rsidR="00847C7F" w:rsidRPr="00202111" w:rsidRDefault="00847C7F" w:rsidP="00305A65">
            <w:pPr>
              <w:widowControl w:val="0"/>
              <w:adjustRightInd w:val="0"/>
              <w:ind w:left="0" w:right="20"/>
              <w:jc w:val="center"/>
              <w:rPr>
                <w:rFonts w:ascii="Bookman Old Style" w:hAnsi="Bookman Old Style" w:cs="Arial"/>
                <w:sz w:val="22"/>
                <w:szCs w:val="22"/>
              </w:rPr>
            </w:pPr>
          </w:p>
        </w:tc>
        <w:tc>
          <w:tcPr>
            <w:tcW w:w="1568" w:type="dxa"/>
            <w:shd w:val="clear" w:color="auto" w:fill="D9D9D9" w:themeFill="background1" w:themeFillShade="D9"/>
            <w:vAlign w:val="center"/>
          </w:tcPr>
          <w:p w14:paraId="7F470605" w14:textId="77777777" w:rsidR="00847C7F" w:rsidRPr="00202111" w:rsidRDefault="00847C7F" w:rsidP="00305A65">
            <w:pPr>
              <w:widowControl w:val="0"/>
              <w:adjustRightInd w:val="0"/>
              <w:ind w:left="0" w:right="20"/>
              <w:jc w:val="center"/>
              <w:rPr>
                <w:rFonts w:ascii="Bookman Old Style" w:hAnsi="Bookman Old Style" w:cs="Arial"/>
                <w:sz w:val="22"/>
                <w:szCs w:val="22"/>
              </w:rPr>
            </w:pPr>
            <w:r w:rsidRPr="00DE69B3">
              <w:rPr>
                <w:rFonts w:ascii="Bookman Old Style" w:hAnsi="Bookman Old Style" w:cs="Arial"/>
                <w:b/>
                <w:sz w:val="22"/>
                <w:szCs w:val="22"/>
              </w:rPr>
              <w:t>2020</w:t>
            </w:r>
          </w:p>
        </w:tc>
        <w:tc>
          <w:tcPr>
            <w:tcW w:w="1569" w:type="dxa"/>
            <w:shd w:val="clear" w:color="auto" w:fill="D9D9D9" w:themeFill="background1" w:themeFillShade="D9"/>
            <w:vAlign w:val="center"/>
          </w:tcPr>
          <w:p w14:paraId="62BEF104" w14:textId="77777777" w:rsidR="00847C7F" w:rsidRDefault="00847C7F"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69" w:type="dxa"/>
            <w:shd w:val="clear" w:color="auto" w:fill="D9D9D9" w:themeFill="background1" w:themeFillShade="D9"/>
            <w:vAlign w:val="center"/>
          </w:tcPr>
          <w:p w14:paraId="52310264" w14:textId="77777777" w:rsidR="00847C7F" w:rsidRDefault="00847C7F"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8A30C6" w:rsidRPr="00202111" w14:paraId="15434268" w14:textId="77777777" w:rsidTr="00305A65">
        <w:trPr>
          <w:trHeight w:val="367"/>
          <w:jc w:val="center"/>
        </w:trPr>
        <w:tc>
          <w:tcPr>
            <w:tcW w:w="3544" w:type="dxa"/>
            <w:shd w:val="clear" w:color="auto" w:fill="auto"/>
            <w:vAlign w:val="center"/>
          </w:tcPr>
          <w:p w14:paraId="4A2DBBB3" w14:textId="2F908DA2" w:rsidR="008A30C6" w:rsidRPr="00202111" w:rsidRDefault="008A30C6" w:rsidP="008A30C6">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57869ABE" w14:textId="3E99C5DC" w:rsidR="008A30C6" w:rsidRPr="00202111" w:rsidRDefault="008A30C6" w:rsidP="008A30C6">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68" w:type="dxa"/>
            <w:shd w:val="clear" w:color="auto" w:fill="auto"/>
            <w:vAlign w:val="center"/>
          </w:tcPr>
          <w:p w14:paraId="61EB4742" w14:textId="2C4865D6" w:rsidR="008A30C6" w:rsidRPr="00D349CF" w:rsidRDefault="008A30C6" w:rsidP="008A30C6">
            <w:pPr>
              <w:widowControl w:val="0"/>
              <w:adjustRightInd w:val="0"/>
              <w:ind w:left="0" w:right="20"/>
              <w:jc w:val="center"/>
              <w:rPr>
                <w:rFonts w:ascii="Bookman Old Style" w:hAnsi="Bookman Old Style" w:cs="Arial"/>
                <w:b/>
                <w:sz w:val="22"/>
                <w:szCs w:val="22"/>
                <w:highlight w:val="yellow"/>
              </w:rPr>
            </w:pPr>
            <w:r w:rsidRPr="00901111">
              <w:rPr>
                <w:rFonts w:ascii="Bookman Old Style" w:hAnsi="Bookman Old Style"/>
                <w:b/>
                <w:bCs/>
                <w:color w:val="000000"/>
                <w:sz w:val="22"/>
                <w:szCs w:val="22"/>
                <w:lang w:val="es-ES_tradnl" w:eastAsia="es-CO"/>
              </w:rPr>
              <w:t>7,380.19</w:t>
            </w:r>
          </w:p>
        </w:tc>
        <w:tc>
          <w:tcPr>
            <w:tcW w:w="1569" w:type="dxa"/>
            <w:vAlign w:val="center"/>
          </w:tcPr>
          <w:p w14:paraId="1A199FD2" w14:textId="70777F35" w:rsidR="008A30C6" w:rsidRPr="00D349CF" w:rsidRDefault="008A30C6" w:rsidP="008A30C6">
            <w:pPr>
              <w:widowControl w:val="0"/>
              <w:adjustRightInd w:val="0"/>
              <w:ind w:left="0" w:right="20"/>
              <w:jc w:val="center"/>
              <w:rPr>
                <w:rFonts w:ascii="Bookman Old Style" w:hAnsi="Bookman Old Style" w:cs="Arial"/>
                <w:b/>
                <w:sz w:val="22"/>
                <w:szCs w:val="22"/>
                <w:highlight w:val="yellow"/>
              </w:rPr>
            </w:pPr>
            <w:r w:rsidRPr="00901111">
              <w:rPr>
                <w:rFonts w:ascii="Bookman Old Style" w:hAnsi="Bookman Old Style"/>
                <w:b/>
                <w:bCs/>
                <w:color w:val="000000"/>
                <w:sz w:val="22"/>
                <w:szCs w:val="22"/>
                <w:lang w:val="es-ES_tradnl" w:eastAsia="es-CO"/>
              </w:rPr>
              <w:t>7,326.40</w:t>
            </w:r>
          </w:p>
        </w:tc>
        <w:tc>
          <w:tcPr>
            <w:tcW w:w="1569" w:type="dxa"/>
            <w:vAlign w:val="center"/>
          </w:tcPr>
          <w:p w14:paraId="641503E5" w14:textId="3358047F" w:rsidR="008A30C6" w:rsidRPr="00D349CF" w:rsidRDefault="008A30C6" w:rsidP="008A30C6">
            <w:pPr>
              <w:widowControl w:val="0"/>
              <w:adjustRightInd w:val="0"/>
              <w:ind w:left="0" w:right="20"/>
              <w:jc w:val="center"/>
              <w:rPr>
                <w:rFonts w:ascii="Bookman Old Style" w:hAnsi="Bookman Old Style" w:cs="Arial"/>
                <w:b/>
                <w:sz w:val="22"/>
                <w:szCs w:val="22"/>
                <w:highlight w:val="yellow"/>
              </w:rPr>
            </w:pPr>
            <w:r w:rsidRPr="00901111">
              <w:rPr>
                <w:rFonts w:ascii="Bookman Old Style" w:hAnsi="Bookman Old Style"/>
                <w:b/>
                <w:bCs/>
                <w:color w:val="000000"/>
                <w:sz w:val="22"/>
                <w:szCs w:val="22"/>
                <w:lang w:val="es-ES_tradnl" w:eastAsia="es-CO"/>
              </w:rPr>
              <w:t>7,272.70</w:t>
            </w:r>
          </w:p>
        </w:tc>
      </w:tr>
      <w:tr w:rsidR="008A30C6" w:rsidRPr="00202111" w14:paraId="7A9ABBCC" w14:textId="77777777" w:rsidTr="00305A65">
        <w:trPr>
          <w:trHeight w:val="367"/>
          <w:jc w:val="center"/>
        </w:trPr>
        <w:tc>
          <w:tcPr>
            <w:tcW w:w="3544" w:type="dxa"/>
            <w:shd w:val="clear" w:color="auto" w:fill="auto"/>
            <w:vAlign w:val="center"/>
          </w:tcPr>
          <w:p w14:paraId="50575DEE" w14:textId="78D1A2C4" w:rsidR="008A30C6" w:rsidRPr="00202111" w:rsidRDefault="008A30C6" w:rsidP="008A30C6">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xml:space="preserve">, descontando el efecto del </w:t>
            </w:r>
            <w:r>
              <w:rPr>
                <w:rFonts w:ascii="Bookman Old Style" w:hAnsi="Bookman Old Style"/>
                <w:color w:val="000000"/>
                <w:sz w:val="22"/>
                <w:szCs w:val="22"/>
                <w:lang w:val="es-CO" w:eastAsia="es-CO"/>
              </w:rPr>
              <w:lastRenderedPageBreak/>
              <w:t>aporte de recursos públicos del MUNICIPIO DE ACEVEDO</w:t>
            </w:r>
          </w:p>
        </w:tc>
        <w:tc>
          <w:tcPr>
            <w:tcW w:w="851" w:type="dxa"/>
            <w:shd w:val="clear" w:color="auto" w:fill="auto"/>
            <w:vAlign w:val="center"/>
          </w:tcPr>
          <w:p w14:paraId="42BB5E9C" w14:textId="3F5D841A" w:rsidR="008A30C6" w:rsidRPr="00202111" w:rsidRDefault="008A30C6" w:rsidP="008A30C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lastRenderedPageBreak/>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292956C6" w14:textId="01A1B4DD" w:rsidR="008A30C6" w:rsidRPr="00D349CF" w:rsidRDefault="008A30C6" w:rsidP="008A30C6">
            <w:pPr>
              <w:widowControl w:val="0"/>
              <w:adjustRightInd w:val="0"/>
              <w:ind w:left="0" w:right="20"/>
              <w:jc w:val="center"/>
              <w:rPr>
                <w:rFonts w:ascii="Bookman Old Style" w:hAnsi="Bookman Old Style" w:cs="Arial"/>
                <w:sz w:val="22"/>
                <w:szCs w:val="22"/>
                <w:highlight w:val="yellow"/>
              </w:rPr>
            </w:pPr>
            <w:r w:rsidRPr="00901111">
              <w:rPr>
                <w:rFonts w:ascii="Bookman Old Style" w:hAnsi="Bookman Old Style" w:cs="Arial"/>
                <w:sz w:val="22"/>
                <w:szCs w:val="22"/>
              </w:rPr>
              <w:t>5,759.13</w:t>
            </w:r>
          </w:p>
        </w:tc>
        <w:tc>
          <w:tcPr>
            <w:tcW w:w="1569" w:type="dxa"/>
            <w:vAlign w:val="center"/>
          </w:tcPr>
          <w:p w14:paraId="31F2A413" w14:textId="33A4267A" w:rsidR="008A30C6" w:rsidRPr="00D349CF" w:rsidRDefault="008A30C6" w:rsidP="008A30C6">
            <w:pPr>
              <w:widowControl w:val="0"/>
              <w:adjustRightInd w:val="0"/>
              <w:ind w:left="0" w:right="20"/>
              <w:jc w:val="center"/>
              <w:rPr>
                <w:rFonts w:ascii="Bookman Old Style" w:hAnsi="Bookman Old Style" w:cs="Arial"/>
                <w:sz w:val="22"/>
                <w:szCs w:val="22"/>
                <w:highlight w:val="yellow"/>
              </w:rPr>
            </w:pPr>
            <w:r w:rsidRPr="00901111">
              <w:rPr>
                <w:rFonts w:ascii="Bookman Old Style" w:hAnsi="Bookman Old Style" w:cs="Arial"/>
                <w:sz w:val="22"/>
                <w:szCs w:val="22"/>
              </w:rPr>
              <w:t>5,705.66</w:t>
            </w:r>
          </w:p>
        </w:tc>
        <w:tc>
          <w:tcPr>
            <w:tcW w:w="1569" w:type="dxa"/>
            <w:vAlign w:val="center"/>
          </w:tcPr>
          <w:p w14:paraId="448D44F1" w14:textId="3B64E5E5" w:rsidR="008A30C6" w:rsidRPr="00D349CF" w:rsidRDefault="008A30C6" w:rsidP="008A30C6">
            <w:pPr>
              <w:widowControl w:val="0"/>
              <w:adjustRightInd w:val="0"/>
              <w:ind w:left="0" w:right="20"/>
              <w:jc w:val="center"/>
              <w:rPr>
                <w:rFonts w:ascii="Bookman Old Style" w:hAnsi="Bookman Old Style" w:cs="Arial"/>
                <w:sz w:val="22"/>
                <w:szCs w:val="22"/>
                <w:highlight w:val="yellow"/>
              </w:rPr>
            </w:pPr>
            <w:r w:rsidRPr="00901111">
              <w:rPr>
                <w:rFonts w:ascii="Bookman Old Style" w:hAnsi="Bookman Old Style" w:cs="Arial"/>
                <w:sz w:val="22"/>
                <w:szCs w:val="22"/>
              </w:rPr>
              <w:t>5,652.29</w:t>
            </w:r>
          </w:p>
        </w:tc>
      </w:tr>
      <w:tr w:rsidR="008A30C6" w:rsidRPr="00202111" w14:paraId="5C843E34" w14:textId="77777777" w:rsidTr="00305A65">
        <w:trPr>
          <w:trHeight w:val="367"/>
          <w:jc w:val="center"/>
        </w:trPr>
        <w:tc>
          <w:tcPr>
            <w:tcW w:w="3544" w:type="dxa"/>
            <w:shd w:val="clear" w:color="auto" w:fill="auto"/>
            <w:vAlign w:val="center"/>
          </w:tcPr>
          <w:p w14:paraId="1D2370AE" w14:textId="7704F33A" w:rsidR="008A30C6" w:rsidRPr="00202111" w:rsidRDefault="008A30C6" w:rsidP="008A30C6">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73A68884" w14:textId="114EE9C4" w:rsidR="008A30C6" w:rsidRPr="00202111" w:rsidRDefault="008A30C6" w:rsidP="008A30C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56D030D4" w14:textId="1B6AC3E5" w:rsidR="008A30C6" w:rsidRPr="00D349CF" w:rsidRDefault="008A30C6" w:rsidP="008A30C6">
            <w:pPr>
              <w:widowControl w:val="0"/>
              <w:adjustRightInd w:val="0"/>
              <w:ind w:left="0" w:right="20"/>
              <w:jc w:val="center"/>
              <w:rPr>
                <w:rFonts w:ascii="Bookman Old Style" w:hAnsi="Bookman Old Style" w:cs="Arial"/>
                <w:sz w:val="22"/>
                <w:szCs w:val="22"/>
                <w:highlight w:val="yellow"/>
              </w:rPr>
            </w:pPr>
            <w:r w:rsidRPr="00901111">
              <w:rPr>
                <w:rFonts w:ascii="Bookman Old Style" w:hAnsi="Bookman Old Style" w:cs="Arial"/>
                <w:sz w:val="22"/>
                <w:szCs w:val="22"/>
              </w:rPr>
              <w:t>1,621.06</w:t>
            </w:r>
          </w:p>
        </w:tc>
        <w:tc>
          <w:tcPr>
            <w:tcW w:w="1569" w:type="dxa"/>
            <w:vAlign w:val="center"/>
          </w:tcPr>
          <w:p w14:paraId="0BEE1F0B" w14:textId="69E9EACD" w:rsidR="008A30C6" w:rsidRPr="00D349CF" w:rsidRDefault="008A30C6" w:rsidP="008A30C6">
            <w:pPr>
              <w:widowControl w:val="0"/>
              <w:adjustRightInd w:val="0"/>
              <w:ind w:left="0" w:right="20"/>
              <w:jc w:val="center"/>
              <w:rPr>
                <w:rFonts w:ascii="Bookman Old Style" w:hAnsi="Bookman Old Style" w:cs="Arial"/>
                <w:sz w:val="22"/>
                <w:szCs w:val="22"/>
                <w:highlight w:val="yellow"/>
              </w:rPr>
            </w:pPr>
            <w:r w:rsidRPr="00901111">
              <w:rPr>
                <w:rFonts w:ascii="Bookman Old Style" w:hAnsi="Bookman Old Style" w:cs="Arial"/>
                <w:sz w:val="22"/>
                <w:szCs w:val="22"/>
              </w:rPr>
              <w:t>1,620.74</w:t>
            </w:r>
          </w:p>
        </w:tc>
        <w:tc>
          <w:tcPr>
            <w:tcW w:w="1569" w:type="dxa"/>
            <w:vAlign w:val="center"/>
          </w:tcPr>
          <w:p w14:paraId="49299D4C" w14:textId="4DE1A6AB" w:rsidR="008A30C6" w:rsidRPr="00D349CF" w:rsidRDefault="008A30C6" w:rsidP="008A30C6">
            <w:pPr>
              <w:widowControl w:val="0"/>
              <w:adjustRightInd w:val="0"/>
              <w:ind w:left="0" w:right="20"/>
              <w:jc w:val="center"/>
              <w:rPr>
                <w:rFonts w:ascii="Bookman Old Style" w:hAnsi="Bookman Old Style" w:cs="Arial"/>
                <w:sz w:val="22"/>
                <w:szCs w:val="22"/>
                <w:highlight w:val="yellow"/>
              </w:rPr>
            </w:pPr>
            <w:r w:rsidRPr="00901111">
              <w:rPr>
                <w:rFonts w:ascii="Bookman Old Style" w:hAnsi="Bookman Old Style" w:cs="Arial"/>
                <w:sz w:val="22"/>
                <w:szCs w:val="22"/>
              </w:rPr>
              <w:t>1,620.41</w:t>
            </w:r>
          </w:p>
        </w:tc>
      </w:tr>
    </w:tbl>
    <w:p w14:paraId="74482688" w14:textId="77777777" w:rsidR="00847C7F" w:rsidRDefault="00847C7F" w:rsidP="00847C7F">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0D3F7780" w14:textId="3A6EE54F" w:rsidR="007E2B94" w:rsidRDefault="002F47F1" w:rsidP="002F47F1">
      <w:pPr>
        <w:widowControl w:val="0"/>
        <w:adjustRightInd w:val="0"/>
        <w:spacing w:before="240" w:after="240"/>
        <w:ind w:left="0" w:right="20"/>
        <w:jc w:val="both"/>
        <w:rPr>
          <w:rFonts w:ascii="Bookman Old Style" w:hAnsi="Bookman Old Style" w:cs="Arial"/>
        </w:rPr>
      </w:pPr>
      <w:r>
        <w:rPr>
          <w:rFonts w:ascii="Bookman Old Style" w:hAnsi="Bookman Old Style" w:cs="Arial"/>
          <w:b/>
        </w:rPr>
        <w:t xml:space="preserve">6.3. </w:t>
      </w:r>
      <w:r>
        <w:rPr>
          <w:rFonts w:ascii="Bookman Old Style" w:hAnsi="Bookman Old Style" w:cs="Arial"/>
        </w:rPr>
        <w:t>L</w:t>
      </w:r>
      <w:r w:rsidRPr="00B94732">
        <w:rPr>
          <w:rFonts w:ascii="Bookman Old Style" w:hAnsi="Bookman Old Style" w:cs="Arial"/>
        </w:rPr>
        <w:t xml:space="preserve">os cargos </w:t>
      </w:r>
      <w:r>
        <w:rPr>
          <w:rFonts w:ascii="Bookman Old Style" w:hAnsi="Bookman Old Style" w:cs="Arial"/>
        </w:rPr>
        <w:t xml:space="preserve">de distribución </w:t>
      </w:r>
      <w:r w:rsidRPr="00B94732">
        <w:rPr>
          <w:rFonts w:ascii="Bookman Old Style" w:hAnsi="Bookman Old Style" w:cs="Arial"/>
        </w:rPr>
        <w:t xml:space="preserve">aplicables </w:t>
      </w:r>
      <w:r>
        <w:rPr>
          <w:rFonts w:ascii="Bookman Old Style" w:hAnsi="Bookman Old Style" w:cs="Arial"/>
        </w:rPr>
        <w:t xml:space="preserve">a los Usuarios </w:t>
      </w:r>
      <w:r w:rsidR="003B57A5">
        <w:rPr>
          <w:rFonts w:ascii="Bookman Old Style" w:hAnsi="Bookman Old Style" w:cs="Arial"/>
        </w:rPr>
        <w:t xml:space="preserve">Diferentes a los </w:t>
      </w:r>
      <w:r>
        <w:rPr>
          <w:rFonts w:ascii="Bookman Old Style" w:hAnsi="Bookman Old Style" w:cs="Arial"/>
        </w:rPr>
        <w:t xml:space="preserve">de Uso Residencial en el Submercado </w:t>
      </w:r>
      <w:r w:rsidR="00B12ED6">
        <w:rPr>
          <w:rFonts w:ascii="Bookman Old Style" w:hAnsi="Bookman Old Style" w:cs="Arial"/>
        </w:rPr>
        <w:t>3</w:t>
      </w:r>
      <w:r>
        <w:rPr>
          <w:rFonts w:ascii="Bookman Old Style" w:hAnsi="Bookman Old Style" w:cs="Arial"/>
        </w:rPr>
        <w:t xml:space="preserve"> de que trata el Parágrafo del Artículo 1 de esta Resolución, conformado por la vereda </w:t>
      </w:r>
      <w:r w:rsidR="00EA12A6">
        <w:rPr>
          <w:rFonts w:ascii="Bookman Old Style" w:hAnsi="Bookman Old Style" w:cs="Arial"/>
        </w:rPr>
        <w:t xml:space="preserve">El Encanto - </w:t>
      </w:r>
      <w:r w:rsidR="00B12ED6">
        <w:rPr>
          <w:rFonts w:ascii="Bookman Old Style" w:hAnsi="Bookman Old Style" w:cs="Arial"/>
        </w:rPr>
        <w:t>Las Juntas</w:t>
      </w:r>
      <w:r>
        <w:rPr>
          <w:rFonts w:ascii="Bookman Old Style" w:hAnsi="Bookman Old Style" w:cs="Arial"/>
        </w:rPr>
        <w:t xml:space="preserve"> en el M</w:t>
      </w:r>
      <w:r w:rsidRPr="00B94732">
        <w:rPr>
          <w:rFonts w:ascii="Bookman Old Style" w:hAnsi="Bookman Old Style" w:cs="Arial"/>
        </w:rPr>
        <w:t xml:space="preserve">unicipio de </w:t>
      </w:r>
      <w:r>
        <w:rPr>
          <w:rFonts w:ascii="Bookman Old Style" w:hAnsi="Bookman Old Style" w:cs="Arial"/>
        </w:rPr>
        <w:t>Sa</w:t>
      </w:r>
      <w:r w:rsidR="00B12ED6">
        <w:rPr>
          <w:rFonts w:ascii="Bookman Old Style" w:hAnsi="Bookman Old Style" w:cs="Arial"/>
        </w:rPr>
        <w:t>nta María</w:t>
      </w:r>
      <w:r w:rsidRPr="00B94732">
        <w:rPr>
          <w:rFonts w:ascii="Bookman Old Style" w:hAnsi="Bookman Old Style" w:cs="Arial"/>
        </w:rPr>
        <w:t xml:space="preserve">, </w:t>
      </w:r>
      <w:r>
        <w:rPr>
          <w:rFonts w:ascii="Bookman Old Style" w:hAnsi="Bookman Old Style" w:cs="Arial"/>
        </w:rPr>
        <w:t>Departamento</w:t>
      </w:r>
      <w:r w:rsidRPr="00B94732">
        <w:rPr>
          <w:rFonts w:ascii="Bookman Old Style" w:hAnsi="Bookman Old Style" w:cs="Arial"/>
        </w:rPr>
        <w:t xml:space="preserve"> de </w:t>
      </w:r>
      <w:r>
        <w:rPr>
          <w:rFonts w:ascii="Bookman Old Style" w:hAnsi="Bookman Old Style" w:cs="Arial"/>
        </w:rPr>
        <w:t>Huila</w:t>
      </w:r>
      <w:r w:rsidRPr="00B94732">
        <w:rPr>
          <w:rFonts w:ascii="Bookman Old Style" w:hAnsi="Bookman Old Style" w:cs="Arial"/>
        </w:rPr>
        <w:t>, s</w:t>
      </w:r>
      <w:r>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851"/>
        <w:gridCol w:w="1568"/>
        <w:gridCol w:w="1569"/>
        <w:gridCol w:w="1569"/>
      </w:tblGrid>
      <w:tr w:rsidR="002F47F1" w:rsidRPr="00202111" w14:paraId="74BDB5FA" w14:textId="77777777" w:rsidTr="00305A65">
        <w:trPr>
          <w:trHeight w:val="77"/>
          <w:tblHeader/>
          <w:jc w:val="center"/>
        </w:trPr>
        <w:tc>
          <w:tcPr>
            <w:tcW w:w="9101" w:type="dxa"/>
            <w:gridSpan w:val="5"/>
            <w:shd w:val="clear" w:color="auto" w:fill="D9D9D9" w:themeFill="background1" w:themeFillShade="D9"/>
            <w:vAlign w:val="center"/>
          </w:tcPr>
          <w:p w14:paraId="499859E6" w14:textId="77777777" w:rsidR="002F47F1" w:rsidRPr="00202111" w:rsidRDefault="002F47F1" w:rsidP="00305A65">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2F47F1" w:rsidRPr="00202111" w14:paraId="262126FA" w14:textId="77777777" w:rsidTr="00305A65">
        <w:trPr>
          <w:trHeight w:val="406"/>
          <w:tblHeader/>
          <w:jc w:val="center"/>
        </w:trPr>
        <w:tc>
          <w:tcPr>
            <w:tcW w:w="3544" w:type="dxa"/>
            <w:shd w:val="clear" w:color="auto" w:fill="D9D9D9" w:themeFill="background1" w:themeFillShade="D9"/>
            <w:vAlign w:val="center"/>
          </w:tcPr>
          <w:p w14:paraId="2CFB2777" w14:textId="77777777" w:rsidR="002F47F1" w:rsidRPr="00202111" w:rsidRDefault="002F47F1" w:rsidP="00305A6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3A25CC95" w14:textId="77777777" w:rsidR="002F47F1" w:rsidRPr="00202111" w:rsidRDefault="002F47F1" w:rsidP="00305A65">
            <w:pPr>
              <w:widowControl w:val="0"/>
              <w:adjustRightInd w:val="0"/>
              <w:ind w:left="0" w:right="20"/>
              <w:jc w:val="center"/>
              <w:rPr>
                <w:rFonts w:ascii="Bookman Old Style" w:hAnsi="Bookman Old Style" w:cs="Arial"/>
                <w:sz w:val="22"/>
                <w:szCs w:val="22"/>
              </w:rPr>
            </w:pPr>
          </w:p>
        </w:tc>
        <w:tc>
          <w:tcPr>
            <w:tcW w:w="1568" w:type="dxa"/>
            <w:shd w:val="clear" w:color="auto" w:fill="D9D9D9" w:themeFill="background1" w:themeFillShade="D9"/>
            <w:vAlign w:val="center"/>
          </w:tcPr>
          <w:p w14:paraId="57264D7D" w14:textId="77777777" w:rsidR="002F47F1" w:rsidRPr="00202111" w:rsidRDefault="002F47F1" w:rsidP="00305A65">
            <w:pPr>
              <w:widowControl w:val="0"/>
              <w:adjustRightInd w:val="0"/>
              <w:ind w:left="0" w:right="20"/>
              <w:jc w:val="center"/>
              <w:rPr>
                <w:rFonts w:ascii="Bookman Old Style" w:hAnsi="Bookman Old Style" w:cs="Arial"/>
                <w:sz w:val="22"/>
                <w:szCs w:val="22"/>
              </w:rPr>
            </w:pPr>
            <w:r w:rsidRPr="00DE69B3">
              <w:rPr>
                <w:rFonts w:ascii="Bookman Old Style" w:hAnsi="Bookman Old Style" w:cs="Arial"/>
                <w:b/>
                <w:sz w:val="22"/>
                <w:szCs w:val="22"/>
              </w:rPr>
              <w:t>2020</w:t>
            </w:r>
          </w:p>
        </w:tc>
        <w:tc>
          <w:tcPr>
            <w:tcW w:w="1569" w:type="dxa"/>
            <w:shd w:val="clear" w:color="auto" w:fill="D9D9D9" w:themeFill="background1" w:themeFillShade="D9"/>
            <w:vAlign w:val="center"/>
          </w:tcPr>
          <w:p w14:paraId="73779AAF" w14:textId="77777777" w:rsidR="002F47F1" w:rsidRDefault="002F47F1"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69" w:type="dxa"/>
            <w:shd w:val="clear" w:color="auto" w:fill="D9D9D9" w:themeFill="background1" w:themeFillShade="D9"/>
            <w:vAlign w:val="center"/>
          </w:tcPr>
          <w:p w14:paraId="4E762974" w14:textId="77777777" w:rsidR="002F47F1" w:rsidRDefault="002F47F1" w:rsidP="00305A65">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B12ED6" w:rsidRPr="00202111" w14:paraId="6CC11CFB" w14:textId="77777777" w:rsidTr="00305A65">
        <w:trPr>
          <w:trHeight w:val="367"/>
          <w:jc w:val="center"/>
        </w:trPr>
        <w:tc>
          <w:tcPr>
            <w:tcW w:w="3544" w:type="dxa"/>
            <w:shd w:val="clear" w:color="auto" w:fill="auto"/>
            <w:vAlign w:val="center"/>
          </w:tcPr>
          <w:p w14:paraId="60E10482" w14:textId="0B6A14AA" w:rsidR="00B12ED6" w:rsidRPr="00202111" w:rsidRDefault="00B12ED6" w:rsidP="00B12ED6">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3376D834" w14:textId="543FED06" w:rsidR="00B12ED6" w:rsidRPr="00202111" w:rsidRDefault="00B12ED6" w:rsidP="00B12ED6">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68" w:type="dxa"/>
            <w:shd w:val="clear" w:color="auto" w:fill="auto"/>
            <w:vAlign w:val="center"/>
          </w:tcPr>
          <w:p w14:paraId="715108B9" w14:textId="3374CF21" w:rsidR="00B12ED6" w:rsidRPr="00D349CF" w:rsidRDefault="00B12ED6" w:rsidP="00B12ED6">
            <w:pPr>
              <w:widowControl w:val="0"/>
              <w:adjustRightInd w:val="0"/>
              <w:ind w:left="0" w:right="20"/>
              <w:jc w:val="center"/>
              <w:rPr>
                <w:rFonts w:ascii="Bookman Old Style" w:hAnsi="Bookman Old Style" w:cs="Arial"/>
                <w:b/>
                <w:sz w:val="22"/>
                <w:szCs w:val="22"/>
                <w:highlight w:val="yellow"/>
              </w:rPr>
            </w:pPr>
            <w:r w:rsidRPr="001E3F03">
              <w:rPr>
                <w:rFonts w:ascii="Bookman Old Style" w:hAnsi="Bookman Old Style"/>
                <w:b/>
                <w:bCs/>
                <w:color w:val="000000"/>
                <w:sz w:val="22"/>
                <w:szCs w:val="22"/>
                <w:lang w:val="es-ES_tradnl" w:eastAsia="es-CO"/>
              </w:rPr>
              <w:t>4,798.09</w:t>
            </w:r>
          </w:p>
        </w:tc>
        <w:tc>
          <w:tcPr>
            <w:tcW w:w="1569" w:type="dxa"/>
            <w:vAlign w:val="center"/>
          </w:tcPr>
          <w:p w14:paraId="4CC88623" w14:textId="233AF790" w:rsidR="00B12ED6" w:rsidRPr="00D349CF" w:rsidRDefault="00B12ED6" w:rsidP="00B12ED6">
            <w:pPr>
              <w:widowControl w:val="0"/>
              <w:adjustRightInd w:val="0"/>
              <w:ind w:left="0" w:right="20"/>
              <w:jc w:val="center"/>
              <w:rPr>
                <w:rFonts w:ascii="Bookman Old Style" w:hAnsi="Bookman Old Style" w:cs="Arial"/>
                <w:b/>
                <w:sz w:val="22"/>
                <w:szCs w:val="22"/>
                <w:highlight w:val="yellow"/>
              </w:rPr>
            </w:pPr>
            <w:r w:rsidRPr="001E3F03">
              <w:rPr>
                <w:rFonts w:ascii="Bookman Old Style" w:hAnsi="Bookman Old Style"/>
                <w:b/>
                <w:bCs/>
                <w:color w:val="000000"/>
                <w:sz w:val="22"/>
                <w:szCs w:val="22"/>
                <w:lang w:val="es-ES_tradnl" w:eastAsia="es-CO"/>
              </w:rPr>
              <w:t>4,768.07</w:t>
            </w:r>
          </w:p>
        </w:tc>
        <w:tc>
          <w:tcPr>
            <w:tcW w:w="1569" w:type="dxa"/>
            <w:vAlign w:val="center"/>
          </w:tcPr>
          <w:p w14:paraId="43CEB9F7" w14:textId="2838093C" w:rsidR="00B12ED6" w:rsidRPr="00D349CF" w:rsidRDefault="00B12ED6" w:rsidP="00B12ED6">
            <w:pPr>
              <w:widowControl w:val="0"/>
              <w:adjustRightInd w:val="0"/>
              <w:ind w:left="0" w:right="20"/>
              <w:jc w:val="center"/>
              <w:rPr>
                <w:rFonts w:ascii="Bookman Old Style" w:hAnsi="Bookman Old Style" w:cs="Arial"/>
                <w:b/>
                <w:sz w:val="22"/>
                <w:szCs w:val="22"/>
                <w:highlight w:val="yellow"/>
              </w:rPr>
            </w:pPr>
            <w:r w:rsidRPr="001E3F03">
              <w:rPr>
                <w:rFonts w:ascii="Bookman Old Style" w:hAnsi="Bookman Old Style"/>
                <w:b/>
                <w:bCs/>
                <w:color w:val="000000"/>
                <w:sz w:val="22"/>
                <w:szCs w:val="22"/>
                <w:lang w:val="es-ES_tradnl" w:eastAsia="es-CO"/>
              </w:rPr>
              <w:t>4,738.12</w:t>
            </w:r>
          </w:p>
        </w:tc>
      </w:tr>
      <w:tr w:rsidR="00B12ED6" w:rsidRPr="00202111" w14:paraId="0283A57F" w14:textId="77777777" w:rsidTr="00305A65">
        <w:trPr>
          <w:trHeight w:val="367"/>
          <w:jc w:val="center"/>
        </w:trPr>
        <w:tc>
          <w:tcPr>
            <w:tcW w:w="3544" w:type="dxa"/>
            <w:shd w:val="clear" w:color="auto" w:fill="auto"/>
            <w:vAlign w:val="center"/>
          </w:tcPr>
          <w:p w14:paraId="4781CABC" w14:textId="563B7212" w:rsidR="00B12ED6" w:rsidRPr="00202111" w:rsidRDefault="00B12ED6" w:rsidP="00B12ED6">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SANTA MARÍA</w:t>
            </w:r>
          </w:p>
        </w:tc>
        <w:tc>
          <w:tcPr>
            <w:tcW w:w="851" w:type="dxa"/>
            <w:shd w:val="clear" w:color="auto" w:fill="auto"/>
            <w:vAlign w:val="center"/>
          </w:tcPr>
          <w:p w14:paraId="594B6A62" w14:textId="67763558" w:rsidR="00B12ED6" w:rsidRPr="00202111" w:rsidRDefault="00B12ED6" w:rsidP="00B12ED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3D3D1482" w14:textId="3CE95BF8" w:rsidR="00B12ED6" w:rsidRPr="00D349CF" w:rsidRDefault="00B12ED6" w:rsidP="00B12ED6">
            <w:pPr>
              <w:widowControl w:val="0"/>
              <w:adjustRightInd w:val="0"/>
              <w:ind w:left="0" w:right="20"/>
              <w:jc w:val="center"/>
              <w:rPr>
                <w:rFonts w:ascii="Bookman Old Style" w:hAnsi="Bookman Old Style" w:cs="Arial"/>
                <w:sz w:val="22"/>
                <w:szCs w:val="22"/>
                <w:highlight w:val="yellow"/>
              </w:rPr>
            </w:pPr>
            <w:r w:rsidRPr="001E3F03">
              <w:rPr>
                <w:rFonts w:ascii="Bookman Old Style" w:hAnsi="Bookman Old Style" w:cs="Arial"/>
                <w:sz w:val="22"/>
                <w:szCs w:val="22"/>
              </w:rPr>
              <w:t>3,177.02</w:t>
            </w:r>
          </w:p>
        </w:tc>
        <w:tc>
          <w:tcPr>
            <w:tcW w:w="1569" w:type="dxa"/>
            <w:vAlign w:val="center"/>
          </w:tcPr>
          <w:p w14:paraId="6B489012" w14:textId="5F79FB41" w:rsidR="00B12ED6" w:rsidRPr="00D349CF" w:rsidRDefault="00B12ED6" w:rsidP="00B12ED6">
            <w:pPr>
              <w:widowControl w:val="0"/>
              <w:adjustRightInd w:val="0"/>
              <w:ind w:left="0" w:right="20"/>
              <w:jc w:val="center"/>
              <w:rPr>
                <w:rFonts w:ascii="Bookman Old Style" w:hAnsi="Bookman Old Style" w:cs="Arial"/>
                <w:sz w:val="22"/>
                <w:szCs w:val="22"/>
                <w:highlight w:val="yellow"/>
              </w:rPr>
            </w:pPr>
            <w:r w:rsidRPr="001E3F03">
              <w:rPr>
                <w:rFonts w:ascii="Bookman Old Style" w:hAnsi="Bookman Old Style" w:cs="Arial"/>
                <w:sz w:val="22"/>
                <w:szCs w:val="22"/>
              </w:rPr>
              <w:t>3,147.34</w:t>
            </w:r>
          </w:p>
        </w:tc>
        <w:tc>
          <w:tcPr>
            <w:tcW w:w="1569" w:type="dxa"/>
            <w:vAlign w:val="center"/>
          </w:tcPr>
          <w:p w14:paraId="59CC025E" w14:textId="65A8D55C" w:rsidR="00B12ED6" w:rsidRPr="00D349CF" w:rsidRDefault="00B12ED6" w:rsidP="00B12ED6">
            <w:pPr>
              <w:widowControl w:val="0"/>
              <w:adjustRightInd w:val="0"/>
              <w:ind w:left="0" w:right="20"/>
              <w:jc w:val="center"/>
              <w:rPr>
                <w:rFonts w:ascii="Bookman Old Style" w:hAnsi="Bookman Old Style" w:cs="Arial"/>
                <w:sz w:val="22"/>
                <w:szCs w:val="22"/>
                <w:highlight w:val="yellow"/>
              </w:rPr>
            </w:pPr>
            <w:r w:rsidRPr="001E3F03">
              <w:rPr>
                <w:rFonts w:ascii="Bookman Old Style" w:hAnsi="Bookman Old Style" w:cs="Arial"/>
                <w:sz w:val="22"/>
                <w:szCs w:val="22"/>
              </w:rPr>
              <w:t>3,117.71</w:t>
            </w:r>
          </w:p>
        </w:tc>
      </w:tr>
      <w:tr w:rsidR="00B12ED6" w:rsidRPr="00202111" w14:paraId="5B2DA0B2" w14:textId="77777777" w:rsidTr="00305A65">
        <w:trPr>
          <w:trHeight w:val="367"/>
          <w:jc w:val="center"/>
        </w:trPr>
        <w:tc>
          <w:tcPr>
            <w:tcW w:w="3544" w:type="dxa"/>
            <w:shd w:val="clear" w:color="auto" w:fill="auto"/>
            <w:vAlign w:val="center"/>
          </w:tcPr>
          <w:p w14:paraId="0F70A858" w14:textId="4F245231" w:rsidR="00B12ED6" w:rsidRPr="00202111" w:rsidRDefault="00B12ED6" w:rsidP="00B12ED6">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6FF6FC14" w14:textId="167E69D5" w:rsidR="00B12ED6" w:rsidRPr="00202111" w:rsidRDefault="00B12ED6" w:rsidP="00B12ED6">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71318060" w14:textId="0AAEE0C8" w:rsidR="00B12ED6" w:rsidRPr="00D349CF" w:rsidRDefault="00B12ED6" w:rsidP="00B12ED6">
            <w:pPr>
              <w:widowControl w:val="0"/>
              <w:adjustRightInd w:val="0"/>
              <w:ind w:left="0" w:right="20"/>
              <w:jc w:val="center"/>
              <w:rPr>
                <w:rFonts w:ascii="Bookman Old Style" w:hAnsi="Bookman Old Style" w:cs="Arial"/>
                <w:sz w:val="22"/>
                <w:szCs w:val="22"/>
                <w:highlight w:val="yellow"/>
              </w:rPr>
            </w:pPr>
            <w:r w:rsidRPr="001E3F03">
              <w:rPr>
                <w:rFonts w:ascii="Bookman Old Style" w:hAnsi="Bookman Old Style" w:cs="Arial"/>
                <w:sz w:val="22"/>
                <w:szCs w:val="22"/>
              </w:rPr>
              <w:t>1,621.06</w:t>
            </w:r>
          </w:p>
        </w:tc>
        <w:tc>
          <w:tcPr>
            <w:tcW w:w="1569" w:type="dxa"/>
            <w:vAlign w:val="center"/>
          </w:tcPr>
          <w:p w14:paraId="1316DF7C" w14:textId="71F2084F" w:rsidR="00B12ED6" w:rsidRPr="00D349CF" w:rsidRDefault="00B12ED6" w:rsidP="00B12ED6">
            <w:pPr>
              <w:widowControl w:val="0"/>
              <w:adjustRightInd w:val="0"/>
              <w:ind w:left="0" w:right="20"/>
              <w:jc w:val="center"/>
              <w:rPr>
                <w:rFonts w:ascii="Bookman Old Style" w:hAnsi="Bookman Old Style" w:cs="Arial"/>
                <w:sz w:val="22"/>
                <w:szCs w:val="22"/>
                <w:highlight w:val="yellow"/>
              </w:rPr>
            </w:pPr>
            <w:r w:rsidRPr="001E3F03">
              <w:rPr>
                <w:rFonts w:ascii="Bookman Old Style" w:hAnsi="Bookman Old Style" w:cs="Arial"/>
                <w:sz w:val="22"/>
                <w:szCs w:val="22"/>
              </w:rPr>
              <w:t>1,620.74</w:t>
            </w:r>
          </w:p>
        </w:tc>
        <w:tc>
          <w:tcPr>
            <w:tcW w:w="1569" w:type="dxa"/>
            <w:vAlign w:val="center"/>
          </w:tcPr>
          <w:p w14:paraId="6F884E38" w14:textId="6D35AC9E" w:rsidR="00B12ED6" w:rsidRPr="00D349CF" w:rsidRDefault="00B12ED6" w:rsidP="00B12ED6">
            <w:pPr>
              <w:widowControl w:val="0"/>
              <w:adjustRightInd w:val="0"/>
              <w:ind w:left="0" w:right="20"/>
              <w:jc w:val="center"/>
              <w:rPr>
                <w:rFonts w:ascii="Bookman Old Style" w:hAnsi="Bookman Old Style" w:cs="Arial"/>
                <w:sz w:val="22"/>
                <w:szCs w:val="22"/>
                <w:highlight w:val="yellow"/>
              </w:rPr>
            </w:pPr>
            <w:r w:rsidRPr="001E3F03">
              <w:rPr>
                <w:rFonts w:ascii="Bookman Old Style" w:hAnsi="Bookman Old Style" w:cs="Arial"/>
                <w:sz w:val="22"/>
                <w:szCs w:val="22"/>
              </w:rPr>
              <w:t>1,620.41</w:t>
            </w:r>
          </w:p>
        </w:tc>
      </w:tr>
    </w:tbl>
    <w:p w14:paraId="17B8B220" w14:textId="007AAB4D" w:rsidR="002F47F1" w:rsidRDefault="002F47F1" w:rsidP="00B12ED6">
      <w:pPr>
        <w:widowControl w:val="0"/>
        <w:adjustRightInd w:val="0"/>
        <w:ind w:left="0" w:right="23"/>
        <w:jc w:val="center"/>
        <w:rPr>
          <w:rFonts w:ascii="Bookman Old Style" w:hAnsi="Bookman Old Style" w:cs="Arial"/>
          <w:b/>
          <w:bCs/>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42FF7743" w14:textId="3DA05112"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de 2018, </w:t>
      </w:r>
      <w:r>
        <w:rPr>
          <w:rFonts w:ascii="Bookman Old Style" w:hAnsi="Bookman Old Style" w:cs="Arial"/>
        </w:rPr>
        <w:t>132 de 2018</w:t>
      </w:r>
      <w:r w:rsidRPr="006C7C28">
        <w:rPr>
          <w:rFonts w:ascii="Bookman Old Style" w:hAnsi="Bookman Old Style" w:cs="Arial"/>
        </w:rPr>
        <w:t xml:space="preserve">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0375352E"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6"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de 2018, </w:t>
      </w:r>
      <w:r w:rsidR="005F4633">
        <w:rPr>
          <w:rFonts w:ascii="Bookman Old Style" w:hAnsi="Bookman Old Style" w:cs="Arial"/>
        </w:rPr>
        <w:t>132 de 2018</w:t>
      </w:r>
      <w:r w:rsidR="007322DC" w:rsidRPr="006C7C28">
        <w:rPr>
          <w:rFonts w:ascii="Bookman Old Style" w:hAnsi="Bookman Old Style" w:cs="Arial"/>
        </w:rPr>
        <w:t xml:space="preserve"> y 011 de 2020</w:t>
      </w:r>
      <w:bookmarkEnd w:id="6"/>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B6A8535" w:rsidR="00035D47" w:rsidRDefault="00035D47" w:rsidP="009353D2">
      <w:pPr>
        <w:spacing w:before="240" w:after="240"/>
        <w:ind w:left="0"/>
        <w:jc w:val="both"/>
        <w:rPr>
          <w:rFonts w:ascii="Bookman Old Style" w:hAnsi="Bookman Old Style"/>
        </w:rPr>
      </w:pPr>
      <w:r w:rsidRPr="001954E9">
        <w:rPr>
          <w:rFonts w:ascii="Bookman Old Style" w:hAnsi="Bookman Old Style"/>
        </w:rPr>
        <w:lastRenderedPageBreak/>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471FA81"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2C9FF498" w14:textId="56D82AE9" w:rsidR="001532AA" w:rsidRDefault="00682647" w:rsidP="009353D2">
      <w:pPr>
        <w:spacing w:before="240" w:after="240"/>
        <w:ind w:left="0"/>
        <w:jc w:val="both"/>
        <w:rPr>
          <w:rFonts w:ascii="Bookman Old Style" w:hAnsi="Bookman Old Style"/>
        </w:rPr>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3DF31C70" w14:textId="77777777" w:rsidR="007E2B94" w:rsidRDefault="007E2B94" w:rsidP="009353D2">
      <w:pPr>
        <w:spacing w:before="240" w:after="240"/>
        <w:ind w:left="0"/>
        <w:jc w:val="both"/>
      </w:pP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5E896232" w14:textId="4341E7BA" w:rsidR="007E2B94"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1CFCE7B"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6D9F4446"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7E5FA5">
        <w:rPr>
          <w:rFonts w:ascii="Bookman Old Style" w:hAnsi="Bookman Old Style" w:cs="Arial"/>
          <w:lang w:val="es-ES_tradnl"/>
        </w:rPr>
        <w:t>SURCOLOMBIANA DE GAS</w:t>
      </w:r>
      <w:r>
        <w:rPr>
          <w:rFonts w:ascii="Bookman Old Style" w:hAnsi="Bookman Old Style" w:cs="Arial"/>
          <w:lang w:val="es-ES_tradnl"/>
        </w:rPr>
        <w:t xml:space="preserve"> S.A. E.S.P.</w:t>
      </w:r>
      <w:r w:rsidR="00802BDC">
        <w:rPr>
          <w:rFonts w:ascii="Bookman Old Style" w:hAnsi="Bookman Old Style" w:cs="Arial"/>
          <w:lang w:val="es-ES_tradnl"/>
        </w:rPr>
        <w:t>,</w:t>
      </w:r>
      <w:r w:rsidR="00753E59">
        <w:rPr>
          <w:rFonts w:ascii="Bookman Old Style" w:hAnsi="Bookman Old Style" w:cs="Arial"/>
          <w:lang w:val="es-ES_tradnl"/>
        </w:rPr>
        <w:t xml:space="preserve"> </w:t>
      </w:r>
      <w:r w:rsidR="00B00326">
        <w:rPr>
          <w:rFonts w:ascii="Bookman Old Style" w:hAnsi="Bookman Old Style" w:cs="Arial"/>
          <w:spacing w:val="-4"/>
        </w:rPr>
        <w:t xml:space="preserve">al MUNICIPIO DE </w:t>
      </w:r>
      <w:r w:rsidR="00753E59">
        <w:rPr>
          <w:rFonts w:ascii="Bookman Old Style" w:hAnsi="Bookman Old Style" w:cs="Arial"/>
          <w:spacing w:val="-4"/>
        </w:rPr>
        <w:t>AGRADO</w:t>
      </w:r>
      <w:r w:rsidR="00204EF5">
        <w:rPr>
          <w:rFonts w:ascii="Bookman Old Style" w:hAnsi="Bookman Old Style" w:cs="Arial"/>
          <w:spacing w:val="-4"/>
        </w:rPr>
        <w:t xml:space="preserve">, </w:t>
      </w:r>
      <w:r w:rsidR="00CB235B">
        <w:rPr>
          <w:rFonts w:ascii="Bookman Old Style" w:hAnsi="Bookman Old Style" w:cs="Arial"/>
          <w:spacing w:val="-4"/>
        </w:rPr>
        <w:t xml:space="preserve">al MUNICIPIO DE ACEVEDO y al MUNICIPIO </w:t>
      </w:r>
      <w:r w:rsidR="00CB235B">
        <w:rPr>
          <w:rFonts w:ascii="Bookman Old Style" w:hAnsi="Bookman Old Style" w:cs="Arial"/>
          <w:spacing w:val="-4"/>
        </w:rPr>
        <w:lastRenderedPageBreak/>
        <w:t xml:space="preserve">DE SANTA MARÍA, </w:t>
      </w:r>
      <w:r w:rsidR="00204EF5">
        <w:rPr>
          <w:rFonts w:ascii="Bookman Old Style" w:hAnsi="Bookman Old Style" w:cs="Arial"/>
          <w:spacing w:val="-4"/>
        </w:rPr>
        <w:t>Departamento de Huila</w:t>
      </w:r>
      <w:r w:rsidR="00B00326">
        <w:rPr>
          <w:rFonts w:ascii="Bookman Old Style" w:hAnsi="Bookman Old Style" w:cs="Arial"/>
          <w:spacing w:val="-4"/>
        </w:rPr>
        <w:t xml:space="preserve"> 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CD73E0">
        <w:rPr>
          <w:rFonts w:ascii="Bookman Old Style" w:hAnsi="Bookman Old Style" w:cs="Arial"/>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6357DEEA" w14:textId="5789076E" w:rsidR="001532AA"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3EEEFD0C" w14:textId="716E9963" w:rsidR="007E2B94" w:rsidRDefault="007E2B94" w:rsidP="002C465D">
      <w:pPr>
        <w:widowControl w:val="0"/>
        <w:adjustRightInd w:val="0"/>
        <w:ind w:left="0" w:right="20"/>
        <w:jc w:val="both"/>
        <w:rPr>
          <w:rFonts w:ascii="Bookman Old Style" w:hAnsi="Bookman Old Style" w:cs="Arial"/>
          <w:spacing w:val="-4"/>
        </w:rPr>
      </w:pPr>
    </w:p>
    <w:p w14:paraId="1C5F4209" w14:textId="0D75216C" w:rsidR="001532AA" w:rsidRDefault="001532AA" w:rsidP="002C465D">
      <w:pPr>
        <w:widowControl w:val="0"/>
        <w:adjustRightInd w:val="0"/>
        <w:ind w:left="0" w:right="20"/>
        <w:jc w:val="both"/>
        <w:rPr>
          <w:rFonts w:ascii="Bookman Old Style" w:hAnsi="Bookman Old Style" w:cs="Arial"/>
          <w:spacing w:val="-4"/>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3EFBE9B8" w14:textId="77E61F0C" w:rsidR="00CC53F6" w:rsidRDefault="00273C2C" w:rsidP="001532AA">
      <w:pPr>
        <w:widowControl w:val="0"/>
        <w:adjustRightInd w:val="0"/>
        <w:ind w:left="0" w:right="20"/>
        <w:rPr>
          <w:rFonts w:ascii="Bookman Old Style" w:hAnsi="Bookman Old Style" w:cs="Arial"/>
        </w:rPr>
      </w:pPr>
      <w:r w:rsidRPr="001954E9">
        <w:rPr>
          <w:rFonts w:ascii="Bookman Old Style" w:hAnsi="Bookman Old Style" w:cs="Arial"/>
        </w:rPr>
        <w:t>Dada en Bogotá, D.C.</w:t>
      </w:r>
    </w:p>
    <w:p w14:paraId="524208E5" w14:textId="4A5C1B92" w:rsidR="007E2B94" w:rsidRDefault="007E2B94" w:rsidP="001532AA">
      <w:pPr>
        <w:widowControl w:val="0"/>
        <w:adjustRightInd w:val="0"/>
        <w:ind w:left="0" w:right="20"/>
        <w:rPr>
          <w:rFonts w:ascii="Bookman Old Style" w:hAnsi="Bookman Old Style" w:cs="Arial"/>
        </w:rPr>
      </w:pPr>
    </w:p>
    <w:p w14:paraId="4A9A9CD6" w14:textId="0C70B05D" w:rsidR="007E2B94" w:rsidRDefault="007E2B94" w:rsidP="001532AA">
      <w:pPr>
        <w:widowControl w:val="0"/>
        <w:adjustRightInd w:val="0"/>
        <w:ind w:left="0" w:right="20"/>
        <w:rPr>
          <w:rFonts w:ascii="Bookman Old Style" w:hAnsi="Bookman Old Style" w:cs="Arial"/>
          <w:spacing w:val="-3"/>
        </w:rPr>
      </w:pPr>
    </w:p>
    <w:p w14:paraId="5A2AA70A" w14:textId="315720DF" w:rsidR="00791FE2" w:rsidRDefault="00791FE2" w:rsidP="001532AA">
      <w:pPr>
        <w:widowControl w:val="0"/>
        <w:adjustRightInd w:val="0"/>
        <w:ind w:left="0" w:right="20"/>
        <w:rPr>
          <w:rFonts w:ascii="Bookman Old Style" w:hAnsi="Bookman Old Style" w:cs="Arial"/>
          <w:spacing w:val="-3"/>
        </w:rPr>
      </w:pPr>
    </w:p>
    <w:p w14:paraId="7694D69D" w14:textId="77777777" w:rsidR="00791FE2" w:rsidRDefault="00791FE2" w:rsidP="001532AA">
      <w:pPr>
        <w:widowControl w:val="0"/>
        <w:adjustRightInd w:val="0"/>
        <w:ind w:left="0" w:right="20"/>
        <w:rPr>
          <w:rFonts w:ascii="Bookman Old Style" w:hAnsi="Bookman Old Style" w:cs="Arial"/>
          <w:spacing w:val="-3"/>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791FE2" w14:paraId="67B9C218" w14:textId="77777777" w:rsidTr="00A70D6A">
        <w:trPr>
          <w:tblCellSpacing w:w="0" w:type="dxa"/>
          <w:jc w:val="center"/>
        </w:trPr>
        <w:tc>
          <w:tcPr>
            <w:tcW w:w="4820" w:type="dxa"/>
            <w:hideMark/>
          </w:tcPr>
          <w:p w14:paraId="5A944F16" w14:textId="77777777" w:rsidR="00791FE2" w:rsidRPr="00791FE2" w:rsidRDefault="00791FE2" w:rsidP="00A70D6A">
            <w:pPr>
              <w:ind w:left="66"/>
              <w:contextualSpacing/>
              <w:jc w:val="center"/>
              <w:rPr>
                <w:rFonts w:ascii="Bookman Old Style" w:hAnsi="Bookman Old Style" w:cs="Arial"/>
                <w:b/>
              </w:rPr>
            </w:pPr>
            <w:r w:rsidRPr="00791FE2">
              <w:rPr>
                <w:rFonts w:ascii="Bookman Old Style" w:hAnsi="Bookman Old Style" w:cs="Arial"/>
                <w:b/>
              </w:rPr>
              <w:t>MIGUEL LOTERO ROBLEDO</w:t>
            </w:r>
          </w:p>
        </w:tc>
        <w:tc>
          <w:tcPr>
            <w:tcW w:w="4678" w:type="dxa"/>
            <w:hideMark/>
          </w:tcPr>
          <w:p w14:paraId="06AAF65B" w14:textId="77777777" w:rsidR="00791FE2" w:rsidRPr="00791FE2" w:rsidRDefault="00791FE2" w:rsidP="00A70D6A">
            <w:pPr>
              <w:ind w:left="69"/>
              <w:contextualSpacing/>
              <w:jc w:val="center"/>
              <w:rPr>
                <w:rFonts w:ascii="Bookman Old Style" w:hAnsi="Bookman Old Style" w:cs="Arial"/>
                <w:b/>
              </w:rPr>
            </w:pPr>
            <w:r w:rsidRPr="00791FE2">
              <w:rPr>
                <w:rFonts w:ascii="Bookman Old Style" w:hAnsi="Bookman Old Style" w:cs="Arial"/>
                <w:b/>
              </w:rPr>
              <w:t>JORGE ALBERTO VALENCIA MARÍN</w:t>
            </w:r>
          </w:p>
        </w:tc>
      </w:tr>
      <w:tr w:rsidR="00791FE2" w14:paraId="7FB87EF9" w14:textId="77777777" w:rsidTr="00A70D6A">
        <w:trPr>
          <w:tblCellSpacing w:w="0" w:type="dxa"/>
          <w:jc w:val="center"/>
        </w:trPr>
        <w:tc>
          <w:tcPr>
            <w:tcW w:w="4820" w:type="dxa"/>
            <w:hideMark/>
          </w:tcPr>
          <w:p w14:paraId="5C580608" w14:textId="77777777" w:rsidR="00791FE2" w:rsidRPr="00791FE2" w:rsidRDefault="00791FE2" w:rsidP="00A70D6A">
            <w:pPr>
              <w:ind w:left="66"/>
              <w:contextualSpacing/>
              <w:jc w:val="center"/>
              <w:rPr>
                <w:rFonts w:ascii="Bookman Old Style" w:eastAsia="Arial Unicode MS" w:hAnsi="Bookman Old Style" w:cs="Arial"/>
                <w:color w:val="000000"/>
              </w:rPr>
            </w:pPr>
            <w:r w:rsidRPr="00791FE2">
              <w:rPr>
                <w:rFonts w:ascii="Bookman Old Style" w:hAnsi="Bookman Old Style" w:cs="Arial"/>
              </w:rPr>
              <w:t>Viceministro de Energía, Delegado del Ministro de Minas y Energía</w:t>
            </w:r>
          </w:p>
        </w:tc>
        <w:tc>
          <w:tcPr>
            <w:tcW w:w="4678" w:type="dxa"/>
            <w:hideMark/>
          </w:tcPr>
          <w:p w14:paraId="37EC4FA7" w14:textId="77777777" w:rsidR="00791FE2" w:rsidRPr="00791FE2" w:rsidRDefault="00791FE2" w:rsidP="00A70D6A">
            <w:pPr>
              <w:contextualSpacing/>
              <w:jc w:val="center"/>
              <w:rPr>
                <w:rFonts w:ascii="Bookman Old Style" w:eastAsia="Arial Unicode MS" w:hAnsi="Bookman Old Style" w:cs="Arial"/>
                <w:color w:val="000000"/>
              </w:rPr>
            </w:pPr>
            <w:r w:rsidRPr="00791FE2">
              <w:rPr>
                <w:rFonts w:ascii="Bookman Old Style" w:hAnsi="Bookman Old Style" w:cs="Arial"/>
              </w:rPr>
              <w:t xml:space="preserve">Director Ejecutivo </w:t>
            </w:r>
          </w:p>
        </w:tc>
      </w:tr>
      <w:tr w:rsidR="00791FE2" w14:paraId="2C7DD595" w14:textId="77777777" w:rsidTr="00A70D6A">
        <w:trPr>
          <w:tblCellSpacing w:w="0" w:type="dxa"/>
          <w:jc w:val="center"/>
        </w:trPr>
        <w:tc>
          <w:tcPr>
            <w:tcW w:w="4820" w:type="dxa"/>
            <w:hideMark/>
          </w:tcPr>
          <w:p w14:paraId="63EC1755" w14:textId="77777777" w:rsidR="00791FE2" w:rsidRPr="00791FE2" w:rsidRDefault="00791FE2" w:rsidP="00A70D6A">
            <w:pPr>
              <w:ind w:left="66"/>
              <w:contextualSpacing/>
              <w:jc w:val="center"/>
              <w:rPr>
                <w:rFonts w:ascii="Bookman Old Style" w:eastAsia="Arial Unicode MS" w:hAnsi="Bookman Old Style" w:cs="Arial"/>
                <w:color w:val="000000"/>
              </w:rPr>
            </w:pPr>
            <w:r w:rsidRPr="00791FE2">
              <w:rPr>
                <w:rFonts w:ascii="Bookman Old Style" w:hAnsi="Bookman Old Style" w:cs="Arial"/>
              </w:rPr>
              <w:t>Presidente</w:t>
            </w:r>
          </w:p>
        </w:tc>
        <w:tc>
          <w:tcPr>
            <w:tcW w:w="4678" w:type="dxa"/>
          </w:tcPr>
          <w:p w14:paraId="734801E6" w14:textId="77777777" w:rsidR="00791FE2" w:rsidRPr="00791FE2" w:rsidRDefault="00791FE2" w:rsidP="00A70D6A">
            <w:pPr>
              <w:contextualSpacing/>
              <w:jc w:val="center"/>
              <w:rPr>
                <w:rFonts w:ascii="Bookman Old Style" w:eastAsia="Arial Unicode MS" w:hAnsi="Bookman Old Style" w:cs="Arial"/>
                <w:color w:val="000000"/>
              </w:rPr>
            </w:pPr>
          </w:p>
        </w:tc>
      </w:tr>
    </w:tbl>
    <w:p w14:paraId="727786DF" w14:textId="77777777" w:rsidR="00791FE2" w:rsidRDefault="00791FE2" w:rsidP="00791FE2">
      <w:pPr>
        <w:contextualSpacing/>
        <w:rPr>
          <w:b/>
        </w:rPr>
      </w:pPr>
    </w:p>
    <w:p w14:paraId="15A86742" w14:textId="77777777" w:rsidR="00240780" w:rsidRDefault="00240780" w:rsidP="001532AA">
      <w:pPr>
        <w:widowControl w:val="0"/>
        <w:adjustRightInd w:val="0"/>
        <w:ind w:left="0" w:right="20"/>
        <w:rPr>
          <w:rFonts w:ascii="Bookman Old Style" w:hAnsi="Bookman Old Style" w:cs="Arial"/>
          <w:spacing w:val="-3"/>
        </w:rPr>
      </w:pPr>
    </w:p>
    <w:p w14:paraId="271EEA6B" w14:textId="77777777" w:rsidR="00240780" w:rsidRDefault="00240780" w:rsidP="001532AA">
      <w:pPr>
        <w:widowControl w:val="0"/>
        <w:adjustRightInd w:val="0"/>
        <w:ind w:left="0" w:right="20"/>
        <w:rPr>
          <w:rFonts w:ascii="Bookman Old Style" w:hAnsi="Bookman Old Style" w:cs="Arial"/>
          <w:spacing w:val="-3"/>
        </w:rPr>
      </w:pPr>
    </w:p>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6508DAE8" w14:textId="05F28845" w:rsidR="006B04D6"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tbl>
      <w:tblPr>
        <w:tblW w:w="4911" w:type="pct"/>
        <w:jc w:val="center"/>
        <w:tblLayout w:type="fixed"/>
        <w:tblCellMar>
          <w:left w:w="70" w:type="dxa"/>
          <w:right w:w="70" w:type="dxa"/>
        </w:tblCellMar>
        <w:tblLook w:val="04A0" w:firstRow="1" w:lastRow="0" w:firstColumn="1" w:lastColumn="0" w:noHBand="0" w:noVBand="1"/>
      </w:tblPr>
      <w:tblGrid>
        <w:gridCol w:w="1133"/>
        <w:gridCol w:w="1559"/>
        <w:gridCol w:w="644"/>
        <w:gridCol w:w="364"/>
        <w:gridCol w:w="819"/>
        <w:gridCol w:w="854"/>
        <w:gridCol w:w="819"/>
        <w:gridCol w:w="398"/>
        <w:gridCol w:w="398"/>
        <w:gridCol w:w="398"/>
        <w:gridCol w:w="398"/>
        <w:gridCol w:w="408"/>
        <w:gridCol w:w="988"/>
      </w:tblGrid>
      <w:tr w:rsidR="006A4820" w:rsidRPr="004A2978" w14:paraId="532A4387" w14:textId="77777777" w:rsidTr="006A4820">
        <w:trPr>
          <w:trHeight w:val="77"/>
          <w:tblHeader/>
          <w:jc w:val="center"/>
        </w:trPr>
        <w:tc>
          <w:tcPr>
            <w:tcW w:w="61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DF5E86"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Municipio</w:t>
            </w:r>
          </w:p>
        </w:tc>
        <w:tc>
          <w:tcPr>
            <w:tcW w:w="8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39F8CC"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Unidad Constructiva</w:t>
            </w:r>
          </w:p>
        </w:tc>
        <w:tc>
          <w:tcPr>
            <w:tcW w:w="549"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0A73D6"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Código UC</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0ACEC1"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Costo</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AA9F2C"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Tipo de Inversión</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A94BBF"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Red</w:t>
            </w:r>
          </w:p>
        </w:tc>
        <w:tc>
          <w:tcPr>
            <w:tcW w:w="1089"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CBECD4"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Cantidad</w:t>
            </w:r>
          </w:p>
        </w:tc>
        <w:tc>
          <w:tcPr>
            <w:tcW w:w="54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6494007"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Costo total</w:t>
            </w:r>
          </w:p>
        </w:tc>
      </w:tr>
      <w:tr w:rsidR="006A4820" w:rsidRPr="004A2978" w14:paraId="33BDC322" w14:textId="77777777" w:rsidTr="006A4820">
        <w:trPr>
          <w:trHeight w:val="77"/>
          <w:tblHeader/>
          <w:jc w:val="center"/>
        </w:trPr>
        <w:tc>
          <w:tcPr>
            <w:tcW w:w="617" w:type="pct"/>
            <w:vMerge/>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6D7CF8" w14:textId="77777777" w:rsidR="004A2978" w:rsidRPr="004A2978" w:rsidRDefault="004A2978" w:rsidP="004A2978">
            <w:pPr>
              <w:ind w:left="0"/>
              <w:jc w:val="center"/>
              <w:rPr>
                <w:rFonts w:ascii="Bookman Old Style" w:hAnsi="Bookman Old Style" w:cs="Arial"/>
                <w:sz w:val="11"/>
                <w:szCs w:val="11"/>
                <w:lang w:val="es-CO" w:eastAsia="es-CO"/>
              </w:rPr>
            </w:pPr>
          </w:p>
        </w:tc>
        <w:tc>
          <w:tcPr>
            <w:tcW w:w="849"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5E5FF149" w14:textId="77777777" w:rsidR="004A2978" w:rsidRPr="004A2978" w:rsidRDefault="004A2978" w:rsidP="004A2978">
            <w:pPr>
              <w:ind w:left="0"/>
              <w:jc w:val="center"/>
              <w:rPr>
                <w:rFonts w:ascii="Bookman Old Style" w:hAnsi="Bookman Old Style" w:cs="Arial"/>
                <w:sz w:val="11"/>
                <w:szCs w:val="11"/>
                <w:lang w:val="es-CO" w:eastAsia="es-CO"/>
              </w:rPr>
            </w:pPr>
          </w:p>
        </w:tc>
        <w:tc>
          <w:tcPr>
            <w:tcW w:w="549" w:type="pct"/>
            <w:gridSpan w:val="2"/>
            <w:vMerge/>
            <w:tcBorders>
              <w:left w:val="single" w:sz="4" w:space="0" w:color="auto"/>
              <w:bottom w:val="single" w:sz="4" w:space="0" w:color="auto"/>
              <w:right w:val="single" w:sz="4" w:space="0" w:color="auto"/>
            </w:tcBorders>
            <w:shd w:val="clear" w:color="000000" w:fill="D9D9D9"/>
            <w:vAlign w:val="center"/>
          </w:tcPr>
          <w:p w14:paraId="21B86A64" w14:textId="77777777" w:rsidR="004A2978" w:rsidRPr="004A2978" w:rsidRDefault="004A2978" w:rsidP="004A2978">
            <w:pPr>
              <w:ind w:left="0"/>
              <w:jc w:val="center"/>
              <w:rPr>
                <w:rFonts w:ascii="Bookman Old Style" w:hAnsi="Bookman Old Style" w:cs="Arial"/>
                <w:sz w:val="11"/>
                <w:szCs w:val="11"/>
                <w:lang w:val="es-CO" w:eastAsia="es-CO"/>
              </w:rPr>
            </w:pPr>
          </w:p>
        </w:tc>
        <w:tc>
          <w:tcPr>
            <w:tcW w:w="44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AD6553F" w14:textId="77777777" w:rsidR="004A2978" w:rsidRPr="004A2978" w:rsidRDefault="004A2978" w:rsidP="004A2978">
            <w:pPr>
              <w:ind w:left="0"/>
              <w:jc w:val="center"/>
              <w:rPr>
                <w:rFonts w:ascii="Bookman Old Style" w:hAnsi="Bookman Old Style" w:cs="Arial"/>
                <w:sz w:val="11"/>
                <w:szCs w:val="11"/>
                <w:lang w:val="es-CO" w:eastAsia="es-CO"/>
              </w:rPr>
            </w:pPr>
          </w:p>
        </w:tc>
        <w:tc>
          <w:tcPr>
            <w:tcW w:w="465"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4B912056" w14:textId="77777777" w:rsidR="004A2978" w:rsidRPr="004A2978" w:rsidRDefault="004A2978" w:rsidP="004A2978">
            <w:pPr>
              <w:ind w:left="0"/>
              <w:jc w:val="center"/>
              <w:rPr>
                <w:rFonts w:ascii="Bookman Old Style" w:hAnsi="Bookman Old Style" w:cs="Arial"/>
                <w:sz w:val="11"/>
                <w:szCs w:val="11"/>
                <w:lang w:val="es-CO" w:eastAsia="es-CO"/>
              </w:rPr>
            </w:pPr>
          </w:p>
        </w:tc>
        <w:tc>
          <w:tcPr>
            <w:tcW w:w="446"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99263E7" w14:textId="77777777" w:rsidR="004A2978" w:rsidRPr="004A2978" w:rsidRDefault="004A2978" w:rsidP="004A2978">
            <w:pPr>
              <w:ind w:left="0"/>
              <w:jc w:val="center"/>
              <w:rPr>
                <w:rFonts w:ascii="Bookman Old Style" w:hAnsi="Bookman Old Style" w:cs="Arial"/>
                <w:sz w:val="11"/>
                <w:szCs w:val="11"/>
                <w:lang w:val="es-CO" w:eastAsia="es-CO"/>
              </w:rPr>
            </w:pP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00F5489"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Año 1</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2AC76B"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Año 2</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F30F777"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Año 3</w:t>
            </w:r>
          </w:p>
        </w:tc>
        <w:tc>
          <w:tcPr>
            <w:tcW w:w="2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4924E6B"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Año 4</w:t>
            </w:r>
          </w:p>
        </w:tc>
        <w:tc>
          <w:tcPr>
            <w:tcW w:w="22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BD755EE" w14:textId="77777777" w:rsidR="004A2978" w:rsidRPr="004A2978" w:rsidRDefault="004A2978" w:rsidP="004A2978">
            <w:pPr>
              <w:ind w:left="0"/>
              <w:jc w:val="center"/>
              <w:rPr>
                <w:rFonts w:ascii="Bookman Old Style" w:hAnsi="Bookman Old Style" w:cs="Arial"/>
                <w:b/>
                <w:sz w:val="11"/>
                <w:szCs w:val="11"/>
                <w:lang w:val="es-CO" w:eastAsia="es-CO"/>
              </w:rPr>
            </w:pPr>
            <w:r w:rsidRPr="004A2978">
              <w:rPr>
                <w:rFonts w:ascii="Bookman Old Style" w:hAnsi="Bookman Old Style" w:cs="Arial"/>
                <w:b/>
                <w:sz w:val="11"/>
                <w:szCs w:val="11"/>
                <w:lang w:val="es-CO" w:eastAsia="es-CO"/>
              </w:rPr>
              <w:t>Año 5</w:t>
            </w:r>
          </w:p>
        </w:tc>
        <w:tc>
          <w:tcPr>
            <w:tcW w:w="541" w:type="pct"/>
            <w:vMerge/>
            <w:tcBorders>
              <w:left w:val="single" w:sz="4" w:space="0" w:color="auto"/>
              <w:bottom w:val="single" w:sz="4" w:space="0" w:color="auto"/>
              <w:right w:val="single" w:sz="4" w:space="0" w:color="auto"/>
            </w:tcBorders>
            <w:shd w:val="clear" w:color="000000" w:fill="D9D9D9"/>
            <w:vAlign w:val="center"/>
            <w:hideMark/>
          </w:tcPr>
          <w:p w14:paraId="6F087D59" w14:textId="77777777" w:rsidR="004A2978" w:rsidRPr="004A2978" w:rsidRDefault="004A2978" w:rsidP="004A2978">
            <w:pPr>
              <w:ind w:left="0"/>
              <w:jc w:val="center"/>
              <w:rPr>
                <w:rFonts w:ascii="Bookman Old Style" w:hAnsi="Bookman Old Style" w:cs="Arial"/>
                <w:sz w:val="11"/>
                <w:szCs w:val="11"/>
                <w:lang w:val="es-CO" w:eastAsia="es-CO"/>
              </w:rPr>
            </w:pPr>
          </w:p>
        </w:tc>
      </w:tr>
      <w:tr w:rsidR="004A2978" w:rsidRPr="004A2978" w14:paraId="1446876D"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3B65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 Carbona-Acevedo-Huila</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5CF1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3/4 pulg. en Zona Verde</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6D0574E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TPE3/4ZV</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27E7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20,016,238</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A45B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156F1"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Secundaria</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1571B"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7.17</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794E1"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74F0F"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0CBB0"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30598"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A45D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37,050,058</w:t>
            </w:r>
          </w:p>
        </w:tc>
      </w:tr>
      <w:tr w:rsidR="004A2978" w:rsidRPr="004A2978" w14:paraId="5E2003CC"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62228"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 Carbona-Acevedo-Huila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7C195642"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1 pulg. en Zona Verde</w:t>
            </w:r>
          </w:p>
        </w:tc>
        <w:tc>
          <w:tcPr>
            <w:tcW w:w="549" w:type="pct"/>
            <w:gridSpan w:val="2"/>
            <w:tcBorders>
              <w:top w:val="single" w:sz="4" w:space="0" w:color="auto"/>
              <w:left w:val="nil"/>
              <w:bottom w:val="single" w:sz="4" w:space="0" w:color="auto"/>
              <w:right w:val="single" w:sz="4" w:space="0" w:color="auto"/>
            </w:tcBorders>
            <w:vAlign w:val="center"/>
          </w:tcPr>
          <w:p w14:paraId="730F1A62"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TPE1ZV</w:t>
            </w: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41DE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22,800,799</w:t>
            </w:r>
          </w:p>
        </w:tc>
        <w:tc>
          <w:tcPr>
            <w:tcW w:w="465" w:type="pct"/>
            <w:tcBorders>
              <w:top w:val="single" w:sz="4" w:space="0" w:color="auto"/>
              <w:left w:val="nil"/>
              <w:bottom w:val="single" w:sz="4" w:space="0" w:color="auto"/>
              <w:right w:val="single" w:sz="4" w:space="0" w:color="auto"/>
            </w:tcBorders>
            <w:shd w:val="clear" w:color="auto" w:fill="auto"/>
            <w:noWrap/>
            <w:vAlign w:val="center"/>
          </w:tcPr>
          <w:p w14:paraId="72AC344E"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single" w:sz="4" w:space="0" w:color="auto"/>
              <w:left w:val="nil"/>
              <w:bottom w:val="single" w:sz="4" w:space="0" w:color="auto"/>
              <w:right w:val="single" w:sz="4" w:space="0" w:color="auto"/>
            </w:tcBorders>
            <w:shd w:val="clear" w:color="auto" w:fill="auto"/>
            <w:noWrap/>
            <w:vAlign w:val="center"/>
          </w:tcPr>
          <w:p w14:paraId="535F8B2C"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Secundaria</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136AF42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1.63</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09241AA3"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491E9CBB"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single" w:sz="4" w:space="0" w:color="auto"/>
              <w:left w:val="nil"/>
              <w:bottom w:val="single" w:sz="4" w:space="0" w:color="auto"/>
              <w:right w:val="single" w:sz="4" w:space="0" w:color="auto"/>
            </w:tcBorders>
            <w:shd w:val="clear" w:color="auto" w:fill="auto"/>
            <w:noWrap/>
            <w:vAlign w:val="center"/>
          </w:tcPr>
          <w:p w14:paraId="366F90A5"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single" w:sz="4" w:space="0" w:color="auto"/>
              <w:left w:val="nil"/>
              <w:bottom w:val="single" w:sz="4" w:space="0" w:color="auto"/>
              <w:right w:val="single" w:sz="4" w:space="0" w:color="auto"/>
            </w:tcBorders>
            <w:shd w:val="clear" w:color="auto" w:fill="auto"/>
            <w:noWrap/>
            <w:vAlign w:val="center"/>
          </w:tcPr>
          <w:p w14:paraId="710CD431"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single" w:sz="4" w:space="0" w:color="auto"/>
              <w:left w:val="nil"/>
              <w:bottom w:val="single" w:sz="4" w:space="0" w:color="auto"/>
              <w:right w:val="single" w:sz="4" w:space="0" w:color="auto"/>
            </w:tcBorders>
            <w:shd w:val="clear" w:color="auto" w:fill="auto"/>
            <w:noWrap/>
            <w:vAlign w:val="center"/>
          </w:tcPr>
          <w:p w14:paraId="14355C3B"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72,962,559</w:t>
            </w:r>
          </w:p>
        </w:tc>
      </w:tr>
      <w:tr w:rsidR="004A2978" w:rsidRPr="004A2978" w14:paraId="7AA01D3A"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E841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 Carbona-Acevedo-Huila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325D940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Cruce aereo (0-20 m)</w:t>
            </w:r>
          </w:p>
        </w:tc>
        <w:tc>
          <w:tcPr>
            <w:tcW w:w="549" w:type="pct"/>
            <w:gridSpan w:val="2"/>
            <w:tcBorders>
              <w:top w:val="single" w:sz="4" w:space="0" w:color="auto"/>
              <w:left w:val="nil"/>
              <w:bottom w:val="single" w:sz="4" w:space="0" w:color="auto"/>
              <w:right w:val="single" w:sz="4" w:space="0" w:color="auto"/>
            </w:tcBorders>
            <w:vAlign w:val="center"/>
          </w:tcPr>
          <w:p w14:paraId="4B03F90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CUSTM000426</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7275556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690,765</w:t>
            </w:r>
          </w:p>
        </w:tc>
        <w:tc>
          <w:tcPr>
            <w:tcW w:w="465" w:type="pct"/>
            <w:tcBorders>
              <w:top w:val="nil"/>
              <w:left w:val="nil"/>
              <w:bottom w:val="single" w:sz="4" w:space="0" w:color="auto"/>
              <w:right w:val="single" w:sz="4" w:space="0" w:color="auto"/>
            </w:tcBorders>
            <w:shd w:val="clear" w:color="auto" w:fill="auto"/>
            <w:noWrap/>
            <w:vAlign w:val="center"/>
          </w:tcPr>
          <w:p w14:paraId="1A599A9F"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Especiales</w:t>
            </w:r>
          </w:p>
        </w:tc>
        <w:tc>
          <w:tcPr>
            <w:tcW w:w="446" w:type="pct"/>
            <w:tcBorders>
              <w:top w:val="nil"/>
              <w:left w:val="nil"/>
              <w:bottom w:val="single" w:sz="4" w:space="0" w:color="auto"/>
              <w:right w:val="single" w:sz="4" w:space="0" w:color="auto"/>
            </w:tcBorders>
            <w:shd w:val="clear" w:color="auto" w:fill="auto"/>
            <w:noWrap/>
            <w:vAlign w:val="center"/>
          </w:tcPr>
          <w:p w14:paraId="7A8D8FB6"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23CF440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1,85</w:t>
            </w:r>
          </w:p>
        </w:tc>
        <w:tc>
          <w:tcPr>
            <w:tcW w:w="217" w:type="pct"/>
            <w:tcBorders>
              <w:top w:val="nil"/>
              <w:left w:val="nil"/>
              <w:bottom w:val="single" w:sz="4" w:space="0" w:color="auto"/>
              <w:right w:val="single" w:sz="4" w:space="0" w:color="auto"/>
            </w:tcBorders>
            <w:shd w:val="clear" w:color="auto" w:fill="auto"/>
            <w:noWrap/>
            <w:vAlign w:val="center"/>
          </w:tcPr>
          <w:p w14:paraId="6171DE1E"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862FE5C"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8C50AFB"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7A4306D0"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78694C4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54,570,435</w:t>
            </w:r>
          </w:p>
        </w:tc>
      </w:tr>
      <w:tr w:rsidR="004A2978" w:rsidRPr="004A2978" w14:paraId="01B811DA"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E276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Astillero-Agrado-Huila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478A01C4"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3/4 pulg. en Zona Verde</w:t>
            </w:r>
          </w:p>
        </w:tc>
        <w:tc>
          <w:tcPr>
            <w:tcW w:w="549" w:type="pct"/>
            <w:gridSpan w:val="2"/>
            <w:tcBorders>
              <w:top w:val="single" w:sz="4" w:space="0" w:color="auto"/>
              <w:left w:val="nil"/>
              <w:bottom w:val="single" w:sz="4" w:space="0" w:color="auto"/>
              <w:right w:val="single" w:sz="4" w:space="0" w:color="auto"/>
            </w:tcBorders>
            <w:vAlign w:val="center"/>
          </w:tcPr>
          <w:p w14:paraId="14729F5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TPE3/4ZV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0C5765A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20,016,238</w:t>
            </w:r>
          </w:p>
        </w:tc>
        <w:tc>
          <w:tcPr>
            <w:tcW w:w="465" w:type="pct"/>
            <w:tcBorders>
              <w:top w:val="nil"/>
              <w:left w:val="nil"/>
              <w:bottom w:val="single" w:sz="4" w:space="0" w:color="auto"/>
              <w:right w:val="single" w:sz="4" w:space="0" w:color="auto"/>
            </w:tcBorders>
            <w:shd w:val="clear" w:color="auto" w:fill="auto"/>
            <w:noWrap/>
            <w:vAlign w:val="center"/>
          </w:tcPr>
          <w:p w14:paraId="0FE2C4F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09AA9AF6"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71078C6E"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3,2</w:t>
            </w:r>
          </w:p>
        </w:tc>
        <w:tc>
          <w:tcPr>
            <w:tcW w:w="217" w:type="pct"/>
            <w:tcBorders>
              <w:top w:val="nil"/>
              <w:left w:val="nil"/>
              <w:bottom w:val="single" w:sz="4" w:space="0" w:color="auto"/>
              <w:right w:val="single" w:sz="4" w:space="0" w:color="auto"/>
            </w:tcBorders>
            <w:shd w:val="clear" w:color="auto" w:fill="auto"/>
            <w:noWrap/>
            <w:vAlign w:val="center"/>
          </w:tcPr>
          <w:p w14:paraId="49A35996"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AB0B2A0"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7C16385"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21138C0E"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05F0CB68"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43,007,295</w:t>
            </w:r>
          </w:p>
        </w:tc>
      </w:tr>
      <w:tr w:rsidR="004A2978" w:rsidRPr="004A2978" w14:paraId="5F89D84B"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18D1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Astillero-Agrado-Huila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23DEB4B4"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1 pulg. en Zona Verde</w:t>
            </w:r>
          </w:p>
        </w:tc>
        <w:tc>
          <w:tcPr>
            <w:tcW w:w="549" w:type="pct"/>
            <w:gridSpan w:val="2"/>
            <w:tcBorders>
              <w:top w:val="single" w:sz="4" w:space="0" w:color="auto"/>
              <w:left w:val="nil"/>
              <w:bottom w:val="single" w:sz="4" w:space="0" w:color="auto"/>
              <w:right w:val="single" w:sz="4" w:space="0" w:color="auto"/>
            </w:tcBorders>
            <w:vAlign w:val="center"/>
          </w:tcPr>
          <w:p w14:paraId="31C725D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TPE1ZV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4003C21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22,800,799</w:t>
            </w:r>
          </w:p>
        </w:tc>
        <w:tc>
          <w:tcPr>
            <w:tcW w:w="465" w:type="pct"/>
            <w:tcBorders>
              <w:top w:val="nil"/>
              <w:left w:val="nil"/>
              <w:bottom w:val="single" w:sz="4" w:space="0" w:color="auto"/>
              <w:right w:val="single" w:sz="4" w:space="0" w:color="auto"/>
            </w:tcBorders>
            <w:shd w:val="clear" w:color="auto" w:fill="auto"/>
            <w:noWrap/>
            <w:vAlign w:val="center"/>
          </w:tcPr>
          <w:p w14:paraId="6B3A829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3EAFB8B6"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764DF54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79</w:t>
            </w:r>
          </w:p>
        </w:tc>
        <w:tc>
          <w:tcPr>
            <w:tcW w:w="217" w:type="pct"/>
            <w:tcBorders>
              <w:top w:val="nil"/>
              <w:left w:val="nil"/>
              <w:bottom w:val="single" w:sz="4" w:space="0" w:color="auto"/>
              <w:right w:val="single" w:sz="4" w:space="0" w:color="auto"/>
            </w:tcBorders>
            <w:shd w:val="clear" w:color="auto" w:fill="auto"/>
            <w:noWrap/>
            <w:vAlign w:val="center"/>
          </w:tcPr>
          <w:p w14:paraId="27C6C855"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0003954"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3A3F3D3"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73CDDB36"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3B5FA6A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39,653,989</w:t>
            </w:r>
          </w:p>
        </w:tc>
      </w:tr>
      <w:tr w:rsidR="004A2978" w:rsidRPr="004A2978" w14:paraId="76137028"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B9DD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Astillero-Agrado-Huila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7823572F"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2 pulg. en Zona Verde</w:t>
            </w:r>
          </w:p>
        </w:tc>
        <w:tc>
          <w:tcPr>
            <w:tcW w:w="549" w:type="pct"/>
            <w:gridSpan w:val="2"/>
            <w:tcBorders>
              <w:top w:val="single" w:sz="4" w:space="0" w:color="auto"/>
              <w:left w:val="nil"/>
              <w:bottom w:val="single" w:sz="4" w:space="0" w:color="auto"/>
              <w:right w:val="single" w:sz="4" w:space="0" w:color="auto"/>
            </w:tcBorders>
            <w:vAlign w:val="center"/>
          </w:tcPr>
          <w:p w14:paraId="7ED49F9B"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TPE2ZV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3DFBEF2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34,760,633</w:t>
            </w:r>
          </w:p>
        </w:tc>
        <w:tc>
          <w:tcPr>
            <w:tcW w:w="465" w:type="pct"/>
            <w:tcBorders>
              <w:top w:val="nil"/>
              <w:left w:val="nil"/>
              <w:bottom w:val="single" w:sz="4" w:space="0" w:color="auto"/>
              <w:right w:val="single" w:sz="4" w:space="0" w:color="auto"/>
            </w:tcBorders>
            <w:shd w:val="clear" w:color="auto" w:fill="auto"/>
            <w:noWrap/>
            <w:vAlign w:val="center"/>
          </w:tcPr>
          <w:p w14:paraId="0511752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09C8C499"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762ACA1E"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2,14</w:t>
            </w:r>
          </w:p>
        </w:tc>
        <w:tc>
          <w:tcPr>
            <w:tcW w:w="217" w:type="pct"/>
            <w:tcBorders>
              <w:top w:val="nil"/>
              <w:left w:val="nil"/>
              <w:bottom w:val="single" w:sz="4" w:space="0" w:color="auto"/>
              <w:right w:val="single" w:sz="4" w:space="0" w:color="auto"/>
            </w:tcBorders>
            <w:shd w:val="clear" w:color="auto" w:fill="auto"/>
            <w:noWrap/>
            <w:vAlign w:val="center"/>
          </w:tcPr>
          <w:p w14:paraId="6298C500"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9CA849E"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94E5F4B"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1EAA7513"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0C5A0F8E"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90,378,315</w:t>
            </w:r>
          </w:p>
        </w:tc>
      </w:tr>
      <w:tr w:rsidR="004A2978" w:rsidRPr="004A2978" w14:paraId="2006A441"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2A9DD"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Astillero-Agrado-Huila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60FB5C8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Estación de almacenamiento</w:t>
            </w:r>
          </w:p>
        </w:tc>
        <w:tc>
          <w:tcPr>
            <w:tcW w:w="549" w:type="pct"/>
            <w:gridSpan w:val="2"/>
            <w:tcBorders>
              <w:top w:val="single" w:sz="4" w:space="0" w:color="auto"/>
              <w:left w:val="nil"/>
              <w:bottom w:val="single" w:sz="4" w:space="0" w:color="auto"/>
              <w:right w:val="single" w:sz="4" w:space="0" w:color="auto"/>
            </w:tcBorders>
            <w:vAlign w:val="center"/>
          </w:tcPr>
          <w:p w14:paraId="2619675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CUSTM000214</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379DFBE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285,770,268</w:t>
            </w:r>
          </w:p>
        </w:tc>
        <w:tc>
          <w:tcPr>
            <w:tcW w:w="465" w:type="pct"/>
            <w:tcBorders>
              <w:top w:val="nil"/>
              <w:left w:val="nil"/>
              <w:bottom w:val="single" w:sz="4" w:space="0" w:color="auto"/>
              <w:right w:val="single" w:sz="4" w:space="0" w:color="auto"/>
            </w:tcBorders>
            <w:shd w:val="clear" w:color="auto" w:fill="auto"/>
            <w:noWrap/>
            <w:vAlign w:val="center"/>
          </w:tcPr>
          <w:p w14:paraId="42D48B9A"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Especiales</w:t>
            </w:r>
          </w:p>
        </w:tc>
        <w:tc>
          <w:tcPr>
            <w:tcW w:w="446" w:type="pct"/>
            <w:tcBorders>
              <w:top w:val="nil"/>
              <w:left w:val="nil"/>
              <w:bottom w:val="single" w:sz="4" w:space="0" w:color="auto"/>
              <w:right w:val="single" w:sz="4" w:space="0" w:color="auto"/>
            </w:tcBorders>
            <w:shd w:val="clear" w:color="auto" w:fill="auto"/>
            <w:noWrap/>
            <w:vAlign w:val="center"/>
          </w:tcPr>
          <w:p w14:paraId="6EFC7ADE"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6702946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1,73</w:t>
            </w:r>
          </w:p>
        </w:tc>
        <w:tc>
          <w:tcPr>
            <w:tcW w:w="217" w:type="pct"/>
            <w:tcBorders>
              <w:top w:val="nil"/>
              <w:left w:val="nil"/>
              <w:bottom w:val="single" w:sz="4" w:space="0" w:color="auto"/>
              <w:right w:val="single" w:sz="4" w:space="0" w:color="auto"/>
            </w:tcBorders>
            <w:shd w:val="clear" w:color="auto" w:fill="auto"/>
            <w:noWrap/>
            <w:vAlign w:val="center"/>
          </w:tcPr>
          <w:p w14:paraId="69031F48"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7D40963"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C78FAF2"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284009E8"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3BC8C3A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285,770,268</w:t>
            </w:r>
          </w:p>
        </w:tc>
      </w:tr>
      <w:tr w:rsidR="004A2978" w:rsidRPr="004A2978" w14:paraId="17B7132D"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8092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Astillero-Agrado-Huila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2FE34E0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Cruce aereo (0-20 m)</w:t>
            </w:r>
          </w:p>
        </w:tc>
        <w:tc>
          <w:tcPr>
            <w:tcW w:w="549" w:type="pct"/>
            <w:gridSpan w:val="2"/>
            <w:tcBorders>
              <w:top w:val="single" w:sz="4" w:space="0" w:color="auto"/>
              <w:left w:val="nil"/>
              <w:bottom w:val="single" w:sz="4" w:space="0" w:color="auto"/>
              <w:right w:val="single" w:sz="4" w:space="0" w:color="auto"/>
            </w:tcBorders>
            <w:vAlign w:val="center"/>
          </w:tcPr>
          <w:p w14:paraId="3E35DD0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CUSTM000426</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336D380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786,101</w:t>
            </w:r>
          </w:p>
        </w:tc>
        <w:tc>
          <w:tcPr>
            <w:tcW w:w="465" w:type="pct"/>
            <w:tcBorders>
              <w:top w:val="nil"/>
              <w:left w:val="nil"/>
              <w:bottom w:val="single" w:sz="4" w:space="0" w:color="auto"/>
              <w:right w:val="single" w:sz="4" w:space="0" w:color="auto"/>
            </w:tcBorders>
            <w:shd w:val="clear" w:color="auto" w:fill="auto"/>
            <w:noWrap/>
            <w:vAlign w:val="center"/>
          </w:tcPr>
          <w:p w14:paraId="000A2568"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Especiales</w:t>
            </w:r>
          </w:p>
        </w:tc>
        <w:tc>
          <w:tcPr>
            <w:tcW w:w="446" w:type="pct"/>
            <w:tcBorders>
              <w:top w:val="nil"/>
              <w:left w:val="nil"/>
              <w:bottom w:val="single" w:sz="4" w:space="0" w:color="auto"/>
              <w:right w:val="single" w:sz="4" w:space="0" w:color="auto"/>
            </w:tcBorders>
            <w:shd w:val="clear" w:color="auto" w:fill="auto"/>
            <w:noWrap/>
            <w:vAlign w:val="center"/>
          </w:tcPr>
          <w:p w14:paraId="2049AC3F"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4561BFD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2,6</w:t>
            </w:r>
          </w:p>
        </w:tc>
        <w:tc>
          <w:tcPr>
            <w:tcW w:w="217" w:type="pct"/>
            <w:tcBorders>
              <w:top w:val="nil"/>
              <w:left w:val="nil"/>
              <w:bottom w:val="single" w:sz="4" w:space="0" w:color="auto"/>
              <w:right w:val="single" w:sz="4" w:space="0" w:color="auto"/>
            </w:tcBorders>
            <w:shd w:val="clear" w:color="auto" w:fill="auto"/>
            <w:noWrap/>
            <w:vAlign w:val="center"/>
          </w:tcPr>
          <w:p w14:paraId="520938C7"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6D4016F"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E47E2AE"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36D00182"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64D698F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15,722,020</w:t>
            </w:r>
          </w:p>
        </w:tc>
      </w:tr>
      <w:tr w:rsidR="004A2978" w:rsidRPr="004A2978" w14:paraId="2C4AC660"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757D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 María-Agrado-Huila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48A20A0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3/4 pulg. en Zona Verde</w:t>
            </w:r>
          </w:p>
        </w:tc>
        <w:tc>
          <w:tcPr>
            <w:tcW w:w="549" w:type="pct"/>
            <w:gridSpan w:val="2"/>
            <w:tcBorders>
              <w:top w:val="single" w:sz="4" w:space="0" w:color="auto"/>
              <w:left w:val="nil"/>
              <w:bottom w:val="single" w:sz="4" w:space="0" w:color="auto"/>
              <w:right w:val="single" w:sz="4" w:space="0" w:color="auto"/>
            </w:tcBorders>
            <w:vAlign w:val="center"/>
          </w:tcPr>
          <w:p w14:paraId="0B66B0F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TPE3/4ZV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7D9FBD1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20,016,238</w:t>
            </w:r>
          </w:p>
        </w:tc>
        <w:tc>
          <w:tcPr>
            <w:tcW w:w="465" w:type="pct"/>
            <w:tcBorders>
              <w:top w:val="nil"/>
              <w:left w:val="nil"/>
              <w:bottom w:val="single" w:sz="4" w:space="0" w:color="auto"/>
              <w:right w:val="single" w:sz="4" w:space="0" w:color="auto"/>
            </w:tcBorders>
            <w:shd w:val="clear" w:color="auto" w:fill="auto"/>
            <w:noWrap/>
            <w:vAlign w:val="center"/>
          </w:tcPr>
          <w:p w14:paraId="7425C82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687CBEB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14AD22AA"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w:t>
            </w:r>
          </w:p>
        </w:tc>
        <w:tc>
          <w:tcPr>
            <w:tcW w:w="217" w:type="pct"/>
            <w:tcBorders>
              <w:top w:val="nil"/>
              <w:left w:val="nil"/>
              <w:bottom w:val="single" w:sz="4" w:space="0" w:color="auto"/>
              <w:right w:val="single" w:sz="4" w:space="0" w:color="auto"/>
            </w:tcBorders>
            <w:shd w:val="clear" w:color="auto" w:fill="auto"/>
            <w:noWrap/>
            <w:vAlign w:val="center"/>
          </w:tcPr>
          <w:p w14:paraId="51177F5E"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D7E080D"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7079877"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3970DA7B"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397A84F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53,969,938</w:t>
            </w:r>
          </w:p>
        </w:tc>
      </w:tr>
      <w:tr w:rsidR="004A2978" w:rsidRPr="004A2978" w14:paraId="1DC55715"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92CE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 María-Agrado-Huila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342BDC6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1 pulg. en Zona Verde</w:t>
            </w:r>
          </w:p>
        </w:tc>
        <w:tc>
          <w:tcPr>
            <w:tcW w:w="549" w:type="pct"/>
            <w:gridSpan w:val="2"/>
            <w:tcBorders>
              <w:top w:val="single" w:sz="4" w:space="0" w:color="auto"/>
              <w:left w:val="nil"/>
              <w:bottom w:val="single" w:sz="4" w:space="0" w:color="auto"/>
              <w:right w:val="single" w:sz="4" w:space="0" w:color="auto"/>
            </w:tcBorders>
            <w:vAlign w:val="center"/>
          </w:tcPr>
          <w:p w14:paraId="11B33064"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TPE1ZV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22541F0F"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22,800,799</w:t>
            </w:r>
          </w:p>
        </w:tc>
        <w:tc>
          <w:tcPr>
            <w:tcW w:w="465" w:type="pct"/>
            <w:tcBorders>
              <w:top w:val="nil"/>
              <w:left w:val="nil"/>
              <w:bottom w:val="single" w:sz="4" w:space="0" w:color="auto"/>
              <w:right w:val="single" w:sz="4" w:space="0" w:color="auto"/>
            </w:tcBorders>
            <w:shd w:val="clear" w:color="auto" w:fill="auto"/>
            <w:noWrap/>
            <w:vAlign w:val="center"/>
          </w:tcPr>
          <w:p w14:paraId="103834CE"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574E78B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7879A898"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w:t>
            </w:r>
          </w:p>
        </w:tc>
        <w:tc>
          <w:tcPr>
            <w:tcW w:w="217" w:type="pct"/>
            <w:tcBorders>
              <w:top w:val="nil"/>
              <w:left w:val="nil"/>
              <w:bottom w:val="single" w:sz="4" w:space="0" w:color="auto"/>
              <w:right w:val="single" w:sz="4" w:space="0" w:color="auto"/>
            </w:tcBorders>
            <w:shd w:val="clear" w:color="auto" w:fill="auto"/>
            <w:noWrap/>
            <w:vAlign w:val="center"/>
          </w:tcPr>
          <w:p w14:paraId="6E45BE2F"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49E11BB"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F1AE1C4"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0553E3D7"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7E58551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49,761,868</w:t>
            </w:r>
          </w:p>
        </w:tc>
      </w:tr>
      <w:tr w:rsidR="004A2978" w:rsidRPr="004A2978" w14:paraId="1C23E3A4"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A80B2"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 María-Agrado-Huila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4617EBC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2 pulg. en Zona Verde</w:t>
            </w:r>
          </w:p>
        </w:tc>
        <w:tc>
          <w:tcPr>
            <w:tcW w:w="549" w:type="pct"/>
            <w:gridSpan w:val="2"/>
            <w:tcBorders>
              <w:top w:val="single" w:sz="4" w:space="0" w:color="auto"/>
              <w:left w:val="nil"/>
              <w:bottom w:val="single" w:sz="4" w:space="0" w:color="auto"/>
              <w:right w:val="single" w:sz="4" w:space="0" w:color="auto"/>
            </w:tcBorders>
            <w:vAlign w:val="center"/>
          </w:tcPr>
          <w:p w14:paraId="1EBC22B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TPE2ZV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328C3A32"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34,760,633</w:t>
            </w:r>
          </w:p>
        </w:tc>
        <w:tc>
          <w:tcPr>
            <w:tcW w:w="465" w:type="pct"/>
            <w:tcBorders>
              <w:top w:val="nil"/>
              <w:left w:val="nil"/>
              <w:bottom w:val="single" w:sz="4" w:space="0" w:color="auto"/>
              <w:right w:val="single" w:sz="4" w:space="0" w:color="auto"/>
            </w:tcBorders>
            <w:shd w:val="clear" w:color="auto" w:fill="auto"/>
            <w:noWrap/>
            <w:vAlign w:val="center"/>
          </w:tcPr>
          <w:p w14:paraId="48A14BBB"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6EE32E48"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1C7368D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2,69</w:t>
            </w:r>
          </w:p>
        </w:tc>
        <w:tc>
          <w:tcPr>
            <w:tcW w:w="217" w:type="pct"/>
            <w:tcBorders>
              <w:top w:val="nil"/>
              <w:left w:val="nil"/>
              <w:bottom w:val="single" w:sz="4" w:space="0" w:color="auto"/>
              <w:right w:val="single" w:sz="4" w:space="0" w:color="auto"/>
            </w:tcBorders>
            <w:shd w:val="clear" w:color="auto" w:fill="auto"/>
            <w:noWrap/>
            <w:vAlign w:val="center"/>
          </w:tcPr>
          <w:p w14:paraId="128983C8"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0913F50"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F36A79F"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0EC94426"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5A4820E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113,415,925</w:t>
            </w:r>
          </w:p>
        </w:tc>
      </w:tr>
      <w:tr w:rsidR="004A2978" w:rsidRPr="004A2978" w14:paraId="15390FC9"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0BF4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 María-Agrado-Huila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7415EEB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Cruce aereo (0-20 m)</w:t>
            </w:r>
          </w:p>
        </w:tc>
        <w:tc>
          <w:tcPr>
            <w:tcW w:w="549" w:type="pct"/>
            <w:gridSpan w:val="2"/>
            <w:tcBorders>
              <w:top w:val="single" w:sz="4" w:space="0" w:color="auto"/>
              <w:left w:val="nil"/>
              <w:bottom w:val="single" w:sz="4" w:space="0" w:color="auto"/>
              <w:right w:val="single" w:sz="4" w:space="0" w:color="auto"/>
            </w:tcBorders>
            <w:vAlign w:val="center"/>
          </w:tcPr>
          <w:p w14:paraId="0872BA1F"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CUSTM000426</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345AE532"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690,765</w:t>
            </w:r>
          </w:p>
        </w:tc>
        <w:tc>
          <w:tcPr>
            <w:tcW w:w="465" w:type="pct"/>
            <w:tcBorders>
              <w:top w:val="nil"/>
              <w:left w:val="nil"/>
              <w:bottom w:val="single" w:sz="4" w:space="0" w:color="auto"/>
              <w:right w:val="single" w:sz="4" w:space="0" w:color="auto"/>
            </w:tcBorders>
            <w:shd w:val="clear" w:color="auto" w:fill="auto"/>
            <w:noWrap/>
            <w:vAlign w:val="center"/>
          </w:tcPr>
          <w:p w14:paraId="1E176FE8"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Especiales</w:t>
            </w:r>
          </w:p>
        </w:tc>
        <w:tc>
          <w:tcPr>
            <w:tcW w:w="446" w:type="pct"/>
            <w:tcBorders>
              <w:top w:val="nil"/>
              <w:left w:val="nil"/>
              <w:bottom w:val="single" w:sz="4" w:space="0" w:color="auto"/>
              <w:right w:val="single" w:sz="4" w:space="0" w:color="auto"/>
            </w:tcBorders>
            <w:shd w:val="clear" w:color="auto" w:fill="auto"/>
            <w:noWrap/>
            <w:vAlign w:val="center"/>
          </w:tcPr>
          <w:p w14:paraId="042CC85D"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450F4A4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2,18</w:t>
            </w:r>
          </w:p>
        </w:tc>
        <w:tc>
          <w:tcPr>
            <w:tcW w:w="217" w:type="pct"/>
            <w:tcBorders>
              <w:top w:val="nil"/>
              <w:left w:val="nil"/>
              <w:bottom w:val="single" w:sz="4" w:space="0" w:color="auto"/>
              <w:right w:val="single" w:sz="4" w:space="0" w:color="auto"/>
            </w:tcBorders>
            <w:shd w:val="clear" w:color="auto" w:fill="auto"/>
            <w:noWrap/>
            <w:vAlign w:val="center"/>
          </w:tcPr>
          <w:p w14:paraId="76A1BCB1"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5D0BAE7"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39EF946"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24CDC59A"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0522704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20,722,950</w:t>
            </w:r>
          </w:p>
        </w:tc>
      </w:tr>
      <w:tr w:rsidR="004A2978" w:rsidRPr="004A2978" w14:paraId="2767F1A8"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F3EE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Granadillo-Agrado-Huila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4EBCF63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3/4 pulg. en Zona Verde</w:t>
            </w:r>
          </w:p>
        </w:tc>
        <w:tc>
          <w:tcPr>
            <w:tcW w:w="549" w:type="pct"/>
            <w:gridSpan w:val="2"/>
            <w:tcBorders>
              <w:top w:val="single" w:sz="4" w:space="0" w:color="auto"/>
              <w:left w:val="nil"/>
              <w:bottom w:val="single" w:sz="4" w:space="0" w:color="auto"/>
              <w:right w:val="single" w:sz="4" w:space="0" w:color="auto"/>
            </w:tcBorders>
            <w:vAlign w:val="center"/>
          </w:tcPr>
          <w:p w14:paraId="423D7A3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TPE3/4ZV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4B863D3D"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20,016,238</w:t>
            </w:r>
          </w:p>
        </w:tc>
        <w:tc>
          <w:tcPr>
            <w:tcW w:w="465" w:type="pct"/>
            <w:tcBorders>
              <w:top w:val="nil"/>
              <w:left w:val="nil"/>
              <w:bottom w:val="single" w:sz="4" w:space="0" w:color="auto"/>
              <w:right w:val="single" w:sz="4" w:space="0" w:color="auto"/>
            </w:tcBorders>
            <w:shd w:val="clear" w:color="auto" w:fill="auto"/>
            <w:noWrap/>
            <w:vAlign w:val="center"/>
          </w:tcPr>
          <w:p w14:paraId="77E81BE8"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1E838FD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3830F43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3,26</w:t>
            </w:r>
          </w:p>
        </w:tc>
        <w:tc>
          <w:tcPr>
            <w:tcW w:w="217" w:type="pct"/>
            <w:tcBorders>
              <w:top w:val="nil"/>
              <w:left w:val="nil"/>
              <w:bottom w:val="single" w:sz="4" w:space="0" w:color="auto"/>
              <w:right w:val="single" w:sz="4" w:space="0" w:color="auto"/>
            </w:tcBorders>
            <w:shd w:val="clear" w:color="auto" w:fill="auto"/>
            <w:noWrap/>
            <w:vAlign w:val="center"/>
          </w:tcPr>
          <w:p w14:paraId="49156055"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41D76DE"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9660243"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29716F20"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7FC0ED9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49,753,537</w:t>
            </w:r>
          </w:p>
        </w:tc>
      </w:tr>
      <w:tr w:rsidR="004A2978" w:rsidRPr="004A2978" w14:paraId="29E638CA"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E833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Granadillo-Agrado-Huila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16ED806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1 pulg. en Zona Verde</w:t>
            </w:r>
          </w:p>
        </w:tc>
        <w:tc>
          <w:tcPr>
            <w:tcW w:w="549" w:type="pct"/>
            <w:gridSpan w:val="2"/>
            <w:tcBorders>
              <w:top w:val="single" w:sz="4" w:space="0" w:color="auto"/>
              <w:left w:val="nil"/>
              <w:bottom w:val="single" w:sz="4" w:space="0" w:color="auto"/>
              <w:right w:val="single" w:sz="4" w:space="0" w:color="auto"/>
            </w:tcBorders>
            <w:vAlign w:val="center"/>
          </w:tcPr>
          <w:p w14:paraId="3063763D"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TPE1ZV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72BBC9F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22,800,799</w:t>
            </w:r>
          </w:p>
        </w:tc>
        <w:tc>
          <w:tcPr>
            <w:tcW w:w="465" w:type="pct"/>
            <w:tcBorders>
              <w:top w:val="nil"/>
              <w:left w:val="nil"/>
              <w:bottom w:val="single" w:sz="4" w:space="0" w:color="auto"/>
              <w:right w:val="single" w:sz="4" w:space="0" w:color="auto"/>
            </w:tcBorders>
            <w:shd w:val="clear" w:color="auto" w:fill="auto"/>
            <w:noWrap/>
            <w:vAlign w:val="center"/>
          </w:tcPr>
          <w:p w14:paraId="293EFCD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7076994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10E3E69B"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30</w:t>
            </w:r>
          </w:p>
        </w:tc>
        <w:tc>
          <w:tcPr>
            <w:tcW w:w="217" w:type="pct"/>
            <w:tcBorders>
              <w:top w:val="nil"/>
              <w:left w:val="nil"/>
              <w:bottom w:val="single" w:sz="4" w:space="0" w:color="auto"/>
              <w:right w:val="single" w:sz="4" w:space="0" w:color="auto"/>
            </w:tcBorders>
            <w:shd w:val="clear" w:color="auto" w:fill="auto"/>
            <w:noWrap/>
            <w:vAlign w:val="center"/>
          </w:tcPr>
          <w:p w14:paraId="121294AA"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DDDF4C1"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77037663"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5AE1B1EB"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1F736B4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45,874,222</w:t>
            </w:r>
          </w:p>
        </w:tc>
      </w:tr>
      <w:tr w:rsidR="004A2978" w:rsidRPr="004A2978" w14:paraId="437C0917"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D5C4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Granadillo-Agrado-Huila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0168C5F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2 pulg. en Zona Verde</w:t>
            </w:r>
          </w:p>
        </w:tc>
        <w:tc>
          <w:tcPr>
            <w:tcW w:w="549" w:type="pct"/>
            <w:gridSpan w:val="2"/>
            <w:tcBorders>
              <w:top w:val="single" w:sz="4" w:space="0" w:color="auto"/>
              <w:left w:val="nil"/>
              <w:bottom w:val="single" w:sz="4" w:space="0" w:color="auto"/>
              <w:right w:val="single" w:sz="4" w:space="0" w:color="auto"/>
            </w:tcBorders>
            <w:vAlign w:val="center"/>
          </w:tcPr>
          <w:p w14:paraId="2B7E54FE"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TPE2ZV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288F5D18"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34,760,633</w:t>
            </w:r>
          </w:p>
        </w:tc>
        <w:tc>
          <w:tcPr>
            <w:tcW w:w="465" w:type="pct"/>
            <w:tcBorders>
              <w:top w:val="nil"/>
              <w:left w:val="nil"/>
              <w:bottom w:val="single" w:sz="4" w:space="0" w:color="auto"/>
              <w:right w:val="single" w:sz="4" w:space="0" w:color="auto"/>
            </w:tcBorders>
            <w:shd w:val="clear" w:color="auto" w:fill="auto"/>
            <w:noWrap/>
            <w:vAlign w:val="center"/>
          </w:tcPr>
          <w:p w14:paraId="1EF31F1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6FFC5FC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3FF2B4B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2,48</w:t>
            </w:r>
          </w:p>
        </w:tc>
        <w:tc>
          <w:tcPr>
            <w:tcW w:w="217" w:type="pct"/>
            <w:tcBorders>
              <w:top w:val="nil"/>
              <w:left w:val="nil"/>
              <w:bottom w:val="single" w:sz="4" w:space="0" w:color="auto"/>
              <w:right w:val="single" w:sz="4" w:space="0" w:color="auto"/>
            </w:tcBorders>
            <w:shd w:val="clear" w:color="auto" w:fill="auto"/>
            <w:noWrap/>
            <w:vAlign w:val="center"/>
          </w:tcPr>
          <w:p w14:paraId="5D0B106A"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C81A71A"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64F435D5"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07C21EB9"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3D2159BA"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104,555,306</w:t>
            </w:r>
          </w:p>
        </w:tc>
      </w:tr>
      <w:tr w:rsidR="004A2978" w:rsidRPr="004A2978" w14:paraId="516F3A5B"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58D0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Alto Buenavista-Agrado-Huila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20AF041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3/4 pulg. en Zona Verde</w:t>
            </w:r>
          </w:p>
        </w:tc>
        <w:tc>
          <w:tcPr>
            <w:tcW w:w="549" w:type="pct"/>
            <w:gridSpan w:val="2"/>
            <w:tcBorders>
              <w:top w:val="single" w:sz="4" w:space="0" w:color="auto"/>
              <w:left w:val="nil"/>
              <w:bottom w:val="single" w:sz="4" w:space="0" w:color="auto"/>
              <w:right w:val="single" w:sz="4" w:space="0" w:color="auto"/>
            </w:tcBorders>
            <w:vAlign w:val="center"/>
          </w:tcPr>
          <w:p w14:paraId="753C4D4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TPE3/4ZV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256C963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20,016,238</w:t>
            </w:r>
          </w:p>
        </w:tc>
        <w:tc>
          <w:tcPr>
            <w:tcW w:w="465" w:type="pct"/>
            <w:tcBorders>
              <w:top w:val="nil"/>
              <w:left w:val="nil"/>
              <w:bottom w:val="single" w:sz="4" w:space="0" w:color="auto"/>
              <w:right w:val="single" w:sz="4" w:space="0" w:color="auto"/>
            </w:tcBorders>
            <w:shd w:val="clear" w:color="auto" w:fill="auto"/>
            <w:noWrap/>
            <w:vAlign w:val="center"/>
          </w:tcPr>
          <w:p w14:paraId="51CBD9DB"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1471758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5FB6CD7A"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2,01</w:t>
            </w:r>
          </w:p>
        </w:tc>
        <w:tc>
          <w:tcPr>
            <w:tcW w:w="217" w:type="pct"/>
            <w:tcBorders>
              <w:top w:val="nil"/>
              <w:left w:val="nil"/>
              <w:bottom w:val="single" w:sz="4" w:space="0" w:color="auto"/>
              <w:right w:val="single" w:sz="4" w:space="0" w:color="auto"/>
            </w:tcBorders>
            <w:shd w:val="clear" w:color="auto" w:fill="auto"/>
            <w:noWrap/>
            <w:vAlign w:val="center"/>
          </w:tcPr>
          <w:p w14:paraId="02F5B0D1"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68D0031"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A4D2F79"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4E22ED01"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2CEB141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28,671,530</w:t>
            </w:r>
          </w:p>
        </w:tc>
      </w:tr>
      <w:tr w:rsidR="004A2978" w:rsidRPr="004A2978" w14:paraId="52CAAA44"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E9A2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Alto Buenavista-Agrado-Huila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380C0BD4"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1 pulg. en Zona Verde</w:t>
            </w:r>
          </w:p>
        </w:tc>
        <w:tc>
          <w:tcPr>
            <w:tcW w:w="549" w:type="pct"/>
            <w:gridSpan w:val="2"/>
            <w:tcBorders>
              <w:top w:val="single" w:sz="4" w:space="0" w:color="auto"/>
              <w:left w:val="nil"/>
              <w:bottom w:val="single" w:sz="4" w:space="0" w:color="auto"/>
              <w:right w:val="single" w:sz="4" w:space="0" w:color="auto"/>
            </w:tcBorders>
            <w:vAlign w:val="center"/>
          </w:tcPr>
          <w:p w14:paraId="412E990F"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TPE1ZV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33B2B482"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22,800,799</w:t>
            </w:r>
          </w:p>
        </w:tc>
        <w:tc>
          <w:tcPr>
            <w:tcW w:w="465" w:type="pct"/>
            <w:tcBorders>
              <w:top w:val="nil"/>
              <w:left w:val="nil"/>
              <w:bottom w:val="single" w:sz="4" w:space="0" w:color="auto"/>
              <w:right w:val="single" w:sz="4" w:space="0" w:color="auto"/>
            </w:tcBorders>
            <w:shd w:val="clear" w:color="auto" w:fill="auto"/>
            <w:noWrap/>
            <w:vAlign w:val="center"/>
          </w:tcPr>
          <w:p w14:paraId="69C3B3D2"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13D65BE7"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219073E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3,00</w:t>
            </w:r>
          </w:p>
        </w:tc>
        <w:tc>
          <w:tcPr>
            <w:tcW w:w="217" w:type="pct"/>
            <w:tcBorders>
              <w:top w:val="nil"/>
              <w:left w:val="nil"/>
              <w:bottom w:val="single" w:sz="4" w:space="0" w:color="auto"/>
              <w:right w:val="single" w:sz="4" w:space="0" w:color="auto"/>
            </w:tcBorders>
            <w:shd w:val="clear" w:color="auto" w:fill="auto"/>
            <w:noWrap/>
            <w:vAlign w:val="center"/>
          </w:tcPr>
          <w:p w14:paraId="3DBA32BD"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2B3958C0"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20E7A4B"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10766019"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2851522F"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26,435,992</w:t>
            </w:r>
          </w:p>
        </w:tc>
      </w:tr>
      <w:tr w:rsidR="004A2978" w:rsidRPr="004A2978" w14:paraId="45317983"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2E0B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Alto Buenavista-Agrado-Huila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57A2FF6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2 pulg. en Zona Verde</w:t>
            </w:r>
          </w:p>
        </w:tc>
        <w:tc>
          <w:tcPr>
            <w:tcW w:w="549" w:type="pct"/>
            <w:gridSpan w:val="2"/>
            <w:tcBorders>
              <w:top w:val="single" w:sz="4" w:space="0" w:color="auto"/>
              <w:left w:val="nil"/>
              <w:bottom w:val="single" w:sz="4" w:space="0" w:color="auto"/>
              <w:right w:val="single" w:sz="4" w:space="0" w:color="auto"/>
            </w:tcBorders>
            <w:vAlign w:val="center"/>
          </w:tcPr>
          <w:p w14:paraId="232C099A"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TPE2ZV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6B7918DB"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34,760,633</w:t>
            </w:r>
          </w:p>
        </w:tc>
        <w:tc>
          <w:tcPr>
            <w:tcW w:w="465" w:type="pct"/>
            <w:tcBorders>
              <w:top w:val="nil"/>
              <w:left w:val="nil"/>
              <w:bottom w:val="single" w:sz="4" w:space="0" w:color="auto"/>
              <w:right w:val="single" w:sz="4" w:space="0" w:color="auto"/>
            </w:tcBorders>
            <w:shd w:val="clear" w:color="auto" w:fill="auto"/>
            <w:noWrap/>
            <w:vAlign w:val="center"/>
          </w:tcPr>
          <w:p w14:paraId="1FBB877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7847B385"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71BEDB5E"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1,43</w:t>
            </w:r>
          </w:p>
        </w:tc>
        <w:tc>
          <w:tcPr>
            <w:tcW w:w="217" w:type="pct"/>
            <w:tcBorders>
              <w:top w:val="nil"/>
              <w:left w:val="nil"/>
              <w:bottom w:val="single" w:sz="4" w:space="0" w:color="auto"/>
              <w:right w:val="single" w:sz="4" w:space="0" w:color="auto"/>
            </w:tcBorders>
            <w:shd w:val="clear" w:color="auto" w:fill="auto"/>
            <w:noWrap/>
            <w:vAlign w:val="center"/>
          </w:tcPr>
          <w:p w14:paraId="41F28E46"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b/>
                <w:bCs/>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148E747"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34DD4C16"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28BCB1CC"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69FDB5B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60,252,210</w:t>
            </w:r>
          </w:p>
        </w:tc>
      </w:tr>
      <w:tr w:rsidR="004A2978" w:rsidRPr="004A2978" w14:paraId="4A351626"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F615F"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Las Juntas-Santa María-Huila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671737A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3/4 pulg. en Zona Verde</w:t>
            </w:r>
          </w:p>
        </w:tc>
        <w:tc>
          <w:tcPr>
            <w:tcW w:w="549" w:type="pct"/>
            <w:gridSpan w:val="2"/>
            <w:tcBorders>
              <w:top w:val="single" w:sz="4" w:space="0" w:color="auto"/>
              <w:left w:val="nil"/>
              <w:bottom w:val="single" w:sz="4" w:space="0" w:color="auto"/>
              <w:right w:val="single" w:sz="4" w:space="0" w:color="auto"/>
            </w:tcBorders>
            <w:vAlign w:val="center"/>
          </w:tcPr>
          <w:p w14:paraId="00BDE53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TPE3/4ZV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100F64FF"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20,016,238</w:t>
            </w:r>
          </w:p>
        </w:tc>
        <w:tc>
          <w:tcPr>
            <w:tcW w:w="465" w:type="pct"/>
            <w:tcBorders>
              <w:top w:val="nil"/>
              <w:left w:val="nil"/>
              <w:bottom w:val="single" w:sz="4" w:space="0" w:color="auto"/>
              <w:right w:val="single" w:sz="4" w:space="0" w:color="auto"/>
            </w:tcBorders>
            <w:shd w:val="clear" w:color="auto" w:fill="auto"/>
            <w:noWrap/>
            <w:vAlign w:val="center"/>
          </w:tcPr>
          <w:p w14:paraId="39A2415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20B15626"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Secundaria</w:t>
            </w:r>
          </w:p>
        </w:tc>
        <w:tc>
          <w:tcPr>
            <w:tcW w:w="217" w:type="pct"/>
            <w:tcBorders>
              <w:top w:val="nil"/>
              <w:left w:val="nil"/>
              <w:bottom w:val="single" w:sz="4" w:space="0" w:color="auto"/>
              <w:right w:val="single" w:sz="4" w:space="0" w:color="auto"/>
            </w:tcBorders>
            <w:shd w:val="clear" w:color="auto" w:fill="auto"/>
            <w:noWrap/>
            <w:vAlign w:val="center"/>
          </w:tcPr>
          <w:p w14:paraId="4E42C02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1,15</w:t>
            </w:r>
          </w:p>
        </w:tc>
        <w:tc>
          <w:tcPr>
            <w:tcW w:w="217" w:type="pct"/>
            <w:tcBorders>
              <w:top w:val="nil"/>
              <w:left w:val="nil"/>
              <w:bottom w:val="single" w:sz="4" w:space="0" w:color="auto"/>
              <w:right w:val="single" w:sz="4" w:space="0" w:color="auto"/>
            </w:tcBorders>
            <w:shd w:val="clear" w:color="auto" w:fill="auto"/>
            <w:noWrap/>
            <w:vAlign w:val="center"/>
          </w:tcPr>
          <w:p w14:paraId="71D18109"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0D502850"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57274A38"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19573949"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423D716C"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32,446,323</w:t>
            </w:r>
          </w:p>
        </w:tc>
      </w:tr>
      <w:tr w:rsidR="004A2978" w:rsidRPr="004A2978" w14:paraId="5EE44467" w14:textId="77777777" w:rsidTr="006A4820">
        <w:trPr>
          <w:trHeight w:val="270"/>
          <w:jc w:val="center"/>
        </w:trPr>
        <w:tc>
          <w:tcPr>
            <w:tcW w:w="61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F8871"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Vereda Las Juntas-Santa María-Huila</w:t>
            </w:r>
          </w:p>
        </w:tc>
        <w:tc>
          <w:tcPr>
            <w:tcW w:w="849" w:type="pct"/>
            <w:tcBorders>
              <w:top w:val="single" w:sz="4" w:space="0" w:color="auto"/>
              <w:left w:val="nil"/>
              <w:bottom w:val="single" w:sz="4" w:space="0" w:color="auto"/>
              <w:right w:val="single" w:sz="4" w:space="0" w:color="auto"/>
            </w:tcBorders>
            <w:shd w:val="clear" w:color="auto" w:fill="auto"/>
            <w:noWrap/>
            <w:vAlign w:val="center"/>
          </w:tcPr>
          <w:p w14:paraId="104252B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Tubería de Polietileno de 2 pulg. en Zona Verde</w:t>
            </w:r>
          </w:p>
        </w:tc>
        <w:tc>
          <w:tcPr>
            <w:tcW w:w="549" w:type="pct"/>
            <w:gridSpan w:val="2"/>
            <w:tcBorders>
              <w:top w:val="single" w:sz="4" w:space="0" w:color="auto"/>
              <w:left w:val="nil"/>
              <w:bottom w:val="single" w:sz="4" w:space="0" w:color="auto"/>
              <w:right w:val="single" w:sz="4" w:space="0" w:color="auto"/>
            </w:tcBorders>
            <w:vAlign w:val="center"/>
          </w:tcPr>
          <w:p w14:paraId="5B6AD25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TPE2ZV</w:t>
            </w:r>
          </w:p>
        </w:tc>
        <w:tc>
          <w:tcPr>
            <w:tcW w:w="446" w:type="pct"/>
            <w:tcBorders>
              <w:top w:val="nil"/>
              <w:left w:val="single" w:sz="4" w:space="0" w:color="auto"/>
              <w:bottom w:val="single" w:sz="4" w:space="0" w:color="auto"/>
              <w:right w:val="single" w:sz="4" w:space="0" w:color="auto"/>
            </w:tcBorders>
            <w:shd w:val="clear" w:color="auto" w:fill="auto"/>
            <w:noWrap/>
            <w:vAlign w:val="center"/>
          </w:tcPr>
          <w:p w14:paraId="2C139052"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34,760,633</w:t>
            </w:r>
          </w:p>
        </w:tc>
        <w:tc>
          <w:tcPr>
            <w:tcW w:w="465" w:type="pct"/>
            <w:tcBorders>
              <w:top w:val="nil"/>
              <w:left w:val="nil"/>
              <w:bottom w:val="single" w:sz="4" w:space="0" w:color="auto"/>
              <w:right w:val="single" w:sz="4" w:space="0" w:color="auto"/>
            </w:tcBorders>
            <w:shd w:val="clear" w:color="auto" w:fill="auto"/>
            <w:noWrap/>
            <w:vAlign w:val="center"/>
          </w:tcPr>
          <w:p w14:paraId="05946F49"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Activos Inherentes a la Operación</w:t>
            </w:r>
          </w:p>
        </w:tc>
        <w:tc>
          <w:tcPr>
            <w:tcW w:w="446" w:type="pct"/>
            <w:tcBorders>
              <w:top w:val="nil"/>
              <w:left w:val="nil"/>
              <w:bottom w:val="single" w:sz="4" w:space="0" w:color="auto"/>
              <w:right w:val="single" w:sz="4" w:space="0" w:color="auto"/>
            </w:tcBorders>
            <w:shd w:val="clear" w:color="auto" w:fill="auto"/>
            <w:noWrap/>
            <w:vAlign w:val="center"/>
          </w:tcPr>
          <w:p w14:paraId="2A7E00AA"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Primaria</w:t>
            </w:r>
          </w:p>
        </w:tc>
        <w:tc>
          <w:tcPr>
            <w:tcW w:w="217" w:type="pct"/>
            <w:tcBorders>
              <w:top w:val="nil"/>
              <w:left w:val="nil"/>
              <w:bottom w:val="single" w:sz="4" w:space="0" w:color="auto"/>
              <w:right w:val="single" w:sz="4" w:space="0" w:color="auto"/>
            </w:tcBorders>
            <w:shd w:val="clear" w:color="auto" w:fill="auto"/>
            <w:noWrap/>
            <w:vAlign w:val="center"/>
          </w:tcPr>
          <w:p w14:paraId="3EEC35A0"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1,73</w:t>
            </w:r>
          </w:p>
        </w:tc>
        <w:tc>
          <w:tcPr>
            <w:tcW w:w="217" w:type="pct"/>
            <w:tcBorders>
              <w:top w:val="nil"/>
              <w:left w:val="nil"/>
              <w:bottom w:val="single" w:sz="4" w:space="0" w:color="auto"/>
              <w:right w:val="single" w:sz="4" w:space="0" w:color="auto"/>
            </w:tcBorders>
            <w:shd w:val="clear" w:color="auto" w:fill="auto"/>
            <w:noWrap/>
            <w:vAlign w:val="center"/>
          </w:tcPr>
          <w:p w14:paraId="06D219FD" w14:textId="77777777" w:rsidR="004A2978" w:rsidRPr="004A2978" w:rsidRDefault="004A2978" w:rsidP="004A2978">
            <w:pPr>
              <w:ind w:left="0"/>
              <w:jc w:val="center"/>
              <w:rPr>
                <w:rFonts w:ascii="Bookman Old Style" w:hAnsi="Bookman Old Style" w:cs="Arial"/>
                <w:b/>
                <w:bCs/>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453BB0BD"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17" w:type="pct"/>
            <w:tcBorders>
              <w:top w:val="nil"/>
              <w:left w:val="nil"/>
              <w:bottom w:val="single" w:sz="4" w:space="0" w:color="auto"/>
              <w:right w:val="single" w:sz="4" w:space="0" w:color="auto"/>
            </w:tcBorders>
            <w:shd w:val="clear" w:color="auto" w:fill="auto"/>
            <w:noWrap/>
            <w:vAlign w:val="center"/>
          </w:tcPr>
          <w:p w14:paraId="1DF8147C"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222" w:type="pct"/>
            <w:tcBorders>
              <w:top w:val="nil"/>
              <w:left w:val="nil"/>
              <w:bottom w:val="single" w:sz="4" w:space="0" w:color="auto"/>
              <w:right w:val="single" w:sz="4" w:space="0" w:color="auto"/>
            </w:tcBorders>
            <w:shd w:val="clear" w:color="auto" w:fill="auto"/>
            <w:noWrap/>
            <w:vAlign w:val="center"/>
          </w:tcPr>
          <w:p w14:paraId="51369A02"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w:t>
            </w:r>
          </w:p>
        </w:tc>
        <w:tc>
          <w:tcPr>
            <w:tcW w:w="541" w:type="pct"/>
            <w:tcBorders>
              <w:top w:val="nil"/>
              <w:left w:val="nil"/>
              <w:bottom w:val="single" w:sz="4" w:space="0" w:color="auto"/>
              <w:right w:val="single" w:sz="4" w:space="0" w:color="auto"/>
            </w:tcBorders>
            <w:shd w:val="clear" w:color="auto" w:fill="auto"/>
            <w:noWrap/>
            <w:vAlign w:val="center"/>
          </w:tcPr>
          <w:p w14:paraId="36BF2B13" w14:textId="77777777" w:rsidR="004A2978" w:rsidRPr="004A2978" w:rsidRDefault="004A2978" w:rsidP="004A2978">
            <w:pPr>
              <w:ind w:left="0"/>
              <w:jc w:val="center"/>
              <w:rPr>
                <w:rFonts w:ascii="Bookman Old Style" w:hAnsi="Bookman Old Style" w:cs="Arial"/>
                <w:color w:val="000000"/>
                <w:sz w:val="11"/>
                <w:szCs w:val="11"/>
                <w:lang w:val="es-CO" w:eastAsia="es-CO"/>
              </w:rPr>
            </w:pPr>
            <w:r w:rsidRPr="004A2978">
              <w:rPr>
                <w:rFonts w:ascii="Bookman Old Style" w:hAnsi="Bookman Old Style" w:cs="Arial"/>
                <w:color w:val="000000"/>
                <w:sz w:val="11"/>
                <w:szCs w:val="11"/>
                <w:lang w:val="es-CO" w:eastAsia="es-CO"/>
              </w:rPr>
              <w:t>126,320,141</w:t>
            </w:r>
          </w:p>
        </w:tc>
      </w:tr>
      <w:tr w:rsidR="006A4820" w:rsidRPr="004A2978" w14:paraId="6120B5C0" w14:textId="77777777" w:rsidTr="006A4820">
        <w:trPr>
          <w:trHeight w:val="270"/>
          <w:jc w:val="center"/>
        </w:trPr>
        <w:tc>
          <w:tcPr>
            <w:tcW w:w="617" w:type="pct"/>
            <w:tcBorders>
              <w:top w:val="single" w:sz="4" w:space="0" w:color="auto"/>
            </w:tcBorders>
            <w:shd w:val="clear" w:color="auto" w:fill="auto"/>
            <w:noWrap/>
            <w:vAlign w:val="center"/>
          </w:tcPr>
          <w:p w14:paraId="76210EB6" w14:textId="77777777" w:rsidR="004A2978" w:rsidRPr="004A2978" w:rsidRDefault="004A2978" w:rsidP="004A2978">
            <w:pPr>
              <w:ind w:left="0"/>
              <w:jc w:val="center"/>
              <w:rPr>
                <w:rFonts w:ascii="Bookman Old Style" w:hAnsi="Bookman Old Style" w:cs="Arial"/>
                <w:sz w:val="11"/>
                <w:szCs w:val="11"/>
                <w:lang w:val="es-CO" w:eastAsia="es-CO"/>
              </w:rPr>
            </w:pPr>
          </w:p>
        </w:tc>
        <w:tc>
          <w:tcPr>
            <w:tcW w:w="849" w:type="pct"/>
            <w:tcBorders>
              <w:top w:val="single" w:sz="4" w:space="0" w:color="auto"/>
            </w:tcBorders>
            <w:shd w:val="clear" w:color="auto" w:fill="auto"/>
            <w:noWrap/>
            <w:vAlign w:val="center"/>
          </w:tcPr>
          <w:p w14:paraId="6D3E6083" w14:textId="77777777" w:rsidR="004A2978" w:rsidRPr="004A2978" w:rsidRDefault="004A2978" w:rsidP="004A2978">
            <w:pPr>
              <w:ind w:left="0"/>
              <w:jc w:val="center"/>
              <w:rPr>
                <w:rFonts w:ascii="Bookman Old Style" w:hAnsi="Bookman Old Style" w:cs="Arial"/>
                <w:sz w:val="11"/>
                <w:szCs w:val="11"/>
                <w:lang w:val="es-CO" w:eastAsia="es-CO"/>
              </w:rPr>
            </w:pPr>
          </w:p>
        </w:tc>
        <w:tc>
          <w:tcPr>
            <w:tcW w:w="351" w:type="pct"/>
            <w:tcBorders>
              <w:top w:val="single" w:sz="4" w:space="0" w:color="auto"/>
            </w:tcBorders>
            <w:vAlign w:val="center"/>
          </w:tcPr>
          <w:p w14:paraId="0D09804C" w14:textId="77777777" w:rsidR="004A2978" w:rsidRPr="004A2978" w:rsidRDefault="004A2978" w:rsidP="004A2978">
            <w:pPr>
              <w:ind w:left="0"/>
              <w:jc w:val="center"/>
              <w:rPr>
                <w:rFonts w:ascii="Bookman Old Style" w:hAnsi="Bookman Old Style" w:cs="Arial"/>
                <w:sz w:val="11"/>
                <w:szCs w:val="11"/>
                <w:lang w:val="es-CO" w:eastAsia="es-CO"/>
              </w:rPr>
            </w:pPr>
          </w:p>
        </w:tc>
        <w:tc>
          <w:tcPr>
            <w:tcW w:w="198" w:type="pct"/>
            <w:tcBorders>
              <w:top w:val="single" w:sz="4" w:space="0" w:color="auto"/>
            </w:tcBorders>
            <w:shd w:val="clear" w:color="auto" w:fill="auto"/>
            <w:noWrap/>
            <w:vAlign w:val="center"/>
          </w:tcPr>
          <w:p w14:paraId="408B9D14" w14:textId="77777777" w:rsidR="004A2978" w:rsidRPr="004A2978" w:rsidRDefault="004A2978" w:rsidP="004A2978">
            <w:pPr>
              <w:ind w:left="0"/>
              <w:jc w:val="center"/>
              <w:rPr>
                <w:rFonts w:ascii="Bookman Old Style" w:hAnsi="Bookman Old Style" w:cs="Arial"/>
                <w:sz w:val="11"/>
                <w:szCs w:val="11"/>
                <w:lang w:val="es-CO" w:eastAsia="es-CO"/>
              </w:rPr>
            </w:pPr>
          </w:p>
        </w:tc>
        <w:tc>
          <w:tcPr>
            <w:tcW w:w="446" w:type="pct"/>
            <w:tcBorders>
              <w:top w:val="single" w:sz="4" w:space="0" w:color="auto"/>
            </w:tcBorders>
            <w:shd w:val="clear" w:color="auto" w:fill="auto"/>
            <w:noWrap/>
            <w:vAlign w:val="center"/>
          </w:tcPr>
          <w:p w14:paraId="4715EE51" w14:textId="77777777" w:rsidR="004A2978" w:rsidRPr="004A2978" w:rsidRDefault="004A2978" w:rsidP="004A2978">
            <w:pPr>
              <w:ind w:left="0"/>
              <w:jc w:val="center"/>
              <w:rPr>
                <w:rFonts w:ascii="Bookman Old Style" w:hAnsi="Bookman Old Style" w:cs="Arial"/>
                <w:sz w:val="11"/>
                <w:szCs w:val="11"/>
                <w:lang w:val="es-CO" w:eastAsia="es-CO"/>
              </w:rPr>
            </w:pPr>
          </w:p>
        </w:tc>
        <w:tc>
          <w:tcPr>
            <w:tcW w:w="465" w:type="pct"/>
            <w:tcBorders>
              <w:top w:val="single" w:sz="4" w:space="0" w:color="auto"/>
            </w:tcBorders>
            <w:shd w:val="clear" w:color="auto" w:fill="auto"/>
            <w:noWrap/>
            <w:vAlign w:val="center"/>
          </w:tcPr>
          <w:p w14:paraId="2F648267" w14:textId="77777777" w:rsidR="004A2978" w:rsidRPr="004A2978" w:rsidRDefault="004A2978" w:rsidP="004A2978">
            <w:pPr>
              <w:ind w:left="0"/>
              <w:jc w:val="center"/>
              <w:rPr>
                <w:rFonts w:ascii="Bookman Old Style" w:hAnsi="Bookman Old Style" w:cs="Arial"/>
                <w:sz w:val="11"/>
                <w:szCs w:val="11"/>
                <w:lang w:val="es-CO" w:eastAsia="es-CO"/>
              </w:rPr>
            </w:pPr>
          </w:p>
        </w:tc>
        <w:tc>
          <w:tcPr>
            <w:tcW w:w="446" w:type="pct"/>
            <w:tcBorders>
              <w:top w:val="single" w:sz="4" w:space="0" w:color="auto"/>
              <w:right w:val="single" w:sz="4" w:space="0" w:color="auto"/>
            </w:tcBorders>
            <w:shd w:val="clear" w:color="auto" w:fill="auto"/>
            <w:noWrap/>
            <w:vAlign w:val="center"/>
          </w:tcPr>
          <w:p w14:paraId="3DEB6F40" w14:textId="77777777" w:rsidR="004A2978" w:rsidRPr="004A2978" w:rsidRDefault="004A2978" w:rsidP="004A2978">
            <w:pPr>
              <w:ind w:left="0"/>
              <w:jc w:val="center"/>
              <w:rPr>
                <w:rFonts w:ascii="Bookman Old Style" w:hAnsi="Bookman Old Style" w:cs="Arial"/>
                <w:sz w:val="11"/>
                <w:szCs w:val="11"/>
                <w:lang w:val="es-CO" w:eastAsia="es-CO"/>
              </w:rPr>
            </w:pPr>
          </w:p>
        </w:tc>
        <w:tc>
          <w:tcPr>
            <w:tcW w:w="1089"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17CF2F"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b/>
                <w:sz w:val="11"/>
                <w:szCs w:val="11"/>
                <w:lang w:val="es-CO" w:eastAsia="es-CO"/>
              </w:rPr>
              <w:t>TOTAL</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3E4E4" w14:textId="77777777" w:rsidR="004A2978" w:rsidRPr="004A2978" w:rsidRDefault="004A2978" w:rsidP="004A2978">
            <w:pPr>
              <w:ind w:left="0"/>
              <w:jc w:val="center"/>
              <w:rPr>
                <w:rFonts w:ascii="Bookman Old Style" w:hAnsi="Bookman Old Style" w:cs="Arial"/>
                <w:sz w:val="11"/>
                <w:szCs w:val="11"/>
                <w:lang w:val="es-CO" w:eastAsia="es-CO"/>
              </w:rPr>
            </w:pPr>
            <w:r w:rsidRPr="004A2978">
              <w:rPr>
                <w:rFonts w:ascii="Bookman Old Style" w:hAnsi="Bookman Old Style" w:cs="Arial"/>
                <w:sz w:val="11"/>
                <w:szCs w:val="11"/>
                <w:lang w:val="es-CO" w:eastAsia="es-CO"/>
              </w:rPr>
              <w:t>1,351,294,887</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2EA3C099"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6A4820">
        <w:rPr>
          <w:rFonts w:ascii="Bookman Old Style" w:hAnsi="Bookman Old Style" w:cs="Arial"/>
          <w:bCs/>
          <w:sz w:val="20"/>
          <w:szCs w:val="20"/>
        </w:rPr>
        <w:t>8</w:t>
      </w:r>
      <w:r w:rsidRPr="00B20813">
        <w:rPr>
          <w:rFonts w:ascii="Bookman Old Style" w:hAnsi="Bookman Old Style" w:cs="Arial"/>
          <w:bCs/>
          <w:sz w:val="20"/>
          <w:szCs w:val="20"/>
        </w:rPr>
        <w:t>)</w:t>
      </w:r>
    </w:p>
    <w:p w14:paraId="5F508D69" w14:textId="5B20786F" w:rsidR="00273C2C" w:rsidRDefault="00273C2C" w:rsidP="00341E8F">
      <w:pPr>
        <w:widowControl w:val="0"/>
        <w:adjustRightInd w:val="0"/>
        <w:ind w:left="0"/>
        <w:jc w:val="center"/>
        <w:rPr>
          <w:rFonts w:ascii="Bookman Old Style" w:hAnsi="Bookman Old Style" w:cs="Arial"/>
          <w:bCs/>
          <w:sz w:val="20"/>
        </w:rPr>
      </w:pPr>
    </w:p>
    <w:p w14:paraId="07B925C6" w14:textId="64EAE289" w:rsidR="006A4820" w:rsidRDefault="006A4820" w:rsidP="00341E8F">
      <w:pPr>
        <w:widowControl w:val="0"/>
        <w:adjustRightInd w:val="0"/>
        <w:ind w:left="0"/>
        <w:jc w:val="center"/>
        <w:rPr>
          <w:rFonts w:ascii="Bookman Old Style" w:hAnsi="Bookman Old Style" w:cs="Arial"/>
          <w:bCs/>
          <w:sz w:val="20"/>
        </w:rPr>
      </w:pPr>
    </w:p>
    <w:p w14:paraId="22019829" w14:textId="77777777" w:rsidR="006A4820" w:rsidRPr="001954E9" w:rsidRDefault="006A4820" w:rsidP="00341E8F">
      <w:pPr>
        <w:widowControl w:val="0"/>
        <w:adjustRightInd w:val="0"/>
        <w:ind w:left="0"/>
        <w:jc w:val="center"/>
        <w:rPr>
          <w:rFonts w:ascii="Bookman Old Style" w:hAnsi="Bookman Old Style" w:cs="Arial"/>
          <w:bCs/>
          <w:sz w:val="20"/>
        </w:rPr>
      </w:pPr>
    </w:p>
    <w:p w14:paraId="1426526E" w14:textId="1D34F039" w:rsidR="00E44C2A" w:rsidRDefault="00E44C2A" w:rsidP="00341E8F">
      <w:pPr>
        <w:widowControl w:val="0"/>
        <w:adjustRightInd w:val="0"/>
        <w:ind w:left="0"/>
        <w:jc w:val="center"/>
        <w:rPr>
          <w:rFonts w:ascii="Bookman Old Style" w:hAnsi="Bookman Old Style" w:cs="Arial"/>
          <w:bCs/>
          <w:sz w:val="20"/>
        </w:rPr>
      </w:pPr>
    </w:p>
    <w:p w14:paraId="12F07F45" w14:textId="70A13F62" w:rsidR="00E44C2A" w:rsidRDefault="00E44C2A" w:rsidP="00341E8F">
      <w:pPr>
        <w:widowControl w:val="0"/>
        <w:adjustRightInd w:val="0"/>
        <w:ind w:left="0"/>
        <w:jc w:val="center"/>
        <w:rPr>
          <w:rFonts w:ascii="Bookman Old Style" w:hAnsi="Bookman Old Style" w:cs="Arial"/>
          <w:bCs/>
          <w:sz w:val="20"/>
        </w:rPr>
      </w:pPr>
    </w:p>
    <w:p w14:paraId="75099328" w14:textId="3B5D6AD2" w:rsidR="0014069D" w:rsidRDefault="0014069D" w:rsidP="00341E8F">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791FE2" w:rsidRPr="00791FE2" w14:paraId="62758088" w14:textId="77777777" w:rsidTr="00A70D6A">
        <w:trPr>
          <w:tblCellSpacing w:w="0" w:type="dxa"/>
          <w:jc w:val="center"/>
        </w:trPr>
        <w:tc>
          <w:tcPr>
            <w:tcW w:w="4820" w:type="dxa"/>
            <w:hideMark/>
          </w:tcPr>
          <w:p w14:paraId="2823E1E7" w14:textId="77777777" w:rsidR="00791FE2" w:rsidRPr="00791FE2" w:rsidRDefault="00791FE2" w:rsidP="00A70D6A">
            <w:pPr>
              <w:ind w:left="66"/>
              <w:contextualSpacing/>
              <w:jc w:val="center"/>
              <w:rPr>
                <w:rFonts w:ascii="Bookman Old Style" w:hAnsi="Bookman Old Style" w:cs="Arial"/>
                <w:b/>
              </w:rPr>
            </w:pPr>
            <w:r w:rsidRPr="00791FE2">
              <w:rPr>
                <w:rFonts w:ascii="Bookman Old Style" w:hAnsi="Bookman Old Style" w:cs="Arial"/>
                <w:b/>
              </w:rPr>
              <w:t>MIGUEL LOTERO ROBLEDO</w:t>
            </w:r>
          </w:p>
        </w:tc>
        <w:tc>
          <w:tcPr>
            <w:tcW w:w="4678" w:type="dxa"/>
            <w:hideMark/>
          </w:tcPr>
          <w:p w14:paraId="039E1418" w14:textId="77777777" w:rsidR="00791FE2" w:rsidRPr="00791FE2" w:rsidRDefault="00791FE2" w:rsidP="00A70D6A">
            <w:pPr>
              <w:ind w:left="69"/>
              <w:contextualSpacing/>
              <w:jc w:val="center"/>
              <w:rPr>
                <w:rFonts w:ascii="Bookman Old Style" w:hAnsi="Bookman Old Style" w:cs="Arial"/>
                <w:b/>
              </w:rPr>
            </w:pPr>
            <w:r w:rsidRPr="00791FE2">
              <w:rPr>
                <w:rFonts w:ascii="Bookman Old Style" w:hAnsi="Bookman Old Style" w:cs="Arial"/>
                <w:b/>
              </w:rPr>
              <w:t>JORGE ALBERTO VALENCIA MARÍN</w:t>
            </w:r>
          </w:p>
        </w:tc>
      </w:tr>
      <w:tr w:rsidR="00791FE2" w:rsidRPr="00791FE2" w14:paraId="1B08A233" w14:textId="77777777" w:rsidTr="00A70D6A">
        <w:trPr>
          <w:tblCellSpacing w:w="0" w:type="dxa"/>
          <w:jc w:val="center"/>
        </w:trPr>
        <w:tc>
          <w:tcPr>
            <w:tcW w:w="4820" w:type="dxa"/>
            <w:hideMark/>
          </w:tcPr>
          <w:p w14:paraId="50D0DADD" w14:textId="77777777" w:rsidR="00791FE2" w:rsidRPr="00791FE2" w:rsidRDefault="00791FE2" w:rsidP="00A70D6A">
            <w:pPr>
              <w:ind w:left="66"/>
              <w:contextualSpacing/>
              <w:jc w:val="center"/>
              <w:rPr>
                <w:rFonts w:ascii="Bookman Old Style" w:eastAsia="Arial Unicode MS" w:hAnsi="Bookman Old Style" w:cs="Arial"/>
                <w:color w:val="000000"/>
              </w:rPr>
            </w:pPr>
            <w:r w:rsidRPr="00791FE2">
              <w:rPr>
                <w:rFonts w:ascii="Bookman Old Style" w:hAnsi="Bookman Old Style" w:cs="Arial"/>
              </w:rPr>
              <w:t>Viceministro de Energía, Delegado del Ministro de Minas y Energía</w:t>
            </w:r>
          </w:p>
        </w:tc>
        <w:tc>
          <w:tcPr>
            <w:tcW w:w="4678" w:type="dxa"/>
            <w:hideMark/>
          </w:tcPr>
          <w:p w14:paraId="77693AFB" w14:textId="77777777" w:rsidR="00791FE2" w:rsidRPr="00791FE2" w:rsidRDefault="00791FE2" w:rsidP="00A70D6A">
            <w:pPr>
              <w:contextualSpacing/>
              <w:jc w:val="center"/>
              <w:rPr>
                <w:rFonts w:ascii="Bookman Old Style" w:eastAsia="Arial Unicode MS" w:hAnsi="Bookman Old Style" w:cs="Arial"/>
                <w:color w:val="000000"/>
              </w:rPr>
            </w:pPr>
            <w:r w:rsidRPr="00791FE2">
              <w:rPr>
                <w:rFonts w:ascii="Bookman Old Style" w:hAnsi="Bookman Old Style" w:cs="Arial"/>
              </w:rPr>
              <w:t xml:space="preserve">Director Ejecutivo </w:t>
            </w:r>
          </w:p>
        </w:tc>
      </w:tr>
      <w:tr w:rsidR="00791FE2" w:rsidRPr="00791FE2" w14:paraId="02C646BE" w14:textId="77777777" w:rsidTr="00A70D6A">
        <w:trPr>
          <w:tblCellSpacing w:w="0" w:type="dxa"/>
          <w:jc w:val="center"/>
        </w:trPr>
        <w:tc>
          <w:tcPr>
            <w:tcW w:w="4820" w:type="dxa"/>
            <w:hideMark/>
          </w:tcPr>
          <w:p w14:paraId="35435179" w14:textId="77777777" w:rsidR="00791FE2" w:rsidRPr="00791FE2" w:rsidRDefault="00791FE2" w:rsidP="00A70D6A">
            <w:pPr>
              <w:ind w:left="66"/>
              <w:contextualSpacing/>
              <w:jc w:val="center"/>
              <w:rPr>
                <w:rFonts w:ascii="Bookman Old Style" w:eastAsia="Arial Unicode MS" w:hAnsi="Bookman Old Style" w:cs="Arial"/>
                <w:color w:val="000000"/>
              </w:rPr>
            </w:pPr>
            <w:r w:rsidRPr="00791FE2">
              <w:rPr>
                <w:rFonts w:ascii="Bookman Old Style" w:hAnsi="Bookman Old Style" w:cs="Arial"/>
              </w:rPr>
              <w:t>Presidente</w:t>
            </w:r>
          </w:p>
        </w:tc>
        <w:tc>
          <w:tcPr>
            <w:tcW w:w="4678" w:type="dxa"/>
          </w:tcPr>
          <w:p w14:paraId="72996BB7" w14:textId="77777777" w:rsidR="00791FE2" w:rsidRPr="00791FE2" w:rsidRDefault="00791FE2" w:rsidP="00A70D6A">
            <w:pPr>
              <w:contextualSpacing/>
              <w:jc w:val="center"/>
              <w:rPr>
                <w:rFonts w:ascii="Bookman Old Style" w:eastAsia="Arial Unicode MS" w:hAnsi="Bookman Old Style" w:cs="Arial"/>
                <w:color w:val="000000"/>
              </w:rPr>
            </w:pPr>
          </w:p>
        </w:tc>
      </w:tr>
    </w:tbl>
    <w:p w14:paraId="0B9492DC" w14:textId="77777777" w:rsidR="00791FE2" w:rsidRPr="00791FE2" w:rsidRDefault="00791FE2" w:rsidP="00791FE2">
      <w:pPr>
        <w:contextualSpacing/>
        <w:rPr>
          <w:rFonts w:ascii="Bookman Old Style" w:hAnsi="Bookman Old Style"/>
          <w:b/>
        </w:rPr>
      </w:pPr>
    </w:p>
    <w:p w14:paraId="09D7D807" w14:textId="388740F0" w:rsidR="0014069D" w:rsidRDefault="0014069D" w:rsidP="00341E8F">
      <w:pPr>
        <w:widowControl w:val="0"/>
        <w:adjustRightInd w:val="0"/>
        <w:ind w:left="0"/>
        <w:jc w:val="center"/>
        <w:rPr>
          <w:rFonts w:ascii="Bookman Old Style" w:hAnsi="Bookman Old Style" w:cs="Arial"/>
          <w:bCs/>
          <w:sz w:val="20"/>
        </w:rPr>
      </w:pPr>
    </w:p>
    <w:p w14:paraId="3E4DEB93" w14:textId="77777777" w:rsidR="00791FE2" w:rsidRDefault="00791FE2" w:rsidP="004D7020">
      <w:pPr>
        <w:widowControl w:val="0"/>
        <w:adjustRightInd w:val="0"/>
        <w:ind w:left="0"/>
        <w:jc w:val="center"/>
        <w:rPr>
          <w:rFonts w:ascii="Bookman Old Style" w:hAnsi="Bookman Old Style" w:cs="Arial"/>
          <w:b/>
          <w:bCs/>
        </w:rPr>
      </w:pPr>
    </w:p>
    <w:p w14:paraId="68A10101" w14:textId="77777777" w:rsidR="00791FE2" w:rsidRDefault="00791FE2" w:rsidP="004D7020">
      <w:pPr>
        <w:widowControl w:val="0"/>
        <w:adjustRightInd w:val="0"/>
        <w:ind w:left="0"/>
        <w:jc w:val="center"/>
        <w:rPr>
          <w:rFonts w:ascii="Bookman Old Style" w:hAnsi="Bookman Old Style" w:cs="Arial"/>
          <w:b/>
          <w:bCs/>
        </w:rPr>
      </w:pPr>
    </w:p>
    <w:p w14:paraId="59020535" w14:textId="03B07D33"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lastRenderedPageBreak/>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ED1D5F3" w14:textId="59C53E3F" w:rsidR="006B3017"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8A39CF" w:rsidRPr="008A39CF" w14:paraId="43575A8A" w14:textId="77777777" w:rsidTr="008A39CF">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29A0FB" w14:textId="77777777" w:rsidR="008A39CF" w:rsidRPr="008A39CF" w:rsidRDefault="008A39CF" w:rsidP="008A39CF">
            <w:pPr>
              <w:ind w:left="0"/>
              <w:jc w:val="center"/>
              <w:rPr>
                <w:rFonts w:ascii="Bookman Old Style" w:hAnsi="Bookman Old Style" w:cs="Arial"/>
                <w:b/>
                <w:color w:val="000000"/>
                <w:sz w:val="12"/>
                <w:szCs w:val="12"/>
                <w:lang w:val="es-CO" w:eastAsia="es-CO"/>
              </w:rPr>
            </w:pPr>
            <w:r w:rsidRPr="008A39CF">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11A448" w14:textId="77777777" w:rsidR="008A39CF" w:rsidRPr="008A39CF" w:rsidRDefault="008A39CF" w:rsidP="008A39CF">
            <w:pPr>
              <w:ind w:left="0"/>
              <w:jc w:val="center"/>
              <w:rPr>
                <w:rFonts w:ascii="Bookman Old Style" w:hAnsi="Bookman Old Style" w:cs="Arial"/>
                <w:b/>
                <w:color w:val="000000"/>
                <w:sz w:val="12"/>
                <w:szCs w:val="12"/>
                <w:lang w:val="es-CO" w:eastAsia="es-CO"/>
              </w:rPr>
            </w:pPr>
            <w:r w:rsidRPr="008A39CF">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0D85BF6" w14:textId="77777777" w:rsidR="008A39CF" w:rsidRPr="008A39CF" w:rsidRDefault="008A39CF" w:rsidP="008A39CF">
            <w:pPr>
              <w:ind w:left="0"/>
              <w:jc w:val="center"/>
              <w:rPr>
                <w:rFonts w:ascii="Bookman Old Style" w:hAnsi="Bookman Old Style" w:cs="Arial"/>
                <w:b/>
                <w:color w:val="000000"/>
                <w:sz w:val="12"/>
                <w:szCs w:val="12"/>
                <w:lang w:val="es-CO" w:eastAsia="es-CO"/>
              </w:rPr>
            </w:pPr>
            <w:r w:rsidRPr="008A39CF">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74CC54F" w14:textId="77777777" w:rsidR="008A39CF" w:rsidRPr="008A39CF" w:rsidRDefault="008A39CF" w:rsidP="008A39CF">
            <w:pPr>
              <w:ind w:left="0"/>
              <w:jc w:val="center"/>
              <w:rPr>
                <w:rFonts w:ascii="Bookman Old Style" w:hAnsi="Bookman Old Style" w:cs="Arial"/>
                <w:b/>
                <w:color w:val="000000"/>
                <w:sz w:val="12"/>
                <w:szCs w:val="12"/>
                <w:lang w:val="es-CO" w:eastAsia="es-CO"/>
              </w:rPr>
            </w:pPr>
            <w:r w:rsidRPr="008A39CF">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673A327A" w14:textId="77777777" w:rsidR="008A39CF" w:rsidRPr="008A39CF" w:rsidRDefault="008A39CF" w:rsidP="008A39CF">
            <w:pPr>
              <w:ind w:left="0"/>
              <w:jc w:val="center"/>
              <w:rPr>
                <w:rFonts w:ascii="Bookman Old Style" w:hAnsi="Bookman Old Style" w:cs="Arial"/>
                <w:b/>
                <w:color w:val="000000"/>
                <w:sz w:val="12"/>
                <w:szCs w:val="12"/>
                <w:lang w:val="es-CO" w:eastAsia="es-CO"/>
              </w:rPr>
            </w:pPr>
            <w:r w:rsidRPr="008A39CF">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EAF56CD" w14:textId="77777777" w:rsidR="008A39CF" w:rsidRPr="008A39CF" w:rsidRDefault="008A39CF" w:rsidP="008A39CF">
            <w:pPr>
              <w:ind w:left="0"/>
              <w:jc w:val="center"/>
              <w:rPr>
                <w:rFonts w:ascii="Bookman Old Style" w:hAnsi="Bookman Old Style" w:cs="Arial"/>
                <w:b/>
                <w:color w:val="000000"/>
                <w:sz w:val="12"/>
                <w:szCs w:val="12"/>
                <w:lang w:val="es-CO" w:eastAsia="es-CO"/>
              </w:rPr>
            </w:pPr>
            <w:r w:rsidRPr="008A39CF">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7A1C033" w14:textId="77777777" w:rsidR="008A39CF" w:rsidRPr="008A39CF" w:rsidRDefault="008A39CF" w:rsidP="008A39CF">
            <w:pPr>
              <w:ind w:left="0"/>
              <w:jc w:val="center"/>
              <w:rPr>
                <w:rFonts w:ascii="Bookman Old Style" w:hAnsi="Bookman Old Style" w:cs="Arial"/>
                <w:b/>
                <w:color w:val="000000"/>
                <w:sz w:val="12"/>
                <w:szCs w:val="12"/>
                <w:lang w:val="es-CO" w:eastAsia="es-CO"/>
              </w:rPr>
            </w:pPr>
            <w:r w:rsidRPr="008A39CF">
              <w:rPr>
                <w:rFonts w:ascii="Bookman Old Style" w:hAnsi="Bookman Old Style" w:cs="Arial"/>
                <w:b/>
                <w:color w:val="000000"/>
                <w:sz w:val="12"/>
                <w:szCs w:val="12"/>
                <w:lang w:val="es-CO" w:eastAsia="es-CO"/>
              </w:rPr>
              <w:t>Año 5</w:t>
            </w:r>
          </w:p>
        </w:tc>
      </w:tr>
      <w:tr w:rsidR="008A39CF" w:rsidRPr="008A39CF" w14:paraId="5CA245DE" w14:textId="77777777" w:rsidTr="008A39CF">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93D33" w14:textId="77777777" w:rsidR="008A39CF" w:rsidRPr="008A39CF" w:rsidRDefault="008A39CF" w:rsidP="008A39CF">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ED7191" w14:textId="77777777" w:rsidR="008A39CF" w:rsidRPr="008A39CF" w:rsidRDefault="008A39CF" w:rsidP="008A39CF">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72AAFAC"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BA25E2F"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F03FEEC"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3757995F"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6A3B218"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0F421BA"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70BEC2B2"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140169B"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2B02088"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69DCF4A5" w14:textId="77777777" w:rsidR="008A39CF" w:rsidRPr="008A39CF" w:rsidRDefault="008A39CF" w:rsidP="008A39CF">
            <w:pPr>
              <w:ind w:left="0"/>
              <w:jc w:val="center"/>
              <w:rPr>
                <w:rFonts w:ascii="Bookman Old Style" w:hAnsi="Bookman Old Style" w:cs="Arial"/>
                <w:b/>
                <w:color w:val="000000"/>
                <w:sz w:val="10"/>
                <w:szCs w:val="10"/>
                <w:lang w:val="es-CO" w:eastAsia="es-CO"/>
              </w:rPr>
            </w:pPr>
            <w:r w:rsidRPr="008A39CF">
              <w:rPr>
                <w:rFonts w:ascii="Bookman Old Style" w:hAnsi="Bookman Old Style" w:cs="Arial"/>
                <w:b/>
                <w:color w:val="000000"/>
                <w:sz w:val="10"/>
                <w:szCs w:val="10"/>
                <w:lang w:val="es-CO" w:eastAsia="es-CO"/>
              </w:rPr>
              <w:t>Secundaria</w:t>
            </w:r>
          </w:p>
        </w:tc>
      </w:tr>
      <w:tr w:rsidR="008A39CF" w:rsidRPr="008A39CF" w14:paraId="2F3B2D4B"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85F2D03"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64EC45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6CF78A1" w14:textId="77777777" w:rsidR="008A39CF" w:rsidRPr="008A39CF" w:rsidRDefault="008A39CF" w:rsidP="008A39CF">
            <w:pPr>
              <w:ind w:left="0" w:hanging="14"/>
              <w:jc w:val="right"/>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537A5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41 </w:t>
            </w:r>
          </w:p>
        </w:tc>
        <w:tc>
          <w:tcPr>
            <w:tcW w:w="390" w:type="pct"/>
            <w:tcBorders>
              <w:top w:val="nil"/>
              <w:left w:val="nil"/>
              <w:bottom w:val="single" w:sz="4" w:space="0" w:color="auto"/>
              <w:right w:val="single" w:sz="4" w:space="0" w:color="auto"/>
            </w:tcBorders>
            <w:shd w:val="clear" w:color="auto" w:fill="auto"/>
            <w:noWrap/>
            <w:vAlign w:val="center"/>
          </w:tcPr>
          <w:p w14:paraId="1D899B9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2217D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42 </w:t>
            </w:r>
          </w:p>
        </w:tc>
        <w:tc>
          <w:tcPr>
            <w:tcW w:w="390" w:type="pct"/>
            <w:tcBorders>
              <w:top w:val="nil"/>
              <w:left w:val="nil"/>
              <w:bottom w:val="single" w:sz="4" w:space="0" w:color="auto"/>
              <w:right w:val="single" w:sz="4" w:space="0" w:color="auto"/>
            </w:tcBorders>
            <w:shd w:val="clear" w:color="auto" w:fill="auto"/>
            <w:noWrap/>
            <w:vAlign w:val="center"/>
          </w:tcPr>
          <w:p w14:paraId="0DF884B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09425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43 </w:t>
            </w:r>
          </w:p>
        </w:tc>
        <w:tc>
          <w:tcPr>
            <w:tcW w:w="389" w:type="pct"/>
            <w:tcBorders>
              <w:top w:val="nil"/>
              <w:left w:val="nil"/>
              <w:bottom w:val="single" w:sz="4" w:space="0" w:color="auto"/>
              <w:right w:val="single" w:sz="4" w:space="0" w:color="auto"/>
            </w:tcBorders>
            <w:shd w:val="clear" w:color="auto" w:fill="auto"/>
            <w:noWrap/>
            <w:vAlign w:val="center"/>
          </w:tcPr>
          <w:p w14:paraId="0843E5B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D087F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44 </w:t>
            </w:r>
          </w:p>
        </w:tc>
        <w:tc>
          <w:tcPr>
            <w:tcW w:w="390" w:type="pct"/>
            <w:tcBorders>
              <w:top w:val="nil"/>
              <w:left w:val="nil"/>
              <w:bottom w:val="single" w:sz="4" w:space="0" w:color="auto"/>
              <w:right w:val="single" w:sz="4" w:space="0" w:color="auto"/>
            </w:tcBorders>
            <w:shd w:val="clear" w:color="auto" w:fill="auto"/>
            <w:noWrap/>
            <w:vAlign w:val="center"/>
          </w:tcPr>
          <w:p w14:paraId="6DFC79C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D799F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45 </w:t>
            </w:r>
          </w:p>
        </w:tc>
      </w:tr>
      <w:tr w:rsidR="008A39CF" w:rsidRPr="008A39CF" w14:paraId="44A78092"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455A6F"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BAB130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D0641B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15116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41 </w:t>
            </w:r>
          </w:p>
        </w:tc>
        <w:tc>
          <w:tcPr>
            <w:tcW w:w="390" w:type="pct"/>
            <w:tcBorders>
              <w:top w:val="nil"/>
              <w:left w:val="nil"/>
              <w:bottom w:val="single" w:sz="4" w:space="0" w:color="auto"/>
              <w:right w:val="single" w:sz="4" w:space="0" w:color="auto"/>
            </w:tcBorders>
            <w:shd w:val="clear" w:color="auto" w:fill="auto"/>
            <w:noWrap/>
            <w:vAlign w:val="center"/>
          </w:tcPr>
          <w:p w14:paraId="374A890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77596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42 </w:t>
            </w:r>
          </w:p>
        </w:tc>
        <w:tc>
          <w:tcPr>
            <w:tcW w:w="390" w:type="pct"/>
            <w:tcBorders>
              <w:top w:val="nil"/>
              <w:left w:val="nil"/>
              <w:bottom w:val="single" w:sz="4" w:space="0" w:color="auto"/>
              <w:right w:val="single" w:sz="4" w:space="0" w:color="auto"/>
            </w:tcBorders>
            <w:shd w:val="clear" w:color="auto" w:fill="auto"/>
            <w:noWrap/>
            <w:vAlign w:val="center"/>
          </w:tcPr>
          <w:p w14:paraId="1AADEDC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86F27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43 </w:t>
            </w:r>
          </w:p>
        </w:tc>
        <w:tc>
          <w:tcPr>
            <w:tcW w:w="389" w:type="pct"/>
            <w:tcBorders>
              <w:top w:val="nil"/>
              <w:left w:val="nil"/>
              <w:bottom w:val="single" w:sz="4" w:space="0" w:color="auto"/>
              <w:right w:val="single" w:sz="4" w:space="0" w:color="auto"/>
            </w:tcBorders>
            <w:shd w:val="clear" w:color="auto" w:fill="auto"/>
            <w:noWrap/>
            <w:vAlign w:val="center"/>
          </w:tcPr>
          <w:p w14:paraId="5D0F66B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E34A0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44 </w:t>
            </w:r>
          </w:p>
        </w:tc>
        <w:tc>
          <w:tcPr>
            <w:tcW w:w="390" w:type="pct"/>
            <w:tcBorders>
              <w:top w:val="nil"/>
              <w:left w:val="nil"/>
              <w:bottom w:val="single" w:sz="4" w:space="0" w:color="auto"/>
              <w:right w:val="single" w:sz="4" w:space="0" w:color="auto"/>
            </w:tcBorders>
            <w:shd w:val="clear" w:color="auto" w:fill="auto"/>
            <w:noWrap/>
            <w:vAlign w:val="center"/>
          </w:tcPr>
          <w:p w14:paraId="549BAB1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FF3BD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45 </w:t>
            </w:r>
          </w:p>
        </w:tc>
      </w:tr>
      <w:tr w:rsidR="008A39CF" w:rsidRPr="008A39CF" w14:paraId="0C34C195"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FC3661"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EBF232C"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5B5131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AA5DD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DE6D4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1204E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538EF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9FE98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CFA7E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6A29E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D677F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C4C13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F9FC5BC"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F334F0"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342C3C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35DE5B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4356D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66F4B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C5A61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822D0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07445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D641D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A85BF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DE3AC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80ADF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3F8FA892"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719CAE"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494A1D2"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510AA4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60B64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3E089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DBEB9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E8A5F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33C67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5216A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3CDB5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B67E8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21ED0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72A133A9"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542C042"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6CD667E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85E325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EDB0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E63D4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CA293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9CA51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76F37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681E2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5AE31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C7BAE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5A3B4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2C80E8E"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47DA00"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882F25D"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298B4C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5AF0D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6E9D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D670C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B0F2D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61ABB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05D53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D06B6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B4330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1604E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65782C8D"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E32D3D"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94B33DC"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511495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36DD2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ACEFF8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22CC5A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AA6ECE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0DA7EC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93F837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4A37C3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EE234B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70CE9F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r>
      <w:tr w:rsidR="008A39CF" w:rsidRPr="008A39CF" w14:paraId="56B0F739"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52012D"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B040107"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3A82FA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39DA4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78059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7AB73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D27DB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2E723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E03E1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BA9BD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FA97C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9C5D3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3F9B45B1"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09234A"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F9BC911"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67D5C5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4BE37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62747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1A0AF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227BA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EE365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A799C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C3FA0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5CC7D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F6BA4B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230D3206"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CD7F9A" w14:textId="77777777" w:rsidR="008A39CF" w:rsidRPr="008A39CF" w:rsidRDefault="008A39CF" w:rsidP="008A39CF">
            <w:pPr>
              <w:ind w:left="0"/>
              <w:rPr>
                <w:rFonts w:ascii="Bookman Old Style" w:hAnsi="Bookman Old Style" w:cs="Arial"/>
                <w:sz w:val="12"/>
                <w:szCs w:val="12"/>
                <w:lang w:val="es-CO"/>
              </w:rPr>
            </w:pPr>
            <w:r w:rsidRPr="008A39C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60A50AC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69BCB0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1C9087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855874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434944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029329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785EF8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8428B0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BDD1B0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C61F8C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59227C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r>
      <w:tr w:rsidR="008A39CF" w:rsidRPr="008A39CF" w14:paraId="5903F0B2"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4C44C827"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5BF4DF3"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71E0539"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BB1A0B"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52 </w:t>
            </w:r>
          </w:p>
        </w:tc>
        <w:tc>
          <w:tcPr>
            <w:tcW w:w="390" w:type="pct"/>
            <w:tcBorders>
              <w:top w:val="nil"/>
              <w:left w:val="nil"/>
              <w:bottom w:val="single" w:sz="4" w:space="0" w:color="auto"/>
              <w:right w:val="single" w:sz="4" w:space="0" w:color="auto"/>
            </w:tcBorders>
            <w:shd w:val="clear" w:color="auto" w:fill="auto"/>
            <w:noWrap/>
            <w:vAlign w:val="center"/>
          </w:tcPr>
          <w:p w14:paraId="25E31CFF"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DC2600"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53 </w:t>
            </w:r>
          </w:p>
        </w:tc>
        <w:tc>
          <w:tcPr>
            <w:tcW w:w="390" w:type="pct"/>
            <w:tcBorders>
              <w:top w:val="nil"/>
              <w:left w:val="nil"/>
              <w:bottom w:val="single" w:sz="4" w:space="0" w:color="auto"/>
              <w:right w:val="single" w:sz="4" w:space="0" w:color="auto"/>
            </w:tcBorders>
            <w:shd w:val="clear" w:color="auto" w:fill="auto"/>
            <w:noWrap/>
            <w:vAlign w:val="center"/>
          </w:tcPr>
          <w:p w14:paraId="5CAA8CCA"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E80378"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54 </w:t>
            </w:r>
          </w:p>
        </w:tc>
        <w:tc>
          <w:tcPr>
            <w:tcW w:w="389" w:type="pct"/>
            <w:tcBorders>
              <w:top w:val="nil"/>
              <w:left w:val="nil"/>
              <w:bottom w:val="single" w:sz="4" w:space="0" w:color="auto"/>
              <w:right w:val="single" w:sz="4" w:space="0" w:color="auto"/>
            </w:tcBorders>
            <w:shd w:val="clear" w:color="auto" w:fill="auto"/>
            <w:noWrap/>
            <w:vAlign w:val="center"/>
          </w:tcPr>
          <w:p w14:paraId="00D9BD28"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3A619A"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55 </w:t>
            </w:r>
          </w:p>
        </w:tc>
        <w:tc>
          <w:tcPr>
            <w:tcW w:w="390" w:type="pct"/>
            <w:tcBorders>
              <w:top w:val="nil"/>
              <w:left w:val="nil"/>
              <w:bottom w:val="single" w:sz="4" w:space="0" w:color="auto"/>
              <w:right w:val="single" w:sz="4" w:space="0" w:color="auto"/>
            </w:tcBorders>
            <w:shd w:val="clear" w:color="auto" w:fill="auto"/>
            <w:noWrap/>
            <w:vAlign w:val="center"/>
          </w:tcPr>
          <w:p w14:paraId="26BF2205"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88ED4A"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56 </w:t>
            </w:r>
          </w:p>
        </w:tc>
      </w:tr>
      <w:tr w:rsidR="008A39CF" w:rsidRPr="008A39CF" w14:paraId="74C7AB9A"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35BB14"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33569CA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CC4507E"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50B07D"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52 </w:t>
            </w:r>
          </w:p>
        </w:tc>
        <w:tc>
          <w:tcPr>
            <w:tcW w:w="390" w:type="pct"/>
            <w:tcBorders>
              <w:top w:val="nil"/>
              <w:left w:val="nil"/>
              <w:bottom w:val="single" w:sz="4" w:space="0" w:color="auto"/>
              <w:right w:val="single" w:sz="4" w:space="0" w:color="auto"/>
            </w:tcBorders>
            <w:shd w:val="clear" w:color="auto" w:fill="auto"/>
            <w:noWrap/>
            <w:vAlign w:val="center"/>
          </w:tcPr>
          <w:p w14:paraId="5C8F8686"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2897BA"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53 </w:t>
            </w:r>
          </w:p>
        </w:tc>
        <w:tc>
          <w:tcPr>
            <w:tcW w:w="390" w:type="pct"/>
            <w:tcBorders>
              <w:top w:val="nil"/>
              <w:left w:val="nil"/>
              <w:bottom w:val="single" w:sz="4" w:space="0" w:color="auto"/>
              <w:right w:val="single" w:sz="4" w:space="0" w:color="auto"/>
            </w:tcBorders>
            <w:shd w:val="clear" w:color="auto" w:fill="auto"/>
            <w:noWrap/>
            <w:vAlign w:val="center"/>
          </w:tcPr>
          <w:p w14:paraId="75517443"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6294C"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54 </w:t>
            </w:r>
          </w:p>
        </w:tc>
        <w:tc>
          <w:tcPr>
            <w:tcW w:w="389" w:type="pct"/>
            <w:tcBorders>
              <w:top w:val="nil"/>
              <w:left w:val="nil"/>
              <w:bottom w:val="single" w:sz="4" w:space="0" w:color="auto"/>
              <w:right w:val="single" w:sz="4" w:space="0" w:color="auto"/>
            </w:tcBorders>
            <w:shd w:val="clear" w:color="auto" w:fill="auto"/>
            <w:noWrap/>
            <w:vAlign w:val="center"/>
          </w:tcPr>
          <w:p w14:paraId="28CB254C"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62A28A"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55 </w:t>
            </w:r>
          </w:p>
        </w:tc>
        <w:tc>
          <w:tcPr>
            <w:tcW w:w="390" w:type="pct"/>
            <w:tcBorders>
              <w:top w:val="nil"/>
              <w:left w:val="nil"/>
              <w:bottom w:val="single" w:sz="4" w:space="0" w:color="auto"/>
              <w:right w:val="single" w:sz="4" w:space="0" w:color="auto"/>
            </w:tcBorders>
            <w:shd w:val="clear" w:color="auto" w:fill="auto"/>
            <w:noWrap/>
            <w:vAlign w:val="center"/>
          </w:tcPr>
          <w:p w14:paraId="27023804"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2BA78E"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56 </w:t>
            </w:r>
          </w:p>
        </w:tc>
      </w:tr>
      <w:tr w:rsidR="008A39CF" w:rsidRPr="008A39CF" w14:paraId="7B4113E8"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B0F3BE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27A5B5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B0F28EB"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19311"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93DFE5"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01439C"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8B9569"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F9989"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E2060B"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0EB5C8"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606EB4"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83E04F"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r>
      <w:tr w:rsidR="008A39CF" w:rsidRPr="008A39CF" w14:paraId="540F27EE"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A5A9FD"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0770862"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189574A"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E69ADB"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CFAFC1"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96640B"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88C72C"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4DC046"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D5F65F"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599C84"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D62D21"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48DEECF"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r>
      <w:tr w:rsidR="008A39CF" w:rsidRPr="008A39CF" w14:paraId="5890A37B"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47BC02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A87B18B"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2B31ABB"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154DE0"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597155"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5D6D2B"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31F9AB"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43CFF1"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8D1A95"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418B49"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896276"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9314C5" w14:textId="77777777" w:rsidR="008A39CF" w:rsidRPr="008A39CF" w:rsidRDefault="008A39CF" w:rsidP="008A39CF">
            <w:pPr>
              <w:ind w:left="0" w:hanging="14"/>
              <w:jc w:val="right"/>
              <w:rPr>
                <w:rFonts w:ascii="Bookman Old Style" w:hAnsi="Bookman Old Style" w:cs="Arial"/>
                <w:color w:val="000000"/>
                <w:sz w:val="12"/>
                <w:szCs w:val="12"/>
                <w:highlight w:val="yellow"/>
                <w:lang w:val="es-CO"/>
              </w:rPr>
            </w:pPr>
            <w:r w:rsidRPr="008A39CF">
              <w:rPr>
                <w:rFonts w:ascii="Bookman Old Style" w:hAnsi="Bookman Old Style" w:cs="Arial"/>
                <w:color w:val="000000"/>
                <w:sz w:val="12"/>
                <w:szCs w:val="12"/>
                <w:lang w:val="es-CO"/>
              </w:rPr>
              <w:t xml:space="preserve">- </w:t>
            </w:r>
          </w:p>
        </w:tc>
      </w:tr>
      <w:tr w:rsidR="008A39CF" w:rsidRPr="008A39CF" w14:paraId="2FE08A92"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DC7E53"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8E70B6D"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2ADFCD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C965F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59DF3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D43D8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4A59D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662EA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17AAE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05618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7A3AB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2ABEA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1A1C2066"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30D995"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117FB1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008E35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068B2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15050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6E974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AFB3A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8AD9C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CD1097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65411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F234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78B09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63C5647"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13A6B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0EFCD7D"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AAB1CC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7C25D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C43BE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3B4A3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99E68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2DDA1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150A7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3F23B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4ADF7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6B3E2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6DE208F3"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C6C23B"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B15FC24"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576DF7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67079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9BB46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65A1C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FB08C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8DC0A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25477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32CCC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E6215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99F1E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103C90EE"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7E50E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FF2AD3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BEC2E7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C02FA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F1D78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E5AA5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C5694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65C61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6DBB7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CE2C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53AD9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37BC3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0FB8AD4A"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90B31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033F8F0"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4E1D8D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489F2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0E55F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0594F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2FA6B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1B60C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5C387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EDF67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15A5B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8295C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79B92630"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DCB9FD"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0D7EB0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660A71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F6E9A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48 </w:t>
            </w:r>
          </w:p>
        </w:tc>
        <w:tc>
          <w:tcPr>
            <w:tcW w:w="390" w:type="pct"/>
            <w:tcBorders>
              <w:top w:val="nil"/>
              <w:left w:val="nil"/>
              <w:bottom w:val="single" w:sz="4" w:space="0" w:color="auto"/>
              <w:right w:val="single" w:sz="4" w:space="0" w:color="auto"/>
            </w:tcBorders>
            <w:shd w:val="clear" w:color="auto" w:fill="auto"/>
            <w:noWrap/>
            <w:vAlign w:val="center"/>
          </w:tcPr>
          <w:p w14:paraId="7F6DC23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C1AEE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49 </w:t>
            </w:r>
          </w:p>
        </w:tc>
        <w:tc>
          <w:tcPr>
            <w:tcW w:w="390" w:type="pct"/>
            <w:tcBorders>
              <w:top w:val="nil"/>
              <w:left w:val="nil"/>
              <w:bottom w:val="single" w:sz="4" w:space="0" w:color="auto"/>
              <w:right w:val="single" w:sz="4" w:space="0" w:color="auto"/>
            </w:tcBorders>
            <w:shd w:val="clear" w:color="auto" w:fill="auto"/>
            <w:noWrap/>
            <w:vAlign w:val="center"/>
          </w:tcPr>
          <w:p w14:paraId="11606AE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F0F6B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50 </w:t>
            </w:r>
          </w:p>
        </w:tc>
        <w:tc>
          <w:tcPr>
            <w:tcW w:w="389" w:type="pct"/>
            <w:tcBorders>
              <w:top w:val="nil"/>
              <w:left w:val="nil"/>
              <w:bottom w:val="single" w:sz="4" w:space="0" w:color="auto"/>
              <w:right w:val="single" w:sz="4" w:space="0" w:color="auto"/>
            </w:tcBorders>
            <w:shd w:val="clear" w:color="auto" w:fill="auto"/>
            <w:noWrap/>
            <w:vAlign w:val="center"/>
          </w:tcPr>
          <w:p w14:paraId="4936383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17F02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51 </w:t>
            </w:r>
          </w:p>
        </w:tc>
        <w:tc>
          <w:tcPr>
            <w:tcW w:w="390" w:type="pct"/>
            <w:tcBorders>
              <w:top w:val="nil"/>
              <w:left w:val="nil"/>
              <w:bottom w:val="single" w:sz="4" w:space="0" w:color="auto"/>
              <w:right w:val="single" w:sz="4" w:space="0" w:color="auto"/>
            </w:tcBorders>
            <w:shd w:val="clear" w:color="auto" w:fill="auto"/>
            <w:noWrap/>
            <w:vAlign w:val="center"/>
          </w:tcPr>
          <w:p w14:paraId="71659F6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A1F17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52 </w:t>
            </w:r>
          </w:p>
        </w:tc>
      </w:tr>
      <w:tr w:rsidR="008A39CF" w:rsidRPr="008A39CF" w14:paraId="63A8284C"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FAF5F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CBB391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589BC7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10C36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48 </w:t>
            </w:r>
          </w:p>
        </w:tc>
        <w:tc>
          <w:tcPr>
            <w:tcW w:w="390" w:type="pct"/>
            <w:tcBorders>
              <w:top w:val="nil"/>
              <w:left w:val="nil"/>
              <w:bottom w:val="single" w:sz="4" w:space="0" w:color="auto"/>
              <w:right w:val="single" w:sz="4" w:space="0" w:color="auto"/>
            </w:tcBorders>
            <w:shd w:val="clear" w:color="auto" w:fill="auto"/>
            <w:noWrap/>
            <w:vAlign w:val="center"/>
          </w:tcPr>
          <w:p w14:paraId="6E26196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A907A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49 </w:t>
            </w:r>
          </w:p>
        </w:tc>
        <w:tc>
          <w:tcPr>
            <w:tcW w:w="390" w:type="pct"/>
            <w:tcBorders>
              <w:top w:val="nil"/>
              <w:left w:val="nil"/>
              <w:bottom w:val="single" w:sz="4" w:space="0" w:color="auto"/>
              <w:right w:val="single" w:sz="4" w:space="0" w:color="auto"/>
            </w:tcBorders>
            <w:shd w:val="clear" w:color="auto" w:fill="auto"/>
            <w:noWrap/>
            <w:vAlign w:val="center"/>
          </w:tcPr>
          <w:p w14:paraId="5D96F13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B0FEF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50 </w:t>
            </w:r>
          </w:p>
        </w:tc>
        <w:tc>
          <w:tcPr>
            <w:tcW w:w="389" w:type="pct"/>
            <w:tcBorders>
              <w:top w:val="nil"/>
              <w:left w:val="nil"/>
              <w:bottom w:val="single" w:sz="4" w:space="0" w:color="auto"/>
              <w:right w:val="single" w:sz="4" w:space="0" w:color="auto"/>
            </w:tcBorders>
            <w:shd w:val="clear" w:color="auto" w:fill="auto"/>
            <w:noWrap/>
            <w:vAlign w:val="center"/>
          </w:tcPr>
          <w:p w14:paraId="5B31E26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C69A3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51 </w:t>
            </w:r>
          </w:p>
        </w:tc>
        <w:tc>
          <w:tcPr>
            <w:tcW w:w="390" w:type="pct"/>
            <w:tcBorders>
              <w:top w:val="nil"/>
              <w:left w:val="nil"/>
              <w:bottom w:val="single" w:sz="4" w:space="0" w:color="auto"/>
              <w:right w:val="single" w:sz="4" w:space="0" w:color="auto"/>
            </w:tcBorders>
            <w:shd w:val="clear" w:color="auto" w:fill="auto"/>
            <w:noWrap/>
            <w:vAlign w:val="center"/>
          </w:tcPr>
          <w:p w14:paraId="15177EA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61E55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52 </w:t>
            </w:r>
          </w:p>
        </w:tc>
      </w:tr>
      <w:tr w:rsidR="008A39CF" w:rsidRPr="008A39CF" w14:paraId="442074F2"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1EE8D1"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DD6616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463B79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85CE8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51DCC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8E906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45E94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121A6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8CFA8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73DD9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08CDC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CC63E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752F6EEF"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334953"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690ADB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765715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BAF0D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B69C8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9FF63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B613B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1E5A7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81A06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F2B3E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ED939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44EC7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2C507BE"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BFB665"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50C50600"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184088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47739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2B28B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C52CA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4DC88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13753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843DB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401F3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FA98B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C1682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59E399B3"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C6D59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5FE072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D66686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C0C29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F6D0A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B0A6A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F5859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13E67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7D954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D3F4F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6AA35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F083B9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120B96A"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8C538E"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16E14CD"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720C86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B3E4C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5CF20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BDA57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80FB6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38808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A8393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A7382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22668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C4C0A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3955900E"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75E80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954450B"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0E9765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6CA13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70D59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BF638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5912E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36BC8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EB38A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E8F53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14590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A8732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329CA54"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84457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76A0B5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A43223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85592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B8E7B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9ED93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00A6A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05C53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6C58C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95A24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805B2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36F38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58B1806"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43C02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32F3E2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67061E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684E1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89505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DB7D4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621A0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8D8DC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85FD1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4A37D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4DE61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80BAC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07F25F5"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2577F3"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C77499E"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7500FE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7F2B7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B4767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325A9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CA7A7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C9341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E0692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2E5D8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C7AB0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8F956A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06E29B35"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DFEC30"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174D283"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9BCED1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DF7A3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27 </w:t>
            </w:r>
          </w:p>
        </w:tc>
        <w:tc>
          <w:tcPr>
            <w:tcW w:w="390" w:type="pct"/>
            <w:tcBorders>
              <w:top w:val="nil"/>
              <w:left w:val="nil"/>
              <w:bottom w:val="single" w:sz="4" w:space="0" w:color="auto"/>
              <w:right w:val="single" w:sz="4" w:space="0" w:color="auto"/>
            </w:tcBorders>
            <w:shd w:val="clear" w:color="auto" w:fill="auto"/>
            <w:noWrap/>
            <w:vAlign w:val="center"/>
          </w:tcPr>
          <w:p w14:paraId="4B60966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76C20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28 </w:t>
            </w:r>
          </w:p>
        </w:tc>
        <w:tc>
          <w:tcPr>
            <w:tcW w:w="390" w:type="pct"/>
            <w:tcBorders>
              <w:top w:val="nil"/>
              <w:left w:val="nil"/>
              <w:bottom w:val="single" w:sz="4" w:space="0" w:color="auto"/>
              <w:right w:val="single" w:sz="4" w:space="0" w:color="auto"/>
            </w:tcBorders>
            <w:shd w:val="clear" w:color="auto" w:fill="auto"/>
            <w:noWrap/>
            <w:vAlign w:val="center"/>
          </w:tcPr>
          <w:p w14:paraId="0DFDC9B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2FC55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29 </w:t>
            </w:r>
          </w:p>
        </w:tc>
        <w:tc>
          <w:tcPr>
            <w:tcW w:w="389" w:type="pct"/>
            <w:tcBorders>
              <w:top w:val="nil"/>
              <w:left w:val="nil"/>
              <w:bottom w:val="single" w:sz="4" w:space="0" w:color="auto"/>
              <w:right w:val="single" w:sz="4" w:space="0" w:color="auto"/>
            </w:tcBorders>
            <w:shd w:val="clear" w:color="auto" w:fill="auto"/>
            <w:noWrap/>
            <w:vAlign w:val="center"/>
          </w:tcPr>
          <w:p w14:paraId="2FB2C1B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BDA5B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30 </w:t>
            </w:r>
          </w:p>
        </w:tc>
        <w:tc>
          <w:tcPr>
            <w:tcW w:w="390" w:type="pct"/>
            <w:tcBorders>
              <w:top w:val="nil"/>
              <w:left w:val="nil"/>
              <w:bottom w:val="single" w:sz="4" w:space="0" w:color="auto"/>
              <w:right w:val="single" w:sz="4" w:space="0" w:color="auto"/>
            </w:tcBorders>
            <w:shd w:val="clear" w:color="auto" w:fill="auto"/>
            <w:noWrap/>
            <w:vAlign w:val="center"/>
          </w:tcPr>
          <w:p w14:paraId="418C99A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EF92E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31 </w:t>
            </w:r>
          </w:p>
        </w:tc>
      </w:tr>
      <w:tr w:rsidR="008A39CF" w:rsidRPr="008A39CF" w14:paraId="53E6A951"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68EF1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5AA8E69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CA4547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49A9A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27 </w:t>
            </w:r>
          </w:p>
        </w:tc>
        <w:tc>
          <w:tcPr>
            <w:tcW w:w="390" w:type="pct"/>
            <w:tcBorders>
              <w:top w:val="nil"/>
              <w:left w:val="nil"/>
              <w:bottom w:val="single" w:sz="4" w:space="0" w:color="auto"/>
              <w:right w:val="single" w:sz="4" w:space="0" w:color="auto"/>
            </w:tcBorders>
            <w:shd w:val="clear" w:color="auto" w:fill="auto"/>
            <w:noWrap/>
            <w:vAlign w:val="center"/>
          </w:tcPr>
          <w:p w14:paraId="0FFF5E7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D8B8E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28 </w:t>
            </w:r>
          </w:p>
        </w:tc>
        <w:tc>
          <w:tcPr>
            <w:tcW w:w="390" w:type="pct"/>
            <w:tcBorders>
              <w:top w:val="nil"/>
              <w:left w:val="nil"/>
              <w:bottom w:val="single" w:sz="4" w:space="0" w:color="auto"/>
              <w:right w:val="single" w:sz="4" w:space="0" w:color="auto"/>
            </w:tcBorders>
            <w:shd w:val="clear" w:color="auto" w:fill="auto"/>
            <w:noWrap/>
            <w:vAlign w:val="center"/>
          </w:tcPr>
          <w:p w14:paraId="5F3B3BE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76FF8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29 </w:t>
            </w:r>
          </w:p>
        </w:tc>
        <w:tc>
          <w:tcPr>
            <w:tcW w:w="389" w:type="pct"/>
            <w:tcBorders>
              <w:top w:val="nil"/>
              <w:left w:val="nil"/>
              <w:bottom w:val="single" w:sz="4" w:space="0" w:color="auto"/>
              <w:right w:val="single" w:sz="4" w:space="0" w:color="auto"/>
            </w:tcBorders>
            <w:shd w:val="clear" w:color="auto" w:fill="auto"/>
            <w:noWrap/>
            <w:vAlign w:val="center"/>
          </w:tcPr>
          <w:p w14:paraId="36352D9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21D99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30 </w:t>
            </w:r>
          </w:p>
        </w:tc>
        <w:tc>
          <w:tcPr>
            <w:tcW w:w="390" w:type="pct"/>
            <w:tcBorders>
              <w:top w:val="nil"/>
              <w:left w:val="nil"/>
              <w:bottom w:val="single" w:sz="4" w:space="0" w:color="auto"/>
              <w:right w:val="single" w:sz="4" w:space="0" w:color="auto"/>
            </w:tcBorders>
            <w:shd w:val="clear" w:color="auto" w:fill="auto"/>
            <w:noWrap/>
            <w:vAlign w:val="center"/>
          </w:tcPr>
          <w:p w14:paraId="7AA5150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24769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31 </w:t>
            </w:r>
          </w:p>
        </w:tc>
      </w:tr>
      <w:tr w:rsidR="008A39CF" w:rsidRPr="008A39CF" w14:paraId="5439EF3E"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FA6B2E"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BEEACFC"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E6F214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5B8F0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8C011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13F7D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17335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197AB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852D0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1D0CA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7B5BD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7EA2D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52E69BDE"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9BEEE5"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228AB11"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D37B04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71518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509BE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7AB9D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37AE9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32AA8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C3FF2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20C21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C3431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F2064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3D640498"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F66C9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lastRenderedPageBreak/>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FB0A7A2"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71BD67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00045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3B81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AA9B4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12F65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81267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ADB2B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AE109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C033B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8D0E2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6730BF8D"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11117AE"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7C64D9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D9BA2D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C253F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1CFAD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D09DC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414BD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0800B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10B63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2A286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5BDC0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1469E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2F51DD35"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317A3C"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092B2CDD"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864BE5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E65E2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B6DC8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360EA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DC71E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09CFC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75F07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97153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16C9D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4ACAC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1D764B68"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29FF49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D7864B4"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EBC51C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9A8AB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C8BAF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B974D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C33CA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FAE4D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2A67A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D706E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2F825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A8EC1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22E35A23"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37A3D4"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794EE0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77D7A7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CFBF8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F2B25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B1BFA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132F8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34C8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6B7B8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6EFBD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C0C65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84EF7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DDB12A0"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05A325"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E507F4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12FD9E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C655C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D62A7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28937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AD191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A936D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A8BC2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4618E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369FD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9F35A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2E4B7308"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6669B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3BF2EA1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10B9FA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8394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B97B5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BE3ED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7E278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BE78C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2D0A6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F487D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0BA04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10243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0C2C5F83"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88D432"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F41574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8BE4C2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77D778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66</w:t>
            </w:r>
          </w:p>
        </w:tc>
        <w:tc>
          <w:tcPr>
            <w:tcW w:w="390" w:type="pct"/>
            <w:tcBorders>
              <w:top w:val="nil"/>
              <w:left w:val="nil"/>
              <w:bottom w:val="single" w:sz="4" w:space="0" w:color="auto"/>
              <w:right w:val="single" w:sz="4" w:space="0" w:color="auto"/>
            </w:tcBorders>
            <w:shd w:val="clear" w:color="auto" w:fill="auto"/>
            <w:noWrap/>
            <w:vAlign w:val="center"/>
          </w:tcPr>
          <w:p w14:paraId="536012D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7BFD24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67</w:t>
            </w:r>
          </w:p>
        </w:tc>
        <w:tc>
          <w:tcPr>
            <w:tcW w:w="390" w:type="pct"/>
            <w:tcBorders>
              <w:top w:val="nil"/>
              <w:left w:val="nil"/>
              <w:bottom w:val="single" w:sz="4" w:space="0" w:color="auto"/>
              <w:right w:val="single" w:sz="4" w:space="0" w:color="auto"/>
            </w:tcBorders>
            <w:shd w:val="clear" w:color="auto" w:fill="auto"/>
            <w:noWrap/>
            <w:vAlign w:val="center"/>
          </w:tcPr>
          <w:p w14:paraId="04F266D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25F8A9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68</w:t>
            </w:r>
          </w:p>
        </w:tc>
        <w:tc>
          <w:tcPr>
            <w:tcW w:w="389" w:type="pct"/>
            <w:tcBorders>
              <w:top w:val="nil"/>
              <w:left w:val="nil"/>
              <w:bottom w:val="single" w:sz="4" w:space="0" w:color="auto"/>
              <w:right w:val="single" w:sz="4" w:space="0" w:color="auto"/>
            </w:tcBorders>
            <w:shd w:val="clear" w:color="auto" w:fill="auto"/>
            <w:noWrap/>
            <w:vAlign w:val="center"/>
          </w:tcPr>
          <w:p w14:paraId="06557A5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842EBC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69</w:t>
            </w:r>
          </w:p>
        </w:tc>
        <w:tc>
          <w:tcPr>
            <w:tcW w:w="390" w:type="pct"/>
            <w:tcBorders>
              <w:top w:val="nil"/>
              <w:left w:val="nil"/>
              <w:bottom w:val="single" w:sz="4" w:space="0" w:color="auto"/>
              <w:right w:val="single" w:sz="4" w:space="0" w:color="auto"/>
            </w:tcBorders>
            <w:shd w:val="clear" w:color="auto" w:fill="auto"/>
            <w:noWrap/>
            <w:vAlign w:val="center"/>
          </w:tcPr>
          <w:p w14:paraId="5A5C873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ABC12D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70</w:t>
            </w:r>
          </w:p>
        </w:tc>
      </w:tr>
      <w:tr w:rsidR="008A39CF" w:rsidRPr="008A39CF" w14:paraId="53D0EB90"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58D30C"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3A53E82"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55C088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6C0BE7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66</w:t>
            </w:r>
          </w:p>
        </w:tc>
        <w:tc>
          <w:tcPr>
            <w:tcW w:w="390" w:type="pct"/>
            <w:tcBorders>
              <w:top w:val="nil"/>
              <w:left w:val="nil"/>
              <w:bottom w:val="single" w:sz="4" w:space="0" w:color="auto"/>
              <w:right w:val="single" w:sz="4" w:space="0" w:color="auto"/>
            </w:tcBorders>
            <w:shd w:val="clear" w:color="auto" w:fill="auto"/>
            <w:noWrap/>
            <w:vAlign w:val="center"/>
          </w:tcPr>
          <w:p w14:paraId="3B58ED9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D9FC9C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67</w:t>
            </w:r>
          </w:p>
        </w:tc>
        <w:tc>
          <w:tcPr>
            <w:tcW w:w="390" w:type="pct"/>
            <w:tcBorders>
              <w:top w:val="nil"/>
              <w:left w:val="nil"/>
              <w:bottom w:val="single" w:sz="4" w:space="0" w:color="auto"/>
              <w:right w:val="single" w:sz="4" w:space="0" w:color="auto"/>
            </w:tcBorders>
            <w:shd w:val="clear" w:color="auto" w:fill="auto"/>
            <w:noWrap/>
            <w:vAlign w:val="center"/>
          </w:tcPr>
          <w:p w14:paraId="560D47F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68E92B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68</w:t>
            </w:r>
          </w:p>
        </w:tc>
        <w:tc>
          <w:tcPr>
            <w:tcW w:w="389" w:type="pct"/>
            <w:tcBorders>
              <w:top w:val="nil"/>
              <w:left w:val="nil"/>
              <w:bottom w:val="single" w:sz="4" w:space="0" w:color="auto"/>
              <w:right w:val="single" w:sz="4" w:space="0" w:color="auto"/>
            </w:tcBorders>
            <w:shd w:val="clear" w:color="auto" w:fill="auto"/>
            <w:noWrap/>
            <w:vAlign w:val="center"/>
          </w:tcPr>
          <w:p w14:paraId="369E607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4E7E96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69</w:t>
            </w:r>
          </w:p>
        </w:tc>
        <w:tc>
          <w:tcPr>
            <w:tcW w:w="390" w:type="pct"/>
            <w:tcBorders>
              <w:top w:val="nil"/>
              <w:left w:val="nil"/>
              <w:bottom w:val="single" w:sz="4" w:space="0" w:color="auto"/>
              <w:right w:val="single" w:sz="4" w:space="0" w:color="auto"/>
            </w:tcBorders>
            <w:shd w:val="clear" w:color="auto" w:fill="auto"/>
            <w:noWrap/>
            <w:vAlign w:val="center"/>
          </w:tcPr>
          <w:p w14:paraId="7FF31B3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C69042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70</w:t>
            </w:r>
          </w:p>
        </w:tc>
      </w:tr>
      <w:tr w:rsidR="008A39CF" w:rsidRPr="008A39CF" w14:paraId="46C62400"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E9D147"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50E3BB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E162B7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8EF08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ADC1D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F1E61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15C94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D8052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4AB13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7E459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4119F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8EA7B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D721D61"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5FF721"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0E9892B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E42502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08B1F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9F4DF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7F717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0056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BCB8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CB0F9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2129A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48E9A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3885D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12D34B2E"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DE0183"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8ECBEF4"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D66719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210E6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32E0E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EA18E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CAA88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B0A6A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F70DF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DEC14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A880E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65F0C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0FD32D77"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F7D65D"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14E77F8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01464C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6A7D4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560BD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108C7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E9CA3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00363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2BB9D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8534E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4AC2C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1E3B3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67FBD8A2"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83D857"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640F5E97"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CACB0A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01E2C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663D5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4C2A4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FE4F9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411CD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FD3A8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BB2AC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64F70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6670A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04F27B8"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B29A44"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5D4ED42"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49ECC8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1A135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63D8F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86C9E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FC84C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7E824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59FD7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5EC11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23B9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53E39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787B014C"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B38E1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E5EF6CC"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C2EE64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44D02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F1BE3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1ADBE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7244C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C500F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C32E4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D2D06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92CAC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7909D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710EED80"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1EDC76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A07C8DB"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7B15ED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910DF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D09F3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797B9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88266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370F1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4BE4D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96D80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E99EB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7AB21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6CAC25B9"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4BA3CD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7BCC8F7"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07682C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84A87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40E88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265B6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8DC47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B672E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62DCC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BDE9A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BABB6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B4870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0F25A941"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302DC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A592A00"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9ACFB6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3530C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49</w:t>
            </w:r>
          </w:p>
        </w:tc>
        <w:tc>
          <w:tcPr>
            <w:tcW w:w="390" w:type="pct"/>
            <w:tcBorders>
              <w:top w:val="nil"/>
              <w:left w:val="nil"/>
              <w:bottom w:val="single" w:sz="4" w:space="0" w:color="auto"/>
              <w:right w:val="single" w:sz="4" w:space="0" w:color="auto"/>
            </w:tcBorders>
            <w:shd w:val="clear" w:color="auto" w:fill="auto"/>
            <w:noWrap/>
            <w:vAlign w:val="center"/>
          </w:tcPr>
          <w:p w14:paraId="3F9D090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70170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50</w:t>
            </w:r>
          </w:p>
        </w:tc>
        <w:tc>
          <w:tcPr>
            <w:tcW w:w="390" w:type="pct"/>
            <w:tcBorders>
              <w:top w:val="nil"/>
              <w:left w:val="nil"/>
              <w:bottom w:val="single" w:sz="4" w:space="0" w:color="auto"/>
              <w:right w:val="single" w:sz="4" w:space="0" w:color="auto"/>
            </w:tcBorders>
            <w:shd w:val="clear" w:color="auto" w:fill="auto"/>
            <w:noWrap/>
            <w:vAlign w:val="center"/>
          </w:tcPr>
          <w:p w14:paraId="152F437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3B748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51</w:t>
            </w:r>
          </w:p>
        </w:tc>
        <w:tc>
          <w:tcPr>
            <w:tcW w:w="389" w:type="pct"/>
            <w:tcBorders>
              <w:top w:val="nil"/>
              <w:left w:val="nil"/>
              <w:bottom w:val="single" w:sz="4" w:space="0" w:color="auto"/>
              <w:right w:val="single" w:sz="4" w:space="0" w:color="auto"/>
            </w:tcBorders>
            <w:shd w:val="clear" w:color="auto" w:fill="auto"/>
            <w:noWrap/>
            <w:vAlign w:val="center"/>
          </w:tcPr>
          <w:p w14:paraId="70F36D5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B7535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52</w:t>
            </w:r>
          </w:p>
        </w:tc>
        <w:tc>
          <w:tcPr>
            <w:tcW w:w="390" w:type="pct"/>
            <w:tcBorders>
              <w:top w:val="nil"/>
              <w:left w:val="nil"/>
              <w:bottom w:val="single" w:sz="4" w:space="0" w:color="auto"/>
              <w:right w:val="single" w:sz="4" w:space="0" w:color="auto"/>
            </w:tcBorders>
            <w:shd w:val="clear" w:color="auto" w:fill="auto"/>
            <w:noWrap/>
            <w:vAlign w:val="center"/>
          </w:tcPr>
          <w:p w14:paraId="2505004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E79AA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53</w:t>
            </w:r>
          </w:p>
        </w:tc>
      </w:tr>
      <w:tr w:rsidR="008A39CF" w:rsidRPr="008A39CF" w14:paraId="5CA24C7D"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DAE440"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273499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BDACD4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01985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49</w:t>
            </w:r>
          </w:p>
        </w:tc>
        <w:tc>
          <w:tcPr>
            <w:tcW w:w="390" w:type="pct"/>
            <w:tcBorders>
              <w:top w:val="nil"/>
              <w:left w:val="nil"/>
              <w:bottom w:val="single" w:sz="4" w:space="0" w:color="auto"/>
              <w:right w:val="single" w:sz="4" w:space="0" w:color="auto"/>
            </w:tcBorders>
            <w:shd w:val="clear" w:color="auto" w:fill="auto"/>
            <w:noWrap/>
            <w:vAlign w:val="center"/>
          </w:tcPr>
          <w:p w14:paraId="0C3F594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51517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50</w:t>
            </w:r>
          </w:p>
        </w:tc>
        <w:tc>
          <w:tcPr>
            <w:tcW w:w="390" w:type="pct"/>
            <w:tcBorders>
              <w:top w:val="nil"/>
              <w:left w:val="nil"/>
              <w:bottom w:val="single" w:sz="4" w:space="0" w:color="auto"/>
              <w:right w:val="single" w:sz="4" w:space="0" w:color="auto"/>
            </w:tcBorders>
            <w:shd w:val="clear" w:color="auto" w:fill="auto"/>
            <w:noWrap/>
            <w:vAlign w:val="center"/>
          </w:tcPr>
          <w:p w14:paraId="4BAFE79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53D10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51</w:t>
            </w:r>
          </w:p>
        </w:tc>
        <w:tc>
          <w:tcPr>
            <w:tcW w:w="389" w:type="pct"/>
            <w:tcBorders>
              <w:top w:val="nil"/>
              <w:left w:val="nil"/>
              <w:bottom w:val="single" w:sz="4" w:space="0" w:color="auto"/>
              <w:right w:val="single" w:sz="4" w:space="0" w:color="auto"/>
            </w:tcBorders>
            <w:shd w:val="clear" w:color="auto" w:fill="auto"/>
            <w:noWrap/>
            <w:vAlign w:val="center"/>
          </w:tcPr>
          <w:p w14:paraId="48872FE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46288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52</w:t>
            </w:r>
          </w:p>
        </w:tc>
        <w:tc>
          <w:tcPr>
            <w:tcW w:w="390" w:type="pct"/>
            <w:tcBorders>
              <w:top w:val="nil"/>
              <w:left w:val="nil"/>
              <w:bottom w:val="single" w:sz="4" w:space="0" w:color="auto"/>
              <w:right w:val="single" w:sz="4" w:space="0" w:color="auto"/>
            </w:tcBorders>
            <w:shd w:val="clear" w:color="auto" w:fill="auto"/>
            <w:noWrap/>
            <w:vAlign w:val="center"/>
          </w:tcPr>
          <w:p w14:paraId="6F8EB5C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E0D6E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53</w:t>
            </w:r>
          </w:p>
        </w:tc>
      </w:tr>
      <w:tr w:rsidR="008A39CF" w:rsidRPr="008A39CF" w14:paraId="670B1027"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5D440E"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A08B575"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B264AA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0BD4B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ED6DA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9406A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CFA82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72D38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2AE44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851F3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0C22A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9A430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47B0BC0C"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779E7B"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E07A741"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6A848E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0162B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33F08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A0194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F7954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26E42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0C068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628E9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05A10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FE954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7258FC72"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2B059A"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782DEB5"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2A67F9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79F31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7073E7"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1B52F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4B873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8FBBA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1F9C2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B5BEB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62176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2952C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26DFF330"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D99A0C"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8F7A94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02610B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5C02F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EB7AD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D3F3D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3ECE0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73E37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E98FF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45B54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47381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3F63A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78D85B05"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813E58"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141A1DE"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DEB8AB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34F90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43438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81BFB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A3F7F6"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6C929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3FF52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ABEA2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41A02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A89E9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756C37D4"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28C521"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A1F55A2"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F250F1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C13DF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73580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04744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EDDE7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7CAC8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F2EE4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AC586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C89D0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03D943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265DE78A"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3A6BA2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E4020A4"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D310F7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2A300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823FEF"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DB8C2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9D0703"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23038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4B8BF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44690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7F0305"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FA3B4D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1A7EC53B"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885286"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7D2E421"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0868CC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D43A8A"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67E1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B0673D"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75670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FF3A0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623CB8"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C02354"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18281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C75E7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0D5EC204" w14:textId="77777777" w:rsidTr="008A39C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613A69"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90A76AF" w14:textId="77777777" w:rsidR="008A39CF" w:rsidRPr="008A39CF" w:rsidRDefault="008A39CF" w:rsidP="008A39CF">
            <w:pPr>
              <w:ind w:left="0"/>
              <w:rPr>
                <w:rFonts w:ascii="Bookman Old Style" w:hAnsi="Bookman Old Style" w:cs="Arial"/>
                <w:color w:val="000000"/>
                <w:sz w:val="12"/>
                <w:szCs w:val="12"/>
                <w:lang w:val="es-CO" w:eastAsia="es-CO"/>
              </w:rPr>
            </w:pPr>
            <w:r w:rsidRPr="008A39C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177D550"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3F51A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2D3E2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B72681"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4CFAC2"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3C9A6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FD190B"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B6A5EC"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0809EE"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71B5F9" w14:textId="77777777" w:rsidR="008A39CF" w:rsidRPr="008A39CF" w:rsidRDefault="008A39CF" w:rsidP="008A39CF">
            <w:pPr>
              <w:ind w:left="0" w:hanging="14"/>
              <w:jc w:val="right"/>
              <w:rPr>
                <w:rFonts w:ascii="Bookman Old Style" w:hAnsi="Bookman Old Style" w:cs="Arial"/>
                <w:color w:val="000000"/>
                <w:sz w:val="12"/>
                <w:szCs w:val="12"/>
                <w:lang w:val="es-CO"/>
              </w:rPr>
            </w:pPr>
            <w:r w:rsidRPr="008A39CF">
              <w:rPr>
                <w:rFonts w:ascii="Bookman Old Style" w:hAnsi="Bookman Old Style" w:cs="Arial"/>
                <w:color w:val="000000"/>
                <w:sz w:val="12"/>
                <w:szCs w:val="12"/>
                <w:lang w:val="es-CO"/>
              </w:rPr>
              <w:t xml:space="preserve">- </w:t>
            </w:r>
          </w:p>
        </w:tc>
      </w:tr>
      <w:tr w:rsidR="008A39CF" w:rsidRPr="008A39CF" w14:paraId="3CCFA00E" w14:textId="77777777" w:rsidTr="008A39CF">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745BB8B" w14:textId="77777777" w:rsidR="008A39CF" w:rsidRPr="008A39CF" w:rsidRDefault="008A39CF" w:rsidP="008A39CF">
            <w:pPr>
              <w:ind w:left="0"/>
              <w:rPr>
                <w:rFonts w:ascii="Bookman Old Style" w:hAnsi="Bookman Old Style" w:cs="Arial"/>
                <w:b/>
                <w:color w:val="000000"/>
                <w:sz w:val="12"/>
                <w:szCs w:val="12"/>
                <w:lang w:val="es-CO" w:eastAsia="es-CO"/>
              </w:rPr>
            </w:pPr>
            <w:r w:rsidRPr="008A39CF">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387DCB" w14:textId="77777777" w:rsidR="008A39CF" w:rsidRPr="008A39CF" w:rsidRDefault="008A39CF" w:rsidP="008A39CF">
            <w:pPr>
              <w:ind w:left="0"/>
              <w:jc w:val="right"/>
              <w:rPr>
                <w:rFonts w:ascii="Bookman Old Style" w:hAnsi="Bookman Old Style" w:cs="Arial"/>
                <w:b/>
                <w:bCs/>
                <w:color w:val="000000"/>
                <w:sz w:val="12"/>
                <w:szCs w:val="12"/>
                <w:lang w:val="es-CO" w:eastAsia="es-CO"/>
              </w:rPr>
            </w:pPr>
            <w:r w:rsidRPr="008A39C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3E945D"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283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CE6F6E"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9598EA"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289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182D8F"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98BE04"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295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EBE44B0"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45E1EB4"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301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CCD40F"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EFEFCF" w14:textId="77777777" w:rsidR="008A39CF" w:rsidRPr="008A39CF" w:rsidRDefault="008A39CF" w:rsidP="008A39CF">
            <w:pPr>
              <w:ind w:left="0"/>
              <w:jc w:val="right"/>
              <w:rPr>
                <w:rFonts w:ascii="Bookman Old Style" w:hAnsi="Bookman Old Style" w:cs="Arial"/>
                <w:b/>
                <w:bCs/>
                <w:color w:val="000000"/>
                <w:sz w:val="12"/>
                <w:szCs w:val="12"/>
                <w:lang w:val="es-CO"/>
              </w:rPr>
            </w:pPr>
            <w:r w:rsidRPr="008A39CF">
              <w:rPr>
                <w:rFonts w:ascii="Bookman Old Style" w:hAnsi="Bookman Old Style" w:cs="Arial"/>
                <w:b/>
                <w:bCs/>
                <w:color w:val="000000"/>
                <w:sz w:val="12"/>
                <w:szCs w:val="12"/>
                <w:lang w:val="es-CO"/>
              </w:rPr>
              <w:t xml:space="preserve">307 </w:t>
            </w:r>
          </w:p>
        </w:tc>
      </w:tr>
    </w:tbl>
    <w:p w14:paraId="714366A2" w14:textId="41C54D56" w:rsidR="008A39CF" w:rsidRDefault="008A39CF"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6F30E0" w:rsidRPr="006F30E0" w14:paraId="23E4DE4A" w14:textId="77777777" w:rsidTr="006F30E0">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1BD034" w14:textId="77777777" w:rsidR="006F30E0" w:rsidRPr="006F30E0" w:rsidRDefault="006F30E0" w:rsidP="006F30E0">
            <w:pPr>
              <w:ind w:left="0"/>
              <w:jc w:val="center"/>
              <w:rPr>
                <w:rFonts w:ascii="Bookman Old Style" w:hAnsi="Bookman Old Style" w:cs="Arial"/>
                <w:b/>
                <w:color w:val="000000"/>
                <w:sz w:val="12"/>
                <w:szCs w:val="12"/>
                <w:lang w:val="es-CO" w:eastAsia="es-CO"/>
              </w:rPr>
            </w:pPr>
            <w:r w:rsidRPr="006F30E0">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0F0141" w14:textId="77777777" w:rsidR="006F30E0" w:rsidRPr="006F30E0" w:rsidRDefault="006F30E0" w:rsidP="006F30E0">
            <w:pPr>
              <w:ind w:left="0"/>
              <w:jc w:val="center"/>
              <w:rPr>
                <w:rFonts w:ascii="Bookman Old Style" w:hAnsi="Bookman Old Style" w:cs="Arial"/>
                <w:b/>
                <w:color w:val="000000"/>
                <w:sz w:val="12"/>
                <w:szCs w:val="12"/>
                <w:lang w:val="es-CO" w:eastAsia="es-CO"/>
              </w:rPr>
            </w:pPr>
            <w:r w:rsidRPr="006F30E0">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FAFF475" w14:textId="77777777" w:rsidR="006F30E0" w:rsidRPr="006F30E0" w:rsidRDefault="006F30E0" w:rsidP="006F30E0">
            <w:pPr>
              <w:ind w:left="0"/>
              <w:jc w:val="center"/>
              <w:rPr>
                <w:rFonts w:ascii="Bookman Old Style" w:hAnsi="Bookman Old Style" w:cs="Arial"/>
                <w:b/>
                <w:color w:val="000000"/>
                <w:sz w:val="12"/>
                <w:szCs w:val="12"/>
                <w:lang w:val="es-CO" w:eastAsia="es-CO"/>
              </w:rPr>
            </w:pPr>
            <w:r w:rsidRPr="006F30E0">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C41D7CF" w14:textId="77777777" w:rsidR="006F30E0" w:rsidRPr="006F30E0" w:rsidRDefault="006F30E0" w:rsidP="006F30E0">
            <w:pPr>
              <w:ind w:left="0"/>
              <w:jc w:val="center"/>
              <w:rPr>
                <w:rFonts w:ascii="Bookman Old Style" w:hAnsi="Bookman Old Style" w:cs="Arial"/>
                <w:b/>
                <w:color w:val="000000"/>
                <w:sz w:val="12"/>
                <w:szCs w:val="12"/>
                <w:lang w:val="es-CO" w:eastAsia="es-CO"/>
              </w:rPr>
            </w:pPr>
            <w:r w:rsidRPr="006F30E0">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5011FF4" w14:textId="77777777" w:rsidR="006F30E0" w:rsidRPr="006F30E0" w:rsidRDefault="006F30E0" w:rsidP="006F30E0">
            <w:pPr>
              <w:ind w:left="0"/>
              <w:jc w:val="center"/>
              <w:rPr>
                <w:rFonts w:ascii="Bookman Old Style" w:hAnsi="Bookman Old Style" w:cs="Arial"/>
                <w:b/>
                <w:color w:val="000000"/>
                <w:sz w:val="12"/>
                <w:szCs w:val="12"/>
                <w:lang w:val="es-CO" w:eastAsia="es-CO"/>
              </w:rPr>
            </w:pPr>
            <w:r w:rsidRPr="006F30E0">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733A1F2" w14:textId="77777777" w:rsidR="006F30E0" w:rsidRPr="006F30E0" w:rsidRDefault="006F30E0" w:rsidP="006F30E0">
            <w:pPr>
              <w:ind w:left="0"/>
              <w:jc w:val="center"/>
              <w:rPr>
                <w:rFonts w:ascii="Bookman Old Style" w:hAnsi="Bookman Old Style" w:cs="Arial"/>
                <w:b/>
                <w:color w:val="000000"/>
                <w:sz w:val="12"/>
                <w:szCs w:val="12"/>
                <w:lang w:val="es-CO" w:eastAsia="es-CO"/>
              </w:rPr>
            </w:pPr>
            <w:r w:rsidRPr="006F30E0">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2D86D45" w14:textId="77777777" w:rsidR="006F30E0" w:rsidRPr="006F30E0" w:rsidRDefault="006F30E0" w:rsidP="006F30E0">
            <w:pPr>
              <w:ind w:left="0"/>
              <w:jc w:val="center"/>
              <w:rPr>
                <w:rFonts w:ascii="Bookman Old Style" w:hAnsi="Bookman Old Style" w:cs="Arial"/>
                <w:b/>
                <w:color w:val="000000"/>
                <w:sz w:val="12"/>
                <w:szCs w:val="12"/>
                <w:lang w:val="es-CO" w:eastAsia="es-CO"/>
              </w:rPr>
            </w:pPr>
            <w:r w:rsidRPr="006F30E0">
              <w:rPr>
                <w:rFonts w:ascii="Bookman Old Style" w:hAnsi="Bookman Old Style" w:cs="Arial"/>
                <w:b/>
                <w:color w:val="000000"/>
                <w:sz w:val="12"/>
                <w:szCs w:val="12"/>
                <w:lang w:val="es-CO" w:eastAsia="es-CO"/>
              </w:rPr>
              <w:t>Año 10</w:t>
            </w:r>
          </w:p>
        </w:tc>
      </w:tr>
      <w:tr w:rsidR="006F30E0" w:rsidRPr="006F30E0" w14:paraId="2B4569B7" w14:textId="77777777" w:rsidTr="006F30E0">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077C7" w14:textId="77777777" w:rsidR="006F30E0" w:rsidRPr="006F30E0" w:rsidRDefault="006F30E0" w:rsidP="006F30E0">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FDE4A" w14:textId="77777777" w:rsidR="006F30E0" w:rsidRPr="006F30E0" w:rsidRDefault="006F30E0" w:rsidP="006F30E0">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12AFA449"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73E5178"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CC85757"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CCB6A11"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2B0D043"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4327C20"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FD08CAC"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EB19367"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D70A610"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59FB73D" w14:textId="77777777" w:rsidR="006F30E0" w:rsidRPr="006F30E0" w:rsidRDefault="006F30E0" w:rsidP="006F30E0">
            <w:pPr>
              <w:ind w:left="0"/>
              <w:jc w:val="center"/>
              <w:rPr>
                <w:rFonts w:ascii="Bookman Old Style" w:hAnsi="Bookman Old Style" w:cs="Arial"/>
                <w:b/>
                <w:color w:val="000000"/>
                <w:sz w:val="10"/>
                <w:szCs w:val="10"/>
                <w:lang w:val="es-CO" w:eastAsia="es-CO"/>
              </w:rPr>
            </w:pPr>
            <w:r w:rsidRPr="006F30E0">
              <w:rPr>
                <w:rFonts w:ascii="Bookman Old Style" w:hAnsi="Bookman Old Style" w:cs="Arial"/>
                <w:b/>
                <w:color w:val="000000"/>
                <w:sz w:val="10"/>
                <w:szCs w:val="10"/>
                <w:lang w:val="es-CO" w:eastAsia="es-CO"/>
              </w:rPr>
              <w:t>Secundaria</w:t>
            </w:r>
          </w:p>
        </w:tc>
      </w:tr>
      <w:tr w:rsidR="006F30E0" w:rsidRPr="006F30E0" w14:paraId="382A6973"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0F5610E"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0992C2F"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F40AF3D" w14:textId="77777777" w:rsidR="006F30E0" w:rsidRPr="006F30E0" w:rsidRDefault="006F30E0" w:rsidP="006F30E0">
            <w:pPr>
              <w:ind w:left="0" w:hanging="14"/>
              <w:jc w:val="right"/>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8F786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46 </w:t>
            </w:r>
          </w:p>
        </w:tc>
        <w:tc>
          <w:tcPr>
            <w:tcW w:w="390" w:type="pct"/>
            <w:tcBorders>
              <w:top w:val="nil"/>
              <w:left w:val="nil"/>
              <w:bottom w:val="single" w:sz="4" w:space="0" w:color="auto"/>
              <w:right w:val="single" w:sz="4" w:space="0" w:color="auto"/>
            </w:tcBorders>
            <w:shd w:val="clear" w:color="auto" w:fill="auto"/>
            <w:noWrap/>
            <w:vAlign w:val="center"/>
          </w:tcPr>
          <w:p w14:paraId="7E0BB49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1BF5D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25B35C6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BA0D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48 </w:t>
            </w:r>
          </w:p>
        </w:tc>
        <w:tc>
          <w:tcPr>
            <w:tcW w:w="389" w:type="pct"/>
            <w:tcBorders>
              <w:top w:val="nil"/>
              <w:left w:val="nil"/>
              <w:bottom w:val="single" w:sz="4" w:space="0" w:color="auto"/>
              <w:right w:val="single" w:sz="4" w:space="0" w:color="auto"/>
            </w:tcBorders>
            <w:shd w:val="clear" w:color="auto" w:fill="auto"/>
            <w:noWrap/>
            <w:vAlign w:val="center"/>
          </w:tcPr>
          <w:p w14:paraId="268673B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12B11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49 </w:t>
            </w:r>
          </w:p>
        </w:tc>
        <w:tc>
          <w:tcPr>
            <w:tcW w:w="390" w:type="pct"/>
            <w:tcBorders>
              <w:top w:val="nil"/>
              <w:left w:val="nil"/>
              <w:bottom w:val="single" w:sz="4" w:space="0" w:color="auto"/>
              <w:right w:val="single" w:sz="4" w:space="0" w:color="auto"/>
            </w:tcBorders>
            <w:shd w:val="clear" w:color="auto" w:fill="auto"/>
            <w:noWrap/>
            <w:vAlign w:val="center"/>
          </w:tcPr>
          <w:p w14:paraId="5B2179C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48C13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50 </w:t>
            </w:r>
          </w:p>
        </w:tc>
      </w:tr>
      <w:tr w:rsidR="006F30E0" w:rsidRPr="006F30E0" w14:paraId="7CB93F40"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1C3944"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BCDD36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233C6E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622D0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46 </w:t>
            </w:r>
          </w:p>
        </w:tc>
        <w:tc>
          <w:tcPr>
            <w:tcW w:w="390" w:type="pct"/>
            <w:tcBorders>
              <w:top w:val="nil"/>
              <w:left w:val="nil"/>
              <w:bottom w:val="single" w:sz="4" w:space="0" w:color="auto"/>
              <w:right w:val="single" w:sz="4" w:space="0" w:color="auto"/>
            </w:tcBorders>
            <w:shd w:val="clear" w:color="auto" w:fill="auto"/>
            <w:noWrap/>
            <w:vAlign w:val="center"/>
          </w:tcPr>
          <w:p w14:paraId="3C66970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BD8CF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47 </w:t>
            </w:r>
          </w:p>
        </w:tc>
        <w:tc>
          <w:tcPr>
            <w:tcW w:w="390" w:type="pct"/>
            <w:tcBorders>
              <w:top w:val="nil"/>
              <w:left w:val="nil"/>
              <w:bottom w:val="single" w:sz="4" w:space="0" w:color="auto"/>
              <w:right w:val="single" w:sz="4" w:space="0" w:color="auto"/>
            </w:tcBorders>
            <w:shd w:val="clear" w:color="auto" w:fill="auto"/>
            <w:noWrap/>
            <w:vAlign w:val="center"/>
          </w:tcPr>
          <w:p w14:paraId="70D59EE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3D95C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48 </w:t>
            </w:r>
          </w:p>
        </w:tc>
        <w:tc>
          <w:tcPr>
            <w:tcW w:w="389" w:type="pct"/>
            <w:tcBorders>
              <w:top w:val="nil"/>
              <w:left w:val="nil"/>
              <w:bottom w:val="single" w:sz="4" w:space="0" w:color="auto"/>
              <w:right w:val="single" w:sz="4" w:space="0" w:color="auto"/>
            </w:tcBorders>
            <w:shd w:val="clear" w:color="auto" w:fill="auto"/>
            <w:noWrap/>
            <w:vAlign w:val="center"/>
          </w:tcPr>
          <w:p w14:paraId="2BA6C99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90230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49 </w:t>
            </w:r>
          </w:p>
        </w:tc>
        <w:tc>
          <w:tcPr>
            <w:tcW w:w="390" w:type="pct"/>
            <w:tcBorders>
              <w:top w:val="nil"/>
              <w:left w:val="nil"/>
              <w:bottom w:val="single" w:sz="4" w:space="0" w:color="auto"/>
              <w:right w:val="single" w:sz="4" w:space="0" w:color="auto"/>
            </w:tcBorders>
            <w:shd w:val="clear" w:color="auto" w:fill="auto"/>
            <w:noWrap/>
            <w:vAlign w:val="center"/>
          </w:tcPr>
          <w:p w14:paraId="0C9BE15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1F8EE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50 </w:t>
            </w:r>
          </w:p>
        </w:tc>
      </w:tr>
      <w:tr w:rsidR="006F30E0" w:rsidRPr="006F30E0" w14:paraId="051779CF"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BC8191"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FC399AC"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DEB614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00D71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473F9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5FD90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15B27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6C5FA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9ECDE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4E0C4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3904B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759D1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17152F88"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0A8AB80"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1C83B4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996A3F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1C91F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18B82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5C861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90A10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7E7BB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5DAE3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F25D5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F46E4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37B48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6DF4525"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CD2663"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3465D5C"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D78718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A74EF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8CF8D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329F1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0E95B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92EAA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4013D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468B9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65907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6528E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6E24CFCB"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6C4F65"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C2E9CF2"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347E62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5531C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6336F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40C84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50DD5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48CC6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D6EEF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9AB8F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B60AB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C69A9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7AF6B32C"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5448926"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14E279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E51627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3C035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59133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42BE5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8D263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01332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151B9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04C5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0C9EC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354DC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775AAA7"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4488EE"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1460CAC"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760DFC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759F1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D6558B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408A3F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A872BE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EAAEEA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E91E13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D7AF57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126DBE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3ACDE27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r>
      <w:tr w:rsidR="006F30E0" w:rsidRPr="006F30E0" w14:paraId="3027F5EC"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8207DB8"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183C66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75F06A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8E249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1E36A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238C4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C9FB1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B2F6D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B3E97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0FB0B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BA22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B881F5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1DC8D1AC"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122EFC"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lastRenderedPageBreak/>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CA141A1"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15F8D4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BC148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6BF47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8ED51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90EAD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8DB84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E47AC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45FFA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6E673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7A7AE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DA178EB"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207559" w14:textId="77777777" w:rsidR="006F30E0" w:rsidRPr="006F30E0" w:rsidRDefault="006F30E0" w:rsidP="006F30E0">
            <w:pPr>
              <w:ind w:left="0"/>
              <w:rPr>
                <w:rFonts w:ascii="Bookman Old Style" w:hAnsi="Bookman Old Style" w:cs="Arial"/>
                <w:sz w:val="12"/>
                <w:szCs w:val="12"/>
                <w:lang w:val="es-CO"/>
              </w:rPr>
            </w:pPr>
            <w:r w:rsidRPr="006F30E0">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442A435"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BA26D0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13D955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296DE6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0DE1CC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40313E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5203AD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07D6E5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6FE062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A3EA8D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0E0DD9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r>
      <w:tr w:rsidR="006F30E0" w:rsidRPr="006F30E0" w14:paraId="4D34299E"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6A89668"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C9ECEC1"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36E73B7"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5A16C2"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57 </w:t>
            </w:r>
          </w:p>
        </w:tc>
        <w:tc>
          <w:tcPr>
            <w:tcW w:w="390" w:type="pct"/>
            <w:tcBorders>
              <w:top w:val="nil"/>
              <w:left w:val="nil"/>
              <w:bottom w:val="single" w:sz="4" w:space="0" w:color="auto"/>
              <w:right w:val="single" w:sz="4" w:space="0" w:color="auto"/>
            </w:tcBorders>
            <w:shd w:val="clear" w:color="auto" w:fill="auto"/>
            <w:noWrap/>
            <w:vAlign w:val="center"/>
          </w:tcPr>
          <w:p w14:paraId="3E28042B"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34AA7C"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58 </w:t>
            </w:r>
          </w:p>
        </w:tc>
        <w:tc>
          <w:tcPr>
            <w:tcW w:w="390" w:type="pct"/>
            <w:tcBorders>
              <w:top w:val="nil"/>
              <w:left w:val="nil"/>
              <w:bottom w:val="single" w:sz="4" w:space="0" w:color="auto"/>
              <w:right w:val="single" w:sz="4" w:space="0" w:color="auto"/>
            </w:tcBorders>
            <w:shd w:val="clear" w:color="auto" w:fill="auto"/>
            <w:noWrap/>
            <w:vAlign w:val="center"/>
          </w:tcPr>
          <w:p w14:paraId="1F7D07C1"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9F2D24"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59 </w:t>
            </w:r>
          </w:p>
        </w:tc>
        <w:tc>
          <w:tcPr>
            <w:tcW w:w="389" w:type="pct"/>
            <w:tcBorders>
              <w:top w:val="nil"/>
              <w:left w:val="nil"/>
              <w:bottom w:val="single" w:sz="4" w:space="0" w:color="auto"/>
              <w:right w:val="single" w:sz="4" w:space="0" w:color="auto"/>
            </w:tcBorders>
            <w:shd w:val="clear" w:color="auto" w:fill="auto"/>
            <w:noWrap/>
            <w:vAlign w:val="center"/>
          </w:tcPr>
          <w:p w14:paraId="67937021"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4188B8"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60 </w:t>
            </w:r>
          </w:p>
        </w:tc>
        <w:tc>
          <w:tcPr>
            <w:tcW w:w="390" w:type="pct"/>
            <w:tcBorders>
              <w:top w:val="nil"/>
              <w:left w:val="nil"/>
              <w:bottom w:val="single" w:sz="4" w:space="0" w:color="auto"/>
              <w:right w:val="single" w:sz="4" w:space="0" w:color="auto"/>
            </w:tcBorders>
            <w:shd w:val="clear" w:color="auto" w:fill="auto"/>
            <w:noWrap/>
            <w:vAlign w:val="center"/>
          </w:tcPr>
          <w:p w14:paraId="5326AF71"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E256F86"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61 </w:t>
            </w:r>
          </w:p>
        </w:tc>
      </w:tr>
      <w:tr w:rsidR="006F30E0" w:rsidRPr="006F30E0" w14:paraId="77BC8E5A"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2D663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9B83C2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BE97A84"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0DF092"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57 </w:t>
            </w:r>
          </w:p>
        </w:tc>
        <w:tc>
          <w:tcPr>
            <w:tcW w:w="390" w:type="pct"/>
            <w:tcBorders>
              <w:top w:val="nil"/>
              <w:left w:val="nil"/>
              <w:bottom w:val="single" w:sz="4" w:space="0" w:color="auto"/>
              <w:right w:val="single" w:sz="4" w:space="0" w:color="auto"/>
            </w:tcBorders>
            <w:shd w:val="clear" w:color="auto" w:fill="auto"/>
            <w:noWrap/>
            <w:vAlign w:val="center"/>
          </w:tcPr>
          <w:p w14:paraId="4CD2E9FA"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670CF6"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58 </w:t>
            </w:r>
          </w:p>
        </w:tc>
        <w:tc>
          <w:tcPr>
            <w:tcW w:w="390" w:type="pct"/>
            <w:tcBorders>
              <w:top w:val="nil"/>
              <w:left w:val="nil"/>
              <w:bottom w:val="single" w:sz="4" w:space="0" w:color="auto"/>
              <w:right w:val="single" w:sz="4" w:space="0" w:color="auto"/>
            </w:tcBorders>
            <w:shd w:val="clear" w:color="auto" w:fill="auto"/>
            <w:noWrap/>
            <w:vAlign w:val="center"/>
          </w:tcPr>
          <w:p w14:paraId="56691DD8"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AAD790"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59 </w:t>
            </w:r>
          </w:p>
        </w:tc>
        <w:tc>
          <w:tcPr>
            <w:tcW w:w="389" w:type="pct"/>
            <w:tcBorders>
              <w:top w:val="nil"/>
              <w:left w:val="nil"/>
              <w:bottom w:val="single" w:sz="4" w:space="0" w:color="auto"/>
              <w:right w:val="single" w:sz="4" w:space="0" w:color="auto"/>
            </w:tcBorders>
            <w:shd w:val="clear" w:color="auto" w:fill="auto"/>
            <w:noWrap/>
            <w:vAlign w:val="center"/>
          </w:tcPr>
          <w:p w14:paraId="4A1C7EF6"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3F806E"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60 </w:t>
            </w:r>
          </w:p>
        </w:tc>
        <w:tc>
          <w:tcPr>
            <w:tcW w:w="390" w:type="pct"/>
            <w:tcBorders>
              <w:top w:val="nil"/>
              <w:left w:val="nil"/>
              <w:bottom w:val="single" w:sz="4" w:space="0" w:color="auto"/>
              <w:right w:val="single" w:sz="4" w:space="0" w:color="auto"/>
            </w:tcBorders>
            <w:shd w:val="clear" w:color="auto" w:fill="auto"/>
            <w:noWrap/>
            <w:vAlign w:val="center"/>
          </w:tcPr>
          <w:p w14:paraId="192EC65E"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7CC5C9"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61 </w:t>
            </w:r>
          </w:p>
        </w:tc>
      </w:tr>
      <w:tr w:rsidR="006F30E0" w:rsidRPr="006F30E0" w14:paraId="562C5305"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7AE06D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A49083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ECC58CE"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77AD3A"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3D7478"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A9F6BC"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6B6DA7"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A73F7"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1F8B77"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365208"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F5FC23"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D68EAD"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r>
      <w:tr w:rsidR="006F30E0" w:rsidRPr="006F30E0" w14:paraId="746ECE69"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79CE4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4EBE72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91020E2"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CA43C8"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974D02"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724196"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4AD4B5"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CF0CF4"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30C761"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5DACCD"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BB2924"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25F683"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r>
      <w:tr w:rsidR="006F30E0" w:rsidRPr="006F30E0" w14:paraId="78F822C3"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F195A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406AC6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F103CD0"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9D227"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FFECCC"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2C24A8"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6ECA4"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311E7B"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6B126C"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AEACDA"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9E529"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949380D" w14:textId="77777777" w:rsidR="006F30E0" w:rsidRPr="006F30E0" w:rsidRDefault="006F30E0" w:rsidP="006F30E0">
            <w:pPr>
              <w:ind w:left="0" w:hanging="14"/>
              <w:jc w:val="right"/>
              <w:rPr>
                <w:rFonts w:ascii="Bookman Old Style" w:hAnsi="Bookman Old Style" w:cs="Arial"/>
                <w:color w:val="000000"/>
                <w:sz w:val="12"/>
                <w:szCs w:val="12"/>
                <w:highlight w:val="yellow"/>
                <w:lang w:val="es-CO"/>
              </w:rPr>
            </w:pPr>
            <w:r w:rsidRPr="006F30E0">
              <w:rPr>
                <w:rFonts w:ascii="Bookman Old Style" w:hAnsi="Bookman Old Style" w:cs="Arial"/>
                <w:color w:val="000000"/>
                <w:sz w:val="12"/>
                <w:szCs w:val="12"/>
                <w:lang w:val="es-CO"/>
              </w:rPr>
              <w:t xml:space="preserve">- </w:t>
            </w:r>
          </w:p>
        </w:tc>
      </w:tr>
      <w:tr w:rsidR="006F30E0" w:rsidRPr="006F30E0" w14:paraId="7920B7C6"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5A7D1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47DA4B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324AD4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8BB2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D1E8F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E3455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E7ECE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77382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B1DD6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886D5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D7C58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C094F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ABA3A15"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7372F85"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B27069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335944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85EFB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4AE2E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EE94A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C9860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26F58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A6577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757F9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AD83A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A05A7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529E005F"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552DE5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729927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0E4C2A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0CA8B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B1F7E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7F6CC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7DA3D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02CE1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A811A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BB203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CEEBD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3B64F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30EADCD3"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811AC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DECE4BC"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40FF31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ED775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0766F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0529F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75FE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96770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61598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B37D6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DEECE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341A8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33137CF2"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D26699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5AD7EA8"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BE09A5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8EEFD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9440A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814B4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32430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433C8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7551E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D4868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39C11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B12CE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60235F11"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AD152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411265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0F9127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46AC9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58B1C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A9796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A3819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B0676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7B047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67890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16B3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7A553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73B9B49"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802EB5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30B2C1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EA847A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D09EF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53 </w:t>
            </w:r>
          </w:p>
        </w:tc>
        <w:tc>
          <w:tcPr>
            <w:tcW w:w="390" w:type="pct"/>
            <w:tcBorders>
              <w:top w:val="nil"/>
              <w:left w:val="nil"/>
              <w:bottom w:val="single" w:sz="4" w:space="0" w:color="auto"/>
              <w:right w:val="single" w:sz="4" w:space="0" w:color="auto"/>
            </w:tcBorders>
            <w:shd w:val="clear" w:color="auto" w:fill="auto"/>
            <w:noWrap/>
            <w:vAlign w:val="center"/>
          </w:tcPr>
          <w:p w14:paraId="666F3B6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46B7C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54 </w:t>
            </w:r>
          </w:p>
        </w:tc>
        <w:tc>
          <w:tcPr>
            <w:tcW w:w="390" w:type="pct"/>
            <w:tcBorders>
              <w:top w:val="nil"/>
              <w:left w:val="nil"/>
              <w:bottom w:val="single" w:sz="4" w:space="0" w:color="auto"/>
              <w:right w:val="single" w:sz="4" w:space="0" w:color="auto"/>
            </w:tcBorders>
            <w:shd w:val="clear" w:color="auto" w:fill="auto"/>
            <w:noWrap/>
            <w:vAlign w:val="center"/>
          </w:tcPr>
          <w:p w14:paraId="38064E6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FB775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55 </w:t>
            </w:r>
          </w:p>
        </w:tc>
        <w:tc>
          <w:tcPr>
            <w:tcW w:w="389" w:type="pct"/>
            <w:tcBorders>
              <w:top w:val="nil"/>
              <w:left w:val="nil"/>
              <w:bottom w:val="single" w:sz="4" w:space="0" w:color="auto"/>
              <w:right w:val="single" w:sz="4" w:space="0" w:color="auto"/>
            </w:tcBorders>
            <w:shd w:val="clear" w:color="auto" w:fill="auto"/>
            <w:noWrap/>
            <w:vAlign w:val="center"/>
          </w:tcPr>
          <w:p w14:paraId="1E1E83A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AE3E5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56 </w:t>
            </w:r>
          </w:p>
        </w:tc>
        <w:tc>
          <w:tcPr>
            <w:tcW w:w="390" w:type="pct"/>
            <w:tcBorders>
              <w:top w:val="nil"/>
              <w:left w:val="nil"/>
              <w:bottom w:val="single" w:sz="4" w:space="0" w:color="auto"/>
              <w:right w:val="single" w:sz="4" w:space="0" w:color="auto"/>
            </w:tcBorders>
            <w:shd w:val="clear" w:color="auto" w:fill="auto"/>
            <w:noWrap/>
            <w:vAlign w:val="center"/>
          </w:tcPr>
          <w:p w14:paraId="1E9B70A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3E25C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57 </w:t>
            </w:r>
          </w:p>
        </w:tc>
      </w:tr>
      <w:tr w:rsidR="006F30E0" w:rsidRPr="006F30E0" w14:paraId="33F94730"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4C0F32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93CB20D"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8876DD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8ED2F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53 </w:t>
            </w:r>
          </w:p>
        </w:tc>
        <w:tc>
          <w:tcPr>
            <w:tcW w:w="390" w:type="pct"/>
            <w:tcBorders>
              <w:top w:val="nil"/>
              <w:left w:val="nil"/>
              <w:bottom w:val="single" w:sz="4" w:space="0" w:color="auto"/>
              <w:right w:val="single" w:sz="4" w:space="0" w:color="auto"/>
            </w:tcBorders>
            <w:shd w:val="clear" w:color="auto" w:fill="auto"/>
            <w:noWrap/>
            <w:vAlign w:val="center"/>
          </w:tcPr>
          <w:p w14:paraId="0840F8A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8EB4E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54 </w:t>
            </w:r>
          </w:p>
        </w:tc>
        <w:tc>
          <w:tcPr>
            <w:tcW w:w="390" w:type="pct"/>
            <w:tcBorders>
              <w:top w:val="nil"/>
              <w:left w:val="nil"/>
              <w:bottom w:val="single" w:sz="4" w:space="0" w:color="auto"/>
              <w:right w:val="single" w:sz="4" w:space="0" w:color="auto"/>
            </w:tcBorders>
            <w:shd w:val="clear" w:color="auto" w:fill="auto"/>
            <w:noWrap/>
            <w:vAlign w:val="center"/>
          </w:tcPr>
          <w:p w14:paraId="60BE737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60272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55 </w:t>
            </w:r>
          </w:p>
        </w:tc>
        <w:tc>
          <w:tcPr>
            <w:tcW w:w="389" w:type="pct"/>
            <w:tcBorders>
              <w:top w:val="nil"/>
              <w:left w:val="nil"/>
              <w:bottom w:val="single" w:sz="4" w:space="0" w:color="auto"/>
              <w:right w:val="single" w:sz="4" w:space="0" w:color="auto"/>
            </w:tcBorders>
            <w:shd w:val="clear" w:color="auto" w:fill="auto"/>
            <w:noWrap/>
            <w:vAlign w:val="center"/>
          </w:tcPr>
          <w:p w14:paraId="54CB8A6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8FC2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56 </w:t>
            </w:r>
          </w:p>
        </w:tc>
        <w:tc>
          <w:tcPr>
            <w:tcW w:w="390" w:type="pct"/>
            <w:tcBorders>
              <w:top w:val="nil"/>
              <w:left w:val="nil"/>
              <w:bottom w:val="single" w:sz="4" w:space="0" w:color="auto"/>
              <w:right w:val="single" w:sz="4" w:space="0" w:color="auto"/>
            </w:tcBorders>
            <w:shd w:val="clear" w:color="auto" w:fill="auto"/>
            <w:noWrap/>
            <w:vAlign w:val="center"/>
          </w:tcPr>
          <w:p w14:paraId="653DB47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4011D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57 </w:t>
            </w:r>
          </w:p>
        </w:tc>
      </w:tr>
      <w:tr w:rsidR="006F30E0" w:rsidRPr="006F30E0" w14:paraId="58B1FEF5"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2CCD5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ACF22D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778FCB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837AB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081CA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3FAF1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2C2A2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5A8B4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9E5D4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6DBDB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13190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B3E05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47D03CF"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8EF44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6A3E9B50"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ED9437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FF4D8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4D3D2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2F112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B1C9C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97A5F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C8106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297D4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717E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1CEB5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7D824D4"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B07CD3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55815C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F48AE5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541B4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A7B2C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81A44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871B0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254F2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59B8E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17187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12369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C522E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7B99A78A"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097BA3"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8D8CC8C"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02BD06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E6EC7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09698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22BFB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213DE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4F79E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04E10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3A577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3921A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CCE5D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68B3856A"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BD5BCF"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B77E5A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1B1D5C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6380F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579B1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E5718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4166D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1235C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A68CB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71AF9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68E1A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A6BD2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3B3D538D"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A122433"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503998F"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626E56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3B942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B09AE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3362D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64952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B9A21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8D73A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999E5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5C219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8130E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5CE6F812"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BB0EF5"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539927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CB4A15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9D823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9906B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A4788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B15E5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7BF98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20A16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DD0C2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288AF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68DCB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276F7D4D"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C7A3D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CE5CFD1"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76254C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5C081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EA54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088A7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B4A4A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CDE0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7F749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A86C7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56FAF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E76DE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34A91AEC"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26B2BC"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6A3C63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3F8FA6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AA74D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5143E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A5FE8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22818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D09F1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7511C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37A48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AFD9C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43C35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29C5DE49"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7AAC6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3B357929"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D75F02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8A4B2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32 </w:t>
            </w:r>
          </w:p>
        </w:tc>
        <w:tc>
          <w:tcPr>
            <w:tcW w:w="390" w:type="pct"/>
            <w:tcBorders>
              <w:top w:val="nil"/>
              <w:left w:val="nil"/>
              <w:bottom w:val="single" w:sz="4" w:space="0" w:color="auto"/>
              <w:right w:val="single" w:sz="4" w:space="0" w:color="auto"/>
            </w:tcBorders>
            <w:shd w:val="clear" w:color="auto" w:fill="auto"/>
            <w:noWrap/>
            <w:vAlign w:val="center"/>
          </w:tcPr>
          <w:p w14:paraId="5472DCB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8AD48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shd w:val="clear" w:color="auto" w:fill="auto"/>
            <w:noWrap/>
            <w:vAlign w:val="center"/>
          </w:tcPr>
          <w:p w14:paraId="4A0898E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FEAC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34 </w:t>
            </w:r>
          </w:p>
        </w:tc>
        <w:tc>
          <w:tcPr>
            <w:tcW w:w="389" w:type="pct"/>
            <w:tcBorders>
              <w:top w:val="nil"/>
              <w:left w:val="nil"/>
              <w:bottom w:val="single" w:sz="4" w:space="0" w:color="auto"/>
              <w:right w:val="single" w:sz="4" w:space="0" w:color="auto"/>
            </w:tcBorders>
            <w:shd w:val="clear" w:color="auto" w:fill="auto"/>
            <w:noWrap/>
            <w:vAlign w:val="center"/>
          </w:tcPr>
          <w:p w14:paraId="173DD77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7FB28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4FF14ED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699D5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36 </w:t>
            </w:r>
          </w:p>
        </w:tc>
      </w:tr>
      <w:tr w:rsidR="006F30E0" w:rsidRPr="006F30E0" w14:paraId="2FD0C6B8"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6ED5BA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AE2EEC9"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EEF874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25D58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32 </w:t>
            </w:r>
          </w:p>
        </w:tc>
        <w:tc>
          <w:tcPr>
            <w:tcW w:w="390" w:type="pct"/>
            <w:tcBorders>
              <w:top w:val="nil"/>
              <w:left w:val="nil"/>
              <w:bottom w:val="single" w:sz="4" w:space="0" w:color="auto"/>
              <w:right w:val="single" w:sz="4" w:space="0" w:color="auto"/>
            </w:tcBorders>
            <w:shd w:val="clear" w:color="auto" w:fill="auto"/>
            <w:noWrap/>
            <w:vAlign w:val="center"/>
          </w:tcPr>
          <w:p w14:paraId="247CBBE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41B1D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shd w:val="clear" w:color="auto" w:fill="auto"/>
            <w:noWrap/>
            <w:vAlign w:val="center"/>
          </w:tcPr>
          <w:p w14:paraId="5350309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63EBA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34 </w:t>
            </w:r>
          </w:p>
        </w:tc>
        <w:tc>
          <w:tcPr>
            <w:tcW w:w="389" w:type="pct"/>
            <w:tcBorders>
              <w:top w:val="nil"/>
              <w:left w:val="nil"/>
              <w:bottom w:val="single" w:sz="4" w:space="0" w:color="auto"/>
              <w:right w:val="single" w:sz="4" w:space="0" w:color="auto"/>
            </w:tcBorders>
            <w:shd w:val="clear" w:color="auto" w:fill="auto"/>
            <w:noWrap/>
            <w:vAlign w:val="center"/>
          </w:tcPr>
          <w:p w14:paraId="0253B89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DC38D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35 </w:t>
            </w:r>
          </w:p>
        </w:tc>
        <w:tc>
          <w:tcPr>
            <w:tcW w:w="390" w:type="pct"/>
            <w:tcBorders>
              <w:top w:val="nil"/>
              <w:left w:val="nil"/>
              <w:bottom w:val="single" w:sz="4" w:space="0" w:color="auto"/>
              <w:right w:val="single" w:sz="4" w:space="0" w:color="auto"/>
            </w:tcBorders>
            <w:shd w:val="clear" w:color="auto" w:fill="auto"/>
            <w:noWrap/>
            <w:vAlign w:val="center"/>
          </w:tcPr>
          <w:p w14:paraId="7B7C6ED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B5E2F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36 </w:t>
            </w:r>
          </w:p>
        </w:tc>
      </w:tr>
      <w:tr w:rsidR="006F30E0" w:rsidRPr="006F30E0" w14:paraId="645A161D"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764421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5C48E7A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3EC474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77B64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97A37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6713D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71635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FCF60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76E97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E8722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6FDA7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1C1B8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3BEA785"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0F363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359FDA7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08CABB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A49D4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330BD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5AA09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CF4DA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E3754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17352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60006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FB349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1E981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2FE76105"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2D4D18"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8F358E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AA65ED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90946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990AE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442CA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71588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5F3CA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A63F7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DE651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D8220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9E531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20238979"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81BC5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3E23CA19"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E0CEF2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3FB5B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2ADB6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30323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04725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2D96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7A486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38CCB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1384B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D8403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5588C1AE"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5DA021"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38D4DC2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90F30B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CCC72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01FC5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3B4EA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4558D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6D6FA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61C4D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CA590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C56BD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C6968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1D03D67C"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7B22D9"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0F4DB9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C98F3F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D428D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2F9F5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00A14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37F50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BF543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0EEA4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3E319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00024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645AF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370E0310"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48117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2D2C178"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A54FE1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A5C9D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3C5FF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3A8F6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9C21E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CCAF2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68FD5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CB714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C4C07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18D77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B712E40"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983DB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E83E16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46B236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3A115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B8182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83C9C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E03B3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4BC2A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C778A8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0A8C0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A9BAE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7541F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C4090FC"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080EA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0275931"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095609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6D4F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44372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05D5C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E7D72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5465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D91FC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A5AFE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5AD04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F4B13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75C4143C"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06D7F5"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597A5A0"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5B9B9E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11C9C8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71</w:t>
            </w:r>
          </w:p>
        </w:tc>
        <w:tc>
          <w:tcPr>
            <w:tcW w:w="390" w:type="pct"/>
            <w:tcBorders>
              <w:top w:val="nil"/>
              <w:left w:val="nil"/>
              <w:bottom w:val="single" w:sz="4" w:space="0" w:color="auto"/>
              <w:right w:val="single" w:sz="4" w:space="0" w:color="auto"/>
            </w:tcBorders>
            <w:shd w:val="clear" w:color="auto" w:fill="auto"/>
            <w:noWrap/>
            <w:vAlign w:val="center"/>
          </w:tcPr>
          <w:p w14:paraId="11AE55F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825AE6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72</w:t>
            </w:r>
          </w:p>
        </w:tc>
        <w:tc>
          <w:tcPr>
            <w:tcW w:w="390" w:type="pct"/>
            <w:tcBorders>
              <w:top w:val="nil"/>
              <w:left w:val="nil"/>
              <w:bottom w:val="single" w:sz="4" w:space="0" w:color="auto"/>
              <w:right w:val="single" w:sz="4" w:space="0" w:color="auto"/>
            </w:tcBorders>
            <w:shd w:val="clear" w:color="auto" w:fill="auto"/>
            <w:noWrap/>
            <w:vAlign w:val="center"/>
          </w:tcPr>
          <w:p w14:paraId="08A0FAB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2C0038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73</w:t>
            </w:r>
          </w:p>
        </w:tc>
        <w:tc>
          <w:tcPr>
            <w:tcW w:w="389" w:type="pct"/>
            <w:tcBorders>
              <w:top w:val="nil"/>
              <w:left w:val="nil"/>
              <w:bottom w:val="single" w:sz="4" w:space="0" w:color="auto"/>
              <w:right w:val="single" w:sz="4" w:space="0" w:color="auto"/>
            </w:tcBorders>
            <w:shd w:val="clear" w:color="auto" w:fill="auto"/>
            <w:noWrap/>
            <w:vAlign w:val="center"/>
          </w:tcPr>
          <w:p w14:paraId="3B53DD8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B65960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74</w:t>
            </w:r>
          </w:p>
        </w:tc>
        <w:tc>
          <w:tcPr>
            <w:tcW w:w="390" w:type="pct"/>
            <w:tcBorders>
              <w:top w:val="nil"/>
              <w:left w:val="nil"/>
              <w:bottom w:val="single" w:sz="4" w:space="0" w:color="auto"/>
              <w:right w:val="single" w:sz="4" w:space="0" w:color="auto"/>
            </w:tcBorders>
            <w:shd w:val="clear" w:color="auto" w:fill="auto"/>
            <w:noWrap/>
            <w:vAlign w:val="center"/>
          </w:tcPr>
          <w:p w14:paraId="233A31B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A90F2E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75</w:t>
            </w:r>
          </w:p>
        </w:tc>
      </w:tr>
      <w:tr w:rsidR="006F30E0" w:rsidRPr="006F30E0" w14:paraId="3A130ECB"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492D1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853CFC1"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255F77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702FCE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71</w:t>
            </w:r>
          </w:p>
        </w:tc>
        <w:tc>
          <w:tcPr>
            <w:tcW w:w="390" w:type="pct"/>
            <w:tcBorders>
              <w:top w:val="nil"/>
              <w:left w:val="nil"/>
              <w:bottom w:val="single" w:sz="4" w:space="0" w:color="auto"/>
              <w:right w:val="single" w:sz="4" w:space="0" w:color="auto"/>
            </w:tcBorders>
            <w:shd w:val="clear" w:color="auto" w:fill="auto"/>
            <w:noWrap/>
            <w:vAlign w:val="center"/>
          </w:tcPr>
          <w:p w14:paraId="28ACE2A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0B7F745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72</w:t>
            </w:r>
          </w:p>
        </w:tc>
        <w:tc>
          <w:tcPr>
            <w:tcW w:w="390" w:type="pct"/>
            <w:tcBorders>
              <w:top w:val="nil"/>
              <w:left w:val="nil"/>
              <w:bottom w:val="single" w:sz="4" w:space="0" w:color="auto"/>
              <w:right w:val="single" w:sz="4" w:space="0" w:color="auto"/>
            </w:tcBorders>
            <w:shd w:val="clear" w:color="auto" w:fill="auto"/>
            <w:noWrap/>
            <w:vAlign w:val="center"/>
          </w:tcPr>
          <w:p w14:paraId="339DE68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BA164C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73</w:t>
            </w:r>
          </w:p>
        </w:tc>
        <w:tc>
          <w:tcPr>
            <w:tcW w:w="389" w:type="pct"/>
            <w:tcBorders>
              <w:top w:val="nil"/>
              <w:left w:val="nil"/>
              <w:bottom w:val="single" w:sz="4" w:space="0" w:color="auto"/>
              <w:right w:val="single" w:sz="4" w:space="0" w:color="auto"/>
            </w:tcBorders>
            <w:shd w:val="clear" w:color="auto" w:fill="auto"/>
            <w:noWrap/>
            <w:vAlign w:val="center"/>
          </w:tcPr>
          <w:p w14:paraId="09A394F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39762F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74</w:t>
            </w:r>
          </w:p>
        </w:tc>
        <w:tc>
          <w:tcPr>
            <w:tcW w:w="390" w:type="pct"/>
            <w:tcBorders>
              <w:top w:val="nil"/>
              <w:left w:val="nil"/>
              <w:bottom w:val="single" w:sz="4" w:space="0" w:color="auto"/>
              <w:right w:val="single" w:sz="4" w:space="0" w:color="auto"/>
            </w:tcBorders>
            <w:shd w:val="clear" w:color="auto" w:fill="auto"/>
            <w:noWrap/>
            <w:vAlign w:val="center"/>
          </w:tcPr>
          <w:p w14:paraId="41BC41E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E39CA4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75</w:t>
            </w:r>
          </w:p>
        </w:tc>
      </w:tr>
      <w:tr w:rsidR="006F30E0" w:rsidRPr="006F30E0" w14:paraId="496AE911"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2B5059"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00B62E91"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825280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7E371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15484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827F4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594BB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BB6B0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069FF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32F90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8873E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D285F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CC0104D"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57C06D2"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21E715F"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4EFFD2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CF075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58CC4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A274F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6D532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1B3CC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F7A10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E9FB7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61B1B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ECB3F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72CCA443"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3E151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BBBF942"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556340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164B8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C5E3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9784E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D3583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ECAAF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68D14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31660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25426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71A4D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1039F4E7"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C6A35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27503F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E25FFE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D6635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AD92B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E334D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6F610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E9BDC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2267B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F1AAF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38139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54E74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6054598B"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74EE81"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lastRenderedPageBreak/>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12EE814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2E1BC3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FF1BE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DEE33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BF441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A500E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2054C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60BB8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07A34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0EEAB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4E5D0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5E7B7F10"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FC0E9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6C7F88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095B50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4D7AB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68D34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7D731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B50EE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0A5E3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CCF55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EDD00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52247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64E8CC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41BC3C2E"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C681AC"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4697CCC"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DE58BB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2E54C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7854F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5FE09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38EE6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1FD46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24DA4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D67B4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4365E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A9EB7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2265E101"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5D90D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98A8A08"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2DE2D8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86292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E4A59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B15A2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DCBB9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15BB3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BC16A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BCFCA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3638A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29887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763918A1"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75A2A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0EEB35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063116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9FA5E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ACC16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84332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AB5BD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F774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BF20A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5576C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BB43C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250B8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4C72AFAA"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72D4B9"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5B5776F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57C306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58F81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54</w:t>
            </w:r>
          </w:p>
        </w:tc>
        <w:tc>
          <w:tcPr>
            <w:tcW w:w="390" w:type="pct"/>
            <w:tcBorders>
              <w:top w:val="nil"/>
              <w:left w:val="nil"/>
              <w:bottom w:val="single" w:sz="4" w:space="0" w:color="auto"/>
              <w:right w:val="single" w:sz="4" w:space="0" w:color="auto"/>
            </w:tcBorders>
            <w:shd w:val="clear" w:color="auto" w:fill="auto"/>
            <w:noWrap/>
            <w:vAlign w:val="center"/>
          </w:tcPr>
          <w:p w14:paraId="1832780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34619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55</w:t>
            </w:r>
          </w:p>
        </w:tc>
        <w:tc>
          <w:tcPr>
            <w:tcW w:w="390" w:type="pct"/>
            <w:tcBorders>
              <w:top w:val="nil"/>
              <w:left w:val="nil"/>
              <w:bottom w:val="single" w:sz="4" w:space="0" w:color="auto"/>
              <w:right w:val="single" w:sz="4" w:space="0" w:color="auto"/>
            </w:tcBorders>
            <w:shd w:val="clear" w:color="auto" w:fill="auto"/>
            <w:noWrap/>
            <w:vAlign w:val="center"/>
          </w:tcPr>
          <w:p w14:paraId="6B8FBF2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A5465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56</w:t>
            </w:r>
          </w:p>
        </w:tc>
        <w:tc>
          <w:tcPr>
            <w:tcW w:w="389" w:type="pct"/>
            <w:tcBorders>
              <w:top w:val="nil"/>
              <w:left w:val="nil"/>
              <w:bottom w:val="single" w:sz="4" w:space="0" w:color="auto"/>
              <w:right w:val="single" w:sz="4" w:space="0" w:color="auto"/>
            </w:tcBorders>
            <w:shd w:val="clear" w:color="auto" w:fill="auto"/>
            <w:noWrap/>
            <w:vAlign w:val="center"/>
          </w:tcPr>
          <w:p w14:paraId="53872A6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71916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57</w:t>
            </w:r>
          </w:p>
        </w:tc>
        <w:tc>
          <w:tcPr>
            <w:tcW w:w="390" w:type="pct"/>
            <w:tcBorders>
              <w:top w:val="nil"/>
              <w:left w:val="nil"/>
              <w:bottom w:val="single" w:sz="4" w:space="0" w:color="auto"/>
              <w:right w:val="single" w:sz="4" w:space="0" w:color="auto"/>
            </w:tcBorders>
            <w:shd w:val="clear" w:color="auto" w:fill="auto"/>
            <w:noWrap/>
            <w:vAlign w:val="center"/>
          </w:tcPr>
          <w:p w14:paraId="36E2C3F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84245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58</w:t>
            </w:r>
          </w:p>
        </w:tc>
      </w:tr>
      <w:tr w:rsidR="006F30E0" w:rsidRPr="006F30E0" w14:paraId="454A21B8"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6C9DDFA"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955BC20"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91EFE9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193D4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54</w:t>
            </w:r>
          </w:p>
        </w:tc>
        <w:tc>
          <w:tcPr>
            <w:tcW w:w="390" w:type="pct"/>
            <w:tcBorders>
              <w:top w:val="nil"/>
              <w:left w:val="nil"/>
              <w:bottom w:val="single" w:sz="4" w:space="0" w:color="auto"/>
              <w:right w:val="single" w:sz="4" w:space="0" w:color="auto"/>
            </w:tcBorders>
            <w:shd w:val="clear" w:color="auto" w:fill="auto"/>
            <w:noWrap/>
            <w:vAlign w:val="center"/>
          </w:tcPr>
          <w:p w14:paraId="4450612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ACBE6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55</w:t>
            </w:r>
          </w:p>
        </w:tc>
        <w:tc>
          <w:tcPr>
            <w:tcW w:w="390" w:type="pct"/>
            <w:tcBorders>
              <w:top w:val="nil"/>
              <w:left w:val="nil"/>
              <w:bottom w:val="single" w:sz="4" w:space="0" w:color="auto"/>
              <w:right w:val="single" w:sz="4" w:space="0" w:color="auto"/>
            </w:tcBorders>
            <w:shd w:val="clear" w:color="auto" w:fill="auto"/>
            <w:noWrap/>
            <w:vAlign w:val="center"/>
          </w:tcPr>
          <w:p w14:paraId="30118B6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1EA0C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56</w:t>
            </w:r>
          </w:p>
        </w:tc>
        <w:tc>
          <w:tcPr>
            <w:tcW w:w="389" w:type="pct"/>
            <w:tcBorders>
              <w:top w:val="nil"/>
              <w:left w:val="nil"/>
              <w:bottom w:val="single" w:sz="4" w:space="0" w:color="auto"/>
              <w:right w:val="single" w:sz="4" w:space="0" w:color="auto"/>
            </w:tcBorders>
            <w:shd w:val="clear" w:color="auto" w:fill="auto"/>
            <w:noWrap/>
            <w:vAlign w:val="center"/>
          </w:tcPr>
          <w:p w14:paraId="2E0BA7E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4EAB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57</w:t>
            </w:r>
          </w:p>
        </w:tc>
        <w:tc>
          <w:tcPr>
            <w:tcW w:w="390" w:type="pct"/>
            <w:tcBorders>
              <w:top w:val="nil"/>
              <w:left w:val="nil"/>
              <w:bottom w:val="single" w:sz="4" w:space="0" w:color="auto"/>
              <w:right w:val="single" w:sz="4" w:space="0" w:color="auto"/>
            </w:tcBorders>
            <w:shd w:val="clear" w:color="auto" w:fill="auto"/>
            <w:noWrap/>
            <w:vAlign w:val="center"/>
          </w:tcPr>
          <w:p w14:paraId="591D1EE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36AAF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58</w:t>
            </w:r>
          </w:p>
        </w:tc>
      </w:tr>
      <w:tr w:rsidR="006F30E0" w:rsidRPr="006F30E0" w14:paraId="0EFD20C7"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FC7512"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B241C9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36999A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38A2D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CBDFA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5009C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94A1D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10861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F454C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643F6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E0998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6F6ED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610353BA"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DF3BE0"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5208C21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50AAB4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5A4C4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2C956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6BB1E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95F5C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0329A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622C1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420CD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F3DE4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A28CE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73FDF13A"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7AFE53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1F8E58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48ABD5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DB2A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0A9B0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EA8C3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124C6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09382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BCD16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B9C84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4917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8EA93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7FA54F5F"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01C26E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30CFD88"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466F1E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5AAD7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BDA5D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8F18DE"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B9E39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5D547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7DA0E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91E78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6BEF6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CBEF3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DE9DC6A"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E2DE69"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17B0F07"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8FC51D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DB835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4A4DD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99E60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1ABD7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E2472F"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D1933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098736"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95017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667D8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4CBEBA42"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B98F78"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CC1DAF0"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3F91C0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B60A1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AE1FB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03D05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5CE5F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EDE87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FC645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A142A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86E897"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95E6A8"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2D4CD67D"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BFC604D"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C073A26"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C4E84E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4DFF4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47A48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7ED4E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AC5A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3CD3A2"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8FCA64"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541E5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1BE7E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9CB15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379C0C52"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7CD4F7E"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A6F7A6B"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1B80A7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75C4BA"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090370"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D5C0C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52152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03024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7AB6E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C7B1B5"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F934E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6FBC6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5F1A7F98" w14:textId="77777777" w:rsidTr="006F30E0">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916925"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D7BBBF4" w14:textId="77777777" w:rsidR="006F30E0" w:rsidRPr="006F30E0" w:rsidRDefault="006F30E0" w:rsidP="006F30E0">
            <w:pPr>
              <w:ind w:left="0"/>
              <w:rPr>
                <w:rFonts w:ascii="Bookman Old Style" w:hAnsi="Bookman Old Style" w:cs="Arial"/>
                <w:color w:val="000000"/>
                <w:sz w:val="12"/>
                <w:szCs w:val="12"/>
                <w:lang w:val="es-CO" w:eastAsia="es-CO"/>
              </w:rPr>
            </w:pPr>
            <w:r w:rsidRPr="006F30E0">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EE6883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0544BB"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2A9919"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3FFB6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9D1F93"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D10CDD"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E7588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3CB9A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ABA18C"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615C31" w14:textId="77777777" w:rsidR="006F30E0" w:rsidRPr="006F30E0" w:rsidRDefault="006F30E0" w:rsidP="006F30E0">
            <w:pPr>
              <w:ind w:left="0" w:hanging="14"/>
              <w:jc w:val="right"/>
              <w:rPr>
                <w:rFonts w:ascii="Bookman Old Style" w:hAnsi="Bookman Old Style" w:cs="Arial"/>
                <w:color w:val="000000"/>
                <w:sz w:val="12"/>
                <w:szCs w:val="12"/>
                <w:lang w:val="es-CO"/>
              </w:rPr>
            </w:pPr>
            <w:r w:rsidRPr="006F30E0">
              <w:rPr>
                <w:rFonts w:ascii="Bookman Old Style" w:hAnsi="Bookman Old Style" w:cs="Arial"/>
                <w:color w:val="000000"/>
                <w:sz w:val="12"/>
                <w:szCs w:val="12"/>
                <w:lang w:val="es-CO"/>
              </w:rPr>
              <w:t xml:space="preserve">- </w:t>
            </w:r>
          </w:p>
        </w:tc>
      </w:tr>
      <w:tr w:rsidR="006F30E0" w:rsidRPr="006F30E0" w14:paraId="0CB5AE46" w14:textId="77777777" w:rsidTr="006F30E0">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9DC21D" w14:textId="77777777" w:rsidR="006F30E0" w:rsidRPr="006F30E0" w:rsidRDefault="006F30E0" w:rsidP="006F30E0">
            <w:pPr>
              <w:ind w:left="0"/>
              <w:rPr>
                <w:rFonts w:ascii="Bookman Old Style" w:hAnsi="Bookman Old Style" w:cs="Arial"/>
                <w:b/>
                <w:color w:val="000000"/>
                <w:sz w:val="12"/>
                <w:szCs w:val="12"/>
                <w:lang w:val="es-CO" w:eastAsia="es-CO"/>
              </w:rPr>
            </w:pPr>
            <w:r w:rsidRPr="006F30E0">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2C887C" w14:textId="77777777" w:rsidR="006F30E0" w:rsidRPr="006F30E0" w:rsidRDefault="006F30E0" w:rsidP="006F30E0">
            <w:pPr>
              <w:ind w:left="0"/>
              <w:jc w:val="right"/>
              <w:rPr>
                <w:rFonts w:ascii="Bookman Old Style" w:hAnsi="Bookman Old Style" w:cs="Arial"/>
                <w:b/>
                <w:bCs/>
                <w:color w:val="000000"/>
                <w:sz w:val="12"/>
                <w:szCs w:val="12"/>
                <w:lang w:val="es-CO" w:eastAsia="es-CO"/>
              </w:rPr>
            </w:pPr>
            <w:r w:rsidRPr="006F30E0">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07CCE7E"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313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F0AA29E"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0D8880"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319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3A6F23"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C68D59"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325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295DEF"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05620E"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331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8F90D3"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B3AB0B" w14:textId="77777777" w:rsidR="006F30E0" w:rsidRPr="006F30E0" w:rsidRDefault="006F30E0" w:rsidP="006F30E0">
            <w:pPr>
              <w:ind w:left="0"/>
              <w:jc w:val="right"/>
              <w:rPr>
                <w:rFonts w:ascii="Bookman Old Style" w:hAnsi="Bookman Old Style" w:cs="Arial"/>
                <w:b/>
                <w:bCs/>
                <w:color w:val="000000"/>
                <w:sz w:val="12"/>
                <w:szCs w:val="12"/>
                <w:lang w:val="es-CO"/>
              </w:rPr>
            </w:pPr>
            <w:r w:rsidRPr="006F30E0">
              <w:rPr>
                <w:rFonts w:ascii="Bookman Old Style" w:hAnsi="Bookman Old Style" w:cs="Arial"/>
                <w:b/>
                <w:bCs/>
                <w:color w:val="000000"/>
                <w:sz w:val="12"/>
                <w:szCs w:val="12"/>
                <w:lang w:val="es-CO"/>
              </w:rPr>
              <w:t xml:space="preserve">337 </w:t>
            </w:r>
          </w:p>
        </w:tc>
      </w:tr>
    </w:tbl>
    <w:p w14:paraId="38508FFD" w14:textId="05B0BA20" w:rsidR="008A39CF" w:rsidRDefault="008A39CF"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761086" w:rsidRPr="00761086" w14:paraId="6466BB62" w14:textId="77777777" w:rsidTr="00761086">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E86DC2" w14:textId="77777777" w:rsidR="00761086" w:rsidRPr="00761086" w:rsidRDefault="00761086" w:rsidP="00761086">
            <w:pPr>
              <w:ind w:left="0"/>
              <w:jc w:val="center"/>
              <w:rPr>
                <w:rFonts w:ascii="Bookman Old Style" w:hAnsi="Bookman Old Style" w:cs="Arial"/>
                <w:b/>
                <w:color w:val="000000"/>
                <w:sz w:val="12"/>
                <w:szCs w:val="12"/>
                <w:lang w:val="es-CO" w:eastAsia="es-CO"/>
              </w:rPr>
            </w:pPr>
            <w:r w:rsidRPr="00761086">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C755E4" w14:textId="77777777" w:rsidR="00761086" w:rsidRPr="00761086" w:rsidRDefault="00761086" w:rsidP="00761086">
            <w:pPr>
              <w:ind w:left="0"/>
              <w:jc w:val="center"/>
              <w:rPr>
                <w:rFonts w:ascii="Bookman Old Style" w:hAnsi="Bookman Old Style" w:cs="Arial"/>
                <w:b/>
                <w:color w:val="000000"/>
                <w:sz w:val="12"/>
                <w:szCs w:val="12"/>
                <w:lang w:val="es-CO" w:eastAsia="es-CO"/>
              </w:rPr>
            </w:pPr>
            <w:r w:rsidRPr="00761086">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36B7F6" w14:textId="77777777" w:rsidR="00761086" w:rsidRPr="00761086" w:rsidRDefault="00761086" w:rsidP="00761086">
            <w:pPr>
              <w:ind w:left="0"/>
              <w:jc w:val="center"/>
              <w:rPr>
                <w:rFonts w:ascii="Bookman Old Style" w:hAnsi="Bookman Old Style" w:cs="Arial"/>
                <w:b/>
                <w:color w:val="000000"/>
                <w:sz w:val="12"/>
                <w:szCs w:val="12"/>
                <w:lang w:val="es-CO" w:eastAsia="es-CO"/>
              </w:rPr>
            </w:pPr>
            <w:r w:rsidRPr="00761086">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03C31AF" w14:textId="77777777" w:rsidR="00761086" w:rsidRPr="00761086" w:rsidRDefault="00761086" w:rsidP="00761086">
            <w:pPr>
              <w:ind w:left="0"/>
              <w:jc w:val="center"/>
              <w:rPr>
                <w:rFonts w:ascii="Bookman Old Style" w:hAnsi="Bookman Old Style" w:cs="Arial"/>
                <w:b/>
                <w:color w:val="000000"/>
                <w:sz w:val="12"/>
                <w:szCs w:val="12"/>
                <w:lang w:val="es-CO" w:eastAsia="es-CO"/>
              </w:rPr>
            </w:pPr>
            <w:r w:rsidRPr="00761086">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104ACDD6" w14:textId="77777777" w:rsidR="00761086" w:rsidRPr="00761086" w:rsidRDefault="00761086" w:rsidP="00761086">
            <w:pPr>
              <w:ind w:left="0"/>
              <w:jc w:val="center"/>
              <w:rPr>
                <w:rFonts w:ascii="Bookman Old Style" w:hAnsi="Bookman Old Style" w:cs="Arial"/>
                <w:b/>
                <w:color w:val="000000"/>
                <w:sz w:val="12"/>
                <w:szCs w:val="12"/>
                <w:lang w:val="es-CO" w:eastAsia="es-CO"/>
              </w:rPr>
            </w:pPr>
            <w:r w:rsidRPr="00761086">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20C73441" w14:textId="77777777" w:rsidR="00761086" w:rsidRPr="00761086" w:rsidRDefault="00761086" w:rsidP="00761086">
            <w:pPr>
              <w:ind w:left="0"/>
              <w:jc w:val="center"/>
              <w:rPr>
                <w:rFonts w:ascii="Bookman Old Style" w:hAnsi="Bookman Old Style" w:cs="Arial"/>
                <w:b/>
                <w:color w:val="000000"/>
                <w:sz w:val="12"/>
                <w:szCs w:val="12"/>
                <w:lang w:val="es-CO" w:eastAsia="es-CO"/>
              </w:rPr>
            </w:pPr>
            <w:r w:rsidRPr="00761086">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52C6D38" w14:textId="77777777" w:rsidR="00761086" w:rsidRPr="00761086" w:rsidRDefault="00761086" w:rsidP="00761086">
            <w:pPr>
              <w:ind w:left="0"/>
              <w:jc w:val="center"/>
              <w:rPr>
                <w:rFonts w:ascii="Bookman Old Style" w:hAnsi="Bookman Old Style" w:cs="Arial"/>
                <w:b/>
                <w:color w:val="000000"/>
                <w:sz w:val="12"/>
                <w:szCs w:val="12"/>
                <w:lang w:val="es-CO" w:eastAsia="es-CO"/>
              </w:rPr>
            </w:pPr>
            <w:r w:rsidRPr="00761086">
              <w:rPr>
                <w:rFonts w:ascii="Bookman Old Style" w:hAnsi="Bookman Old Style" w:cs="Arial"/>
                <w:b/>
                <w:color w:val="000000"/>
                <w:sz w:val="12"/>
                <w:szCs w:val="12"/>
                <w:lang w:val="es-CO" w:eastAsia="es-CO"/>
              </w:rPr>
              <w:t>Año 15</w:t>
            </w:r>
          </w:p>
        </w:tc>
      </w:tr>
      <w:tr w:rsidR="00761086" w:rsidRPr="00761086" w14:paraId="6FD976D3" w14:textId="77777777" w:rsidTr="00761086">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2F87BA" w14:textId="77777777" w:rsidR="00761086" w:rsidRPr="00761086" w:rsidRDefault="00761086" w:rsidP="00761086">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76BE57" w14:textId="77777777" w:rsidR="00761086" w:rsidRPr="00761086" w:rsidRDefault="00761086" w:rsidP="00761086">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6C70EC4A"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325C72C"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B56B93B"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690CC288"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98FBACB"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9FDB9FE"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5D4FA3F"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6912CD6"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A71E16F"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7DE25B67" w14:textId="77777777" w:rsidR="00761086" w:rsidRPr="00761086" w:rsidRDefault="00761086" w:rsidP="00761086">
            <w:pPr>
              <w:ind w:left="0"/>
              <w:jc w:val="center"/>
              <w:rPr>
                <w:rFonts w:ascii="Bookman Old Style" w:hAnsi="Bookman Old Style" w:cs="Arial"/>
                <w:b/>
                <w:color w:val="000000"/>
                <w:sz w:val="10"/>
                <w:szCs w:val="10"/>
                <w:lang w:val="es-CO" w:eastAsia="es-CO"/>
              </w:rPr>
            </w:pPr>
            <w:r w:rsidRPr="00761086">
              <w:rPr>
                <w:rFonts w:ascii="Bookman Old Style" w:hAnsi="Bookman Old Style" w:cs="Arial"/>
                <w:b/>
                <w:color w:val="000000"/>
                <w:sz w:val="10"/>
                <w:szCs w:val="10"/>
                <w:lang w:val="es-CO" w:eastAsia="es-CO"/>
              </w:rPr>
              <w:t>Secundaria</w:t>
            </w:r>
          </w:p>
        </w:tc>
      </w:tr>
      <w:tr w:rsidR="00761086" w:rsidRPr="00761086" w14:paraId="5E35817A"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4B078F6"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11D360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8AEA161" w14:textId="77777777" w:rsidR="00761086" w:rsidRPr="00761086" w:rsidRDefault="00761086" w:rsidP="00761086">
            <w:pPr>
              <w:ind w:left="0" w:hanging="14"/>
              <w:jc w:val="right"/>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71E33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51</w:t>
            </w:r>
          </w:p>
        </w:tc>
        <w:tc>
          <w:tcPr>
            <w:tcW w:w="390" w:type="pct"/>
            <w:tcBorders>
              <w:top w:val="nil"/>
              <w:left w:val="nil"/>
              <w:bottom w:val="single" w:sz="4" w:space="0" w:color="auto"/>
              <w:right w:val="single" w:sz="4" w:space="0" w:color="auto"/>
            </w:tcBorders>
            <w:shd w:val="clear" w:color="auto" w:fill="auto"/>
            <w:noWrap/>
            <w:vAlign w:val="center"/>
          </w:tcPr>
          <w:p w14:paraId="3226F6F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DD6C3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52 </w:t>
            </w:r>
          </w:p>
        </w:tc>
        <w:tc>
          <w:tcPr>
            <w:tcW w:w="390" w:type="pct"/>
            <w:tcBorders>
              <w:top w:val="nil"/>
              <w:left w:val="nil"/>
              <w:bottom w:val="single" w:sz="4" w:space="0" w:color="auto"/>
              <w:right w:val="single" w:sz="4" w:space="0" w:color="auto"/>
            </w:tcBorders>
            <w:shd w:val="clear" w:color="auto" w:fill="auto"/>
            <w:noWrap/>
            <w:vAlign w:val="center"/>
          </w:tcPr>
          <w:p w14:paraId="188CADC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F38F8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53 </w:t>
            </w:r>
          </w:p>
        </w:tc>
        <w:tc>
          <w:tcPr>
            <w:tcW w:w="389" w:type="pct"/>
            <w:tcBorders>
              <w:top w:val="nil"/>
              <w:left w:val="nil"/>
              <w:bottom w:val="single" w:sz="4" w:space="0" w:color="auto"/>
              <w:right w:val="single" w:sz="4" w:space="0" w:color="auto"/>
            </w:tcBorders>
            <w:shd w:val="clear" w:color="auto" w:fill="auto"/>
            <w:noWrap/>
            <w:vAlign w:val="center"/>
          </w:tcPr>
          <w:p w14:paraId="05D6C90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EBAD6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54 </w:t>
            </w:r>
          </w:p>
        </w:tc>
        <w:tc>
          <w:tcPr>
            <w:tcW w:w="390" w:type="pct"/>
            <w:tcBorders>
              <w:top w:val="nil"/>
              <w:left w:val="nil"/>
              <w:bottom w:val="single" w:sz="4" w:space="0" w:color="auto"/>
              <w:right w:val="single" w:sz="4" w:space="0" w:color="auto"/>
            </w:tcBorders>
            <w:shd w:val="clear" w:color="auto" w:fill="auto"/>
            <w:noWrap/>
            <w:vAlign w:val="center"/>
          </w:tcPr>
          <w:p w14:paraId="3B66F17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499DB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55 </w:t>
            </w:r>
          </w:p>
        </w:tc>
      </w:tr>
      <w:tr w:rsidR="00761086" w:rsidRPr="00761086" w14:paraId="0D47FBB9"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B4FE1C"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B855B60"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60F5E9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CDC9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51 </w:t>
            </w:r>
          </w:p>
        </w:tc>
        <w:tc>
          <w:tcPr>
            <w:tcW w:w="390" w:type="pct"/>
            <w:tcBorders>
              <w:top w:val="nil"/>
              <w:left w:val="nil"/>
              <w:bottom w:val="single" w:sz="4" w:space="0" w:color="auto"/>
              <w:right w:val="single" w:sz="4" w:space="0" w:color="auto"/>
            </w:tcBorders>
            <w:shd w:val="clear" w:color="auto" w:fill="auto"/>
            <w:noWrap/>
            <w:vAlign w:val="center"/>
          </w:tcPr>
          <w:p w14:paraId="5096570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94A14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52 </w:t>
            </w:r>
          </w:p>
        </w:tc>
        <w:tc>
          <w:tcPr>
            <w:tcW w:w="390" w:type="pct"/>
            <w:tcBorders>
              <w:top w:val="nil"/>
              <w:left w:val="nil"/>
              <w:bottom w:val="single" w:sz="4" w:space="0" w:color="auto"/>
              <w:right w:val="single" w:sz="4" w:space="0" w:color="auto"/>
            </w:tcBorders>
            <w:shd w:val="clear" w:color="auto" w:fill="auto"/>
            <w:noWrap/>
            <w:vAlign w:val="center"/>
          </w:tcPr>
          <w:p w14:paraId="0AFBC11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2B4DD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53 </w:t>
            </w:r>
          </w:p>
        </w:tc>
        <w:tc>
          <w:tcPr>
            <w:tcW w:w="389" w:type="pct"/>
            <w:tcBorders>
              <w:top w:val="nil"/>
              <w:left w:val="nil"/>
              <w:bottom w:val="single" w:sz="4" w:space="0" w:color="auto"/>
              <w:right w:val="single" w:sz="4" w:space="0" w:color="auto"/>
            </w:tcBorders>
            <w:shd w:val="clear" w:color="auto" w:fill="auto"/>
            <w:noWrap/>
            <w:vAlign w:val="center"/>
          </w:tcPr>
          <w:p w14:paraId="5356440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7D151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54 </w:t>
            </w:r>
          </w:p>
        </w:tc>
        <w:tc>
          <w:tcPr>
            <w:tcW w:w="390" w:type="pct"/>
            <w:tcBorders>
              <w:top w:val="nil"/>
              <w:left w:val="nil"/>
              <w:bottom w:val="single" w:sz="4" w:space="0" w:color="auto"/>
              <w:right w:val="single" w:sz="4" w:space="0" w:color="auto"/>
            </w:tcBorders>
            <w:shd w:val="clear" w:color="auto" w:fill="auto"/>
            <w:noWrap/>
            <w:vAlign w:val="center"/>
          </w:tcPr>
          <w:p w14:paraId="6C9FDF6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4BA6B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55 </w:t>
            </w:r>
          </w:p>
        </w:tc>
      </w:tr>
      <w:tr w:rsidR="00761086" w:rsidRPr="00761086" w14:paraId="00E6B0DB"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90ACFE"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2495C5F"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369890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BA5CD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8927C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C8F96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14D00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7CFD0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02C7C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B73B3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689AE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0C7B6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62F21D3F"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1B68E6"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F9400E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BF31F2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FF081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E5AE7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623AD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77DB1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1DCA4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E6622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507A3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6E58F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581A3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34D2FFF5"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D58F5DA"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8DCAD5F"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4F3F50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0C978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1E5C3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C507C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C7DD3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7E803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0993E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CABB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D3487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8EF82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01E55A44"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B22349"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60073B8"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A644FA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4FC20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D29D7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F0D1A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A7B64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08ADF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07A7D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BEB05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80775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6E134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7898BC55"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C49847"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F12B0C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B1418E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0D587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07F70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9C455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1E1D1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4EAB1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06399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DC448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3DAD7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34471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9DA2B62"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67E0DCE"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CE4544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E82FE3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5F61B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0348C3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AF4C31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AEC6B4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ADB32B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63586B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E7E44F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D27B44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73CFD9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r>
      <w:tr w:rsidR="00761086" w:rsidRPr="00761086" w14:paraId="2CBA53E0"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BEFCAE"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6F0943F"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6742A7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8D577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615A5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D32A2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04C14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77B9F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25947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D765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72C58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10633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556759C0"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3082A2"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710348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3BCEBC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AEFB8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F34A2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7055D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990DD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B3CB1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82113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DBFE5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B93DC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82C90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0AE8646C"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EB01C6" w14:textId="77777777" w:rsidR="00761086" w:rsidRPr="00761086" w:rsidRDefault="00761086" w:rsidP="00761086">
            <w:pPr>
              <w:ind w:left="0"/>
              <w:rPr>
                <w:rFonts w:ascii="Bookman Old Style" w:hAnsi="Bookman Old Style" w:cs="Arial"/>
                <w:sz w:val="12"/>
                <w:szCs w:val="12"/>
                <w:lang w:val="es-CO"/>
              </w:rPr>
            </w:pPr>
            <w:r w:rsidRPr="00761086">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6AAFFFC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CF3DF5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2CBDDF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20FA3D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D0DA87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00538B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35CDF7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CF62AD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AD6DDD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0084EA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9BD36B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r>
      <w:tr w:rsidR="00761086" w:rsidRPr="00761086" w14:paraId="36F076AE"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0612C3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AEA47E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8D4F715"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17A0D7"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62 </w:t>
            </w:r>
          </w:p>
        </w:tc>
        <w:tc>
          <w:tcPr>
            <w:tcW w:w="390" w:type="pct"/>
            <w:tcBorders>
              <w:top w:val="nil"/>
              <w:left w:val="nil"/>
              <w:bottom w:val="single" w:sz="4" w:space="0" w:color="auto"/>
              <w:right w:val="single" w:sz="4" w:space="0" w:color="auto"/>
            </w:tcBorders>
            <w:shd w:val="clear" w:color="auto" w:fill="auto"/>
            <w:noWrap/>
            <w:vAlign w:val="center"/>
          </w:tcPr>
          <w:p w14:paraId="3E824B7F"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97167D"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63 </w:t>
            </w:r>
          </w:p>
        </w:tc>
        <w:tc>
          <w:tcPr>
            <w:tcW w:w="390" w:type="pct"/>
            <w:tcBorders>
              <w:top w:val="nil"/>
              <w:left w:val="nil"/>
              <w:bottom w:val="single" w:sz="4" w:space="0" w:color="auto"/>
              <w:right w:val="single" w:sz="4" w:space="0" w:color="auto"/>
            </w:tcBorders>
            <w:shd w:val="clear" w:color="auto" w:fill="auto"/>
            <w:noWrap/>
            <w:vAlign w:val="center"/>
          </w:tcPr>
          <w:p w14:paraId="6A467A98"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DA1A79"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64 </w:t>
            </w:r>
          </w:p>
        </w:tc>
        <w:tc>
          <w:tcPr>
            <w:tcW w:w="389" w:type="pct"/>
            <w:tcBorders>
              <w:top w:val="nil"/>
              <w:left w:val="nil"/>
              <w:bottom w:val="single" w:sz="4" w:space="0" w:color="auto"/>
              <w:right w:val="single" w:sz="4" w:space="0" w:color="auto"/>
            </w:tcBorders>
            <w:shd w:val="clear" w:color="auto" w:fill="auto"/>
            <w:noWrap/>
            <w:vAlign w:val="center"/>
          </w:tcPr>
          <w:p w14:paraId="46365418"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450924"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65 </w:t>
            </w:r>
          </w:p>
        </w:tc>
        <w:tc>
          <w:tcPr>
            <w:tcW w:w="390" w:type="pct"/>
            <w:tcBorders>
              <w:top w:val="nil"/>
              <w:left w:val="nil"/>
              <w:bottom w:val="single" w:sz="4" w:space="0" w:color="auto"/>
              <w:right w:val="single" w:sz="4" w:space="0" w:color="auto"/>
            </w:tcBorders>
            <w:shd w:val="clear" w:color="auto" w:fill="auto"/>
            <w:noWrap/>
            <w:vAlign w:val="center"/>
          </w:tcPr>
          <w:p w14:paraId="4C7C7D8C"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E94B09"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66 </w:t>
            </w:r>
          </w:p>
        </w:tc>
      </w:tr>
      <w:tr w:rsidR="00761086" w:rsidRPr="00761086" w14:paraId="1218D6BA"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05C5F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2880C30"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8487283"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E0D24"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62 </w:t>
            </w:r>
          </w:p>
        </w:tc>
        <w:tc>
          <w:tcPr>
            <w:tcW w:w="390" w:type="pct"/>
            <w:tcBorders>
              <w:top w:val="nil"/>
              <w:left w:val="nil"/>
              <w:bottom w:val="single" w:sz="4" w:space="0" w:color="auto"/>
              <w:right w:val="single" w:sz="4" w:space="0" w:color="auto"/>
            </w:tcBorders>
            <w:shd w:val="clear" w:color="auto" w:fill="auto"/>
            <w:noWrap/>
            <w:vAlign w:val="center"/>
          </w:tcPr>
          <w:p w14:paraId="392AFA17"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C9204B"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63 </w:t>
            </w:r>
          </w:p>
        </w:tc>
        <w:tc>
          <w:tcPr>
            <w:tcW w:w="390" w:type="pct"/>
            <w:tcBorders>
              <w:top w:val="nil"/>
              <w:left w:val="nil"/>
              <w:bottom w:val="single" w:sz="4" w:space="0" w:color="auto"/>
              <w:right w:val="single" w:sz="4" w:space="0" w:color="auto"/>
            </w:tcBorders>
            <w:shd w:val="clear" w:color="auto" w:fill="auto"/>
            <w:noWrap/>
            <w:vAlign w:val="center"/>
          </w:tcPr>
          <w:p w14:paraId="7EE8B236"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09C112"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64 </w:t>
            </w:r>
          </w:p>
        </w:tc>
        <w:tc>
          <w:tcPr>
            <w:tcW w:w="389" w:type="pct"/>
            <w:tcBorders>
              <w:top w:val="nil"/>
              <w:left w:val="nil"/>
              <w:bottom w:val="single" w:sz="4" w:space="0" w:color="auto"/>
              <w:right w:val="single" w:sz="4" w:space="0" w:color="auto"/>
            </w:tcBorders>
            <w:shd w:val="clear" w:color="auto" w:fill="auto"/>
            <w:noWrap/>
            <w:vAlign w:val="center"/>
          </w:tcPr>
          <w:p w14:paraId="5140A854"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8681B9"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65 </w:t>
            </w:r>
          </w:p>
        </w:tc>
        <w:tc>
          <w:tcPr>
            <w:tcW w:w="390" w:type="pct"/>
            <w:tcBorders>
              <w:top w:val="nil"/>
              <w:left w:val="nil"/>
              <w:bottom w:val="single" w:sz="4" w:space="0" w:color="auto"/>
              <w:right w:val="single" w:sz="4" w:space="0" w:color="auto"/>
            </w:tcBorders>
            <w:shd w:val="clear" w:color="auto" w:fill="auto"/>
            <w:noWrap/>
            <w:vAlign w:val="center"/>
          </w:tcPr>
          <w:p w14:paraId="1B2B5C91"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8AEFA7"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66 </w:t>
            </w:r>
          </w:p>
        </w:tc>
      </w:tr>
      <w:tr w:rsidR="00761086" w:rsidRPr="00761086" w14:paraId="21E5F373"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F2571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3504E08F"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7278C71"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39142"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287262"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B8F889"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237EED"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C93E2A"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629298"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9EBA0B"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541643"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E6A8C8"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r>
      <w:tr w:rsidR="00761086" w:rsidRPr="00761086" w14:paraId="2AA819C4"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B957D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A6AF35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40671EE"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4D6DB5"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76A612"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CE0144"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1369F0"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D40D09"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04B484"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DDFCE"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CFAFFD"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9F41B1"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r>
      <w:tr w:rsidR="00761086" w:rsidRPr="00761086" w14:paraId="31BC216A"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F12E5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88BE45F"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9C4FAC3"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D4D433"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D5555"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1F8F8C"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D2B678"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AECD72"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0C5C92"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47EB76"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20DDF8"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F038B5" w14:textId="77777777" w:rsidR="00761086" w:rsidRPr="00761086" w:rsidRDefault="00761086" w:rsidP="00761086">
            <w:pPr>
              <w:ind w:left="0" w:hanging="14"/>
              <w:jc w:val="right"/>
              <w:rPr>
                <w:rFonts w:ascii="Bookman Old Style" w:hAnsi="Bookman Old Style" w:cs="Arial"/>
                <w:color w:val="000000"/>
                <w:sz w:val="12"/>
                <w:szCs w:val="12"/>
                <w:highlight w:val="yellow"/>
                <w:lang w:val="es-CO"/>
              </w:rPr>
            </w:pPr>
            <w:r w:rsidRPr="00761086">
              <w:rPr>
                <w:rFonts w:ascii="Bookman Old Style" w:hAnsi="Bookman Old Style" w:cs="Arial"/>
                <w:color w:val="000000"/>
                <w:sz w:val="12"/>
                <w:szCs w:val="12"/>
                <w:lang w:val="es-CO"/>
              </w:rPr>
              <w:t xml:space="preserve">- </w:t>
            </w:r>
          </w:p>
        </w:tc>
      </w:tr>
      <w:tr w:rsidR="00761086" w:rsidRPr="00761086" w14:paraId="60F3B38E"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5AB90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879DD85"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634213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EA218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511E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5BDCC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31715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D5250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F9D63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9B7B3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D3675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2F62F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E99A3D6"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3C4008"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271268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9E00F0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ACEBF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E6131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772C7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F1227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C46EF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E2195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F2817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5D4C7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4AEE0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B24B085"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72F0BC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2E4A71E"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8EBF61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4D12D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D9BD2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3AF17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E29C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5EFC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EC13B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BC068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54313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F16E6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031BE362"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94AF2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810B7B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465096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267C0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71CB1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88754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07719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9E91E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509DD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C4272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1F128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15CB0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F4F4696"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EECD7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74E18A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A1523F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10F43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760B7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A2CF7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FEC08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2CFE3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226C6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A4DFF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30E3F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A56CE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017E7D85"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53C79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C1C3F80"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2BCD6F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8F5D7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010CE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59AC2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2E15A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019E6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27B7F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C9DFB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994CD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26E07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968317B"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CA1F895"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lastRenderedPageBreak/>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CCA5ED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AA56D7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64743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58 </w:t>
            </w:r>
          </w:p>
        </w:tc>
        <w:tc>
          <w:tcPr>
            <w:tcW w:w="390" w:type="pct"/>
            <w:tcBorders>
              <w:top w:val="nil"/>
              <w:left w:val="nil"/>
              <w:bottom w:val="single" w:sz="4" w:space="0" w:color="auto"/>
              <w:right w:val="single" w:sz="4" w:space="0" w:color="auto"/>
            </w:tcBorders>
            <w:shd w:val="clear" w:color="auto" w:fill="auto"/>
            <w:noWrap/>
            <w:vAlign w:val="center"/>
          </w:tcPr>
          <w:p w14:paraId="43CC79D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6A141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59 </w:t>
            </w:r>
          </w:p>
        </w:tc>
        <w:tc>
          <w:tcPr>
            <w:tcW w:w="390" w:type="pct"/>
            <w:tcBorders>
              <w:top w:val="nil"/>
              <w:left w:val="nil"/>
              <w:bottom w:val="single" w:sz="4" w:space="0" w:color="auto"/>
              <w:right w:val="single" w:sz="4" w:space="0" w:color="auto"/>
            </w:tcBorders>
            <w:shd w:val="clear" w:color="auto" w:fill="auto"/>
            <w:noWrap/>
            <w:vAlign w:val="center"/>
          </w:tcPr>
          <w:p w14:paraId="7E9206B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19133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60 </w:t>
            </w:r>
          </w:p>
        </w:tc>
        <w:tc>
          <w:tcPr>
            <w:tcW w:w="389" w:type="pct"/>
            <w:tcBorders>
              <w:top w:val="nil"/>
              <w:left w:val="nil"/>
              <w:bottom w:val="single" w:sz="4" w:space="0" w:color="auto"/>
              <w:right w:val="single" w:sz="4" w:space="0" w:color="auto"/>
            </w:tcBorders>
            <w:shd w:val="clear" w:color="auto" w:fill="auto"/>
            <w:noWrap/>
            <w:vAlign w:val="center"/>
          </w:tcPr>
          <w:p w14:paraId="34040D2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79BD5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61 </w:t>
            </w:r>
          </w:p>
        </w:tc>
        <w:tc>
          <w:tcPr>
            <w:tcW w:w="390" w:type="pct"/>
            <w:tcBorders>
              <w:top w:val="nil"/>
              <w:left w:val="nil"/>
              <w:bottom w:val="single" w:sz="4" w:space="0" w:color="auto"/>
              <w:right w:val="single" w:sz="4" w:space="0" w:color="auto"/>
            </w:tcBorders>
            <w:shd w:val="clear" w:color="auto" w:fill="auto"/>
            <w:noWrap/>
            <w:vAlign w:val="center"/>
          </w:tcPr>
          <w:p w14:paraId="4B620F4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F0A14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62 </w:t>
            </w:r>
          </w:p>
        </w:tc>
      </w:tr>
      <w:tr w:rsidR="00761086" w:rsidRPr="00761086" w14:paraId="748A76B4"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3F0BDC"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6B6B80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ABF053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36ED1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58 </w:t>
            </w:r>
          </w:p>
        </w:tc>
        <w:tc>
          <w:tcPr>
            <w:tcW w:w="390" w:type="pct"/>
            <w:tcBorders>
              <w:top w:val="nil"/>
              <w:left w:val="nil"/>
              <w:bottom w:val="single" w:sz="4" w:space="0" w:color="auto"/>
              <w:right w:val="single" w:sz="4" w:space="0" w:color="auto"/>
            </w:tcBorders>
            <w:shd w:val="clear" w:color="auto" w:fill="auto"/>
            <w:noWrap/>
            <w:vAlign w:val="center"/>
          </w:tcPr>
          <w:p w14:paraId="0F31449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2072F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59 </w:t>
            </w:r>
          </w:p>
        </w:tc>
        <w:tc>
          <w:tcPr>
            <w:tcW w:w="390" w:type="pct"/>
            <w:tcBorders>
              <w:top w:val="nil"/>
              <w:left w:val="nil"/>
              <w:bottom w:val="single" w:sz="4" w:space="0" w:color="auto"/>
              <w:right w:val="single" w:sz="4" w:space="0" w:color="auto"/>
            </w:tcBorders>
            <w:shd w:val="clear" w:color="auto" w:fill="auto"/>
            <w:noWrap/>
            <w:vAlign w:val="center"/>
          </w:tcPr>
          <w:p w14:paraId="27E8984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27789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60 </w:t>
            </w:r>
          </w:p>
        </w:tc>
        <w:tc>
          <w:tcPr>
            <w:tcW w:w="389" w:type="pct"/>
            <w:tcBorders>
              <w:top w:val="nil"/>
              <w:left w:val="nil"/>
              <w:bottom w:val="single" w:sz="4" w:space="0" w:color="auto"/>
              <w:right w:val="single" w:sz="4" w:space="0" w:color="auto"/>
            </w:tcBorders>
            <w:shd w:val="clear" w:color="auto" w:fill="auto"/>
            <w:noWrap/>
            <w:vAlign w:val="center"/>
          </w:tcPr>
          <w:p w14:paraId="024A490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E00A9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61 </w:t>
            </w:r>
          </w:p>
        </w:tc>
        <w:tc>
          <w:tcPr>
            <w:tcW w:w="390" w:type="pct"/>
            <w:tcBorders>
              <w:top w:val="nil"/>
              <w:left w:val="nil"/>
              <w:bottom w:val="single" w:sz="4" w:space="0" w:color="auto"/>
              <w:right w:val="single" w:sz="4" w:space="0" w:color="auto"/>
            </w:tcBorders>
            <w:shd w:val="clear" w:color="auto" w:fill="auto"/>
            <w:noWrap/>
            <w:vAlign w:val="center"/>
          </w:tcPr>
          <w:p w14:paraId="0C02875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0FE32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62 </w:t>
            </w:r>
          </w:p>
        </w:tc>
      </w:tr>
      <w:tr w:rsidR="00761086" w:rsidRPr="00761086" w14:paraId="28554A1A"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F8DD4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C4E2A2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DB35AD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B14AB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8D23E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A8314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69BF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4A87F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4F90F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77F81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7661D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93CE1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EC4BB9E"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089ECF"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4C1637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A116DD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B0F33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6F010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8691E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972AA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4BE7D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09EC2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B5BE8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5C295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AC0EE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7DF27CE"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5E4E1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8E61927"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E5FB68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EA05D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EF478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96C21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A1600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ED945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6045B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603AC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BCADD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65724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49DF0447"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06BAE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83D7BE0"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39C6043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9B67A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E5213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379B2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47600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3D113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C9547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B99CD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C2AE8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AD994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0F862089"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B3E17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EDCC17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5F686B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99D7F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FF0A4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392C3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611FB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0A164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0686F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74FA1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AB12F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03093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3C9EC385"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79AE42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C2FEFF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616C57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A254E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9FE04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6B229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1BA45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BBBF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E725A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9C94F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0AC59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54AAB6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0016FD84"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1BFA02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F6EF18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E346BD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1AAA0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9463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07F2B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F63F0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DDABE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181F7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7C300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4BA34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C2FAA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B40F4E7"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085572"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3C2BB8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09FF0C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E459A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4F2F4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D4D28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9DE79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CB6DC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3F577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0C3B5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D45D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7DC6D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3109585A"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600058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69DFF98E"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075B8A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3A4A2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3C297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10806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1A705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53B42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334F7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7CD93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5909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A8852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472C5BDE"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8F4218"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8E784E8"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4E2B19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C3CA9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shd w:val="clear" w:color="auto" w:fill="auto"/>
            <w:noWrap/>
            <w:vAlign w:val="center"/>
          </w:tcPr>
          <w:p w14:paraId="0D40E44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82E35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38 </w:t>
            </w:r>
          </w:p>
        </w:tc>
        <w:tc>
          <w:tcPr>
            <w:tcW w:w="390" w:type="pct"/>
            <w:tcBorders>
              <w:top w:val="nil"/>
              <w:left w:val="nil"/>
              <w:bottom w:val="single" w:sz="4" w:space="0" w:color="auto"/>
              <w:right w:val="single" w:sz="4" w:space="0" w:color="auto"/>
            </w:tcBorders>
            <w:shd w:val="clear" w:color="auto" w:fill="auto"/>
            <w:noWrap/>
            <w:vAlign w:val="center"/>
          </w:tcPr>
          <w:p w14:paraId="715969F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43C46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39 </w:t>
            </w:r>
          </w:p>
        </w:tc>
        <w:tc>
          <w:tcPr>
            <w:tcW w:w="389" w:type="pct"/>
            <w:tcBorders>
              <w:top w:val="nil"/>
              <w:left w:val="nil"/>
              <w:bottom w:val="single" w:sz="4" w:space="0" w:color="auto"/>
              <w:right w:val="single" w:sz="4" w:space="0" w:color="auto"/>
            </w:tcBorders>
            <w:shd w:val="clear" w:color="auto" w:fill="auto"/>
            <w:noWrap/>
            <w:vAlign w:val="center"/>
          </w:tcPr>
          <w:p w14:paraId="58D2BE4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DB2E6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40 </w:t>
            </w:r>
          </w:p>
        </w:tc>
        <w:tc>
          <w:tcPr>
            <w:tcW w:w="390" w:type="pct"/>
            <w:tcBorders>
              <w:top w:val="nil"/>
              <w:left w:val="nil"/>
              <w:bottom w:val="single" w:sz="4" w:space="0" w:color="auto"/>
              <w:right w:val="single" w:sz="4" w:space="0" w:color="auto"/>
            </w:tcBorders>
            <w:shd w:val="clear" w:color="auto" w:fill="auto"/>
            <w:noWrap/>
            <w:vAlign w:val="center"/>
          </w:tcPr>
          <w:p w14:paraId="1E8FA8C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4B2DE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41 </w:t>
            </w:r>
          </w:p>
        </w:tc>
      </w:tr>
      <w:tr w:rsidR="00761086" w:rsidRPr="00761086" w14:paraId="798DAE83"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CD3DE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5BCC69C2"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C02231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08637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shd w:val="clear" w:color="auto" w:fill="auto"/>
            <w:noWrap/>
            <w:vAlign w:val="center"/>
          </w:tcPr>
          <w:p w14:paraId="21DBFA9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281A3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38 </w:t>
            </w:r>
          </w:p>
        </w:tc>
        <w:tc>
          <w:tcPr>
            <w:tcW w:w="390" w:type="pct"/>
            <w:tcBorders>
              <w:top w:val="nil"/>
              <w:left w:val="nil"/>
              <w:bottom w:val="single" w:sz="4" w:space="0" w:color="auto"/>
              <w:right w:val="single" w:sz="4" w:space="0" w:color="auto"/>
            </w:tcBorders>
            <w:shd w:val="clear" w:color="auto" w:fill="auto"/>
            <w:noWrap/>
            <w:vAlign w:val="center"/>
          </w:tcPr>
          <w:p w14:paraId="10836B4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B769D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39 </w:t>
            </w:r>
          </w:p>
        </w:tc>
        <w:tc>
          <w:tcPr>
            <w:tcW w:w="389" w:type="pct"/>
            <w:tcBorders>
              <w:top w:val="nil"/>
              <w:left w:val="nil"/>
              <w:bottom w:val="single" w:sz="4" w:space="0" w:color="auto"/>
              <w:right w:val="single" w:sz="4" w:space="0" w:color="auto"/>
            </w:tcBorders>
            <w:shd w:val="clear" w:color="auto" w:fill="auto"/>
            <w:noWrap/>
            <w:vAlign w:val="center"/>
          </w:tcPr>
          <w:p w14:paraId="43636DC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76AED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40 </w:t>
            </w:r>
          </w:p>
        </w:tc>
        <w:tc>
          <w:tcPr>
            <w:tcW w:w="390" w:type="pct"/>
            <w:tcBorders>
              <w:top w:val="nil"/>
              <w:left w:val="nil"/>
              <w:bottom w:val="single" w:sz="4" w:space="0" w:color="auto"/>
              <w:right w:val="single" w:sz="4" w:space="0" w:color="auto"/>
            </w:tcBorders>
            <w:shd w:val="clear" w:color="auto" w:fill="auto"/>
            <w:noWrap/>
            <w:vAlign w:val="center"/>
          </w:tcPr>
          <w:p w14:paraId="5C1DBE7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202DE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41 </w:t>
            </w:r>
          </w:p>
        </w:tc>
      </w:tr>
      <w:tr w:rsidR="00761086" w:rsidRPr="00761086" w14:paraId="48B868D8"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B6CCF6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85D66FB"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244666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185DB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D13F4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7661C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923CA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2EB5D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025EF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01A7C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8E884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0F303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786DFD19"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9B0447"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07000185"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6470A1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5B8FE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ABEEC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F31C3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8D082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7E61C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7B316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22B87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AD59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AFE19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4A60F0DF"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939E78"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0333B2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870638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A6829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ED9BC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7DD37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277D7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04046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29F80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1BF94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3629F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4F51CD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530FDA8F"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0589C2"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3829CC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4C5A58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6C3C6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5722A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D825B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2BFCA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877ED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19A31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93ABC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313DF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9231CA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49F52047"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240855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047B82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A7001A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FBABC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F9919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530C5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0D788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D6278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B7B81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1D436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AFE7D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05CFA2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4CE8385F"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E41E88"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59741FF8"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6FB61C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E2223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46C66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357ED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508F1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8D748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BBB0A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7532E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2E131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9F576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6806BAE"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C7725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5799D8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59C8FB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434E1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1832C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61F03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4A211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E51DE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B985A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4A3EB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55293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1B971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4AF7E915"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7AFC4B5"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D1A2D12"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03FD2C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86ABF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0AE2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A5CC4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9AD65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1D04D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4FB26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7AF9E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D1AB0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9BB19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386666C"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B5A99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0B36D87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21B67A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647FB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8511C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071DB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0CB0D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E9893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40E92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3D718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394B9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16C4B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35887C24"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13F5F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6CF7EBC"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13DDE1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D7F0D6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76</w:t>
            </w:r>
          </w:p>
        </w:tc>
        <w:tc>
          <w:tcPr>
            <w:tcW w:w="390" w:type="pct"/>
            <w:tcBorders>
              <w:top w:val="nil"/>
              <w:left w:val="nil"/>
              <w:bottom w:val="single" w:sz="4" w:space="0" w:color="auto"/>
              <w:right w:val="single" w:sz="4" w:space="0" w:color="auto"/>
            </w:tcBorders>
            <w:shd w:val="clear" w:color="auto" w:fill="auto"/>
            <w:noWrap/>
            <w:vAlign w:val="center"/>
          </w:tcPr>
          <w:p w14:paraId="5E32D0F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E882AD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78</w:t>
            </w:r>
          </w:p>
        </w:tc>
        <w:tc>
          <w:tcPr>
            <w:tcW w:w="390" w:type="pct"/>
            <w:tcBorders>
              <w:top w:val="nil"/>
              <w:left w:val="nil"/>
              <w:bottom w:val="single" w:sz="4" w:space="0" w:color="auto"/>
              <w:right w:val="single" w:sz="4" w:space="0" w:color="auto"/>
            </w:tcBorders>
            <w:shd w:val="clear" w:color="auto" w:fill="auto"/>
            <w:noWrap/>
            <w:vAlign w:val="center"/>
          </w:tcPr>
          <w:p w14:paraId="28E0450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EC5365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80</w:t>
            </w:r>
          </w:p>
        </w:tc>
        <w:tc>
          <w:tcPr>
            <w:tcW w:w="389" w:type="pct"/>
            <w:tcBorders>
              <w:top w:val="nil"/>
              <w:left w:val="nil"/>
              <w:bottom w:val="single" w:sz="4" w:space="0" w:color="auto"/>
              <w:right w:val="single" w:sz="4" w:space="0" w:color="auto"/>
            </w:tcBorders>
            <w:shd w:val="clear" w:color="auto" w:fill="auto"/>
            <w:noWrap/>
            <w:vAlign w:val="center"/>
          </w:tcPr>
          <w:p w14:paraId="2EC1CFA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C4796F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82</w:t>
            </w:r>
          </w:p>
        </w:tc>
        <w:tc>
          <w:tcPr>
            <w:tcW w:w="390" w:type="pct"/>
            <w:tcBorders>
              <w:top w:val="nil"/>
              <w:left w:val="nil"/>
              <w:bottom w:val="single" w:sz="4" w:space="0" w:color="auto"/>
              <w:right w:val="single" w:sz="4" w:space="0" w:color="auto"/>
            </w:tcBorders>
            <w:shd w:val="clear" w:color="auto" w:fill="auto"/>
            <w:noWrap/>
            <w:vAlign w:val="center"/>
          </w:tcPr>
          <w:p w14:paraId="4177CAD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BAD61A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84</w:t>
            </w:r>
          </w:p>
        </w:tc>
      </w:tr>
      <w:tr w:rsidR="00761086" w:rsidRPr="00761086" w14:paraId="46B54DF3"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0F528F"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6DF1DD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8890F3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D1A3EF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76</w:t>
            </w:r>
          </w:p>
        </w:tc>
        <w:tc>
          <w:tcPr>
            <w:tcW w:w="390" w:type="pct"/>
            <w:tcBorders>
              <w:top w:val="nil"/>
              <w:left w:val="nil"/>
              <w:bottom w:val="single" w:sz="4" w:space="0" w:color="auto"/>
              <w:right w:val="single" w:sz="4" w:space="0" w:color="auto"/>
            </w:tcBorders>
            <w:shd w:val="clear" w:color="auto" w:fill="auto"/>
            <w:noWrap/>
            <w:vAlign w:val="center"/>
          </w:tcPr>
          <w:p w14:paraId="22EDB51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447F71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78</w:t>
            </w:r>
          </w:p>
        </w:tc>
        <w:tc>
          <w:tcPr>
            <w:tcW w:w="390" w:type="pct"/>
            <w:tcBorders>
              <w:top w:val="nil"/>
              <w:left w:val="nil"/>
              <w:bottom w:val="single" w:sz="4" w:space="0" w:color="auto"/>
              <w:right w:val="single" w:sz="4" w:space="0" w:color="auto"/>
            </w:tcBorders>
            <w:shd w:val="clear" w:color="auto" w:fill="auto"/>
            <w:noWrap/>
            <w:vAlign w:val="center"/>
          </w:tcPr>
          <w:p w14:paraId="27DDE8E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73C68F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80</w:t>
            </w:r>
          </w:p>
        </w:tc>
        <w:tc>
          <w:tcPr>
            <w:tcW w:w="389" w:type="pct"/>
            <w:tcBorders>
              <w:top w:val="nil"/>
              <w:left w:val="nil"/>
              <w:bottom w:val="single" w:sz="4" w:space="0" w:color="auto"/>
              <w:right w:val="single" w:sz="4" w:space="0" w:color="auto"/>
            </w:tcBorders>
            <w:shd w:val="clear" w:color="auto" w:fill="auto"/>
            <w:noWrap/>
            <w:vAlign w:val="center"/>
          </w:tcPr>
          <w:p w14:paraId="33949CE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75458C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82</w:t>
            </w:r>
          </w:p>
        </w:tc>
        <w:tc>
          <w:tcPr>
            <w:tcW w:w="390" w:type="pct"/>
            <w:tcBorders>
              <w:top w:val="nil"/>
              <w:left w:val="nil"/>
              <w:bottom w:val="single" w:sz="4" w:space="0" w:color="auto"/>
              <w:right w:val="single" w:sz="4" w:space="0" w:color="auto"/>
            </w:tcBorders>
            <w:shd w:val="clear" w:color="auto" w:fill="auto"/>
            <w:noWrap/>
            <w:vAlign w:val="center"/>
          </w:tcPr>
          <w:p w14:paraId="29DFBF9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07C5B4C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84</w:t>
            </w:r>
          </w:p>
        </w:tc>
      </w:tr>
      <w:tr w:rsidR="00761086" w:rsidRPr="00761086" w14:paraId="6C29E6B3"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7C2F55"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1B30915E"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145938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3A37E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7E7A4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267AF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4943C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B9290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267597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E104D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83DD0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DC2906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5A16906F"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845ED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736EA5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0C8169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169D2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97D15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46A6D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7C1ED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B8CF1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EC7D4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8F6FF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C7997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576DA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7EBE9F9D"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AFDA5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B57807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6E9092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123EB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FDE3B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16353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03F58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EF8D5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0D42B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C4CAE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A9061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25C6C9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09492F1B"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FE442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28A0275"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38D1E7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D5AA0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E85AE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EF44EF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8768E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CF23D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9F512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F9927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74FA1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ABC8F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3FC4A31D"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7A0D907"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0B2C08D"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491C75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99914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6712A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4383E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28433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A71F9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74FFB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83BB7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BCB5B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93879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6C43761"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5B2566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5AA1A4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9BE82F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B3E70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B3879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6633C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DC42E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FFCFA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CDAF1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C3613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4927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B235D6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5FBD5CFE"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8D45CE"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6BBA0D7"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7162A0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563BC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3F61A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93591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E352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DAED9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D8B4E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A205D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C630B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46C34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B19F61A"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A567F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A91896E"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C52049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88226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9D813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722D9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4BA5D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25F47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21088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51B1F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25E33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189B60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6B1EEC10"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031412"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6725C699"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2F40CBD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D83B3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6567F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52D35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826B4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5A3EE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2B580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DC6B4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0CEDE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1029C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C62AFE7"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C5313EE"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A305D84"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C80527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E7897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59</w:t>
            </w:r>
          </w:p>
        </w:tc>
        <w:tc>
          <w:tcPr>
            <w:tcW w:w="390" w:type="pct"/>
            <w:tcBorders>
              <w:top w:val="nil"/>
              <w:left w:val="nil"/>
              <w:bottom w:val="single" w:sz="4" w:space="0" w:color="auto"/>
              <w:right w:val="single" w:sz="4" w:space="0" w:color="auto"/>
            </w:tcBorders>
            <w:shd w:val="clear" w:color="auto" w:fill="auto"/>
            <w:noWrap/>
            <w:vAlign w:val="center"/>
          </w:tcPr>
          <w:p w14:paraId="7A90D6D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8FF78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60</w:t>
            </w:r>
          </w:p>
        </w:tc>
        <w:tc>
          <w:tcPr>
            <w:tcW w:w="390" w:type="pct"/>
            <w:tcBorders>
              <w:top w:val="nil"/>
              <w:left w:val="nil"/>
              <w:bottom w:val="single" w:sz="4" w:space="0" w:color="auto"/>
              <w:right w:val="single" w:sz="4" w:space="0" w:color="auto"/>
            </w:tcBorders>
            <w:shd w:val="clear" w:color="auto" w:fill="auto"/>
            <w:noWrap/>
            <w:vAlign w:val="center"/>
          </w:tcPr>
          <w:p w14:paraId="2B182A6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1F468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61</w:t>
            </w:r>
          </w:p>
        </w:tc>
        <w:tc>
          <w:tcPr>
            <w:tcW w:w="389" w:type="pct"/>
            <w:tcBorders>
              <w:top w:val="nil"/>
              <w:left w:val="nil"/>
              <w:bottom w:val="single" w:sz="4" w:space="0" w:color="auto"/>
              <w:right w:val="single" w:sz="4" w:space="0" w:color="auto"/>
            </w:tcBorders>
            <w:shd w:val="clear" w:color="auto" w:fill="auto"/>
            <w:noWrap/>
            <w:vAlign w:val="center"/>
          </w:tcPr>
          <w:p w14:paraId="1FE24B3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6D4FF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62</w:t>
            </w:r>
          </w:p>
        </w:tc>
        <w:tc>
          <w:tcPr>
            <w:tcW w:w="390" w:type="pct"/>
            <w:tcBorders>
              <w:top w:val="nil"/>
              <w:left w:val="nil"/>
              <w:bottom w:val="single" w:sz="4" w:space="0" w:color="auto"/>
              <w:right w:val="single" w:sz="4" w:space="0" w:color="auto"/>
            </w:tcBorders>
            <w:shd w:val="clear" w:color="auto" w:fill="auto"/>
            <w:noWrap/>
            <w:vAlign w:val="center"/>
          </w:tcPr>
          <w:p w14:paraId="47A139F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39183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63</w:t>
            </w:r>
          </w:p>
        </w:tc>
      </w:tr>
      <w:tr w:rsidR="00761086" w:rsidRPr="00761086" w14:paraId="4633C1FF"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102F40F"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9598D5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B8FE45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3713F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59</w:t>
            </w:r>
          </w:p>
        </w:tc>
        <w:tc>
          <w:tcPr>
            <w:tcW w:w="390" w:type="pct"/>
            <w:tcBorders>
              <w:top w:val="nil"/>
              <w:left w:val="nil"/>
              <w:bottom w:val="single" w:sz="4" w:space="0" w:color="auto"/>
              <w:right w:val="single" w:sz="4" w:space="0" w:color="auto"/>
            </w:tcBorders>
            <w:shd w:val="clear" w:color="auto" w:fill="auto"/>
            <w:noWrap/>
            <w:vAlign w:val="center"/>
          </w:tcPr>
          <w:p w14:paraId="4E053C4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E631F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60</w:t>
            </w:r>
          </w:p>
        </w:tc>
        <w:tc>
          <w:tcPr>
            <w:tcW w:w="390" w:type="pct"/>
            <w:tcBorders>
              <w:top w:val="nil"/>
              <w:left w:val="nil"/>
              <w:bottom w:val="single" w:sz="4" w:space="0" w:color="auto"/>
              <w:right w:val="single" w:sz="4" w:space="0" w:color="auto"/>
            </w:tcBorders>
            <w:shd w:val="clear" w:color="auto" w:fill="auto"/>
            <w:noWrap/>
            <w:vAlign w:val="center"/>
          </w:tcPr>
          <w:p w14:paraId="4F17466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F4419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61</w:t>
            </w:r>
          </w:p>
        </w:tc>
        <w:tc>
          <w:tcPr>
            <w:tcW w:w="389" w:type="pct"/>
            <w:tcBorders>
              <w:top w:val="nil"/>
              <w:left w:val="nil"/>
              <w:bottom w:val="single" w:sz="4" w:space="0" w:color="auto"/>
              <w:right w:val="single" w:sz="4" w:space="0" w:color="auto"/>
            </w:tcBorders>
            <w:shd w:val="clear" w:color="auto" w:fill="auto"/>
            <w:noWrap/>
            <w:vAlign w:val="center"/>
          </w:tcPr>
          <w:p w14:paraId="17863BB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ACC15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62</w:t>
            </w:r>
          </w:p>
        </w:tc>
        <w:tc>
          <w:tcPr>
            <w:tcW w:w="390" w:type="pct"/>
            <w:tcBorders>
              <w:top w:val="nil"/>
              <w:left w:val="nil"/>
              <w:bottom w:val="single" w:sz="4" w:space="0" w:color="auto"/>
              <w:right w:val="single" w:sz="4" w:space="0" w:color="auto"/>
            </w:tcBorders>
            <w:shd w:val="clear" w:color="auto" w:fill="auto"/>
            <w:noWrap/>
            <w:vAlign w:val="center"/>
          </w:tcPr>
          <w:p w14:paraId="6582818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B0A84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63</w:t>
            </w:r>
          </w:p>
        </w:tc>
      </w:tr>
      <w:tr w:rsidR="00761086" w:rsidRPr="00761086" w14:paraId="54BB5264"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AA61B3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16E128C"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6CA665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C4FD8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3E3F4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0DE1C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9B73A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AF7CE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581B4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1AB5B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BA78F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2C0424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EF809CD"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154B3F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9884127"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B3840C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19A9F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9A783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02D01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F6C56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FEA95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B495E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E68F9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1F45D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C6DC2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572F8E1"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9CC447"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522CA9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2C29A7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AC5CA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6B974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97A7D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0E67D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B1F47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FDAD1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E6161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E91AF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BC28B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9FF9239"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6C2A80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4B40728"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983465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2F973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C9A1D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5305D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147E5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3FE35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02481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957ED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30C79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64D30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4C4D6980"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996BC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4C86751"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73066D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E62CD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52C25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F6711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5CCE3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5F74B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0E33F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EBE17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34A91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4850B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2B5B9BEB"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D5385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EDFC145"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9062F1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4A241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57FEF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DD3DC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987C7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EB0A3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F4A46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548A32"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46543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E1A8B3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03962FE4"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4793F2A"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lastRenderedPageBreak/>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A792252"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4268B91"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C5031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14FCF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38BD7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C920C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FB1BA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60B9B3"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C0CE4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B79514"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DED4CA"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1F5A6B84"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B7DD86"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FBA3127"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4FC65F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E12C9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7897F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6AA2E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F8D016"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53B72F"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EA73BB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AB042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CAD469"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43993C"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7791EDD1" w14:textId="77777777" w:rsidTr="00761086">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DB5CD3"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C84FB7E" w14:textId="77777777" w:rsidR="00761086" w:rsidRPr="00761086" w:rsidRDefault="00761086" w:rsidP="00761086">
            <w:pPr>
              <w:ind w:left="0"/>
              <w:rPr>
                <w:rFonts w:ascii="Bookman Old Style" w:hAnsi="Bookman Old Style" w:cs="Arial"/>
                <w:color w:val="000000"/>
                <w:sz w:val="12"/>
                <w:szCs w:val="12"/>
                <w:lang w:val="es-CO" w:eastAsia="es-CO"/>
              </w:rPr>
            </w:pPr>
            <w:r w:rsidRPr="00761086">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4B0FFE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55B60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3603F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42DC25"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440DE"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398527"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B5F06D"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D55578"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3CCE90"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CD285B" w14:textId="77777777" w:rsidR="00761086" w:rsidRPr="00761086" w:rsidRDefault="00761086" w:rsidP="00761086">
            <w:pPr>
              <w:ind w:left="0" w:hanging="14"/>
              <w:jc w:val="right"/>
              <w:rPr>
                <w:rFonts w:ascii="Bookman Old Style" w:hAnsi="Bookman Old Style" w:cs="Arial"/>
                <w:color w:val="000000"/>
                <w:sz w:val="12"/>
                <w:szCs w:val="12"/>
                <w:lang w:val="es-CO"/>
              </w:rPr>
            </w:pPr>
            <w:r w:rsidRPr="00761086">
              <w:rPr>
                <w:rFonts w:ascii="Bookman Old Style" w:hAnsi="Bookman Old Style" w:cs="Arial"/>
                <w:color w:val="000000"/>
                <w:sz w:val="12"/>
                <w:szCs w:val="12"/>
                <w:lang w:val="es-CO"/>
              </w:rPr>
              <w:t xml:space="preserve">- </w:t>
            </w:r>
          </w:p>
        </w:tc>
      </w:tr>
      <w:tr w:rsidR="00761086" w:rsidRPr="00761086" w14:paraId="3F1EB787" w14:textId="77777777" w:rsidTr="00761086">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45D650F" w14:textId="77777777" w:rsidR="00761086" w:rsidRPr="00761086" w:rsidRDefault="00761086" w:rsidP="00761086">
            <w:pPr>
              <w:ind w:left="0"/>
              <w:rPr>
                <w:rFonts w:ascii="Bookman Old Style" w:hAnsi="Bookman Old Style" w:cs="Arial"/>
                <w:b/>
                <w:color w:val="000000"/>
                <w:sz w:val="12"/>
                <w:szCs w:val="12"/>
                <w:lang w:val="es-CO" w:eastAsia="es-CO"/>
              </w:rPr>
            </w:pPr>
            <w:r w:rsidRPr="00761086">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FACD48" w14:textId="77777777" w:rsidR="00761086" w:rsidRPr="00761086" w:rsidRDefault="00761086" w:rsidP="00761086">
            <w:pPr>
              <w:ind w:left="0"/>
              <w:jc w:val="right"/>
              <w:rPr>
                <w:rFonts w:ascii="Bookman Old Style" w:hAnsi="Bookman Old Style" w:cs="Arial"/>
                <w:b/>
                <w:bCs/>
                <w:color w:val="000000"/>
                <w:sz w:val="12"/>
                <w:szCs w:val="12"/>
                <w:lang w:val="es-CO" w:eastAsia="es-CO"/>
              </w:rPr>
            </w:pPr>
            <w:r w:rsidRPr="0076108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A24562"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343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4C8EC2"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0D46E5"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350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5B5A8"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F6B3CA"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357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5C2A58"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D14345"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364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0E649D"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36BDDE" w14:textId="77777777" w:rsidR="00761086" w:rsidRPr="00761086" w:rsidRDefault="00761086" w:rsidP="00761086">
            <w:pPr>
              <w:ind w:left="0"/>
              <w:jc w:val="right"/>
              <w:rPr>
                <w:rFonts w:ascii="Bookman Old Style" w:hAnsi="Bookman Old Style" w:cs="Arial"/>
                <w:b/>
                <w:bCs/>
                <w:color w:val="000000"/>
                <w:sz w:val="12"/>
                <w:szCs w:val="12"/>
                <w:lang w:val="es-CO"/>
              </w:rPr>
            </w:pPr>
            <w:r w:rsidRPr="00761086">
              <w:rPr>
                <w:rFonts w:ascii="Bookman Old Style" w:hAnsi="Bookman Old Style" w:cs="Arial"/>
                <w:b/>
                <w:bCs/>
                <w:color w:val="000000"/>
                <w:sz w:val="12"/>
                <w:szCs w:val="12"/>
                <w:lang w:val="es-CO"/>
              </w:rPr>
              <w:t xml:space="preserve">371 </w:t>
            </w:r>
          </w:p>
        </w:tc>
      </w:tr>
    </w:tbl>
    <w:p w14:paraId="3610E67A" w14:textId="41669D0E" w:rsidR="008A39CF" w:rsidRDefault="008A39CF"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756823" w:rsidRPr="00756823" w14:paraId="07999D5E" w14:textId="77777777" w:rsidTr="00756823">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7A388B7" w14:textId="77777777" w:rsidR="00756823" w:rsidRPr="00756823" w:rsidRDefault="00756823" w:rsidP="00756823">
            <w:pPr>
              <w:ind w:left="0"/>
              <w:jc w:val="center"/>
              <w:rPr>
                <w:rFonts w:ascii="Bookman Old Style" w:hAnsi="Bookman Old Style" w:cs="Arial"/>
                <w:b/>
                <w:color w:val="000000"/>
                <w:sz w:val="12"/>
                <w:szCs w:val="12"/>
                <w:lang w:val="es-CO" w:eastAsia="es-CO"/>
              </w:rPr>
            </w:pPr>
            <w:r w:rsidRPr="00756823">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C0C52D" w14:textId="77777777" w:rsidR="00756823" w:rsidRPr="00756823" w:rsidRDefault="00756823" w:rsidP="00756823">
            <w:pPr>
              <w:ind w:left="0"/>
              <w:jc w:val="center"/>
              <w:rPr>
                <w:rFonts w:ascii="Bookman Old Style" w:hAnsi="Bookman Old Style" w:cs="Arial"/>
                <w:b/>
                <w:color w:val="000000"/>
                <w:sz w:val="12"/>
                <w:szCs w:val="12"/>
                <w:lang w:val="es-CO" w:eastAsia="es-CO"/>
              </w:rPr>
            </w:pPr>
            <w:r w:rsidRPr="00756823">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9590A05" w14:textId="77777777" w:rsidR="00756823" w:rsidRPr="00756823" w:rsidRDefault="00756823" w:rsidP="00756823">
            <w:pPr>
              <w:ind w:left="0"/>
              <w:jc w:val="center"/>
              <w:rPr>
                <w:rFonts w:ascii="Bookman Old Style" w:hAnsi="Bookman Old Style" w:cs="Arial"/>
                <w:b/>
                <w:color w:val="000000"/>
                <w:sz w:val="12"/>
                <w:szCs w:val="12"/>
                <w:lang w:val="es-CO" w:eastAsia="es-CO"/>
              </w:rPr>
            </w:pPr>
            <w:r w:rsidRPr="00756823">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7E21DE9" w14:textId="77777777" w:rsidR="00756823" w:rsidRPr="00756823" w:rsidRDefault="00756823" w:rsidP="00756823">
            <w:pPr>
              <w:ind w:left="0"/>
              <w:jc w:val="center"/>
              <w:rPr>
                <w:rFonts w:ascii="Bookman Old Style" w:hAnsi="Bookman Old Style" w:cs="Arial"/>
                <w:b/>
                <w:color w:val="000000"/>
                <w:sz w:val="12"/>
                <w:szCs w:val="12"/>
                <w:lang w:val="es-CO" w:eastAsia="es-CO"/>
              </w:rPr>
            </w:pPr>
            <w:r w:rsidRPr="00756823">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8A2410B" w14:textId="77777777" w:rsidR="00756823" w:rsidRPr="00756823" w:rsidRDefault="00756823" w:rsidP="00756823">
            <w:pPr>
              <w:ind w:left="0"/>
              <w:jc w:val="center"/>
              <w:rPr>
                <w:rFonts w:ascii="Bookman Old Style" w:hAnsi="Bookman Old Style" w:cs="Arial"/>
                <w:b/>
                <w:color w:val="000000"/>
                <w:sz w:val="12"/>
                <w:szCs w:val="12"/>
                <w:lang w:val="es-CO" w:eastAsia="es-CO"/>
              </w:rPr>
            </w:pPr>
            <w:r w:rsidRPr="00756823">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3A63531" w14:textId="77777777" w:rsidR="00756823" w:rsidRPr="00756823" w:rsidRDefault="00756823" w:rsidP="00756823">
            <w:pPr>
              <w:ind w:left="0"/>
              <w:jc w:val="center"/>
              <w:rPr>
                <w:rFonts w:ascii="Bookman Old Style" w:hAnsi="Bookman Old Style" w:cs="Arial"/>
                <w:b/>
                <w:color w:val="000000"/>
                <w:sz w:val="12"/>
                <w:szCs w:val="12"/>
                <w:lang w:val="es-CO" w:eastAsia="es-CO"/>
              </w:rPr>
            </w:pPr>
            <w:r w:rsidRPr="00756823">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1A534563" w14:textId="77777777" w:rsidR="00756823" w:rsidRPr="00756823" w:rsidRDefault="00756823" w:rsidP="00756823">
            <w:pPr>
              <w:ind w:left="0"/>
              <w:jc w:val="center"/>
              <w:rPr>
                <w:rFonts w:ascii="Bookman Old Style" w:hAnsi="Bookman Old Style" w:cs="Arial"/>
                <w:b/>
                <w:color w:val="000000"/>
                <w:sz w:val="12"/>
                <w:szCs w:val="12"/>
                <w:lang w:val="es-CO" w:eastAsia="es-CO"/>
              </w:rPr>
            </w:pPr>
            <w:r w:rsidRPr="00756823">
              <w:rPr>
                <w:rFonts w:ascii="Bookman Old Style" w:hAnsi="Bookman Old Style" w:cs="Arial"/>
                <w:b/>
                <w:color w:val="000000"/>
                <w:sz w:val="12"/>
                <w:szCs w:val="12"/>
                <w:lang w:val="es-CO" w:eastAsia="es-CO"/>
              </w:rPr>
              <w:t>Año 20</w:t>
            </w:r>
          </w:p>
        </w:tc>
      </w:tr>
      <w:tr w:rsidR="00756823" w:rsidRPr="00756823" w14:paraId="186C1953" w14:textId="77777777" w:rsidTr="00756823">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36CDAE" w14:textId="77777777" w:rsidR="00756823" w:rsidRPr="00756823" w:rsidRDefault="00756823" w:rsidP="00756823">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D5E54" w14:textId="77777777" w:rsidR="00756823" w:rsidRPr="00756823" w:rsidRDefault="00756823" w:rsidP="00756823">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1498BFB8"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2FFAB6B"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55FFCD6"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2E739D32"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4625FE2"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6D0516F9"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774F3F4C"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63C35BB"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EE608CC"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19EC46FD" w14:textId="77777777" w:rsidR="00756823" w:rsidRPr="00756823" w:rsidRDefault="00756823" w:rsidP="00756823">
            <w:pPr>
              <w:ind w:left="0"/>
              <w:jc w:val="center"/>
              <w:rPr>
                <w:rFonts w:ascii="Bookman Old Style" w:hAnsi="Bookman Old Style" w:cs="Arial"/>
                <w:b/>
                <w:color w:val="000000"/>
                <w:sz w:val="10"/>
                <w:szCs w:val="10"/>
                <w:lang w:val="es-CO" w:eastAsia="es-CO"/>
              </w:rPr>
            </w:pPr>
            <w:r w:rsidRPr="00756823">
              <w:rPr>
                <w:rFonts w:ascii="Bookman Old Style" w:hAnsi="Bookman Old Style" w:cs="Arial"/>
                <w:b/>
                <w:color w:val="000000"/>
                <w:sz w:val="10"/>
                <w:szCs w:val="10"/>
                <w:lang w:val="es-CO" w:eastAsia="es-CO"/>
              </w:rPr>
              <w:t>Secundaria</w:t>
            </w:r>
          </w:p>
        </w:tc>
      </w:tr>
      <w:tr w:rsidR="00756823" w:rsidRPr="00756823" w14:paraId="7358D334"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6144E96"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417844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53A1240" w14:textId="77777777" w:rsidR="00756823" w:rsidRPr="00756823" w:rsidRDefault="00756823" w:rsidP="00756823">
            <w:pPr>
              <w:ind w:left="0" w:hanging="14"/>
              <w:jc w:val="right"/>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DAEA2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56</w:t>
            </w:r>
          </w:p>
        </w:tc>
        <w:tc>
          <w:tcPr>
            <w:tcW w:w="390" w:type="pct"/>
            <w:tcBorders>
              <w:top w:val="nil"/>
              <w:left w:val="nil"/>
              <w:bottom w:val="single" w:sz="4" w:space="0" w:color="auto"/>
              <w:right w:val="single" w:sz="4" w:space="0" w:color="auto"/>
            </w:tcBorders>
            <w:shd w:val="clear" w:color="auto" w:fill="auto"/>
            <w:noWrap/>
            <w:vAlign w:val="center"/>
          </w:tcPr>
          <w:p w14:paraId="4C55D04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2331A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57 </w:t>
            </w:r>
          </w:p>
        </w:tc>
        <w:tc>
          <w:tcPr>
            <w:tcW w:w="390" w:type="pct"/>
            <w:tcBorders>
              <w:top w:val="nil"/>
              <w:left w:val="nil"/>
              <w:bottom w:val="single" w:sz="4" w:space="0" w:color="auto"/>
              <w:right w:val="single" w:sz="4" w:space="0" w:color="auto"/>
            </w:tcBorders>
            <w:shd w:val="clear" w:color="auto" w:fill="auto"/>
            <w:noWrap/>
            <w:vAlign w:val="center"/>
          </w:tcPr>
          <w:p w14:paraId="48344D3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836C1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58 </w:t>
            </w:r>
          </w:p>
        </w:tc>
        <w:tc>
          <w:tcPr>
            <w:tcW w:w="389" w:type="pct"/>
            <w:tcBorders>
              <w:top w:val="nil"/>
              <w:left w:val="nil"/>
              <w:bottom w:val="single" w:sz="4" w:space="0" w:color="auto"/>
              <w:right w:val="single" w:sz="4" w:space="0" w:color="auto"/>
            </w:tcBorders>
            <w:shd w:val="clear" w:color="auto" w:fill="auto"/>
            <w:noWrap/>
            <w:vAlign w:val="center"/>
          </w:tcPr>
          <w:p w14:paraId="61D63C7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D99A9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59 </w:t>
            </w:r>
          </w:p>
        </w:tc>
        <w:tc>
          <w:tcPr>
            <w:tcW w:w="390" w:type="pct"/>
            <w:tcBorders>
              <w:top w:val="nil"/>
              <w:left w:val="nil"/>
              <w:bottom w:val="single" w:sz="4" w:space="0" w:color="auto"/>
              <w:right w:val="single" w:sz="4" w:space="0" w:color="auto"/>
            </w:tcBorders>
            <w:shd w:val="clear" w:color="auto" w:fill="auto"/>
            <w:noWrap/>
            <w:vAlign w:val="center"/>
          </w:tcPr>
          <w:p w14:paraId="210C36A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9A37B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60 </w:t>
            </w:r>
          </w:p>
        </w:tc>
      </w:tr>
      <w:tr w:rsidR="00756823" w:rsidRPr="00756823" w14:paraId="15519CE2"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1AB5CD1"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614793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A7A40A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0EA66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56 </w:t>
            </w:r>
          </w:p>
        </w:tc>
        <w:tc>
          <w:tcPr>
            <w:tcW w:w="390" w:type="pct"/>
            <w:tcBorders>
              <w:top w:val="nil"/>
              <w:left w:val="nil"/>
              <w:bottom w:val="single" w:sz="4" w:space="0" w:color="auto"/>
              <w:right w:val="single" w:sz="4" w:space="0" w:color="auto"/>
            </w:tcBorders>
            <w:shd w:val="clear" w:color="auto" w:fill="auto"/>
            <w:noWrap/>
            <w:vAlign w:val="center"/>
          </w:tcPr>
          <w:p w14:paraId="60117FB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5CD32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57 </w:t>
            </w:r>
          </w:p>
        </w:tc>
        <w:tc>
          <w:tcPr>
            <w:tcW w:w="390" w:type="pct"/>
            <w:tcBorders>
              <w:top w:val="nil"/>
              <w:left w:val="nil"/>
              <w:bottom w:val="single" w:sz="4" w:space="0" w:color="auto"/>
              <w:right w:val="single" w:sz="4" w:space="0" w:color="auto"/>
            </w:tcBorders>
            <w:shd w:val="clear" w:color="auto" w:fill="auto"/>
            <w:noWrap/>
            <w:vAlign w:val="center"/>
          </w:tcPr>
          <w:p w14:paraId="761DC3A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E6DB5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58 </w:t>
            </w:r>
          </w:p>
        </w:tc>
        <w:tc>
          <w:tcPr>
            <w:tcW w:w="389" w:type="pct"/>
            <w:tcBorders>
              <w:top w:val="nil"/>
              <w:left w:val="nil"/>
              <w:bottom w:val="single" w:sz="4" w:space="0" w:color="auto"/>
              <w:right w:val="single" w:sz="4" w:space="0" w:color="auto"/>
            </w:tcBorders>
            <w:shd w:val="clear" w:color="auto" w:fill="auto"/>
            <w:noWrap/>
            <w:vAlign w:val="center"/>
          </w:tcPr>
          <w:p w14:paraId="297A83E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24391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59 </w:t>
            </w:r>
          </w:p>
        </w:tc>
        <w:tc>
          <w:tcPr>
            <w:tcW w:w="390" w:type="pct"/>
            <w:tcBorders>
              <w:top w:val="nil"/>
              <w:left w:val="nil"/>
              <w:bottom w:val="single" w:sz="4" w:space="0" w:color="auto"/>
              <w:right w:val="single" w:sz="4" w:space="0" w:color="auto"/>
            </w:tcBorders>
            <w:shd w:val="clear" w:color="auto" w:fill="auto"/>
            <w:noWrap/>
            <w:vAlign w:val="center"/>
          </w:tcPr>
          <w:p w14:paraId="74B0372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4175D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60 </w:t>
            </w:r>
          </w:p>
        </w:tc>
      </w:tr>
      <w:tr w:rsidR="00756823" w:rsidRPr="00756823" w14:paraId="2781C434"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FC484A"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76E35F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A18508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D5BC5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A7D82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1D56D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99792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C9C17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0F7BC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0B2AD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77A63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30859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04209A33"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50CA58"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E6F687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3065BB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F8685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C6F58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C5C01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6704D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31F88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1780D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B6D4C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0DCF3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D3C45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3A08EE1D"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C84069"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A5BEA97"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34372C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981B6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60451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B46606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EC8D4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F3E7E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147B5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CC53B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B4FD5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677BE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397E19B0"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A393EC"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56E7FDB"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B2BB41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A8FE2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29B96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BADC4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1F95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E7857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F8715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21C0A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E94FB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A3158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32D2760C"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AC4483"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CCD2BAF"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611A71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4451B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FF6E9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43393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F6544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0B563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F69D6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02093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2903D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84F5B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67C4FD63"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076FAB"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6B53CDA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904A9E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F5D11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B641E1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AE399B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88E072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BB664E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F49A8B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7D95FA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9382D5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3B31277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r>
      <w:tr w:rsidR="00756823" w:rsidRPr="00756823" w14:paraId="58FFB7FB"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39BF65"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17045E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B36A25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FD800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2633E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A24C8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5EE3E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5A27B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B1F7D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E9A4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F04F3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1C7D4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15F60EC8"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41FD2F"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F9AEE95"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65BFA34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E853E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E8A99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BE5D9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1A61D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289E7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53425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2610E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623D7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DCBAC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21C65748"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A1C1C3" w14:textId="77777777" w:rsidR="00756823" w:rsidRPr="00756823" w:rsidRDefault="00756823" w:rsidP="00756823">
            <w:pPr>
              <w:ind w:left="0"/>
              <w:rPr>
                <w:rFonts w:ascii="Bookman Old Style" w:hAnsi="Bookman Old Style" w:cs="Arial"/>
                <w:sz w:val="12"/>
                <w:szCs w:val="12"/>
                <w:lang w:val="es-CO"/>
              </w:rPr>
            </w:pPr>
            <w:r w:rsidRPr="00756823">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79304A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E27021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989054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89B459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7CA57F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89CDCC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4CF379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C940ED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70950E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B7173D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A75518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r>
      <w:tr w:rsidR="00756823" w:rsidRPr="00756823" w14:paraId="79F78DE0"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10F1C7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BC369ED"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2C3967F"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71411B"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67 </w:t>
            </w:r>
          </w:p>
        </w:tc>
        <w:tc>
          <w:tcPr>
            <w:tcW w:w="390" w:type="pct"/>
            <w:tcBorders>
              <w:top w:val="nil"/>
              <w:left w:val="nil"/>
              <w:bottom w:val="single" w:sz="4" w:space="0" w:color="auto"/>
              <w:right w:val="single" w:sz="4" w:space="0" w:color="auto"/>
            </w:tcBorders>
            <w:shd w:val="clear" w:color="auto" w:fill="auto"/>
            <w:noWrap/>
            <w:vAlign w:val="center"/>
          </w:tcPr>
          <w:p w14:paraId="47DB80C6"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E80F36"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68 </w:t>
            </w:r>
          </w:p>
        </w:tc>
        <w:tc>
          <w:tcPr>
            <w:tcW w:w="390" w:type="pct"/>
            <w:tcBorders>
              <w:top w:val="nil"/>
              <w:left w:val="nil"/>
              <w:bottom w:val="single" w:sz="4" w:space="0" w:color="auto"/>
              <w:right w:val="single" w:sz="4" w:space="0" w:color="auto"/>
            </w:tcBorders>
            <w:shd w:val="clear" w:color="auto" w:fill="auto"/>
            <w:noWrap/>
            <w:vAlign w:val="center"/>
          </w:tcPr>
          <w:p w14:paraId="439C57F1"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E6A3C6"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69 </w:t>
            </w:r>
          </w:p>
        </w:tc>
        <w:tc>
          <w:tcPr>
            <w:tcW w:w="389" w:type="pct"/>
            <w:tcBorders>
              <w:top w:val="nil"/>
              <w:left w:val="nil"/>
              <w:bottom w:val="single" w:sz="4" w:space="0" w:color="auto"/>
              <w:right w:val="single" w:sz="4" w:space="0" w:color="auto"/>
            </w:tcBorders>
            <w:shd w:val="clear" w:color="auto" w:fill="auto"/>
            <w:noWrap/>
            <w:vAlign w:val="center"/>
          </w:tcPr>
          <w:p w14:paraId="2E25B9FF"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5D4805"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70 </w:t>
            </w:r>
          </w:p>
        </w:tc>
        <w:tc>
          <w:tcPr>
            <w:tcW w:w="390" w:type="pct"/>
            <w:tcBorders>
              <w:top w:val="nil"/>
              <w:left w:val="nil"/>
              <w:bottom w:val="single" w:sz="4" w:space="0" w:color="auto"/>
              <w:right w:val="single" w:sz="4" w:space="0" w:color="auto"/>
            </w:tcBorders>
            <w:shd w:val="clear" w:color="auto" w:fill="auto"/>
            <w:noWrap/>
            <w:vAlign w:val="center"/>
          </w:tcPr>
          <w:p w14:paraId="2DA0E699"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BB3BF3"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71 </w:t>
            </w:r>
          </w:p>
        </w:tc>
      </w:tr>
      <w:tr w:rsidR="00756823" w:rsidRPr="00756823" w14:paraId="75BE03D1"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90AB7D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B3BC1D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E885648"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2E7B1"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67 </w:t>
            </w:r>
          </w:p>
        </w:tc>
        <w:tc>
          <w:tcPr>
            <w:tcW w:w="390" w:type="pct"/>
            <w:tcBorders>
              <w:top w:val="nil"/>
              <w:left w:val="nil"/>
              <w:bottom w:val="single" w:sz="4" w:space="0" w:color="auto"/>
              <w:right w:val="single" w:sz="4" w:space="0" w:color="auto"/>
            </w:tcBorders>
            <w:shd w:val="clear" w:color="auto" w:fill="auto"/>
            <w:noWrap/>
            <w:vAlign w:val="center"/>
          </w:tcPr>
          <w:p w14:paraId="005F3B7C"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79B0C7"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68 </w:t>
            </w:r>
          </w:p>
        </w:tc>
        <w:tc>
          <w:tcPr>
            <w:tcW w:w="390" w:type="pct"/>
            <w:tcBorders>
              <w:top w:val="nil"/>
              <w:left w:val="nil"/>
              <w:bottom w:val="single" w:sz="4" w:space="0" w:color="auto"/>
              <w:right w:val="single" w:sz="4" w:space="0" w:color="auto"/>
            </w:tcBorders>
            <w:shd w:val="clear" w:color="auto" w:fill="auto"/>
            <w:noWrap/>
            <w:vAlign w:val="center"/>
          </w:tcPr>
          <w:p w14:paraId="377FACFE"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1C6750"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69 </w:t>
            </w:r>
          </w:p>
        </w:tc>
        <w:tc>
          <w:tcPr>
            <w:tcW w:w="389" w:type="pct"/>
            <w:tcBorders>
              <w:top w:val="nil"/>
              <w:left w:val="nil"/>
              <w:bottom w:val="single" w:sz="4" w:space="0" w:color="auto"/>
              <w:right w:val="single" w:sz="4" w:space="0" w:color="auto"/>
            </w:tcBorders>
            <w:shd w:val="clear" w:color="auto" w:fill="auto"/>
            <w:noWrap/>
            <w:vAlign w:val="center"/>
          </w:tcPr>
          <w:p w14:paraId="34B43624"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8DC0E6"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70 </w:t>
            </w:r>
          </w:p>
        </w:tc>
        <w:tc>
          <w:tcPr>
            <w:tcW w:w="390" w:type="pct"/>
            <w:tcBorders>
              <w:top w:val="nil"/>
              <w:left w:val="nil"/>
              <w:bottom w:val="single" w:sz="4" w:space="0" w:color="auto"/>
              <w:right w:val="single" w:sz="4" w:space="0" w:color="auto"/>
            </w:tcBorders>
            <w:shd w:val="clear" w:color="auto" w:fill="auto"/>
            <w:noWrap/>
            <w:vAlign w:val="center"/>
          </w:tcPr>
          <w:p w14:paraId="592DE569"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C6CD47"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71 </w:t>
            </w:r>
          </w:p>
        </w:tc>
      </w:tr>
      <w:tr w:rsidR="00756823" w:rsidRPr="00756823" w14:paraId="7F0A39C2"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5A55FC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45798FB"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F948032"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06BBAD"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5AE0EB"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7387FC"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34CF0D"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F7ECE7"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484930"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2C8629"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23B6EC"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E2D6862"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r>
      <w:tr w:rsidR="00756823" w:rsidRPr="00756823" w14:paraId="79431724"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656D697"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C73364D"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AF6DA7A"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283E22"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E46097"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5A4A35"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DDCCCA"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62CD5"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F2E435"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9B6C6"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558486"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C9E42B"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r>
      <w:tr w:rsidR="00756823" w:rsidRPr="00756823" w14:paraId="56490A4A"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DBB1E6"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04474BD"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D3F2245"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127FF7"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C40AD5"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E080FF"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C17487"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A03A3A"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E6C572"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318259"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628BAB"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94D1FF" w14:textId="77777777" w:rsidR="00756823" w:rsidRPr="00756823" w:rsidRDefault="00756823" w:rsidP="00756823">
            <w:pPr>
              <w:ind w:left="0" w:hanging="14"/>
              <w:jc w:val="right"/>
              <w:rPr>
                <w:rFonts w:ascii="Bookman Old Style" w:hAnsi="Bookman Old Style" w:cs="Arial"/>
                <w:color w:val="000000"/>
                <w:sz w:val="12"/>
                <w:szCs w:val="12"/>
                <w:highlight w:val="yellow"/>
                <w:lang w:val="es-CO"/>
              </w:rPr>
            </w:pPr>
            <w:r w:rsidRPr="00756823">
              <w:rPr>
                <w:rFonts w:ascii="Bookman Old Style" w:hAnsi="Bookman Old Style" w:cs="Arial"/>
                <w:color w:val="000000"/>
                <w:sz w:val="12"/>
                <w:szCs w:val="12"/>
                <w:lang w:val="es-CO"/>
              </w:rPr>
              <w:t xml:space="preserve">- </w:t>
            </w:r>
          </w:p>
        </w:tc>
      </w:tr>
      <w:tr w:rsidR="00756823" w:rsidRPr="00756823" w14:paraId="408B0514"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B1C8CE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1555EF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32911A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97316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4EE7F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25439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9E204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89D9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D21E8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EA840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D6D51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BA563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45BAEE4B"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4E9C7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52D5770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243C2F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9BA13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84EE9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C1B30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FDF8C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3D869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62283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AD0D5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E569C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186A8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7D99AB4B"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5490C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5A423053"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844D5C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CA86F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A890B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C588C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1D76F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69A37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B00B5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B06BB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21142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0F4A1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2BC50449"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4D47C6"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EC71D3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7B8C03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B2D3C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732BF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69B4A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497C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7E913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95DD7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5E336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E735C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07369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6A534406"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042336B"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6BB73F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05D0B1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7E95C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4567F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B117D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EC48A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D104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556DA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5D341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A3BFE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04E1B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66DBCBC9"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7659CA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3036AF65"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CF3868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7D359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7E03C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63B0E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87407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C0593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2B59D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2346A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5B616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B5286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1B3DA496"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25CC1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5A1361AD"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497031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5E49A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63 </w:t>
            </w:r>
          </w:p>
        </w:tc>
        <w:tc>
          <w:tcPr>
            <w:tcW w:w="390" w:type="pct"/>
            <w:tcBorders>
              <w:top w:val="nil"/>
              <w:left w:val="nil"/>
              <w:bottom w:val="single" w:sz="4" w:space="0" w:color="auto"/>
              <w:right w:val="single" w:sz="4" w:space="0" w:color="auto"/>
            </w:tcBorders>
            <w:shd w:val="clear" w:color="auto" w:fill="auto"/>
            <w:noWrap/>
            <w:vAlign w:val="center"/>
          </w:tcPr>
          <w:p w14:paraId="5C3C12E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AF4C6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64 </w:t>
            </w:r>
          </w:p>
        </w:tc>
        <w:tc>
          <w:tcPr>
            <w:tcW w:w="390" w:type="pct"/>
            <w:tcBorders>
              <w:top w:val="nil"/>
              <w:left w:val="nil"/>
              <w:bottom w:val="single" w:sz="4" w:space="0" w:color="auto"/>
              <w:right w:val="single" w:sz="4" w:space="0" w:color="auto"/>
            </w:tcBorders>
            <w:shd w:val="clear" w:color="auto" w:fill="auto"/>
            <w:noWrap/>
            <w:vAlign w:val="center"/>
          </w:tcPr>
          <w:p w14:paraId="6B13666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4D87B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65 </w:t>
            </w:r>
          </w:p>
        </w:tc>
        <w:tc>
          <w:tcPr>
            <w:tcW w:w="389" w:type="pct"/>
            <w:tcBorders>
              <w:top w:val="nil"/>
              <w:left w:val="nil"/>
              <w:bottom w:val="single" w:sz="4" w:space="0" w:color="auto"/>
              <w:right w:val="single" w:sz="4" w:space="0" w:color="auto"/>
            </w:tcBorders>
            <w:shd w:val="clear" w:color="auto" w:fill="auto"/>
            <w:noWrap/>
            <w:vAlign w:val="center"/>
          </w:tcPr>
          <w:p w14:paraId="535B635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FF233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66 </w:t>
            </w:r>
          </w:p>
        </w:tc>
        <w:tc>
          <w:tcPr>
            <w:tcW w:w="390" w:type="pct"/>
            <w:tcBorders>
              <w:top w:val="nil"/>
              <w:left w:val="nil"/>
              <w:bottom w:val="single" w:sz="4" w:space="0" w:color="auto"/>
              <w:right w:val="single" w:sz="4" w:space="0" w:color="auto"/>
            </w:tcBorders>
            <w:shd w:val="clear" w:color="auto" w:fill="auto"/>
            <w:noWrap/>
            <w:vAlign w:val="center"/>
          </w:tcPr>
          <w:p w14:paraId="1DF63B8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55DE4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67 </w:t>
            </w:r>
          </w:p>
        </w:tc>
      </w:tr>
      <w:tr w:rsidR="00756823" w:rsidRPr="00756823" w14:paraId="0867526F"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6DFD0F5"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35FFEE6"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4C2AAB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1C6E1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63 </w:t>
            </w:r>
          </w:p>
        </w:tc>
        <w:tc>
          <w:tcPr>
            <w:tcW w:w="390" w:type="pct"/>
            <w:tcBorders>
              <w:top w:val="nil"/>
              <w:left w:val="nil"/>
              <w:bottom w:val="single" w:sz="4" w:space="0" w:color="auto"/>
              <w:right w:val="single" w:sz="4" w:space="0" w:color="auto"/>
            </w:tcBorders>
            <w:shd w:val="clear" w:color="auto" w:fill="auto"/>
            <w:noWrap/>
            <w:vAlign w:val="center"/>
          </w:tcPr>
          <w:p w14:paraId="0CB793D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AF56C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64 </w:t>
            </w:r>
          </w:p>
        </w:tc>
        <w:tc>
          <w:tcPr>
            <w:tcW w:w="390" w:type="pct"/>
            <w:tcBorders>
              <w:top w:val="nil"/>
              <w:left w:val="nil"/>
              <w:bottom w:val="single" w:sz="4" w:space="0" w:color="auto"/>
              <w:right w:val="single" w:sz="4" w:space="0" w:color="auto"/>
            </w:tcBorders>
            <w:shd w:val="clear" w:color="auto" w:fill="auto"/>
            <w:noWrap/>
            <w:vAlign w:val="center"/>
          </w:tcPr>
          <w:p w14:paraId="56A0E88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068EE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65 </w:t>
            </w:r>
          </w:p>
        </w:tc>
        <w:tc>
          <w:tcPr>
            <w:tcW w:w="389" w:type="pct"/>
            <w:tcBorders>
              <w:top w:val="nil"/>
              <w:left w:val="nil"/>
              <w:bottom w:val="single" w:sz="4" w:space="0" w:color="auto"/>
              <w:right w:val="single" w:sz="4" w:space="0" w:color="auto"/>
            </w:tcBorders>
            <w:shd w:val="clear" w:color="auto" w:fill="auto"/>
            <w:noWrap/>
            <w:vAlign w:val="center"/>
          </w:tcPr>
          <w:p w14:paraId="74A48B9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8C9DE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66 </w:t>
            </w:r>
          </w:p>
        </w:tc>
        <w:tc>
          <w:tcPr>
            <w:tcW w:w="390" w:type="pct"/>
            <w:tcBorders>
              <w:top w:val="nil"/>
              <w:left w:val="nil"/>
              <w:bottom w:val="single" w:sz="4" w:space="0" w:color="auto"/>
              <w:right w:val="single" w:sz="4" w:space="0" w:color="auto"/>
            </w:tcBorders>
            <w:shd w:val="clear" w:color="auto" w:fill="auto"/>
            <w:noWrap/>
            <w:vAlign w:val="center"/>
          </w:tcPr>
          <w:p w14:paraId="1893D7E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CF93D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67 </w:t>
            </w:r>
          </w:p>
        </w:tc>
      </w:tr>
      <w:tr w:rsidR="00756823" w:rsidRPr="00756823" w14:paraId="6BE519AC"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D2302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608D70F3"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D3309F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134EC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C3268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A8EB6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5B54E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D64D7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666C6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5A732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008C0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09328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55377BF8"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16C9EE"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84D7F6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01DB1B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3799C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12B75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1054D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941DA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41EC6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1609F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88786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80126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4F1DC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1A15EEB2"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9BB6F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CC7858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D59D39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185D3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BCFAB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EC3D3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F539E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BC15D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9F6DD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44BD0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15523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FF240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446E4B44"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72E77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125F6E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87CCFE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3FE92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DFF46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AFE39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AFF5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E233C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EA03B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9E090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CE3C0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E280A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439CFB6B"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4A419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9C208F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3DF4C9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8A1AB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30B55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AA1EB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69A81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62C1D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B236A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E6B82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34493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E9F65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1EB04746"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66032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C949DE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C7993F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EFCE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A8A8A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5A986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95BF2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D2E7D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146D6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B5196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9B4A5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80F7D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0451E8D0"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AB186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DD313D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5ABCCA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D633E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92D31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B97BB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CBEB3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0B0DE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21DD0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28CAF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FC19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B1D55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634A43D9"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5D194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6F9E941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1A479D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E3299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BE47D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D6C45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382C0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FD04B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ABD9E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D2FD1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44E9A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C3596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334DA742"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19BDD7"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D94AB0E"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B73430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DE4E3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6B471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92C5D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BF74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0A77D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A5837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B099A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03BBC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4814A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621BE8B5"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165F3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064FFC2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58933F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9B75B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42 </w:t>
            </w:r>
          </w:p>
        </w:tc>
        <w:tc>
          <w:tcPr>
            <w:tcW w:w="390" w:type="pct"/>
            <w:tcBorders>
              <w:top w:val="nil"/>
              <w:left w:val="nil"/>
              <w:bottom w:val="single" w:sz="4" w:space="0" w:color="auto"/>
              <w:right w:val="single" w:sz="4" w:space="0" w:color="auto"/>
            </w:tcBorders>
            <w:shd w:val="clear" w:color="auto" w:fill="auto"/>
            <w:noWrap/>
            <w:vAlign w:val="center"/>
          </w:tcPr>
          <w:p w14:paraId="5600491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01067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43 </w:t>
            </w:r>
          </w:p>
        </w:tc>
        <w:tc>
          <w:tcPr>
            <w:tcW w:w="390" w:type="pct"/>
            <w:tcBorders>
              <w:top w:val="nil"/>
              <w:left w:val="nil"/>
              <w:bottom w:val="single" w:sz="4" w:space="0" w:color="auto"/>
              <w:right w:val="single" w:sz="4" w:space="0" w:color="auto"/>
            </w:tcBorders>
            <w:shd w:val="clear" w:color="auto" w:fill="auto"/>
            <w:noWrap/>
            <w:vAlign w:val="center"/>
          </w:tcPr>
          <w:p w14:paraId="166200E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C8CF6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44 </w:t>
            </w:r>
          </w:p>
        </w:tc>
        <w:tc>
          <w:tcPr>
            <w:tcW w:w="389" w:type="pct"/>
            <w:tcBorders>
              <w:top w:val="nil"/>
              <w:left w:val="nil"/>
              <w:bottom w:val="single" w:sz="4" w:space="0" w:color="auto"/>
              <w:right w:val="single" w:sz="4" w:space="0" w:color="auto"/>
            </w:tcBorders>
            <w:shd w:val="clear" w:color="auto" w:fill="auto"/>
            <w:noWrap/>
            <w:vAlign w:val="center"/>
          </w:tcPr>
          <w:p w14:paraId="5AC921B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205DD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45 </w:t>
            </w:r>
          </w:p>
        </w:tc>
        <w:tc>
          <w:tcPr>
            <w:tcW w:w="390" w:type="pct"/>
            <w:tcBorders>
              <w:top w:val="nil"/>
              <w:left w:val="nil"/>
              <w:bottom w:val="single" w:sz="4" w:space="0" w:color="auto"/>
              <w:right w:val="single" w:sz="4" w:space="0" w:color="auto"/>
            </w:tcBorders>
            <w:shd w:val="clear" w:color="auto" w:fill="auto"/>
            <w:noWrap/>
            <w:vAlign w:val="center"/>
          </w:tcPr>
          <w:p w14:paraId="01BE2AC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7BC40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46 </w:t>
            </w:r>
          </w:p>
        </w:tc>
      </w:tr>
      <w:tr w:rsidR="00756823" w:rsidRPr="00756823" w14:paraId="020A9682"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BB401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196B87B"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E2FFF6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65FF8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42 </w:t>
            </w:r>
          </w:p>
        </w:tc>
        <w:tc>
          <w:tcPr>
            <w:tcW w:w="390" w:type="pct"/>
            <w:tcBorders>
              <w:top w:val="nil"/>
              <w:left w:val="nil"/>
              <w:bottom w:val="single" w:sz="4" w:space="0" w:color="auto"/>
              <w:right w:val="single" w:sz="4" w:space="0" w:color="auto"/>
            </w:tcBorders>
            <w:shd w:val="clear" w:color="auto" w:fill="auto"/>
            <w:noWrap/>
            <w:vAlign w:val="center"/>
          </w:tcPr>
          <w:p w14:paraId="1E08306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36149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43 </w:t>
            </w:r>
          </w:p>
        </w:tc>
        <w:tc>
          <w:tcPr>
            <w:tcW w:w="390" w:type="pct"/>
            <w:tcBorders>
              <w:top w:val="nil"/>
              <w:left w:val="nil"/>
              <w:bottom w:val="single" w:sz="4" w:space="0" w:color="auto"/>
              <w:right w:val="single" w:sz="4" w:space="0" w:color="auto"/>
            </w:tcBorders>
            <w:shd w:val="clear" w:color="auto" w:fill="auto"/>
            <w:noWrap/>
            <w:vAlign w:val="center"/>
          </w:tcPr>
          <w:p w14:paraId="24C1040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C36CB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44 </w:t>
            </w:r>
          </w:p>
        </w:tc>
        <w:tc>
          <w:tcPr>
            <w:tcW w:w="389" w:type="pct"/>
            <w:tcBorders>
              <w:top w:val="nil"/>
              <w:left w:val="nil"/>
              <w:bottom w:val="single" w:sz="4" w:space="0" w:color="auto"/>
              <w:right w:val="single" w:sz="4" w:space="0" w:color="auto"/>
            </w:tcBorders>
            <w:shd w:val="clear" w:color="auto" w:fill="auto"/>
            <w:noWrap/>
            <w:vAlign w:val="center"/>
          </w:tcPr>
          <w:p w14:paraId="332E4D7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5FD0A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45 </w:t>
            </w:r>
          </w:p>
        </w:tc>
        <w:tc>
          <w:tcPr>
            <w:tcW w:w="390" w:type="pct"/>
            <w:tcBorders>
              <w:top w:val="nil"/>
              <w:left w:val="nil"/>
              <w:bottom w:val="single" w:sz="4" w:space="0" w:color="auto"/>
              <w:right w:val="single" w:sz="4" w:space="0" w:color="auto"/>
            </w:tcBorders>
            <w:shd w:val="clear" w:color="auto" w:fill="auto"/>
            <w:noWrap/>
            <w:vAlign w:val="center"/>
          </w:tcPr>
          <w:p w14:paraId="00D3CC5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52F84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46 </w:t>
            </w:r>
          </w:p>
        </w:tc>
      </w:tr>
      <w:tr w:rsidR="00756823" w:rsidRPr="00756823" w14:paraId="780B22C5"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3C9D57"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lastRenderedPageBreak/>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0F6D019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3E2559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FB79D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7E3F7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54A22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DD6C4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91111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49FCC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72E1B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4AF72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F7E4A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32E7B9BA"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41CC7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D4CBBAF"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3C8D7A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5180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77848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24340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ED4D4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BAA15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CC6CC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7711C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F0B05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A9DF4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73ED5E71"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CCF60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80836A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E24732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62E05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45011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4670A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5D304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11092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99DBD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938E8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CF156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374D3C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5C06950D"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44D1D7E"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D71622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1CE99D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F02DF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1F147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60457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5596D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894B5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1C252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C9BC6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4EA67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543F2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76D46C79"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90F92E"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BB40AF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5147FF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7EEED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9D978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CB05A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A5FD2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ED1D9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9485E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E14E7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8C5F3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2D59A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2883F08D"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5248E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5C2C15F"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5B8126F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C18AB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F3109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CFDAE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0DA14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F177E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92124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4894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A283C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A6BBE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380CE163"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B0245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86E2220"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41FF24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9E60A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F2F8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000D3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08AEE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2ADAA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128FA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1EF8B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37F0D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1F9E6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3D7F8BBB"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2F522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F6E9A8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12BCF8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C5C38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EA656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40626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0C5DB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74894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C2CC0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19BF4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CAAF3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B107A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02C4E1CC"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204B4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EF5453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126D98C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8A50C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489C6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A526A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C8016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EB84A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4C83E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6C5C0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144E9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17D7F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74A784A8"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616F206"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94FC2BF"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3EEFFD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2D8B40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86</w:t>
            </w:r>
          </w:p>
        </w:tc>
        <w:tc>
          <w:tcPr>
            <w:tcW w:w="390" w:type="pct"/>
            <w:tcBorders>
              <w:top w:val="nil"/>
              <w:left w:val="nil"/>
              <w:bottom w:val="single" w:sz="4" w:space="0" w:color="auto"/>
              <w:right w:val="single" w:sz="4" w:space="0" w:color="auto"/>
            </w:tcBorders>
            <w:shd w:val="clear" w:color="auto" w:fill="auto"/>
            <w:noWrap/>
            <w:vAlign w:val="center"/>
          </w:tcPr>
          <w:p w14:paraId="5E7ED50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2BFEDC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88</w:t>
            </w:r>
          </w:p>
        </w:tc>
        <w:tc>
          <w:tcPr>
            <w:tcW w:w="390" w:type="pct"/>
            <w:tcBorders>
              <w:top w:val="nil"/>
              <w:left w:val="nil"/>
              <w:bottom w:val="single" w:sz="4" w:space="0" w:color="auto"/>
              <w:right w:val="single" w:sz="4" w:space="0" w:color="auto"/>
            </w:tcBorders>
            <w:shd w:val="clear" w:color="auto" w:fill="auto"/>
            <w:noWrap/>
            <w:vAlign w:val="center"/>
          </w:tcPr>
          <w:p w14:paraId="58128D0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AB9A1F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90</w:t>
            </w:r>
          </w:p>
        </w:tc>
        <w:tc>
          <w:tcPr>
            <w:tcW w:w="389" w:type="pct"/>
            <w:tcBorders>
              <w:top w:val="nil"/>
              <w:left w:val="nil"/>
              <w:bottom w:val="single" w:sz="4" w:space="0" w:color="auto"/>
              <w:right w:val="single" w:sz="4" w:space="0" w:color="auto"/>
            </w:tcBorders>
            <w:shd w:val="clear" w:color="auto" w:fill="auto"/>
            <w:noWrap/>
            <w:vAlign w:val="center"/>
          </w:tcPr>
          <w:p w14:paraId="1E8802D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2E2823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92</w:t>
            </w:r>
          </w:p>
        </w:tc>
        <w:tc>
          <w:tcPr>
            <w:tcW w:w="390" w:type="pct"/>
            <w:tcBorders>
              <w:top w:val="nil"/>
              <w:left w:val="nil"/>
              <w:bottom w:val="single" w:sz="4" w:space="0" w:color="auto"/>
              <w:right w:val="single" w:sz="4" w:space="0" w:color="auto"/>
            </w:tcBorders>
            <w:shd w:val="clear" w:color="auto" w:fill="auto"/>
            <w:noWrap/>
            <w:vAlign w:val="center"/>
          </w:tcPr>
          <w:p w14:paraId="26AB79F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B71B7D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94</w:t>
            </w:r>
          </w:p>
        </w:tc>
      </w:tr>
      <w:tr w:rsidR="00756823" w:rsidRPr="00756823" w14:paraId="71F69218"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99060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E895B6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684CAA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F60082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86</w:t>
            </w:r>
          </w:p>
        </w:tc>
        <w:tc>
          <w:tcPr>
            <w:tcW w:w="390" w:type="pct"/>
            <w:tcBorders>
              <w:top w:val="nil"/>
              <w:left w:val="nil"/>
              <w:bottom w:val="single" w:sz="4" w:space="0" w:color="auto"/>
              <w:right w:val="single" w:sz="4" w:space="0" w:color="auto"/>
            </w:tcBorders>
            <w:shd w:val="clear" w:color="auto" w:fill="auto"/>
            <w:noWrap/>
            <w:vAlign w:val="center"/>
          </w:tcPr>
          <w:p w14:paraId="622631B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E4EEA8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88</w:t>
            </w:r>
          </w:p>
        </w:tc>
        <w:tc>
          <w:tcPr>
            <w:tcW w:w="390" w:type="pct"/>
            <w:tcBorders>
              <w:top w:val="nil"/>
              <w:left w:val="nil"/>
              <w:bottom w:val="single" w:sz="4" w:space="0" w:color="auto"/>
              <w:right w:val="single" w:sz="4" w:space="0" w:color="auto"/>
            </w:tcBorders>
            <w:shd w:val="clear" w:color="auto" w:fill="auto"/>
            <w:noWrap/>
            <w:vAlign w:val="center"/>
          </w:tcPr>
          <w:p w14:paraId="64878F0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F87386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90</w:t>
            </w:r>
          </w:p>
        </w:tc>
        <w:tc>
          <w:tcPr>
            <w:tcW w:w="389" w:type="pct"/>
            <w:tcBorders>
              <w:top w:val="nil"/>
              <w:left w:val="nil"/>
              <w:bottom w:val="single" w:sz="4" w:space="0" w:color="auto"/>
              <w:right w:val="single" w:sz="4" w:space="0" w:color="auto"/>
            </w:tcBorders>
            <w:shd w:val="clear" w:color="auto" w:fill="auto"/>
            <w:noWrap/>
            <w:vAlign w:val="center"/>
          </w:tcPr>
          <w:p w14:paraId="418B324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415122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92</w:t>
            </w:r>
          </w:p>
        </w:tc>
        <w:tc>
          <w:tcPr>
            <w:tcW w:w="390" w:type="pct"/>
            <w:tcBorders>
              <w:top w:val="nil"/>
              <w:left w:val="nil"/>
              <w:bottom w:val="single" w:sz="4" w:space="0" w:color="auto"/>
              <w:right w:val="single" w:sz="4" w:space="0" w:color="auto"/>
            </w:tcBorders>
            <w:shd w:val="clear" w:color="auto" w:fill="auto"/>
            <w:noWrap/>
            <w:vAlign w:val="center"/>
          </w:tcPr>
          <w:p w14:paraId="07674BA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0CCF59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94</w:t>
            </w:r>
          </w:p>
        </w:tc>
      </w:tr>
      <w:tr w:rsidR="00756823" w:rsidRPr="00756823" w14:paraId="22E1D74B"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B4FA6A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9B9C303"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67B429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B5DE3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1BA60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BD022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0992E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565D7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4BC5F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F66F9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24E6E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BAF1F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1788CDFF"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0D190F"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0A8732DD"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FB6F6A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21C24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80F9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E9F05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B6EC9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9F174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4DB28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C6987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D3181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51146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48C8F633"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537EE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C38913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1283D2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BEEE5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CA4C0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D3B33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FE70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9ED66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9405C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ADC33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27B3E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C2CABD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169D7EB5"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99EAF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0BD85A9B"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618A15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F310F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DF166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6AF6F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900B5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10AEC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0DC06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9B7E3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4610C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FE520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06940882"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12A70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6D9E264F"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730871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BAF72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A7D0A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FBA54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015BA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25157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B5583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06E61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B6CB2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9CE1E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07D9A2A7"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8171ABF"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96A0215"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2DE9A4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D2381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BDB19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52469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6B082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25100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E464B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F86C3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5D3CF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7F9DE8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4F950D52"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41A57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875233D"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50D5BBA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8D672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BB7A2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449A6A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8AF39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B0A88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3EECE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1274C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1654F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C5CEA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2B491F55"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2CDA6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67C2A20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0CF3B9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2CECA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7FF81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5C9AD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ADDF5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5DB1E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7F6FB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EEB11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0D0D8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CDFBF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7CAE68E8"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43D47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83B029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ADE61F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624DF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57323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2F18B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D3F40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46932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891A3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C0576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E6AC1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64D0E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0D269CC9"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9FB8165"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509FD5EF"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EDF0E4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33E5E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64</w:t>
            </w:r>
          </w:p>
        </w:tc>
        <w:tc>
          <w:tcPr>
            <w:tcW w:w="390" w:type="pct"/>
            <w:tcBorders>
              <w:top w:val="nil"/>
              <w:left w:val="nil"/>
              <w:bottom w:val="single" w:sz="4" w:space="0" w:color="auto"/>
              <w:right w:val="single" w:sz="4" w:space="0" w:color="auto"/>
            </w:tcBorders>
            <w:shd w:val="clear" w:color="auto" w:fill="auto"/>
            <w:noWrap/>
            <w:vAlign w:val="center"/>
          </w:tcPr>
          <w:p w14:paraId="5807B18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323D0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65</w:t>
            </w:r>
          </w:p>
        </w:tc>
        <w:tc>
          <w:tcPr>
            <w:tcW w:w="390" w:type="pct"/>
            <w:tcBorders>
              <w:top w:val="nil"/>
              <w:left w:val="nil"/>
              <w:bottom w:val="single" w:sz="4" w:space="0" w:color="auto"/>
              <w:right w:val="single" w:sz="4" w:space="0" w:color="auto"/>
            </w:tcBorders>
            <w:shd w:val="clear" w:color="auto" w:fill="auto"/>
            <w:noWrap/>
            <w:vAlign w:val="center"/>
          </w:tcPr>
          <w:p w14:paraId="345BAC6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F1BF1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66</w:t>
            </w:r>
          </w:p>
        </w:tc>
        <w:tc>
          <w:tcPr>
            <w:tcW w:w="389" w:type="pct"/>
            <w:tcBorders>
              <w:top w:val="nil"/>
              <w:left w:val="nil"/>
              <w:bottom w:val="single" w:sz="4" w:space="0" w:color="auto"/>
              <w:right w:val="single" w:sz="4" w:space="0" w:color="auto"/>
            </w:tcBorders>
            <w:shd w:val="clear" w:color="auto" w:fill="auto"/>
            <w:noWrap/>
            <w:vAlign w:val="center"/>
          </w:tcPr>
          <w:p w14:paraId="443D914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FA3CA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67</w:t>
            </w:r>
          </w:p>
        </w:tc>
        <w:tc>
          <w:tcPr>
            <w:tcW w:w="390" w:type="pct"/>
            <w:tcBorders>
              <w:top w:val="nil"/>
              <w:left w:val="nil"/>
              <w:bottom w:val="single" w:sz="4" w:space="0" w:color="auto"/>
              <w:right w:val="single" w:sz="4" w:space="0" w:color="auto"/>
            </w:tcBorders>
            <w:shd w:val="clear" w:color="auto" w:fill="auto"/>
            <w:noWrap/>
            <w:vAlign w:val="center"/>
          </w:tcPr>
          <w:p w14:paraId="02F5F54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CEEB5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68</w:t>
            </w:r>
          </w:p>
        </w:tc>
      </w:tr>
      <w:tr w:rsidR="00756823" w:rsidRPr="00756823" w14:paraId="299F5346"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D59760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C11CE6D"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228E3F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BD852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64</w:t>
            </w:r>
          </w:p>
        </w:tc>
        <w:tc>
          <w:tcPr>
            <w:tcW w:w="390" w:type="pct"/>
            <w:tcBorders>
              <w:top w:val="nil"/>
              <w:left w:val="nil"/>
              <w:bottom w:val="single" w:sz="4" w:space="0" w:color="auto"/>
              <w:right w:val="single" w:sz="4" w:space="0" w:color="auto"/>
            </w:tcBorders>
            <w:shd w:val="clear" w:color="auto" w:fill="auto"/>
            <w:noWrap/>
            <w:vAlign w:val="center"/>
          </w:tcPr>
          <w:p w14:paraId="22AA9CB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49CC2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65</w:t>
            </w:r>
          </w:p>
        </w:tc>
        <w:tc>
          <w:tcPr>
            <w:tcW w:w="390" w:type="pct"/>
            <w:tcBorders>
              <w:top w:val="nil"/>
              <w:left w:val="nil"/>
              <w:bottom w:val="single" w:sz="4" w:space="0" w:color="auto"/>
              <w:right w:val="single" w:sz="4" w:space="0" w:color="auto"/>
            </w:tcBorders>
            <w:shd w:val="clear" w:color="auto" w:fill="auto"/>
            <w:noWrap/>
            <w:vAlign w:val="center"/>
          </w:tcPr>
          <w:p w14:paraId="5829C13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E56A8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66</w:t>
            </w:r>
          </w:p>
        </w:tc>
        <w:tc>
          <w:tcPr>
            <w:tcW w:w="389" w:type="pct"/>
            <w:tcBorders>
              <w:top w:val="nil"/>
              <w:left w:val="nil"/>
              <w:bottom w:val="single" w:sz="4" w:space="0" w:color="auto"/>
              <w:right w:val="single" w:sz="4" w:space="0" w:color="auto"/>
            </w:tcBorders>
            <w:shd w:val="clear" w:color="auto" w:fill="auto"/>
            <w:noWrap/>
            <w:vAlign w:val="center"/>
          </w:tcPr>
          <w:p w14:paraId="00340B2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9C3EF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67</w:t>
            </w:r>
          </w:p>
        </w:tc>
        <w:tc>
          <w:tcPr>
            <w:tcW w:w="390" w:type="pct"/>
            <w:tcBorders>
              <w:top w:val="nil"/>
              <w:left w:val="nil"/>
              <w:bottom w:val="single" w:sz="4" w:space="0" w:color="auto"/>
              <w:right w:val="single" w:sz="4" w:space="0" w:color="auto"/>
            </w:tcBorders>
            <w:shd w:val="clear" w:color="auto" w:fill="auto"/>
            <w:noWrap/>
            <w:vAlign w:val="center"/>
          </w:tcPr>
          <w:p w14:paraId="7028703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66823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68</w:t>
            </w:r>
          </w:p>
        </w:tc>
      </w:tr>
      <w:tr w:rsidR="00756823" w:rsidRPr="00756823" w14:paraId="423C4173"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4A7A98"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44E151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28B5D6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8B410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9EEF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60B87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91A56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83BAD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A369B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1BD11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308AE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4DF1A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03A5827A"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CA7B1F2"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8624A3B"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DC6B7E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8A56D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33215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93FF4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B4D80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D055D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79F60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DFDA4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C5EC6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0AE2A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215C3C74"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8B2E26"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97671F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FFF353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8B3E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0A7EC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ADAA2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654D3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4F456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25D91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05C6A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A3E90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430DB5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79512FA5"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87F46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CB8BB9B"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6022A7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24B69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7D3C5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7F75C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6D77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13FD1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E0480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38CA2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B0132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DDCC3D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3DEC6966"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9DBD6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50783159"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E09F2C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B2C4A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2E519F"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FE014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83C35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E952B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182C2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62819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11C11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295D4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2BEF27F8"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1944A84"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0FB8957"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CD08AD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6B822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6D95A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12B59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CDCCE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3AB2B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E675B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3F9F0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C5122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55717A"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70A1A5B5"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DD15F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CA12391"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CDE1BF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E28AC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F1A2F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04E46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BBDA2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ACE41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B6D24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AD7655"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A18FD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D1819C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16A99BE3"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5EF65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4A1DE696"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823E70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63C068"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D911CC"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8CABE9"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ABB33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07B102"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1E53A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7BCA7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12214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944F0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7538C1B8" w14:textId="77777777" w:rsidTr="00756823">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3CE181A"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47F5F9C" w14:textId="77777777" w:rsidR="00756823" w:rsidRPr="00756823" w:rsidRDefault="00756823" w:rsidP="00756823">
            <w:pPr>
              <w:ind w:left="0"/>
              <w:rPr>
                <w:rFonts w:ascii="Bookman Old Style" w:hAnsi="Bookman Old Style" w:cs="Arial"/>
                <w:color w:val="000000"/>
                <w:sz w:val="12"/>
                <w:szCs w:val="12"/>
                <w:lang w:val="es-CO" w:eastAsia="es-CO"/>
              </w:rPr>
            </w:pPr>
            <w:r w:rsidRPr="00756823">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583A60E"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8664B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D39806"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7C1790"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A0D30B"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CD1DC4"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FBE111"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F5FC33"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D9251D"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71BBA7" w14:textId="77777777" w:rsidR="00756823" w:rsidRPr="00756823" w:rsidRDefault="00756823" w:rsidP="00756823">
            <w:pPr>
              <w:ind w:left="0" w:hanging="14"/>
              <w:jc w:val="right"/>
              <w:rPr>
                <w:rFonts w:ascii="Bookman Old Style" w:hAnsi="Bookman Old Style" w:cs="Arial"/>
                <w:color w:val="000000"/>
                <w:sz w:val="12"/>
                <w:szCs w:val="12"/>
                <w:lang w:val="es-CO"/>
              </w:rPr>
            </w:pPr>
            <w:r w:rsidRPr="00756823">
              <w:rPr>
                <w:rFonts w:ascii="Bookman Old Style" w:hAnsi="Bookman Old Style" w:cs="Arial"/>
                <w:color w:val="000000"/>
                <w:sz w:val="12"/>
                <w:szCs w:val="12"/>
                <w:lang w:val="es-CO"/>
              </w:rPr>
              <w:t xml:space="preserve">- </w:t>
            </w:r>
          </w:p>
        </w:tc>
      </w:tr>
      <w:tr w:rsidR="00756823" w:rsidRPr="00756823" w14:paraId="1FB87EDC" w14:textId="77777777" w:rsidTr="00756823">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6C97B2" w14:textId="77777777" w:rsidR="00756823" w:rsidRPr="00756823" w:rsidRDefault="00756823" w:rsidP="00756823">
            <w:pPr>
              <w:ind w:left="0"/>
              <w:rPr>
                <w:rFonts w:ascii="Bookman Old Style" w:hAnsi="Bookman Old Style" w:cs="Arial"/>
                <w:b/>
                <w:color w:val="000000"/>
                <w:sz w:val="12"/>
                <w:szCs w:val="12"/>
                <w:lang w:val="es-CO" w:eastAsia="es-CO"/>
              </w:rPr>
            </w:pPr>
            <w:r w:rsidRPr="00756823">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045836" w14:textId="77777777" w:rsidR="00756823" w:rsidRPr="00756823" w:rsidRDefault="00756823" w:rsidP="00756823">
            <w:pPr>
              <w:ind w:left="0"/>
              <w:jc w:val="right"/>
              <w:rPr>
                <w:rFonts w:ascii="Bookman Old Style" w:hAnsi="Bookman Old Style" w:cs="Arial"/>
                <w:b/>
                <w:bCs/>
                <w:color w:val="000000"/>
                <w:sz w:val="12"/>
                <w:szCs w:val="12"/>
                <w:lang w:val="es-CO" w:eastAsia="es-CO"/>
              </w:rPr>
            </w:pPr>
            <w:r w:rsidRPr="0075682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B8F392"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378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9650DB8"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CC11FB"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385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DA7E42"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2A8D08"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392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714AB0"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4B3985"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399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EA9FA0"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FA7DCA" w14:textId="77777777" w:rsidR="00756823" w:rsidRPr="00756823" w:rsidRDefault="00756823" w:rsidP="00756823">
            <w:pPr>
              <w:ind w:left="0"/>
              <w:jc w:val="right"/>
              <w:rPr>
                <w:rFonts w:ascii="Bookman Old Style" w:hAnsi="Bookman Old Style" w:cs="Arial"/>
                <w:b/>
                <w:bCs/>
                <w:color w:val="000000"/>
                <w:sz w:val="12"/>
                <w:szCs w:val="12"/>
                <w:lang w:val="es-CO"/>
              </w:rPr>
            </w:pPr>
            <w:r w:rsidRPr="00756823">
              <w:rPr>
                <w:rFonts w:ascii="Bookman Old Style" w:hAnsi="Bookman Old Style" w:cs="Arial"/>
                <w:b/>
                <w:bCs/>
                <w:color w:val="000000"/>
                <w:sz w:val="12"/>
                <w:szCs w:val="12"/>
                <w:lang w:val="es-CO"/>
              </w:rPr>
              <w:t xml:space="preserve">406 </w:t>
            </w:r>
          </w:p>
        </w:tc>
      </w:tr>
    </w:tbl>
    <w:p w14:paraId="18A3E78C" w14:textId="77777777" w:rsidR="008A39CF" w:rsidRDefault="008A39CF" w:rsidP="006B3017">
      <w:pPr>
        <w:widowControl w:val="0"/>
        <w:adjustRightInd w:val="0"/>
        <w:ind w:left="0"/>
        <w:jc w:val="center"/>
        <w:rPr>
          <w:rFonts w:ascii="Bookman Old Style" w:hAnsi="Bookman Old Style" w:cs="Arial"/>
          <w:b/>
          <w:sz w:val="20"/>
        </w:rPr>
      </w:pPr>
    </w:p>
    <w:p w14:paraId="2A60FC08" w14:textId="3D11198D" w:rsidR="009F3F46"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1F3D38" w:rsidRPr="001F3D38" w14:paraId="6A4B06C4" w14:textId="77777777" w:rsidTr="001F3D38">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421D83" w14:textId="77777777" w:rsidR="001F3D38" w:rsidRPr="001F3D38" w:rsidRDefault="001F3D38" w:rsidP="001F3D38">
            <w:pPr>
              <w:ind w:left="0"/>
              <w:jc w:val="center"/>
              <w:rPr>
                <w:rFonts w:ascii="Bookman Old Style" w:hAnsi="Bookman Old Style" w:cs="Arial"/>
                <w:b/>
                <w:color w:val="000000"/>
                <w:sz w:val="12"/>
                <w:szCs w:val="12"/>
                <w:lang w:val="es-CO" w:eastAsia="es-CO"/>
              </w:rPr>
            </w:pPr>
            <w:r w:rsidRPr="001F3D38">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72FC90" w14:textId="77777777" w:rsidR="001F3D38" w:rsidRPr="001F3D38" w:rsidRDefault="001F3D38" w:rsidP="001F3D38">
            <w:pPr>
              <w:ind w:left="0"/>
              <w:jc w:val="center"/>
              <w:rPr>
                <w:rFonts w:ascii="Bookman Old Style" w:hAnsi="Bookman Old Style" w:cs="Arial"/>
                <w:b/>
                <w:color w:val="000000"/>
                <w:sz w:val="12"/>
                <w:szCs w:val="12"/>
                <w:lang w:val="es-CO" w:eastAsia="es-CO"/>
              </w:rPr>
            </w:pPr>
            <w:r w:rsidRPr="001F3D38">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44FEF36" w14:textId="77777777" w:rsidR="001F3D38" w:rsidRPr="001F3D38" w:rsidRDefault="001F3D38" w:rsidP="001F3D38">
            <w:pPr>
              <w:ind w:left="0"/>
              <w:jc w:val="center"/>
              <w:rPr>
                <w:rFonts w:ascii="Bookman Old Style" w:hAnsi="Bookman Old Style" w:cs="Arial"/>
                <w:b/>
                <w:color w:val="000000"/>
                <w:sz w:val="12"/>
                <w:szCs w:val="12"/>
                <w:lang w:val="es-CO" w:eastAsia="es-CO"/>
              </w:rPr>
            </w:pPr>
            <w:r w:rsidRPr="001F3D38">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998CEB9" w14:textId="77777777" w:rsidR="001F3D38" w:rsidRPr="001F3D38" w:rsidRDefault="001F3D38" w:rsidP="001F3D38">
            <w:pPr>
              <w:ind w:left="0"/>
              <w:jc w:val="center"/>
              <w:rPr>
                <w:rFonts w:ascii="Bookman Old Style" w:hAnsi="Bookman Old Style" w:cs="Arial"/>
                <w:b/>
                <w:color w:val="000000"/>
                <w:sz w:val="12"/>
                <w:szCs w:val="12"/>
                <w:lang w:val="es-CO" w:eastAsia="es-CO"/>
              </w:rPr>
            </w:pPr>
            <w:r w:rsidRPr="001F3D38">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63F5C76" w14:textId="77777777" w:rsidR="001F3D38" w:rsidRPr="001F3D38" w:rsidRDefault="001F3D38" w:rsidP="001F3D38">
            <w:pPr>
              <w:ind w:left="0"/>
              <w:jc w:val="center"/>
              <w:rPr>
                <w:rFonts w:ascii="Bookman Old Style" w:hAnsi="Bookman Old Style" w:cs="Arial"/>
                <w:b/>
                <w:color w:val="000000"/>
                <w:sz w:val="12"/>
                <w:szCs w:val="12"/>
                <w:lang w:val="es-CO" w:eastAsia="es-CO"/>
              </w:rPr>
            </w:pPr>
            <w:r w:rsidRPr="001F3D38">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37CAD8C2" w14:textId="77777777" w:rsidR="001F3D38" w:rsidRPr="001F3D38" w:rsidRDefault="001F3D38" w:rsidP="001F3D38">
            <w:pPr>
              <w:ind w:left="0"/>
              <w:jc w:val="center"/>
              <w:rPr>
                <w:rFonts w:ascii="Bookman Old Style" w:hAnsi="Bookman Old Style" w:cs="Arial"/>
                <w:b/>
                <w:color w:val="000000"/>
                <w:sz w:val="12"/>
                <w:szCs w:val="12"/>
                <w:lang w:val="es-CO" w:eastAsia="es-CO"/>
              </w:rPr>
            </w:pPr>
            <w:r w:rsidRPr="001F3D38">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BEA65A9" w14:textId="77777777" w:rsidR="001F3D38" w:rsidRPr="001F3D38" w:rsidRDefault="001F3D38" w:rsidP="001F3D38">
            <w:pPr>
              <w:ind w:left="0"/>
              <w:jc w:val="center"/>
              <w:rPr>
                <w:rFonts w:ascii="Bookman Old Style" w:hAnsi="Bookman Old Style" w:cs="Arial"/>
                <w:b/>
                <w:color w:val="000000"/>
                <w:sz w:val="12"/>
                <w:szCs w:val="12"/>
                <w:lang w:val="es-CO" w:eastAsia="es-CO"/>
              </w:rPr>
            </w:pPr>
            <w:r w:rsidRPr="001F3D38">
              <w:rPr>
                <w:rFonts w:ascii="Bookman Old Style" w:hAnsi="Bookman Old Style" w:cs="Arial"/>
                <w:b/>
                <w:color w:val="000000"/>
                <w:sz w:val="12"/>
                <w:szCs w:val="12"/>
                <w:lang w:val="es-CO" w:eastAsia="es-CO"/>
              </w:rPr>
              <w:t>Año 5</w:t>
            </w:r>
          </w:p>
        </w:tc>
      </w:tr>
      <w:tr w:rsidR="001F3D38" w:rsidRPr="001F3D38" w14:paraId="107C3906" w14:textId="77777777" w:rsidTr="001F3D38">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F8F81" w14:textId="77777777" w:rsidR="001F3D38" w:rsidRPr="001F3D38" w:rsidRDefault="001F3D38" w:rsidP="001F3D38">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11CD6" w14:textId="77777777" w:rsidR="001F3D38" w:rsidRPr="001F3D38" w:rsidRDefault="001F3D38" w:rsidP="001F3D38">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5AFBF078"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E450450"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8C326F1"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41B98FAB"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6C95BBB"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5D0C8C8"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5B3952B"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56E7DD8"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ADE9E88"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7974CA27" w14:textId="77777777" w:rsidR="001F3D38" w:rsidRPr="001F3D38" w:rsidRDefault="001F3D38" w:rsidP="001F3D38">
            <w:pPr>
              <w:ind w:left="0"/>
              <w:jc w:val="center"/>
              <w:rPr>
                <w:rFonts w:ascii="Bookman Old Style" w:hAnsi="Bookman Old Style" w:cs="Arial"/>
                <w:b/>
                <w:color w:val="000000"/>
                <w:sz w:val="10"/>
                <w:szCs w:val="10"/>
                <w:lang w:val="es-CO" w:eastAsia="es-CO"/>
              </w:rPr>
            </w:pPr>
            <w:r w:rsidRPr="001F3D38">
              <w:rPr>
                <w:rFonts w:ascii="Bookman Old Style" w:hAnsi="Bookman Old Style" w:cs="Arial"/>
                <w:b/>
                <w:color w:val="000000"/>
                <w:sz w:val="10"/>
                <w:szCs w:val="10"/>
                <w:lang w:val="es-CO" w:eastAsia="es-CO"/>
              </w:rPr>
              <w:t>Secundaria</w:t>
            </w:r>
          </w:p>
        </w:tc>
      </w:tr>
      <w:tr w:rsidR="001F3D38" w:rsidRPr="001F3D38" w14:paraId="4A5DA8F8"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8A46297"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566F24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96A5DB1" w14:textId="77777777" w:rsidR="001F3D38" w:rsidRPr="001F3D38" w:rsidRDefault="001F3D38" w:rsidP="001F3D38">
            <w:pPr>
              <w:ind w:left="0" w:hanging="14"/>
              <w:jc w:val="right"/>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995AD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2,903 </w:t>
            </w:r>
          </w:p>
        </w:tc>
        <w:tc>
          <w:tcPr>
            <w:tcW w:w="390" w:type="pct"/>
            <w:tcBorders>
              <w:top w:val="nil"/>
              <w:left w:val="nil"/>
              <w:bottom w:val="single" w:sz="4" w:space="0" w:color="auto"/>
              <w:right w:val="single" w:sz="4" w:space="0" w:color="auto"/>
            </w:tcBorders>
            <w:shd w:val="clear" w:color="auto" w:fill="auto"/>
            <w:noWrap/>
            <w:vAlign w:val="center"/>
          </w:tcPr>
          <w:p w14:paraId="163DE62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B36B6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2,974 </w:t>
            </w:r>
          </w:p>
        </w:tc>
        <w:tc>
          <w:tcPr>
            <w:tcW w:w="390" w:type="pct"/>
            <w:tcBorders>
              <w:top w:val="nil"/>
              <w:left w:val="nil"/>
              <w:bottom w:val="single" w:sz="4" w:space="0" w:color="auto"/>
              <w:right w:val="single" w:sz="4" w:space="0" w:color="auto"/>
            </w:tcBorders>
            <w:shd w:val="clear" w:color="auto" w:fill="auto"/>
            <w:noWrap/>
            <w:vAlign w:val="center"/>
          </w:tcPr>
          <w:p w14:paraId="012BBF0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C035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3,044 </w:t>
            </w:r>
          </w:p>
        </w:tc>
        <w:tc>
          <w:tcPr>
            <w:tcW w:w="389" w:type="pct"/>
            <w:tcBorders>
              <w:top w:val="nil"/>
              <w:left w:val="nil"/>
              <w:bottom w:val="single" w:sz="4" w:space="0" w:color="auto"/>
              <w:right w:val="single" w:sz="4" w:space="0" w:color="auto"/>
            </w:tcBorders>
            <w:shd w:val="clear" w:color="auto" w:fill="auto"/>
            <w:noWrap/>
            <w:vAlign w:val="center"/>
          </w:tcPr>
          <w:p w14:paraId="2D285F3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D8D08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3,115 </w:t>
            </w:r>
          </w:p>
        </w:tc>
        <w:tc>
          <w:tcPr>
            <w:tcW w:w="390" w:type="pct"/>
            <w:tcBorders>
              <w:top w:val="nil"/>
              <w:left w:val="nil"/>
              <w:bottom w:val="single" w:sz="4" w:space="0" w:color="auto"/>
              <w:right w:val="single" w:sz="4" w:space="0" w:color="auto"/>
            </w:tcBorders>
            <w:shd w:val="clear" w:color="auto" w:fill="auto"/>
            <w:noWrap/>
            <w:vAlign w:val="center"/>
          </w:tcPr>
          <w:p w14:paraId="18C55B1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43995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3,186 </w:t>
            </w:r>
          </w:p>
        </w:tc>
      </w:tr>
      <w:tr w:rsidR="001F3D38" w:rsidRPr="001F3D38" w14:paraId="1A713700"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6280531"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85BED23"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9A5245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70FD0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2,903 </w:t>
            </w:r>
          </w:p>
        </w:tc>
        <w:tc>
          <w:tcPr>
            <w:tcW w:w="390" w:type="pct"/>
            <w:tcBorders>
              <w:top w:val="nil"/>
              <w:left w:val="nil"/>
              <w:bottom w:val="single" w:sz="4" w:space="0" w:color="auto"/>
              <w:right w:val="single" w:sz="4" w:space="0" w:color="auto"/>
            </w:tcBorders>
            <w:shd w:val="clear" w:color="auto" w:fill="auto"/>
            <w:noWrap/>
            <w:vAlign w:val="center"/>
          </w:tcPr>
          <w:p w14:paraId="4CA77E9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B0FFB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2,974 </w:t>
            </w:r>
          </w:p>
        </w:tc>
        <w:tc>
          <w:tcPr>
            <w:tcW w:w="390" w:type="pct"/>
            <w:tcBorders>
              <w:top w:val="nil"/>
              <w:left w:val="nil"/>
              <w:bottom w:val="single" w:sz="4" w:space="0" w:color="auto"/>
              <w:right w:val="single" w:sz="4" w:space="0" w:color="auto"/>
            </w:tcBorders>
            <w:shd w:val="clear" w:color="auto" w:fill="auto"/>
            <w:noWrap/>
            <w:vAlign w:val="center"/>
          </w:tcPr>
          <w:p w14:paraId="314DD4A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E51DE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3,044 </w:t>
            </w:r>
          </w:p>
        </w:tc>
        <w:tc>
          <w:tcPr>
            <w:tcW w:w="389" w:type="pct"/>
            <w:tcBorders>
              <w:top w:val="nil"/>
              <w:left w:val="nil"/>
              <w:bottom w:val="single" w:sz="4" w:space="0" w:color="auto"/>
              <w:right w:val="single" w:sz="4" w:space="0" w:color="auto"/>
            </w:tcBorders>
            <w:shd w:val="clear" w:color="auto" w:fill="auto"/>
            <w:noWrap/>
            <w:vAlign w:val="center"/>
          </w:tcPr>
          <w:p w14:paraId="1DBA23E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012D9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3,115 </w:t>
            </w:r>
          </w:p>
        </w:tc>
        <w:tc>
          <w:tcPr>
            <w:tcW w:w="390" w:type="pct"/>
            <w:tcBorders>
              <w:top w:val="nil"/>
              <w:left w:val="nil"/>
              <w:bottom w:val="single" w:sz="4" w:space="0" w:color="auto"/>
              <w:right w:val="single" w:sz="4" w:space="0" w:color="auto"/>
            </w:tcBorders>
            <w:shd w:val="clear" w:color="auto" w:fill="auto"/>
            <w:noWrap/>
            <w:vAlign w:val="center"/>
          </w:tcPr>
          <w:p w14:paraId="0D3EC25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B1435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3,186 </w:t>
            </w:r>
          </w:p>
        </w:tc>
      </w:tr>
      <w:tr w:rsidR="001F3D38" w:rsidRPr="001F3D38" w14:paraId="0BAB4180"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57BF0A"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548936A"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C4C068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A230C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36C2D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DDD64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72144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816B6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02D08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075B2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1E91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2993C4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03EF343"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FC71B7"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6A34562"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0A99A8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99929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99A67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94E38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E8C19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570C0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754A6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B40D7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74481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FF9D3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26EDF6AF"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A073898"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212DE3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8E4746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5317C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4A84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797EF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09BB2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5CA73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870A9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AD61F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947B1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427E2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4900859A"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1D559E"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A6A512A"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BB865A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21077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276E5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C0D5D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D8C25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A5768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BFEAF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A6A14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85476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111FD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6E023506"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124BBF"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CF0C052"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B0ECCC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D2B09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CDFAB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17C7C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57D57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A5A31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6F867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85A75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72A6F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7C98E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202697A"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B90AFB"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lastRenderedPageBreak/>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6E73D4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0270E4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5AD3A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8770AE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9EB350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F5F702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B5EF4D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4E4BAE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5E3B42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B82C31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2820B9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r>
      <w:tr w:rsidR="001F3D38" w:rsidRPr="001F3D38" w14:paraId="4A7646B0"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195692D"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BF0C6E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F0C5B4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174D5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FF27E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7AA70D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B8545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88F5E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4DBC3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3B418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DE24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EEE93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01E04208"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82A801"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D73EE9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39470C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B7EB1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C2DF5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FF14D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CEC50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69B0B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ACB95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4F112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52CBA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5AC91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A504CF2"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51F0DF" w14:textId="77777777" w:rsidR="001F3D38" w:rsidRPr="001F3D38" w:rsidRDefault="001F3D38" w:rsidP="001F3D38">
            <w:pPr>
              <w:ind w:left="0"/>
              <w:rPr>
                <w:rFonts w:ascii="Bookman Old Style" w:hAnsi="Bookman Old Style" w:cs="Arial"/>
                <w:sz w:val="12"/>
                <w:szCs w:val="12"/>
                <w:lang w:val="es-CO"/>
              </w:rPr>
            </w:pPr>
            <w:r w:rsidRPr="001F3D38">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99244D3"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B672AC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FE0926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55DFE5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1F2556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8C2FA1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B00AAC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3A57D1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EBC0C7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F36B41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0A7395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r>
      <w:tr w:rsidR="001F3D38" w:rsidRPr="001F3D38" w14:paraId="38208F1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75A4C789"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D87DB1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FEBDE3C"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B99371"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3,682 </w:t>
            </w:r>
          </w:p>
        </w:tc>
        <w:tc>
          <w:tcPr>
            <w:tcW w:w="390" w:type="pct"/>
            <w:tcBorders>
              <w:top w:val="nil"/>
              <w:left w:val="nil"/>
              <w:bottom w:val="single" w:sz="4" w:space="0" w:color="auto"/>
              <w:right w:val="single" w:sz="4" w:space="0" w:color="auto"/>
            </w:tcBorders>
            <w:shd w:val="clear" w:color="auto" w:fill="auto"/>
            <w:noWrap/>
            <w:vAlign w:val="center"/>
          </w:tcPr>
          <w:p w14:paraId="585A2267"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E6A6C8"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3,752 </w:t>
            </w:r>
          </w:p>
        </w:tc>
        <w:tc>
          <w:tcPr>
            <w:tcW w:w="390" w:type="pct"/>
            <w:tcBorders>
              <w:top w:val="nil"/>
              <w:left w:val="nil"/>
              <w:bottom w:val="single" w:sz="4" w:space="0" w:color="auto"/>
              <w:right w:val="single" w:sz="4" w:space="0" w:color="auto"/>
            </w:tcBorders>
            <w:shd w:val="clear" w:color="auto" w:fill="auto"/>
            <w:noWrap/>
            <w:vAlign w:val="center"/>
          </w:tcPr>
          <w:p w14:paraId="6F990691"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9DE68E"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3,823 </w:t>
            </w:r>
          </w:p>
        </w:tc>
        <w:tc>
          <w:tcPr>
            <w:tcW w:w="389" w:type="pct"/>
            <w:tcBorders>
              <w:top w:val="nil"/>
              <w:left w:val="nil"/>
              <w:bottom w:val="single" w:sz="4" w:space="0" w:color="auto"/>
              <w:right w:val="single" w:sz="4" w:space="0" w:color="auto"/>
            </w:tcBorders>
            <w:shd w:val="clear" w:color="auto" w:fill="auto"/>
            <w:noWrap/>
            <w:vAlign w:val="center"/>
          </w:tcPr>
          <w:p w14:paraId="30A2B56C"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16AFEC"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3,894 </w:t>
            </w:r>
          </w:p>
        </w:tc>
        <w:tc>
          <w:tcPr>
            <w:tcW w:w="390" w:type="pct"/>
            <w:tcBorders>
              <w:top w:val="nil"/>
              <w:left w:val="nil"/>
              <w:bottom w:val="single" w:sz="4" w:space="0" w:color="auto"/>
              <w:right w:val="single" w:sz="4" w:space="0" w:color="auto"/>
            </w:tcBorders>
            <w:shd w:val="clear" w:color="auto" w:fill="auto"/>
            <w:noWrap/>
            <w:vAlign w:val="center"/>
          </w:tcPr>
          <w:p w14:paraId="1A67D9B6"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D17E107"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3,965 </w:t>
            </w:r>
          </w:p>
        </w:tc>
      </w:tr>
      <w:tr w:rsidR="001F3D38" w:rsidRPr="001F3D38" w14:paraId="69163AAB"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1DBB52"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3A8167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2721591"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B222B5"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3,682 </w:t>
            </w:r>
          </w:p>
        </w:tc>
        <w:tc>
          <w:tcPr>
            <w:tcW w:w="390" w:type="pct"/>
            <w:tcBorders>
              <w:top w:val="nil"/>
              <w:left w:val="nil"/>
              <w:bottom w:val="single" w:sz="4" w:space="0" w:color="auto"/>
              <w:right w:val="single" w:sz="4" w:space="0" w:color="auto"/>
            </w:tcBorders>
            <w:shd w:val="clear" w:color="auto" w:fill="auto"/>
            <w:noWrap/>
            <w:vAlign w:val="center"/>
          </w:tcPr>
          <w:p w14:paraId="15EA5B17"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B532F5"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3,752 </w:t>
            </w:r>
          </w:p>
        </w:tc>
        <w:tc>
          <w:tcPr>
            <w:tcW w:w="390" w:type="pct"/>
            <w:tcBorders>
              <w:top w:val="nil"/>
              <w:left w:val="nil"/>
              <w:bottom w:val="single" w:sz="4" w:space="0" w:color="auto"/>
              <w:right w:val="single" w:sz="4" w:space="0" w:color="auto"/>
            </w:tcBorders>
            <w:shd w:val="clear" w:color="auto" w:fill="auto"/>
            <w:noWrap/>
            <w:vAlign w:val="center"/>
          </w:tcPr>
          <w:p w14:paraId="7470C448"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26F1D9"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3,823 </w:t>
            </w:r>
          </w:p>
        </w:tc>
        <w:tc>
          <w:tcPr>
            <w:tcW w:w="389" w:type="pct"/>
            <w:tcBorders>
              <w:top w:val="nil"/>
              <w:left w:val="nil"/>
              <w:bottom w:val="single" w:sz="4" w:space="0" w:color="auto"/>
              <w:right w:val="single" w:sz="4" w:space="0" w:color="auto"/>
            </w:tcBorders>
            <w:shd w:val="clear" w:color="auto" w:fill="auto"/>
            <w:noWrap/>
            <w:vAlign w:val="center"/>
          </w:tcPr>
          <w:p w14:paraId="6218D6B0"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F11B5D"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3,894 </w:t>
            </w:r>
          </w:p>
        </w:tc>
        <w:tc>
          <w:tcPr>
            <w:tcW w:w="390" w:type="pct"/>
            <w:tcBorders>
              <w:top w:val="nil"/>
              <w:left w:val="nil"/>
              <w:bottom w:val="single" w:sz="4" w:space="0" w:color="auto"/>
              <w:right w:val="single" w:sz="4" w:space="0" w:color="auto"/>
            </w:tcBorders>
            <w:shd w:val="clear" w:color="auto" w:fill="auto"/>
            <w:noWrap/>
            <w:vAlign w:val="center"/>
          </w:tcPr>
          <w:p w14:paraId="55B3C189"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C147D42"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3,965 </w:t>
            </w:r>
          </w:p>
        </w:tc>
      </w:tr>
      <w:tr w:rsidR="001F3D38" w:rsidRPr="001F3D38" w14:paraId="60C34DC5"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4D5AF5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4B3F0FF"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6314B6A"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27071D"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8A2B3"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968B97"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75DC2C"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8C664A"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3D0AB7"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D0BC31"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D04FA2"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8BDDA9"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r>
      <w:tr w:rsidR="001F3D38" w:rsidRPr="001F3D38" w14:paraId="740D63E9"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8B734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3D35106"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CD83D47"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B3AE6D"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375912"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6100B4"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64A1DB"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A20555"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B35F40"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5A0C83"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9EFDF2"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80E63C"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r>
      <w:tr w:rsidR="001F3D38" w:rsidRPr="001F3D38" w14:paraId="077C2067"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0BEE9D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71EA5D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DCC174B"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A68677"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816491"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FBC047"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0C4713"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0F713B"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77A94B"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A6794F"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88CE74"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64EA45" w14:textId="77777777" w:rsidR="001F3D38" w:rsidRPr="001F3D38" w:rsidRDefault="001F3D38" w:rsidP="001F3D38">
            <w:pPr>
              <w:ind w:left="0" w:hanging="14"/>
              <w:jc w:val="right"/>
              <w:rPr>
                <w:rFonts w:ascii="Bookman Old Style" w:hAnsi="Bookman Old Style" w:cs="Arial"/>
                <w:color w:val="000000"/>
                <w:sz w:val="12"/>
                <w:szCs w:val="12"/>
                <w:highlight w:val="yellow"/>
                <w:lang w:val="es-CO"/>
              </w:rPr>
            </w:pPr>
            <w:r w:rsidRPr="001F3D38">
              <w:rPr>
                <w:rFonts w:ascii="Bookman Old Style" w:hAnsi="Bookman Old Style" w:cs="Arial"/>
                <w:color w:val="000000"/>
                <w:sz w:val="12"/>
                <w:szCs w:val="12"/>
                <w:lang w:val="es-CO"/>
              </w:rPr>
              <w:t xml:space="preserve">- </w:t>
            </w:r>
          </w:p>
        </w:tc>
      </w:tr>
      <w:tr w:rsidR="001F3D38" w:rsidRPr="001F3D38" w14:paraId="4AA23E5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FF3BFE6"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515A20A"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9F6180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0569F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BEE7E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D31AC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B61A6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0D04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E2A68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1B837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8FB18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9A044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319D134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3DFB0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5DD30AB6"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44ECE8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568FF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DD34D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420F7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5790B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57592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0502F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50967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A995B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E2888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3C81BE6"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F8D85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2915E9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DE7D6E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2C070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1575D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56E06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EC59F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4329B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8A385E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53D80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92CBA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9C647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466684F9"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E33692"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DB16E28"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ADBDCA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DEB7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2FB99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EF522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30B2B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45B21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CDBD0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D9708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BE298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4D0FD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6B40FB7D"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6082FA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319FD47"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716692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DE22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68CC5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7473A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85E18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28D3C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52335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878E1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62856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A5C9F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62DA0D4A"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FCDB8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D7F94D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27E46D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7153B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A48B1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799AE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3833F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2E260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74D2B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C3EAC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13A92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4CAEC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16FA0FB5"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3CB988"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EA67497"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2D3AB0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562EF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3,398 </w:t>
            </w:r>
          </w:p>
        </w:tc>
        <w:tc>
          <w:tcPr>
            <w:tcW w:w="390" w:type="pct"/>
            <w:tcBorders>
              <w:top w:val="nil"/>
              <w:left w:val="nil"/>
              <w:bottom w:val="single" w:sz="4" w:space="0" w:color="auto"/>
              <w:right w:val="single" w:sz="4" w:space="0" w:color="auto"/>
            </w:tcBorders>
            <w:shd w:val="clear" w:color="auto" w:fill="auto"/>
            <w:noWrap/>
            <w:vAlign w:val="center"/>
          </w:tcPr>
          <w:p w14:paraId="1E55D09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3016A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3,469 </w:t>
            </w:r>
          </w:p>
        </w:tc>
        <w:tc>
          <w:tcPr>
            <w:tcW w:w="390" w:type="pct"/>
            <w:tcBorders>
              <w:top w:val="nil"/>
              <w:left w:val="nil"/>
              <w:bottom w:val="single" w:sz="4" w:space="0" w:color="auto"/>
              <w:right w:val="single" w:sz="4" w:space="0" w:color="auto"/>
            </w:tcBorders>
            <w:shd w:val="clear" w:color="auto" w:fill="auto"/>
            <w:noWrap/>
            <w:vAlign w:val="center"/>
          </w:tcPr>
          <w:p w14:paraId="18E30BA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428B2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3,540 </w:t>
            </w:r>
          </w:p>
        </w:tc>
        <w:tc>
          <w:tcPr>
            <w:tcW w:w="389" w:type="pct"/>
            <w:tcBorders>
              <w:top w:val="nil"/>
              <w:left w:val="nil"/>
              <w:bottom w:val="single" w:sz="4" w:space="0" w:color="auto"/>
              <w:right w:val="single" w:sz="4" w:space="0" w:color="auto"/>
            </w:tcBorders>
            <w:shd w:val="clear" w:color="auto" w:fill="auto"/>
            <w:noWrap/>
            <w:vAlign w:val="center"/>
          </w:tcPr>
          <w:p w14:paraId="68E0A18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A1431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3,611 </w:t>
            </w:r>
          </w:p>
        </w:tc>
        <w:tc>
          <w:tcPr>
            <w:tcW w:w="390" w:type="pct"/>
            <w:tcBorders>
              <w:top w:val="nil"/>
              <w:left w:val="nil"/>
              <w:bottom w:val="single" w:sz="4" w:space="0" w:color="auto"/>
              <w:right w:val="single" w:sz="4" w:space="0" w:color="auto"/>
            </w:tcBorders>
            <w:shd w:val="clear" w:color="auto" w:fill="auto"/>
            <w:noWrap/>
            <w:vAlign w:val="center"/>
          </w:tcPr>
          <w:p w14:paraId="219664D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A6CC5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3,682 </w:t>
            </w:r>
          </w:p>
        </w:tc>
      </w:tr>
      <w:tr w:rsidR="001F3D38" w:rsidRPr="001F3D38" w14:paraId="03F86E4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394E06"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B7309A8"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74644D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CB47D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3,398 </w:t>
            </w:r>
          </w:p>
        </w:tc>
        <w:tc>
          <w:tcPr>
            <w:tcW w:w="390" w:type="pct"/>
            <w:tcBorders>
              <w:top w:val="nil"/>
              <w:left w:val="nil"/>
              <w:bottom w:val="single" w:sz="4" w:space="0" w:color="auto"/>
              <w:right w:val="single" w:sz="4" w:space="0" w:color="auto"/>
            </w:tcBorders>
            <w:shd w:val="clear" w:color="auto" w:fill="auto"/>
            <w:noWrap/>
            <w:vAlign w:val="center"/>
          </w:tcPr>
          <w:p w14:paraId="2A8FE03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9A7BF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3,469 </w:t>
            </w:r>
          </w:p>
        </w:tc>
        <w:tc>
          <w:tcPr>
            <w:tcW w:w="390" w:type="pct"/>
            <w:tcBorders>
              <w:top w:val="nil"/>
              <w:left w:val="nil"/>
              <w:bottom w:val="single" w:sz="4" w:space="0" w:color="auto"/>
              <w:right w:val="single" w:sz="4" w:space="0" w:color="auto"/>
            </w:tcBorders>
            <w:shd w:val="clear" w:color="auto" w:fill="auto"/>
            <w:noWrap/>
            <w:vAlign w:val="center"/>
          </w:tcPr>
          <w:p w14:paraId="7D92C3F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73CF4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3,540 </w:t>
            </w:r>
          </w:p>
        </w:tc>
        <w:tc>
          <w:tcPr>
            <w:tcW w:w="389" w:type="pct"/>
            <w:tcBorders>
              <w:top w:val="nil"/>
              <w:left w:val="nil"/>
              <w:bottom w:val="single" w:sz="4" w:space="0" w:color="auto"/>
              <w:right w:val="single" w:sz="4" w:space="0" w:color="auto"/>
            </w:tcBorders>
            <w:shd w:val="clear" w:color="auto" w:fill="auto"/>
            <w:noWrap/>
            <w:vAlign w:val="center"/>
          </w:tcPr>
          <w:p w14:paraId="2FE4228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0D43F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3,611 </w:t>
            </w:r>
          </w:p>
        </w:tc>
        <w:tc>
          <w:tcPr>
            <w:tcW w:w="390" w:type="pct"/>
            <w:tcBorders>
              <w:top w:val="nil"/>
              <w:left w:val="nil"/>
              <w:bottom w:val="single" w:sz="4" w:space="0" w:color="auto"/>
              <w:right w:val="single" w:sz="4" w:space="0" w:color="auto"/>
            </w:tcBorders>
            <w:shd w:val="clear" w:color="auto" w:fill="auto"/>
            <w:noWrap/>
            <w:vAlign w:val="center"/>
          </w:tcPr>
          <w:p w14:paraId="3DF4A6E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B2EB4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3,682 </w:t>
            </w:r>
          </w:p>
        </w:tc>
      </w:tr>
      <w:tr w:rsidR="001F3D38" w:rsidRPr="001F3D38" w14:paraId="5F71E2AD"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CAAE32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2D9D8D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A61740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ACC6A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4D982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D420C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FB87F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9B84E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46E6B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0DCEE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C828C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D1032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1ED5C3E"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11F0F3"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5E55558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ABFA95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D01B0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AA1D7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38EEA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27DAF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07802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CC5D3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21DDC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45F55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E28AA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37059D58"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F885E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6E34A38F"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473A63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BBD91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84ADE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1099F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EF55C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BB4E5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BA757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3A3A9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E6883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03E21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2119A190"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71FEA6"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94323A9"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FBBDFE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88EAF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AB0E5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51650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9CFC4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87337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CD557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53660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7D16A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DB8F6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1D37BE26"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57D2C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73ED2E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02C8B1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E1595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2CF98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6CABB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04943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73B8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7293D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9D653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40898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E7FF3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0BBE001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E867C5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85DDD58"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4013FA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F2C1F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08806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B325DB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42D43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D4BAA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0A06C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B356F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1C049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E8096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0B6E9D3E"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15A735"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0BC489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23A76E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EFEA1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F41EF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55B75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66450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7272D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AC410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486A3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2069D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8877F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248E64D3"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92FF95"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B63C979"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E3518B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015AA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007BE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9E640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71085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5A8FC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49D34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3A2D1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DFD7D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67435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8F9CC2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5BEC9C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350541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BB73DB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C862C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81C14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E0DD7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9D172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8E868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CC45A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98281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47359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EE02BB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60CA7299"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21977E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61A28FF"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4A3821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C1EFA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1,912 </w:t>
            </w:r>
          </w:p>
        </w:tc>
        <w:tc>
          <w:tcPr>
            <w:tcW w:w="390" w:type="pct"/>
            <w:tcBorders>
              <w:top w:val="nil"/>
              <w:left w:val="nil"/>
              <w:bottom w:val="single" w:sz="4" w:space="0" w:color="auto"/>
              <w:right w:val="single" w:sz="4" w:space="0" w:color="auto"/>
            </w:tcBorders>
            <w:shd w:val="clear" w:color="auto" w:fill="auto"/>
            <w:noWrap/>
            <w:vAlign w:val="center"/>
          </w:tcPr>
          <w:p w14:paraId="6E1421A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5BD5C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1,982 </w:t>
            </w:r>
          </w:p>
        </w:tc>
        <w:tc>
          <w:tcPr>
            <w:tcW w:w="390" w:type="pct"/>
            <w:tcBorders>
              <w:top w:val="nil"/>
              <w:left w:val="nil"/>
              <w:bottom w:val="single" w:sz="4" w:space="0" w:color="auto"/>
              <w:right w:val="single" w:sz="4" w:space="0" w:color="auto"/>
            </w:tcBorders>
            <w:shd w:val="clear" w:color="auto" w:fill="auto"/>
            <w:noWrap/>
            <w:vAlign w:val="center"/>
          </w:tcPr>
          <w:p w14:paraId="7F25833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27D73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2,053 </w:t>
            </w:r>
          </w:p>
        </w:tc>
        <w:tc>
          <w:tcPr>
            <w:tcW w:w="389" w:type="pct"/>
            <w:tcBorders>
              <w:top w:val="nil"/>
              <w:left w:val="nil"/>
              <w:bottom w:val="single" w:sz="4" w:space="0" w:color="auto"/>
              <w:right w:val="single" w:sz="4" w:space="0" w:color="auto"/>
            </w:tcBorders>
            <w:shd w:val="clear" w:color="auto" w:fill="auto"/>
            <w:noWrap/>
            <w:vAlign w:val="center"/>
          </w:tcPr>
          <w:p w14:paraId="5C77DA6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028C9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2,124 </w:t>
            </w:r>
          </w:p>
        </w:tc>
        <w:tc>
          <w:tcPr>
            <w:tcW w:w="390" w:type="pct"/>
            <w:tcBorders>
              <w:top w:val="nil"/>
              <w:left w:val="nil"/>
              <w:bottom w:val="single" w:sz="4" w:space="0" w:color="auto"/>
              <w:right w:val="single" w:sz="4" w:space="0" w:color="auto"/>
            </w:tcBorders>
            <w:shd w:val="clear" w:color="auto" w:fill="auto"/>
            <w:noWrap/>
            <w:vAlign w:val="center"/>
          </w:tcPr>
          <w:p w14:paraId="65D766C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8E9A8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2,195 </w:t>
            </w:r>
          </w:p>
        </w:tc>
      </w:tr>
      <w:tr w:rsidR="001F3D38" w:rsidRPr="001F3D38" w14:paraId="557A9039"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9B3DB5"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B9B38B2"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CDAECB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B8F3F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1,912 </w:t>
            </w:r>
          </w:p>
        </w:tc>
        <w:tc>
          <w:tcPr>
            <w:tcW w:w="390" w:type="pct"/>
            <w:tcBorders>
              <w:top w:val="nil"/>
              <w:left w:val="nil"/>
              <w:bottom w:val="single" w:sz="4" w:space="0" w:color="auto"/>
              <w:right w:val="single" w:sz="4" w:space="0" w:color="auto"/>
            </w:tcBorders>
            <w:shd w:val="clear" w:color="auto" w:fill="auto"/>
            <w:noWrap/>
            <w:vAlign w:val="center"/>
          </w:tcPr>
          <w:p w14:paraId="7374146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3EE2A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1,982 </w:t>
            </w:r>
          </w:p>
        </w:tc>
        <w:tc>
          <w:tcPr>
            <w:tcW w:w="390" w:type="pct"/>
            <w:tcBorders>
              <w:top w:val="nil"/>
              <w:left w:val="nil"/>
              <w:bottom w:val="single" w:sz="4" w:space="0" w:color="auto"/>
              <w:right w:val="single" w:sz="4" w:space="0" w:color="auto"/>
            </w:tcBorders>
            <w:shd w:val="clear" w:color="auto" w:fill="auto"/>
            <w:noWrap/>
            <w:vAlign w:val="center"/>
          </w:tcPr>
          <w:p w14:paraId="5289B54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FC166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2,053 </w:t>
            </w:r>
          </w:p>
        </w:tc>
        <w:tc>
          <w:tcPr>
            <w:tcW w:w="389" w:type="pct"/>
            <w:tcBorders>
              <w:top w:val="nil"/>
              <w:left w:val="nil"/>
              <w:bottom w:val="single" w:sz="4" w:space="0" w:color="auto"/>
              <w:right w:val="single" w:sz="4" w:space="0" w:color="auto"/>
            </w:tcBorders>
            <w:shd w:val="clear" w:color="auto" w:fill="auto"/>
            <w:noWrap/>
            <w:vAlign w:val="center"/>
          </w:tcPr>
          <w:p w14:paraId="6CF403F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4934C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2,124 </w:t>
            </w:r>
          </w:p>
        </w:tc>
        <w:tc>
          <w:tcPr>
            <w:tcW w:w="390" w:type="pct"/>
            <w:tcBorders>
              <w:top w:val="nil"/>
              <w:left w:val="nil"/>
              <w:bottom w:val="single" w:sz="4" w:space="0" w:color="auto"/>
              <w:right w:val="single" w:sz="4" w:space="0" w:color="auto"/>
            </w:tcBorders>
            <w:shd w:val="clear" w:color="auto" w:fill="auto"/>
            <w:noWrap/>
            <w:vAlign w:val="center"/>
          </w:tcPr>
          <w:p w14:paraId="5B7AC7E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52D9C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2,195 </w:t>
            </w:r>
          </w:p>
        </w:tc>
      </w:tr>
      <w:tr w:rsidR="001F3D38" w:rsidRPr="001F3D38" w14:paraId="03D125AF"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FBB31F"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81392F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1FACEE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DF2E7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070CF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89F36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4B26F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235B5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74625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EC700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91A12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DFC68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3339590C"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99F53D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060FBF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3AFBCF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F09E4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F4E82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7A07C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88B28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3509E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CACE1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51585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B7EC5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F25F2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145AD0D"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1A0131"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2AC9AD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2BD862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D10BD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BF35D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81F6B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E384E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6D8BE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9BC59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F770E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B2C89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C6736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07B9C37F"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90CB0DF"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6EA637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8F6508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B25F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6CBBB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6B2C4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8EB23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574C0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C0CB24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1F88A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C995F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8A891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3715EF82"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8DA2F2"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0B10683"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253BF5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DF0CD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FD925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E30CF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75038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15E4F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FD4F6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DC692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B9E5B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AF59D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333C71A8"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9231B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068AB52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254EB1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CCB61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72622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2D3FA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F095E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B3B8C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C384E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CF568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368DF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F14DA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1A8FF31"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E11525"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5F5017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346D21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F72A6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228E0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7AF8FD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2EEBA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131B6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0EAE3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3F04A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A2076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02F62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37B0AF8F"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52E546"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6328C8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C46695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450FD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CA88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59461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E1AE8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F22FC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2026A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78DA4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5B5D7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1D7F7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4BD48291"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4BCFE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7747BCF"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ABE7D5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DAE42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6F371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A1F49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30AF9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CC842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F5A4C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BF486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485BC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0F6818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70B0C9B"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A1E30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07900C32"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C307C8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B273BB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4,673</w:t>
            </w:r>
          </w:p>
        </w:tc>
        <w:tc>
          <w:tcPr>
            <w:tcW w:w="390" w:type="pct"/>
            <w:tcBorders>
              <w:top w:val="nil"/>
              <w:left w:val="nil"/>
              <w:bottom w:val="single" w:sz="4" w:space="0" w:color="auto"/>
              <w:right w:val="single" w:sz="4" w:space="0" w:color="auto"/>
            </w:tcBorders>
            <w:shd w:val="clear" w:color="auto" w:fill="auto"/>
            <w:noWrap/>
            <w:vAlign w:val="center"/>
          </w:tcPr>
          <w:p w14:paraId="1B2B879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FFCB19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4,744</w:t>
            </w:r>
          </w:p>
        </w:tc>
        <w:tc>
          <w:tcPr>
            <w:tcW w:w="390" w:type="pct"/>
            <w:tcBorders>
              <w:top w:val="nil"/>
              <w:left w:val="nil"/>
              <w:bottom w:val="single" w:sz="4" w:space="0" w:color="auto"/>
              <w:right w:val="single" w:sz="4" w:space="0" w:color="auto"/>
            </w:tcBorders>
            <w:shd w:val="clear" w:color="auto" w:fill="auto"/>
            <w:noWrap/>
            <w:vAlign w:val="center"/>
          </w:tcPr>
          <w:p w14:paraId="4C351D7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CB7EF3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4,814</w:t>
            </w:r>
          </w:p>
        </w:tc>
        <w:tc>
          <w:tcPr>
            <w:tcW w:w="389" w:type="pct"/>
            <w:tcBorders>
              <w:top w:val="nil"/>
              <w:left w:val="nil"/>
              <w:bottom w:val="single" w:sz="4" w:space="0" w:color="auto"/>
              <w:right w:val="single" w:sz="4" w:space="0" w:color="auto"/>
            </w:tcBorders>
            <w:shd w:val="clear" w:color="auto" w:fill="auto"/>
            <w:noWrap/>
            <w:vAlign w:val="center"/>
          </w:tcPr>
          <w:p w14:paraId="2761D9E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FF1CF4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4,885</w:t>
            </w:r>
          </w:p>
        </w:tc>
        <w:tc>
          <w:tcPr>
            <w:tcW w:w="390" w:type="pct"/>
            <w:tcBorders>
              <w:top w:val="nil"/>
              <w:left w:val="nil"/>
              <w:bottom w:val="single" w:sz="4" w:space="0" w:color="auto"/>
              <w:right w:val="single" w:sz="4" w:space="0" w:color="auto"/>
            </w:tcBorders>
            <w:shd w:val="clear" w:color="auto" w:fill="auto"/>
            <w:noWrap/>
            <w:vAlign w:val="center"/>
          </w:tcPr>
          <w:p w14:paraId="2AA9DED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51D798B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4,956</w:t>
            </w:r>
          </w:p>
        </w:tc>
      </w:tr>
      <w:tr w:rsidR="001F3D38" w:rsidRPr="001F3D38" w14:paraId="1FA9DBC8"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EF8BDF"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9D5C3A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8BEB44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716075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4,673</w:t>
            </w:r>
          </w:p>
        </w:tc>
        <w:tc>
          <w:tcPr>
            <w:tcW w:w="390" w:type="pct"/>
            <w:tcBorders>
              <w:top w:val="nil"/>
              <w:left w:val="nil"/>
              <w:bottom w:val="single" w:sz="4" w:space="0" w:color="auto"/>
              <w:right w:val="single" w:sz="4" w:space="0" w:color="auto"/>
            </w:tcBorders>
            <w:shd w:val="clear" w:color="auto" w:fill="auto"/>
            <w:noWrap/>
            <w:vAlign w:val="center"/>
          </w:tcPr>
          <w:p w14:paraId="63256E3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E03639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4,744</w:t>
            </w:r>
          </w:p>
        </w:tc>
        <w:tc>
          <w:tcPr>
            <w:tcW w:w="390" w:type="pct"/>
            <w:tcBorders>
              <w:top w:val="nil"/>
              <w:left w:val="nil"/>
              <w:bottom w:val="single" w:sz="4" w:space="0" w:color="auto"/>
              <w:right w:val="single" w:sz="4" w:space="0" w:color="auto"/>
            </w:tcBorders>
            <w:shd w:val="clear" w:color="auto" w:fill="auto"/>
            <w:noWrap/>
            <w:vAlign w:val="center"/>
          </w:tcPr>
          <w:p w14:paraId="530F951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7D8081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4,814</w:t>
            </w:r>
          </w:p>
        </w:tc>
        <w:tc>
          <w:tcPr>
            <w:tcW w:w="389" w:type="pct"/>
            <w:tcBorders>
              <w:top w:val="nil"/>
              <w:left w:val="nil"/>
              <w:bottom w:val="single" w:sz="4" w:space="0" w:color="auto"/>
              <w:right w:val="single" w:sz="4" w:space="0" w:color="auto"/>
            </w:tcBorders>
            <w:shd w:val="clear" w:color="auto" w:fill="auto"/>
            <w:noWrap/>
            <w:vAlign w:val="center"/>
          </w:tcPr>
          <w:p w14:paraId="55BA7D8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E6E2F2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4,885</w:t>
            </w:r>
          </w:p>
        </w:tc>
        <w:tc>
          <w:tcPr>
            <w:tcW w:w="390" w:type="pct"/>
            <w:tcBorders>
              <w:top w:val="nil"/>
              <w:left w:val="nil"/>
              <w:bottom w:val="single" w:sz="4" w:space="0" w:color="auto"/>
              <w:right w:val="single" w:sz="4" w:space="0" w:color="auto"/>
            </w:tcBorders>
            <w:shd w:val="clear" w:color="auto" w:fill="auto"/>
            <w:noWrap/>
            <w:vAlign w:val="center"/>
          </w:tcPr>
          <w:p w14:paraId="141300B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380E824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4,956</w:t>
            </w:r>
          </w:p>
        </w:tc>
      </w:tr>
      <w:tr w:rsidR="001F3D38" w:rsidRPr="001F3D38" w14:paraId="13CACAD8"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613B48"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72C18C3"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1BEE85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E493B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04D22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FE7B0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C3A8F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36069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A88AA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DD004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60F10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0B3A5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20161CAC"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D477C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30375F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6D2584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9289A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B83D1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0C584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A342C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4D15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1FA74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625E3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C60A2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80324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615794E1"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B56B985"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lastRenderedPageBreak/>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1917DE4A"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3B76E7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166E5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9359D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EA785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17059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3E018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CCFD7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23C5D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68E72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7973A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64CA274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7F75E31"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67E5719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842939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246EA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B6E1D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033D7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59CCD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13CF9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10716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DB858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9ED90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F97A0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0E8CEF5"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5150A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C90785A"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D65F26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1248B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7C7DC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F136D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D0EAB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C9FCF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FAABC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9DE56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75E1D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5664EC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BD2991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585C5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6EDBD03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1D0DBC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8C218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EE454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E3B4F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2463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6C87B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9E77B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64000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61BDC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6BA155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0E9E44DB"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477D9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6AAD8D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34E4E3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1A27E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78D58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A4977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52F6E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D7243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94DDB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0BAFC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63DC8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111D4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DC3E5E1"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C44146"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C0911B7"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2F979E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C6D71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3608A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F61E0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EB7B1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DEEFB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9DF8D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60625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AA793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F89DA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3FBE9961"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56D203"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0C39EE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0BB2AC6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8D9C2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AC53B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15761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612B6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CBB5D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F0C9AC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9AA6A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F9014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FB2F71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0B9978B5"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0EFEA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04CDD8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FDC7EF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FF45E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3,469</w:t>
            </w:r>
          </w:p>
        </w:tc>
        <w:tc>
          <w:tcPr>
            <w:tcW w:w="390" w:type="pct"/>
            <w:tcBorders>
              <w:top w:val="nil"/>
              <w:left w:val="nil"/>
              <w:bottom w:val="single" w:sz="4" w:space="0" w:color="auto"/>
              <w:right w:val="single" w:sz="4" w:space="0" w:color="auto"/>
            </w:tcBorders>
            <w:shd w:val="clear" w:color="auto" w:fill="auto"/>
            <w:noWrap/>
            <w:vAlign w:val="center"/>
          </w:tcPr>
          <w:p w14:paraId="5429CB5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6BB92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3,540</w:t>
            </w:r>
          </w:p>
        </w:tc>
        <w:tc>
          <w:tcPr>
            <w:tcW w:w="390" w:type="pct"/>
            <w:tcBorders>
              <w:top w:val="nil"/>
              <w:left w:val="nil"/>
              <w:bottom w:val="single" w:sz="4" w:space="0" w:color="auto"/>
              <w:right w:val="single" w:sz="4" w:space="0" w:color="auto"/>
            </w:tcBorders>
            <w:shd w:val="clear" w:color="auto" w:fill="auto"/>
            <w:noWrap/>
            <w:vAlign w:val="center"/>
          </w:tcPr>
          <w:p w14:paraId="59ABDFF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BCFBA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3,611</w:t>
            </w:r>
          </w:p>
        </w:tc>
        <w:tc>
          <w:tcPr>
            <w:tcW w:w="389" w:type="pct"/>
            <w:tcBorders>
              <w:top w:val="nil"/>
              <w:left w:val="nil"/>
              <w:bottom w:val="single" w:sz="4" w:space="0" w:color="auto"/>
              <w:right w:val="single" w:sz="4" w:space="0" w:color="auto"/>
            </w:tcBorders>
            <w:shd w:val="clear" w:color="auto" w:fill="auto"/>
            <w:noWrap/>
            <w:vAlign w:val="center"/>
          </w:tcPr>
          <w:p w14:paraId="3A0EEA1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38606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3,682</w:t>
            </w:r>
          </w:p>
        </w:tc>
        <w:tc>
          <w:tcPr>
            <w:tcW w:w="390" w:type="pct"/>
            <w:tcBorders>
              <w:top w:val="nil"/>
              <w:left w:val="nil"/>
              <w:bottom w:val="single" w:sz="4" w:space="0" w:color="auto"/>
              <w:right w:val="single" w:sz="4" w:space="0" w:color="auto"/>
            </w:tcBorders>
            <w:shd w:val="clear" w:color="auto" w:fill="auto"/>
            <w:noWrap/>
            <w:vAlign w:val="center"/>
          </w:tcPr>
          <w:p w14:paraId="32D84C8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FBC3F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3,752</w:t>
            </w:r>
          </w:p>
        </w:tc>
      </w:tr>
      <w:tr w:rsidR="001F3D38" w:rsidRPr="001F3D38" w14:paraId="003E82C7"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B85E0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50FC9ED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667807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B7481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3,469</w:t>
            </w:r>
          </w:p>
        </w:tc>
        <w:tc>
          <w:tcPr>
            <w:tcW w:w="390" w:type="pct"/>
            <w:tcBorders>
              <w:top w:val="nil"/>
              <w:left w:val="nil"/>
              <w:bottom w:val="single" w:sz="4" w:space="0" w:color="auto"/>
              <w:right w:val="single" w:sz="4" w:space="0" w:color="auto"/>
            </w:tcBorders>
            <w:shd w:val="clear" w:color="auto" w:fill="auto"/>
            <w:noWrap/>
            <w:vAlign w:val="center"/>
          </w:tcPr>
          <w:p w14:paraId="515485E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A28F1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3,540</w:t>
            </w:r>
          </w:p>
        </w:tc>
        <w:tc>
          <w:tcPr>
            <w:tcW w:w="390" w:type="pct"/>
            <w:tcBorders>
              <w:top w:val="nil"/>
              <w:left w:val="nil"/>
              <w:bottom w:val="single" w:sz="4" w:space="0" w:color="auto"/>
              <w:right w:val="single" w:sz="4" w:space="0" w:color="auto"/>
            </w:tcBorders>
            <w:shd w:val="clear" w:color="auto" w:fill="auto"/>
            <w:noWrap/>
            <w:vAlign w:val="center"/>
          </w:tcPr>
          <w:p w14:paraId="215855D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E14BC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3,611</w:t>
            </w:r>
          </w:p>
        </w:tc>
        <w:tc>
          <w:tcPr>
            <w:tcW w:w="389" w:type="pct"/>
            <w:tcBorders>
              <w:top w:val="nil"/>
              <w:left w:val="nil"/>
              <w:bottom w:val="single" w:sz="4" w:space="0" w:color="auto"/>
              <w:right w:val="single" w:sz="4" w:space="0" w:color="auto"/>
            </w:tcBorders>
            <w:shd w:val="clear" w:color="auto" w:fill="auto"/>
            <w:noWrap/>
            <w:vAlign w:val="center"/>
          </w:tcPr>
          <w:p w14:paraId="6225001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8224D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3,682</w:t>
            </w:r>
          </w:p>
        </w:tc>
        <w:tc>
          <w:tcPr>
            <w:tcW w:w="390" w:type="pct"/>
            <w:tcBorders>
              <w:top w:val="nil"/>
              <w:left w:val="nil"/>
              <w:bottom w:val="single" w:sz="4" w:space="0" w:color="auto"/>
              <w:right w:val="single" w:sz="4" w:space="0" w:color="auto"/>
            </w:tcBorders>
            <w:shd w:val="clear" w:color="auto" w:fill="auto"/>
            <w:noWrap/>
            <w:vAlign w:val="center"/>
          </w:tcPr>
          <w:p w14:paraId="5BCB15F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161C0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3,752</w:t>
            </w:r>
          </w:p>
        </w:tc>
      </w:tr>
      <w:tr w:rsidR="001F3D38" w:rsidRPr="001F3D38" w14:paraId="5D1EA527"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92BC948"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FD5C9D1"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7AC261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3F733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34CE4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FDAD2A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CF845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13EDD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97555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B1284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63A8A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4AD01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0C3D270"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B2A10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ED998C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CC6424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9D55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AB51B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6B8A5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7EF4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94047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7BF22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052FA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02456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2D668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6CF9B594"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6CFAC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6DCF038"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04F864F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4642A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77E23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2E919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93B1A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14550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0EA7D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49A2D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FA0E9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0E9F1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8A04285"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B7DD83"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2B9B00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8A3A4C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F67AF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D8CA9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E11A2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B4804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AA6CF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23816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28D48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6E96D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9D6E6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4858FFCC"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24ED0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EA5804E"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E37FF9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55E44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22709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34769E3"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B6196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992D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83C0F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8D87D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9FFB1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71B5D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1FBB2120"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95A0C1B"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E8F16DD"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26CF8D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9276A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DE501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B2518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EE681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1CB94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FC171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0E4F15"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FC92E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9D4DB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AEEAC52"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F29294"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CEE1C52"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5C1467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B9F4F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F678A0"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7E590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29751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7F067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280C1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65FC1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840D3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FBC62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1E548B0"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155CF49"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43FDE2FC"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DF9B19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1FCC9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F8C71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FAE8DE"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C45DD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5209F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54BC98"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D3DCB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C78651"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78947C"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56355101" w14:textId="77777777" w:rsidTr="001F3D38">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4227A80"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9C2764A" w14:textId="77777777" w:rsidR="001F3D38" w:rsidRPr="001F3D38" w:rsidRDefault="001F3D38" w:rsidP="001F3D38">
            <w:pPr>
              <w:ind w:left="0"/>
              <w:rPr>
                <w:rFonts w:ascii="Bookman Old Style" w:hAnsi="Bookman Old Style" w:cs="Arial"/>
                <w:color w:val="000000"/>
                <w:sz w:val="12"/>
                <w:szCs w:val="12"/>
                <w:lang w:val="es-CO" w:eastAsia="es-CO"/>
              </w:rPr>
            </w:pPr>
            <w:r w:rsidRPr="001F3D38">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440BD0A"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A0FF6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72D2EF"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12DD5D"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C2F7A6"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A3845B"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196402"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1E8F79"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72DA44"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22C3D37" w14:textId="77777777" w:rsidR="001F3D38" w:rsidRPr="001F3D38" w:rsidRDefault="001F3D38" w:rsidP="001F3D38">
            <w:pPr>
              <w:ind w:left="0" w:hanging="14"/>
              <w:jc w:val="right"/>
              <w:rPr>
                <w:rFonts w:ascii="Bookman Old Style" w:hAnsi="Bookman Old Style" w:cs="Arial"/>
                <w:color w:val="000000"/>
                <w:sz w:val="12"/>
                <w:szCs w:val="12"/>
                <w:lang w:val="es-CO"/>
              </w:rPr>
            </w:pPr>
            <w:r w:rsidRPr="001F3D38">
              <w:rPr>
                <w:rFonts w:ascii="Bookman Old Style" w:hAnsi="Bookman Old Style" w:cs="Arial"/>
                <w:color w:val="000000"/>
                <w:sz w:val="12"/>
                <w:szCs w:val="12"/>
                <w:lang w:val="es-CO"/>
              </w:rPr>
              <w:t xml:space="preserve">- </w:t>
            </w:r>
          </w:p>
        </w:tc>
      </w:tr>
      <w:tr w:rsidR="001F3D38" w:rsidRPr="001F3D38" w14:paraId="75D4765A" w14:textId="77777777" w:rsidTr="001F3D38">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6716E07" w14:textId="77777777" w:rsidR="001F3D38" w:rsidRPr="001F3D38" w:rsidRDefault="001F3D38" w:rsidP="001F3D38">
            <w:pPr>
              <w:ind w:left="0"/>
              <w:rPr>
                <w:rFonts w:ascii="Bookman Old Style" w:hAnsi="Bookman Old Style" w:cs="Arial"/>
                <w:b/>
                <w:color w:val="000000"/>
                <w:sz w:val="12"/>
                <w:szCs w:val="12"/>
                <w:lang w:val="es-CO" w:eastAsia="es-CO"/>
              </w:rPr>
            </w:pPr>
            <w:r w:rsidRPr="001F3D38">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96D424" w14:textId="77777777" w:rsidR="001F3D38" w:rsidRPr="001F3D38" w:rsidRDefault="001F3D38" w:rsidP="001F3D38">
            <w:pPr>
              <w:ind w:left="0"/>
              <w:jc w:val="right"/>
              <w:rPr>
                <w:rFonts w:ascii="Bookman Old Style" w:hAnsi="Bookman Old Style" w:cs="Arial"/>
                <w:b/>
                <w:bCs/>
                <w:color w:val="000000"/>
                <w:sz w:val="12"/>
                <w:szCs w:val="12"/>
                <w:lang w:val="es-CO" w:eastAsia="es-CO"/>
              </w:rPr>
            </w:pPr>
            <w:r w:rsidRPr="001F3D38">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553B80"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20,306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D86FD9"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47A336"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20,461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4D1E1E"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893406"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20,885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99D9CD4"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E9631E7"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21,311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05504B"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DE6443C" w14:textId="77777777" w:rsidR="001F3D38" w:rsidRPr="001F3D38" w:rsidRDefault="001F3D38" w:rsidP="001F3D38">
            <w:pPr>
              <w:ind w:left="0"/>
              <w:jc w:val="right"/>
              <w:rPr>
                <w:rFonts w:ascii="Bookman Old Style" w:hAnsi="Bookman Old Style" w:cs="Arial"/>
                <w:b/>
                <w:bCs/>
                <w:color w:val="000000"/>
                <w:sz w:val="12"/>
                <w:szCs w:val="12"/>
                <w:lang w:val="es-CO"/>
              </w:rPr>
            </w:pPr>
            <w:r w:rsidRPr="001F3D38">
              <w:rPr>
                <w:rFonts w:ascii="Bookman Old Style" w:hAnsi="Bookman Old Style" w:cs="Arial"/>
                <w:b/>
                <w:bCs/>
                <w:color w:val="000000"/>
                <w:sz w:val="12"/>
                <w:szCs w:val="12"/>
                <w:lang w:val="es-CO"/>
              </w:rPr>
              <w:t xml:space="preserve">21,736 </w:t>
            </w:r>
          </w:p>
        </w:tc>
      </w:tr>
    </w:tbl>
    <w:p w14:paraId="7292B224" w14:textId="00C8FA4E" w:rsidR="00756823" w:rsidRDefault="00756823"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95640F" w:rsidRPr="0095640F" w14:paraId="097551F1" w14:textId="77777777" w:rsidTr="0095640F">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5AC943" w14:textId="77777777" w:rsidR="0095640F" w:rsidRPr="0095640F" w:rsidRDefault="0095640F" w:rsidP="0095640F">
            <w:pPr>
              <w:ind w:left="0"/>
              <w:jc w:val="center"/>
              <w:rPr>
                <w:rFonts w:ascii="Bookman Old Style" w:hAnsi="Bookman Old Style" w:cs="Arial"/>
                <w:b/>
                <w:color w:val="000000"/>
                <w:sz w:val="12"/>
                <w:szCs w:val="12"/>
                <w:lang w:val="es-CO" w:eastAsia="es-CO"/>
              </w:rPr>
            </w:pPr>
            <w:r w:rsidRPr="0095640F">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E7D732" w14:textId="77777777" w:rsidR="0095640F" w:rsidRPr="0095640F" w:rsidRDefault="0095640F" w:rsidP="0095640F">
            <w:pPr>
              <w:ind w:left="0"/>
              <w:jc w:val="center"/>
              <w:rPr>
                <w:rFonts w:ascii="Bookman Old Style" w:hAnsi="Bookman Old Style" w:cs="Arial"/>
                <w:b/>
                <w:color w:val="000000"/>
                <w:sz w:val="12"/>
                <w:szCs w:val="12"/>
                <w:lang w:val="es-CO" w:eastAsia="es-CO"/>
              </w:rPr>
            </w:pPr>
            <w:r w:rsidRPr="0095640F">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1377A6D" w14:textId="77777777" w:rsidR="0095640F" w:rsidRPr="0095640F" w:rsidRDefault="0095640F" w:rsidP="0095640F">
            <w:pPr>
              <w:ind w:left="0"/>
              <w:jc w:val="center"/>
              <w:rPr>
                <w:rFonts w:ascii="Bookman Old Style" w:hAnsi="Bookman Old Style" w:cs="Arial"/>
                <w:b/>
                <w:color w:val="000000"/>
                <w:sz w:val="12"/>
                <w:szCs w:val="12"/>
                <w:lang w:val="es-CO" w:eastAsia="es-CO"/>
              </w:rPr>
            </w:pPr>
            <w:r w:rsidRPr="0095640F">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860523B" w14:textId="77777777" w:rsidR="0095640F" w:rsidRPr="0095640F" w:rsidRDefault="0095640F" w:rsidP="0095640F">
            <w:pPr>
              <w:ind w:left="0"/>
              <w:jc w:val="center"/>
              <w:rPr>
                <w:rFonts w:ascii="Bookman Old Style" w:hAnsi="Bookman Old Style" w:cs="Arial"/>
                <w:b/>
                <w:color w:val="000000"/>
                <w:sz w:val="12"/>
                <w:szCs w:val="12"/>
                <w:lang w:val="es-CO" w:eastAsia="es-CO"/>
              </w:rPr>
            </w:pPr>
            <w:r w:rsidRPr="0095640F">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23F88D6" w14:textId="77777777" w:rsidR="0095640F" w:rsidRPr="0095640F" w:rsidRDefault="0095640F" w:rsidP="0095640F">
            <w:pPr>
              <w:ind w:left="0"/>
              <w:jc w:val="center"/>
              <w:rPr>
                <w:rFonts w:ascii="Bookman Old Style" w:hAnsi="Bookman Old Style" w:cs="Arial"/>
                <w:b/>
                <w:color w:val="000000"/>
                <w:sz w:val="12"/>
                <w:szCs w:val="12"/>
                <w:lang w:val="es-CO" w:eastAsia="es-CO"/>
              </w:rPr>
            </w:pPr>
            <w:r w:rsidRPr="0095640F">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4A715228" w14:textId="77777777" w:rsidR="0095640F" w:rsidRPr="0095640F" w:rsidRDefault="0095640F" w:rsidP="0095640F">
            <w:pPr>
              <w:ind w:left="0"/>
              <w:jc w:val="center"/>
              <w:rPr>
                <w:rFonts w:ascii="Bookman Old Style" w:hAnsi="Bookman Old Style" w:cs="Arial"/>
                <w:b/>
                <w:color w:val="000000"/>
                <w:sz w:val="12"/>
                <w:szCs w:val="12"/>
                <w:lang w:val="es-CO" w:eastAsia="es-CO"/>
              </w:rPr>
            </w:pPr>
            <w:r w:rsidRPr="0095640F">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869AF41" w14:textId="77777777" w:rsidR="0095640F" w:rsidRPr="0095640F" w:rsidRDefault="0095640F" w:rsidP="0095640F">
            <w:pPr>
              <w:ind w:left="0"/>
              <w:jc w:val="center"/>
              <w:rPr>
                <w:rFonts w:ascii="Bookman Old Style" w:hAnsi="Bookman Old Style" w:cs="Arial"/>
                <w:b/>
                <w:color w:val="000000"/>
                <w:sz w:val="12"/>
                <w:szCs w:val="12"/>
                <w:lang w:val="es-CO" w:eastAsia="es-CO"/>
              </w:rPr>
            </w:pPr>
            <w:r w:rsidRPr="0095640F">
              <w:rPr>
                <w:rFonts w:ascii="Bookman Old Style" w:hAnsi="Bookman Old Style" w:cs="Arial"/>
                <w:b/>
                <w:color w:val="000000"/>
                <w:sz w:val="12"/>
                <w:szCs w:val="12"/>
                <w:lang w:val="es-CO" w:eastAsia="es-CO"/>
              </w:rPr>
              <w:t>Año 10</w:t>
            </w:r>
          </w:p>
        </w:tc>
      </w:tr>
      <w:tr w:rsidR="0095640F" w:rsidRPr="0095640F" w14:paraId="6218219C" w14:textId="77777777" w:rsidTr="0095640F">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D551CE" w14:textId="77777777" w:rsidR="0095640F" w:rsidRPr="0095640F" w:rsidRDefault="0095640F" w:rsidP="0095640F">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04213" w14:textId="77777777" w:rsidR="0095640F" w:rsidRPr="0095640F" w:rsidRDefault="0095640F" w:rsidP="0095640F">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22E39EA8"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14A5F03"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D2BB09B"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40232531"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F569E72"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909467E"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53E229C3"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668FD73"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4CFF5ED"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591A5412" w14:textId="77777777" w:rsidR="0095640F" w:rsidRPr="0095640F" w:rsidRDefault="0095640F" w:rsidP="0095640F">
            <w:pPr>
              <w:ind w:left="0"/>
              <w:jc w:val="center"/>
              <w:rPr>
                <w:rFonts w:ascii="Bookman Old Style" w:hAnsi="Bookman Old Style" w:cs="Arial"/>
                <w:b/>
                <w:color w:val="000000"/>
                <w:sz w:val="10"/>
                <w:szCs w:val="10"/>
                <w:lang w:val="es-CO" w:eastAsia="es-CO"/>
              </w:rPr>
            </w:pPr>
            <w:r w:rsidRPr="0095640F">
              <w:rPr>
                <w:rFonts w:ascii="Bookman Old Style" w:hAnsi="Bookman Old Style" w:cs="Arial"/>
                <w:b/>
                <w:color w:val="000000"/>
                <w:sz w:val="10"/>
                <w:szCs w:val="10"/>
                <w:lang w:val="es-CO" w:eastAsia="es-CO"/>
              </w:rPr>
              <w:t>Secundaria</w:t>
            </w:r>
          </w:p>
        </w:tc>
      </w:tr>
      <w:tr w:rsidR="0095640F" w:rsidRPr="0095640F" w14:paraId="7B1D0D04"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2CE4D2A"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F7328E3"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FF46422" w14:textId="77777777" w:rsidR="0095640F" w:rsidRPr="0095640F" w:rsidRDefault="0095640F" w:rsidP="0095640F">
            <w:pPr>
              <w:ind w:left="0" w:hanging="14"/>
              <w:jc w:val="right"/>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B233C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3,257 </w:t>
            </w:r>
          </w:p>
        </w:tc>
        <w:tc>
          <w:tcPr>
            <w:tcW w:w="390" w:type="pct"/>
            <w:tcBorders>
              <w:top w:val="nil"/>
              <w:left w:val="nil"/>
              <w:bottom w:val="single" w:sz="4" w:space="0" w:color="auto"/>
              <w:right w:val="single" w:sz="4" w:space="0" w:color="auto"/>
            </w:tcBorders>
            <w:shd w:val="clear" w:color="auto" w:fill="auto"/>
            <w:noWrap/>
            <w:vAlign w:val="center"/>
          </w:tcPr>
          <w:p w14:paraId="2878774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85153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3,328 </w:t>
            </w:r>
          </w:p>
        </w:tc>
        <w:tc>
          <w:tcPr>
            <w:tcW w:w="390" w:type="pct"/>
            <w:tcBorders>
              <w:top w:val="nil"/>
              <w:left w:val="nil"/>
              <w:bottom w:val="single" w:sz="4" w:space="0" w:color="auto"/>
              <w:right w:val="single" w:sz="4" w:space="0" w:color="auto"/>
            </w:tcBorders>
            <w:shd w:val="clear" w:color="auto" w:fill="auto"/>
            <w:noWrap/>
            <w:vAlign w:val="center"/>
          </w:tcPr>
          <w:p w14:paraId="7C8CD0A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2E5EE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3,398 </w:t>
            </w:r>
          </w:p>
        </w:tc>
        <w:tc>
          <w:tcPr>
            <w:tcW w:w="389" w:type="pct"/>
            <w:tcBorders>
              <w:top w:val="nil"/>
              <w:left w:val="nil"/>
              <w:bottom w:val="single" w:sz="4" w:space="0" w:color="auto"/>
              <w:right w:val="single" w:sz="4" w:space="0" w:color="auto"/>
            </w:tcBorders>
            <w:shd w:val="clear" w:color="auto" w:fill="auto"/>
            <w:noWrap/>
            <w:vAlign w:val="center"/>
          </w:tcPr>
          <w:p w14:paraId="2AFCA17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CAECE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3,469 </w:t>
            </w:r>
          </w:p>
        </w:tc>
        <w:tc>
          <w:tcPr>
            <w:tcW w:w="390" w:type="pct"/>
            <w:tcBorders>
              <w:top w:val="nil"/>
              <w:left w:val="nil"/>
              <w:bottom w:val="single" w:sz="4" w:space="0" w:color="auto"/>
              <w:right w:val="single" w:sz="4" w:space="0" w:color="auto"/>
            </w:tcBorders>
            <w:shd w:val="clear" w:color="auto" w:fill="auto"/>
            <w:noWrap/>
            <w:vAlign w:val="center"/>
          </w:tcPr>
          <w:p w14:paraId="5BEF4D3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672BF2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3,540 </w:t>
            </w:r>
          </w:p>
        </w:tc>
      </w:tr>
      <w:tr w:rsidR="0095640F" w:rsidRPr="0095640F" w14:paraId="1742BE38"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4895355"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34EA78A"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B7E33C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95EAB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3,257 </w:t>
            </w:r>
          </w:p>
        </w:tc>
        <w:tc>
          <w:tcPr>
            <w:tcW w:w="390" w:type="pct"/>
            <w:tcBorders>
              <w:top w:val="nil"/>
              <w:left w:val="nil"/>
              <w:bottom w:val="single" w:sz="4" w:space="0" w:color="auto"/>
              <w:right w:val="single" w:sz="4" w:space="0" w:color="auto"/>
            </w:tcBorders>
            <w:shd w:val="clear" w:color="auto" w:fill="auto"/>
            <w:noWrap/>
            <w:vAlign w:val="center"/>
          </w:tcPr>
          <w:p w14:paraId="5959F42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AF934B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3,328 </w:t>
            </w:r>
          </w:p>
        </w:tc>
        <w:tc>
          <w:tcPr>
            <w:tcW w:w="390" w:type="pct"/>
            <w:tcBorders>
              <w:top w:val="nil"/>
              <w:left w:val="nil"/>
              <w:bottom w:val="single" w:sz="4" w:space="0" w:color="auto"/>
              <w:right w:val="single" w:sz="4" w:space="0" w:color="auto"/>
            </w:tcBorders>
            <w:shd w:val="clear" w:color="auto" w:fill="auto"/>
            <w:noWrap/>
            <w:vAlign w:val="center"/>
          </w:tcPr>
          <w:p w14:paraId="75675C0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42E1A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3,398 </w:t>
            </w:r>
          </w:p>
        </w:tc>
        <w:tc>
          <w:tcPr>
            <w:tcW w:w="389" w:type="pct"/>
            <w:tcBorders>
              <w:top w:val="nil"/>
              <w:left w:val="nil"/>
              <w:bottom w:val="single" w:sz="4" w:space="0" w:color="auto"/>
              <w:right w:val="single" w:sz="4" w:space="0" w:color="auto"/>
            </w:tcBorders>
            <w:shd w:val="clear" w:color="auto" w:fill="auto"/>
            <w:noWrap/>
            <w:vAlign w:val="center"/>
          </w:tcPr>
          <w:p w14:paraId="35D7541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C154A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3,469 </w:t>
            </w:r>
          </w:p>
        </w:tc>
        <w:tc>
          <w:tcPr>
            <w:tcW w:w="390" w:type="pct"/>
            <w:tcBorders>
              <w:top w:val="nil"/>
              <w:left w:val="nil"/>
              <w:bottom w:val="single" w:sz="4" w:space="0" w:color="auto"/>
              <w:right w:val="single" w:sz="4" w:space="0" w:color="auto"/>
            </w:tcBorders>
            <w:shd w:val="clear" w:color="auto" w:fill="auto"/>
            <w:noWrap/>
            <w:vAlign w:val="center"/>
          </w:tcPr>
          <w:p w14:paraId="33D8D51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073D86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3,540 </w:t>
            </w:r>
          </w:p>
        </w:tc>
      </w:tr>
      <w:tr w:rsidR="0095640F" w:rsidRPr="0095640F" w14:paraId="374C9995"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881E0B"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EF5729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9393E8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1FB12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DD152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280E16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54898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2D011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8EF82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D2467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E4E37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F84A7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6077B5F5"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ACBC61"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DC38125"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03E533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0B389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873AB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E394D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184D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E3428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7BA43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567E0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2CF1E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485F2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6C3DE9E2"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8C60D4"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36B8348"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4E9801C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87FD1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061D9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AB3FA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B653F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C02A8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2D852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59A41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F8394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B94FF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1165D2C0"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4268A2"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4B4C71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647D9E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7F9DF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DC73F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596CA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AAE73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73FB1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73CB3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46CEA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718FF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AACC74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2CE602B1"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52CF11"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5DE855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64AD022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37DBC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F6F35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E294E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77D15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A5D10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504FF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184B3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093A7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F14D2C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13CA9092"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020C35"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C9B00C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17AB77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DD989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F33A77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BABFBB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FE5390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7C9CAA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63709EA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283E7D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961847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3D23719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r>
      <w:tr w:rsidR="0095640F" w:rsidRPr="0095640F" w14:paraId="75186594"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18E02B"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E5CB52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59D6ED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B2A66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A72F1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C54AA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CD102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F27AB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59CB2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D40C8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F29EE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C7767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3BB39725"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FDE15E"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DBB9DB3"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19DD1F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8CC6F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BA1AE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A788C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3636B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DE0C2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862AA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1F691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0F6D1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D843F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4D997819"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3BA466C" w14:textId="77777777" w:rsidR="0095640F" w:rsidRPr="0095640F" w:rsidRDefault="0095640F" w:rsidP="0095640F">
            <w:pPr>
              <w:ind w:left="0"/>
              <w:rPr>
                <w:rFonts w:ascii="Bookman Old Style" w:hAnsi="Bookman Old Style" w:cs="Arial"/>
                <w:sz w:val="12"/>
                <w:szCs w:val="12"/>
                <w:lang w:val="es-CO"/>
              </w:rPr>
            </w:pPr>
            <w:r w:rsidRPr="0095640F">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C2C9139"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4CC187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4D26DA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7C4BDB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1AFC5F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F4B5BF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9130F1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B366D1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203409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1D13CF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31CA95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r>
      <w:tr w:rsidR="0095640F" w:rsidRPr="0095640F" w14:paraId="01844641"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13A13CD6"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BA7AAD8"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A51F6C9"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756074"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4,036 </w:t>
            </w:r>
          </w:p>
        </w:tc>
        <w:tc>
          <w:tcPr>
            <w:tcW w:w="390" w:type="pct"/>
            <w:tcBorders>
              <w:top w:val="nil"/>
              <w:left w:val="nil"/>
              <w:bottom w:val="single" w:sz="4" w:space="0" w:color="auto"/>
              <w:right w:val="single" w:sz="4" w:space="0" w:color="auto"/>
            </w:tcBorders>
            <w:shd w:val="clear" w:color="auto" w:fill="auto"/>
            <w:noWrap/>
            <w:vAlign w:val="center"/>
          </w:tcPr>
          <w:p w14:paraId="5301F70A"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D6F1D9E"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4,106 </w:t>
            </w:r>
          </w:p>
        </w:tc>
        <w:tc>
          <w:tcPr>
            <w:tcW w:w="390" w:type="pct"/>
            <w:tcBorders>
              <w:top w:val="nil"/>
              <w:left w:val="nil"/>
              <w:bottom w:val="single" w:sz="4" w:space="0" w:color="auto"/>
              <w:right w:val="single" w:sz="4" w:space="0" w:color="auto"/>
            </w:tcBorders>
            <w:shd w:val="clear" w:color="auto" w:fill="auto"/>
            <w:noWrap/>
            <w:vAlign w:val="center"/>
          </w:tcPr>
          <w:p w14:paraId="7ACFE7D9"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FE6B8B"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4,177 </w:t>
            </w:r>
          </w:p>
        </w:tc>
        <w:tc>
          <w:tcPr>
            <w:tcW w:w="389" w:type="pct"/>
            <w:tcBorders>
              <w:top w:val="nil"/>
              <w:left w:val="nil"/>
              <w:bottom w:val="single" w:sz="4" w:space="0" w:color="auto"/>
              <w:right w:val="single" w:sz="4" w:space="0" w:color="auto"/>
            </w:tcBorders>
            <w:shd w:val="clear" w:color="auto" w:fill="auto"/>
            <w:noWrap/>
            <w:vAlign w:val="center"/>
          </w:tcPr>
          <w:p w14:paraId="7F7062C6"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8A3760"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4,248 </w:t>
            </w:r>
          </w:p>
        </w:tc>
        <w:tc>
          <w:tcPr>
            <w:tcW w:w="390" w:type="pct"/>
            <w:tcBorders>
              <w:top w:val="nil"/>
              <w:left w:val="nil"/>
              <w:bottom w:val="single" w:sz="4" w:space="0" w:color="auto"/>
              <w:right w:val="single" w:sz="4" w:space="0" w:color="auto"/>
            </w:tcBorders>
            <w:shd w:val="clear" w:color="auto" w:fill="auto"/>
            <w:noWrap/>
            <w:vAlign w:val="center"/>
          </w:tcPr>
          <w:p w14:paraId="727B11A6"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660FAD9"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4,319 </w:t>
            </w:r>
          </w:p>
        </w:tc>
      </w:tr>
      <w:tr w:rsidR="0095640F" w:rsidRPr="0095640F" w14:paraId="0BC5D0E5"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A87E2FC"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5A1BC04D"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5AD3EB5"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4BA5CF"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4,036 </w:t>
            </w:r>
          </w:p>
        </w:tc>
        <w:tc>
          <w:tcPr>
            <w:tcW w:w="390" w:type="pct"/>
            <w:tcBorders>
              <w:top w:val="nil"/>
              <w:left w:val="nil"/>
              <w:bottom w:val="single" w:sz="4" w:space="0" w:color="auto"/>
              <w:right w:val="single" w:sz="4" w:space="0" w:color="auto"/>
            </w:tcBorders>
            <w:shd w:val="clear" w:color="auto" w:fill="auto"/>
            <w:noWrap/>
            <w:vAlign w:val="center"/>
          </w:tcPr>
          <w:p w14:paraId="7B24BA02"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B00C753"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4,106 </w:t>
            </w:r>
          </w:p>
        </w:tc>
        <w:tc>
          <w:tcPr>
            <w:tcW w:w="390" w:type="pct"/>
            <w:tcBorders>
              <w:top w:val="nil"/>
              <w:left w:val="nil"/>
              <w:bottom w:val="single" w:sz="4" w:space="0" w:color="auto"/>
              <w:right w:val="single" w:sz="4" w:space="0" w:color="auto"/>
            </w:tcBorders>
            <w:shd w:val="clear" w:color="auto" w:fill="auto"/>
            <w:noWrap/>
            <w:vAlign w:val="center"/>
          </w:tcPr>
          <w:p w14:paraId="77EBAADE"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07002F"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4,177 </w:t>
            </w:r>
          </w:p>
        </w:tc>
        <w:tc>
          <w:tcPr>
            <w:tcW w:w="389" w:type="pct"/>
            <w:tcBorders>
              <w:top w:val="nil"/>
              <w:left w:val="nil"/>
              <w:bottom w:val="single" w:sz="4" w:space="0" w:color="auto"/>
              <w:right w:val="single" w:sz="4" w:space="0" w:color="auto"/>
            </w:tcBorders>
            <w:shd w:val="clear" w:color="auto" w:fill="auto"/>
            <w:noWrap/>
            <w:vAlign w:val="center"/>
          </w:tcPr>
          <w:p w14:paraId="529ED687"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98CF83"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4,248 </w:t>
            </w:r>
          </w:p>
        </w:tc>
        <w:tc>
          <w:tcPr>
            <w:tcW w:w="390" w:type="pct"/>
            <w:tcBorders>
              <w:top w:val="nil"/>
              <w:left w:val="nil"/>
              <w:bottom w:val="single" w:sz="4" w:space="0" w:color="auto"/>
              <w:right w:val="single" w:sz="4" w:space="0" w:color="auto"/>
            </w:tcBorders>
            <w:shd w:val="clear" w:color="auto" w:fill="auto"/>
            <w:noWrap/>
            <w:vAlign w:val="center"/>
          </w:tcPr>
          <w:p w14:paraId="2B5D9F98"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C05D3D"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4,319 </w:t>
            </w:r>
          </w:p>
        </w:tc>
      </w:tr>
      <w:tr w:rsidR="0095640F" w:rsidRPr="0095640F" w14:paraId="06ECE6B8"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EB8B9A"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D57657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CDB795D"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CBD268"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53AFA8"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868BA2"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A7AA42"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3B68BC"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2DEE6F"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20CECC"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AA43F9"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FE7575"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r>
      <w:tr w:rsidR="0095640F" w:rsidRPr="0095640F" w14:paraId="3B969F2F"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95BD2D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2B3A20C"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05C8572"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782D26"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68D043"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10A82CB"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486129"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C463AC"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3308809"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DFB735"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844259"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F21EDC"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r>
      <w:tr w:rsidR="0095640F" w:rsidRPr="0095640F" w14:paraId="1326388B"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C65AFE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41B1FD9"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FA167E7"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1BD8DF"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B8F38"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9237A1"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6CDEA0"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A5705F"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D4DAF4"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E0B8CE"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1E7B8B"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7672FE" w14:textId="77777777" w:rsidR="0095640F" w:rsidRPr="0095640F" w:rsidRDefault="0095640F" w:rsidP="0095640F">
            <w:pPr>
              <w:ind w:left="0" w:hanging="14"/>
              <w:jc w:val="right"/>
              <w:rPr>
                <w:rFonts w:ascii="Bookman Old Style" w:hAnsi="Bookman Old Style" w:cs="Arial"/>
                <w:color w:val="000000"/>
                <w:sz w:val="12"/>
                <w:szCs w:val="12"/>
                <w:highlight w:val="yellow"/>
                <w:lang w:val="es-CO"/>
              </w:rPr>
            </w:pPr>
            <w:r w:rsidRPr="0095640F">
              <w:rPr>
                <w:rFonts w:ascii="Bookman Old Style" w:hAnsi="Bookman Old Style" w:cs="Arial"/>
                <w:color w:val="000000"/>
                <w:sz w:val="12"/>
                <w:szCs w:val="12"/>
                <w:lang w:val="es-CO"/>
              </w:rPr>
              <w:t xml:space="preserve">- </w:t>
            </w:r>
          </w:p>
        </w:tc>
      </w:tr>
      <w:tr w:rsidR="0095640F" w:rsidRPr="0095640F" w14:paraId="5F7B7579"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53DDCD"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870C8E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9D73D8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610D9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52F24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25966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0732D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35A0D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68504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DD0E3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76F3A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6F076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1B81EB9"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E567D3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70FAF0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FB9A06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4AECD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6E315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67495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75891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19F6B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1A10B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FEE3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633EA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76751C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6B50A391"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F7F6F4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6DDE3D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397AAD8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5F3E8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EF776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C4452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E568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6AD6C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BD962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3679E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EECEE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8390A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7F7469A"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9FD05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107506D"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0A5246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71CC0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ADC4C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631BB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2BF32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1D1D8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029A8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EE5E9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AFC03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6EC7E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1F350886"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5C549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lastRenderedPageBreak/>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5260C1C"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FAB4D3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BCFB1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F8595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89731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10400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75E34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9CE93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ACD02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BB5AD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98B3C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662DA75"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94B77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450738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D6CED9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E2A05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2D896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FC70C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7E9B7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20028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0D88A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411EF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4D42C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407480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1C7E2AC6"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963910C"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6BC04B54"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B16CAC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6E187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3,752 </w:t>
            </w:r>
          </w:p>
        </w:tc>
        <w:tc>
          <w:tcPr>
            <w:tcW w:w="390" w:type="pct"/>
            <w:tcBorders>
              <w:top w:val="nil"/>
              <w:left w:val="nil"/>
              <w:bottom w:val="single" w:sz="4" w:space="0" w:color="auto"/>
              <w:right w:val="single" w:sz="4" w:space="0" w:color="auto"/>
            </w:tcBorders>
            <w:shd w:val="clear" w:color="auto" w:fill="auto"/>
            <w:noWrap/>
            <w:vAlign w:val="center"/>
          </w:tcPr>
          <w:p w14:paraId="4EADAE2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FFD47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3,823 </w:t>
            </w:r>
          </w:p>
        </w:tc>
        <w:tc>
          <w:tcPr>
            <w:tcW w:w="390" w:type="pct"/>
            <w:tcBorders>
              <w:top w:val="nil"/>
              <w:left w:val="nil"/>
              <w:bottom w:val="single" w:sz="4" w:space="0" w:color="auto"/>
              <w:right w:val="single" w:sz="4" w:space="0" w:color="auto"/>
            </w:tcBorders>
            <w:shd w:val="clear" w:color="auto" w:fill="auto"/>
            <w:noWrap/>
            <w:vAlign w:val="center"/>
          </w:tcPr>
          <w:p w14:paraId="2C874E3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D19F8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3,894 </w:t>
            </w:r>
          </w:p>
        </w:tc>
        <w:tc>
          <w:tcPr>
            <w:tcW w:w="389" w:type="pct"/>
            <w:tcBorders>
              <w:top w:val="nil"/>
              <w:left w:val="nil"/>
              <w:bottom w:val="single" w:sz="4" w:space="0" w:color="auto"/>
              <w:right w:val="single" w:sz="4" w:space="0" w:color="auto"/>
            </w:tcBorders>
            <w:shd w:val="clear" w:color="auto" w:fill="auto"/>
            <w:noWrap/>
            <w:vAlign w:val="center"/>
          </w:tcPr>
          <w:p w14:paraId="4DE1D35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7472A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3,965 </w:t>
            </w:r>
          </w:p>
        </w:tc>
        <w:tc>
          <w:tcPr>
            <w:tcW w:w="390" w:type="pct"/>
            <w:tcBorders>
              <w:top w:val="nil"/>
              <w:left w:val="nil"/>
              <w:bottom w:val="single" w:sz="4" w:space="0" w:color="auto"/>
              <w:right w:val="single" w:sz="4" w:space="0" w:color="auto"/>
            </w:tcBorders>
            <w:shd w:val="clear" w:color="auto" w:fill="auto"/>
            <w:noWrap/>
            <w:vAlign w:val="center"/>
          </w:tcPr>
          <w:p w14:paraId="6D5FABF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A55E6A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4,036 </w:t>
            </w:r>
          </w:p>
        </w:tc>
      </w:tr>
      <w:tr w:rsidR="0095640F" w:rsidRPr="0095640F" w14:paraId="15D356AA"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3BB7C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1075DC9"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2A5BCD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4A4F4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3,752 </w:t>
            </w:r>
          </w:p>
        </w:tc>
        <w:tc>
          <w:tcPr>
            <w:tcW w:w="390" w:type="pct"/>
            <w:tcBorders>
              <w:top w:val="nil"/>
              <w:left w:val="nil"/>
              <w:bottom w:val="single" w:sz="4" w:space="0" w:color="auto"/>
              <w:right w:val="single" w:sz="4" w:space="0" w:color="auto"/>
            </w:tcBorders>
            <w:shd w:val="clear" w:color="auto" w:fill="auto"/>
            <w:noWrap/>
            <w:vAlign w:val="center"/>
          </w:tcPr>
          <w:p w14:paraId="0CCF77F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38E75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3,823 </w:t>
            </w:r>
          </w:p>
        </w:tc>
        <w:tc>
          <w:tcPr>
            <w:tcW w:w="390" w:type="pct"/>
            <w:tcBorders>
              <w:top w:val="nil"/>
              <w:left w:val="nil"/>
              <w:bottom w:val="single" w:sz="4" w:space="0" w:color="auto"/>
              <w:right w:val="single" w:sz="4" w:space="0" w:color="auto"/>
            </w:tcBorders>
            <w:shd w:val="clear" w:color="auto" w:fill="auto"/>
            <w:noWrap/>
            <w:vAlign w:val="center"/>
          </w:tcPr>
          <w:p w14:paraId="380EB99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27AF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3,894 </w:t>
            </w:r>
          </w:p>
        </w:tc>
        <w:tc>
          <w:tcPr>
            <w:tcW w:w="389" w:type="pct"/>
            <w:tcBorders>
              <w:top w:val="nil"/>
              <w:left w:val="nil"/>
              <w:bottom w:val="single" w:sz="4" w:space="0" w:color="auto"/>
              <w:right w:val="single" w:sz="4" w:space="0" w:color="auto"/>
            </w:tcBorders>
            <w:shd w:val="clear" w:color="auto" w:fill="auto"/>
            <w:noWrap/>
            <w:vAlign w:val="center"/>
          </w:tcPr>
          <w:p w14:paraId="1C636C6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41B69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3,965 </w:t>
            </w:r>
          </w:p>
        </w:tc>
        <w:tc>
          <w:tcPr>
            <w:tcW w:w="390" w:type="pct"/>
            <w:tcBorders>
              <w:top w:val="nil"/>
              <w:left w:val="nil"/>
              <w:bottom w:val="single" w:sz="4" w:space="0" w:color="auto"/>
              <w:right w:val="single" w:sz="4" w:space="0" w:color="auto"/>
            </w:tcBorders>
            <w:shd w:val="clear" w:color="auto" w:fill="auto"/>
            <w:noWrap/>
            <w:vAlign w:val="center"/>
          </w:tcPr>
          <w:p w14:paraId="4D072B5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716193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4,036 </w:t>
            </w:r>
          </w:p>
        </w:tc>
      </w:tr>
      <w:tr w:rsidR="0095640F" w:rsidRPr="0095640F" w14:paraId="16E8CCFE"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B063E3"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4F4FB24"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755381B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A37FF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716C7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5AF87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FB6C0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6D726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CBF74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D90D7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E594E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B8EF8B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062C3657"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0CE27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55815C5"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F47DED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3CA16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0857A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317E28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5A6A1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A43F9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28FBF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56363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6A20B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75CC5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6DE54616"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2D653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D9014D8"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B7C689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C5B66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F2B0B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72DBA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2BC0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D4A20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58AA9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94C6E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9F95B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3F427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237CEF6B"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FBEB40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20E2C85"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4CE9CF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68A7D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FBC37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786765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768D5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1A3DF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C81F6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6855E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B4695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391F9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7F9C3695"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F9AB6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7302AA3"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DE081D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E2BC2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59C98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94852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C4E57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A4A85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DB6A8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926AC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1619F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EE3CB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054CAC3A"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6E6E6D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333AC7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06D091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02440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F8590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7CE40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456D2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799EB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5CA2CF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2AF35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C5352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94109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0646D256"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77D1DC"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4BADCE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FB8408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8FB1D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A64D4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EEDA1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3224A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B6367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54A52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51E52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CFC96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06F3B6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3F357469"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FFE0A4"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459E4A6"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7A56B7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180EF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03F58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EFDC7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E8BA0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36B79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2D726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8B61E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382F3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7734E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75D62AB6"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BFA89B"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53B3E839"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7E0A91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C419F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24280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20DA4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62BD0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FB345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15178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334E1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46770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504E3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C84CEAB"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317CE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992973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7BF1FB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31C04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2,266 </w:t>
            </w:r>
          </w:p>
        </w:tc>
        <w:tc>
          <w:tcPr>
            <w:tcW w:w="390" w:type="pct"/>
            <w:tcBorders>
              <w:top w:val="nil"/>
              <w:left w:val="nil"/>
              <w:bottom w:val="single" w:sz="4" w:space="0" w:color="auto"/>
              <w:right w:val="single" w:sz="4" w:space="0" w:color="auto"/>
            </w:tcBorders>
            <w:shd w:val="clear" w:color="auto" w:fill="auto"/>
            <w:noWrap/>
            <w:vAlign w:val="center"/>
          </w:tcPr>
          <w:p w14:paraId="21AA07C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F87E8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2,336 </w:t>
            </w:r>
          </w:p>
        </w:tc>
        <w:tc>
          <w:tcPr>
            <w:tcW w:w="390" w:type="pct"/>
            <w:tcBorders>
              <w:top w:val="nil"/>
              <w:left w:val="nil"/>
              <w:bottom w:val="single" w:sz="4" w:space="0" w:color="auto"/>
              <w:right w:val="single" w:sz="4" w:space="0" w:color="auto"/>
            </w:tcBorders>
            <w:shd w:val="clear" w:color="auto" w:fill="auto"/>
            <w:noWrap/>
            <w:vAlign w:val="center"/>
          </w:tcPr>
          <w:p w14:paraId="621A23A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D7BDF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2,407 </w:t>
            </w:r>
          </w:p>
        </w:tc>
        <w:tc>
          <w:tcPr>
            <w:tcW w:w="389" w:type="pct"/>
            <w:tcBorders>
              <w:top w:val="nil"/>
              <w:left w:val="nil"/>
              <w:bottom w:val="single" w:sz="4" w:space="0" w:color="auto"/>
              <w:right w:val="single" w:sz="4" w:space="0" w:color="auto"/>
            </w:tcBorders>
            <w:shd w:val="clear" w:color="auto" w:fill="auto"/>
            <w:noWrap/>
            <w:vAlign w:val="center"/>
          </w:tcPr>
          <w:p w14:paraId="329FEBA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20124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2,478 </w:t>
            </w:r>
          </w:p>
        </w:tc>
        <w:tc>
          <w:tcPr>
            <w:tcW w:w="390" w:type="pct"/>
            <w:tcBorders>
              <w:top w:val="nil"/>
              <w:left w:val="nil"/>
              <w:bottom w:val="single" w:sz="4" w:space="0" w:color="auto"/>
              <w:right w:val="single" w:sz="4" w:space="0" w:color="auto"/>
            </w:tcBorders>
            <w:shd w:val="clear" w:color="auto" w:fill="auto"/>
            <w:noWrap/>
            <w:vAlign w:val="center"/>
          </w:tcPr>
          <w:p w14:paraId="3568FE0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7E58DF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2,549 </w:t>
            </w:r>
          </w:p>
        </w:tc>
      </w:tr>
      <w:tr w:rsidR="0095640F" w:rsidRPr="0095640F" w14:paraId="06684A2E"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DF952F4"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0F05CD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0277EC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38434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2,266 </w:t>
            </w:r>
          </w:p>
        </w:tc>
        <w:tc>
          <w:tcPr>
            <w:tcW w:w="390" w:type="pct"/>
            <w:tcBorders>
              <w:top w:val="nil"/>
              <w:left w:val="nil"/>
              <w:bottom w:val="single" w:sz="4" w:space="0" w:color="auto"/>
              <w:right w:val="single" w:sz="4" w:space="0" w:color="auto"/>
            </w:tcBorders>
            <w:shd w:val="clear" w:color="auto" w:fill="auto"/>
            <w:noWrap/>
            <w:vAlign w:val="center"/>
          </w:tcPr>
          <w:p w14:paraId="27790B3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B0782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2,336 </w:t>
            </w:r>
          </w:p>
        </w:tc>
        <w:tc>
          <w:tcPr>
            <w:tcW w:w="390" w:type="pct"/>
            <w:tcBorders>
              <w:top w:val="nil"/>
              <w:left w:val="nil"/>
              <w:bottom w:val="single" w:sz="4" w:space="0" w:color="auto"/>
              <w:right w:val="single" w:sz="4" w:space="0" w:color="auto"/>
            </w:tcBorders>
            <w:shd w:val="clear" w:color="auto" w:fill="auto"/>
            <w:noWrap/>
            <w:vAlign w:val="center"/>
          </w:tcPr>
          <w:p w14:paraId="31FE3FF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E8D1B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2,407 </w:t>
            </w:r>
          </w:p>
        </w:tc>
        <w:tc>
          <w:tcPr>
            <w:tcW w:w="389" w:type="pct"/>
            <w:tcBorders>
              <w:top w:val="nil"/>
              <w:left w:val="nil"/>
              <w:bottom w:val="single" w:sz="4" w:space="0" w:color="auto"/>
              <w:right w:val="single" w:sz="4" w:space="0" w:color="auto"/>
            </w:tcBorders>
            <w:shd w:val="clear" w:color="auto" w:fill="auto"/>
            <w:noWrap/>
            <w:vAlign w:val="center"/>
          </w:tcPr>
          <w:p w14:paraId="5BC2B51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AA427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2,478 </w:t>
            </w:r>
          </w:p>
        </w:tc>
        <w:tc>
          <w:tcPr>
            <w:tcW w:w="390" w:type="pct"/>
            <w:tcBorders>
              <w:top w:val="nil"/>
              <w:left w:val="nil"/>
              <w:bottom w:val="single" w:sz="4" w:space="0" w:color="auto"/>
              <w:right w:val="single" w:sz="4" w:space="0" w:color="auto"/>
            </w:tcBorders>
            <w:shd w:val="clear" w:color="auto" w:fill="auto"/>
            <w:noWrap/>
            <w:vAlign w:val="center"/>
          </w:tcPr>
          <w:p w14:paraId="39C4E3E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6763B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2,549 </w:t>
            </w:r>
          </w:p>
        </w:tc>
      </w:tr>
      <w:tr w:rsidR="0095640F" w:rsidRPr="0095640F" w14:paraId="7148DA11"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F2881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85CFD0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264DC3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61644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4FDA8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7EF00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CB93A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ECA70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D1130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D30E8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E1A3A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550A14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365AF68F"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E2A8E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C75660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5ED7ED6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BBD14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594FF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5E6EA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C8037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39BD4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20217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B1B59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9135E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CCDD8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C4DC64A"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B18B1D"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832B618"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C80996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89C05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A56F3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4A9BE6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FA01E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28EE1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43A28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BF06A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6E5CC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EA15A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7974BF41"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EBCF32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1C9ED93"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5AABED4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BAA49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83E7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915BB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79027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60F19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F20FD9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ACFAC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1E360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0AB2A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38EE8B66"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EDA13DB"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5F387A1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14B1CEA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50C86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2445E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9A4A6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25B7B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07022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EACEB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08101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5DA41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6CAB2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C5B7115"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66A38B"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69CDD05"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AD7D44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F7318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341FE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B981C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B41EA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0906C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568BE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43492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597A1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AE7F6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6D8C4984"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B0E0F7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25742418"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3997AB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05C20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F26B6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10145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E9C62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63402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A1C3C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E19E4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82384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B6BD6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6B332393"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ED42E4"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5E2BFB1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84BBE0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C4E56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A0C33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A6DA39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29C1C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FCCF8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B26A2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9E1FA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31DF5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8525FD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0A7BAFBA"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E8BD4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32B1546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57FF116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4BD2D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E573C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9861B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E9153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E1107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4090F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05823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61137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35228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7171556F"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6113C0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1E37A624"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7ED7A4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C78253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5,027</w:t>
            </w:r>
          </w:p>
        </w:tc>
        <w:tc>
          <w:tcPr>
            <w:tcW w:w="390" w:type="pct"/>
            <w:tcBorders>
              <w:top w:val="nil"/>
              <w:left w:val="nil"/>
              <w:bottom w:val="single" w:sz="4" w:space="0" w:color="auto"/>
              <w:right w:val="single" w:sz="4" w:space="0" w:color="auto"/>
            </w:tcBorders>
            <w:shd w:val="clear" w:color="auto" w:fill="auto"/>
            <w:noWrap/>
            <w:vAlign w:val="center"/>
          </w:tcPr>
          <w:p w14:paraId="3839B19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185F91B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5,098</w:t>
            </w:r>
          </w:p>
        </w:tc>
        <w:tc>
          <w:tcPr>
            <w:tcW w:w="390" w:type="pct"/>
            <w:tcBorders>
              <w:top w:val="nil"/>
              <w:left w:val="nil"/>
              <w:bottom w:val="single" w:sz="4" w:space="0" w:color="auto"/>
              <w:right w:val="single" w:sz="4" w:space="0" w:color="auto"/>
            </w:tcBorders>
            <w:shd w:val="clear" w:color="auto" w:fill="auto"/>
            <w:noWrap/>
            <w:vAlign w:val="center"/>
          </w:tcPr>
          <w:p w14:paraId="25656CA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F06EAD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5,168</w:t>
            </w:r>
          </w:p>
        </w:tc>
        <w:tc>
          <w:tcPr>
            <w:tcW w:w="389" w:type="pct"/>
            <w:tcBorders>
              <w:top w:val="nil"/>
              <w:left w:val="nil"/>
              <w:bottom w:val="single" w:sz="4" w:space="0" w:color="auto"/>
              <w:right w:val="single" w:sz="4" w:space="0" w:color="auto"/>
            </w:tcBorders>
            <w:shd w:val="clear" w:color="auto" w:fill="auto"/>
            <w:noWrap/>
            <w:vAlign w:val="center"/>
          </w:tcPr>
          <w:p w14:paraId="076CD4B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52A0FD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5,239</w:t>
            </w:r>
          </w:p>
        </w:tc>
        <w:tc>
          <w:tcPr>
            <w:tcW w:w="390" w:type="pct"/>
            <w:tcBorders>
              <w:top w:val="nil"/>
              <w:left w:val="nil"/>
              <w:bottom w:val="single" w:sz="4" w:space="0" w:color="auto"/>
              <w:right w:val="single" w:sz="4" w:space="0" w:color="auto"/>
            </w:tcBorders>
            <w:shd w:val="clear" w:color="auto" w:fill="auto"/>
            <w:noWrap/>
            <w:vAlign w:val="center"/>
          </w:tcPr>
          <w:p w14:paraId="69AE288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5956C93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5,310</w:t>
            </w:r>
          </w:p>
        </w:tc>
      </w:tr>
      <w:tr w:rsidR="0095640F" w:rsidRPr="0095640F" w14:paraId="2AFE1AE7"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E76E19"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007788C8"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4C7100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3BE152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5,027</w:t>
            </w:r>
          </w:p>
        </w:tc>
        <w:tc>
          <w:tcPr>
            <w:tcW w:w="390" w:type="pct"/>
            <w:tcBorders>
              <w:top w:val="nil"/>
              <w:left w:val="nil"/>
              <w:bottom w:val="single" w:sz="4" w:space="0" w:color="auto"/>
              <w:right w:val="single" w:sz="4" w:space="0" w:color="auto"/>
            </w:tcBorders>
            <w:shd w:val="clear" w:color="auto" w:fill="auto"/>
            <w:noWrap/>
            <w:vAlign w:val="center"/>
          </w:tcPr>
          <w:p w14:paraId="0E3DC11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225034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5,098</w:t>
            </w:r>
          </w:p>
        </w:tc>
        <w:tc>
          <w:tcPr>
            <w:tcW w:w="390" w:type="pct"/>
            <w:tcBorders>
              <w:top w:val="nil"/>
              <w:left w:val="nil"/>
              <w:bottom w:val="single" w:sz="4" w:space="0" w:color="auto"/>
              <w:right w:val="single" w:sz="4" w:space="0" w:color="auto"/>
            </w:tcBorders>
            <w:shd w:val="clear" w:color="auto" w:fill="auto"/>
            <w:noWrap/>
            <w:vAlign w:val="center"/>
          </w:tcPr>
          <w:p w14:paraId="10FC24B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41983F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5,168</w:t>
            </w:r>
          </w:p>
        </w:tc>
        <w:tc>
          <w:tcPr>
            <w:tcW w:w="389" w:type="pct"/>
            <w:tcBorders>
              <w:top w:val="nil"/>
              <w:left w:val="nil"/>
              <w:bottom w:val="single" w:sz="4" w:space="0" w:color="auto"/>
              <w:right w:val="single" w:sz="4" w:space="0" w:color="auto"/>
            </w:tcBorders>
            <w:shd w:val="clear" w:color="auto" w:fill="auto"/>
            <w:noWrap/>
            <w:vAlign w:val="center"/>
          </w:tcPr>
          <w:p w14:paraId="51E9058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386FC7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5,239</w:t>
            </w:r>
          </w:p>
        </w:tc>
        <w:tc>
          <w:tcPr>
            <w:tcW w:w="390" w:type="pct"/>
            <w:tcBorders>
              <w:top w:val="nil"/>
              <w:left w:val="nil"/>
              <w:bottom w:val="single" w:sz="4" w:space="0" w:color="auto"/>
              <w:right w:val="single" w:sz="4" w:space="0" w:color="auto"/>
            </w:tcBorders>
            <w:shd w:val="clear" w:color="auto" w:fill="auto"/>
            <w:noWrap/>
            <w:vAlign w:val="center"/>
          </w:tcPr>
          <w:p w14:paraId="1C903FF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4F1CAC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5,310</w:t>
            </w:r>
          </w:p>
        </w:tc>
      </w:tr>
      <w:tr w:rsidR="0095640F" w:rsidRPr="0095640F" w14:paraId="6EC0D31A"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15AD02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3EF756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476D99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86370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FA7BE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6F73A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B5A73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DD9E8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16C8C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21552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CDAC3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54800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27243556"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6F739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CB3793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C3F41A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C750E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76A91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40EF8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310B4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8B178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11B95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00BDC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7EA1A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0CCD1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125A5CD0"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1EE4A5"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3365935"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7091E7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E33D2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AD232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29AAC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88EBC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C9410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D165D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3BD17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DF106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85214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06654B3"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A75DF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2CDCF96"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CA1801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BAC61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4E704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36C47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1BCD3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9BA10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7E37C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2FA9A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8B96E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A29CB3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0064F79D"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CC2EB3"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4282A1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3E2D25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AC958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F25C6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CF247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B6809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6F3DF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A9E61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EC7EE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CE5F5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2CF94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4F2F7804"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C7BE015"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750593F"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07CC96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46AC6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5122F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B844D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369CE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2E938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DF5A3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93FF1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ACECE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09C09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7F0AE9EC"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1C0CA3"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E1DCB9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8183BC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BAAFB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F3D89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C831C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29955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53684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D32ED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B82AB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4CAFE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05654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4BA806FF"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BCF37B"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BD5A58D"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E3CF35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FC6F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8FD4D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E4BB9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FD128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BD99B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BFE4C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B9004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4BCCE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FF929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28477BF5"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821317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C72767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E38B3B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5240C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8BE3F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B5544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6EB73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78161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F4716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EA54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07651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BEFEF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121F1780"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6B2B03"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F5DF71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2DD27D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4F228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3,823</w:t>
            </w:r>
          </w:p>
        </w:tc>
        <w:tc>
          <w:tcPr>
            <w:tcW w:w="390" w:type="pct"/>
            <w:tcBorders>
              <w:top w:val="nil"/>
              <w:left w:val="nil"/>
              <w:bottom w:val="single" w:sz="4" w:space="0" w:color="auto"/>
              <w:right w:val="single" w:sz="4" w:space="0" w:color="auto"/>
            </w:tcBorders>
            <w:shd w:val="clear" w:color="auto" w:fill="auto"/>
            <w:noWrap/>
            <w:vAlign w:val="center"/>
          </w:tcPr>
          <w:p w14:paraId="3BEC555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9271D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3,894</w:t>
            </w:r>
          </w:p>
        </w:tc>
        <w:tc>
          <w:tcPr>
            <w:tcW w:w="390" w:type="pct"/>
            <w:tcBorders>
              <w:top w:val="nil"/>
              <w:left w:val="nil"/>
              <w:bottom w:val="single" w:sz="4" w:space="0" w:color="auto"/>
              <w:right w:val="single" w:sz="4" w:space="0" w:color="auto"/>
            </w:tcBorders>
            <w:shd w:val="clear" w:color="auto" w:fill="auto"/>
            <w:noWrap/>
            <w:vAlign w:val="center"/>
          </w:tcPr>
          <w:p w14:paraId="3127699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0B20D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3,965</w:t>
            </w:r>
          </w:p>
        </w:tc>
        <w:tc>
          <w:tcPr>
            <w:tcW w:w="389" w:type="pct"/>
            <w:tcBorders>
              <w:top w:val="nil"/>
              <w:left w:val="nil"/>
              <w:bottom w:val="single" w:sz="4" w:space="0" w:color="auto"/>
              <w:right w:val="single" w:sz="4" w:space="0" w:color="auto"/>
            </w:tcBorders>
            <w:shd w:val="clear" w:color="auto" w:fill="auto"/>
            <w:noWrap/>
            <w:vAlign w:val="center"/>
          </w:tcPr>
          <w:p w14:paraId="55F8E26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11752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4,036</w:t>
            </w:r>
          </w:p>
        </w:tc>
        <w:tc>
          <w:tcPr>
            <w:tcW w:w="390" w:type="pct"/>
            <w:tcBorders>
              <w:top w:val="nil"/>
              <w:left w:val="nil"/>
              <w:bottom w:val="single" w:sz="4" w:space="0" w:color="auto"/>
              <w:right w:val="single" w:sz="4" w:space="0" w:color="auto"/>
            </w:tcBorders>
            <w:shd w:val="clear" w:color="auto" w:fill="auto"/>
            <w:noWrap/>
            <w:vAlign w:val="center"/>
          </w:tcPr>
          <w:p w14:paraId="60C787A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ABAD2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4,106</w:t>
            </w:r>
          </w:p>
        </w:tc>
      </w:tr>
      <w:tr w:rsidR="0095640F" w:rsidRPr="0095640F" w14:paraId="7478A93B"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D54AE9"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AA7BC7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5FF4EED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7B023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3,823</w:t>
            </w:r>
          </w:p>
        </w:tc>
        <w:tc>
          <w:tcPr>
            <w:tcW w:w="390" w:type="pct"/>
            <w:tcBorders>
              <w:top w:val="nil"/>
              <w:left w:val="nil"/>
              <w:bottom w:val="single" w:sz="4" w:space="0" w:color="auto"/>
              <w:right w:val="single" w:sz="4" w:space="0" w:color="auto"/>
            </w:tcBorders>
            <w:shd w:val="clear" w:color="auto" w:fill="auto"/>
            <w:noWrap/>
            <w:vAlign w:val="center"/>
          </w:tcPr>
          <w:p w14:paraId="5410276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C59D0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3,894</w:t>
            </w:r>
          </w:p>
        </w:tc>
        <w:tc>
          <w:tcPr>
            <w:tcW w:w="390" w:type="pct"/>
            <w:tcBorders>
              <w:top w:val="nil"/>
              <w:left w:val="nil"/>
              <w:bottom w:val="single" w:sz="4" w:space="0" w:color="auto"/>
              <w:right w:val="single" w:sz="4" w:space="0" w:color="auto"/>
            </w:tcBorders>
            <w:shd w:val="clear" w:color="auto" w:fill="auto"/>
            <w:noWrap/>
            <w:vAlign w:val="center"/>
          </w:tcPr>
          <w:p w14:paraId="5A26B96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A2F79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3,965</w:t>
            </w:r>
          </w:p>
        </w:tc>
        <w:tc>
          <w:tcPr>
            <w:tcW w:w="389" w:type="pct"/>
            <w:tcBorders>
              <w:top w:val="nil"/>
              <w:left w:val="nil"/>
              <w:bottom w:val="single" w:sz="4" w:space="0" w:color="auto"/>
              <w:right w:val="single" w:sz="4" w:space="0" w:color="auto"/>
            </w:tcBorders>
            <w:shd w:val="clear" w:color="auto" w:fill="auto"/>
            <w:noWrap/>
            <w:vAlign w:val="center"/>
          </w:tcPr>
          <w:p w14:paraId="7902040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621B2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4,036</w:t>
            </w:r>
          </w:p>
        </w:tc>
        <w:tc>
          <w:tcPr>
            <w:tcW w:w="390" w:type="pct"/>
            <w:tcBorders>
              <w:top w:val="nil"/>
              <w:left w:val="nil"/>
              <w:bottom w:val="single" w:sz="4" w:space="0" w:color="auto"/>
              <w:right w:val="single" w:sz="4" w:space="0" w:color="auto"/>
            </w:tcBorders>
            <w:shd w:val="clear" w:color="auto" w:fill="auto"/>
            <w:noWrap/>
            <w:vAlign w:val="center"/>
          </w:tcPr>
          <w:p w14:paraId="17B9468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9D3267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4,106</w:t>
            </w:r>
          </w:p>
        </w:tc>
      </w:tr>
      <w:tr w:rsidR="0095640F" w:rsidRPr="0095640F" w14:paraId="3F146AE4"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01272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4B471001"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03DC93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DD89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AF1D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A2DD82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C9DF1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7FE1C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063FA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C4BCC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8A6F8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4E5CDC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7F6FDD8E"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5582A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480E6C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022320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E689F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489F6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21726C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367DC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83EF9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8B6BD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B4036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F41F8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96B2B7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398F3B27"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93828E"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3043FB4"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50CA62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4DCE6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F47DD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8D056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15789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C024D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51A90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CEBE2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627A2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F4C75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2E09F1A8"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6DD210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C481B66"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54FF17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EE70A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640F5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ACFBD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46E17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43809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A836A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46B10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02A1D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90709A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0924863"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E889764"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lastRenderedPageBreak/>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924BD9A"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18ABAD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2E107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3B4B1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BCE70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F9074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99576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BA18C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5468E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490FA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EA5A2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37468DB0"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6EFE837"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CAC4F3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966A9AC"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87FF09"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4F9DB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61433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5CF43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10D9C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7EDF2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431EA0"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FAC2F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515FAE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5B064E3"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8B66DC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99D76A0"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8DCDF72"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4F40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C3762E"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99AC4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7343C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FD4D91"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9586B3"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5D3E6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2F797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539CB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561ABAD1"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1B36B9"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E0F4462"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ABF09B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E582F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DDCF0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5C8AE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49725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B47D2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32EDB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D601BB"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0D5FFD"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284CE4"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058532CC" w14:textId="77777777" w:rsidTr="0095640F">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7DC4A8"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5EE4DFB" w14:textId="77777777" w:rsidR="0095640F" w:rsidRPr="0095640F" w:rsidRDefault="0095640F" w:rsidP="0095640F">
            <w:pPr>
              <w:ind w:left="0"/>
              <w:rPr>
                <w:rFonts w:ascii="Bookman Old Style" w:hAnsi="Bookman Old Style" w:cs="Arial"/>
                <w:color w:val="000000"/>
                <w:sz w:val="12"/>
                <w:szCs w:val="12"/>
                <w:lang w:val="es-CO" w:eastAsia="es-CO"/>
              </w:rPr>
            </w:pPr>
            <w:r w:rsidRPr="0095640F">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2324DB5"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DBE31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A37DA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F189EDA"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92DEB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781F26"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4FE5D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327987"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6CD788"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954BAF" w14:textId="77777777" w:rsidR="0095640F" w:rsidRPr="0095640F" w:rsidRDefault="0095640F" w:rsidP="0095640F">
            <w:pPr>
              <w:ind w:left="0" w:hanging="14"/>
              <w:jc w:val="right"/>
              <w:rPr>
                <w:rFonts w:ascii="Bookman Old Style" w:hAnsi="Bookman Old Style" w:cs="Arial"/>
                <w:color w:val="000000"/>
                <w:sz w:val="12"/>
                <w:szCs w:val="12"/>
                <w:lang w:val="es-CO"/>
              </w:rPr>
            </w:pPr>
            <w:r w:rsidRPr="0095640F">
              <w:rPr>
                <w:rFonts w:ascii="Bookman Old Style" w:hAnsi="Bookman Old Style" w:cs="Arial"/>
                <w:color w:val="000000"/>
                <w:sz w:val="12"/>
                <w:szCs w:val="12"/>
                <w:lang w:val="es-CO"/>
              </w:rPr>
              <w:t xml:space="preserve">- </w:t>
            </w:r>
          </w:p>
        </w:tc>
      </w:tr>
      <w:tr w:rsidR="0095640F" w:rsidRPr="0095640F" w14:paraId="4906FB32" w14:textId="77777777" w:rsidTr="0095640F">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FA74C1" w14:textId="77777777" w:rsidR="0095640F" w:rsidRPr="0095640F" w:rsidRDefault="0095640F" w:rsidP="0095640F">
            <w:pPr>
              <w:ind w:left="0"/>
              <w:rPr>
                <w:rFonts w:ascii="Bookman Old Style" w:hAnsi="Bookman Old Style" w:cs="Arial"/>
                <w:b/>
                <w:color w:val="000000"/>
                <w:sz w:val="12"/>
                <w:szCs w:val="12"/>
                <w:lang w:val="es-CO" w:eastAsia="es-CO"/>
              </w:rPr>
            </w:pPr>
            <w:r w:rsidRPr="0095640F">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5DF63D" w14:textId="77777777" w:rsidR="0095640F" w:rsidRPr="0095640F" w:rsidRDefault="0095640F" w:rsidP="0095640F">
            <w:pPr>
              <w:ind w:left="0"/>
              <w:jc w:val="right"/>
              <w:rPr>
                <w:rFonts w:ascii="Bookman Old Style" w:hAnsi="Bookman Old Style" w:cs="Arial"/>
                <w:b/>
                <w:bCs/>
                <w:color w:val="000000"/>
                <w:sz w:val="12"/>
                <w:szCs w:val="12"/>
                <w:lang w:val="es-CO" w:eastAsia="es-CO"/>
              </w:rPr>
            </w:pPr>
            <w:r w:rsidRPr="0095640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BC721B"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22,160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B723785"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C8CE9E"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22,585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DAB736A"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798A0"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23,010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271A5A"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2ABB92"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23,435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6AB7D1"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1A965B" w14:textId="77777777" w:rsidR="0095640F" w:rsidRPr="0095640F" w:rsidRDefault="0095640F" w:rsidP="0095640F">
            <w:pPr>
              <w:ind w:left="0"/>
              <w:jc w:val="right"/>
              <w:rPr>
                <w:rFonts w:ascii="Bookman Old Style" w:hAnsi="Bookman Old Style" w:cs="Arial"/>
                <w:b/>
                <w:bCs/>
                <w:color w:val="000000"/>
                <w:sz w:val="12"/>
                <w:szCs w:val="12"/>
                <w:lang w:val="es-CO"/>
              </w:rPr>
            </w:pPr>
            <w:r w:rsidRPr="0095640F">
              <w:rPr>
                <w:rFonts w:ascii="Bookman Old Style" w:hAnsi="Bookman Old Style" w:cs="Arial"/>
                <w:b/>
                <w:bCs/>
                <w:color w:val="000000"/>
                <w:sz w:val="12"/>
                <w:szCs w:val="12"/>
                <w:lang w:val="es-CO"/>
              </w:rPr>
              <w:t xml:space="preserve">23,860 </w:t>
            </w:r>
          </w:p>
        </w:tc>
      </w:tr>
    </w:tbl>
    <w:p w14:paraId="39318496" w14:textId="3BB84D94" w:rsidR="00756823" w:rsidRDefault="00756823"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E0192B" w:rsidRPr="00E0192B" w14:paraId="299DCB4C" w14:textId="77777777" w:rsidTr="00E0192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589541" w14:textId="77777777" w:rsidR="00E0192B" w:rsidRPr="00E0192B" w:rsidRDefault="00E0192B" w:rsidP="00E0192B">
            <w:pPr>
              <w:ind w:left="0"/>
              <w:jc w:val="center"/>
              <w:rPr>
                <w:rFonts w:ascii="Bookman Old Style" w:hAnsi="Bookman Old Style" w:cs="Arial"/>
                <w:b/>
                <w:color w:val="000000"/>
                <w:sz w:val="12"/>
                <w:szCs w:val="12"/>
                <w:lang w:val="es-CO" w:eastAsia="es-CO"/>
              </w:rPr>
            </w:pPr>
            <w:r w:rsidRPr="00E0192B">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62B395" w14:textId="77777777" w:rsidR="00E0192B" w:rsidRPr="00E0192B" w:rsidRDefault="00E0192B" w:rsidP="00E0192B">
            <w:pPr>
              <w:ind w:left="0"/>
              <w:jc w:val="center"/>
              <w:rPr>
                <w:rFonts w:ascii="Bookman Old Style" w:hAnsi="Bookman Old Style" w:cs="Arial"/>
                <w:b/>
                <w:color w:val="000000"/>
                <w:sz w:val="12"/>
                <w:szCs w:val="12"/>
                <w:lang w:val="es-CO" w:eastAsia="es-CO"/>
              </w:rPr>
            </w:pPr>
            <w:r w:rsidRPr="00E0192B">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903438" w14:textId="77777777" w:rsidR="00E0192B" w:rsidRPr="00E0192B" w:rsidRDefault="00E0192B" w:rsidP="00E0192B">
            <w:pPr>
              <w:ind w:left="0"/>
              <w:jc w:val="center"/>
              <w:rPr>
                <w:rFonts w:ascii="Bookman Old Style" w:hAnsi="Bookman Old Style" w:cs="Arial"/>
                <w:b/>
                <w:color w:val="000000"/>
                <w:sz w:val="12"/>
                <w:szCs w:val="12"/>
                <w:lang w:val="es-CO" w:eastAsia="es-CO"/>
              </w:rPr>
            </w:pPr>
            <w:r w:rsidRPr="00E0192B">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7430210E" w14:textId="77777777" w:rsidR="00E0192B" w:rsidRPr="00E0192B" w:rsidRDefault="00E0192B" w:rsidP="00E0192B">
            <w:pPr>
              <w:ind w:left="0"/>
              <w:jc w:val="center"/>
              <w:rPr>
                <w:rFonts w:ascii="Bookman Old Style" w:hAnsi="Bookman Old Style" w:cs="Arial"/>
                <w:b/>
                <w:color w:val="000000"/>
                <w:sz w:val="12"/>
                <w:szCs w:val="12"/>
                <w:lang w:val="es-CO" w:eastAsia="es-CO"/>
              </w:rPr>
            </w:pPr>
            <w:r w:rsidRPr="00E0192B">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57118AF" w14:textId="77777777" w:rsidR="00E0192B" w:rsidRPr="00E0192B" w:rsidRDefault="00E0192B" w:rsidP="00E0192B">
            <w:pPr>
              <w:ind w:left="0"/>
              <w:jc w:val="center"/>
              <w:rPr>
                <w:rFonts w:ascii="Bookman Old Style" w:hAnsi="Bookman Old Style" w:cs="Arial"/>
                <w:b/>
                <w:color w:val="000000"/>
                <w:sz w:val="12"/>
                <w:szCs w:val="12"/>
                <w:lang w:val="es-CO" w:eastAsia="es-CO"/>
              </w:rPr>
            </w:pPr>
            <w:r w:rsidRPr="00E0192B">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0ECCE27F" w14:textId="77777777" w:rsidR="00E0192B" w:rsidRPr="00E0192B" w:rsidRDefault="00E0192B" w:rsidP="00E0192B">
            <w:pPr>
              <w:ind w:left="0"/>
              <w:jc w:val="center"/>
              <w:rPr>
                <w:rFonts w:ascii="Bookman Old Style" w:hAnsi="Bookman Old Style" w:cs="Arial"/>
                <w:b/>
                <w:color w:val="000000"/>
                <w:sz w:val="12"/>
                <w:szCs w:val="12"/>
                <w:lang w:val="es-CO" w:eastAsia="es-CO"/>
              </w:rPr>
            </w:pPr>
            <w:r w:rsidRPr="00E0192B">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6519CB6C" w14:textId="77777777" w:rsidR="00E0192B" w:rsidRPr="00E0192B" w:rsidRDefault="00E0192B" w:rsidP="00E0192B">
            <w:pPr>
              <w:ind w:left="0"/>
              <w:jc w:val="center"/>
              <w:rPr>
                <w:rFonts w:ascii="Bookman Old Style" w:hAnsi="Bookman Old Style" w:cs="Arial"/>
                <w:b/>
                <w:color w:val="000000"/>
                <w:sz w:val="12"/>
                <w:szCs w:val="12"/>
                <w:lang w:val="es-CO" w:eastAsia="es-CO"/>
              </w:rPr>
            </w:pPr>
            <w:r w:rsidRPr="00E0192B">
              <w:rPr>
                <w:rFonts w:ascii="Bookman Old Style" w:hAnsi="Bookman Old Style" w:cs="Arial"/>
                <w:b/>
                <w:color w:val="000000"/>
                <w:sz w:val="12"/>
                <w:szCs w:val="12"/>
                <w:lang w:val="es-CO" w:eastAsia="es-CO"/>
              </w:rPr>
              <w:t>Año 15</w:t>
            </w:r>
          </w:p>
        </w:tc>
      </w:tr>
      <w:tr w:rsidR="00E0192B" w:rsidRPr="00E0192B" w14:paraId="2C8CA1B7" w14:textId="77777777" w:rsidTr="00E0192B">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CED04" w14:textId="77777777" w:rsidR="00E0192B" w:rsidRPr="00E0192B" w:rsidRDefault="00E0192B" w:rsidP="00E0192B">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D7418" w14:textId="77777777" w:rsidR="00E0192B" w:rsidRPr="00E0192B" w:rsidRDefault="00E0192B" w:rsidP="00E0192B">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440B74B1"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6887815"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C735F92"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312648BE"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4C17FA9"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E4B39AE"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16F0A666"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92C56E5"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50E5FBE"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337BB99E" w14:textId="77777777" w:rsidR="00E0192B" w:rsidRPr="00E0192B" w:rsidRDefault="00E0192B" w:rsidP="00E0192B">
            <w:pPr>
              <w:ind w:left="0"/>
              <w:jc w:val="center"/>
              <w:rPr>
                <w:rFonts w:ascii="Bookman Old Style" w:hAnsi="Bookman Old Style" w:cs="Arial"/>
                <w:b/>
                <w:color w:val="000000"/>
                <w:sz w:val="10"/>
                <w:szCs w:val="10"/>
                <w:lang w:val="es-CO" w:eastAsia="es-CO"/>
              </w:rPr>
            </w:pPr>
            <w:r w:rsidRPr="00E0192B">
              <w:rPr>
                <w:rFonts w:ascii="Bookman Old Style" w:hAnsi="Bookman Old Style" w:cs="Arial"/>
                <w:b/>
                <w:color w:val="000000"/>
                <w:sz w:val="10"/>
                <w:szCs w:val="10"/>
                <w:lang w:val="es-CO" w:eastAsia="es-CO"/>
              </w:rPr>
              <w:t>Secundaria</w:t>
            </w:r>
          </w:p>
        </w:tc>
      </w:tr>
      <w:tr w:rsidR="00E0192B" w:rsidRPr="00E0192B" w14:paraId="6A7B3D43"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2A24AF9D"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C71F479"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1ABCA904" w14:textId="77777777" w:rsidR="00E0192B" w:rsidRPr="00E0192B" w:rsidRDefault="00E0192B" w:rsidP="00E0192B">
            <w:pPr>
              <w:ind w:left="0" w:hanging="14"/>
              <w:jc w:val="right"/>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ACB6E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3,611 </w:t>
            </w:r>
          </w:p>
        </w:tc>
        <w:tc>
          <w:tcPr>
            <w:tcW w:w="390" w:type="pct"/>
            <w:tcBorders>
              <w:top w:val="nil"/>
              <w:left w:val="nil"/>
              <w:bottom w:val="single" w:sz="4" w:space="0" w:color="auto"/>
              <w:right w:val="single" w:sz="4" w:space="0" w:color="auto"/>
            </w:tcBorders>
            <w:shd w:val="clear" w:color="auto" w:fill="auto"/>
            <w:noWrap/>
            <w:vAlign w:val="center"/>
          </w:tcPr>
          <w:p w14:paraId="46F0809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82438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3,682 </w:t>
            </w:r>
          </w:p>
        </w:tc>
        <w:tc>
          <w:tcPr>
            <w:tcW w:w="390" w:type="pct"/>
            <w:tcBorders>
              <w:top w:val="nil"/>
              <w:left w:val="nil"/>
              <w:bottom w:val="single" w:sz="4" w:space="0" w:color="auto"/>
              <w:right w:val="single" w:sz="4" w:space="0" w:color="auto"/>
            </w:tcBorders>
            <w:shd w:val="clear" w:color="auto" w:fill="auto"/>
            <w:noWrap/>
            <w:vAlign w:val="center"/>
          </w:tcPr>
          <w:p w14:paraId="076552A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1FDA5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3,752 </w:t>
            </w:r>
          </w:p>
        </w:tc>
        <w:tc>
          <w:tcPr>
            <w:tcW w:w="389" w:type="pct"/>
            <w:tcBorders>
              <w:top w:val="nil"/>
              <w:left w:val="nil"/>
              <w:bottom w:val="single" w:sz="4" w:space="0" w:color="auto"/>
              <w:right w:val="single" w:sz="4" w:space="0" w:color="auto"/>
            </w:tcBorders>
            <w:shd w:val="clear" w:color="auto" w:fill="auto"/>
            <w:noWrap/>
            <w:vAlign w:val="center"/>
          </w:tcPr>
          <w:p w14:paraId="4208B62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4152A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3,823 </w:t>
            </w:r>
          </w:p>
        </w:tc>
        <w:tc>
          <w:tcPr>
            <w:tcW w:w="390" w:type="pct"/>
            <w:tcBorders>
              <w:top w:val="nil"/>
              <w:left w:val="nil"/>
              <w:bottom w:val="single" w:sz="4" w:space="0" w:color="auto"/>
              <w:right w:val="single" w:sz="4" w:space="0" w:color="auto"/>
            </w:tcBorders>
            <w:shd w:val="clear" w:color="auto" w:fill="auto"/>
            <w:noWrap/>
            <w:vAlign w:val="center"/>
          </w:tcPr>
          <w:p w14:paraId="5C0DCCD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78B9C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3,894 </w:t>
            </w:r>
          </w:p>
        </w:tc>
      </w:tr>
      <w:tr w:rsidR="00E0192B" w:rsidRPr="00E0192B" w14:paraId="0CBF8501"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4EA21DD"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521CBB0"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C9005D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3BE58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3,611 </w:t>
            </w:r>
          </w:p>
        </w:tc>
        <w:tc>
          <w:tcPr>
            <w:tcW w:w="390" w:type="pct"/>
            <w:tcBorders>
              <w:top w:val="nil"/>
              <w:left w:val="nil"/>
              <w:bottom w:val="single" w:sz="4" w:space="0" w:color="auto"/>
              <w:right w:val="single" w:sz="4" w:space="0" w:color="auto"/>
            </w:tcBorders>
            <w:shd w:val="clear" w:color="auto" w:fill="auto"/>
            <w:noWrap/>
            <w:vAlign w:val="center"/>
          </w:tcPr>
          <w:p w14:paraId="10E1A4F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827CA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3,682 </w:t>
            </w:r>
          </w:p>
        </w:tc>
        <w:tc>
          <w:tcPr>
            <w:tcW w:w="390" w:type="pct"/>
            <w:tcBorders>
              <w:top w:val="nil"/>
              <w:left w:val="nil"/>
              <w:bottom w:val="single" w:sz="4" w:space="0" w:color="auto"/>
              <w:right w:val="single" w:sz="4" w:space="0" w:color="auto"/>
            </w:tcBorders>
            <w:shd w:val="clear" w:color="auto" w:fill="auto"/>
            <w:noWrap/>
            <w:vAlign w:val="center"/>
          </w:tcPr>
          <w:p w14:paraId="17F52C9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BBBA5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3,752 </w:t>
            </w:r>
          </w:p>
        </w:tc>
        <w:tc>
          <w:tcPr>
            <w:tcW w:w="389" w:type="pct"/>
            <w:tcBorders>
              <w:top w:val="nil"/>
              <w:left w:val="nil"/>
              <w:bottom w:val="single" w:sz="4" w:space="0" w:color="auto"/>
              <w:right w:val="single" w:sz="4" w:space="0" w:color="auto"/>
            </w:tcBorders>
            <w:shd w:val="clear" w:color="auto" w:fill="auto"/>
            <w:noWrap/>
            <w:vAlign w:val="center"/>
          </w:tcPr>
          <w:p w14:paraId="43E7E17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C1478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3,823 </w:t>
            </w:r>
          </w:p>
        </w:tc>
        <w:tc>
          <w:tcPr>
            <w:tcW w:w="390" w:type="pct"/>
            <w:tcBorders>
              <w:top w:val="nil"/>
              <w:left w:val="nil"/>
              <w:bottom w:val="single" w:sz="4" w:space="0" w:color="auto"/>
              <w:right w:val="single" w:sz="4" w:space="0" w:color="auto"/>
            </w:tcBorders>
            <w:shd w:val="clear" w:color="auto" w:fill="auto"/>
            <w:noWrap/>
            <w:vAlign w:val="center"/>
          </w:tcPr>
          <w:p w14:paraId="5EE0FF5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AFD65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3,894 </w:t>
            </w:r>
          </w:p>
        </w:tc>
      </w:tr>
      <w:tr w:rsidR="00E0192B" w:rsidRPr="00E0192B" w14:paraId="5FC5DC5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A5E3B53"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C16AF53"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D50EAA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45F67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0DBE4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496B5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A8596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7B7C7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63DC1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FE606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C51C4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3DB512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566AF0C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A33A98"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50BA126"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A32170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AA5AC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69927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2375C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69474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DF4FC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050E0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F77F4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D9A55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A82A4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5697B6F"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A426AF"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76CF55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A0D0EC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FCD20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11C89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49C46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00013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3CD4B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B80EB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199E2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D635C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DA292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A28DB36"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B128FD"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797E5FAD"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029741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57AD7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7560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9CF71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BFA99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DA9C5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AD7BB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6F225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8488A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47AE82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75EAFC1C"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C6E858E"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7065161"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86CEA4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6573A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13764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AE930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4B8E0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952AA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92A07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22AD8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66F12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3E1CF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0AFFACCC"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D6B515"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1EDCAA9"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A847BA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89843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1A2598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C5122D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FB2CF7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9CD48E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373268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39ADE7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756579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66A670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r>
      <w:tr w:rsidR="00E0192B" w:rsidRPr="00E0192B" w14:paraId="1198074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D94D080"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210F6F6E"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83299E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468BE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711E9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AF576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B8EE6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9D983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E455E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C18C4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2EC96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F106A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0D0479B6"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5C4939"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F71D10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C6D7BD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34058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C5B90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158345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DC853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EF246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54A80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BF3D9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AA4E9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F95485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1C9888C"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BE019F" w14:textId="77777777" w:rsidR="00E0192B" w:rsidRPr="00E0192B" w:rsidRDefault="00E0192B" w:rsidP="00E0192B">
            <w:pPr>
              <w:ind w:left="0"/>
              <w:rPr>
                <w:rFonts w:ascii="Bookman Old Style" w:hAnsi="Bookman Old Style" w:cs="Arial"/>
                <w:sz w:val="12"/>
                <w:szCs w:val="12"/>
                <w:lang w:val="es-CO"/>
              </w:rPr>
            </w:pPr>
            <w:r w:rsidRPr="00E0192B">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7512E0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0602A7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449381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7F8F08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42FD9F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AC97C5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EB33A5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0CD212A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222F5A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236BEB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94045F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r>
      <w:tr w:rsidR="00E0192B" w:rsidRPr="00E0192B" w14:paraId="737A1F5F"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6B883EF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4E3ACD1"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0D69C524"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BCA92E"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4,390 </w:t>
            </w:r>
          </w:p>
        </w:tc>
        <w:tc>
          <w:tcPr>
            <w:tcW w:w="390" w:type="pct"/>
            <w:tcBorders>
              <w:top w:val="nil"/>
              <w:left w:val="nil"/>
              <w:bottom w:val="single" w:sz="4" w:space="0" w:color="auto"/>
              <w:right w:val="single" w:sz="4" w:space="0" w:color="auto"/>
            </w:tcBorders>
            <w:shd w:val="clear" w:color="auto" w:fill="auto"/>
            <w:noWrap/>
            <w:vAlign w:val="center"/>
          </w:tcPr>
          <w:p w14:paraId="39B31EE8"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B571EA"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4,460 </w:t>
            </w:r>
          </w:p>
        </w:tc>
        <w:tc>
          <w:tcPr>
            <w:tcW w:w="390" w:type="pct"/>
            <w:tcBorders>
              <w:top w:val="nil"/>
              <w:left w:val="nil"/>
              <w:bottom w:val="single" w:sz="4" w:space="0" w:color="auto"/>
              <w:right w:val="single" w:sz="4" w:space="0" w:color="auto"/>
            </w:tcBorders>
            <w:shd w:val="clear" w:color="auto" w:fill="auto"/>
            <w:noWrap/>
            <w:vAlign w:val="center"/>
          </w:tcPr>
          <w:p w14:paraId="76DFEA5B"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2EA8C9"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4,531 </w:t>
            </w:r>
          </w:p>
        </w:tc>
        <w:tc>
          <w:tcPr>
            <w:tcW w:w="389" w:type="pct"/>
            <w:tcBorders>
              <w:top w:val="nil"/>
              <w:left w:val="nil"/>
              <w:bottom w:val="single" w:sz="4" w:space="0" w:color="auto"/>
              <w:right w:val="single" w:sz="4" w:space="0" w:color="auto"/>
            </w:tcBorders>
            <w:shd w:val="clear" w:color="auto" w:fill="auto"/>
            <w:noWrap/>
            <w:vAlign w:val="center"/>
          </w:tcPr>
          <w:p w14:paraId="240DE716"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66F615"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4,602 </w:t>
            </w:r>
          </w:p>
        </w:tc>
        <w:tc>
          <w:tcPr>
            <w:tcW w:w="390" w:type="pct"/>
            <w:tcBorders>
              <w:top w:val="nil"/>
              <w:left w:val="nil"/>
              <w:bottom w:val="single" w:sz="4" w:space="0" w:color="auto"/>
              <w:right w:val="single" w:sz="4" w:space="0" w:color="auto"/>
            </w:tcBorders>
            <w:shd w:val="clear" w:color="auto" w:fill="auto"/>
            <w:noWrap/>
            <w:vAlign w:val="center"/>
          </w:tcPr>
          <w:p w14:paraId="3CFB5B38"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E75A26"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4,673 </w:t>
            </w:r>
          </w:p>
        </w:tc>
      </w:tr>
      <w:tr w:rsidR="00E0192B" w:rsidRPr="00E0192B" w14:paraId="081F8E7A"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1268DD"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04DA8BE"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E4F85A5"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C6F842"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4,390 </w:t>
            </w:r>
          </w:p>
        </w:tc>
        <w:tc>
          <w:tcPr>
            <w:tcW w:w="390" w:type="pct"/>
            <w:tcBorders>
              <w:top w:val="nil"/>
              <w:left w:val="nil"/>
              <w:bottom w:val="single" w:sz="4" w:space="0" w:color="auto"/>
              <w:right w:val="single" w:sz="4" w:space="0" w:color="auto"/>
            </w:tcBorders>
            <w:shd w:val="clear" w:color="auto" w:fill="auto"/>
            <w:noWrap/>
            <w:vAlign w:val="center"/>
          </w:tcPr>
          <w:p w14:paraId="1B2EFCC8"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A4416C"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4,460 </w:t>
            </w:r>
          </w:p>
        </w:tc>
        <w:tc>
          <w:tcPr>
            <w:tcW w:w="390" w:type="pct"/>
            <w:tcBorders>
              <w:top w:val="nil"/>
              <w:left w:val="nil"/>
              <w:bottom w:val="single" w:sz="4" w:space="0" w:color="auto"/>
              <w:right w:val="single" w:sz="4" w:space="0" w:color="auto"/>
            </w:tcBorders>
            <w:shd w:val="clear" w:color="auto" w:fill="auto"/>
            <w:noWrap/>
            <w:vAlign w:val="center"/>
          </w:tcPr>
          <w:p w14:paraId="5C6EB1FC"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AF042A"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4,531 </w:t>
            </w:r>
          </w:p>
        </w:tc>
        <w:tc>
          <w:tcPr>
            <w:tcW w:w="389" w:type="pct"/>
            <w:tcBorders>
              <w:top w:val="nil"/>
              <w:left w:val="nil"/>
              <w:bottom w:val="single" w:sz="4" w:space="0" w:color="auto"/>
              <w:right w:val="single" w:sz="4" w:space="0" w:color="auto"/>
            </w:tcBorders>
            <w:shd w:val="clear" w:color="auto" w:fill="auto"/>
            <w:noWrap/>
            <w:vAlign w:val="center"/>
          </w:tcPr>
          <w:p w14:paraId="5E3F7D26"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B0F5FE"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4,602 </w:t>
            </w:r>
          </w:p>
        </w:tc>
        <w:tc>
          <w:tcPr>
            <w:tcW w:w="390" w:type="pct"/>
            <w:tcBorders>
              <w:top w:val="nil"/>
              <w:left w:val="nil"/>
              <w:bottom w:val="single" w:sz="4" w:space="0" w:color="auto"/>
              <w:right w:val="single" w:sz="4" w:space="0" w:color="auto"/>
            </w:tcBorders>
            <w:shd w:val="clear" w:color="auto" w:fill="auto"/>
            <w:noWrap/>
            <w:vAlign w:val="center"/>
          </w:tcPr>
          <w:p w14:paraId="53D9ED49"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A70E574"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4,673 </w:t>
            </w:r>
          </w:p>
        </w:tc>
      </w:tr>
      <w:tr w:rsidR="00E0192B" w:rsidRPr="00E0192B" w14:paraId="59E29DB3"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DA9910C"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D2E5213"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50F7F23"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8D528F"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A5008E"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1321CE"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04839F"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3A55E8"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FE9BE5"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AF6846"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40153A"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7B3D11"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r>
      <w:tr w:rsidR="00E0192B" w:rsidRPr="00E0192B" w14:paraId="0E7999CB"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5C8C4D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6234BD74"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C54F850"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C6E17E"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C55CBE"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83A0D3"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BD60D2"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382B89"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EAF90B"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60DF68"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676C66"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B67A2B"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r>
      <w:tr w:rsidR="00E0192B" w:rsidRPr="00E0192B" w14:paraId="711E703A"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0DAFE0"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A2107E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03824F8"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EF1CF5"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3694D5"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F88134"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8168DA"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A05F8C"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7E2400"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37D8F0"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8A26DC"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8019E2F" w14:textId="77777777" w:rsidR="00E0192B" w:rsidRPr="00E0192B" w:rsidRDefault="00E0192B" w:rsidP="00E0192B">
            <w:pPr>
              <w:ind w:left="0" w:hanging="14"/>
              <w:jc w:val="right"/>
              <w:rPr>
                <w:rFonts w:ascii="Bookman Old Style" w:hAnsi="Bookman Old Style" w:cs="Arial"/>
                <w:color w:val="000000"/>
                <w:sz w:val="12"/>
                <w:szCs w:val="12"/>
                <w:highlight w:val="yellow"/>
                <w:lang w:val="es-CO"/>
              </w:rPr>
            </w:pPr>
            <w:r w:rsidRPr="00E0192B">
              <w:rPr>
                <w:rFonts w:ascii="Bookman Old Style" w:hAnsi="Bookman Old Style" w:cs="Arial"/>
                <w:color w:val="000000"/>
                <w:sz w:val="12"/>
                <w:szCs w:val="12"/>
                <w:lang w:val="es-CO"/>
              </w:rPr>
              <w:t xml:space="preserve">- </w:t>
            </w:r>
          </w:p>
        </w:tc>
      </w:tr>
      <w:tr w:rsidR="00E0192B" w:rsidRPr="00E0192B" w14:paraId="1B8CB990"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7C4445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F7EFE1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45E6D0E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E94D9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52769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59D604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83EF5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82C5F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F2306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37FA2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843AA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CAF10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50CDE810"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0B78901"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C0FADF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09215A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55981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1B8D2E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7FEBF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8CC84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EBFD9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6C1EA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E20C7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04486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5A933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6741B965"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64C943E"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2DFCD9D"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EDFD7A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5FFBE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50950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7216E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E5118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DD523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A6CA7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AB2E91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A4DC5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BA6C0D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5AFCB4B3"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725319"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3FEAC624"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CC027A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BECE1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F55C0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BD8C5F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30A3B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05D33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83B04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0D82F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65C69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C7FB98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6159334F"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BAD1643"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A3BDD03"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559A794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2C8E8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64F88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9E6BC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9A190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BFB41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56C517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7EE36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E5D83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1A4262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6BC72855"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1248EC"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6845CCC"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EE900D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D2D06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9239D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C1C3F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8708C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67DF4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FECA63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B1718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5C66C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E00FB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20711436"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632AB5"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16A35E6"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2A291B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BD1F8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4,106 </w:t>
            </w:r>
          </w:p>
        </w:tc>
        <w:tc>
          <w:tcPr>
            <w:tcW w:w="390" w:type="pct"/>
            <w:tcBorders>
              <w:top w:val="nil"/>
              <w:left w:val="nil"/>
              <w:bottom w:val="single" w:sz="4" w:space="0" w:color="auto"/>
              <w:right w:val="single" w:sz="4" w:space="0" w:color="auto"/>
            </w:tcBorders>
            <w:shd w:val="clear" w:color="auto" w:fill="auto"/>
            <w:noWrap/>
            <w:vAlign w:val="center"/>
          </w:tcPr>
          <w:p w14:paraId="5F6F562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492DB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4,177 </w:t>
            </w:r>
          </w:p>
        </w:tc>
        <w:tc>
          <w:tcPr>
            <w:tcW w:w="390" w:type="pct"/>
            <w:tcBorders>
              <w:top w:val="nil"/>
              <w:left w:val="nil"/>
              <w:bottom w:val="single" w:sz="4" w:space="0" w:color="auto"/>
              <w:right w:val="single" w:sz="4" w:space="0" w:color="auto"/>
            </w:tcBorders>
            <w:shd w:val="clear" w:color="auto" w:fill="auto"/>
            <w:noWrap/>
            <w:vAlign w:val="center"/>
          </w:tcPr>
          <w:p w14:paraId="0B6CE3D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6D4E5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4,248 </w:t>
            </w:r>
          </w:p>
        </w:tc>
        <w:tc>
          <w:tcPr>
            <w:tcW w:w="389" w:type="pct"/>
            <w:tcBorders>
              <w:top w:val="nil"/>
              <w:left w:val="nil"/>
              <w:bottom w:val="single" w:sz="4" w:space="0" w:color="auto"/>
              <w:right w:val="single" w:sz="4" w:space="0" w:color="auto"/>
            </w:tcBorders>
            <w:shd w:val="clear" w:color="auto" w:fill="auto"/>
            <w:noWrap/>
            <w:vAlign w:val="center"/>
          </w:tcPr>
          <w:p w14:paraId="5B63A2B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66466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4,319 </w:t>
            </w:r>
          </w:p>
        </w:tc>
        <w:tc>
          <w:tcPr>
            <w:tcW w:w="390" w:type="pct"/>
            <w:tcBorders>
              <w:top w:val="nil"/>
              <w:left w:val="nil"/>
              <w:bottom w:val="single" w:sz="4" w:space="0" w:color="auto"/>
              <w:right w:val="single" w:sz="4" w:space="0" w:color="auto"/>
            </w:tcBorders>
            <w:shd w:val="clear" w:color="auto" w:fill="auto"/>
            <w:noWrap/>
            <w:vAlign w:val="center"/>
          </w:tcPr>
          <w:p w14:paraId="26A6F9C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C897B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4,390 </w:t>
            </w:r>
          </w:p>
        </w:tc>
      </w:tr>
      <w:tr w:rsidR="00E0192B" w:rsidRPr="00E0192B" w14:paraId="7C894EE4"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D210F1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684CDD63"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7D61EB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65471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4,106 </w:t>
            </w:r>
          </w:p>
        </w:tc>
        <w:tc>
          <w:tcPr>
            <w:tcW w:w="390" w:type="pct"/>
            <w:tcBorders>
              <w:top w:val="nil"/>
              <w:left w:val="nil"/>
              <w:bottom w:val="single" w:sz="4" w:space="0" w:color="auto"/>
              <w:right w:val="single" w:sz="4" w:space="0" w:color="auto"/>
            </w:tcBorders>
            <w:shd w:val="clear" w:color="auto" w:fill="auto"/>
            <w:noWrap/>
            <w:vAlign w:val="center"/>
          </w:tcPr>
          <w:p w14:paraId="7464494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5C8E3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4,177 </w:t>
            </w:r>
          </w:p>
        </w:tc>
        <w:tc>
          <w:tcPr>
            <w:tcW w:w="390" w:type="pct"/>
            <w:tcBorders>
              <w:top w:val="nil"/>
              <w:left w:val="nil"/>
              <w:bottom w:val="single" w:sz="4" w:space="0" w:color="auto"/>
              <w:right w:val="single" w:sz="4" w:space="0" w:color="auto"/>
            </w:tcBorders>
            <w:shd w:val="clear" w:color="auto" w:fill="auto"/>
            <w:noWrap/>
            <w:vAlign w:val="center"/>
          </w:tcPr>
          <w:p w14:paraId="67C901B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54921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4,248 </w:t>
            </w:r>
          </w:p>
        </w:tc>
        <w:tc>
          <w:tcPr>
            <w:tcW w:w="389" w:type="pct"/>
            <w:tcBorders>
              <w:top w:val="nil"/>
              <w:left w:val="nil"/>
              <w:bottom w:val="single" w:sz="4" w:space="0" w:color="auto"/>
              <w:right w:val="single" w:sz="4" w:space="0" w:color="auto"/>
            </w:tcBorders>
            <w:shd w:val="clear" w:color="auto" w:fill="auto"/>
            <w:noWrap/>
            <w:vAlign w:val="center"/>
          </w:tcPr>
          <w:p w14:paraId="3876564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D993C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4,319 </w:t>
            </w:r>
          </w:p>
        </w:tc>
        <w:tc>
          <w:tcPr>
            <w:tcW w:w="390" w:type="pct"/>
            <w:tcBorders>
              <w:top w:val="nil"/>
              <w:left w:val="nil"/>
              <w:bottom w:val="single" w:sz="4" w:space="0" w:color="auto"/>
              <w:right w:val="single" w:sz="4" w:space="0" w:color="auto"/>
            </w:tcBorders>
            <w:shd w:val="clear" w:color="auto" w:fill="auto"/>
            <w:noWrap/>
            <w:vAlign w:val="center"/>
          </w:tcPr>
          <w:p w14:paraId="6C07F26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7EBCFA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4,390 </w:t>
            </w:r>
          </w:p>
        </w:tc>
      </w:tr>
      <w:tr w:rsidR="00E0192B" w:rsidRPr="00E0192B" w14:paraId="4009CD7E"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A48740"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54E576FE"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212D8D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14D55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4A524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842C06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DB6CF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EFC86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0E8B3C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4572E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567FD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73D04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74FFC5D0"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31D403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435C8A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E5FE23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757A1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D9D41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A9790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93D34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1C782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C3A164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7699B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F399D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F615B7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329A9E2"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54C2FD"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5C9124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DCF8B6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24E00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B3BAD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12E64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9F3E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F069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9D8E1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623A5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64F7D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84E3F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1D6E78E5"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0671D51"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EDC7A93"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B57448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EDA57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F1DB1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6FBE4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E4770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B60B7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E2FDF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34F05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F5727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634AA1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0A6C651E"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20ADAD"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AB3A070"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81EB35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D200F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7BFC1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281E71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8AA81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5F01D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DD6C1F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DBFC4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6AA1B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1CB96F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74AE10FC"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6FF760"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1722905"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39C642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BA327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2F997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200D1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A3943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7A89F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0B2C6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B378A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28ADE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0A568B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353B8C2A"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4CE86B6"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1212D501"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782358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4C04F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671C8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BDFB4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5D87E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3413E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EC03A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54A76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A7324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C416E9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1301F851"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87CF8C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D60DC1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7E8F4A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FE02B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BBA0E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18265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82C2F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7DAFB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6CB6F7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806D5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F0850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82BCA7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0DC44308"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9FF5C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CA559B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E6EB93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C330C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32B03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9FD04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051B0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EA344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E4811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399F4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A0691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BEC92B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3A9F7DCA"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D4C3C4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30B08C37"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7FFFE47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EC4B7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2,620 </w:t>
            </w:r>
          </w:p>
        </w:tc>
        <w:tc>
          <w:tcPr>
            <w:tcW w:w="390" w:type="pct"/>
            <w:tcBorders>
              <w:top w:val="nil"/>
              <w:left w:val="nil"/>
              <w:bottom w:val="single" w:sz="4" w:space="0" w:color="auto"/>
              <w:right w:val="single" w:sz="4" w:space="0" w:color="auto"/>
            </w:tcBorders>
            <w:shd w:val="clear" w:color="auto" w:fill="auto"/>
            <w:noWrap/>
            <w:vAlign w:val="center"/>
          </w:tcPr>
          <w:p w14:paraId="02183B4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6A5B50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2,690 </w:t>
            </w:r>
          </w:p>
        </w:tc>
        <w:tc>
          <w:tcPr>
            <w:tcW w:w="390" w:type="pct"/>
            <w:tcBorders>
              <w:top w:val="nil"/>
              <w:left w:val="nil"/>
              <w:bottom w:val="single" w:sz="4" w:space="0" w:color="auto"/>
              <w:right w:val="single" w:sz="4" w:space="0" w:color="auto"/>
            </w:tcBorders>
            <w:shd w:val="clear" w:color="auto" w:fill="auto"/>
            <w:noWrap/>
            <w:vAlign w:val="center"/>
          </w:tcPr>
          <w:p w14:paraId="4E1DCE6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83B9C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2,761 </w:t>
            </w:r>
          </w:p>
        </w:tc>
        <w:tc>
          <w:tcPr>
            <w:tcW w:w="389" w:type="pct"/>
            <w:tcBorders>
              <w:top w:val="nil"/>
              <w:left w:val="nil"/>
              <w:bottom w:val="single" w:sz="4" w:space="0" w:color="auto"/>
              <w:right w:val="single" w:sz="4" w:space="0" w:color="auto"/>
            </w:tcBorders>
            <w:shd w:val="clear" w:color="auto" w:fill="auto"/>
            <w:noWrap/>
            <w:vAlign w:val="center"/>
          </w:tcPr>
          <w:p w14:paraId="207BE7C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76C1B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2,832 </w:t>
            </w:r>
          </w:p>
        </w:tc>
        <w:tc>
          <w:tcPr>
            <w:tcW w:w="390" w:type="pct"/>
            <w:tcBorders>
              <w:top w:val="nil"/>
              <w:left w:val="nil"/>
              <w:bottom w:val="single" w:sz="4" w:space="0" w:color="auto"/>
              <w:right w:val="single" w:sz="4" w:space="0" w:color="auto"/>
            </w:tcBorders>
            <w:shd w:val="clear" w:color="auto" w:fill="auto"/>
            <w:noWrap/>
            <w:vAlign w:val="center"/>
          </w:tcPr>
          <w:p w14:paraId="02F3355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75247F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2,903 </w:t>
            </w:r>
          </w:p>
        </w:tc>
      </w:tr>
      <w:tr w:rsidR="00E0192B" w:rsidRPr="00E0192B" w14:paraId="3D641324"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3A97B90"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7F5FA3C"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28DAF1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837A7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2,620 </w:t>
            </w:r>
          </w:p>
        </w:tc>
        <w:tc>
          <w:tcPr>
            <w:tcW w:w="390" w:type="pct"/>
            <w:tcBorders>
              <w:top w:val="nil"/>
              <w:left w:val="nil"/>
              <w:bottom w:val="single" w:sz="4" w:space="0" w:color="auto"/>
              <w:right w:val="single" w:sz="4" w:space="0" w:color="auto"/>
            </w:tcBorders>
            <w:shd w:val="clear" w:color="auto" w:fill="auto"/>
            <w:noWrap/>
            <w:vAlign w:val="center"/>
          </w:tcPr>
          <w:p w14:paraId="7EFD46D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94C2B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2,690 </w:t>
            </w:r>
          </w:p>
        </w:tc>
        <w:tc>
          <w:tcPr>
            <w:tcW w:w="390" w:type="pct"/>
            <w:tcBorders>
              <w:top w:val="nil"/>
              <w:left w:val="nil"/>
              <w:bottom w:val="single" w:sz="4" w:space="0" w:color="auto"/>
              <w:right w:val="single" w:sz="4" w:space="0" w:color="auto"/>
            </w:tcBorders>
            <w:shd w:val="clear" w:color="auto" w:fill="auto"/>
            <w:noWrap/>
            <w:vAlign w:val="center"/>
          </w:tcPr>
          <w:p w14:paraId="46FF8B8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987CB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2,761 </w:t>
            </w:r>
          </w:p>
        </w:tc>
        <w:tc>
          <w:tcPr>
            <w:tcW w:w="389" w:type="pct"/>
            <w:tcBorders>
              <w:top w:val="nil"/>
              <w:left w:val="nil"/>
              <w:bottom w:val="single" w:sz="4" w:space="0" w:color="auto"/>
              <w:right w:val="single" w:sz="4" w:space="0" w:color="auto"/>
            </w:tcBorders>
            <w:shd w:val="clear" w:color="auto" w:fill="auto"/>
            <w:noWrap/>
            <w:vAlign w:val="center"/>
          </w:tcPr>
          <w:p w14:paraId="78F5DEB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6EB31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2,832 </w:t>
            </w:r>
          </w:p>
        </w:tc>
        <w:tc>
          <w:tcPr>
            <w:tcW w:w="390" w:type="pct"/>
            <w:tcBorders>
              <w:top w:val="nil"/>
              <w:left w:val="nil"/>
              <w:bottom w:val="single" w:sz="4" w:space="0" w:color="auto"/>
              <w:right w:val="single" w:sz="4" w:space="0" w:color="auto"/>
            </w:tcBorders>
            <w:shd w:val="clear" w:color="auto" w:fill="auto"/>
            <w:noWrap/>
            <w:vAlign w:val="center"/>
          </w:tcPr>
          <w:p w14:paraId="30D9E05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181033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2,903 </w:t>
            </w:r>
          </w:p>
        </w:tc>
      </w:tr>
      <w:tr w:rsidR="00E0192B" w:rsidRPr="00E0192B" w14:paraId="1B3CAB7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33F2997"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92B53B4"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E37160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54EB2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CD09A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F771F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DC73D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54C7C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C814B3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2ED3E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84C9E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34222C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345D8C3"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8AF484"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AD30EDF"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1DEE4D3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1511D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5B582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C51963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FD029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5A2F2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D0D22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ADED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E47CB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690FCF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5C848BF0"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99997C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4611040"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AB9485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19B47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2DC25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84DCB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144E4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0B753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9CE27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A922D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AA2E4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BE3F0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AF07F15"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F9705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356D679"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56ED43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D14B2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3C0D7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1DCD42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C40B8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FA08D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931E3B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F8D12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7C5C1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2E5F4E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31B88F5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482193"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53CBFD1"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697B6B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48E1F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10D07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1B21A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3E6E02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31316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93FEC1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52163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2BE5B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19A41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B33E35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0601B6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52072E1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7880A1C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CBB65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203B3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8DA68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3B075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95CDE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08F85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2B671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1E962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7323D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238B630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0A5B629"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049FAC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0127048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6880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FCBF6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48597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9E06A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71D9E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C17DB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FF8BB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9F25C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79DFC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0035985C"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632683"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37C94C0D"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0776E1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C7E46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9291D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F1F56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60DD9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20D96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40C9B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882D8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47740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63AFE2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1563F210"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322A1A5"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029FEE7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4C8C23F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4BD72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89D4A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9AFCA3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ED2E4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15C15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A64AF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96E05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283D3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C082B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31D346E1"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4A1725"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366BD4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778610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02E21C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5,381</w:t>
            </w:r>
          </w:p>
        </w:tc>
        <w:tc>
          <w:tcPr>
            <w:tcW w:w="390" w:type="pct"/>
            <w:tcBorders>
              <w:top w:val="nil"/>
              <w:left w:val="nil"/>
              <w:bottom w:val="single" w:sz="4" w:space="0" w:color="auto"/>
              <w:right w:val="single" w:sz="4" w:space="0" w:color="auto"/>
            </w:tcBorders>
            <w:shd w:val="clear" w:color="auto" w:fill="auto"/>
            <w:noWrap/>
            <w:vAlign w:val="center"/>
          </w:tcPr>
          <w:p w14:paraId="14D2B4E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72729AB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5,522</w:t>
            </w:r>
          </w:p>
        </w:tc>
        <w:tc>
          <w:tcPr>
            <w:tcW w:w="390" w:type="pct"/>
            <w:tcBorders>
              <w:top w:val="nil"/>
              <w:left w:val="nil"/>
              <w:bottom w:val="single" w:sz="4" w:space="0" w:color="auto"/>
              <w:right w:val="single" w:sz="4" w:space="0" w:color="auto"/>
            </w:tcBorders>
            <w:shd w:val="clear" w:color="auto" w:fill="auto"/>
            <w:noWrap/>
            <w:vAlign w:val="center"/>
          </w:tcPr>
          <w:p w14:paraId="31A6636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740493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5,664</w:t>
            </w:r>
          </w:p>
        </w:tc>
        <w:tc>
          <w:tcPr>
            <w:tcW w:w="389" w:type="pct"/>
            <w:tcBorders>
              <w:top w:val="nil"/>
              <w:left w:val="nil"/>
              <w:bottom w:val="single" w:sz="4" w:space="0" w:color="auto"/>
              <w:right w:val="single" w:sz="4" w:space="0" w:color="auto"/>
            </w:tcBorders>
            <w:shd w:val="clear" w:color="auto" w:fill="auto"/>
            <w:noWrap/>
            <w:vAlign w:val="center"/>
          </w:tcPr>
          <w:p w14:paraId="5846E62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2F75D9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5,806</w:t>
            </w:r>
          </w:p>
        </w:tc>
        <w:tc>
          <w:tcPr>
            <w:tcW w:w="390" w:type="pct"/>
            <w:tcBorders>
              <w:top w:val="nil"/>
              <w:left w:val="nil"/>
              <w:bottom w:val="single" w:sz="4" w:space="0" w:color="auto"/>
              <w:right w:val="single" w:sz="4" w:space="0" w:color="auto"/>
            </w:tcBorders>
            <w:shd w:val="clear" w:color="auto" w:fill="auto"/>
            <w:noWrap/>
            <w:vAlign w:val="center"/>
          </w:tcPr>
          <w:p w14:paraId="56CDA53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A4846D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5,947</w:t>
            </w:r>
          </w:p>
        </w:tc>
      </w:tr>
      <w:tr w:rsidR="00E0192B" w:rsidRPr="00E0192B" w14:paraId="206E10D0"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153013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862DF9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42895A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402BDF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5,381</w:t>
            </w:r>
          </w:p>
        </w:tc>
        <w:tc>
          <w:tcPr>
            <w:tcW w:w="390" w:type="pct"/>
            <w:tcBorders>
              <w:top w:val="nil"/>
              <w:left w:val="nil"/>
              <w:bottom w:val="single" w:sz="4" w:space="0" w:color="auto"/>
              <w:right w:val="single" w:sz="4" w:space="0" w:color="auto"/>
            </w:tcBorders>
            <w:shd w:val="clear" w:color="auto" w:fill="auto"/>
            <w:noWrap/>
            <w:vAlign w:val="center"/>
          </w:tcPr>
          <w:p w14:paraId="583E04A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E4500F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5,522</w:t>
            </w:r>
          </w:p>
        </w:tc>
        <w:tc>
          <w:tcPr>
            <w:tcW w:w="390" w:type="pct"/>
            <w:tcBorders>
              <w:top w:val="nil"/>
              <w:left w:val="nil"/>
              <w:bottom w:val="single" w:sz="4" w:space="0" w:color="auto"/>
              <w:right w:val="single" w:sz="4" w:space="0" w:color="auto"/>
            </w:tcBorders>
            <w:shd w:val="clear" w:color="auto" w:fill="auto"/>
            <w:noWrap/>
            <w:vAlign w:val="center"/>
          </w:tcPr>
          <w:p w14:paraId="1842C11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3F6ACD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5,664</w:t>
            </w:r>
          </w:p>
        </w:tc>
        <w:tc>
          <w:tcPr>
            <w:tcW w:w="389" w:type="pct"/>
            <w:tcBorders>
              <w:top w:val="nil"/>
              <w:left w:val="nil"/>
              <w:bottom w:val="single" w:sz="4" w:space="0" w:color="auto"/>
              <w:right w:val="single" w:sz="4" w:space="0" w:color="auto"/>
            </w:tcBorders>
            <w:shd w:val="clear" w:color="auto" w:fill="auto"/>
            <w:noWrap/>
            <w:vAlign w:val="center"/>
          </w:tcPr>
          <w:p w14:paraId="3952200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EA4926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5,806</w:t>
            </w:r>
          </w:p>
        </w:tc>
        <w:tc>
          <w:tcPr>
            <w:tcW w:w="390" w:type="pct"/>
            <w:tcBorders>
              <w:top w:val="nil"/>
              <w:left w:val="nil"/>
              <w:bottom w:val="single" w:sz="4" w:space="0" w:color="auto"/>
              <w:right w:val="single" w:sz="4" w:space="0" w:color="auto"/>
            </w:tcBorders>
            <w:shd w:val="clear" w:color="auto" w:fill="auto"/>
            <w:noWrap/>
            <w:vAlign w:val="center"/>
          </w:tcPr>
          <w:p w14:paraId="2A9140A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216AFCB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5,947</w:t>
            </w:r>
          </w:p>
        </w:tc>
      </w:tr>
      <w:tr w:rsidR="00E0192B" w:rsidRPr="00E0192B" w14:paraId="1DC20234"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987B99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6E8321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34D5B04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D9A36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5DDAE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A3331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EB160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B7DD6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B4DB3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4A5B9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A899C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E21478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5C480097"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6DB378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12EEA13F"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7ACA7E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B1533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ED1E46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334C0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F9A7B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A460F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28A7C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B8E15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A9D05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6A9D47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16B6FDE"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4B7F44"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85E287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F4287F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66CD7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4698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B1351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4E6D0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BA605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0DE00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58A69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FBC93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E63456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0AA2FC36"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AF687F"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148A99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B9F4E2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8582B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F44C7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2674F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619B1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86C0A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98B81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ABE1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BA741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C05192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35DD3311"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9B24D94"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856F5D1"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B211E9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9FE55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2D398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F03E4F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741FD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F7415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092A19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4CEDF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5343E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361B15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3B73C3C6"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1FCF290"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FF23A8E"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ABD34E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A442A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9F249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4AA53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B1276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40FD3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3E472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3C4A6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003EB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71F93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26DC09E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32A4D55"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68E59DE1"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BE69F1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7169A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F0008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50ACA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FC87A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ED6E6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AB169F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B0EE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B8B76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5F9B7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11E4C9CE"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74F5C7"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C05ADB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40E6C1F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ACE5B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F4AEE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E6106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104CB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5C91C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52469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6A853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84721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2195BD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2A02358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11EABFF"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60B9060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529948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33282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9738D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6CEC3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AFF9B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0AB5B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0EB2DF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4E29F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AC405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92D4D7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7A669529"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1CC980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0F1BE95"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52912C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C21C0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4,177</w:t>
            </w:r>
          </w:p>
        </w:tc>
        <w:tc>
          <w:tcPr>
            <w:tcW w:w="390" w:type="pct"/>
            <w:tcBorders>
              <w:top w:val="nil"/>
              <w:left w:val="nil"/>
              <w:bottom w:val="single" w:sz="4" w:space="0" w:color="auto"/>
              <w:right w:val="single" w:sz="4" w:space="0" w:color="auto"/>
            </w:tcBorders>
            <w:shd w:val="clear" w:color="auto" w:fill="auto"/>
            <w:noWrap/>
            <w:vAlign w:val="center"/>
          </w:tcPr>
          <w:p w14:paraId="38BB350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0EE359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4,248</w:t>
            </w:r>
          </w:p>
        </w:tc>
        <w:tc>
          <w:tcPr>
            <w:tcW w:w="390" w:type="pct"/>
            <w:tcBorders>
              <w:top w:val="nil"/>
              <w:left w:val="nil"/>
              <w:bottom w:val="single" w:sz="4" w:space="0" w:color="auto"/>
              <w:right w:val="single" w:sz="4" w:space="0" w:color="auto"/>
            </w:tcBorders>
            <w:shd w:val="clear" w:color="auto" w:fill="auto"/>
            <w:noWrap/>
            <w:vAlign w:val="center"/>
          </w:tcPr>
          <w:p w14:paraId="4D8BD3B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8456A0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4,319</w:t>
            </w:r>
          </w:p>
        </w:tc>
        <w:tc>
          <w:tcPr>
            <w:tcW w:w="389" w:type="pct"/>
            <w:tcBorders>
              <w:top w:val="nil"/>
              <w:left w:val="nil"/>
              <w:bottom w:val="single" w:sz="4" w:space="0" w:color="auto"/>
              <w:right w:val="single" w:sz="4" w:space="0" w:color="auto"/>
            </w:tcBorders>
            <w:shd w:val="clear" w:color="auto" w:fill="auto"/>
            <w:noWrap/>
            <w:vAlign w:val="center"/>
          </w:tcPr>
          <w:p w14:paraId="6A02228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EF2880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4,390</w:t>
            </w:r>
          </w:p>
        </w:tc>
        <w:tc>
          <w:tcPr>
            <w:tcW w:w="390" w:type="pct"/>
            <w:tcBorders>
              <w:top w:val="nil"/>
              <w:left w:val="nil"/>
              <w:bottom w:val="single" w:sz="4" w:space="0" w:color="auto"/>
              <w:right w:val="single" w:sz="4" w:space="0" w:color="auto"/>
            </w:tcBorders>
            <w:shd w:val="clear" w:color="auto" w:fill="auto"/>
            <w:noWrap/>
            <w:vAlign w:val="center"/>
          </w:tcPr>
          <w:p w14:paraId="6959543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3010D4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4,460</w:t>
            </w:r>
          </w:p>
        </w:tc>
      </w:tr>
      <w:tr w:rsidR="00E0192B" w:rsidRPr="00E0192B" w14:paraId="1CA7C65A"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752D3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4654A9C4"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390197A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2488A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4,177</w:t>
            </w:r>
          </w:p>
        </w:tc>
        <w:tc>
          <w:tcPr>
            <w:tcW w:w="390" w:type="pct"/>
            <w:tcBorders>
              <w:top w:val="nil"/>
              <w:left w:val="nil"/>
              <w:bottom w:val="single" w:sz="4" w:space="0" w:color="auto"/>
              <w:right w:val="single" w:sz="4" w:space="0" w:color="auto"/>
            </w:tcBorders>
            <w:shd w:val="clear" w:color="auto" w:fill="auto"/>
            <w:noWrap/>
            <w:vAlign w:val="center"/>
          </w:tcPr>
          <w:p w14:paraId="4D9B99C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568489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4,248</w:t>
            </w:r>
          </w:p>
        </w:tc>
        <w:tc>
          <w:tcPr>
            <w:tcW w:w="390" w:type="pct"/>
            <w:tcBorders>
              <w:top w:val="nil"/>
              <w:left w:val="nil"/>
              <w:bottom w:val="single" w:sz="4" w:space="0" w:color="auto"/>
              <w:right w:val="single" w:sz="4" w:space="0" w:color="auto"/>
            </w:tcBorders>
            <w:shd w:val="clear" w:color="auto" w:fill="auto"/>
            <w:noWrap/>
            <w:vAlign w:val="center"/>
          </w:tcPr>
          <w:p w14:paraId="6CB5405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71222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4,319</w:t>
            </w:r>
          </w:p>
        </w:tc>
        <w:tc>
          <w:tcPr>
            <w:tcW w:w="389" w:type="pct"/>
            <w:tcBorders>
              <w:top w:val="nil"/>
              <w:left w:val="nil"/>
              <w:bottom w:val="single" w:sz="4" w:space="0" w:color="auto"/>
              <w:right w:val="single" w:sz="4" w:space="0" w:color="auto"/>
            </w:tcBorders>
            <w:shd w:val="clear" w:color="auto" w:fill="auto"/>
            <w:noWrap/>
            <w:vAlign w:val="center"/>
          </w:tcPr>
          <w:p w14:paraId="0F379A4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25FEB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4,390</w:t>
            </w:r>
          </w:p>
        </w:tc>
        <w:tc>
          <w:tcPr>
            <w:tcW w:w="390" w:type="pct"/>
            <w:tcBorders>
              <w:top w:val="nil"/>
              <w:left w:val="nil"/>
              <w:bottom w:val="single" w:sz="4" w:space="0" w:color="auto"/>
              <w:right w:val="single" w:sz="4" w:space="0" w:color="auto"/>
            </w:tcBorders>
            <w:shd w:val="clear" w:color="auto" w:fill="auto"/>
            <w:noWrap/>
            <w:vAlign w:val="center"/>
          </w:tcPr>
          <w:p w14:paraId="43A999E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82B00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4,460</w:t>
            </w:r>
          </w:p>
        </w:tc>
      </w:tr>
      <w:tr w:rsidR="00E0192B" w:rsidRPr="00E0192B" w14:paraId="24953F41"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711AF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D23B537"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0DEBF03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6A99B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96C18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8AB0D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AF9B7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EC499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D047D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6144C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9990E6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CADD3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46BC3E3E"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A863FA"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3102C9D"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E8C3EC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50430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2890B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6441A7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B80F3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2D5FF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C85C0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7F60B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AD529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64596E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16188E7E"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EACAE2F"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1A31CDE"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997115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8031C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01C2E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69F198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0A3CC7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E83C2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57E00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3B750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0504E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39AD63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383532EF"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1F2627"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10790B8"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A47A18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0DC61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07428D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350399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BF36FF"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AD966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76F129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29987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5CA734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B6570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39E3DF9F"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EFC5AD"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87F694B"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AF74E5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864A1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D5E59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6D6C95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F6305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A98CD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E8CEB0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2113A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FAE82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A8B99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7A46AFED"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6069879"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6143F4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01CBB70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381D6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CC6D7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90E4AC"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A15DE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9CEC7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297BBB"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7CAC9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F6203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3E54C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20BB5351"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D8174E"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102B6B7"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1028913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57422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915F8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09BE9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E181D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3E1C6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D4371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5161F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29067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DE90D9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0DA5FFC2"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D780ED6"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1DDFB5E"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C00ED8A"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A576F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D0AAA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30B8B7"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2B26B6"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278F2F9"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0E390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ADF9F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5C26D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4AEE5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02B6897F" w14:textId="77777777" w:rsidTr="00E0192B">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45176E4"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44AD242" w14:textId="77777777" w:rsidR="00E0192B" w:rsidRPr="00E0192B" w:rsidRDefault="00E0192B" w:rsidP="00E0192B">
            <w:pPr>
              <w:ind w:left="0"/>
              <w:rPr>
                <w:rFonts w:ascii="Bookman Old Style" w:hAnsi="Bookman Old Style" w:cs="Arial"/>
                <w:color w:val="000000"/>
                <w:sz w:val="12"/>
                <w:szCs w:val="12"/>
                <w:lang w:val="es-CO" w:eastAsia="es-CO"/>
              </w:rPr>
            </w:pPr>
            <w:r w:rsidRPr="00E0192B">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571081E"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512E14"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61A488"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F1EB7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0E424CD"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64B931"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217C25"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A46E23"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21EE42"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4BE4700" w14:textId="77777777" w:rsidR="00E0192B" w:rsidRPr="00E0192B" w:rsidRDefault="00E0192B" w:rsidP="00E0192B">
            <w:pPr>
              <w:ind w:left="0" w:hanging="14"/>
              <w:jc w:val="right"/>
              <w:rPr>
                <w:rFonts w:ascii="Bookman Old Style" w:hAnsi="Bookman Old Style" w:cs="Arial"/>
                <w:color w:val="000000"/>
                <w:sz w:val="12"/>
                <w:szCs w:val="12"/>
                <w:lang w:val="es-CO"/>
              </w:rPr>
            </w:pPr>
            <w:r w:rsidRPr="00E0192B">
              <w:rPr>
                <w:rFonts w:ascii="Bookman Old Style" w:hAnsi="Bookman Old Style" w:cs="Arial"/>
                <w:color w:val="000000"/>
                <w:sz w:val="12"/>
                <w:szCs w:val="12"/>
                <w:lang w:val="es-CO"/>
              </w:rPr>
              <w:t xml:space="preserve">- </w:t>
            </w:r>
          </w:p>
        </w:tc>
      </w:tr>
      <w:tr w:rsidR="00E0192B" w:rsidRPr="00E0192B" w14:paraId="2885D4DD" w14:textId="77777777" w:rsidTr="00E0192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C56CFC" w14:textId="77777777" w:rsidR="00E0192B" w:rsidRPr="00E0192B" w:rsidRDefault="00E0192B" w:rsidP="00E0192B">
            <w:pPr>
              <w:ind w:left="0"/>
              <w:rPr>
                <w:rFonts w:ascii="Bookman Old Style" w:hAnsi="Bookman Old Style" w:cs="Arial"/>
                <w:b/>
                <w:color w:val="000000"/>
                <w:sz w:val="12"/>
                <w:szCs w:val="12"/>
                <w:lang w:val="es-CO" w:eastAsia="es-CO"/>
              </w:rPr>
            </w:pPr>
            <w:r w:rsidRPr="00E0192B">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F2BA98" w14:textId="77777777" w:rsidR="00E0192B" w:rsidRPr="00E0192B" w:rsidRDefault="00E0192B" w:rsidP="00E0192B">
            <w:pPr>
              <w:ind w:left="0"/>
              <w:jc w:val="right"/>
              <w:rPr>
                <w:rFonts w:ascii="Bookman Old Style" w:hAnsi="Bookman Old Style" w:cs="Arial"/>
                <w:b/>
                <w:bCs/>
                <w:color w:val="000000"/>
                <w:sz w:val="12"/>
                <w:szCs w:val="12"/>
                <w:lang w:val="es-CO" w:eastAsia="es-CO"/>
              </w:rPr>
            </w:pPr>
            <w:r w:rsidRPr="00E0192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ED28CB"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24,284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42C9D8"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460BA2"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24,780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39071D"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D2C564"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25,276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EB6FB6"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295F8E"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25,771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43742D"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CC8E8F" w14:textId="77777777" w:rsidR="00E0192B" w:rsidRPr="00E0192B" w:rsidRDefault="00E0192B" w:rsidP="00E0192B">
            <w:pPr>
              <w:ind w:left="0"/>
              <w:jc w:val="right"/>
              <w:rPr>
                <w:rFonts w:ascii="Bookman Old Style" w:hAnsi="Bookman Old Style" w:cs="Arial"/>
                <w:b/>
                <w:bCs/>
                <w:color w:val="000000"/>
                <w:sz w:val="12"/>
                <w:szCs w:val="12"/>
                <w:lang w:val="es-CO"/>
              </w:rPr>
            </w:pPr>
            <w:r w:rsidRPr="00E0192B">
              <w:rPr>
                <w:rFonts w:ascii="Bookman Old Style" w:hAnsi="Bookman Old Style" w:cs="Arial"/>
                <w:b/>
                <w:bCs/>
                <w:color w:val="000000"/>
                <w:sz w:val="12"/>
                <w:szCs w:val="12"/>
                <w:lang w:val="es-CO"/>
              </w:rPr>
              <w:t xml:space="preserve">26,297 </w:t>
            </w:r>
          </w:p>
        </w:tc>
      </w:tr>
    </w:tbl>
    <w:p w14:paraId="7A35FB73" w14:textId="03FC72ED" w:rsidR="00756823" w:rsidRDefault="00756823" w:rsidP="006B3017">
      <w:pPr>
        <w:widowControl w:val="0"/>
        <w:adjustRightInd w:val="0"/>
        <w:ind w:left="0"/>
        <w:jc w:val="center"/>
        <w:rPr>
          <w:rFonts w:ascii="Bookman Old Style" w:hAnsi="Bookman Old Style" w:cs="Arial"/>
          <w:b/>
          <w:sz w:val="20"/>
        </w:rPr>
      </w:pPr>
    </w:p>
    <w:tbl>
      <w:tblPr>
        <w:tblW w:w="5155" w:type="pct"/>
        <w:jc w:val="center"/>
        <w:tblLayout w:type="fixed"/>
        <w:tblCellMar>
          <w:left w:w="70" w:type="dxa"/>
          <w:right w:w="70" w:type="dxa"/>
        </w:tblCellMar>
        <w:tblLook w:val="04A0" w:firstRow="1" w:lastRow="0" w:firstColumn="1" w:lastColumn="0" w:noHBand="0" w:noVBand="1"/>
      </w:tblPr>
      <w:tblGrid>
        <w:gridCol w:w="1284"/>
        <w:gridCol w:w="864"/>
        <w:gridCol w:w="749"/>
        <w:gridCol w:w="752"/>
        <w:gridCol w:w="752"/>
        <w:gridCol w:w="750"/>
        <w:gridCol w:w="752"/>
        <w:gridCol w:w="752"/>
        <w:gridCol w:w="750"/>
        <w:gridCol w:w="752"/>
        <w:gridCol w:w="752"/>
        <w:gridCol w:w="727"/>
      </w:tblGrid>
      <w:tr w:rsidR="00FB3A31" w:rsidRPr="00FB3A31" w14:paraId="1EF54458" w14:textId="77777777" w:rsidTr="00FB3A31">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AE293C" w14:textId="77777777" w:rsidR="00FB3A31" w:rsidRPr="00FB3A31" w:rsidRDefault="00FB3A31" w:rsidP="00FB3A31">
            <w:pPr>
              <w:ind w:left="0"/>
              <w:jc w:val="center"/>
              <w:rPr>
                <w:rFonts w:ascii="Bookman Old Style" w:hAnsi="Bookman Old Style" w:cs="Arial"/>
                <w:b/>
                <w:color w:val="000000"/>
                <w:sz w:val="12"/>
                <w:szCs w:val="12"/>
                <w:lang w:val="es-CO" w:eastAsia="es-CO"/>
              </w:rPr>
            </w:pPr>
            <w:r w:rsidRPr="00FB3A31">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70BCCA" w14:textId="77777777" w:rsidR="00FB3A31" w:rsidRPr="00FB3A31" w:rsidRDefault="00FB3A31" w:rsidP="00FB3A31">
            <w:pPr>
              <w:ind w:left="0"/>
              <w:jc w:val="center"/>
              <w:rPr>
                <w:rFonts w:ascii="Bookman Old Style" w:hAnsi="Bookman Old Style" w:cs="Arial"/>
                <w:b/>
                <w:color w:val="000000"/>
                <w:sz w:val="12"/>
                <w:szCs w:val="12"/>
                <w:lang w:val="es-CO" w:eastAsia="es-CO"/>
              </w:rPr>
            </w:pPr>
            <w:r w:rsidRPr="00FB3A31">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074AA1" w14:textId="77777777" w:rsidR="00FB3A31" w:rsidRPr="00FB3A31" w:rsidRDefault="00FB3A31" w:rsidP="00FB3A31">
            <w:pPr>
              <w:ind w:left="0"/>
              <w:jc w:val="center"/>
              <w:rPr>
                <w:rFonts w:ascii="Bookman Old Style" w:hAnsi="Bookman Old Style" w:cs="Arial"/>
                <w:b/>
                <w:color w:val="000000"/>
                <w:sz w:val="12"/>
                <w:szCs w:val="12"/>
                <w:lang w:val="es-CO" w:eastAsia="es-CO"/>
              </w:rPr>
            </w:pPr>
            <w:r w:rsidRPr="00FB3A31">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6C6D3A2" w14:textId="77777777" w:rsidR="00FB3A31" w:rsidRPr="00FB3A31" w:rsidRDefault="00FB3A31" w:rsidP="00FB3A31">
            <w:pPr>
              <w:ind w:left="0"/>
              <w:jc w:val="center"/>
              <w:rPr>
                <w:rFonts w:ascii="Bookman Old Style" w:hAnsi="Bookman Old Style" w:cs="Arial"/>
                <w:b/>
                <w:color w:val="000000"/>
                <w:sz w:val="12"/>
                <w:szCs w:val="12"/>
                <w:lang w:val="es-CO" w:eastAsia="es-CO"/>
              </w:rPr>
            </w:pPr>
            <w:r w:rsidRPr="00FB3A31">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74B1E330" w14:textId="77777777" w:rsidR="00FB3A31" w:rsidRPr="00FB3A31" w:rsidRDefault="00FB3A31" w:rsidP="00FB3A31">
            <w:pPr>
              <w:ind w:left="0"/>
              <w:jc w:val="center"/>
              <w:rPr>
                <w:rFonts w:ascii="Bookman Old Style" w:hAnsi="Bookman Old Style" w:cs="Arial"/>
                <w:b/>
                <w:color w:val="000000"/>
                <w:sz w:val="12"/>
                <w:szCs w:val="12"/>
                <w:lang w:val="es-CO" w:eastAsia="es-CO"/>
              </w:rPr>
            </w:pPr>
            <w:r w:rsidRPr="00FB3A31">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000000" w:fill="D9D9D9"/>
            <w:vAlign w:val="center"/>
            <w:hideMark/>
          </w:tcPr>
          <w:p w14:paraId="67659382" w14:textId="77777777" w:rsidR="00FB3A31" w:rsidRPr="00FB3A31" w:rsidRDefault="00FB3A31" w:rsidP="00FB3A31">
            <w:pPr>
              <w:ind w:left="0"/>
              <w:jc w:val="center"/>
              <w:rPr>
                <w:rFonts w:ascii="Bookman Old Style" w:hAnsi="Bookman Old Style" w:cs="Arial"/>
                <w:b/>
                <w:color w:val="000000"/>
                <w:sz w:val="12"/>
                <w:szCs w:val="12"/>
                <w:lang w:val="es-CO" w:eastAsia="es-CO"/>
              </w:rPr>
            </w:pPr>
            <w:r w:rsidRPr="00FB3A31">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3ED8D1CC" w14:textId="77777777" w:rsidR="00FB3A31" w:rsidRPr="00FB3A31" w:rsidRDefault="00FB3A31" w:rsidP="00FB3A31">
            <w:pPr>
              <w:ind w:left="0"/>
              <w:jc w:val="center"/>
              <w:rPr>
                <w:rFonts w:ascii="Bookman Old Style" w:hAnsi="Bookman Old Style" w:cs="Arial"/>
                <w:b/>
                <w:color w:val="000000"/>
                <w:sz w:val="12"/>
                <w:szCs w:val="12"/>
                <w:lang w:val="es-CO" w:eastAsia="es-CO"/>
              </w:rPr>
            </w:pPr>
            <w:r w:rsidRPr="00FB3A31">
              <w:rPr>
                <w:rFonts w:ascii="Bookman Old Style" w:hAnsi="Bookman Old Style" w:cs="Arial"/>
                <w:b/>
                <w:color w:val="000000"/>
                <w:sz w:val="12"/>
                <w:szCs w:val="12"/>
                <w:lang w:val="es-CO" w:eastAsia="es-CO"/>
              </w:rPr>
              <w:t>Año 20</w:t>
            </w:r>
          </w:p>
        </w:tc>
      </w:tr>
      <w:tr w:rsidR="00FB3A31" w:rsidRPr="00FB3A31" w14:paraId="60BD5CB4" w14:textId="77777777" w:rsidTr="00FB3A31">
        <w:trPr>
          <w:trHeight w:val="192"/>
          <w:tblHeader/>
          <w:jc w:val="center"/>
        </w:trPr>
        <w:tc>
          <w:tcPr>
            <w:tcW w:w="6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BB784" w14:textId="77777777" w:rsidR="00FB3A31" w:rsidRPr="00FB3A31" w:rsidRDefault="00FB3A31" w:rsidP="00FB3A31">
            <w:pPr>
              <w:ind w:left="0"/>
              <w:jc w:val="center"/>
              <w:rPr>
                <w:rFonts w:ascii="Bookman Old Style" w:hAnsi="Bookman Old Style" w:cs="Arial"/>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C0ABB" w14:textId="77777777" w:rsidR="00FB3A31" w:rsidRPr="00FB3A31" w:rsidRDefault="00FB3A31" w:rsidP="00FB3A31">
            <w:pPr>
              <w:ind w:left="0"/>
              <w:jc w:val="center"/>
              <w:rPr>
                <w:rFonts w:ascii="Bookman Old Style" w:hAnsi="Bookman Old Style"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47C4A896"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E8457AF"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624C292"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B492765"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07904B0"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DB5BA38"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5FB5A77F"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56E792F8"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CFE1A26"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000000" w:fill="D9D9D9"/>
            <w:vAlign w:val="center"/>
            <w:hideMark/>
          </w:tcPr>
          <w:p w14:paraId="0B3DE66B" w14:textId="77777777" w:rsidR="00FB3A31" w:rsidRPr="00FB3A31" w:rsidRDefault="00FB3A31" w:rsidP="00FB3A31">
            <w:pPr>
              <w:ind w:left="0"/>
              <w:jc w:val="center"/>
              <w:rPr>
                <w:rFonts w:ascii="Bookman Old Style" w:hAnsi="Bookman Old Style" w:cs="Arial"/>
                <w:b/>
                <w:color w:val="000000"/>
                <w:sz w:val="10"/>
                <w:szCs w:val="10"/>
                <w:lang w:val="es-CO" w:eastAsia="es-CO"/>
              </w:rPr>
            </w:pPr>
            <w:r w:rsidRPr="00FB3A31">
              <w:rPr>
                <w:rFonts w:ascii="Bookman Old Style" w:hAnsi="Bookman Old Style" w:cs="Arial"/>
                <w:b/>
                <w:color w:val="000000"/>
                <w:sz w:val="10"/>
                <w:szCs w:val="10"/>
                <w:lang w:val="es-CO" w:eastAsia="es-CO"/>
              </w:rPr>
              <w:t>Secundaria</w:t>
            </w:r>
          </w:p>
        </w:tc>
      </w:tr>
      <w:tr w:rsidR="00FB3A31" w:rsidRPr="00FB3A31" w14:paraId="0AD41C73"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5B9A4A51"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921F8F7"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3758F904" w14:textId="77777777" w:rsidR="00FB3A31" w:rsidRPr="00FB3A31" w:rsidRDefault="00FB3A31" w:rsidP="00FB3A31">
            <w:pPr>
              <w:ind w:left="0" w:hanging="14"/>
              <w:jc w:val="right"/>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55EDC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3,965 </w:t>
            </w:r>
          </w:p>
        </w:tc>
        <w:tc>
          <w:tcPr>
            <w:tcW w:w="390" w:type="pct"/>
            <w:tcBorders>
              <w:top w:val="nil"/>
              <w:left w:val="nil"/>
              <w:bottom w:val="single" w:sz="4" w:space="0" w:color="auto"/>
              <w:right w:val="single" w:sz="4" w:space="0" w:color="auto"/>
            </w:tcBorders>
            <w:shd w:val="clear" w:color="auto" w:fill="auto"/>
            <w:noWrap/>
            <w:vAlign w:val="center"/>
          </w:tcPr>
          <w:p w14:paraId="5A8F2D7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D080D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4,036 </w:t>
            </w:r>
          </w:p>
        </w:tc>
        <w:tc>
          <w:tcPr>
            <w:tcW w:w="390" w:type="pct"/>
            <w:tcBorders>
              <w:top w:val="nil"/>
              <w:left w:val="nil"/>
              <w:bottom w:val="single" w:sz="4" w:space="0" w:color="auto"/>
              <w:right w:val="single" w:sz="4" w:space="0" w:color="auto"/>
            </w:tcBorders>
            <w:shd w:val="clear" w:color="auto" w:fill="auto"/>
            <w:noWrap/>
            <w:vAlign w:val="center"/>
          </w:tcPr>
          <w:p w14:paraId="76EC1BB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F0F4C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4,106 </w:t>
            </w:r>
          </w:p>
        </w:tc>
        <w:tc>
          <w:tcPr>
            <w:tcW w:w="389" w:type="pct"/>
            <w:tcBorders>
              <w:top w:val="nil"/>
              <w:left w:val="nil"/>
              <w:bottom w:val="single" w:sz="4" w:space="0" w:color="auto"/>
              <w:right w:val="single" w:sz="4" w:space="0" w:color="auto"/>
            </w:tcBorders>
            <w:shd w:val="clear" w:color="auto" w:fill="auto"/>
            <w:noWrap/>
            <w:vAlign w:val="center"/>
          </w:tcPr>
          <w:p w14:paraId="68EA7AE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6792A1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4,177 </w:t>
            </w:r>
          </w:p>
        </w:tc>
        <w:tc>
          <w:tcPr>
            <w:tcW w:w="390" w:type="pct"/>
            <w:tcBorders>
              <w:top w:val="nil"/>
              <w:left w:val="nil"/>
              <w:bottom w:val="single" w:sz="4" w:space="0" w:color="auto"/>
              <w:right w:val="single" w:sz="4" w:space="0" w:color="auto"/>
            </w:tcBorders>
            <w:shd w:val="clear" w:color="auto" w:fill="auto"/>
            <w:noWrap/>
            <w:vAlign w:val="center"/>
          </w:tcPr>
          <w:p w14:paraId="71505CB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302BB3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4,248 </w:t>
            </w:r>
          </w:p>
        </w:tc>
      </w:tr>
      <w:tr w:rsidR="00FB3A31" w:rsidRPr="00FB3A31" w14:paraId="0620A09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6540C7F"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617017C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244C737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F5D3E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3,965 </w:t>
            </w:r>
          </w:p>
        </w:tc>
        <w:tc>
          <w:tcPr>
            <w:tcW w:w="390" w:type="pct"/>
            <w:tcBorders>
              <w:top w:val="nil"/>
              <w:left w:val="nil"/>
              <w:bottom w:val="single" w:sz="4" w:space="0" w:color="auto"/>
              <w:right w:val="single" w:sz="4" w:space="0" w:color="auto"/>
            </w:tcBorders>
            <w:shd w:val="clear" w:color="auto" w:fill="auto"/>
            <w:noWrap/>
            <w:vAlign w:val="center"/>
          </w:tcPr>
          <w:p w14:paraId="28CFFA1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B96F9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4,036 </w:t>
            </w:r>
          </w:p>
        </w:tc>
        <w:tc>
          <w:tcPr>
            <w:tcW w:w="390" w:type="pct"/>
            <w:tcBorders>
              <w:top w:val="nil"/>
              <w:left w:val="nil"/>
              <w:bottom w:val="single" w:sz="4" w:space="0" w:color="auto"/>
              <w:right w:val="single" w:sz="4" w:space="0" w:color="auto"/>
            </w:tcBorders>
            <w:shd w:val="clear" w:color="auto" w:fill="auto"/>
            <w:noWrap/>
            <w:vAlign w:val="center"/>
          </w:tcPr>
          <w:p w14:paraId="5DFBA32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AF66E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4,106 </w:t>
            </w:r>
          </w:p>
        </w:tc>
        <w:tc>
          <w:tcPr>
            <w:tcW w:w="389" w:type="pct"/>
            <w:tcBorders>
              <w:top w:val="nil"/>
              <w:left w:val="nil"/>
              <w:bottom w:val="single" w:sz="4" w:space="0" w:color="auto"/>
              <w:right w:val="single" w:sz="4" w:space="0" w:color="auto"/>
            </w:tcBorders>
            <w:shd w:val="clear" w:color="auto" w:fill="auto"/>
            <w:noWrap/>
            <w:vAlign w:val="center"/>
          </w:tcPr>
          <w:p w14:paraId="790AEA2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C4E1C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4,177 </w:t>
            </w:r>
          </w:p>
        </w:tc>
        <w:tc>
          <w:tcPr>
            <w:tcW w:w="390" w:type="pct"/>
            <w:tcBorders>
              <w:top w:val="nil"/>
              <w:left w:val="nil"/>
              <w:bottom w:val="single" w:sz="4" w:space="0" w:color="auto"/>
              <w:right w:val="single" w:sz="4" w:space="0" w:color="auto"/>
            </w:tcBorders>
            <w:shd w:val="clear" w:color="auto" w:fill="auto"/>
            <w:noWrap/>
            <w:vAlign w:val="center"/>
          </w:tcPr>
          <w:p w14:paraId="4615AD5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A8931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4,248 </w:t>
            </w:r>
          </w:p>
        </w:tc>
      </w:tr>
      <w:tr w:rsidR="00FB3A31" w:rsidRPr="00FB3A31" w14:paraId="0A7F03A9"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CBCBD22"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FB08EC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3614DF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6F7E98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C589E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848117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D23AE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2A666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8A6E63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D9B3C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BD39CC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319DC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4B05902E"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5BC237E"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DAA6A5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6DBF34E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5E11F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E4B8B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8EA82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D5ED6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0197A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424D37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3D058B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E9179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3BAA6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1301CDB7"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F790F3A"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5249E7B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784BCB9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CE7E2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CB7D3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38F339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BA2F4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B5468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60AE8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514049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014B2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8AD14C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329437D5"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3D8F4A"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FAEF15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56E2A5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5B363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3C3B1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B4C4E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F2343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B316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33E29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8872F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AFBC8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E093D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13F57FB5"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B2EBDF7"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4B3AB9E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26FA682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79569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FC875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E131B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3DA8F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87603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C8249E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5A512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E71E8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8AFC1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58D9E613"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310092"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EEFB54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D09851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445EB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6F32AC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9BD4EB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E81995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CE3CCA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0A2E47A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C7ED11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182844E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5BE770A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r>
      <w:tr w:rsidR="00FB3A31" w:rsidRPr="00FB3A31" w14:paraId="1435A440"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5C4935"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01715C16"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74E665B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D8563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70B82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54814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F0A94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9C02B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121A14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23485A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F8D46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BF940B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75990605"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EADBF4"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1504FC08"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7B4570F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0B4DB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B1D9F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003F38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A28CB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0FDEA7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8183C0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C3DB3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BDC4C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333643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6FD2C65F"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88DED0" w14:textId="77777777" w:rsidR="00FB3A31" w:rsidRPr="00FB3A31" w:rsidRDefault="00FB3A31" w:rsidP="00FB3A31">
            <w:pPr>
              <w:ind w:left="0"/>
              <w:rPr>
                <w:rFonts w:ascii="Bookman Old Style" w:hAnsi="Bookman Old Style" w:cs="Arial"/>
                <w:sz w:val="12"/>
                <w:szCs w:val="12"/>
                <w:lang w:val="es-CO"/>
              </w:rPr>
            </w:pPr>
            <w:r w:rsidRPr="00FB3A31">
              <w:rPr>
                <w:rFonts w:ascii="Bookman Old Style" w:hAnsi="Bookman Old Style" w:cs="Arial"/>
                <w:color w:val="000000"/>
                <w:sz w:val="12"/>
                <w:szCs w:val="12"/>
                <w:lang w:val="es-CO" w:eastAsia="es-CO"/>
              </w:rPr>
              <w:t>Astillero – Agrado – Huila</w:t>
            </w:r>
          </w:p>
        </w:tc>
        <w:tc>
          <w:tcPr>
            <w:tcW w:w="449" w:type="pct"/>
            <w:tcBorders>
              <w:top w:val="nil"/>
              <w:left w:val="nil"/>
              <w:bottom w:val="single" w:sz="4" w:space="0" w:color="auto"/>
              <w:right w:val="single" w:sz="4" w:space="0" w:color="auto"/>
            </w:tcBorders>
            <w:shd w:val="clear" w:color="auto" w:fill="auto"/>
            <w:noWrap/>
            <w:vAlign w:val="center"/>
            <w:hideMark/>
          </w:tcPr>
          <w:p w14:paraId="3FD881BE"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FF627F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169308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B77DBF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503DCD7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6E01614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45FD6FA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26B04C2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465634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09DA99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4B7F5AF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r>
      <w:tr w:rsidR="00FB3A31" w:rsidRPr="00FB3A31" w14:paraId="295BC96F"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vAlign w:val="center"/>
          </w:tcPr>
          <w:p w14:paraId="04110D4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1D36D32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5B4E6244"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CBD44"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4,744 </w:t>
            </w:r>
          </w:p>
        </w:tc>
        <w:tc>
          <w:tcPr>
            <w:tcW w:w="390" w:type="pct"/>
            <w:tcBorders>
              <w:top w:val="nil"/>
              <w:left w:val="nil"/>
              <w:bottom w:val="single" w:sz="4" w:space="0" w:color="auto"/>
              <w:right w:val="single" w:sz="4" w:space="0" w:color="auto"/>
            </w:tcBorders>
            <w:shd w:val="clear" w:color="auto" w:fill="auto"/>
            <w:noWrap/>
            <w:vAlign w:val="center"/>
          </w:tcPr>
          <w:p w14:paraId="0E95CF7E"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45DCEE"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4,814 </w:t>
            </w:r>
          </w:p>
        </w:tc>
        <w:tc>
          <w:tcPr>
            <w:tcW w:w="390" w:type="pct"/>
            <w:tcBorders>
              <w:top w:val="nil"/>
              <w:left w:val="nil"/>
              <w:bottom w:val="single" w:sz="4" w:space="0" w:color="auto"/>
              <w:right w:val="single" w:sz="4" w:space="0" w:color="auto"/>
            </w:tcBorders>
            <w:shd w:val="clear" w:color="auto" w:fill="auto"/>
            <w:noWrap/>
            <w:vAlign w:val="center"/>
          </w:tcPr>
          <w:p w14:paraId="27396D3B"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2030F2"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4,885 </w:t>
            </w:r>
          </w:p>
        </w:tc>
        <w:tc>
          <w:tcPr>
            <w:tcW w:w="389" w:type="pct"/>
            <w:tcBorders>
              <w:top w:val="nil"/>
              <w:left w:val="nil"/>
              <w:bottom w:val="single" w:sz="4" w:space="0" w:color="auto"/>
              <w:right w:val="single" w:sz="4" w:space="0" w:color="auto"/>
            </w:tcBorders>
            <w:shd w:val="clear" w:color="auto" w:fill="auto"/>
            <w:noWrap/>
            <w:vAlign w:val="center"/>
          </w:tcPr>
          <w:p w14:paraId="2B029CD1"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46BCCB"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4,956 </w:t>
            </w:r>
          </w:p>
        </w:tc>
        <w:tc>
          <w:tcPr>
            <w:tcW w:w="390" w:type="pct"/>
            <w:tcBorders>
              <w:top w:val="nil"/>
              <w:left w:val="nil"/>
              <w:bottom w:val="single" w:sz="4" w:space="0" w:color="auto"/>
              <w:right w:val="single" w:sz="4" w:space="0" w:color="auto"/>
            </w:tcBorders>
            <w:shd w:val="clear" w:color="auto" w:fill="auto"/>
            <w:noWrap/>
            <w:vAlign w:val="center"/>
          </w:tcPr>
          <w:p w14:paraId="1AC57A6F"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F6C121"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5,027 </w:t>
            </w:r>
          </w:p>
        </w:tc>
      </w:tr>
      <w:tr w:rsidR="00FB3A31" w:rsidRPr="00FB3A31" w14:paraId="0B8899FC"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14B74E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6CF8F2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63B322C8"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4A302A"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4,744 </w:t>
            </w:r>
          </w:p>
        </w:tc>
        <w:tc>
          <w:tcPr>
            <w:tcW w:w="390" w:type="pct"/>
            <w:tcBorders>
              <w:top w:val="nil"/>
              <w:left w:val="nil"/>
              <w:bottom w:val="single" w:sz="4" w:space="0" w:color="auto"/>
              <w:right w:val="single" w:sz="4" w:space="0" w:color="auto"/>
            </w:tcBorders>
            <w:shd w:val="clear" w:color="auto" w:fill="auto"/>
            <w:noWrap/>
            <w:vAlign w:val="center"/>
          </w:tcPr>
          <w:p w14:paraId="3B26AF79"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626843B"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4,814 </w:t>
            </w:r>
          </w:p>
        </w:tc>
        <w:tc>
          <w:tcPr>
            <w:tcW w:w="390" w:type="pct"/>
            <w:tcBorders>
              <w:top w:val="nil"/>
              <w:left w:val="nil"/>
              <w:bottom w:val="single" w:sz="4" w:space="0" w:color="auto"/>
              <w:right w:val="single" w:sz="4" w:space="0" w:color="auto"/>
            </w:tcBorders>
            <w:shd w:val="clear" w:color="auto" w:fill="auto"/>
            <w:noWrap/>
            <w:vAlign w:val="center"/>
          </w:tcPr>
          <w:p w14:paraId="1EABAC05"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F2F476"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4,885 </w:t>
            </w:r>
          </w:p>
        </w:tc>
        <w:tc>
          <w:tcPr>
            <w:tcW w:w="389" w:type="pct"/>
            <w:tcBorders>
              <w:top w:val="nil"/>
              <w:left w:val="nil"/>
              <w:bottom w:val="single" w:sz="4" w:space="0" w:color="auto"/>
              <w:right w:val="single" w:sz="4" w:space="0" w:color="auto"/>
            </w:tcBorders>
            <w:shd w:val="clear" w:color="auto" w:fill="auto"/>
            <w:noWrap/>
            <w:vAlign w:val="center"/>
          </w:tcPr>
          <w:p w14:paraId="159938FF"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2C5838"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4,956 </w:t>
            </w:r>
          </w:p>
        </w:tc>
        <w:tc>
          <w:tcPr>
            <w:tcW w:w="390" w:type="pct"/>
            <w:tcBorders>
              <w:top w:val="nil"/>
              <w:left w:val="nil"/>
              <w:bottom w:val="single" w:sz="4" w:space="0" w:color="auto"/>
              <w:right w:val="single" w:sz="4" w:space="0" w:color="auto"/>
            </w:tcBorders>
            <w:shd w:val="clear" w:color="auto" w:fill="auto"/>
            <w:noWrap/>
            <w:vAlign w:val="center"/>
          </w:tcPr>
          <w:p w14:paraId="6A411E0E"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F2AE463"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5,027 </w:t>
            </w:r>
          </w:p>
        </w:tc>
      </w:tr>
      <w:tr w:rsidR="00FB3A31" w:rsidRPr="00FB3A31" w14:paraId="5804D41E"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288213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B6F8F4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51D77AA4"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88D119"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5CA9F05"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437515"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EF808C"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232D23"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876CFC"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6CCE27"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2D5009"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E644702"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r>
      <w:tr w:rsidR="00FB3A31" w:rsidRPr="00FB3A31" w14:paraId="0E680650"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C4A6C2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5E24B5B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415B1BBF"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443D0F"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E75E03"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0E72B4"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534685"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54212"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28479A3"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F3B5EE6"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B45A9E"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056106"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r>
      <w:tr w:rsidR="00FB3A31" w:rsidRPr="00FB3A31" w14:paraId="73D239B1"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7C6EA74"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351D313E"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3BF6EDD7"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0F348A"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5F4708"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34E0E4"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A43C48"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A96B81"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38DE312"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4CEDA6"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45D76A"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965DCBF" w14:textId="77777777" w:rsidR="00FB3A31" w:rsidRPr="00FB3A31" w:rsidRDefault="00FB3A31" w:rsidP="00FB3A31">
            <w:pPr>
              <w:ind w:left="0" w:hanging="14"/>
              <w:jc w:val="right"/>
              <w:rPr>
                <w:rFonts w:ascii="Bookman Old Style" w:hAnsi="Bookman Old Style" w:cs="Arial"/>
                <w:color w:val="000000"/>
                <w:sz w:val="12"/>
                <w:szCs w:val="12"/>
                <w:highlight w:val="yellow"/>
                <w:lang w:val="es-CO"/>
              </w:rPr>
            </w:pPr>
            <w:r w:rsidRPr="00FB3A31">
              <w:rPr>
                <w:rFonts w:ascii="Bookman Old Style" w:hAnsi="Bookman Old Style" w:cs="Arial"/>
                <w:color w:val="000000"/>
                <w:sz w:val="12"/>
                <w:szCs w:val="12"/>
                <w:lang w:val="es-CO"/>
              </w:rPr>
              <w:t xml:space="preserve">- </w:t>
            </w:r>
          </w:p>
        </w:tc>
      </w:tr>
      <w:tr w:rsidR="00FB3A31" w:rsidRPr="00FB3A31" w14:paraId="434EA6C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2FC1EE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D398702"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22FD5FC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50E98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1CBB4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48C8B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47EF7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BB697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6C92ED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17456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ACD481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053A0D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0CEC810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B6038F8"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7576496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55EBB17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03039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AE3D0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B69239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86579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DAA3C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CAE3E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9645D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0183E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2CE22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4DB90C53"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1DDBDA"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5C8827E4"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6E6F2CA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1189F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E6ADA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A0F99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93335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24D67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544488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E5C5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489F5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A168A0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5835577A"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1A9C66"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4AEEE38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499A754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92CF9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3355D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870B52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E18A4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82B71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B6930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33F4D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144F96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E1FE23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2E98E3D9"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169CFE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23593F3D"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31DBBFB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57481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758E6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1E5869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6877D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BCB378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1EBCD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3E784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998AF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4752F0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44D6C9ED"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A69D54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María – Agrado – Huila</w:t>
            </w:r>
          </w:p>
        </w:tc>
        <w:tc>
          <w:tcPr>
            <w:tcW w:w="449" w:type="pct"/>
            <w:tcBorders>
              <w:top w:val="nil"/>
              <w:left w:val="nil"/>
              <w:bottom w:val="single" w:sz="4" w:space="0" w:color="auto"/>
              <w:right w:val="single" w:sz="4" w:space="0" w:color="auto"/>
            </w:tcBorders>
            <w:shd w:val="clear" w:color="auto" w:fill="auto"/>
            <w:noWrap/>
            <w:vAlign w:val="center"/>
          </w:tcPr>
          <w:p w14:paraId="092899CE"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5A13B7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7336F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0FBF5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2CA69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FF4F4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9277D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D0C73E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C76E5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E0B82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A06758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452643DB"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F0D70C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1AD2AEF"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B54F12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B47FA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4,460 </w:t>
            </w:r>
          </w:p>
        </w:tc>
        <w:tc>
          <w:tcPr>
            <w:tcW w:w="390" w:type="pct"/>
            <w:tcBorders>
              <w:top w:val="nil"/>
              <w:left w:val="nil"/>
              <w:bottom w:val="single" w:sz="4" w:space="0" w:color="auto"/>
              <w:right w:val="single" w:sz="4" w:space="0" w:color="auto"/>
            </w:tcBorders>
            <w:shd w:val="clear" w:color="auto" w:fill="auto"/>
            <w:noWrap/>
            <w:vAlign w:val="center"/>
          </w:tcPr>
          <w:p w14:paraId="4B92B1C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5BB772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4,531 </w:t>
            </w:r>
          </w:p>
        </w:tc>
        <w:tc>
          <w:tcPr>
            <w:tcW w:w="390" w:type="pct"/>
            <w:tcBorders>
              <w:top w:val="nil"/>
              <w:left w:val="nil"/>
              <w:bottom w:val="single" w:sz="4" w:space="0" w:color="auto"/>
              <w:right w:val="single" w:sz="4" w:space="0" w:color="auto"/>
            </w:tcBorders>
            <w:shd w:val="clear" w:color="auto" w:fill="auto"/>
            <w:noWrap/>
            <w:vAlign w:val="center"/>
          </w:tcPr>
          <w:p w14:paraId="13D7458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491FEA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4,602 </w:t>
            </w:r>
          </w:p>
        </w:tc>
        <w:tc>
          <w:tcPr>
            <w:tcW w:w="389" w:type="pct"/>
            <w:tcBorders>
              <w:top w:val="nil"/>
              <w:left w:val="nil"/>
              <w:bottom w:val="single" w:sz="4" w:space="0" w:color="auto"/>
              <w:right w:val="single" w:sz="4" w:space="0" w:color="auto"/>
            </w:tcBorders>
            <w:shd w:val="clear" w:color="auto" w:fill="auto"/>
            <w:noWrap/>
            <w:vAlign w:val="center"/>
          </w:tcPr>
          <w:p w14:paraId="2FE39E5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3D6C1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4,673 </w:t>
            </w:r>
          </w:p>
        </w:tc>
        <w:tc>
          <w:tcPr>
            <w:tcW w:w="390" w:type="pct"/>
            <w:tcBorders>
              <w:top w:val="nil"/>
              <w:left w:val="nil"/>
              <w:bottom w:val="single" w:sz="4" w:space="0" w:color="auto"/>
              <w:right w:val="single" w:sz="4" w:space="0" w:color="auto"/>
            </w:tcBorders>
            <w:shd w:val="clear" w:color="auto" w:fill="auto"/>
            <w:noWrap/>
            <w:vAlign w:val="center"/>
          </w:tcPr>
          <w:p w14:paraId="31692A1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A81805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4,744 </w:t>
            </w:r>
          </w:p>
        </w:tc>
      </w:tr>
      <w:tr w:rsidR="00FB3A31" w:rsidRPr="00FB3A31" w14:paraId="0554943C"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05FAC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4871A1E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4A5D8C1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D502E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4,460 </w:t>
            </w:r>
          </w:p>
        </w:tc>
        <w:tc>
          <w:tcPr>
            <w:tcW w:w="390" w:type="pct"/>
            <w:tcBorders>
              <w:top w:val="nil"/>
              <w:left w:val="nil"/>
              <w:bottom w:val="single" w:sz="4" w:space="0" w:color="auto"/>
              <w:right w:val="single" w:sz="4" w:space="0" w:color="auto"/>
            </w:tcBorders>
            <w:shd w:val="clear" w:color="auto" w:fill="auto"/>
            <w:noWrap/>
            <w:vAlign w:val="center"/>
          </w:tcPr>
          <w:p w14:paraId="63DD7E5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446CF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4,531 </w:t>
            </w:r>
          </w:p>
        </w:tc>
        <w:tc>
          <w:tcPr>
            <w:tcW w:w="390" w:type="pct"/>
            <w:tcBorders>
              <w:top w:val="nil"/>
              <w:left w:val="nil"/>
              <w:bottom w:val="single" w:sz="4" w:space="0" w:color="auto"/>
              <w:right w:val="single" w:sz="4" w:space="0" w:color="auto"/>
            </w:tcBorders>
            <w:shd w:val="clear" w:color="auto" w:fill="auto"/>
            <w:noWrap/>
            <w:vAlign w:val="center"/>
          </w:tcPr>
          <w:p w14:paraId="3315AB7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5F6BE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4,602 </w:t>
            </w:r>
          </w:p>
        </w:tc>
        <w:tc>
          <w:tcPr>
            <w:tcW w:w="389" w:type="pct"/>
            <w:tcBorders>
              <w:top w:val="nil"/>
              <w:left w:val="nil"/>
              <w:bottom w:val="single" w:sz="4" w:space="0" w:color="auto"/>
              <w:right w:val="single" w:sz="4" w:space="0" w:color="auto"/>
            </w:tcBorders>
            <w:shd w:val="clear" w:color="auto" w:fill="auto"/>
            <w:noWrap/>
            <w:vAlign w:val="center"/>
          </w:tcPr>
          <w:p w14:paraId="24BBC3A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4CC63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4,673</w:t>
            </w:r>
          </w:p>
        </w:tc>
        <w:tc>
          <w:tcPr>
            <w:tcW w:w="390" w:type="pct"/>
            <w:tcBorders>
              <w:top w:val="nil"/>
              <w:left w:val="nil"/>
              <w:bottom w:val="single" w:sz="4" w:space="0" w:color="auto"/>
              <w:right w:val="single" w:sz="4" w:space="0" w:color="auto"/>
            </w:tcBorders>
            <w:shd w:val="clear" w:color="auto" w:fill="auto"/>
            <w:noWrap/>
            <w:vAlign w:val="center"/>
          </w:tcPr>
          <w:p w14:paraId="665DE85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BA6B40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4,744 </w:t>
            </w:r>
          </w:p>
        </w:tc>
      </w:tr>
      <w:tr w:rsidR="00FB3A31" w:rsidRPr="00FB3A31" w14:paraId="52ED2BA0"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8C77DA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82CC19E"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280CA29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C64CA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78702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74345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5086D6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590D9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66BFEA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1606F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17177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0EB036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733C39AB"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FAF8A57"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C5B2284"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0F4805F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1A5AD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B5F6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275A2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B9F69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36AF3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ECA43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65175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3D4F6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21B0FD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2214C373"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87D51A6"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AB2495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14B34D2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A3381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AAC3C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25C72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F568B9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36314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0DD36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72EE8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34A28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F4C02C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7F493FEA"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19ADD2F"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7D2415B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6C61C57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DE0C0F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2589FA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F07E6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2D7DD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40C3A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49F63E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1C909C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892E9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CC8CF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20890B31"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825DFD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2008B08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086986E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68636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B9E49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48473D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5BDA6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D6E4E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D186E4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D4C478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60F1C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C28B3D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750C1484"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47F227A"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5C5A8DB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8FAA44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7E187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7DFFD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CD078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A62B1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CF1C6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B8113C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E07EE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7133F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DE27E1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5E8BC497"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B7BF5F9"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0D98529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7A4109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1D461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18083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700614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4A1A4B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38968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DF2E28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E82A3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A807B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3C2CB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021094A1"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301AE79"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628F14B9"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61AE2F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081C47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5B05E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7FE9F1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29772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CD693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4B20F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33CEC2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3CDCE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0F354F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1DA0507E"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1229DB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Granadillo – Agrado – Huila</w:t>
            </w:r>
          </w:p>
        </w:tc>
        <w:tc>
          <w:tcPr>
            <w:tcW w:w="449" w:type="pct"/>
            <w:tcBorders>
              <w:top w:val="nil"/>
              <w:left w:val="nil"/>
              <w:bottom w:val="single" w:sz="4" w:space="0" w:color="auto"/>
              <w:right w:val="single" w:sz="4" w:space="0" w:color="auto"/>
            </w:tcBorders>
            <w:shd w:val="clear" w:color="auto" w:fill="auto"/>
            <w:noWrap/>
            <w:vAlign w:val="center"/>
          </w:tcPr>
          <w:p w14:paraId="380A067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3A6296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88EC35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E8843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E2456B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1FA18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F851D0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0B74C9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03104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946D8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43B9A6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716C3BC6"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A3CC62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88A412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6AF2221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13FED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2,974 </w:t>
            </w:r>
          </w:p>
        </w:tc>
        <w:tc>
          <w:tcPr>
            <w:tcW w:w="390" w:type="pct"/>
            <w:tcBorders>
              <w:top w:val="nil"/>
              <w:left w:val="nil"/>
              <w:bottom w:val="single" w:sz="4" w:space="0" w:color="auto"/>
              <w:right w:val="single" w:sz="4" w:space="0" w:color="auto"/>
            </w:tcBorders>
            <w:shd w:val="clear" w:color="auto" w:fill="auto"/>
            <w:noWrap/>
            <w:vAlign w:val="center"/>
          </w:tcPr>
          <w:p w14:paraId="28254B0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BB8D0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3,044 </w:t>
            </w:r>
          </w:p>
        </w:tc>
        <w:tc>
          <w:tcPr>
            <w:tcW w:w="390" w:type="pct"/>
            <w:tcBorders>
              <w:top w:val="nil"/>
              <w:left w:val="nil"/>
              <w:bottom w:val="single" w:sz="4" w:space="0" w:color="auto"/>
              <w:right w:val="single" w:sz="4" w:space="0" w:color="auto"/>
            </w:tcBorders>
            <w:shd w:val="clear" w:color="auto" w:fill="auto"/>
            <w:noWrap/>
            <w:vAlign w:val="center"/>
          </w:tcPr>
          <w:p w14:paraId="6B1F193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16551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3,115 </w:t>
            </w:r>
          </w:p>
        </w:tc>
        <w:tc>
          <w:tcPr>
            <w:tcW w:w="389" w:type="pct"/>
            <w:tcBorders>
              <w:top w:val="nil"/>
              <w:left w:val="nil"/>
              <w:bottom w:val="single" w:sz="4" w:space="0" w:color="auto"/>
              <w:right w:val="single" w:sz="4" w:space="0" w:color="auto"/>
            </w:tcBorders>
            <w:shd w:val="clear" w:color="auto" w:fill="auto"/>
            <w:noWrap/>
            <w:vAlign w:val="center"/>
          </w:tcPr>
          <w:p w14:paraId="2ACB9A4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EAEC8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3,186 </w:t>
            </w:r>
          </w:p>
        </w:tc>
        <w:tc>
          <w:tcPr>
            <w:tcW w:w="390" w:type="pct"/>
            <w:tcBorders>
              <w:top w:val="nil"/>
              <w:left w:val="nil"/>
              <w:bottom w:val="single" w:sz="4" w:space="0" w:color="auto"/>
              <w:right w:val="single" w:sz="4" w:space="0" w:color="auto"/>
            </w:tcBorders>
            <w:shd w:val="clear" w:color="auto" w:fill="auto"/>
            <w:noWrap/>
            <w:vAlign w:val="center"/>
          </w:tcPr>
          <w:p w14:paraId="528133F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1B254C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3,257 </w:t>
            </w:r>
          </w:p>
        </w:tc>
      </w:tr>
      <w:tr w:rsidR="00FB3A31" w:rsidRPr="00FB3A31" w14:paraId="6C6E4A0E"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3E0C12"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4761F32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13BA904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3E2E4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2,974 </w:t>
            </w:r>
          </w:p>
        </w:tc>
        <w:tc>
          <w:tcPr>
            <w:tcW w:w="390" w:type="pct"/>
            <w:tcBorders>
              <w:top w:val="nil"/>
              <w:left w:val="nil"/>
              <w:bottom w:val="single" w:sz="4" w:space="0" w:color="auto"/>
              <w:right w:val="single" w:sz="4" w:space="0" w:color="auto"/>
            </w:tcBorders>
            <w:shd w:val="clear" w:color="auto" w:fill="auto"/>
            <w:noWrap/>
            <w:vAlign w:val="center"/>
          </w:tcPr>
          <w:p w14:paraId="2782AAB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DB320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3,044 </w:t>
            </w:r>
          </w:p>
        </w:tc>
        <w:tc>
          <w:tcPr>
            <w:tcW w:w="390" w:type="pct"/>
            <w:tcBorders>
              <w:top w:val="nil"/>
              <w:left w:val="nil"/>
              <w:bottom w:val="single" w:sz="4" w:space="0" w:color="auto"/>
              <w:right w:val="single" w:sz="4" w:space="0" w:color="auto"/>
            </w:tcBorders>
            <w:shd w:val="clear" w:color="auto" w:fill="auto"/>
            <w:noWrap/>
            <w:vAlign w:val="center"/>
          </w:tcPr>
          <w:p w14:paraId="261AF55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429FF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3,115 </w:t>
            </w:r>
          </w:p>
        </w:tc>
        <w:tc>
          <w:tcPr>
            <w:tcW w:w="389" w:type="pct"/>
            <w:tcBorders>
              <w:top w:val="nil"/>
              <w:left w:val="nil"/>
              <w:bottom w:val="single" w:sz="4" w:space="0" w:color="auto"/>
              <w:right w:val="single" w:sz="4" w:space="0" w:color="auto"/>
            </w:tcBorders>
            <w:shd w:val="clear" w:color="auto" w:fill="auto"/>
            <w:noWrap/>
            <w:vAlign w:val="center"/>
          </w:tcPr>
          <w:p w14:paraId="5DFF714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AA045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3,186 </w:t>
            </w:r>
          </w:p>
        </w:tc>
        <w:tc>
          <w:tcPr>
            <w:tcW w:w="390" w:type="pct"/>
            <w:tcBorders>
              <w:top w:val="nil"/>
              <w:left w:val="nil"/>
              <w:bottom w:val="single" w:sz="4" w:space="0" w:color="auto"/>
              <w:right w:val="single" w:sz="4" w:space="0" w:color="auto"/>
            </w:tcBorders>
            <w:shd w:val="clear" w:color="auto" w:fill="auto"/>
            <w:noWrap/>
            <w:vAlign w:val="center"/>
          </w:tcPr>
          <w:p w14:paraId="3474688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0D9BE8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3,257 </w:t>
            </w:r>
          </w:p>
        </w:tc>
      </w:tr>
      <w:tr w:rsidR="00FB3A31" w:rsidRPr="00FB3A31" w14:paraId="69B5B351"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1BEA34"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FF4B51D"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19D50CC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D57EFD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997BE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3404F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B0729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280CE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83C6C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6E418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D47B1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583BB5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6FDDFF2F"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AAD20A9"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5ECAE55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28CDDEE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ED0DA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3168F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B9435C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DFE4A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B5431A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80118E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26065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CE84C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BC7ED0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23D8D7DB"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293AAD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60D717D"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2CC7A68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24C1B8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C9C4E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93426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678FF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0B883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75A5B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63EB8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4F3F6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41514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40B79E7F"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0DDC114"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644F1E8"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7E0142B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1698D3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5A96D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359DAF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31672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74E487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13DB64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78751A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D538D6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9641CF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1135F0D8"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F485084"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7445C4BF"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3399C9B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DDBAAA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2F6FB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DE64A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3C9117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3B0138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4E9908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59B83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FFE2DB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52D983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031E219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D65470A"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16329C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24471E7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67E31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80B85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2D7FA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88236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C2330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2C77D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FF883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1A916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0E4834C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56FAF5AD"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35FA9F0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6AB2AF59"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63FDCCD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A80FF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79A25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154D59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93E03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A0DABA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97FAB7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E1E71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26B6F0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E8ECA7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00E7DFF1"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4AFC6A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16643E6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1EBB7B9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813F3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625E3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EC56A4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68A064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1F69F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3228D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75490D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245B42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571CA4B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6E591755"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A86E3C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Alto Buenavista – Agrado – Huila</w:t>
            </w:r>
          </w:p>
        </w:tc>
        <w:tc>
          <w:tcPr>
            <w:tcW w:w="449" w:type="pct"/>
            <w:tcBorders>
              <w:top w:val="nil"/>
              <w:left w:val="nil"/>
              <w:bottom w:val="single" w:sz="4" w:space="0" w:color="auto"/>
              <w:right w:val="single" w:sz="4" w:space="0" w:color="auto"/>
            </w:tcBorders>
            <w:shd w:val="clear" w:color="auto" w:fill="auto"/>
            <w:noWrap/>
            <w:vAlign w:val="center"/>
          </w:tcPr>
          <w:p w14:paraId="03DC871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3E3619E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8B6E8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C1C2E2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02434D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80CC4D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CE7918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AC65E0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711192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5FF411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C6FF6B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112D04D4"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AE10918"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626C93D"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29031C2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775CBD3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6,089</w:t>
            </w:r>
          </w:p>
        </w:tc>
        <w:tc>
          <w:tcPr>
            <w:tcW w:w="390" w:type="pct"/>
            <w:tcBorders>
              <w:top w:val="nil"/>
              <w:left w:val="nil"/>
              <w:bottom w:val="single" w:sz="4" w:space="0" w:color="auto"/>
              <w:right w:val="single" w:sz="4" w:space="0" w:color="auto"/>
            </w:tcBorders>
            <w:shd w:val="clear" w:color="auto" w:fill="auto"/>
            <w:noWrap/>
            <w:vAlign w:val="center"/>
          </w:tcPr>
          <w:p w14:paraId="3BD3E32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4ABD8EC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6,230</w:t>
            </w:r>
          </w:p>
        </w:tc>
        <w:tc>
          <w:tcPr>
            <w:tcW w:w="390" w:type="pct"/>
            <w:tcBorders>
              <w:top w:val="nil"/>
              <w:left w:val="nil"/>
              <w:bottom w:val="single" w:sz="4" w:space="0" w:color="auto"/>
              <w:right w:val="single" w:sz="4" w:space="0" w:color="auto"/>
            </w:tcBorders>
            <w:shd w:val="clear" w:color="auto" w:fill="auto"/>
            <w:noWrap/>
            <w:vAlign w:val="center"/>
          </w:tcPr>
          <w:p w14:paraId="651C4D8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09D7F67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6,372</w:t>
            </w:r>
          </w:p>
        </w:tc>
        <w:tc>
          <w:tcPr>
            <w:tcW w:w="389" w:type="pct"/>
            <w:tcBorders>
              <w:top w:val="nil"/>
              <w:left w:val="nil"/>
              <w:bottom w:val="single" w:sz="4" w:space="0" w:color="auto"/>
              <w:right w:val="single" w:sz="4" w:space="0" w:color="auto"/>
            </w:tcBorders>
            <w:shd w:val="clear" w:color="auto" w:fill="auto"/>
            <w:noWrap/>
            <w:vAlign w:val="center"/>
          </w:tcPr>
          <w:p w14:paraId="3D16D75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305039F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6,514</w:t>
            </w:r>
          </w:p>
        </w:tc>
        <w:tc>
          <w:tcPr>
            <w:tcW w:w="390" w:type="pct"/>
            <w:tcBorders>
              <w:top w:val="nil"/>
              <w:left w:val="nil"/>
              <w:bottom w:val="single" w:sz="4" w:space="0" w:color="auto"/>
              <w:right w:val="single" w:sz="4" w:space="0" w:color="auto"/>
            </w:tcBorders>
            <w:shd w:val="clear" w:color="auto" w:fill="auto"/>
            <w:noWrap/>
            <w:vAlign w:val="center"/>
          </w:tcPr>
          <w:p w14:paraId="10CB866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6AEFEB9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6,655</w:t>
            </w:r>
          </w:p>
        </w:tc>
      </w:tr>
      <w:tr w:rsidR="00FB3A31" w:rsidRPr="00FB3A31" w14:paraId="4728A23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71EE2E8"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6F3800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06824FC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03C301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6,089</w:t>
            </w:r>
          </w:p>
        </w:tc>
        <w:tc>
          <w:tcPr>
            <w:tcW w:w="390" w:type="pct"/>
            <w:tcBorders>
              <w:top w:val="nil"/>
              <w:left w:val="nil"/>
              <w:bottom w:val="single" w:sz="4" w:space="0" w:color="auto"/>
              <w:right w:val="single" w:sz="4" w:space="0" w:color="auto"/>
            </w:tcBorders>
            <w:shd w:val="clear" w:color="auto" w:fill="auto"/>
            <w:noWrap/>
            <w:vAlign w:val="center"/>
          </w:tcPr>
          <w:p w14:paraId="300E645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shd w:val="clear" w:color="auto" w:fill="auto"/>
            <w:noWrap/>
            <w:vAlign w:val="center"/>
          </w:tcPr>
          <w:p w14:paraId="332BF9A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6,230</w:t>
            </w:r>
          </w:p>
        </w:tc>
        <w:tc>
          <w:tcPr>
            <w:tcW w:w="390" w:type="pct"/>
            <w:tcBorders>
              <w:top w:val="nil"/>
              <w:left w:val="nil"/>
              <w:bottom w:val="single" w:sz="4" w:space="0" w:color="auto"/>
              <w:right w:val="single" w:sz="4" w:space="0" w:color="auto"/>
            </w:tcBorders>
            <w:shd w:val="clear" w:color="auto" w:fill="auto"/>
            <w:noWrap/>
            <w:vAlign w:val="center"/>
          </w:tcPr>
          <w:p w14:paraId="39146CC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5F9DFF9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6,372</w:t>
            </w:r>
          </w:p>
        </w:tc>
        <w:tc>
          <w:tcPr>
            <w:tcW w:w="389" w:type="pct"/>
            <w:tcBorders>
              <w:top w:val="nil"/>
              <w:left w:val="nil"/>
              <w:bottom w:val="single" w:sz="4" w:space="0" w:color="auto"/>
              <w:right w:val="single" w:sz="4" w:space="0" w:color="auto"/>
            </w:tcBorders>
            <w:shd w:val="clear" w:color="auto" w:fill="auto"/>
            <w:noWrap/>
            <w:vAlign w:val="center"/>
          </w:tcPr>
          <w:p w14:paraId="4B62E98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shd w:val="clear" w:color="auto" w:fill="auto"/>
            <w:noWrap/>
            <w:vAlign w:val="center"/>
          </w:tcPr>
          <w:p w14:paraId="2CA6615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6,514</w:t>
            </w:r>
          </w:p>
        </w:tc>
        <w:tc>
          <w:tcPr>
            <w:tcW w:w="390" w:type="pct"/>
            <w:tcBorders>
              <w:top w:val="nil"/>
              <w:left w:val="nil"/>
              <w:bottom w:val="single" w:sz="4" w:space="0" w:color="auto"/>
              <w:right w:val="single" w:sz="4" w:space="0" w:color="auto"/>
            </w:tcBorders>
            <w:shd w:val="clear" w:color="auto" w:fill="auto"/>
            <w:noWrap/>
            <w:vAlign w:val="center"/>
          </w:tcPr>
          <w:p w14:paraId="05F163B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shd w:val="clear" w:color="auto" w:fill="auto"/>
            <w:noWrap/>
            <w:vAlign w:val="center"/>
          </w:tcPr>
          <w:p w14:paraId="188BD2F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6,655</w:t>
            </w:r>
          </w:p>
        </w:tc>
      </w:tr>
      <w:tr w:rsidR="00FB3A31" w:rsidRPr="00FB3A31" w14:paraId="7742FFF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7CE343E8"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35B1232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679D689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CC2BDF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5FE039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CDCC2C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C28F6C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9009C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2D32CA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A658A1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4706D4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1C0D9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4056DA1E"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061E4C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26931F9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752F56D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2278E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84FBD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DBDB98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841F4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1B0C48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57051C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FEE86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25D94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0E802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624B7C7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EFA8019"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4B1118B2"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69ED47C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EE81C8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9A279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EE154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B28EC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1BF6D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9D9062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CD9F4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63EE2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0B386E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49FEE25F"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4F21F86"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7AFFFB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15F102F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A0C8E0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B0C45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69CAE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B99AC5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75C78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E74167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68E318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80E529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884640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005E904D"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23F315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5D541CAF"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7EDD561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3D8FF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0C9EE0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DBE15F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5E0CF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32302F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1369FC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79C05B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93EA1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087449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70E6A7E9"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6D285B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156133C6"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4D0BF6D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F08792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31BD29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D6A980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577F6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0BFDFC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F96A3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A6D1A1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68F018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73B819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1441FEC8"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BC488B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1DBE6E2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2D94066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C5DD5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BC9BA4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4FC4E4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539F6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1739A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B0C035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6E9704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864DA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3F5E006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3C4F76E4"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2D7FB3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72CCA45F"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2FCAD05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2A76EF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C5835D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F1689F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B6C0A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409F2A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CADDF2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556E51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A04C5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D9EB34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6631402D"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90DE19"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 Carbona – Acevedo – Huila</w:t>
            </w:r>
          </w:p>
        </w:tc>
        <w:tc>
          <w:tcPr>
            <w:tcW w:w="449" w:type="pct"/>
            <w:tcBorders>
              <w:top w:val="nil"/>
              <w:left w:val="nil"/>
              <w:bottom w:val="single" w:sz="4" w:space="0" w:color="auto"/>
              <w:right w:val="single" w:sz="4" w:space="0" w:color="auto"/>
            </w:tcBorders>
            <w:shd w:val="clear" w:color="auto" w:fill="auto"/>
            <w:noWrap/>
            <w:vAlign w:val="center"/>
          </w:tcPr>
          <w:p w14:paraId="03A533B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73BC88C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D9249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5CD7D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7D24FE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A4FBB9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DB661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EE7837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AAB49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9DDAD5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850935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42057EA6"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A77FACF"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37DD7F5D"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center"/>
          </w:tcPr>
          <w:p w14:paraId="476BD40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EB2B23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4,531</w:t>
            </w:r>
          </w:p>
        </w:tc>
        <w:tc>
          <w:tcPr>
            <w:tcW w:w="390" w:type="pct"/>
            <w:tcBorders>
              <w:top w:val="nil"/>
              <w:left w:val="nil"/>
              <w:bottom w:val="single" w:sz="4" w:space="0" w:color="auto"/>
              <w:right w:val="single" w:sz="4" w:space="0" w:color="auto"/>
            </w:tcBorders>
            <w:shd w:val="clear" w:color="auto" w:fill="auto"/>
            <w:noWrap/>
            <w:vAlign w:val="center"/>
          </w:tcPr>
          <w:p w14:paraId="786BCA5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A3F183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4,602</w:t>
            </w:r>
          </w:p>
        </w:tc>
        <w:tc>
          <w:tcPr>
            <w:tcW w:w="390" w:type="pct"/>
            <w:tcBorders>
              <w:top w:val="nil"/>
              <w:left w:val="nil"/>
              <w:bottom w:val="single" w:sz="4" w:space="0" w:color="auto"/>
              <w:right w:val="single" w:sz="4" w:space="0" w:color="auto"/>
            </w:tcBorders>
            <w:shd w:val="clear" w:color="auto" w:fill="auto"/>
            <w:noWrap/>
            <w:vAlign w:val="center"/>
          </w:tcPr>
          <w:p w14:paraId="4190EC4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C5CBD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4,673</w:t>
            </w:r>
          </w:p>
        </w:tc>
        <w:tc>
          <w:tcPr>
            <w:tcW w:w="389" w:type="pct"/>
            <w:tcBorders>
              <w:top w:val="nil"/>
              <w:left w:val="nil"/>
              <w:bottom w:val="single" w:sz="4" w:space="0" w:color="auto"/>
              <w:right w:val="single" w:sz="4" w:space="0" w:color="auto"/>
            </w:tcBorders>
            <w:shd w:val="clear" w:color="auto" w:fill="auto"/>
            <w:noWrap/>
            <w:vAlign w:val="center"/>
          </w:tcPr>
          <w:p w14:paraId="1228F13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7BA67D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4,744</w:t>
            </w:r>
          </w:p>
        </w:tc>
        <w:tc>
          <w:tcPr>
            <w:tcW w:w="390" w:type="pct"/>
            <w:tcBorders>
              <w:top w:val="nil"/>
              <w:left w:val="nil"/>
              <w:bottom w:val="single" w:sz="4" w:space="0" w:color="auto"/>
              <w:right w:val="single" w:sz="4" w:space="0" w:color="auto"/>
            </w:tcBorders>
            <w:shd w:val="clear" w:color="auto" w:fill="auto"/>
            <w:noWrap/>
            <w:vAlign w:val="center"/>
          </w:tcPr>
          <w:p w14:paraId="552E073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1D84CC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4,814</w:t>
            </w:r>
          </w:p>
        </w:tc>
      </w:tr>
      <w:tr w:rsidR="00FB3A31" w:rsidRPr="00FB3A31" w14:paraId="1119D3EB"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67D88DC7"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9C40593"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center"/>
          </w:tcPr>
          <w:p w14:paraId="7016C30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44A94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4,531</w:t>
            </w:r>
          </w:p>
        </w:tc>
        <w:tc>
          <w:tcPr>
            <w:tcW w:w="390" w:type="pct"/>
            <w:tcBorders>
              <w:top w:val="nil"/>
              <w:left w:val="nil"/>
              <w:bottom w:val="single" w:sz="4" w:space="0" w:color="auto"/>
              <w:right w:val="single" w:sz="4" w:space="0" w:color="auto"/>
            </w:tcBorders>
            <w:shd w:val="clear" w:color="auto" w:fill="auto"/>
            <w:noWrap/>
            <w:vAlign w:val="center"/>
          </w:tcPr>
          <w:p w14:paraId="491FCD0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4089DF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4,602</w:t>
            </w:r>
          </w:p>
        </w:tc>
        <w:tc>
          <w:tcPr>
            <w:tcW w:w="390" w:type="pct"/>
            <w:tcBorders>
              <w:top w:val="nil"/>
              <w:left w:val="nil"/>
              <w:bottom w:val="single" w:sz="4" w:space="0" w:color="auto"/>
              <w:right w:val="single" w:sz="4" w:space="0" w:color="auto"/>
            </w:tcBorders>
            <w:shd w:val="clear" w:color="auto" w:fill="auto"/>
            <w:noWrap/>
            <w:vAlign w:val="center"/>
          </w:tcPr>
          <w:p w14:paraId="39A1F21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4D0330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4,673</w:t>
            </w:r>
          </w:p>
        </w:tc>
        <w:tc>
          <w:tcPr>
            <w:tcW w:w="389" w:type="pct"/>
            <w:tcBorders>
              <w:top w:val="nil"/>
              <w:left w:val="nil"/>
              <w:bottom w:val="single" w:sz="4" w:space="0" w:color="auto"/>
              <w:right w:val="single" w:sz="4" w:space="0" w:color="auto"/>
            </w:tcBorders>
            <w:shd w:val="clear" w:color="auto" w:fill="auto"/>
            <w:noWrap/>
            <w:vAlign w:val="center"/>
          </w:tcPr>
          <w:p w14:paraId="12420D2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00405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4,744</w:t>
            </w:r>
          </w:p>
        </w:tc>
        <w:tc>
          <w:tcPr>
            <w:tcW w:w="390" w:type="pct"/>
            <w:tcBorders>
              <w:top w:val="nil"/>
              <w:left w:val="nil"/>
              <w:bottom w:val="single" w:sz="4" w:space="0" w:color="auto"/>
              <w:right w:val="single" w:sz="4" w:space="0" w:color="auto"/>
            </w:tcBorders>
            <w:shd w:val="clear" w:color="auto" w:fill="auto"/>
            <w:noWrap/>
            <w:vAlign w:val="center"/>
          </w:tcPr>
          <w:p w14:paraId="23B0AD3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BF1AA2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4,814</w:t>
            </w:r>
          </w:p>
        </w:tc>
      </w:tr>
      <w:tr w:rsidR="00FB3A31" w:rsidRPr="00FB3A31" w14:paraId="1DB532DB"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26E39CDD"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0505907F"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center"/>
          </w:tcPr>
          <w:p w14:paraId="4185132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3DAAA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C85B1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4A5BC22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33ED2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C1D66E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5F018A2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1ECD8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BF33B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7B30E45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50E3D74C"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B6CAD3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33EC10C"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shd w:val="clear" w:color="auto" w:fill="auto"/>
            <w:noWrap/>
            <w:vAlign w:val="center"/>
          </w:tcPr>
          <w:p w14:paraId="3980B29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94F29E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D07A33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0C569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626C6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FE61A1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982C5C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8EB628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30989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85A726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1D386197"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FC75E7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E7EFB1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shd w:val="clear" w:color="auto" w:fill="auto"/>
            <w:noWrap/>
            <w:vAlign w:val="center"/>
          </w:tcPr>
          <w:p w14:paraId="5873FD6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4CDDE1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8CD171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FC341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C6607B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425F9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A598CD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87D6A2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E5F182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212ED89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0AD0C6A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1704A8F0"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8D1B2D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shd w:val="clear" w:color="auto" w:fill="auto"/>
            <w:noWrap/>
            <w:vAlign w:val="center"/>
          </w:tcPr>
          <w:p w14:paraId="0FC5B52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EC42A2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91295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9EB403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0BBA3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9F31B2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E65A53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C7F5CE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D1D1AA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93A29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626EB16E"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660F78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510535EF"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shd w:val="clear" w:color="auto" w:fill="auto"/>
            <w:noWrap/>
            <w:vAlign w:val="center"/>
          </w:tcPr>
          <w:p w14:paraId="4FF2F2A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52FE6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8F68F2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DFC8C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52657C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B0347A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7E1FA3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348CA5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87A55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10DF528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5328A34E"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4B99AA5E"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6129B715"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center"/>
          </w:tcPr>
          <w:p w14:paraId="18617FC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F70361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ED7AB5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72D49E56"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1CB4DD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4F77049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23F888A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0A00A9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6C265F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ACDC5C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16FBD035"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90DBC87"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7F067509"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center"/>
          </w:tcPr>
          <w:p w14:paraId="35C4CCF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9F8BCF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676D66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0D0D5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7C63C43"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B02DF3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083AD53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4137A3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0A43C5B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65054A2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0AEEF890"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556F40A4"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280FC70B"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center"/>
          </w:tcPr>
          <w:p w14:paraId="0053C751"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9122B7E"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91B5C0A"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69A6B6A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BB95E3C"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51610787"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26A96D2"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E28A26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EBE28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F5F027B"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778C3332" w14:textId="77777777" w:rsidTr="00FB3A31">
        <w:trPr>
          <w:trHeight w:val="300"/>
          <w:jc w:val="center"/>
        </w:trPr>
        <w:tc>
          <w:tcPr>
            <w:tcW w:w="667" w:type="pct"/>
            <w:tcBorders>
              <w:top w:val="nil"/>
              <w:left w:val="single" w:sz="4" w:space="0" w:color="auto"/>
              <w:bottom w:val="single" w:sz="4" w:space="0" w:color="auto"/>
              <w:right w:val="single" w:sz="4" w:space="0" w:color="auto"/>
            </w:tcBorders>
            <w:shd w:val="clear" w:color="auto" w:fill="auto"/>
            <w:noWrap/>
          </w:tcPr>
          <w:p w14:paraId="0CC2518E"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Las Juntas – Santa María – Huila</w:t>
            </w:r>
          </w:p>
        </w:tc>
        <w:tc>
          <w:tcPr>
            <w:tcW w:w="449" w:type="pct"/>
            <w:tcBorders>
              <w:top w:val="nil"/>
              <w:left w:val="nil"/>
              <w:bottom w:val="single" w:sz="4" w:space="0" w:color="auto"/>
              <w:right w:val="single" w:sz="4" w:space="0" w:color="auto"/>
            </w:tcBorders>
            <w:shd w:val="clear" w:color="auto" w:fill="auto"/>
            <w:noWrap/>
            <w:vAlign w:val="center"/>
          </w:tcPr>
          <w:p w14:paraId="15BF72A1" w14:textId="77777777" w:rsidR="00FB3A31" w:rsidRPr="00FB3A31" w:rsidRDefault="00FB3A31" w:rsidP="00FB3A31">
            <w:pPr>
              <w:ind w:left="0"/>
              <w:rPr>
                <w:rFonts w:ascii="Bookman Old Style" w:hAnsi="Bookman Old Style" w:cs="Arial"/>
                <w:color w:val="000000"/>
                <w:sz w:val="12"/>
                <w:szCs w:val="12"/>
                <w:lang w:val="es-CO" w:eastAsia="es-CO"/>
              </w:rPr>
            </w:pPr>
            <w:r w:rsidRPr="00FB3A31">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shd w:val="clear" w:color="auto" w:fill="auto"/>
            <w:noWrap/>
            <w:vAlign w:val="center"/>
          </w:tcPr>
          <w:p w14:paraId="6C9D4D3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69A96405"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226EF0A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15131288"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17BAB969"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7167A7F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shd w:val="clear" w:color="auto" w:fill="auto"/>
            <w:noWrap/>
            <w:vAlign w:val="center"/>
          </w:tcPr>
          <w:p w14:paraId="30A4939D"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4BFCDDF"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shd w:val="clear" w:color="auto" w:fill="auto"/>
            <w:noWrap/>
            <w:vAlign w:val="center"/>
          </w:tcPr>
          <w:p w14:paraId="3D49A3B4"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shd w:val="clear" w:color="auto" w:fill="auto"/>
            <w:noWrap/>
            <w:vAlign w:val="center"/>
          </w:tcPr>
          <w:p w14:paraId="4D19F300" w14:textId="77777777" w:rsidR="00FB3A31" w:rsidRPr="00FB3A31" w:rsidRDefault="00FB3A31" w:rsidP="00FB3A31">
            <w:pPr>
              <w:ind w:left="0" w:hanging="14"/>
              <w:jc w:val="right"/>
              <w:rPr>
                <w:rFonts w:ascii="Bookman Old Style" w:hAnsi="Bookman Old Style" w:cs="Arial"/>
                <w:color w:val="000000"/>
                <w:sz w:val="12"/>
                <w:szCs w:val="12"/>
                <w:lang w:val="es-CO"/>
              </w:rPr>
            </w:pPr>
            <w:r w:rsidRPr="00FB3A31">
              <w:rPr>
                <w:rFonts w:ascii="Bookman Old Style" w:hAnsi="Bookman Old Style" w:cs="Arial"/>
                <w:color w:val="000000"/>
                <w:sz w:val="12"/>
                <w:szCs w:val="12"/>
                <w:lang w:val="es-CO"/>
              </w:rPr>
              <w:t xml:space="preserve">- </w:t>
            </w:r>
          </w:p>
        </w:tc>
      </w:tr>
      <w:tr w:rsidR="00FB3A31" w:rsidRPr="00FB3A31" w14:paraId="22A91A75" w14:textId="77777777" w:rsidTr="00FB3A31">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94EA17" w14:textId="77777777" w:rsidR="00FB3A31" w:rsidRPr="00FB3A31" w:rsidRDefault="00FB3A31" w:rsidP="00FB3A31">
            <w:pPr>
              <w:ind w:left="0"/>
              <w:rPr>
                <w:rFonts w:ascii="Bookman Old Style" w:hAnsi="Bookman Old Style" w:cs="Arial"/>
                <w:b/>
                <w:color w:val="000000"/>
                <w:sz w:val="12"/>
                <w:szCs w:val="12"/>
                <w:lang w:val="es-CO" w:eastAsia="es-CO"/>
              </w:rPr>
            </w:pPr>
            <w:r w:rsidRPr="00FB3A31">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E567F8" w14:textId="77777777" w:rsidR="00FB3A31" w:rsidRPr="00FB3A31" w:rsidRDefault="00FB3A31" w:rsidP="00FB3A31">
            <w:pPr>
              <w:ind w:left="0"/>
              <w:jc w:val="right"/>
              <w:rPr>
                <w:rFonts w:ascii="Bookman Old Style" w:hAnsi="Bookman Old Style" w:cs="Arial"/>
                <w:b/>
                <w:bCs/>
                <w:color w:val="000000"/>
                <w:sz w:val="12"/>
                <w:szCs w:val="12"/>
                <w:lang w:val="es-CO" w:eastAsia="es-CO"/>
              </w:rPr>
            </w:pPr>
            <w:r w:rsidRPr="00FB3A31">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D27958"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26,762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862686"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809868"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27,258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8638A52"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BE6300"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27,754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E8D078"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923A6C"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28,249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D82F3A"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8B6C9" w14:textId="77777777" w:rsidR="00FB3A31" w:rsidRPr="00FB3A31" w:rsidRDefault="00FB3A31" w:rsidP="00FB3A31">
            <w:pPr>
              <w:ind w:left="0"/>
              <w:jc w:val="right"/>
              <w:rPr>
                <w:rFonts w:ascii="Bookman Old Style" w:hAnsi="Bookman Old Style" w:cs="Arial"/>
                <w:b/>
                <w:bCs/>
                <w:color w:val="000000"/>
                <w:sz w:val="12"/>
                <w:szCs w:val="12"/>
                <w:lang w:val="es-CO"/>
              </w:rPr>
            </w:pPr>
            <w:r w:rsidRPr="00FB3A31">
              <w:rPr>
                <w:rFonts w:ascii="Bookman Old Style" w:hAnsi="Bookman Old Style" w:cs="Arial"/>
                <w:b/>
                <w:bCs/>
                <w:color w:val="000000"/>
                <w:sz w:val="12"/>
                <w:szCs w:val="12"/>
                <w:lang w:val="es-CO"/>
              </w:rPr>
              <w:t xml:space="preserve">28,745 </w:t>
            </w:r>
          </w:p>
        </w:tc>
      </w:tr>
    </w:tbl>
    <w:p w14:paraId="06D1A33A" w14:textId="3BA7FF33" w:rsidR="00756823" w:rsidRDefault="00756823" w:rsidP="006B3017">
      <w:pPr>
        <w:widowControl w:val="0"/>
        <w:adjustRightInd w:val="0"/>
        <w:ind w:left="0"/>
        <w:jc w:val="center"/>
        <w:rPr>
          <w:rFonts w:ascii="Bookman Old Style" w:hAnsi="Bookman Old Style" w:cs="Arial"/>
          <w:b/>
          <w:sz w:val="20"/>
        </w:rPr>
      </w:pPr>
    </w:p>
    <w:p w14:paraId="36F60A11" w14:textId="30097340" w:rsidR="00FB3A31" w:rsidRDefault="00FB3A31" w:rsidP="006B3017">
      <w:pPr>
        <w:widowControl w:val="0"/>
        <w:adjustRightInd w:val="0"/>
        <w:ind w:left="0"/>
        <w:jc w:val="center"/>
        <w:rPr>
          <w:rFonts w:ascii="Bookman Old Style" w:hAnsi="Bookman Old Style" w:cs="Arial"/>
          <w:b/>
          <w:sz w:val="20"/>
        </w:rPr>
      </w:pPr>
    </w:p>
    <w:p w14:paraId="759725E1" w14:textId="42951B74" w:rsidR="00791FE2" w:rsidRDefault="00791FE2" w:rsidP="006B3017">
      <w:pPr>
        <w:widowControl w:val="0"/>
        <w:adjustRightInd w:val="0"/>
        <w:ind w:left="0"/>
        <w:jc w:val="center"/>
        <w:rPr>
          <w:rFonts w:ascii="Bookman Old Style" w:hAnsi="Bookman Old Style" w:cs="Arial"/>
          <w:b/>
          <w:sz w:val="20"/>
        </w:rPr>
      </w:pPr>
    </w:p>
    <w:p w14:paraId="6D4B0E93" w14:textId="77777777" w:rsidR="00791FE2" w:rsidRDefault="00791FE2" w:rsidP="006B3017">
      <w:pPr>
        <w:widowControl w:val="0"/>
        <w:adjustRightInd w:val="0"/>
        <w:ind w:left="0"/>
        <w:jc w:val="center"/>
        <w:rPr>
          <w:rFonts w:ascii="Bookman Old Style" w:hAnsi="Bookman Old Style" w:cs="Arial"/>
          <w:b/>
          <w:sz w:val="20"/>
        </w:rPr>
      </w:pPr>
    </w:p>
    <w:p w14:paraId="774E81AE" w14:textId="19D1E361" w:rsidR="00FB3A31" w:rsidRDefault="00FB3A31" w:rsidP="006B3017">
      <w:pPr>
        <w:widowControl w:val="0"/>
        <w:adjustRightInd w:val="0"/>
        <w:ind w:left="0"/>
        <w:jc w:val="center"/>
        <w:rPr>
          <w:rFonts w:ascii="Bookman Old Style" w:hAnsi="Bookman Old Style" w:cs="Arial"/>
          <w:b/>
          <w:sz w:val="20"/>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791FE2" w14:paraId="47978CC9" w14:textId="77777777" w:rsidTr="00A70D6A">
        <w:trPr>
          <w:tblCellSpacing w:w="0" w:type="dxa"/>
          <w:jc w:val="center"/>
        </w:trPr>
        <w:tc>
          <w:tcPr>
            <w:tcW w:w="4820" w:type="dxa"/>
            <w:hideMark/>
          </w:tcPr>
          <w:p w14:paraId="6D5BBE03" w14:textId="77777777" w:rsidR="00791FE2" w:rsidRPr="00791FE2" w:rsidRDefault="00791FE2" w:rsidP="00A70D6A">
            <w:pPr>
              <w:ind w:left="66"/>
              <w:contextualSpacing/>
              <w:jc w:val="center"/>
              <w:rPr>
                <w:rFonts w:ascii="Bookman Old Style" w:hAnsi="Bookman Old Style" w:cs="Arial"/>
                <w:b/>
              </w:rPr>
            </w:pPr>
            <w:r w:rsidRPr="00791FE2">
              <w:rPr>
                <w:rFonts w:ascii="Bookman Old Style" w:hAnsi="Bookman Old Style" w:cs="Arial"/>
                <w:b/>
              </w:rPr>
              <w:t>MIGUEL LOTERO ROBLEDO</w:t>
            </w:r>
          </w:p>
        </w:tc>
        <w:tc>
          <w:tcPr>
            <w:tcW w:w="4678" w:type="dxa"/>
            <w:hideMark/>
          </w:tcPr>
          <w:p w14:paraId="73957432" w14:textId="77777777" w:rsidR="00791FE2" w:rsidRPr="00791FE2" w:rsidRDefault="00791FE2" w:rsidP="00A70D6A">
            <w:pPr>
              <w:ind w:left="69"/>
              <w:contextualSpacing/>
              <w:jc w:val="center"/>
              <w:rPr>
                <w:rFonts w:ascii="Bookman Old Style" w:hAnsi="Bookman Old Style" w:cs="Arial"/>
                <w:b/>
              </w:rPr>
            </w:pPr>
            <w:r w:rsidRPr="00791FE2">
              <w:rPr>
                <w:rFonts w:ascii="Bookman Old Style" w:hAnsi="Bookman Old Style" w:cs="Arial"/>
                <w:b/>
              </w:rPr>
              <w:t>JORGE ALBERTO VALENCIA MARÍN</w:t>
            </w:r>
          </w:p>
        </w:tc>
      </w:tr>
      <w:tr w:rsidR="00791FE2" w14:paraId="26E306EF" w14:textId="77777777" w:rsidTr="00A70D6A">
        <w:trPr>
          <w:tblCellSpacing w:w="0" w:type="dxa"/>
          <w:jc w:val="center"/>
        </w:trPr>
        <w:tc>
          <w:tcPr>
            <w:tcW w:w="4820" w:type="dxa"/>
            <w:hideMark/>
          </w:tcPr>
          <w:p w14:paraId="1C00E725" w14:textId="77777777" w:rsidR="00791FE2" w:rsidRPr="00791FE2" w:rsidRDefault="00791FE2" w:rsidP="00A70D6A">
            <w:pPr>
              <w:ind w:left="66"/>
              <w:contextualSpacing/>
              <w:jc w:val="center"/>
              <w:rPr>
                <w:rFonts w:ascii="Bookman Old Style" w:eastAsia="Arial Unicode MS" w:hAnsi="Bookman Old Style" w:cs="Arial"/>
                <w:color w:val="000000"/>
              </w:rPr>
            </w:pPr>
            <w:r w:rsidRPr="00791FE2">
              <w:rPr>
                <w:rFonts w:ascii="Bookman Old Style" w:hAnsi="Bookman Old Style" w:cs="Arial"/>
              </w:rPr>
              <w:t>Viceministro de Energía, Delegado del Ministro de Minas y Energía</w:t>
            </w:r>
          </w:p>
        </w:tc>
        <w:tc>
          <w:tcPr>
            <w:tcW w:w="4678" w:type="dxa"/>
            <w:hideMark/>
          </w:tcPr>
          <w:p w14:paraId="69B02E09" w14:textId="77777777" w:rsidR="00791FE2" w:rsidRPr="00791FE2" w:rsidRDefault="00791FE2" w:rsidP="00A70D6A">
            <w:pPr>
              <w:contextualSpacing/>
              <w:jc w:val="center"/>
              <w:rPr>
                <w:rFonts w:ascii="Bookman Old Style" w:eastAsia="Arial Unicode MS" w:hAnsi="Bookman Old Style" w:cs="Arial"/>
                <w:color w:val="000000"/>
              </w:rPr>
            </w:pPr>
            <w:r w:rsidRPr="00791FE2">
              <w:rPr>
                <w:rFonts w:ascii="Bookman Old Style" w:hAnsi="Bookman Old Style" w:cs="Arial"/>
              </w:rPr>
              <w:t xml:space="preserve">Director Ejecutivo </w:t>
            </w:r>
          </w:p>
        </w:tc>
      </w:tr>
      <w:tr w:rsidR="00791FE2" w14:paraId="717259EC" w14:textId="77777777" w:rsidTr="00A70D6A">
        <w:trPr>
          <w:tblCellSpacing w:w="0" w:type="dxa"/>
          <w:jc w:val="center"/>
        </w:trPr>
        <w:tc>
          <w:tcPr>
            <w:tcW w:w="4820" w:type="dxa"/>
            <w:hideMark/>
          </w:tcPr>
          <w:p w14:paraId="6E8DB55F" w14:textId="77777777" w:rsidR="00791FE2" w:rsidRPr="00791FE2" w:rsidRDefault="00791FE2" w:rsidP="00A70D6A">
            <w:pPr>
              <w:ind w:left="66"/>
              <w:contextualSpacing/>
              <w:jc w:val="center"/>
              <w:rPr>
                <w:rFonts w:ascii="Bookman Old Style" w:eastAsia="Arial Unicode MS" w:hAnsi="Bookman Old Style" w:cs="Arial"/>
                <w:color w:val="000000"/>
              </w:rPr>
            </w:pPr>
            <w:r w:rsidRPr="00791FE2">
              <w:rPr>
                <w:rFonts w:ascii="Bookman Old Style" w:hAnsi="Bookman Old Style" w:cs="Arial"/>
              </w:rPr>
              <w:t>Presidente</w:t>
            </w:r>
          </w:p>
        </w:tc>
        <w:tc>
          <w:tcPr>
            <w:tcW w:w="4678" w:type="dxa"/>
          </w:tcPr>
          <w:p w14:paraId="4D73E057" w14:textId="77777777" w:rsidR="00791FE2" w:rsidRPr="00791FE2" w:rsidRDefault="00791FE2" w:rsidP="00A70D6A">
            <w:pPr>
              <w:contextualSpacing/>
              <w:jc w:val="center"/>
              <w:rPr>
                <w:rFonts w:ascii="Bookman Old Style" w:eastAsia="Arial Unicode MS" w:hAnsi="Bookman Old Style" w:cs="Arial"/>
                <w:color w:val="000000"/>
              </w:rPr>
            </w:pPr>
          </w:p>
        </w:tc>
      </w:tr>
    </w:tbl>
    <w:p w14:paraId="4AF0974A" w14:textId="77777777" w:rsidR="00791FE2" w:rsidRDefault="00791FE2" w:rsidP="00791FE2">
      <w:pPr>
        <w:contextualSpacing/>
        <w:rPr>
          <w:b/>
        </w:rPr>
      </w:pPr>
    </w:p>
    <w:p w14:paraId="240CBAC2" w14:textId="77777777" w:rsidR="00FB3A31" w:rsidRDefault="00FB3A31" w:rsidP="006B3017">
      <w:pPr>
        <w:widowControl w:val="0"/>
        <w:adjustRightInd w:val="0"/>
        <w:ind w:left="0"/>
        <w:jc w:val="center"/>
        <w:rPr>
          <w:rFonts w:ascii="Bookman Old Style" w:hAnsi="Bookman Old Style" w:cs="Arial"/>
          <w:b/>
          <w:sz w:val="20"/>
        </w:rPr>
      </w:pPr>
    </w:p>
    <w:p w14:paraId="43615DB2" w14:textId="77777777" w:rsidR="00C32063" w:rsidRDefault="00C32063" w:rsidP="006B3017">
      <w:pPr>
        <w:widowControl w:val="0"/>
        <w:adjustRightInd w:val="0"/>
        <w:ind w:left="0"/>
        <w:jc w:val="center"/>
        <w:rPr>
          <w:rFonts w:ascii="Bookman Old Style" w:hAnsi="Bookman Old Style" w:cs="Arial"/>
          <w:b/>
          <w:sz w:val="20"/>
        </w:rPr>
      </w:pPr>
    </w:p>
    <w:p w14:paraId="3203A71B" w14:textId="7A7B8BB1" w:rsidR="001E4F2E" w:rsidRDefault="001E4F2E" w:rsidP="006B3017">
      <w:pPr>
        <w:widowControl w:val="0"/>
        <w:adjustRightInd w:val="0"/>
        <w:ind w:left="0"/>
        <w:jc w:val="center"/>
        <w:rPr>
          <w:rFonts w:ascii="Bookman Old Style" w:hAnsi="Bookman Old Style" w:cs="Arial"/>
          <w:b/>
          <w:sz w:val="20"/>
        </w:rPr>
      </w:pPr>
    </w:p>
    <w:p w14:paraId="70AB0893" w14:textId="3AF28D84" w:rsidR="00D0293E" w:rsidRDefault="00D0293E" w:rsidP="006B3017">
      <w:pPr>
        <w:widowControl w:val="0"/>
        <w:adjustRightInd w:val="0"/>
        <w:ind w:left="0"/>
        <w:jc w:val="center"/>
        <w:rPr>
          <w:rFonts w:ascii="Bookman Old Style" w:hAnsi="Bookman Old Style" w:cs="Arial"/>
          <w:b/>
          <w:sz w:val="20"/>
        </w:rPr>
      </w:pPr>
    </w:p>
    <w:p w14:paraId="062BE3B6" w14:textId="0FEF8558" w:rsidR="007400D7" w:rsidRDefault="007400D7" w:rsidP="006B3017">
      <w:pPr>
        <w:widowControl w:val="0"/>
        <w:adjustRightInd w:val="0"/>
        <w:ind w:left="0"/>
        <w:jc w:val="center"/>
        <w:rPr>
          <w:rFonts w:ascii="Bookman Old Style" w:hAnsi="Bookman Old Style" w:cs="Arial"/>
          <w:b/>
          <w:sz w:val="20"/>
        </w:rPr>
      </w:pPr>
    </w:p>
    <w:p w14:paraId="4FD3D1DA" w14:textId="77777777" w:rsidR="00447CFB" w:rsidRDefault="00447CFB" w:rsidP="006B3017">
      <w:pPr>
        <w:widowControl w:val="0"/>
        <w:adjustRightInd w:val="0"/>
        <w:ind w:left="0"/>
        <w:jc w:val="center"/>
        <w:rPr>
          <w:rFonts w:ascii="Bookman Old Style" w:hAnsi="Bookman Old Style" w:cs="Arial"/>
          <w:b/>
          <w:sz w:val="20"/>
        </w:rPr>
      </w:pPr>
    </w:p>
    <w:p w14:paraId="7F4B31B0" w14:textId="02BE17F0" w:rsidR="001E4F2E" w:rsidRDefault="001E4F2E" w:rsidP="006B3017">
      <w:pPr>
        <w:widowControl w:val="0"/>
        <w:adjustRightInd w:val="0"/>
        <w:ind w:left="0"/>
        <w:jc w:val="center"/>
        <w:rPr>
          <w:rFonts w:ascii="Bookman Old Style" w:hAnsi="Bookman Old Style" w:cs="Arial"/>
          <w:b/>
          <w:sz w:val="20"/>
        </w:rPr>
      </w:pPr>
    </w:p>
    <w:p w14:paraId="1479EC5D" w14:textId="7B98A30C" w:rsidR="00DD5DF6" w:rsidRDefault="00DD5DF6" w:rsidP="00341E8F">
      <w:pPr>
        <w:widowControl w:val="0"/>
        <w:adjustRightInd w:val="0"/>
        <w:ind w:left="0"/>
        <w:jc w:val="center"/>
        <w:rPr>
          <w:rFonts w:ascii="Bookman Old Style" w:hAnsi="Bookman Old Style" w:cs="Arial"/>
          <w:b/>
        </w:rPr>
      </w:pPr>
    </w:p>
    <w:p w14:paraId="29B40E21" w14:textId="2DFE5435" w:rsidR="009F3F46" w:rsidRDefault="009F3F46" w:rsidP="00341E8F">
      <w:pPr>
        <w:widowControl w:val="0"/>
        <w:adjustRightInd w:val="0"/>
        <w:ind w:left="0"/>
        <w:jc w:val="center"/>
        <w:rPr>
          <w:rFonts w:ascii="Bookman Old Style" w:hAnsi="Bookman Old Style" w:cs="Arial"/>
          <w:b/>
        </w:rPr>
      </w:pPr>
    </w:p>
    <w:p w14:paraId="10F15072" w14:textId="14A7DB11" w:rsidR="00056CFE" w:rsidRDefault="00056CFE" w:rsidP="00341E8F">
      <w:pPr>
        <w:widowControl w:val="0"/>
        <w:adjustRightInd w:val="0"/>
        <w:ind w:left="0"/>
        <w:jc w:val="center"/>
        <w:rPr>
          <w:rFonts w:ascii="Bookman Old Style" w:hAnsi="Bookman Old Style" w:cs="Arial"/>
          <w:b/>
        </w:rPr>
      </w:pPr>
    </w:p>
    <w:p w14:paraId="068BD0C1" w14:textId="3CD42AB8" w:rsidR="00056CFE" w:rsidRDefault="00056CFE" w:rsidP="00341E8F">
      <w:pPr>
        <w:widowControl w:val="0"/>
        <w:adjustRightInd w:val="0"/>
        <w:ind w:left="0"/>
        <w:jc w:val="center"/>
        <w:rPr>
          <w:rFonts w:ascii="Bookman Old Style" w:hAnsi="Bookman Old Style" w:cs="Arial"/>
          <w:b/>
        </w:rPr>
      </w:pPr>
    </w:p>
    <w:p w14:paraId="3277ADEF" w14:textId="77777777" w:rsidR="00056CFE" w:rsidRDefault="00056CFE" w:rsidP="00341E8F">
      <w:pPr>
        <w:widowControl w:val="0"/>
        <w:adjustRightInd w:val="0"/>
        <w:ind w:left="0"/>
        <w:jc w:val="center"/>
        <w:rPr>
          <w:rFonts w:ascii="Bookman Old Style" w:hAnsi="Bookman Old Style" w:cs="Arial"/>
          <w:b/>
        </w:rPr>
      </w:pPr>
    </w:p>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7"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37A6D429"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201</w:t>
            </w:r>
            <w:r w:rsidR="00FB3A31">
              <w:rPr>
                <w:rFonts w:ascii="Bookman Old Style" w:hAnsi="Bookman Old Style" w:cs="Arial"/>
                <w:b/>
                <w:bCs/>
                <w:sz w:val="22"/>
                <w:szCs w:val="22"/>
                <w:lang w:val="es-CO" w:eastAsia="es-CO"/>
              </w:rPr>
              <w:t>8</w:t>
            </w:r>
            <w:r w:rsidRPr="00D36353">
              <w:rPr>
                <w:rFonts w:ascii="Bookman Old Style" w:hAnsi="Bookman Old Style" w:cs="Arial"/>
                <w:b/>
                <w:bCs/>
                <w:sz w:val="22"/>
                <w:szCs w:val="22"/>
                <w:lang w:val="es-CO" w:eastAsia="es-CO"/>
              </w:rPr>
              <w:t>)</w:t>
            </w:r>
          </w:p>
        </w:tc>
      </w:tr>
      <w:tr w:rsidR="003139B0" w:rsidRPr="00D36353" w14:paraId="0B919F77" w14:textId="77777777" w:rsidTr="00305A65">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bottom"/>
          </w:tcPr>
          <w:p w14:paraId="56FB8E5E" w14:textId="307CED4C"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33.801.831</w:t>
            </w:r>
          </w:p>
        </w:tc>
      </w:tr>
      <w:tr w:rsidR="003139B0" w:rsidRPr="00D36353" w14:paraId="6D94068E"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bottom"/>
          </w:tcPr>
          <w:p w14:paraId="394A2C58" w14:textId="29857F6C"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34.221.984</w:t>
            </w:r>
          </w:p>
        </w:tc>
      </w:tr>
      <w:tr w:rsidR="003139B0" w:rsidRPr="00D36353" w14:paraId="3D3332AC"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bottom"/>
          </w:tcPr>
          <w:p w14:paraId="5688124F" w14:textId="2C7492DD"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34.650.870</w:t>
            </w:r>
          </w:p>
        </w:tc>
      </w:tr>
      <w:tr w:rsidR="003139B0" w:rsidRPr="00D36353" w14:paraId="6B5A4B01"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bottom"/>
          </w:tcPr>
          <w:p w14:paraId="5959F6B4" w14:textId="2E423836"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35.097.399</w:t>
            </w:r>
          </w:p>
        </w:tc>
      </w:tr>
      <w:tr w:rsidR="003139B0" w:rsidRPr="00D36353" w14:paraId="2B98CF40"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bottom"/>
          </w:tcPr>
          <w:p w14:paraId="46A10DBC" w14:textId="095060B4"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35.555.251</w:t>
            </w:r>
          </w:p>
        </w:tc>
      </w:tr>
      <w:tr w:rsidR="003139B0" w:rsidRPr="00D36353" w14:paraId="36DDA750"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bottom"/>
          </w:tcPr>
          <w:p w14:paraId="4091DD25" w14:textId="235D0F59"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36.025.249</w:t>
            </w:r>
          </w:p>
        </w:tc>
      </w:tr>
      <w:tr w:rsidR="003139B0" w:rsidRPr="00D36353" w14:paraId="6B48C026"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bottom"/>
          </w:tcPr>
          <w:p w14:paraId="73B11392" w14:textId="7D178078"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36.508.432</w:t>
            </w:r>
          </w:p>
        </w:tc>
      </w:tr>
      <w:tr w:rsidR="003139B0" w:rsidRPr="00D36353" w14:paraId="483B08AC"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bottom"/>
          </w:tcPr>
          <w:p w14:paraId="645FBF4E" w14:textId="1C43B9A8"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37.006.040</w:t>
            </w:r>
          </w:p>
        </w:tc>
      </w:tr>
      <w:tr w:rsidR="003139B0" w:rsidRPr="00D36353" w14:paraId="1B1CFFE6"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bottom"/>
          </w:tcPr>
          <w:p w14:paraId="79B7CC13" w14:textId="512B73A5"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37.519.523</w:t>
            </w:r>
          </w:p>
        </w:tc>
      </w:tr>
      <w:tr w:rsidR="003139B0" w:rsidRPr="00D36353" w14:paraId="0FAFA438"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bottom"/>
          </w:tcPr>
          <w:p w14:paraId="6E495E32" w14:textId="28B5B02C"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38.048.250</w:t>
            </w:r>
          </w:p>
        </w:tc>
      </w:tr>
      <w:tr w:rsidR="003139B0" w:rsidRPr="00D36353" w14:paraId="262CAAEC"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bottom"/>
          </w:tcPr>
          <w:p w14:paraId="6EAE0CC4" w14:textId="3CF8B491"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38.593.173</w:t>
            </w:r>
          </w:p>
        </w:tc>
      </w:tr>
      <w:tr w:rsidR="003139B0" w:rsidRPr="00D36353" w14:paraId="76DFA1E9"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bottom"/>
          </w:tcPr>
          <w:p w14:paraId="6B675974" w14:textId="60D7715D"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39.155.271</w:t>
            </w:r>
          </w:p>
        </w:tc>
      </w:tr>
      <w:tr w:rsidR="003139B0" w:rsidRPr="00D36353" w14:paraId="6C584029"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bottom"/>
          </w:tcPr>
          <w:p w14:paraId="25D80C2F" w14:textId="58BCD695"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39.735.493</w:t>
            </w:r>
          </w:p>
        </w:tc>
      </w:tr>
      <w:tr w:rsidR="003139B0" w:rsidRPr="00D36353" w14:paraId="3E802E25"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bottom"/>
          </w:tcPr>
          <w:p w14:paraId="40E223B2" w14:textId="727E7D05"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40.334.703</w:t>
            </w:r>
          </w:p>
        </w:tc>
      </w:tr>
      <w:tr w:rsidR="003139B0" w:rsidRPr="00D36353" w14:paraId="57F1FD8D"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bottom"/>
          </w:tcPr>
          <w:p w14:paraId="2FC94893" w14:textId="0003A629"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40.953.590</w:t>
            </w:r>
          </w:p>
        </w:tc>
      </w:tr>
      <w:tr w:rsidR="003139B0" w:rsidRPr="00D36353" w14:paraId="28B8FA42"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bottom"/>
          </w:tcPr>
          <w:p w14:paraId="7C0A0D9B" w14:textId="49B9EFD8"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41.593.204</w:t>
            </w:r>
          </w:p>
        </w:tc>
      </w:tr>
      <w:tr w:rsidR="003139B0" w:rsidRPr="00D36353" w14:paraId="101BF14D"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bottom"/>
          </w:tcPr>
          <w:p w14:paraId="5D548FC2" w14:textId="2869ECBD"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42.254.612</w:t>
            </w:r>
          </w:p>
        </w:tc>
      </w:tr>
      <w:tr w:rsidR="003139B0" w:rsidRPr="00D36353" w14:paraId="607E10D8"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bottom"/>
          </w:tcPr>
          <w:p w14:paraId="2407F63C" w14:textId="162BDD62"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42.938.893</w:t>
            </w:r>
          </w:p>
        </w:tc>
      </w:tr>
      <w:tr w:rsidR="003139B0" w:rsidRPr="00D36353" w14:paraId="5886CC39"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bottom"/>
          </w:tcPr>
          <w:p w14:paraId="7915E889" w14:textId="35C97BDA"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43.647.154</w:t>
            </w:r>
          </w:p>
        </w:tc>
      </w:tr>
      <w:tr w:rsidR="003139B0" w:rsidRPr="00D36353" w14:paraId="42E39337" w14:textId="77777777" w:rsidTr="00305A65">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3139B0" w:rsidRPr="00D36353" w:rsidRDefault="003139B0" w:rsidP="003139B0">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bottom"/>
          </w:tcPr>
          <w:p w14:paraId="5D41DDB7" w14:textId="792E5347" w:rsidR="003139B0" w:rsidRPr="00D36353" w:rsidRDefault="003139B0" w:rsidP="003139B0">
            <w:pPr>
              <w:ind w:left="0"/>
              <w:jc w:val="center"/>
              <w:rPr>
                <w:rFonts w:ascii="Bookman Old Style" w:hAnsi="Bookman Old Style" w:cs="Arial"/>
                <w:sz w:val="22"/>
                <w:szCs w:val="22"/>
                <w:lang w:val="es-CO" w:eastAsia="es-CO"/>
              </w:rPr>
            </w:pPr>
            <w:r w:rsidRPr="003139B0">
              <w:rPr>
                <w:rFonts w:ascii="Bookman Old Style" w:hAnsi="Bookman Old Style" w:cs="Arial"/>
                <w:sz w:val="22"/>
                <w:szCs w:val="22"/>
                <w:lang w:val="es-CO" w:eastAsia="es-CO"/>
              </w:rPr>
              <w:t>44.380.556</w:t>
            </w:r>
          </w:p>
        </w:tc>
      </w:tr>
      <w:bookmarkEnd w:id="7"/>
    </w:tbl>
    <w:p w14:paraId="4294C45F" w14:textId="3C0855AB" w:rsidR="00056CFE" w:rsidRDefault="00056CFE" w:rsidP="00341E8F">
      <w:pPr>
        <w:widowControl w:val="0"/>
        <w:adjustRightInd w:val="0"/>
        <w:ind w:left="0"/>
        <w:jc w:val="center"/>
        <w:rPr>
          <w:rFonts w:ascii="Bookman Old Style" w:hAnsi="Bookman Old Style" w:cs="Arial"/>
          <w:b/>
        </w:rPr>
      </w:pPr>
    </w:p>
    <w:p w14:paraId="26CB471B" w14:textId="77777777" w:rsidR="00791FE2" w:rsidRDefault="00791FE2"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3D8CC5CB" w14:textId="5C8CC187" w:rsidR="00056CFE" w:rsidRDefault="00056CFE" w:rsidP="00341E8F">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791FE2" w:rsidRPr="00791FE2" w14:paraId="5459527C" w14:textId="77777777" w:rsidTr="00A70D6A">
        <w:trPr>
          <w:tblCellSpacing w:w="0" w:type="dxa"/>
          <w:jc w:val="center"/>
        </w:trPr>
        <w:tc>
          <w:tcPr>
            <w:tcW w:w="4820" w:type="dxa"/>
            <w:hideMark/>
          </w:tcPr>
          <w:p w14:paraId="618B092E" w14:textId="77777777" w:rsidR="00791FE2" w:rsidRPr="00791FE2" w:rsidRDefault="00791FE2" w:rsidP="00A70D6A">
            <w:pPr>
              <w:ind w:left="66"/>
              <w:contextualSpacing/>
              <w:jc w:val="center"/>
              <w:rPr>
                <w:rFonts w:ascii="Bookman Old Style" w:hAnsi="Bookman Old Style" w:cs="Arial"/>
                <w:b/>
              </w:rPr>
            </w:pPr>
            <w:r w:rsidRPr="00791FE2">
              <w:rPr>
                <w:rFonts w:ascii="Bookman Old Style" w:hAnsi="Bookman Old Style" w:cs="Arial"/>
                <w:b/>
              </w:rPr>
              <w:t>MIGUEL LOTERO ROBLEDO</w:t>
            </w:r>
          </w:p>
        </w:tc>
        <w:tc>
          <w:tcPr>
            <w:tcW w:w="4678" w:type="dxa"/>
            <w:hideMark/>
          </w:tcPr>
          <w:p w14:paraId="2DEC111D" w14:textId="77777777" w:rsidR="00791FE2" w:rsidRPr="00791FE2" w:rsidRDefault="00791FE2" w:rsidP="00A70D6A">
            <w:pPr>
              <w:ind w:left="69"/>
              <w:contextualSpacing/>
              <w:jc w:val="center"/>
              <w:rPr>
                <w:rFonts w:ascii="Bookman Old Style" w:hAnsi="Bookman Old Style" w:cs="Arial"/>
                <w:b/>
              </w:rPr>
            </w:pPr>
            <w:r w:rsidRPr="00791FE2">
              <w:rPr>
                <w:rFonts w:ascii="Bookman Old Style" w:hAnsi="Bookman Old Style" w:cs="Arial"/>
                <w:b/>
              </w:rPr>
              <w:t>JORGE ALBERTO VALENCIA MARÍN</w:t>
            </w:r>
          </w:p>
        </w:tc>
      </w:tr>
      <w:tr w:rsidR="00791FE2" w:rsidRPr="00791FE2" w14:paraId="3349359A" w14:textId="77777777" w:rsidTr="00A70D6A">
        <w:trPr>
          <w:tblCellSpacing w:w="0" w:type="dxa"/>
          <w:jc w:val="center"/>
        </w:trPr>
        <w:tc>
          <w:tcPr>
            <w:tcW w:w="4820" w:type="dxa"/>
            <w:hideMark/>
          </w:tcPr>
          <w:p w14:paraId="01BE4DCC" w14:textId="77777777" w:rsidR="00791FE2" w:rsidRPr="00791FE2" w:rsidRDefault="00791FE2" w:rsidP="00A70D6A">
            <w:pPr>
              <w:ind w:left="66"/>
              <w:contextualSpacing/>
              <w:jc w:val="center"/>
              <w:rPr>
                <w:rFonts w:ascii="Bookman Old Style" w:eastAsia="Arial Unicode MS" w:hAnsi="Bookman Old Style" w:cs="Arial"/>
                <w:color w:val="000000"/>
              </w:rPr>
            </w:pPr>
            <w:r w:rsidRPr="00791FE2">
              <w:rPr>
                <w:rFonts w:ascii="Bookman Old Style" w:hAnsi="Bookman Old Style" w:cs="Arial"/>
              </w:rPr>
              <w:t>Viceministro de Energía, Delegado del Ministro de Minas y Energía</w:t>
            </w:r>
          </w:p>
        </w:tc>
        <w:tc>
          <w:tcPr>
            <w:tcW w:w="4678" w:type="dxa"/>
            <w:hideMark/>
          </w:tcPr>
          <w:p w14:paraId="7CBB2A0D" w14:textId="77777777" w:rsidR="00791FE2" w:rsidRPr="00791FE2" w:rsidRDefault="00791FE2" w:rsidP="00A70D6A">
            <w:pPr>
              <w:contextualSpacing/>
              <w:jc w:val="center"/>
              <w:rPr>
                <w:rFonts w:ascii="Bookman Old Style" w:eastAsia="Arial Unicode MS" w:hAnsi="Bookman Old Style" w:cs="Arial"/>
                <w:color w:val="000000"/>
              </w:rPr>
            </w:pPr>
            <w:r w:rsidRPr="00791FE2">
              <w:rPr>
                <w:rFonts w:ascii="Bookman Old Style" w:hAnsi="Bookman Old Style" w:cs="Arial"/>
              </w:rPr>
              <w:t xml:space="preserve">Director Ejecutivo </w:t>
            </w:r>
          </w:p>
        </w:tc>
      </w:tr>
      <w:tr w:rsidR="00791FE2" w:rsidRPr="00791FE2" w14:paraId="0DB1A462" w14:textId="77777777" w:rsidTr="00A70D6A">
        <w:trPr>
          <w:tblCellSpacing w:w="0" w:type="dxa"/>
          <w:jc w:val="center"/>
        </w:trPr>
        <w:tc>
          <w:tcPr>
            <w:tcW w:w="4820" w:type="dxa"/>
            <w:hideMark/>
          </w:tcPr>
          <w:p w14:paraId="1A9A2FB0" w14:textId="77777777" w:rsidR="00791FE2" w:rsidRPr="00791FE2" w:rsidRDefault="00791FE2" w:rsidP="00A70D6A">
            <w:pPr>
              <w:ind w:left="66"/>
              <w:contextualSpacing/>
              <w:jc w:val="center"/>
              <w:rPr>
                <w:rFonts w:ascii="Bookman Old Style" w:eastAsia="Arial Unicode MS" w:hAnsi="Bookman Old Style" w:cs="Arial"/>
                <w:color w:val="000000"/>
              </w:rPr>
            </w:pPr>
            <w:r w:rsidRPr="00791FE2">
              <w:rPr>
                <w:rFonts w:ascii="Bookman Old Style" w:hAnsi="Bookman Old Style" w:cs="Arial"/>
              </w:rPr>
              <w:t>Presidente</w:t>
            </w:r>
          </w:p>
        </w:tc>
        <w:tc>
          <w:tcPr>
            <w:tcW w:w="4678" w:type="dxa"/>
          </w:tcPr>
          <w:p w14:paraId="28242524" w14:textId="77777777" w:rsidR="00791FE2" w:rsidRPr="00791FE2" w:rsidRDefault="00791FE2" w:rsidP="00A70D6A">
            <w:pPr>
              <w:contextualSpacing/>
              <w:jc w:val="center"/>
              <w:rPr>
                <w:rFonts w:ascii="Bookman Old Style" w:eastAsia="Arial Unicode MS" w:hAnsi="Bookman Old Style" w:cs="Arial"/>
                <w:color w:val="000000"/>
              </w:rPr>
            </w:pPr>
          </w:p>
        </w:tc>
      </w:tr>
    </w:tbl>
    <w:p w14:paraId="72FBEFF5" w14:textId="77777777" w:rsidR="00791FE2" w:rsidRPr="00791FE2" w:rsidRDefault="00791FE2" w:rsidP="00791FE2">
      <w:pPr>
        <w:contextualSpacing/>
        <w:rPr>
          <w:rFonts w:ascii="Bookman Old Style" w:hAnsi="Bookman Old Style"/>
          <w:b/>
        </w:rPr>
      </w:pPr>
    </w:p>
    <w:p w14:paraId="1EE94E82" w14:textId="77777777" w:rsidR="00056CFE" w:rsidRPr="001954E9" w:rsidRDefault="00056CFE" w:rsidP="00341E8F">
      <w:pPr>
        <w:widowControl w:val="0"/>
        <w:adjustRightInd w:val="0"/>
        <w:ind w:left="0"/>
        <w:jc w:val="center"/>
        <w:rPr>
          <w:rFonts w:ascii="Bookman Old Style" w:hAnsi="Bookman Old Style" w:cs="Arial"/>
          <w:b/>
        </w:rPr>
      </w:pPr>
    </w:p>
    <w:p w14:paraId="2AFBFC2F" w14:textId="77777777" w:rsidR="00273C2C" w:rsidRDefault="00273C2C" w:rsidP="00341E8F">
      <w:pPr>
        <w:widowControl w:val="0"/>
        <w:adjustRightInd w:val="0"/>
        <w:ind w:left="0"/>
        <w:jc w:val="center"/>
        <w:rPr>
          <w:rFonts w:ascii="Bookman Old Style" w:hAnsi="Bookman Old Style" w:cs="Arial"/>
          <w:b/>
        </w:rPr>
      </w:pPr>
    </w:p>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even" r:id="rId15"/>
      <w:headerReference w:type="default" r:id="rId16"/>
      <w:footerReference w:type="even" r:id="rId17"/>
      <w:footerReference w:type="default" r:id="rId18"/>
      <w:headerReference w:type="first" r:id="rId19"/>
      <w:footerReference w:type="first" r:id="rId20"/>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2FA6E" w14:textId="77777777" w:rsidR="00B07525" w:rsidRDefault="00B07525">
      <w:r>
        <w:separator/>
      </w:r>
    </w:p>
  </w:endnote>
  <w:endnote w:type="continuationSeparator" w:id="0">
    <w:p w14:paraId="745A2B5F" w14:textId="77777777" w:rsidR="00B07525" w:rsidRDefault="00B07525">
      <w:r>
        <w:continuationSeparator/>
      </w:r>
    </w:p>
  </w:endnote>
  <w:endnote w:type="continuationNotice" w:id="1">
    <w:p w14:paraId="7C6C5C18" w14:textId="77777777" w:rsidR="00B07525" w:rsidRDefault="00B07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6009" w14:textId="77777777" w:rsidR="002719AC" w:rsidRDefault="002719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ABE6F" w14:textId="77777777" w:rsidR="002719AC" w:rsidRDefault="002719A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5AACB" w14:textId="77777777" w:rsidR="002719AC" w:rsidRDefault="002719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59772" w14:textId="77777777" w:rsidR="00B07525" w:rsidRDefault="00B07525">
      <w:r>
        <w:separator/>
      </w:r>
    </w:p>
  </w:footnote>
  <w:footnote w:type="continuationSeparator" w:id="0">
    <w:p w14:paraId="0B7B1296" w14:textId="77777777" w:rsidR="00B07525" w:rsidRDefault="00B07525">
      <w:r>
        <w:continuationSeparator/>
      </w:r>
    </w:p>
  </w:footnote>
  <w:footnote w:type="continuationNotice" w:id="1">
    <w:p w14:paraId="7B4AF104" w14:textId="77777777" w:rsidR="00B07525" w:rsidRDefault="00B07525"/>
  </w:footnote>
  <w:footnote w:id="2">
    <w:p w14:paraId="5C565433" w14:textId="036E491A" w:rsidR="00822798" w:rsidRPr="00BE0CC0" w:rsidRDefault="00822798">
      <w:pPr>
        <w:pStyle w:val="Textonotapie"/>
        <w:rPr>
          <w:rFonts w:ascii="Bookman Old Style" w:hAnsi="Bookman Old Style"/>
          <w:sz w:val="16"/>
          <w:szCs w:val="16"/>
        </w:rPr>
      </w:pPr>
      <w:r>
        <w:rPr>
          <w:rStyle w:val="Refdenotaalpie"/>
        </w:rPr>
        <w:footnoteRef/>
      </w:r>
      <w:r>
        <w:t xml:space="preserve"> </w:t>
      </w:r>
      <w:r w:rsidRPr="00BE0CC0">
        <w:rPr>
          <w:rFonts w:ascii="Bookman Old Style" w:hAnsi="Bookman Old Style"/>
          <w:sz w:val="16"/>
          <w:szCs w:val="16"/>
        </w:rPr>
        <w:t>La Secretaria de Planeación del Municipio de Santa María, Huila certificó que el sector de Las Juntas forma parte de la vereda El Encanto</w:t>
      </w:r>
      <w:r>
        <w:rPr>
          <w:rFonts w:ascii="Bookman Old Style" w:hAnsi="Bookman Old Style"/>
          <w:sz w:val="16"/>
          <w:szCs w:val="16"/>
        </w:rPr>
        <w:t xml:space="preserve"> y se encuentra incluida en el Esquema de Ordenamiento Territorial (EOT) 2007.</w:t>
      </w:r>
    </w:p>
  </w:footnote>
  <w:footnote w:id="3">
    <w:p w14:paraId="2CABFE22" w14:textId="77777777" w:rsidR="00822798" w:rsidRPr="009353D2" w:rsidRDefault="00822798"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4">
    <w:p w14:paraId="5D4135B7" w14:textId="77777777" w:rsidR="00822798" w:rsidRPr="009353D2" w:rsidRDefault="00822798">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 w:id="5">
    <w:p w14:paraId="10CE1310" w14:textId="3DEE49F6" w:rsidR="00822798" w:rsidRPr="00FD4FA1" w:rsidRDefault="00822798">
      <w:pPr>
        <w:pStyle w:val="Textonotapie"/>
        <w:rPr>
          <w:rFonts w:ascii="Bookman Old Style" w:hAnsi="Bookman Old Style"/>
          <w:sz w:val="16"/>
          <w:szCs w:val="16"/>
        </w:rPr>
      </w:pPr>
      <w:r>
        <w:rPr>
          <w:rStyle w:val="Refdenotaalpie"/>
        </w:rPr>
        <w:footnoteRef/>
      </w:r>
      <w:r>
        <w:t xml:space="preserve"> </w:t>
      </w:r>
      <w:r w:rsidRPr="00BE0CC0">
        <w:rPr>
          <w:rFonts w:ascii="Bookman Old Style" w:hAnsi="Bookman Old Style"/>
          <w:sz w:val="16"/>
          <w:szCs w:val="16"/>
        </w:rPr>
        <w:t>La Secretaria de Planeación del Municipio de Santa María, Huila certificó que el sector de Las Juntas forma parte de la vereda El Encanto</w:t>
      </w:r>
      <w:r>
        <w:rPr>
          <w:rFonts w:ascii="Bookman Old Style" w:hAnsi="Bookman Old Style"/>
          <w:sz w:val="16"/>
          <w:szCs w:val="16"/>
        </w:rPr>
        <w:t xml:space="preserve"> y se encuentra incluida en el Esquema de Ordenamiento Territorial (EOT)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3CED" w14:textId="77777777" w:rsidR="002719AC" w:rsidRDefault="002719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822798" w:rsidRDefault="00822798" w:rsidP="00951F79">
    <w:pPr>
      <w:pStyle w:val="Ttulo1"/>
      <w:ind w:right="6"/>
      <w:jc w:val="left"/>
      <w:rPr>
        <w:rFonts w:ascii="Bookman Old Style" w:hAnsi="Bookman Old Style" w:cs="Arial"/>
        <w:b w:val="0"/>
        <w:sz w:val="22"/>
        <w:szCs w:val="22"/>
      </w:rPr>
    </w:pPr>
  </w:p>
  <w:p w14:paraId="7315D676" w14:textId="1B97EBA4" w:rsidR="00822798" w:rsidRPr="00951F79" w:rsidRDefault="0082279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B049E5">
      <w:rPr>
        <w:rFonts w:ascii="Bookman Old Style" w:hAnsi="Bookman Old Style" w:cs="Arial"/>
        <w:b w:val="0"/>
        <w:sz w:val="22"/>
        <w:szCs w:val="22"/>
      </w:rPr>
      <w:t xml:space="preserve">  </w:t>
    </w:r>
    <w:r w:rsidR="00B049E5">
      <w:rPr>
        <w:rFonts w:ascii="Bookman Old Style" w:hAnsi="Bookman Old Style" w:cs="Arial"/>
        <w:bCs/>
        <w:sz w:val="22"/>
        <w:szCs w:val="22"/>
        <w:u w:val="single"/>
      </w:rPr>
      <w:t xml:space="preserve">181 </w:t>
    </w:r>
    <w:r w:rsidRPr="00654384">
      <w:rPr>
        <w:rFonts w:ascii="Bookman Old Style" w:hAnsi="Bookman Old Style" w:cs="Arial"/>
        <w:b w:val="0"/>
        <w:sz w:val="22"/>
        <w:szCs w:val="22"/>
      </w:rPr>
      <w:tab/>
    </w:r>
    <w:r w:rsidR="00B049E5">
      <w:rPr>
        <w:rFonts w:ascii="Bookman Old Style" w:hAnsi="Bookman Old Style" w:cs="Arial"/>
        <w:b w:val="0"/>
        <w:sz w:val="22"/>
        <w:szCs w:val="22"/>
      </w:rPr>
      <w:t xml:space="preserve">         </w:t>
    </w:r>
    <w:r>
      <w:rPr>
        <w:rFonts w:ascii="Bookman Old Style" w:hAnsi="Bookman Old Style" w:cs="Arial"/>
        <w:b w:val="0"/>
        <w:sz w:val="22"/>
        <w:szCs w:val="22"/>
      </w:rPr>
      <w:t xml:space="preserve">DE </w:t>
    </w:r>
    <w:r w:rsidR="00B049E5">
      <w:rPr>
        <w:rFonts w:ascii="Bookman Old Style" w:hAnsi="Bookman Old Style" w:cs="Arial"/>
        <w:b w:val="0"/>
        <w:sz w:val="22"/>
        <w:szCs w:val="22"/>
      </w:rPr>
      <w:t xml:space="preserve">  </w:t>
    </w:r>
    <w:r w:rsidR="00B049E5" w:rsidRPr="00B049E5">
      <w:rPr>
        <w:rFonts w:ascii="Bookman Old Style" w:hAnsi="Bookman Old Style" w:cs="Arial"/>
        <w:bCs/>
        <w:sz w:val="22"/>
        <w:szCs w:val="22"/>
        <w:u w:val="single"/>
      </w:rPr>
      <w:t>18 SEP.2020</w:t>
    </w:r>
    <w:r>
      <w:rPr>
        <w:rFonts w:ascii="Bookman Old Style" w:hAnsi="Bookman Old Style" w:cs="Arial"/>
        <w:b w:val="0"/>
        <w:sz w:val="22"/>
        <w:szCs w:val="22"/>
      </w:rPr>
      <w:tab/>
    </w:r>
    <w:r w:rsidR="00B049E5">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07525">
      <w:rPr>
        <w:rFonts w:ascii="Bookman Old Style" w:hAnsi="Bookman Old Style" w:cs="Arial"/>
        <w:b w:val="0"/>
        <w:noProof/>
        <w:sz w:val="22"/>
        <w:szCs w:val="22"/>
      </w:rPr>
      <w:fldChar w:fldCharType="begin"/>
    </w:r>
    <w:r w:rsidR="00B07525">
      <w:rPr>
        <w:rFonts w:ascii="Bookman Old Style" w:hAnsi="Bookman Old Style" w:cs="Arial"/>
        <w:b w:val="0"/>
        <w:noProof/>
        <w:sz w:val="22"/>
        <w:szCs w:val="22"/>
      </w:rPr>
      <w:instrText xml:space="preserve"> NUMPAGES  \* MERGEFORMAT </w:instrText>
    </w:r>
    <w:r w:rsidR="00B07525">
      <w:rPr>
        <w:rFonts w:ascii="Bookman Old Style" w:hAnsi="Bookman Old Style" w:cs="Arial"/>
        <w:b w:val="0"/>
        <w:noProof/>
        <w:sz w:val="22"/>
        <w:szCs w:val="22"/>
      </w:rPr>
      <w:fldChar w:fldCharType="separate"/>
    </w:r>
    <w:r w:rsidRPr="00074A33">
      <w:rPr>
        <w:rFonts w:ascii="Bookman Old Style" w:hAnsi="Bookman Old Style" w:cs="Arial"/>
        <w:b w:val="0"/>
        <w:noProof/>
        <w:sz w:val="22"/>
        <w:szCs w:val="22"/>
      </w:rPr>
      <w:t>18</w:t>
    </w:r>
    <w:r w:rsidR="00B07525">
      <w:rPr>
        <w:rFonts w:ascii="Bookman Old Style" w:hAnsi="Bookman Old Style" w:cs="Arial"/>
        <w:b w:val="0"/>
        <w:noProof/>
        <w:sz w:val="22"/>
        <w:szCs w:val="22"/>
      </w:rPr>
      <w:fldChar w:fldCharType="end"/>
    </w:r>
  </w:p>
  <w:p w14:paraId="27D15C8C" w14:textId="77777777" w:rsidR="00822798" w:rsidRDefault="00822798"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B1CFF44"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7A7BA8F3" w:rsidR="00822798" w:rsidRDefault="00822798" w:rsidP="00761659">
    <w:pPr>
      <w:ind w:left="0"/>
      <w:jc w:val="both"/>
      <w:rPr>
        <w:rFonts w:ascii="Bookman Old Style" w:hAnsi="Bookman Old Style" w:cs="Arial"/>
        <w:sz w:val="22"/>
        <w:szCs w:val="22"/>
        <w:lang w:val="es-ES_tradnl"/>
      </w:rPr>
    </w:pPr>
    <w:r w:rsidRPr="00761659">
      <w:rPr>
        <w:rFonts w:ascii="Bookman Old Style" w:hAnsi="Bookman Old Style" w:cs="Arial"/>
        <w:sz w:val="22"/>
        <w:szCs w:val="22"/>
        <w:lang w:val="es-ES_tradnl"/>
      </w:rPr>
      <w:t xml:space="preserve">Por la cual se aprueba el cargo de distribución por uso del sistema de distribución de </w:t>
    </w:r>
    <w:r w:rsidR="002719AC" w:rsidRPr="00761659">
      <w:rPr>
        <w:rFonts w:ascii="Bookman Old Style" w:hAnsi="Bookman Old Style" w:cs="Arial"/>
        <w:sz w:val="22"/>
        <w:szCs w:val="22"/>
        <w:lang w:val="es-ES_tradnl"/>
      </w:rPr>
      <w:t xml:space="preserve">Gas </w:t>
    </w:r>
    <w:r w:rsidR="002719AC">
      <w:rPr>
        <w:rFonts w:ascii="Bookman Old Style" w:hAnsi="Bookman Old Style" w:cs="Arial"/>
        <w:sz w:val="22"/>
        <w:szCs w:val="22"/>
        <w:lang w:val="es-ES_tradnl"/>
      </w:rPr>
      <w:t>Licuado de Petróleo -GLP-</w:t>
    </w:r>
    <w:r w:rsidRPr="00761659">
      <w:rPr>
        <w:rFonts w:ascii="Bookman Old Style" w:hAnsi="Bookman Old Style" w:cs="Arial"/>
        <w:sz w:val="22"/>
        <w:szCs w:val="22"/>
        <w:lang w:val="es-ES_tradnl"/>
      </w:rPr>
      <w:t xml:space="preserve"> por redes de tubería para el mercado relevante </w:t>
    </w:r>
    <w:r>
      <w:rPr>
        <w:rFonts w:ascii="Bookman Old Style" w:hAnsi="Bookman Old Style" w:cs="Arial"/>
        <w:sz w:val="22"/>
        <w:szCs w:val="22"/>
        <w:lang w:val="es-ES_tradnl"/>
      </w:rPr>
      <w:t xml:space="preserve">especial </w:t>
    </w:r>
    <w:r w:rsidRPr="00761659">
      <w:rPr>
        <w:rFonts w:ascii="Bookman Old Style" w:hAnsi="Bookman Old Style" w:cs="Arial"/>
        <w:sz w:val="22"/>
        <w:szCs w:val="22"/>
        <w:lang w:val="es-ES_tradnl"/>
      </w:rPr>
      <w:t>conformado</w:t>
    </w:r>
    <w:r>
      <w:rPr>
        <w:rFonts w:ascii="Bookman Old Style" w:hAnsi="Bookman Old Style" w:cs="Arial"/>
        <w:sz w:val="22"/>
        <w:szCs w:val="22"/>
        <w:lang w:val="es-ES_tradnl"/>
      </w:rPr>
      <w:t xml:space="preserve"> por las veredas de Astillero, La María, Granadillo y Alto Buenavista en el Municipio de Agrado; La Carbona en el Municipio de Acevedo y El Encanto-Las Juntas en el Municipio de Santa María</w:t>
    </w:r>
    <w:r w:rsidRPr="00761659">
      <w:rPr>
        <w:rFonts w:ascii="Bookman Old Style" w:hAnsi="Bookman Old Style" w:cs="Arial"/>
        <w:sz w:val="22"/>
        <w:szCs w:val="22"/>
        <w:lang w:val="es-ES_tradnl"/>
      </w:rPr>
      <w:t xml:space="preserve">, Departamento de </w:t>
    </w:r>
    <w:r>
      <w:rPr>
        <w:rFonts w:ascii="Bookman Old Style" w:hAnsi="Bookman Old Style" w:cs="Arial"/>
        <w:sz w:val="22"/>
        <w:szCs w:val="22"/>
        <w:lang w:val="es-ES_tradnl"/>
      </w:rPr>
      <w:t>Huila</w:t>
    </w:r>
    <w:r w:rsidRPr="00761659">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 xml:space="preserve">SURCOLOMBIANA DE GAS </w:t>
    </w:r>
    <w:r w:rsidRPr="00761659">
      <w:rPr>
        <w:rFonts w:ascii="Bookman Old Style" w:hAnsi="Bookman Old Style" w:cs="Arial"/>
        <w:sz w:val="22"/>
        <w:szCs w:val="22"/>
        <w:lang w:val="es-ES_tradnl"/>
      </w:rPr>
      <w:t>S.A. E.S.P.</w:t>
    </w:r>
  </w:p>
  <w:p w14:paraId="3E935677" w14:textId="38D83EA0" w:rsidR="00822798" w:rsidRPr="00761659" w:rsidRDefault="00822798"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822798" w:rsidRPr="00E93409" w:rsidRDefault="00822798" w:rsidP="00B363C8">
    <w:pPr>
      <w:ind w:left="0"/>
      <w:jc w:val="both"/>
      <w:rPr>
        <w:b/>
        <w:sz w:val="2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822798" w:rsidRDefault="00822798"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822798" w:rsidRDefault="00822798">
    <w:pPr>
      <w:pStyle w:val="Encabezado"/>
      <w:jc w:val="center"/>
      <w:rPr>
        <w:rFonts w:ascii="Arial" w:hAnsi="Arial" w:cs="Arial"/>
        <w:spacing w:val="20"/>
        <w:sz w:val="20"/>
      </w:rPr>
    </w:pPr>
  </w:p>
  <w:p w14:paraId="6C7B22A4" w14:textId="77777777" w:rsidR="00822798" w:rsidRDefault="00822798"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0A0AE58"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31640C"/>
    <w:multiLevelType w:val="multilevel"/>
    <w:tmpl w:val="FCEA2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E58D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B7496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F64BF7"/>
    <w:multiLevelType w:val="hybridMultilevel"/>
    <w:tmpl w:val="34E4871C"/>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9"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4"/>
  </w:num>
  <w:num w:numId="9">
    <w:abstractNumId w:val="5"/>
  </w:num>
  <w:num w:numId="10">
    <w:abstractNumId w:val="3"/>
  </w:num>
  <w:num w:numId="11">
    <w:abstractNumId w:val="9"/>
  </w:num>
  <w:num w:numId="12">
    <w:abstractNumId w:val="1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es-ES_tradnl"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0F28"/>
    <w:rsid w:val="000011BD"/>
    <w:rsid w:val="00002637"/>
    <w:rsid w:val="000029D1"/>
    <w:rsid w:val="00003A05"/>
    <w:rsid w:val="000048CB"/>
    <w:rsid w:val="000050E4"/>
    <w:rsid w:val="00005D8F"/>
    <w:rsid w:val="0000682F"/>
    <w:rsid w:val="00006AE2"/>
    <w:rsid w:val="000076A1"/>
    <w:rsid w:val="00007A7A"/>
    <w:rsid w:val="00007FB7"/>
    <w:rsid w:val="00010337"/>
    <w:rsid w:val="00010783"/>
    <w:rsid w:val="00010D37"/>
    <w:rsid w:val="00012259"/>
    <w:rsid w:val="000127D7"/>
    <w:rsid w:val="00014279"/>
    <w:rsid w:val="000143E8"/>
    <w:rsid w:val="000146D0"/>
    <w:rsid w:val="0001472D"/>
    <w:rsid w:val="00014E2E"/>
    <w:rsid w:val="00016C18"/>
    <w:rsid w:val="000175DD"/>
    <w:rsid w:val="0002011D"/>
    <w:rsid w:val="000211CD"/>
    <w:rsid w:val="00023FC2"/>
    <w:rsid w:val="00025383"/>
    <w:rsid w:val="00026C28"/>
    <w:rsid w:val="000275B9"/>
    <w:rsid w:val="0002789F"/>
    <w:rsid w:val="0003128C"/>
    <w:rsid w:val="0003161B"/>
    <w:rsid w:val="000316CB"/>
    <w:rsid w:val="00031C20"/>
    <w:rsid w:val="00031D31"/>
    <w:rsid w:val="00031DA1"/>
    <w:rsid w:val="00033B17"/>
    <w:rsid w:val="00034210"/>
    <w:rsid w:val="00034816"/>
    <w:rsid w:val="00035B25"/>
    <w:rsid w:val="00035D47"/>
    <w:rsid w:val="00037E16"/>
    <w:rsid w:val="00037EA4"/>
    <w:rsid w:val="000402AB"/>
    <w:rsid w:val="00040A9E"/>
    <w:rsid w:val="00040EE6"/>
    <w:rsid w:val="00040F56"/>
    <w:rsid w:val="00042A07"/>
    <w:rsid w:val="00043131"/>
    <w:rsid w:val="00043258"/>
    <w:rsid w:val="0004510B"/>
    <w:rsid w:val="0004655A"/>
    <w:rsid w:val="00050211"/>
    <w:rsid w:val="00050F7F"/>
    <w:rsid w:val="000534E0"/>
    <w:rsid w:val="000537E8"/>
    <w:rsid w:val="00053F4C"/>
    <w:rsid w:val="0005493F"/>
    <w:rsid w:val="00055B77"/>
    <w:rsid w:val="00055DB0"/>
    <w:rsid w:val="00055ED2"/>
    <w:rsid w:val="000568BA"/>
    <w:rsid w:val="00056CFE"/>
    <w:rsid w:val="000571E5"/>
    <w:rsid w:val="0005728B"/>
    <w:rsid w:val="00057400"/>
    <w:rsid w:val="00060D57"/>
    <w:rsid w:val="00061CE9"/>
    <w:rsid w:val="0006208A"/>
    <w:rsid w:val="0006214F"/>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2816"/>
    <w:rsid w:val="00082B86"/>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1E9"/>
    <w:rsid w:val="000953F3"/>
    <w:rsid w:val="00095539"/>
    <w:rsid w:val="00096E1F"/>
    <w:rsid w:val="000A15CE"/>
    <w:rsid w:val="000A19AC"/>
    <w:rsid w:val="000A3172"/>
    <w:rsid w:val="000A3FDC"/>
    <w:rsid w:val="000A4571"/>
    <w:rsid w:val="000A4757"/>
    <w:rsid w:val="000A5A11"/>
    <w:rsid w:val="000A603C"/>
    <w:rsid w:val="000A64BA"/>
    <w:rsid w:val="000A7381"/>
    <w:rsid w:val="000A77FB"/>
    <w:rsid w:val="000A7E74"/>
    <w:rsid w:val="000B02BC"/>
    <w:rsid w:val="000B03C2"/>
    <w:rsid w:val="000B12B6"/>
    <w:rsid w:val="000B17F7"/>
    <w:rsid w:val="000B1B19"/>
    <w:rsid w:val="000B1F1D"/>
    <w:rsid w:val="000B2345"/>
    <w:rsid w:val="000B2CF0"/>
    <w:rsid w:val="000B3AAB"/>
    <w:rsid w:val="000B3C29"/>
    <w:rsid w:val="000B4904"/>
    <w:rsid w:val="000B5CD1"/>
    <w:rsid w:val="000B6582"/>
    <w:rsid w:val="000B667A"/>
    <w:rsid w:val="000B71EB"/>
    <w:rsid w:val="000C1134"/>
    <w:rsid w:val="000C1E0E"/>
    <w:rsid w:val="000C2731"/>
    <w:rsid w:val="000C3239"/>
    <w:rsid w:val="000C3A8C"/>
    <w:rsid w:val="000C4768"/>
    <w:rsid w:val="000C750F"/>
    <w:rsid w:val="000C75DA"/>
    <w:rsid w:val="000D1308"/>
    <w:rsid w:val="000D26F8"/>
    <w:rsid w:val="000D2F29"/>
    <w:rsid w:val="000D2FF3"/>
    <w:rsid w:val="000D329B"/>
    <w:rsid w:val="000D3571"/>
    <w:rsid w:val="000D3AAC"/>
    <w:rsid w:val="000D5E85"/>
    <w:rsid w:val="000E01B8"/>
    <w:rsid w:val="000E2037"/>
    <w:rsid w:val="000E2466"/>
    <w:rsid w:val="000E41E3"/>
    <w:rsid w:val="000E58A2"/>
    <w:rsid w:val="000E5A0A"/>
    <w:rsid w:val="000E606B"/>
    <w:rsid w:val="000E6221"/>
    <w:rsid w:val="000E644D"/>
    <w:rsid w:val="000E65FF"/>
    <w:rsid w:val="000E7A38"/>
    <w:rsid w:val="000E7D39"/>
    <w:rsid w:val="000E7F51"/>
    <w:rsid w:val="000F03C6"/>
    <w:rsid w:val="000F058F"/>
    <w:rsid w:val="000F0A3D"/>
    <w:rsid w:val="000F1132"/>
    <w:rsid w:val="000F18B2"/>
    <w:rsid w:val="000F1934"/>
    <w:rsid w:val="000F258C"/>
    <w:rsid w:val="000F2D9D"/>
    <w:rsid w:val="000F3230"/>
    <w:rsid w:val="000F378D"/>
    <w:rsid w:val="000F410B"/>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3128"/>
    <w:rsid w:val="0011341F"/>
    <w:rsid w:val="00113949"/>
    <w:rsid w:val="001139FA"/>
    <w:rsid w:val="00113EC5"/>
    <w:rsid w:val="001173B6"/>
    <w:rsid w:val="0011783F"/>
    <w:rsid w:val="00117B62"/>
    <w:rsid w:val="001202B9"/>
    <w:rsid w:val="00120B9F"/>
    <w:rsid w:val="00121318"/>
    <w:rsid w:val="0012200E"/>
    <w:rsid w:val="00122666"/>
    <w:rsid w:val="00122CFB"/>
    <w:rsid w:val="00123206"/>
    <w:rsid w:val="0012368E"/>
    <w:rsid w:val="00123915"/>
    <w:rsid w:val="0012404A"/>
    <w:rsid w:val="00126BD3"/>
    <w:rsid w:val="0012770D"/>
    <w:rsid w:val="001279E4"/>
    <w:rsid w:val="0013017C"/>
    <w:rsid w:val="00130B51"/>
    <w:rsid w:val="00131585"/>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3228"/>
    <w:rsid w:val="001432BF"/>
    <w:rsid w:val="0014397D"/>
    <w:rsid w:val="001454C3"/>
    <w:rsid w:val="00145E12"/>
    <w:rsid w:val="001465D3"/>
    <w:rsid w:val="00146A9D"/>
    <w:rsid w:val="00146C85"/>
    <w:rsid w:val="00147472"/>
    <w:rsid w:val="00147B56"/>
    <w:rsid w:val="00147D61"/>
    <w:rsid w:val="001504DB"/>
    <w:rsid w:val="001511BF"/>
    <w:rsid w:val="001532AA"/>
    <w:rsid w:val="0015489E"/>
    <w:rsid w:val="00154D61"/>
    <w:rsid w:val="00154FAB"/>
    <w:rsid w:val="00155EEB"/>
    <w:rsid w:val="00156E4C"/>
    <w:rsid w:val="00157EAF"/>
    <w:rsid w:val="00160B5E"/>
    <w:rsid w:val="0016110D"/>
    <w:rsid w:val="00163CA1"/>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77F2B"/>
    <w:rsid w:val="001803B2"/>
    <w:rsid w:val="00181E33"/>
    <w:rsid w:val="00181E84"/>
    <w:rsid w:val="00181EEA"/>
    <w:rsid w:val="00182325"/>
    <w:rsid w:val="00183014"/>
    <w:rsid w:val="00183F10"/>
    <w:rsid w:val="00184F26"/>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E58"/>
    <w:rsid w:val="001A3E77"/>
    <w:rsid w:val="001A4204"/>
    <w:rsid w:val="001A499A"/>
    <w:rsid w:val="001A56FE"/>
    <w:rsid w:val="001A5946"/>
    <w:rsid w:val="001A5F1B"/>
    <w:rsid w:val="001A5F78"/>
    <w:rsid w:val="001A7622"/>
    <w:rsid w:val="001A7702"/>
    <w:rsid w:val="001B0D07"/>
    <w:rsid w:val="001B1484"/>
    <w:rsid w:val="001B1B20"/>
    <w:rsid w:val="001B1C22"/>
    <w:rsid w:val="001B1D0D"/>
    <w:rsid w:val="001B29DD"/>
    <w:rsid w:val="001B2A11"/>
    <w:rsid w:val="001B34C6"/>
    <w:rsid w:val="001B363E"/>
    <w:rsid w:val="001B3C74"/>
    <w:rsid w:val="001B4A81"/>
    <w:rsid w:val="001B53CE"/>
    <w:rsid w:val="001B6003"/>
    <w:rsid w:val="001B6198"/>
    <w:rsid w:val="001B61EB"/>
    <w:rsid w:val="001B63E5"/>
    <w:rsid w:val="001B6AC6"/>
    <w:rsid w:val="001B7932"/>
    <w:rsid w:val="001C11FC"/>
    <w:rsid w:val="001C1345"/>
    <w:rsid w:val="001C1568"/>
    <w:rsid w:val="001C1B0B"/>
    <w:rsid w:val="001C1E7E"/>
    <w:rsid w:val="001C24F8"/>
    <w:rsid w:val="001C340A"/>
    <w:rsid w:val="001C3899"/>
    <w:rsid w:val="001C3A51"/>
    <w:rsid w:val="001C4977"/>
    <w:rsid w:val="001C58DF"/>
    <w:rsid w:val="001C5ED9"/>
    <w:rsid w:val="001C6723"/>
    <w:rsid w:val="001C6C99"/>
    <w:rsid w:val="001C7B61"/>
    <w:rsid w:val="001D033A"/>
    <w:rsid w:val="001D0C22"/>
    <w:rsid w:val="001D26E6"/>
    <w:rsid w:val="001D4CD5"/>
    <w:rsid w:val="001D61E6"/>
    <w:rsid w:val="001D7832"/>
    <w:rsid w:val="001D7CCB"/>
    <w:rsid w:val="001E1178"/>
    <w:rsid w:val="001E1F32"/>
    <w:rsid w:val="001E243D"/>
    <w:rsid w:val="001E2BE7"/>
    <w:rsid w:val="001E2CCF"/>
    <w:rsid w:val="001E2FAE"/>
    <w:rsid w:val="001E30E3"/>
    <w:rsid w:val="001E34A9"/>
    <w:rsid w:val="001E3EF6"/>
    <w:rsid w:val="001E3F03"/>
    <w:rsid w:val="001E4F2E"/>
    <w:rsid w:val="001E5601"/>
    <w:rsid w:val="001E738F"/>
    <w:rsid w:val="001E748F"/>
    <w:rsid w:val="001F1AE4"/>
    <w:rsid w:val="001F2709"/>
    <w:rsid w:val="001F2B89"/>
    <w:rsid w:val="001F2BD1"/>
    <w:rsid w:val="001F2D36"/>
    <w:rsid w:val="001F3765"/>
    <w:rsid w:val="001F3D38"/>
    <w:rsid w:val="001F473F"/>
    <w:rsid w:val="001F47A7"/>
    <w:rsid w:val="001F4AC3"/>
    <w:rsid w:val="001F640A"/>
    <w:rsid w:val="001F7298"/>
    <w:rsid w:val="001F7E08"/>
    <w:rsid w:val="00200D10"/>
    <w:rsid w:val="00200EFB"/>
    <w:rsid w:val="00201C23"/>
    <w:rsid w:val="00202111"/>
    <w:rsid w:val="0020266E"/>
    <w:rsid w:val="00203702"/>
    <w:rsid w:val="00203AB8"/>
    <w:rsid w:val="00203B4C"/>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74C"/>
    <w:rsid w:val="00214F04"/>
    <w:rsid w:val="00215B3E"/>
    <w:rsid w:val="00215CF5"/>
    <w:rsid w:val="00217670"/>
    <w:rsid w:val="00217844"/>
    <w:rsid w:val="00217C1B"/>
    <w:rsid w:val="00217EB8"/>
    <w:rsid w:val="002209C0"/>
    <w:rsid w:val="002217C7"/>
    <w:rsid w:val="00221F55"/>
    <w:rsid w:val="002223A2"/>
    <w:rsid w:val="0022433C"/>
    <w:rsid w:val="00224C43"/>
    <w:rsid w:val="00226ECF"/>
    <w:rsid w:val="002271C4"/>
    <w:rsid w:val="002277F4"/>
    <w:rsid w:val="002300AF"/>
    <w:rsid w:val="00230611"/>
    <w:rsid w:val="00231F80"/>
    <w:rsid w:val="00232DD5"/>
    <w:rsid w:val="00232F92"/>
    <w:rsid w:val="00233AAF"/>
    <w:rsid w:val="00235ECE"/>
    <w:rsid w:val="002360C2"/>
    <w:rsid w:val="00236B26"/>
    <w:rsid w:val="00236ECE"/>
    <w:rsid w:val="0023701C"/>
    <w:rsid w:val="00237A3D"/>
    <w:rsid w:val="00237FDF"/>
    <w:rsid w:val="002403B4"/>
    <w:rsid w:val="00240455"/>
    <w:rsid w:val="00240780"/>
    <w:rsid w:val="00241181"/>
    <w:rsid w:val="00241399"/>
    <w:rsid w:val="0024232D"/>
    <w:rsid w:val="0024290F"/>
    <w:rsid w:val="00243DE3"/>
    <w:rsid w:val="00243E8F"/>
    <w:rsid w:val="002442D8"/>
    <w:rsid w:val="00244322"/>
    <w:rsid w:val="00244B12"/>
    <w:rsid w:val="00244BF2"/>
    <w:rsid w:val="00246AA1"/>
    <w:rsid w:val="00246C1A"/>
    <w:rsid w:val="00247A0C"/>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0D1C"/>
    <w:rsid w:val="002610B2"/>
    <w:rsid w:val="00261BF8"/>
    <w:rsid w:val="0026413A"/>
    <w:rsid w:val="00264A77"/>
    <w:rsid w:val="0026623A"/>
    <w:rsid w:val="002668B5"/>
    <w:rsid w:val="00266CD6"/>
    <w:rsid w:val="00266F72"/>
    <w:rsid w:val="0027139C"/>
    <w:rsid w:val="002715FC"/>
    <w:rsid w:val="002719AC"/>
    <w:rsid w:val="00271CEB"/>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C73"/>
    <w:rsid w:val="0028104F"/>
    <w:rsid w:val="002817D6"/>
    <w:rsid w:val="0028181E"/>
    <w:rsid w:val="00281BA8"/>
    <w:rsid w:val="00281C19"/>
    <w:rsid w:val="00283BDF"/>
    <w:rsid w:val="00283ED9"/>
    <w:rsid w:val="00283EFF"/>
    <w:rsid w:val="002849DC"/>
    <w:rsid w:val="002849F9"/>
    <w:rsid w:val="002853D1"/>
    <w:rsid w:val="00285C0F"/>
    <w:rsid w:val="00285D62"/>
    <w:rsid w:val="002861B3"/>
    <w:rsid w:val="00286443"/>
    <w:rsid w:val="002872ED"/>
    <w:rsid w:val="002874D5"/>
    <w:rsid w:val="0029089A"/>
    <w:rsid w:val="00291508"/>
    <w:rsid w:val="002919B7"/>
    <w:rsid w:val="00295885"/>
    <w:rsid w:val="002967DB"/>
    <w:rsid w:val="00297099"/>
    <w:rsid w:val="00297A92"/>
    <w:rsid w:val="002A12EA"/>
    <w:rsid w:val="002A234D"/>
    <w:rsid w:val="002A345B"/>
    <w:rsid w:val="002A4E96"/>
    <w:rsid w:val="002A606F"/>
    <w:rsid w:val="002A6ABB"/>
    <w:rsid w:val="002A71E9"/>
    <w:rsid w:val="002A782A"/>
    <w:rsid w:val="002B11E2"/>
    <w:rsid w:val="002B14D1"/>
    <w:rsid w:val="002B1A32"/>
    <w:rsid w:val="002B1B36"/>
    <w:rsid w:val="002B1D0B"/>
    <w:rsid w:val="002B24B8"/>
    <w:rsid w:val="002B34EB"/>
    <w:rsid w:val="002B41EC"/>
    <w:rsid w:val="002B5BB1"/>
    <w:rsid w:val="002C03E1"/>
    <w:rsid w:val="002C0796"/>
    <w:rsid w:val="002C0A7D"/>
    <w:rsid w:val="002C1029"/>
    <w:rsid w:val="002C2A65"/>
    <w:rsid w:val="002C3480"/>
    <w:rsid w:val="002C465D"/>
    <w:rsid w:val="002C5AF2"/>
    <w:rsid w:val="002C5FDD"/>
    <w:rsid w:val="002C655E"/>
    <w:rsid w:val="002C69FA"/>
    <w:rsid w:val="002D0016"/>
    <w:rsid w:val="002D08AE"/>
    <w:rsid w:val="002D0C0D"/>
    <w:rsid w:val="002D16E4"/>
    <w:rsid w:val="002D1ECA"/>
    <w:rsid w:val="002D200F"/>
    <w:rsid w:val="002D2CEF"/>
    <w:rsid w:val="002D3AE9"/>
    <w:rsid w:val="002D436B"/>
    <w:rsid w:val="002D4510"/>
    <w:rsid w:val="002D48BD"/>
    <w:rsid w:val="002D574B"/>
    <w:rsid w:val="002D6B88"/>
    <w:rsid w:val="002D747B"/>
    <w:rsid w:val="002E0C2C"/>
    <w:rsid w:val="002E41C0"/>
    <w:rsid w:val="002E4959"/>
    <w:rsid w:val="002E4DC3"/>
    <w:rsid w:val="002E5905"/>
    <w:rsid w:val="002E6F42"/>
    <w:rsid w:val="002E7264"/>
    <w:rsid w:val="002F0734"/>
    <w:rsid w:val="002F0CC9"/>
    <w:rsid w:val="002F2CD9"/>
    <w:rsid w:val="002F30E3"/>
    <w:rsid w:val="002F3A87"/>
    <w:rsid w:val="002F46E7"/>
    <w:rsid w:val="002F47F1"/>
    <w:rsid w:val="002F5BFD"/>
    <w:rsid w:val="002F5D62"/>
    <w:rsid w:val="002F5E3D"/>
    <w:rsid w:val="002F6394"/>
    <w:rsid w:val="002F64D0"/>
    <w:rsid w:val="002F6C5F"/>
    <w:rsid w:val="002F73E4"/>
    <w:rsid w:val="002F7A85"/>
    <w:rsid w:val="002F7BC3"/>
    <w:rsid w:val="00300063"/>
    <w:rsid w:val="00300577"/>
    <w:rsid w:val="00300C58"/>
    <w:rsid w:val="00302AF5"/>
    <w:rsid w:val="003030F5"/>
    <w:rsid w:val="00303396"/>
    <w:rsid w:val="003034E2"/>
    <w:rsid w:val="00303C3C"/>
    <w:rsid w:val="00304DB9"/>
    <w:rsid w:val="00305A65"/>
    <w:rsid w:val="003101DA"/>
    <w:rsid w:val="00310331"/>
    <w:rsid w:val="003106A1"/>
    <w:rsid w:val="0031070D"/>
    <w:rsid w:val="00312369"/>
    <w:rsid w:val="0031290F"/>
    <w:rsid w:val="00313430"/>
    <w:rsid w:val="003137EB"/>
    <w:rsid w:val="003139B0"/>
    <w:rsid w:val="00313D49"/>
    <w:rsid w:val="00313E86"/>
    <w:rsid w:val="00314693"/>
    <w:rsid w:val="00314757"/>
    <w:rsid w:val="003160F6"/>
    <w:rsid w:val="003161AB"/>
    <w:rsid w:val="00316D76"/>
    <w:rsid w:val="00317451"/>
    <w:rsid w:val="00317CC1"/>
    <w:rsid w:val="00317D39"/>
    <w:rsid w:val="00317E61"/>
    <w:rsid w:val="00320809"/>
    <w:rsid w:val="00320A00"/>
    <w:rsid w:val="00320B79"/>
    <w:rsid w:val="003211CE"/>
    <w:rsid w:val="003216FD"/>
    <w:rsid w:val="00321766"/>
    <w:rsid w:val="00321E6C"/>
    <w:rsid w:val="00322D30"/>
    <w:rsid w:val="003258AB"/>
    <w:rsid w:val="00326082"/>
    <w:rsid w:val="0032669A"/>
    <w:rsid w:val="00327D22"/>
    <w:rsid w:val="00327DBD"/>
    <w:rsid w:val="00327FC7"/>
    <w:rsid w:val="0033099C"/>
    <w:rsid w:val="003314FD"/>
    <w:rsid w:val="0033191F"/>
    <w:rsid w:val="00331EB0"/>
    <w:rsid w:val="00332EE0"/>
    <w:rsid w:val="00333109"/>
    <w:rsid w:val="00333396"/>
    <w:rsid w:val="00334168"/>
    <w:rsid w:val="00335537"/>
    <w:rsid w:val="00341E8F"/>
    <w:rsid w:val="00342DE0"/>
    <w:rsid w:val="003430F9"/>
    <w:rsid w:val="00345FA9"/>
    <w:rsid w:val="003464E2"/>
    <w:rsid w:val="00346E50"/>
    <w:rsid w:val="003518A4"/>
    <w:rsid w:val="00351C25"/>
    <w:rsid w:val="003523B6"/>
    <w:rsid w:val="0035347F"/>
    <w:rsid w:val="0035403A"/>
    <w:rsid w:val="00354CE5"/>
    <w:rsid w:val="00354EB0"/>
    <w:rsid w:val="00355285"/>
    <w:rsid w:val="003565D5"/>
    <w:rsid w:val="00356756"/>
    <w:rsid w:val="00356C1B"/>
    <w:rsid w:val="00357DAB"/>
    <w:rsid w:val="003606CE"/>
    <w:rsid w:val="003609E9"/>
    <w:rsid w:val="00360ADB"/>
    <w:rsid w:val="00361664"/>
    <w:rsid w:val="003624B0"/>
    <w:rsid w:val="0036394B"/>
    <w:rsid w:val="00363D86"/>
    <w:rsid w:val="00364E6F"/>
    <w:rsid w:val="00364E90"/>
    <w:rsid w:val="0036558D"/>
    <w:rsid w:val="00366574"/>
    <w:rsid w:val="00367295"/>
    <w:rsid w:val="0036751E"/>
    <w:rsid w:val="00367F57"/>
    <w:rsid w:val="003700B5"/>
    <w:rsid w:val="003709B5"/>
    <w:rsid w:val="00372506"/>
    <w:rsid w:val="003734BE"/>
    <w:rsid w:val="00373986"/>
    <w:rsid w:val="00373B71"/>
    <w:rsid w:val="0037468F"/>
    <w:rsid w:val="00374A95"/>
    <w:rsid w:val="003759C2"/>
    <w:rsid w:val="0037622C"/>
    <w:rsid w:val="003768AC"/>
    <w:rsid w:val="00377941"/>
    <w:rsid w:val="0038016C"/>
    <w:rsid w:val="003803C3"/>
    <w:rsid w:val="00380D89"/>
    <w:rsid w:val="00380EC8"/>
    <w:rsid w:val="00383497"/>
    <w:rsid w:val="00384193"/>
    <w:rsid w:val="003846C6"/>
    <w:rsid w:val="003846CB"/>
    <w:rsid w:val="00384BE4"/>
    <w:rsid w:val="00385984"/>
    <w:rsid w:val="00387A57"/>
    <w:rsid w:val="003914AB"/>
    <w:rsid w:val="00391B3F"/>
    <w:rsid w:val="00391D5F"/>
    <w:rsid w:val="003926E5"/>
    <w:rsid w:val="003943C4"/>
    <w:rsid w:val="00394B66"/>
    <w:rsid w:val="00394C4B"/>
    <w:rsid w:val="003956D0"/>
    <w:rsid w:val="00395ECD"/>
    <w:rsid w:val="00396899"/>
    <w:rsid w:val="00397365"/>
    <w:rsid w:val="003A09AA"/>
    <w:rsid w:val="003A2C11"/>
    <w:rsid w:val="003A2CCD"/>
    <w:rsid w:val="003A31F6"/>
    <w:rsid w:val="003A3340"/>
    <w:rsid w:val="003A3799"/>
    <w:rsid w:val="003A46CB"/>
    <w:rsid w:val="003A5C87"/>
    <w:rsid w:val="003A65DA"/>
    <w:rsid w:val="003A71FD"/>
    <w:rsid w:val="003A722D"/>
    <w:rsid w:val="003A7891"/>
    <w:rsid w:val="003A789A"/>
    <w:rsid w:val="003A7E3C"/>
    <w:rsid w:val="003B0605"/>
    <w:rsid w:val="003B10B9"/>
    <w:rsid w:val="003B183E"/>
    <w:rsid w:val="003B394F"/>
    <w:rsid w:val="003B46A0"/>
    <w:rsid w:val="003B48A4"/>
    <w:rsid w:val="003B4967"/>
    <w:rsid w:val="003B5489"/>
    <w:rsid w:val="003B5608"/>
    <w:rsid w:val="003B57A5"/>
    <w:rsid w:val="003B5C95"/>
    <w:rsid w:val="003B65CC"/>
    <w:rsid w:val="003B691E"/>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53D8"/>
    <w:rsid w:val="003C5D63"/>
    <w:rsid w:val="003C6B91"/>
    <w:rsid w:val="003C7080"/>
    <w:rsid w:val="003C7783"/>
    <w:rsid w:val="003D076C"/>
    <w:rsid w:val="003D0972"/>
    <w:rsid w:val="003D0F43"/>
    <w:rsid w:val="003D21D5"/>
    <w:rsid w:val="003D2E75"/>
    <w:rsid w:val="003D3597"/>
    <w:rsid w:val="003D42FC"/>
    <w:rsid w:val="003D4DDE"/>
    <w:rsid w:val="003D5D9B"/>
    <w:rsid w:val="003D5E6D"/>
    <w:rsid w:val="003D5E91"/>
    <w:rsid w:val="003D740F"/>
    <w:rsid w:val="003E0379"/>
    <w:rsid w:val="003E048C"/>
    <w:rsid w:val="003E2B23"/>
    <w:rsid w:val="003E2FE2"/>
    <w:rsid w:val="003E4F0D"/>
    <w:rsid w:val="003E5F3A"/>
    <w:rsid w:val="003E7718"/>
    <w:rsid w:val="003E78B5"/>
    <w:rsid w:val="003E7EF9"/>
    <w:rsid w:val="003F0076"/>
    <w:rsid w:val="003F07D1"/>
    <w:rsid w:val="003F0E65"/>
    <w:rsid w:val="003F2794"/>
    <w:rsid w:val="003F2CCD"/>
    <w:rsid w:val="003F30F4"/>
    <w:rsid w:val="003F3F58"/>
    <w:rsid w:val="003F5384"/>
    <w:rsid w:val="003F5A31"/>
    <w:rsid w:val="003F72A4"/>
    <w:rsid w:val="003F7FBF"/>
    <w:rsid w:val="004007B3"/>
    <w:rsid w:val="004015B4"/>
    <w:rsid w:val="00403005"/>
    <w:rsid w:val="00403322"/>
    <w:rsid w:val="00403B63"/>
    <w:rsid w:val="00404163"/>
    <w:rsid w:val="00404192"/>
    <w:rsid w:val="00404201"/>
    <w:rsid w:val="00404DA1"/>
    <w:rsid w:val="00405BB4"/>
    <w:rsid w:val="0040653C"/>
    <w:rsid w:val="00406A28"/>
    <w:rsid w:val="00407E99"/>
    <w:rsid w:val="00410015"/>
    <w:rsid w:val="004104E0"/>
    <w:rsid w:val="00411770"/>
    <w:rsid w:val="00411B7F"/>
    <w:rsid w:val="00411DFB"/>
    <w:rsid w:val="00412982"/>
    <w:rsid w:val="00413EF7"/>
    <w:rsid w:val="004157D7"/>
    <w:rsid w:val="00415BAB"/>
    <w:rsid w:val="00415ED2"/>
    <w:rsid w:val="00415FAD"/>
    <w:rsid w:val="00416119"/>
    <w:rsid w:val="00416B74"/>
    <w:rsid w:val="0042068C"/>
    <w:rsid w:val="00420EC8"/>
    <w:rsid w:val="0042141F"/>
    <w:rsid w:val="004229E7"/>
    <w:rsid w:val="004230D4"/>
    <w:rsid w:val="00423E5C"/>
    <w:rsid w:val="0042468E"/>
    <w:rsid w:val="004248D0"/>
    <w:rsid w:val="00424F38"/>
    <w:rsid w:val="004260E0"/>
    <w:rsid w:val="00426523"/>
    <w:rsid w:val="0042690C"/>
    <w:rsid w:val="00426A4C"/>
    <w:rsid w:val="00427943"/>
    <w:rsid w:val="00427D5C"/>
    <w:rsid w:val="00430182"/>
    <w:rsid w:val="00430FE8"/>
    <w:rsid w:val="0043168B"/>
    <w:rsid w:val="00431A8E"/>
    <w:rsid w:val="0043557A"/>
    <w:rsid w:val="004355FC"/>
    <w:rsid w:val="00436CBA"/>
    <w:rsid w:val="00436F3F"/>
    <w:rsid w:val="0044048C"/>
    <w:rsid w:val="004406FB"/>
    <w:rsid w:val="00441C4E"/>
    <w:rsid w:val="00442762"/>
    <w:rsid w:val="00442FA4"/>
    <w:rsid w:val="00443D9A"/>
    <w:rsid w:val="00445DD5"/>
    <w:rsid w:val="004460A6"/>
    <w:rsid w:val="00447CFB"/>
    <w:rsid w:val="0045040D"/>
    <w:rsid w:val="004505D7"/>
    <w:rsid w:val="00450B0A"/>
    <w:rsid w:val="00452CD6"/>
    <w:rsid w:val="00452F36"/>
    <w:rsid w:val="004537E4"/>
    <w:rsid w:val="004551B3"/>
    <w:rsid w:val="00456169"/>
    <w:rsid w:val="00456B3B"/>
    <w:rsid w:val="00456F63"/>
    <w:rsid w:val="004607D8"/>
    <w:rsid w:val="00460916"/>
    <w:rsid w:val="00461242"/>
    <w:rsid w:val="0046176B"/>
    <w:rsid w:val="00461DC6"/>
    <w:rsid w:val="00462087"/>
    <w:rsid w:val="0046259D"/>
    <w:rsid w:val="00463197"/>
    <w:rsid w:val="00463575"/>
    <w:rsid w:val="00463F18"/>
    <w:rsid w:val="0046434F"/>
    <w:rsid w:val="00464E09"/>
    <w:rsid w:val="004656CD"/>
    <w:rsid w:val="00465D6A"/>
    <w:rsid w:val="00467202"/>
    <w:rsid w:val="004672AD"/>
    <w:rsid w:val="00467408"/>
    <w:rsid w:val="0046783C"/>
    <w:rsid w:val="00470483"/>
    <w:rsid w:val="0047111B"/>
    <w:rsid w:val="0047122B"/>
    <w:rsid w:val="00471385"/>
    <w:rsid w:val="00471792"/>
    <w:rsid w:val="00471CF4"/>
    <w:rsid w:val="00473772"/>
    <w:rsid w:val="004739C3"/>
    <w:rsid w:val="00473B7A"/>
    <w:rsid w:val="004749CE"/>
    <w:rsid w:val="0047559B"/>
    <w:rsid w:val="004756EF"/>
    <w:rsid w:val="004763D9"/>
    <w:rsid w:val="00476C91"/>
    <w:rsid w:val="00476EFF"/>
    <w:rsid w:val="0048012B"/>
    <w:rsid w:val="00480217"/>
    <w:rsid w:val="00480EF2"/>
    <w:rsid w:val="00480F76"/>
    <w:rsid w:val="00481CD4"/>
    <w:rsid w:val="00481F9A"/>
    <w:rsid w:val="004836D5"/>
    <w:rsid w:val="00483D9E"/>
    <w:rsid w:val="00484304"/>
    <w:rsid w:val="00485413"/>
    <w:rsid w:val="0048663D"/>
    <w:rsid w:val="004872CE"/>
    <w:rsid w:val="004926C2"/>
    <w:rsid w:val="00493655"/>
    <w:rsid w:val="00494396"/>
    <w:rsid w:val="00495119"/>
    <w:rsid w:val="00495A52"/>
    <w:rsid w:val="004960E9"/>
    <w:rsid w:val="0049624D"/>
    <w:rsid w:val="00496F1E"/>
    <w:rsid w:val="004970EE"/>
    <w:rsid w:val="004973C2"/>
    <w:rsid w:val="004A0540"/>
    <w:rsid w:val="004A27A4"/>
    <w:rsid w:val="004A2978"/>
    <w:rsid w:val="004A2E88"/>
    <w:rsid w:val="004A354F"/>
    <w:rsid w:val="004A44ED"/>
    <w:rsid w:val="004A4961"/>
    <w:rsid w:val="004A4B98"/>
    <w:rsid w:val="004A4E3A"/>
    <w:rsid w:val="004A5305"/>
    <w:rsid w:val="004A59F9"/>
    <w:rsid w:val="004A5E41"/>
    <w:rsid w:val="004A6280"/>
    <w:rsid w:val="004A67A1"/>
    <w:rsid w:val="004A7620"/>
    <w:rsid w:val="004A7C4C"/>
    <w:rsid w:val="004B0DA7"/>
    <w:rsid w:val="004B1840"/>
    <w:rsid w:val="004B27BD"/>
    <w:rsid w:val="004B29CE"/>
    <w:rsid w:val="004B2E9D"/>
    <w:rsid w:val="004B3A3C"/>
    <w:rsid w:val="004B460E"/>
    <w:rsid w:val="004B4FB1"/>
    <w:rsid w:val="004B538E"/>
    <w:rsid w:val="004B594B"/>
    <w:rsid w:val="004B6734"/>
    <w:rsid w:val="004B6850"/>
    <w:rsid w:val="004C1C08"/>
    <w:rsid w:val="004C2C42"/>
    <w:rsid w:val="004C3AAC"/>
    <w:rsid w:val="004C3CDD"/>
    <w:rsid w:val="004C4E22"/>
    <w:rsid w:val="004C4E6C"/>
    <w:rsid w:val="004C6927"/>
    <w:rsid w:val="004C6974"/>
    <w:rsid w:val="004D0BC0"/>
    <w:rsid w:val="004D0C51"/>
    <w:rsid w:val="004D1783"/>
    <w:rsid w:val="004D19FA"/>
    <w:rsid w:val="004D2FD2"/>
    <w:rsid w:val="004D43AE"/>
    <w:rsid w:val="004D4B4A"/>
    <w:rsid w:val="004D5674"/>
    <w:rsid w:val="004D5736"/>
    <w:rsid w:val="004D6EB8"/>
    <w:rsid w:val="004D7020"/>
    <w:rsid w:val="004D7634"/>
    <w:rsid w:val="004D77B5"/>
    <w:rsid w:val="004D7D3F"/>
    <w:rsid w:val="004E07AB"/>
    <w:rsid w:val="004E1E32"/>
    <w:rsid w:val="004E1EB0"/>
    <w:rsid w:val="004E24C5"/>
    <w:rsid w:val="004E2802"/>
    <w:rsid w:val="004E45FB"/>
    <w:rsid w:val="004E46B6"/>
    <w:rsid w:val="004E69D2"/>
    <w:rsid w:val="004E74C7"/>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0A9F"/>
    <w:rsid w:val="00512114"/>
    <w:rsid w:val="005123D0"/>
    <w:rsid w:val="005134B2"/>
    <w:rsid w:val="00513B60"/>
    <w:rsid w:val="00514A4C"/>
    <w:rsid w:val="00515932"/>
    <w:rsid w:val="00515F50"/>
    <w:rsid w:val="0051621D"/>
    <w:rsid w:val="00517E37"/>
    <w:rsid w:val="0052046F"/>
    <w:rsid w:val="0052141A"/>
    <w:rsid w:val="005214DD"/>
    <w:rsid w:val="00521FB0"/>
    <w:rsid w:val="005230B1"/>
    <w:rsid w:val="00523E4D"/>
    <w:rsid w:val="00524272"/>
    <w:rsid w:val="00524A69"/>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5C7"/>
    <w:rsid w:val="00534810"/>
    <w:rsid w:val="00535B16"/>
    <w:rsid w:val="00536323"/>
    <w:rsid w:val="00536D82"/>
    <w:rsid w:val="00537340"/>
    <w:rsid w:val="005376A6"/>
    <w:rsid w:val="00537AA5"/>
    <w:rsid w:val="00537DDE"/>
    <w:rsid w:val="0054050B"/>
    <w:rsid w:val="00541722"/>
    <w:rsid w:val="00541FD6"/>
    <w:rsid w:val="00542B81"/>
    <w:rsid w:val="0054370B"/>
    <w:rsid w:val="00544F82"/>
    <w:rsid w:val="00547FA4"/>
    <w:rsid w:val="005516A0"/>
    <w:rsid w:val="00551C7E"/>
    <w:rsid w:val="00551DD6"/>
    <w:rsid w:val="00551FF0"/>
    <w:rsid w:val="005544E8"/>
    <w:rsid w:val="00554523"/>
    <w:rsid w:val="00554FFF"/>
    <w:rsid w:val="005575BF"/>
    <w:rsid w:val="00557A00"/>
    <w:rsid w:val="00560229"/>
    <w:rsid w:val="00560A7E"/>
    <w:rsid w:val="00560B56"/>
    <w:rsid w:val="00560DA2"/>
    <w:rsid w:val="005612F2"/>
    <w:rsid w:val="005623A7"/>
    <w:rsid w:val="00562E64"/>
    <w:rsid w:val="00563C3D"/>
    <w:rsid w:val="00564D78"/>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C6F"/>
    <w:rsid w:val="00577072"/>
    <w:rsid w:val="0057740E"/>
    <w:rsid w:val="00580A04"/>
    <w:rsid w:val="00581897"/>
    <w:rsid w:val="005838FE"/>
    <w:rsid w:val="0058440D"/>
    <w:rsid w:val="0058479F"/>
    <w:rsid w:val="005848AA"/>
    <w:rsid w:val="00586977"/>
    <w:rsid w:val="005873FD"/>
    <w:rsid w:val="005878CC"/>
    <w:rsid w:val="00590723"/>
    <w:rsid w:val="00590E65"/>
    <w:rsid w:val="00591693"/>
    <w:rsid w:val="00592E8C"/>
    <w:rsid w:val="0059325B"/>
    <w:rsid w:val="00593C4F"/>
    <w:rsid w:val="005946A8"/>
    <w:rsid w:val="00594D62"/>
    <w:rsid w:val="00596A33"/>
    <w:rsid w:val="00596D99"/>
    <w:rsid w:val="00596DCC"/>
    <w:rsid w:val="00596E6F"/>
    <w:rsid w:val="0059774E"/>
    <w:rsid w:val="00597BFF"/>
    <w:rsid w:val="00597F49"/>
    <w:rsid w:val="005A0896"/>
    <w:rsid w:val="005A0D73"/>
    <w:rsid w:val="005A165B"/>
    <w:rsid w:val="005A2753"/>
    <w:rsid w:val="005A2C35"/>
    <w:rsid w:val="005A3EA7"/>
    <w:rsid w:val="005A3FBF"/>
    <w:rsid w:val="005A407B"/>
    <w:rsid w:val="005A4407"/>
    <w:rsid w:val="005A4DC9"/>
    <w:rsid w:val="005A504A"/>
    <w:rsid w:val="005A55ED"/>
    <w:rsid w:val="005A59EF"/>
    <w:rsid w:val="005A5A44"/>
    <w:rsid w:val="005A60DF"/>
    <w:rsid w:val="005A7595"/>
    <w:rsid w:val="005A7D14"/>
    <w:rsid w:val="005A7E89"/>
    <w:rsid w:val="005B0111"/>
    <w:rsid w:val="005B06B4"/>
    <w:rsid w:val="005B1223"/>
    <w:rsid w:val="005B1B2E"/>
    <w:rsid w:val="005B1C91"/>
    <w:rsid w:val="005B2DED"/>
    <w:rsid w:val="005B3B81"/>
    <w:rsid w:val="005B4CC4"/>
    <w:rsid w:val="005B5991"/>
    <w:rsid w:val="005B7077"/>
    <w:rsid w:val="005B7290"/>
    <w:rsid w:val="005B7675"/>
    <w:rsid w:val="005C0388"/>
    <w:rsid w:val="005C0CFA"/>
    <w:rsid w:val="005C1F10"/>
    <w:rsid w:val="005C23AF"/>
    <w:rsid w:val="005C262D"/>
    <w:rsid w:val="005C2E5A"/>
    <w:rsid w:val="005C41AF"/>
    <w:rsid w:val="005C53C9"/>
    <w:rsid w:val="005C5807"/>
    <w:rsid w:val="005C6165"/>
    <w:rsid w:val="005C6868"/>
    <w:rsid w:val="005C6F09"/>
    <w:rsid w:val="005C73EB"/>
    <w:rsid w:val="005C761A"/>
    <w:rsid w:val="005C7C8B"/>
    <w:rsid w:val="005D0C11"/>
    <w:rsid w:val="005D14FB"/>
    <w:rsid w:val="005D2625"/>
    <w:rsid w:val="005D372E"/>
    <w:rsid w:val="005D4178"/>
    <w:rsid w:val="005D4573"/>
    <w:rsid w:val="005D4A19"/>
    <w:rsid w:val="005D4C62"/>
    <w:rsid w:val="005D4E4A"/>
    <w:rsid w:val="005D6567"/>
    <w:rsid w:val="005D68C3"/>
    <w:rsid w:val="005D7696"/>
    <w:rsid w:val="005D77A0"/>
    <w:rsid w:val="005D7E02"/>
    <w:rsid w:val="005E035F"/>
    <w:rsid w:val="005E1DF1"/>
    <w:rsid w:val="005E260A"/>
    <w:rsid w:val="005E448B"/>
    <w:rsid w:val="005E44A9"/>
    <w:rsid w:val="005E66BA"/>
    <w:rsid w:val="005E6E20"/>
    <w:rsid w:val="005E783F"/>
    <w:rsid w:val="005E79CF"/>
    <w:rsid w:val="005F04C9"/>
    <w:rsid w:val="005F2A2E"/>
    <w:rsid w:val="005F30B6"/>
    <w:rsid w:val="005F343B"/>
    <w:rsid w:val="005F43A5"/>
    <w:rsid w:val="005F4633"/>
    <w:rsid w:val="005F4CF2"/>
    <w:rsid w:val="005F583A"/>
    <w:rsid w:val="005F5C6A"/>
    <w:rsid w:val="005F5F07"/>
    <w:rsid w:val="005F6F41"/>
    <w:rsid w:val="005F7255"/>
    <w:rsid w:val="005F7505"/>
    <w:rsid w:val="00600248"/>
    <w:rsid w:val="006002C7"/>
    <w:rsid w:val="00600426"/>
    <w:rsid w:val="006005E4"/>
    <w:rsid w:val="00601C5F"/>
    <w:rsid w:val="006029DA"/>
    <w:rsid w:val="00602DA1"/>
    <w:rsid w:val="0060504A"/>
    <w:rsid w:val="00605F60"/>
    <w:rsid w:val="0060662B"/>
    <w:rsid w:val="00606679"/>
    <w:rsid w:val="00607270"/>
    <w:rsid w:val="00611AFF"/>
    <w:rsid w:val="00611C6C"/>
    <w:rsid w:val="00611D6C"/>
    <w:rsid w:val="00612218"/>
    <w:rsid w:val="00613021"/>
    <w:rsid w:val="006135EA"/>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CB"/>
    <w:rsid w:val="006360EF"/>
    <w:rsid w:val="0063697F"/>
    <w:rsid w:val="00636B42"/>
    <w:rsid w:val="00637B74"/>
    <w:rsid w:val="00641B1C"/>
    <w:rsid w:val="0064391D"/>
    <w:rsid w:val="00643C5D"/>
    <w:rsid w:val="00643D49"/>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5F2"/>
    <w:rsid w:val="00656686"/>
    <w:rsid w:val="00657D18"/>
    <w:rsid w:val="00657DE1"/>
    <w:rsid w:val="00660228"/>
    <w:rsid w:val="006605E7"/>
    <w:rsid w:val="00660F54"/>
    <w:rsid w:val="00661BDB"/>
    <w:rsid w:val="00662340"/>
    <w:rsid w:val="00662B20"/>
    <w:rsid w:val="0066321B"/>
    <w:rsid w:val="006632EE"/>
    <w:rsid w:val="006637E6"/>
    <w:rsid w:val="00663D4F"/>
    <w:rsid w:val="00664516"/>
    <w:rsid w:val="00665241"/>
    <w:rsid w:val="0066646A"/>
    <w:rsid w:val="0066706B"/>
    <w:rsid w:val="006672F7"/>
    <w:rsid w:val="006675CD"/>
    <w:rsid w:val="00667C82"/>
    <w:rsid w:val="00670686"/>
    <w:rsid w:val="00670CF7"/>
    <w:rsid w:val="0067262A"/>
    <w:rsid w:val="00672A95"/>
    <w:rsid w:val="00672B47"/>
    <w:rsid w:val="00673D3C"/>
    <w:rsid w:val="00674B45"/>
    <w:rsid w:val="00674C40"/>
    <w:rsid w:val="00674CF3"/>
    <w:rsid w:val="0067530D"/>
    <w:rsid w:val="00675DB2"/>
    <w:rsid w:val="00675E38"/>
    <w:rsid w:val="0067736F"/>
    <w:rsid w:val="0068016A"/>
    <w:rsid w:val="0068089E"/>
    <w:rsid w:val="00681AD8"/>
    <w:rsid w:val="00681CE5"/>
    <w:rsid w:val="00681E40"/>
    <w:rsid w:val="00682647"/>
    <w:rsid w:val="006832C6"/>
    <w:rsid w:val="0068499C"/>
    <w:rsid w:val="00684C67"/>
    <w:rsid w:val="00684D9B"/>
    <w:rsid w:val="0068645C"/>
    <w:rsid w:val="00691D2C"/>
    <w:rsid w:val="006922CB"/>
    <w:rsid w:val="00692739"/>
    <w:rsid w:val="00692973"/>
    <w:rsid w:val="00692AD7"/>
    <w:rsid w:val="00692D20"/>
    <w:rsid w:val="0069448E"/>
    <w:rsid w:val="00695F36"/>
    <w:rsid w:val="006965D3"/>
    <w:rsid w:val="00697556"/>
    <w:rsid w:val="0069757F"/>
    <w:rsid w:val="00697FD0"/>
    <w:rsid w:val="006A01FE"/>
    <w:rsid w:val="006A154F"/>
    <w:rsid w:val="006A161A"/>
    <w:rsid w:val="006A1C3B"/>
    <w:rsid w:val="006A3295"/>
    <w:rsid w:val="006A4820"/>
    <w:rsid w:val="006A4E34"/>
    <w:rsid w:val="006A5307"/>
    <w:rsid w:val="006A5F25"/>
    <w:rsid w:val="006A69D0"/>
    <w:rsid w:val="006A6AC8"/>
    <w:rsid w:val="006A715F"/>
    <w:rsid w:val="006A7E8C"/>
    <w:rsid w:val="006B04D6"/>
    <w:rsid w:val="006B1C64"/>
    <w:rsid w:val="006B1FB2"/>
    <w:rsid w:val="006B2572"/>
    <w:rsid w:val="006B3017"/>
    <w:rsid w:val="006B381F"/>
    <w:rsid w:val="006B3CBF"/>
    <w:rsid w:val="006B3F46"/>
    <w:rsid w:val="006B4647"/>
    <w:rsid w:val="006B4AB1"/>
    <w:rsid w:val="006B4C2B"/>
    <w:rsid w:val="006B5916"/>
    <w:rsid w:val="006B5D87"/>
    <w:rsid w:val="006B5FB5"/>
    <w:rsid w:val="006B60D3"/>
    <w:rsid w:val="006B6374"/>
    <w:rsid w:val="006B6D47"/>
    <w:rsid w:val="006C0210"/>
    <w:rsid w:val="006C2525"/>
    <w:rsid w:val="006C2738"/>
    <w:rsid w:val="006C2ED8"/>
    <w:rsid w:val="006C2F36"/>
    <w:rsid w:val="006C436F"/>
    <w:rsid w:val="006C4A97"/>
    <w:rsid w:val="006C4B48"/>
    <w:rsid w:val="006C4F45"/>
    <w:rsid w:val="006C540F"/>
    <w:rsid w:val="006C5675"/>
    <w:rsid w:val="006C5AFE"/>
    <w:rsid w:val="006C709E"/>
    <w:rsid w:val="006C7686"/>
    <w:rsid w:val="006D0391"/>
    <w:rsid w:val="006D04C9"/>
    <w:rsid w:val="006D0A7A"/>
    <w:rsid w:val="006D0D5B"/>
    <w:rsid w:val="006D12BE"/>
    <w:rsid w:val="006D153F"/>
    <w:rsid w:val="006D305D"/>
    <w:rsid w:val="006D305F"/>
    <w:rsid w:val="006D34CD"/>
    <w:rsid w:val="006D38E0"/>
    <w:rsid w:val="006D3AE2"/>
    <w:rsid w:val="006D4F2E"/>
    <w:rsid w:val="006D6067"/>
    <w:rsid w:val="006D63C8"/>
    <w:rsid w:val="006D6A85"/>
    <w:rsid w:val="006E0C64"/>
    <w:rsid w:val="006E1383"/>
    <w:rsid w:val="006E1C54"/>
    <w:rsid w:val="006E2265"/>
    <w:rsid w:val="006E2A04"/>
    <w:rsid w:val="006E320B"/>
    <w:rsid w:val="006E3361"/>
    <w:rsid w:val="006E3D5F"/>
    <w:rsid w:val="006E42FB"/>
    <w:rsid w:val="006E45AE"/>
    <w:rsid w:val="006E5598"/>
    <w:rsid w:val="006E6484"/>
    <w:rsid w:val="006E65AE"/>
    <w:rsid w:val="006E73DE"/>
    <w:rsid w:val="006E78EE"/>
    <w:rsid w:val="006E7DE0"/>
    <w:rsid w:val="006F0827"/>
    <w:rsid w:val="006F1DB5"/>
    <w:rsid w:val="006F2BB0"/>
    <w:rsid w:val="006F2D8B"/>
    <w:rsid w:val="006F30E0"/>
    <w:rsid w:val="006F3BDC"/>
    <w:rsid w:val="006F3CE0"/>
    <w:rsid w:val="006F4C06"/>
    <w:rsid w:val="006F5797"/>
    <w:rsid w:val="006F5B60"/>
    <w:rsid w:val="006F5FEE"/>
    <w:rsid w:val="006F6855"/>
    <w:rsid w:val="006F6D2C"/>
    <w:rsid w:val="006F6D95"/>
    <w:rsid w:val="006F6E72"/>
    <w:rsid w:val="006F75FB"/>
    <w:rsid w:val="006F7700"/>
    <w:rsid w:val="006F7765"/>
    <w:rsid w:val="007009B9"/>
    <w:rsid w:val="007019FA"/>
    <w:rsid w:val="0070233A"/>
    <w:rsid w:val="00702880"/>
    <w:rsid w:val="0070296B"/>
    <w:rsid w:val="00702FC2"/>
    <w:rsid w:val="007032CF"/>
    <w:rsid w:val="00704166"/>
    <w:rsid w:val="00704312"/>
    <w:rsid w:val="00704FB4"/>
    <w:rsid w:val="00705269"/>
    <w:rsid w:val="00705BE4"/>
    <w:rsid w:val="00706D65"/>
    <w:rsid w:val="00706F13"/>
    <w:rsid w:val="007072E8"/>
    <w:rsid w:val="00707D58"/>
    <w:rsid w:val="007119BC"/>
    <w:rsid w:val="007119ED"/>
    <w:rsid w:val="00711BF4"/>
    <w:rsid w:val="00715392"/>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55C"/>
    <w:rsid w:val="00730825"/>
    <w:rsid w:val="0073086C"/>
    <w:rsid w:val="00730C9E"/>
    <w:rsid w:val="007315E6"/>
    <w:rsid w:val="00732179"/>
    <w:rsid w:val="007322DC"/>
    <w:rsid w:val="00732A40"/>
    <w:rsid w:val="007331B2"/>
    <w:rsid w:val="00733551"/>
    <w:rsid w:val="00735302"/>
    <w:rsid w:val="00736B04"/>
    <w:rsid w:val="00736FC9"/>
    <w:rsid w:val="007400D7"/>
    <w:rsid w:val="007401F7"/>
    <w:rsid w:val="00740446"/>
    <w:rsid w:val="0074082F"/>
    <w:rsid w:val="00740ADA"/>
    <w:rsid w:val="00740B56"/>
    <w:rsid w:val="007426ED"/>
    <w:rsid w:val="00742C64"/>
    <w:rsid w:val="007438A9"/>
    <w:rsid w:val="00743D3C"/>
    <w:rsid w:val="0074491E"/>
    <w:rsid w:val="0074568F"/>
    <w:rsid w:val="00746066"/>
    <w:rsid w:val="007467F1"/>
    <w:rsid w:val="00746862"/>
    <w:rsid w:val="00746BF4"/>
    <w:rsid w:val="00751155"/>
    <w:rsid w:val="00751879"/>
    <w:rsid w:val="0075298A"/>
    <w:rsid w:val="00752A24"/>
    <w:rsid w:val="00753E59"/>
    <w:rsid w:val="00753EE3"/>
    <w:rsid w:val="00754BEC"/>
    <w:rsid w:val="00755165"/>
    <w:rsid w:val="00756295"/>
    <w:rsid w:val="00756823"/>
    <w:rsid w:val="00757365"/>
    <w:rsid w:val="00757E52"/>
    <w:rsid w:val="00757F03"/>
    <w:rsid w:val="00761086"/>
    <w:rsid w:val="00761659"/>
    <w:rsid w:val="0076247A"/>
    <w:rsid w:val="00762BAC"/>
    <w:rsid w:val="007640C9"/>
    <w:rsid w:val="0076581E"/>
    <w:rsid w:val="00767414"/>
    <w:rsid w:val="00767540"/>
    <w:rsid w:val="00767B58"/>
    <w:rsid w:val="007704E4"/>
    <w:rsid w:val="00770818"/>
    <w:rsid w:val="007722A5"/>
    <w:rsid w:val="00772807"/>
    <w:rsid w:val="00772AD2"/>
    <w:rsid w:val="00772DA8"/>
    <w:rsid w:val="00773BA2"/>
    <w:rsid w:val="00775964"/>
    <w:rsid w:val="007765FE"/>
    <w:rsid w:val="007774A8"/>
    <w:rsid w:val="007814D0"/>
    <w:rsid w:val="0078249C"/>
    <w:rsid w:val="007842C3"/>
    <w:rsid w:val="007843F9"/>
    <w:rsid w:val="00784B67"/>
    <w:rsid w:val="00787580"/>
    <w:rsid w:val="0078760A"/>
    <w:rsid w:val="007879AF"/>
    <w:rsid w:val="00787FC1"/>
    <w:rsid w:val="00791072"/>
    <w:rsid w:val="00791FE2"/>
    <w:rsid w:val="00793E29"/>
    <w:rsid w:val="00793F3E"/>
    <w:rsid w:val="00794EF7"/>
    <w:rsid w:val="00795585"/>
    <w:rsid w:val="00795BFB"/>
    <w:rsid w:val="0079614C"/>
    <w:rsid w:val="00797044"/>
    <w:rsid w:val="00797093"/>
    <w:rsid w:val="00797368"/>
    <w:rsid w:val="00797582"/>
    <w:rsid w:val="007A0BBA"/>
    <w:rsid w:val="007A0E9F"/>
    <w:rsid w:val="007A25C5"/>
    <w:rsid w:val="007A375E"/>
    <w:rsid w:val="007A5482"/>
    <w:rsid w:val="007A687C"/>
    <w:rsid w:val="007A77AA"/>
    <w:rsid w:val="007B0D3E"/>
    <w:rsid w:val="007B2760"/>
    <w:rsid w:val="007B3764"/>
    <w:rsid w:val="007B4F9F"/>
    <w:rsid w:val="007B6360"/>
    <w:rsid w:val="007B6E55"/>
    <w:rsid w:val="007B7A53"/>
    <w:rsid w:val="007C2022"/>
    <w:rsid w:val="007C2489"/>
    <w:rsid w:val="007C394C"/>
    <w:rsid w:val="007C3BCB"/>
    <w:rsid w:val="007C41A1"/>
    <w:rsid w:val="007C534C"/>
    <w:rsid w:val="007C54E6"/>
    <w:rsid w:val="007C6336"/>
    <w:rsid w:val="007D0033"/>
    <w:rsid w:val="007D1D8D"/>
    <w:rsid w:val="007D1EE9"/>
    <w:rsid w:val="007D22C7"/>
    <w:rsid w:val="007D2326"/>
    <w:rsid w:val="007D2F9B"/>
    <w:rsid w:val="007D31F1"/>
    <w:rsid w:val="007D37AD"/>
    <w:rsid w:val="007D37CF"/>
    <w:rsid w:val="007D41AD"/>
    <w:rsid w:val="007D44E9"/>
    <w:rsid w:val="007D467F"/>
    <w:rsid w:val="007D4A2B"/>
    <w:rsid w:val="007D512F"/>
    <w:rsid w:val="007D6341"/>
    <w:rsid w:val="007D6BA1"/>
    <w:rsid w:val="007D768A"/>
    <w:rsid w:val="007E06F9"/>
    <w:rsid w:val="007E0A6B"/>
    <w:rsid w:val="007E18DB"/>
    <w:rsid w:val="007E1F80"/>
    <w:rsid w:val="007E2B94"/>
    <w:rsid w:val="007E3348"/>
    <w:rsid w:val="007E39A6"/>
    <w:rsid w:val="007E4360"/>
    <w:rsid w:val="007E44F9"/>
    <w:rsid w:val="007E5E96"/>
    <w:rsid w:val="007E5FA5"/>
    <w:rsid w:val="007F1A26"/>
    <w:rsid w:val="007F2B73"/>
    <w:rsid w:val="007F3868"/>
    <w:rsid w:val="007F4922"/>
    <w:rsid w:val="007F6348"/>
    <w:rsid w:val="007F6C54"/>
    <w:rsid w:val="008000CB"/>
    <w:rsid w:val="0080021C"/>
    <w:rsid w:val="00801C76"/>
    <w:rsid w:val="00802081"/>
    <w:rsid w:val="00802104"/>
    <w:rsid w:val="00802A65"/>
    <w:rsid w:val="00802BDC"/>
    <w:rsid w:val="00803669"/>
    <w:rsid w:val="00805553"/>
    <w:rsid w:val="00805F76"/>
    <w:rsid w:val="00806C01"/>
    <w:rsid w:val="00810B1E"/>
    <w:rsid w:val="008112E8"/>
    <w:rsid w:val="0081130B"/>
    <w:rsid w:val="0081331D"/>
    <w:rsid w:val="008148CC"/>
    <w:rsid w:val="00814EBD"/>
    <w:rsid w:val="008150E7"/>
    <w:rsid w:val="00815434"/>
    <w:rsid w:val="008154CD"/>
    <w:rsid w:val="008165E3"/>
    <w:rsid w:val="008173AB"/>
    <w:rsid w:val="008176D6"/>
    <w:rsid w:val="008211A4"/>
    <w:rsid w:val="00822761"/>
    <w:rsid w:val="00822798"/>
    <w:rsid w:val="0082302B"/>
    <w:rsid w:val="00823994"/>
    <w:rsid w:val="00823A07"/>
    <w:rsid w:val="00826208"/>
    <w:rsid w:val="00827924"/>
    <w:rsid w:val="00827978"/>
    <w:rsid w:val="008305A9"/>
    <w:rsid w:val="00831285"/>
    <w:rsid w:val="00831558"/>
    <w:rsid w:val="00831A1E"/>
    <w:rsid w:val="00831F9C"/>
    <w:rsid w:val="0083352E"/>
    <w:rsid w:val="00834625"/>
    <w:rsid w:val="008348CB"/>
    <w:rsid w:val="00834B60"/>
    <w:rsid w:val="00834B94"/>
    <w:rsid w:val="00834E68"/>
    <w:rsid w:val="0083537F"/>
    <w:rsid w:val="0083592F"/>
    <w:rsid w:val="0083655D"/>
    <w:rsid w:val="00836BD5"/>
    <w:rsid w:val="008372C9"/>
    <w:rsid w:val="00837B9A"/>
    <w:rsid w:val="00837C26"/>
    <w:rsid w:val="0084048D"/>
    <w:rsid w:val="00841833"/>
    <w:rsid w:val="0084194F"/>
    <w:rsid w:val="00843746"/>
    <w:rsid w:val="00843FC9"/>
    <w:rsid w:val="00844D9E"/>
    <w:rsid w:val="00845DB3"/>
    <w:rsid w:val="00845DED"/>
    <w:rsid w:val="008464D0"/>
    <w:rsid w:val="00846B96"/>
    <w:rsid w:val="00847151"/>
    <w:rsid w:val="00847443"/>
    <w:rsid w:val="00847C7F"/>
    <w:rsid w:val="008501D2"/>
    <w:rsid w:val="00850ADD"/>
    <w:rsid w:val="00851A70"/>
    <w:rsid w:val="008520BC"/>
    <w:rsid w:val="008523F0"/>
    <w:rsid w:val="00852D35"/>
    <w:rsid w:val="008540A0"/>
    <w:rsid w:val="0085467A"/>
    <w:rsid w:val="00854C37"/>
    <w:rsid w:val="008554C7"/>
    <w:rsid w:val="008563D3"/>
    <w:rsid w:val="0085706C"/>
    <w:rsid w:val="008577C6"/>
    <w:rsid w:val="00860542"/>
    <w:rsid w:val="008611E7"/>
    <w:rsid w:val="008625F4"/>
    <w:rsid w:val="0086325D"/>
    <w:rsid w:val="00864029"/>
    <w:rsid w:val="0086407B"/>
    <w:rsid w:val="00867644"/>
    <w:rsid w:val="0087102C"/>
    <w:rsid w:val="008712A7"/>
    <w:rsid w:val="0087140E"/>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3CDB"/>
    <w:rsid w:val="00894315"/>
    <w:rsid w:val="00894DA1"/>
    <w:rsid w:val="0089710B"/>
    <w:rsid w:val="00897A21"/>
    <w:rsid w:val="00897C75"/>
    <w:rsid w:val="00897DD2"/>
    <w:rsid w:val="008A0684"/>
    <w:rsid w:val="008A1904"/>
    <w:rsid w:val="008A1E6B"/>
    <w:rsid w:val="008A30C6"/>
    <w:rsid w:val="008A39AC"/>
    <w:rsid w:val="008A39CF"/>
    <w:rsid w:val="008A3C5D"/>
    <w:rsid w:val="008A585C"/>
    <w:rsid w:val="008A5F75"/>
    <w:rsid w:val="008A6A4A"/>
    <w:rsid w:val="008A6F3E"/>
    <w:rsid w:val="008B0C3E"/>
    <w:rsid w:val="008B1BD7"/>
    <w:rsid w:val="008B1DFE"/>
    <w:rsid w:val="008B2887"/>
    <w:rsid w:val="008B2B30"/>
    <w:rsid w:val="008B3D54"/>
    <w:rsid w:val="008B4F4D"/>
    <w:rsid w:val="008B58E2"/>
    <w:rsid w:val="008B626D"/>
    <w:rsid w:val="008B7B11"/>
    <w:rsid w:val="008B7FC2"/>
    <w:rsid w:val="008C1130"/>
    <w:rsid w:val="008C1696"/>
    <w:rsid w:val="008C1E83"/>
    <w:rsid w:val="008C208C"/>
    <w:rsid w:val="008C20C8"/>
    <w:rsid w:val="008C2EDE"/>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38D4"/>
    <w:rsid w:val="008D3D17"/>
    <w:rsid w:val="008D464A"/>
    <w:rsid w:val="008D48E8"/>
    <w:rsid w:val="008D4C38"/>
    <w:rsid w:val="008D74F5"/>
    <w:rsid w:val="008D7A9B"/>
    <w:rsid w:val="008E05C9"/>
    <w:rsid w:val="008E2069"/>
    <w:rsid w:val="008E27A2"/>
    <w:rsid w:val="008E3366"/>
    <w:rsid w:val="008E43D1"/>
    <w:rsid w:val="008E4AAD"/>
    <w:rsid w:val="008E50B2"/>
    <w:rsid w:val="008E56B1"/>
    <w:rsid w:val="008E61CB"/>
    <w:rsid w:val="008E6AE6"/>
    <w:rsid w:val="008E76AC"/>
    <w:rsid w:val="008E7C2E"/>
    <w:rsid w:val="008E7C4E"/>
    <w:rsid w:val="008F073C"/>
    <w:rsid w:val="008F1710"/>
    <w:rsid w:val="008F1713"/>
    <w:rsid w:val="008F21F6"/>
    <w:rsid w:val="008F2295"/>
    <w:rsid w:val="008F28A6"/>
    <w:rsid w:val="008F3972"/>
    <w:rsid w:val="008F63FD"/>
    <w:rsid w:val="008F6E27"/>
    <w:rsid w:val="008F7486"/>
    <w:rsid w:val="00901111"/>
    <w:rsid w:val="0090328E"/>
    <w:rsid w:val="00903A17"/>
    <w:rsid w:val="00905E98"/>
    <w:rsid w:val="00906571"/>
    <w:rsid w:val="00906D10"/>
    <w:rsid w:val="009076C7"/>
    <w:rsid w:val="00910030"/>
    <w:rsid w:val="00910C4E"/>
    <w:rsid w:val="00910E8E"/>
    <w:rsid w:val="009126D4"/>
    <w:rsid w:val="00912D8C"/>
    <w:rsid w:val="009138F3"/>
    <w:rsid w:val="00913D26"/>
    <w:rsid w:val="009141C9"/>
    <w:rsid w:val="00914712"/>
    <w:rsid w:val="00914D6C"/>
    <w:rsid w:val="00915D50"/>
    <w:rsid w:val="00920416"/>
    <w:rsid w:val="00920670"/>
    <w:rsid w:val="00920C3D"/>
    <w:rsid w:val="00921B3A"/>
    <w:rsid w:val="00921FE1"/>
    <w:rsid w:val="0092279E"/>
    <w:rsid w:val="00923677"/>
    <w:rsid w:val="009240B7"/>
    <w:rsid w:val="0092412E"/>
    <w:rsid w:val="00925024"/>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BF4"/>
    <w:rsid w:val="00950F0C"/>
    <w:rsid w:val="00951123"/>
    <w:rsid w:val="0095133D"/>
    <w:rsid w:val="009516B8"/>
    <w:rsid w:val="00951F79"/>
    <w:rsid w:val="00952732"/>
    <w:rsid w:val="00952A8C"/>
    <w:rsid w:val="0095363B"/>
    <w:rsid w:val="0095512C"/>
    <w:rsid w:val="00955D73"/>
    <w:rsid w:val="009561BF"/>
    <w:rsid w:val="0095640F"/>
    <w:rsid w:val="00956824"/>
    <w:rsid w:val="00956A84"/>
    <w:rsid w:val="00956D08"/>
    <w:rsid w:val="00957251"/>
    <w:rsid w:val="009577FB"/>
    <w:rsid w:val="009611AB"/>
    <w:rsid w:val="00961D16"/>
    <w:rsid w:val="00961E1B"/>
    <w:rsid w:val="0096257C"/>
    <w:rsid w:val="00962B20"/>
    <w:rsid w:val="009637C0"/>
    <w:rsid w:val="00966220"/>
    <w:rsid w:val="00967121"/>
    <w:rsid w:val="00967D49"/>
    <w:rsid w:val="00967DCA"/>
    <w:rsid w:val="009701E7"/>
    <w:rsid w:val="00970C67"/>
    <w:rsid w:val="009712D9"/>
    <w:rsid w:val="009714A1"/>
    <w:rsid w:val="00972B91"/>
    <w:rsid w:val="0097361C"/>
    <w:rsid w:val="00973AA1"/>
    <w:rsid w:val="00974AB5"/>
    <w:rsid w:val="00974D5B"/>
    <w:rsid w:val="00975962"/>
    <w:rsid w:val="00976D32"/>
    <w:rsid w:val="00980814"/>
    <w:rsid w:val="00980D18"/>
    <w:rsid w:val="009814D9"/>
    <w:rsid w:val="00981978"/>
    <w:rsid w:val="00982FAD"/>
    <w:rsid w:val="00983765"/>
    <w:rsid w:val="00983B11"/>
    <w:rsid w:val="00984132"/>
    <w:rsid w:val="00984E57"/>
    <w:rsid w:val="00984F93"/>
    <w:rsid w:val="00985B19"/>
    <w:rsid w:val="0098706D"/>
    <w:rsid w:val="00987B1B"/>
    <w:rsid w:val="009904B6"/>
    <w:rsid w:val="00990AF3"/>
    <w:rsid w:val="00992552"/>
    <w:rsid w:val="009925F7"/>
    <w:rsid w:val="009935FB"/>
    <w:rsid w:val="009943D1"/>
    <w:rsid w:val="009945A8"/>
    <w:rsid w:val="009946FB"/>
    <w:rsid w:val="0099486C"/>
    <w:rsid w:val="00994981"/>
    <w:rsid w:val="009956E8"/>
    <w:rsid w:val="00995733"/>
    <w:rsid w:val="00995AB9"/>
    <w:rsid w:val="00996628"/>
    <w:rsid w:val="00996C0B"/>
    <w:rsid w:val="00997BAE"/>
    <w:rsid w:val="009A04AA"/>
    <w:rsid w:val="009A235F"/>
    <w:rsid w:val="009A2513"/>
    <w:rsid w:val="009A4B63"/>
    <w:rsid w:val="009A507B"/>
    <w:rsid w:val="009A59F0"/>
    <w:rsid w:val="009A72D3"/>
    <w:rsid w:val="009B0B48"/>
    <w:rsid w:val="009B0F29"/>
    <w:rsid w:val="009B133D"/>
    <w:rsid w:val="009B1784"/>
    <w:rsid w:val="009B2CA8"/>
    <w:rsid w:val="009B2D8A"/>
    <w:rsid w:val="009B3836"/>
    <w:rsid w:val="009B395F"/>
    <w:rsid w:val="009B4AE4"/>
    <w:rsid w:val="009B4C00"/>
    <w:rsid w:val="009B5845"/>
    <w:rsid w:val="009B639C"/>
    <w:rsid w:val="009B7C66"/>
    <w:rsid w:val="009B7DEB"/>
    <w:rsid w:val="009B7F09"/>
    <w:rsid w:val="009C162B"/>
    <w:rsid w:val="009C2EEC"/>
    <w:rsid w:val="009C348E"/>
    <w:rsid w:val="009C3A01"/>
    <w:rsid w:val="009C4543"/>
    <w:rsid w:val="009C49AB"/>
    <w:rsid w:val="009C510C"/>
    <w:rsid w:val="009C5A0A"/>
    <w:rsid w:val="009C5A21"/>
    <w:rsid w:val="009C5B8E"/>
    <w:rsid w:val="009C5BF2"/>
    <w:rsid w:val="009C6488"/>
    <w:rsid w:val="009C67DE"/>
    <w:rsid w:val="009D011C"/>
    <w:rsid w:val="009D03C2"/>
    <w:rsid w:val="009D138E"/>
    <w:rsid w:val="009D1806"/>
    <w:rsid w:val="009D251F"/>
    <w:rsid w:val="009D2FC7"/>
    <w:rsid w:val="009D409B"/>
    <w:rsid w:val="009D4A1A"/>
    <w:rsid w:val="009D54C2"/>
    <w:rsid w:val="009D5526"/>
    <w:rsid w:val="009D65E7"/>
    <w:rsid w:val="009D692A"/>
    <w:rsid w:val="009D69D2"/>
    <w:rsid w:val="009D7F04"/>
    <w:rsid w:val="009E0C30"/>
    <w:rsid w:val="009E0D7E"/>
    <w:rsid w:val="009E11C8"/>
    <w:rsid w:val="009E1365"/>
    <w:rsid w:val="009E2F5E"/>
    <w:rsid w:val="009E3730"/>
    <w:rsid w:val="009E3948"/>
    <w:rsid w:val="009E3A5B"/>
    <w:rsid w:val="009E3B64"/>
    <w:rsid w:val="009E4DFC"/>
    <w:rsid w:val="009E56B1"/>
    <w:rsid w:val="009E5E19"/>
    <w:rsid w:val="009E6C87"/>
    <w:rsid w:val="009F0D33"/>
    <w:rsid w:val="009F131B"/>
    <w:rsid w:val="009F1F5F"/>
    <w:rsid w:val="009F3167"/>
    <w:rsid w:val="009F3F25"/>
    <w:rsid w:val="009F3F46"/>
    <w:rsid w:val="009F40BC"/>
    <w:rsid w:val="009F415C"/>
    <w:rsid w:val="009F471E"/>
    <w:rsid w:val="009F492A"/>
    <w:rsid w:val="009F4A54"/>
    <w:rsid w:val="009F4BEC"/>
    <w:rsid w:val="009F55F1"/>
    <w:rsid w:val="009F5BAB"/>
    <w:rsid w:val="009F609F"/>
    <w:rsid w:val="009F7D37"/>
    <w:rsid w:val="00A0161E"/>
    <w:rsid w:val="00A02436"/>
    <w:rsid w:val="00A02534"/>
    <w:rsid w:val="00A031DE"/>
    <w:rsid w:val="00A047C7"/>
    <w:rsid w:val="00A0489D"/>
    <w:rsid w:val="00A04D6F"/>
    <w:rsid w:val="00A06156"/>
    <w:rsid w:val="00A0795F"/>
    <w:rsid w:val="00A07D93"/>
    <w:rsid w:val="00A1006B"/>
    <w:rsid w:val="00A10908"/>
    <w:rsid w:val="00A109B4"/>
    <w:rsid w:val="00A11391"/>
    <w:rsid w:val="00A13C50"/>
    <w:rsid w:val="00A16BA2"/>
    <w:rsid w:val="00A17286"/>
    <w:rsid w:val="00A17E61"/>
    <w:rsid w:val="00A17F8E"/>
    <w:rsid w:val="00A20110"/>
    <w:rsid w:val="00A20331"/>
    <w:rsid w:val="00A2147F"/>
    <w:rsid w:val="00A21A33"/>
    <w:rsid w:val="00A2226F"/>
    <w:rsid w:val="00A22FAA"/>
    <w:rsid w:val="00A23818"/>
    <w:rsid w:val="00A23A1B"/>
    <w:rsid w:val="00A2542F"/>
    <w:rsid w:val="00A25FD7"/>
    <w:rsid w:val="00A26496"/>
    <w:rsid w:val="00A264D2"/>
    <w:rsid w:val="00A26A5A"/>
    <w:rsid w:val="00A26DBC"/>
    <w:rsid w:val="00A27385"/>
    <w:rsid w:val="00A274EB"/>
    <w:rsid w:val="00A309DC"/>
    <w:rsid w:val="00A31776"/>
    <w:rsid w:val="00A31B5B"/>
    <w:rsid w:val="00A32C46"/>
    <w:rsid w:val="00A3618A"/>
    <w:rsid w:val="00A36412"/>
    <w:rsid w:val="00A419D6"/>
    <w:rsid w:val="00A41FA4"/>
    <w:rsid w:val="00A42768"/>
    <w:rsid w:val="00A43AFF"/>
    <w:rsid w:val="00A43EC4"/>
    <w:rsid w:val="00A44502"/>
    <w:rsid w:val="00A44586"/>
    <w:rsid w:val="00A45239"/>
    <w:rsid w:val="00A453CE"/>
    <w:rsid w:val="00A469E4"/>
    <w:rsid w:val="00A47AD0"/>
    <w:rsid w:val="00A50F04"/>
    <w:rsid w:val="00A51D8F"/>
    <w:rsid w:val="00A51E0C"/>
    <w:rsid w:val="00A52145"/>
    <w:rsid w:val="00A53402"/>
    <w:rsid w:val="00A540E3"/>
    <w:rsid w:val="00A5480F"/>
    <w:rsid w:val="00A55185"/>
    <w:rsid w:val="00A5545A"/>
    <w:rsid w:val="00A555BE"/>
    <w:rsid w:val="00A559C8"/>
    <w:rsid w:val="00A55E42"/>
    <w:rsid w:val="00A60B88"/>
    <w:rsid w:val="00A6127C"/>
    <w:rsid w:val="00A62A9D"/>
    <w:rsid w:val="00A645EE"/>
    <w:rsid w:val="00A647FE"/>
    <w:rsid w:val="00A673C4"/>
    <w:rsid w:val="00A67947"/>
    <w:rsid w:val="00A70108"/>
    <w:rsid w:val="00A71343"/>
    <w:rsid w:val="00A716F6"/>
    <w:rsid w:val="00A717FA"/>
    <w:rsid w:val="00A71CC8"/>
    <w:rsid w:val="00A72AE2"/>
    <w:rsid w:val="00A72AFC"/>
    <w:rsid w:val="00A75649"/>
    <w:rsid w:val="00A766E2"/>
    <w:rsid w:val="00A76D31"/>
    <w:rsid w:val="00A770CC"/>
    <w:rsid w:val="00A7793A"/>
    <w:rsid w:val="00A81C1B"/>
    <w:rsid w:val="00A824D1"/>
    <w:rsid w:val="00A82E76"/>
    <w:rsid w:val="00A82EF9"/>
    <w:rsid w:val="00A82F6B"/>
    <w:rsid w:val="00A83C4B"/>
    <w:rsid w:val="00A84A96"/>
    <w:rsid w:val="00A84DAD"/>
    <w:rsid w:val="00A8538A"/>
    <w:rsid w:val="00A85A53"/>
    <w:rsid w:val="00A85AA2"/>
    <w:rsid w:val="00A85E18"/>
    <w:rsid w:val="00A86149"/>
    <w:rsid w:val="00A87AAD"/>
    <w:rsid w:val="00A91BF5"/>
    <w:rsid w:val="00A91C07"/>
    <w:rsid w:val="00A91C99"/>
    <w:rsid w:val="00A91E4F"/>
    <w:rsid w:val="00A92969"/>
    <w:rsid w:val="00A93759"/>
    <w:rsid w:val="00A948B5"/>
    <w:rsid w:val="00A94D21"/>
    <w:rsid w:val="00A960F0"/>
    <w:rsid w:val="00A96741"/>
    <w:rsid w:val="00A96971"/>
    <w:rsid w:val="00A97031"/>
    <w:rsid w:val="00A97480"/>
    <w:rsid w:val="00A97FD8"/>
    <w:rsid w:val="00AA00E0"/>
    <w:rsid w:val="00AA010D"/>
    <w:rsid w:val="00AA08CD"/>
    <w:rsid w:val="00AA0956"/>
    <w:rsid w:val="00AA0DF5"/>
    <w:rsid w:val="00AA1645"/>
    <w:rsid w:val="00AA3003"/>
    <w:rsid w:val="00AA33A3"/>
    <w:rsid w:val="00AA44A7"/>
    <w:rsid w:val="00AA4CC7"/>
    <w:rsid w:val="00AA5380"/>
    <w:rsid w:val="00AA5E8E"/>
    <w:rsid w:val="00AA7062"/>
    <w:rsid w:val="00AA745D"/>
    <w:rsid w:val="00AA76CC"/>
    <w:rsid w:val="00AB0508"/>
    <w:rsid w:val="00AB0BC5"/>
    <w:rsid w:val="00AB12AD"/>
    <w:rsid w:val="00AB1E2A"/>
    <w:rsid w:val="00AB1F86"/>
    <w:rsid w:val="00AB4436"/>
    <w:rsid w:val="00AB57FD"/>
    <w:rsid w:val="00AB6CA7"/>
    <w:rsid w:val="00AB72BE"/>
    <w:rsid w:val="00AB7794"/>
    <w:rsid w:val="00AC168E"/>
    <w:rsid w:val="00AC2427"/>
    <w:rsid w:val="00AC2AA3"/>
    <w:rsid w:val="00AC2E36"/>
    <w:rsid w:val="00AC31FC"/>
    <w:rsid w:val="00AC341D"/>
    <w:rsid w:val="00AC364F"/>
    <w:rsid w:val="00AC4124"/>
    <w:rsid w:val="00AC4CA7"/>
    <w:rsid w:val="00AC635D"/>
    <w:rsid w:val="00AC71A8"/>
    <w:rsid w:val="00AC71D9"/>
    <w:rsid w:val="00AD01E4"/>
    <w:rsid w:val="00AD0307"/>
    <w:rsid w:val="00AD0858"/>
    <w:rsid w:val="00AD164D"/>
    <w:rsid w:val="00AD1A5B"/>
    <w:rsid w:val="00AD3492"/>
    <w:rsid w:val="00AD3F3B"/>
    <w:rsid w:val="00AD4002"/>
    <w:rsid w:val="00AD47C2"/>
    <w:rsid w:val="00AD552E"/>
    <w:rsid w:val="00AD75BB"/>
    <w:rsid w:val="00AD76A6"/>
    <w:rsid w:val="00AE05EC"/>
    <w:rsid w:val="00AE12AF"/>
    <w:rsid w:val="00AE12B5"/>
    <w:rsid w:val="00AE2302"/>
    <w:rsid w:val="00AE3354"/>
    <w:rsid w:val="00AE3C73"/>
    <w:rsid w:val="00AE3CD1"/>
    <w:rsid w:val="00AE3F7E"/>
    <w:rsid w:val="00AE420F"/>
    <w:rsid w:val="00AE4A1E"/>
    <w:rsid w:val="00AE556C"/>
    <w:rsid w:val="00AE5B7B"/>
    <w:rsid w:val="00AE5C1B"/>
    <w:rsid w:val="00AE6ED2"/>
    <w:rsid w:val="00AE7206"/>
    <w:rsid w:val="00AE7340"/>
    <w:rsid w:val="00AE7627"/>
    <w:rsid w:val="00AE7E89"/>
    <w:rsid w:val="00AF1BBD"/>
    <w:rsid w:val="00AF1FB3"/>
    <w:rsid w:val="00AF2DA8"/>
    <w:rsid w:val="00AF4099"/>
    <w:rsid w:val="00AF4782"/>
    <w:rsid w:val="00AF577E"/>
    <w:rsid w:val="00AF5B5C"/>
    <w:rsid w:val="00AF63D9"/>
    <w:rsid w:val="00AF70BC"/>
    <w:rsid w:val="00AF71F7"/>
    <w:rsid w:val="00AF723E"/>
    <w:rsid w:val="00B00326"/>
    <w:rsid w:val="00B003BA"/>
    <w:rsid w:val="00B00B29"/>
    <w:rsid w:val="00B01364"/>
    <w:rsid w:val="00B0328B"/>
    <w:rsid w:val="00B03A6C"/>
    <w:rsid w:val="00B03A76"/>
    <w:rsid w:val="00B049E5"/>
    <w:rsid w:val="00B04CFB"/>
    <w:rsid w:val="00B065D7"/>
    <w:rsid w:val="00B07133"/>
    <w:rsid w:val="00B072E2"/>
    <w:rsid w:val="00B07525"/>
    <w:rsid w:val="00B07FF1"/>
    <w:rsid w:val="00B101D3"/>
    <w:rsid w:val="00B10207"/>
    <w:rsid w:val="00B116BA"/>
    <w:rsid w:val="00B121F0"/>
    <w:rsid w:val="00B12ED6"/>
    <w:rsid w:val="00B1347E"/>
    <w:rsid w:val="00B141E7"/>
    <w:rsid w:val="00B1560C"/>
    <w:rsid w:val="00B1609B"/>
    <w:rsid w:val="00B16275"/>
    <w:rsid w:val="00B16C3E"/>
    <w:rsid w:val="00B16C42"/>
    <w:rsid w:val="00B17FEB"/>
    <w:rsid w:val="00B204E6"/>
    <w:rsid w:val="00B20705"/>
    <w:rsid w:val="00B20813"/>
    <w:rsid w:val="00B22226"/>
    <w:rsid w:val="00B244B2"/>
    <w:rsid w:val="00B24602"/>
    <w:rsid w:val="00B25A31"/>
    <w:rsid w:val="00B26291"/>
    <w:rsid w:val="00B26960"/>
    <w:rsid w:val="00B26CCD"/>
    <w:rsid w:val="00B27654"/>
    <w:rsid w:val="00B31041"/>
    <w:rsid w:val="00B329C8"/>
    <w:rsid w:val="00B3370D"/>
    <w:rsid w:val="00B33934"/>
    <w:rsid w:val="00B351B4"/>
    <w:rsid w:val="00B363C8"/>
    <w:rsid w:val="00B3710B"/>
    <w:rsid w:val="00B37A67"/>
    <w:rsid w:val="00B40E3C"/>
    <w:rsid w:val="00B4157A"/>
    <w:rsid w:val="00B4273A"/>
    <w:rsid w:val="00B42F10"/>
    <w:rsid w:val="00B453A0"/>
    <w:rsid w:val="00B46322"/>
    <w:rsid w:val="00B46BCA"/>
    <w:rsid w:val="00B47F3A"/>
    <w:rsid w:val="00B51363"/>
    <w:rsid w:val="00B526A3"/>
    <w:rsid w:val="00B53781"/>
    <w:rsid w:val="00B540E0"/>
    <w:rsid w:val="00B55753"/>
    <w:rsid w:val="00B55BCF"/>
    <w:rsid w:val="00B56578"/>
    <w:rsid w:val="00B565E2"/>
    <w:rsid w:val="00B57680"/>
    <w:rsid w:val="00B57736"/>
    <w:rsid w:val="00B60C8C"/>
    <w:rsid w:val="00B61299"/>
    <w:rsid w:val="00B61C41"/>
    <w:rsid w:val="00B62199"/>
    <w:rsid w:val="00B62919"/>
    <w:rsid w:val="00B639AD"/>
    <w:rsid w:val="00B64243"/>
    <w:rsid w:val="00B656B3"/>
    <w:rsid w:val="00B6698E"/>
    <w:rsid w:val="00B66E83"/>
    <w:rsid w:val="00B678D4"/>
    <w:rsid w:val="00B718A8"/>
    <w:rsid w:val="00B719AD"/>
    <w:rsid w:val="00B71FA6"/>
    <w:rsid w:val="00B72378"/>
    <w:rsid w:val="00B724A1"/>
    <w:rsid w:val="00B7288A"/>
    <w:rsid w:val="00B72EC6"/>
    <w:rsid w:val="00B73C73"/>
    <w:rsid w:val="00B73E62"/>
    <w:rsid w:val="00B7445E"/>
    <w:rsid w:val="00B74F1F"/>
    <w:rsid w:val="00B750B7"/>
    <w:rsid w:val="00B756E7"/>
    <w:rsid w:val="00B7594A"/>
    <w:rsid w:val="00B75A33"/>
    <w:rsid w:val="00B75ED9"/>
    <w:rsid w:val="00B8022E"/>
    <w:rsid w:val="00B808E9"/>
    <w:rsid w:val="00B80A75"/>
    <w:rsid w:val="00B81BB4"/>
    <w:rsid w:val="00B81D7E"/>
    <w:rsid w:val="00B8380C"/>
    <w:rsid w:val="00B83927"/>
    <w:rsid w:val="00B8446A"/>
    <w:rsid w:val="00B845A2"/>
    <w:rsid w:val="00B86129"/>
    <w:rsid w:val="00B872EC"/>
    <w:rsid w:val="00B87806"/>
    <w:rsid w:val="00B87EC9"/>
    <w:rsid w:val="00B91123"/>
    <w:rsid w:val="00B917E4"/>
    <w:rsid w:val="00B91A55"/>
    <w:rsid w:val="00B91B0C"/>
    <w:rsid w:val="00B92BC9"/>
    <w:rsid w:val="00B92EAC"/>
    <w:rsid w:val="00B948D7"/>
    <w:rsid w:val="00B94C06"/>
    <w:rsid w:val="00B95A79"/>
    <w:rsid w:val="00B95DBA"/>
    <w:rsid w:val="00B97247"/>
    <w:rsid w:val="00B9791F"/>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638"/>
    <w:rsid w:val="00BB4983"/>
    <w:rsid w:val="00BB54AF"/>
    <w:rsid w:val="00BB58D7"/>
    <w:rsid w:val="00BB6461"/>
    <w:rsid w:val="00BC012F"/>
    <w:rsid w:val="00BC2B64"/>
    <w:rsid w:val="00BC3101"/>
    <w:rsid w:val="00BC38FD"/>
    <w:rsid w:val="00BC4557"/>
    <w:rsid w:val="00BC4ED4"/>
    <w:rsid w:val="00BD0952"/>
    <w:rsid w:val="00BD283C"/>
    <w:rsid w:val="00BD2F7D"/>
    <w:rsid w:val="00BD308B"/>
    <w:rsid w:val="00BD3267"/>
    <w:rsid w:val="00BD37EA"/>
    <w:rsid w:val="00BD3B4C"/>
    <w:rsid w:val="00BD3E8F"/>
    <w:rsid w:val="00BD5090"/>
    <w:rsid w:val="00BD7AF9"/>
    <w:rsid w:val="00BD7F14"/>
    <w:rsid w:val="00BE011D"/>
    <w:rsid w:val="00BE01EB"/>
    <w:rsid w:val="00BE0CC0"/>
    <w:rsid w:val="00BE0EFB"/>
    <w:rsid w:val="00BE1547"/>
    <w:rsid w:val="00BE32CA"/>
    <w:rsid w:val="00BE357E"/>
    <w:rsid w:val="00BE3A2A"/>
    <w:rsid w:val="00BE47F5"/>
    <w:rsid w:val="00BE5355"/>
    <w:rsid w:val="00BE6338"/>
    <w:rsid w:val="00BE6AD2"/>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0C8"/>
    <w:rsid w:val="00BF66D3"/>
    <w:rsid w:val="00BF6C2A"/>
    <w:rsid w:val="00BF6E67"/>
    <w:rsid w:val="00BF6EBD"/>
    <w:rsid w:val="00BF72A5"/>
    <w:rsid w:val="00BF76B2"/>
    <w:rsid w:val="00BF77FD"/>
    <w:rsid w:val="00BF78D2"/>
    <w:rsid w:val="00C018C2"/>
    <w:rsid w:val="00C01CD2"/>
    <w:rsid w:val="00C034CB"/>
    <w:rsid w:val="00C03A1D"/>
    <w:rsid w:val="00C03DBE"/>
    <w:rsid w:val="00C04023"/>
    <w:rsid w:val="00C051A8"/>
    <w:rsid w:val="00C054BC"/>
    <w:rsid w:val="00C0559F"/>
    <w:rsid w:val="00C06B4B"/>
    <w:rsid w:val="00C0700B"/>
    <w:rsid w:val="00C07C93"/>
    <w:rsid w:val="00C07E9D"/>
    <w:rsid w:val="00C11A90"/>
    <w:rsid w:val="00C11B83"/>
    <w:rsid w:val="00C122C4"/>
    <w:rsid w:val="00C12548"/>
    <w:rsid w:val="00C12B1F"/>
    <w:rsid w:val="00C135E8"/>
    <w:rsid w:val="00C13FD7"/>
    <w:rsid w:val="00C142C6"/>
    <w:rsid w:val="00C14B7E"/>
    <w:rsid w:val="00C14B82"/>
    <w:rsid w:val="00C159F0"/>
    <w:rsid w:val="00C16242"/>
    <w:rsid w:val="00C17897"/>
    <w:rsid w:val="00C20E8D"/>
    <w:rsid w:val="00C21AA2"/>
    <w:rsid w:val="00C23BE3"/>
    <w:rsid w:val="00C246BA"/>
    <w:rsid w:val="00C2526C"/>
    <w:rsid w:val="00C3002D"/>
    <w:rsid w:val="00C3020A"/>
    <w:rsid w:val="00C31383"/>
    <w:rsid w:val="00C32063"/>
    <w:rsid w:val="00C3238C"/>
    <w:rsid w:val="00C34589"/>
    <w:rsid w:val="00C350E9"/>
    <w:rsid w:val="00C35B2B"/>
    <w:rsid w:val="00C36C89"/>
    <w:rsid w:val="00C374DC"/>
    <w:rsid w:val="00C409D5"/>
    <w:rsid w:val="00C4167F"/>
    <w:rsid w:val="00C4190B"/>
    <w:rsid w:val="00C42082"/>
    <w:rsid w:val="00C42300"/>
    <w:rsid w:val="00C424BA"/>
    <w:rsid w:val="00C42E05"/>
    <w:rsid w:val="00C435C3"/>
    <w:rsid w:val="00C438B9"/>
    <w:rsid w:val="00C443B5"/>
    <w:rsid w:val="00C4502D"/>
    <w:rsid w:val="00C45692"/>
    <w:rsid w:val="00C45BB1"/>
    <w:rsid w:val="00C47171"/>
    <w:rsid w:val="00C47181"/>
    <w:rsid w:val="00C47415"/>
    <w:rsid w:val="00C507D0"/>
    <w:rsid w:val="00C518D5"/>
    <w:rsid w:val="00C5202E"/>
    <w:rsid w:val="00C533F3"/>
    <w:rsid w:val="00C5395D"/>
    <w:rsid w:val="00C53D47"/>
    <w:rsid w:val="00C54529"/>
    <w:rsid w:val="00C55F78"/>
    <w:rsid w:val="00C563BE"/>
    <w:rsid w:val="00C5686A"/>
    <w:rsid w:val="00C56DD8"/>
    <w:rsid w:val="00C57EF1"/>
    <w:rsid w:val="00C60A5D"/>
    <w:rsid w:val="00C61767"/>
    <w:rsid w:val="00C61934"/>
    <w:rsid w:val="00C6234B"/>
    <w:rsid w:val="00C62CA2"/>
    <w:rsid w:val="00C6356C"/>
    <w:rsid w:val="00C63EAE"/>
    <w:rsid w:val="00C65BF6"/>
    <w:rsid w:val="00C663AF"/>
    <w:rsid w:val="00C66E28"/>
    <w:rsid w:val="00C66FB9"/>
    <w:rsid w:val="00C67E09"/>
    <w:rsid w:val="00C710B4"/>
    <w:rsid w:val="00C72658"/>
    <w:rsid w:val="00C72BA5"/>
    <w:rsid w:val="00C73667"/>
    <w:rsid w:val="00C73F82"/>
    <w:rsid w:val="00C74BD1"/>
    <w:rsid w:val="00C75533"/>
    <w:rsid w:val="00C7629F"/>
    <w:rsid w:val="00C762FC"/>
    <w:rsid w:val="00C76AEB"/>
    <w:rsid w:val="00C76B6A"/>
    <w:rsid w:val="00C77EB4"/>
    <w:rsid w:val="00C80629"/>
    <w:rsid w:val="00C81201"/>
    <w:rsid w:val="00C81D9C"/>
    <w:rsid w:val="00C824E5"/>
    <w:rsid w:val="00C832C3"/>
    <w:rsid w:val="00C8372E"/>
    <w:rsid w:val="00C846D2"/>
    <w:rsid w:val="00C84E06"/>
    <w:rsid w:val="00C851BC"/>
    <w:rsid w:val="00C86165"/>
    <w:rsid w:val="00C86384"/>
    <w:rsid w:val="00C8661B"/>
    <w:rsid w:val="00C86F73"/>
    <w:rsid w:val="00C87369"/>
    <w:rsid w:val="00C87AC6"/>
    <w:rsid w:val="00C87CE5"/>
    <w:rsid w:val="00C90AB3"/>
    <w:rsid w:val="00C90C67"/>
    <w:rsid w:val="00C92C76"/>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671C"/>
    <w:rsid w:val="00CA67B1"/>
    <w:rsid w:val="00CA746A"/>
    <w:rsid w:val="00CA77FB"/>
    <w:rsid w:val="00CB1F16"/>
    <w:rsid w:val="00CB2273"/>
    <w:rsid w:val="00CB235B"/>
    <w:rsid w:val="00CB287B"/>
    <w:rsid w:val="00CB379B"/>
    <w:rsid w:val="00CB384D"/>
    <w:rsid w:val="00CB4ACB"/>
    <w:rsid w:val="00CB4EF7"/>
    <w:rsid w:val="00CB5B09"/>
    <w:rsid w:val="00CB5DD0"/>
    <w:rsid w:val="00CB5F61"/>
    <w:rsid w:val="00CB61F7"/>
    <w:rsid w:val="00CB6FF0"/>
    <w:rsid w:val="00CC0B0B"/>
    <w:rsid w:val="00CC0D70"/>
    <w:rsid w:val="00CC14DB"/>
    <w:rsid w:val="00CC1FC2"/>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ED0"/>
    <w:rsid w:val="00CC6F6C"/>
    <w:rsid w:val="00CC7294"/>
    <w:rsid w:val="00CD2215"/>
    <w:rsid w:val="00CD23FD"/>
    <w:rsid w:val="00CD3DCF"/>
    <w:rsid w:val="00CD4276"/>
    <w:rsid w:val="00CD4BF2"/>
    <w:rsid w:val="00CD660C"/>
    <w:rsid w:val="00CD6D1C"/>
    <w:rsid w:val="00CD6E2E"/>
    <w:rsid w:val="00CD73E0"/>
    <w:rsid w:val="00CD75E7"/>
    <w:rsid w:val="00CE1ED5"/>
    <w:rsid w:val="00CE21E3"/>
    <w:rsid w:val="00CE2259"/>
    <w:rsid w:val="00CE2BD2"/>
    <w:rsid w:val="00CE432F"/>
    <w:rsid w:val="00CE5999"/>
    <w:rsid w:val="00CE5A69"/>
    <w:rsid w:val="00CE66CF"/>
    <w:rsid w:val="00CE754E"/>
    <w:rsid w:val="00CF1FDD"/>
    <w:rsid w:val="00CF207C"/>
    <w:rsid w:val="00CF21B9"/>
    <w:rsid w:val="00CF36E3"/>
    <w:rsid w:val="00CF46CE"/>
    <w:rsid w:val="00CF63CD"/>
    <w:rsid w:val="00CF6508"/>
    <w:rsid w:val="00CF6BF9"/>
    <w:rsid w:val="00CF6C55"/>
    <w:rsid w:val="00CF7C0F"/>
    <w:rsid w:val="00CF7E45"/>
    <w:rsid w:val="00D0080E"/>
    <w:rsid w:val="00D0082F"/>
    <w:rsid w:val="00D01F0A"/>
    <w:rsid w:val="00D0293E"/>
    <w:rsid w:val="00D036CD"/>
    <w:rsid w:val="00D03800"/>
    <w:rsid w:val="00D03E47"/>
    <w:rsid w:val="00D046C9"/>
    <w:rsid w:val="00D0477E"/>
    <w:rsid w:val="00D0649A"/>
    <w:rsid w:val="00D065D3"/>
    <w:rsid w:val="00D077E3"/>
    <w:rsid w:val="00D102CD"/>
    <w:rsid w:val="00D11963"/>
    <w:rsid w:val="00D1261B"/>
    <w:rsid w:val="00D128D8"/>
    <w:rsid w:val="00D12C71"/>
    <w:rsid w:val="00D13C46"/>
    <w:rsid w:val="00D14C94"/>
    <w:rsid w:val="00D14CA4"/>
    <w:rsid w:val="00D20EED"/>
    <w:rsid w:val="00D213A4"/>
    <w:rsid w:val="00D220D9"/>
    <w:rsid w:val="00D2235F"/>
    <w:rsid w:val="00D2290A"/>
    <w:rsid w:val="00D23442"/>
    <w:rsid w:val="00D23E87"/>
    <w:rsid w:val="00D243ED"/>
    <w:rsid w:val="00D24B72"/>
    <w:rsid w:val="00D258BF"/>
    <w:rsid w:val="00D26139"/>
    <w:rsid w:val="00D26F85"/>
    <w:rsid w:val="00D27095"/>
    <w:rsid w:val="00D27114"/>
    <w:rsid w:val="00D2772A"/>
    <w:rsid w:val="00D313EC"/>
    <w:rsid w:val="00D329CC"/>
    <w:rsid w:val="00D339D4"/>
    <w:rsid w:val="00D342A6"/>
    <w:rsid w:val="00D349CF"/>
    <w:rsid w:val="00D35628"/>
    <w:rsid w:val="00D359F1"/>
    <w:rsid w:val="00D36353"/>
    <w:rsid w:val="00D36398"/>
    <w:rsid w:val="00D37232"/>
    <w:rsid w:val="00D41604"/>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205"/>
    <w:rsid w:val="00D62B9C"/>
    <w:rsid w:val="00D63BE2"/>
    <w:rsid w:val="00D6400C"/>
    <w:rsid w:val="00D648EF"/>
    <w:rsid w:val="00D669E9"/>
    <w:rsid w:val="00D70019"/>
    <w:rsid w:val="00D702B6"/>
    <w:rsid w:val="00D70EB1"/>
    <w:rsid w:val="00D715C2"/>
    <w:rsid w:val="00D72F09"/>
    <w:rsid w:val="00D73149"/>
    <w:rsid w:val="00D73B47"/>
    <w:rsid w:val="00D744E7"/>
    <w:rsid w:val="00D74C87"/>
    <w:rsid w:val="00D7540B"/>
    <w:rsid w:val="00D755CF"/>
    <w:rsid w:val="00D7688D"/>
    <w:rsid w:val="00D77272"/>
    <w:rsid w:val="00D80817"/>
    <w:rsid w:val="00D80D0A"/>
    <w:rsid w:val="00D81AFD"/>
    <w:rsid w:val="00D828B9"/>
    <w:rsid w:val="00D82923"/>
    <w:rsid w:val="00D8320E"/>
    <w:rsid w:val="00D84476"/>
    <w:rsid w:val="00D84A3D"/>
    <w:rsid w:val="00D858F2"/>
    <w:rsid w:val="00D859D5"/>
    <w:rsid w:val="00D868C8"/>
    <w:rsid w:val="00D874CC"/>
    <w:rsid w:val="00D90282"/>
    <w:rsid w:val="00D9075A"/>
    <w:rsid w:val="00D90A25"/>
    <w:rsid w:val="00D9124A"/>
    <w:rsid w:val="00D915E6"/>
    <w:rsid w:val="00D9171F"/>
    <w:rsid w:val="00D918F3"/>
    <w:rsid w:val="00D91DED"/>
    <w:rsid w:val="00D92009"/>
    <w:rsid w:val="00D92DE2"/>
    <w:rsid w:val="00D96407"/>
    <w:rsid w:val="00D96545"/>
    <w:rsid w:val="00D96B7A"/>
    <w:rsid w:val="00D970F4"/>
    <w:rsid w:val="00D97C08"/>
    <w:rsid w:val="00DA16A9"/>
    <w:rsid w:val="00DA1E1C"/>
    <w:rsid w:val="00DA2099"/>
    <w:rsid w:val="00DA239B"/>
    <w:rsid w:val="00DA4664"/>
    <w:rsid w:val="00DA5560"/>
    <w:rsid w:val="00DA5F78"/>
    <w:rsid w:val="00DA5FF5"/>
    <w:rsid w:val="00DA6866"/>
    <w:rsid w:val="00DA75E5"/>
    <w:rsid w:val="00DA7F60"/>
    <w:rsid w:val="00DB01F6"/>
    <w:rsid w:val="00DB0203"/>
    <w:rsid w:val="00DB1006"/>
    <w:rsid w:val="00DB1C1A"/>
    <w:rsid w:val="00DB2090"/>
    <w:rsid w:val="00DB3035"/>
    <w:rsid w:val="00DB3FF6"/>
    <w:rsid w:val="00DB5C7E"/>
    <w:rsid w:val="00DB6F22"/>
    <w:rsid w:val="00DB789B"/>
    <w:rsid w:val="00DB7E5C"/>
    <w:rsid w:val="00DC0D0B"/>
    <w:rsid w:val="00DC0D21"/>
    <w:rsid w:val="00DC1D65"/>
    <w:rsid w:val="00DC331E"/>
    <w:rsid w:val="00DC3F86"/>
    <w:rsid w:val="00DC60EE"/>
    <w:rsid w:val="00DC69D0"/>
    <w:rsid w:val="00DC7657"/>
    <w:rsid w:val="00DD121D"/>
    <w:rsid w:val="00DD13F2"/>
    <w:rsid w:val="00DD1C2D"/>
    <w:rsid w:val="00DD238F"/>
    <w:rsid w:val="00DD3077"/>
    <w:rsid w:val="00DD313A"/>
    <w:rsid w:val="00DD3630"/>
    <w:rsid w:val="00DD39A2"/>
    <w:rsid w:val="00DD3CE8"/>
    <w:rsid w:val="00DD4011"/>
    <w:rsid w:val="00DD4930"/>
    <w:rsid w:val="00DD4F0E"/>
    <w:rsid w:val="00DD5DF6"/>
    <w:rsid w:val="00DD6CE6"/>
    <w:rsid w:val="00DE010E"/>
    <w:rsid w:val="00DE018C"/>
    <w:rsid w:val="00DE256A"/>
    <w:rsid w:val="00DE3AEB"/>
    <w:rsid w:val="00DE4017"/>
    <w:rsid w:val="00DE4FF5"/>
    <w:rsid w:val="00DE70D4"/>
    <w:rsid w:val="00DF00AE"/>
    <w:rsid w:val="00DF05A3"/>
    <w:rsid w:val="00DF070D"/>
    <w:rsid w:val="00DF0BF0"/>
    <w:rsid w:val="00DF1900"/>
    <w:rsid w:val="00DF3F3C"/>
    <w:rsid w:val="00DF6411"/>
    <w:rsid w:val="00E0158D"/>
    <w:rsid w:val="00E017C5"/>
    <w:rsid w:val="00E0192B"/>
    <w:rsid w:val="00E01F63"/>
    <w:rsid w:val="00E023CC"/>
    <w:rsid w:val="00E0385E"/>
    <w:rsid w:val="00E03D81"/>
    <w:rsid w:val="00E04DDE"/>
    <w:rsid w:val="00E05019"/>
    <w:rsid w:val="00E0580E"/>
    <w:rsid w:val="00E05AA9"/>
    <w:rsid w:val="00E05C08"/>
    <w:rsid w:val="00E05CF8"/>
    <w:rsid w:val="00E05E0A"/>
    <w:rsid w:val="00E064BA"/>
    <w:rsid w:val="00E07D13"/>
    <w:rsid w:val="00E11223"/>
    <w:rsid w:val="00E116AC"/>
    <w:rsid w:val="00E12069"/>
    <w:rsid w:val="00E12749"/>
    <w:rsid w:val="00E12D46"/>
    <w:rsid w:val="00E1314D"/>
    <w:rsid w:val="00E13617"/>
    <w:rsid w:val="00E14164"/>
    <w:rsid w:val="00E1485E"/>
    <w:rsid w:val="00E14F33"/>
    <w:rsid w:val="00E14F4F"/>
    <w:rsid w:val="00E1774C"/>
    <w:rsid w:val="00E17CA3"/>
    <w:rsid w:val="00E20574"/>
    <w:rsid w:val="00E21A5F"/>
    <w:rsid w:val="00E21BC1"/>
    <w:rsid w:val="00E229B9"/>
    <w:rsid w:val="00E22F80"/>
    <w:rsid w:val="00E233B4"/>
    <w:rsid w:val="00E2498D"/>
    <w:rsid w:val="00E26221"/>
    <w:rsid w:val="00E2690A"/>
    <w:rsid w:val="00E277F1"/>
    <w:rsid w:val="00E3119D"/>
    <w:rsid w:val="00E31289"/>
    <w:rsid w:val="00E31F85"/>
    <w:rsid w:val="00E32710"/>
    <w:rsid w:val="00E328B4"/>
    <w:rsid w:val="00E32C72"/>
    <w:rsid w:val="00E330DE"/>
    <w:rsid w:val="00E331C0"/>
    <w:rsid w:val="00E333F7"/>
    <w:rsid w:val="00E338E7"/>
    <w:rsid w:val="00E3464C"/>
    <w:rsid w:val="00E35625"/>
    <w:rsid w:val="00E37EA6"/>
    <w:rsid w:val="00E404D6"/>
    <w:rsid w:val="00E406DD"/>
    <w:rsid w:val="00E40A62"/>
    <w:rsid w:val="00E41344"/>
    <w:rsid w:val="00E418F9"/>
    <w:rsid w:val="00E41D78"/>
    <w:rsid w:val="00E41DFD"/>
    <w:rsid w:val="00E436A8"/>
    <w:rsid w:val="00E43C80"/>
    <w:rsid w:val="00E4401F"/>
    <w:rsid w:val="00E44C2A"/>
    <w:rsid w:val="00E451C2"/>
    <w:rsid w:val="00E45EF3"/>
    <w:rsid w:val="00E46D16"/>
    <w:rsid w:val="00E47203"/>
    <w:rsid w:val="00E472D2"/>
    <w:rsid w:val="00E47E78"/>
    <w:rsid w:val="00E50E4C"/>
    <w:rsid w:val="00E51288"/>
    <w:rsid w:val="00E5193B"/>
    <w:rsid w:val="00E523CE"/>
    <w:rsid w:val="00E52E1E"/>
    <w:rsid w:val="00E532EE"/>
    <w:rsid w:val="00E534CF"/>
    <w:rsid w:val="00E5419A"/>
    <w:rsid w:val="00E5566D"/>
    <w:rsid w:val="00E55E9D"/>
    <w:rsid w:val="00E56405"/>
    <w:rsid w:val="00E56BFE"/>
    <w:rsid w:val="00E57699"/>
    <w:rsid w:val="00E6049D"/>
    <w:rsid w:val="00E60E59"/>
    <w:rsid w:val="00E6146A"/>
    <w:rsid w:val="00E6199D"/>
    <w:rsid w:val="00E6208D"/>
    <w:rsid w:val="00E6452E"/>
    <w:rsid w:val="00E65EB1"/>
    <w:rsid w:val="00E6719C"/>
    <w:rsid w:val="00E673CD"/>
    <w:rsid w:val="00E67EF1"/>
    <w:rsid w:val="00E7107D"/>
    <w:rsid w:val="00E716D8"/>
    <w:rsid w:val="00E726EC"/>
    <w:rsid w:val="00E72C5E"/>
    <w:rsid w:val="00E7347E"/>
    <w:rsid w:val="00E741BF"/>
    <w:rsid w:val="00E74C81"/>
    <w:rsid w:val="00E75E13"/>
    <w:rsid w:val="00E75E3B"/>
    <w:rsid w:val="00E76A0F"/>
    <w:rsid w:val="00E7709E"/>
    <w:rsid w:val="00E81756"/>
    <w:rsid w:val="00E817FF"/>
    <w:rsid w:val="00E81CB4"/>
    <w:rsid w:val="00E84C86"/>
    <w:rsid w:val="00E8569C"/>
    <w:rsid w:val="00E8585B"/>
    <w:rsid w:val="00E86099"/>
    <w:rsid w:val="00E86106"/>
    <w:rsid w:val="00E86241"/>
    <w:rsid w:val="00E864B5"/>
    <w:rsid w:val="00E86A1C"/>
    <w:rsid w:val="00E8715B"/>
    <w:rsid w:val="00E871B3"/>
    <w:rsid w:val="00E87A96"/>
    <w:rsid w:val="00E904E1"/>
    <w:rsid w:val="00E90BF4"/>
    <w:rsid w:val="00E91301"/>
    <w:rsid w:val="00E91952"/>
    <w:rsid w:val="00E927F3"/>
    <w:rsid w:val="00E93409"/>
    <w:rsid w:val="00E944DF"/>
    <w:rsid w:val="00E9460D"/>
    <w:rsid w:val="00E951AF"/>
    <w:rsid w:val="00E95B80"/>
    <w:rsid w:val="00E96001"/>
    <w:rsid w:val="00E9621C"/>
    <w:rsid w:val="00E96796"/>
    <w:rsid w:val="00E96867"/>
    <w:rsid w:val="00E97C07"/>
    <w:rsid w:val="00E97EA3"/>
    <w:rsid w:val="00EA00E8"/>
    <w:rsid w:val="00EA12A6"/>
    <w:rsid w:val="00EA1805"/>
    <w:rsid w:val="00EA1EE1"/>
    <w:rsid w:val="00EA2219"/>
    <w:rsid w:val="00EA2AFC"/>
    <w:rsid w:val="00EA3452"/>
    <w:rsid w:val="00EA345B"/>
    <w:rsid w:val="00EA386A"/>
    <w:rsid w:val="00EA3F15"/>
    <w:rsid w:val="00EA41E5"/>
    <w:rsid w:val="00EA4252"/>
    <w:rsid w:val="00EA4573"/>
    <w:rsid w:val="00EA636D"/>
    <w:rsid w:val="00EA64FA"/>
    <w:rsid w:val="00EA775A"/>
    <w:rsid w:val="00EA7813"/>
    <w:rsid w:val="00EA7847"/>
    <w:rsid w:val="00EB154D"/>
    <w:rsid w:val="00EB3879"/>
    <w:rsid w:val="00EB3FFE"/>
    <w:rsid w:val="00EB4128"/>
    <w:rsid w:val="00EB4A1A"/>
    <w:rsid w:val="00EB5EF7"/>
    <w:rsid w:val="00EB7CE7"/>
    <w:rsid w:val="00EC0B8D"/>
    <w:rsid w:val="00EC2C4D"/>
    <w:rsid w:val="00EC2F9C"/>
    <w:rsid w:val="00EC35B2"/>
    <w:rsid w:val="00EC4885"/>
    <w:rsid w:val="00EC510F"/>
    <w:rsid w:val="00EC5678"/>
    <w:rsid w:val="00EC61A5"/>
    <w:rsid w:val="00EC69D7"/>
    <w:rsid w:val="00EC6A1B"/>
    <w:rsid w:val="00ED0071"/>
    <w:rsid w:val="00ED0695"/>
    <w:rsid w:val="00ED112D"/>
    <w:rsid w:val="00ED11FC"/>
    <w:rsid w:val="00ED15B3"/>
    <w:rsid w:val="00ED3522"/>
    <w:rsid w:val="00ED40DC"/>
    <w:rsid w:val="00ED43E3"/>
    <w:rsid w:val="00ED4D6F"/>
    <w:rsid w:val="00ED596A"/>
    <w:rsid w:val="00ED6028"/>
    <w:rsid w:val="00ED684F"/>
    <w:rsid w:val="00ED6899"/>
    <w:rsid w:val="00ED79AD"/>
    <w:rsid w:val="00EE0E3E"/>
    <w:rsid w:val="00EE1D7B"/>
    <w:rsid w:val="00EE2B8D"/>
    <w:rsid w:val="00EE2E6E"/>
    <w:rsid w:val="00EE3754"/>
    <w:rsid w:val="00EE3A9F"/>
    <w:rsid w:val="00EE493C"/>
    <w:rsid w:val="00EE4C9E"/>
    <w:rsid w:val="00EE5CD9"/>
    <w:rsid w:val="00EE7C2B"/>
    <w:rsid w:val="00EF28E6"/>
    <w:rsid w:val="00EF2D05"/>
    <w:rsid w:val="00EF391B"/>
    <w:rsid w:val="00EF4B06"/>
    <w:rsid w:val="00EF605C"/>
    <w:rsid w:val="00EF6BDC"/>
    <w:rsid w:val="00EF6EBC"/>
    <w:rsid w:val="00EF721B"/>
    <w:rsid w:val="00EF729D"/>
    <w:rsid w:val="00EF7849"/>
    <w:rsid w:val="00EF7859"/>
    <w:rsid w:val="00EF78B8"/>
    <w:rsid w:val="00F008C6"/>
    <w:rsid w:val="00F01459"/>
    <w:rsid w:val="00F01CA3"/>
    <w:rsid w:val="00F03154"/>
    <w:rsid w:val="00F0499E"/>
    <w:rsid w:val="00F04FA6"/>
    <w:rsid w:val="00F05079"/>
    <w:rsid w:val="00F054F5"/>
    <w:rsid w:val="00F057E5"/>
    <w:rsid w:val="00F06884"/>
    <w:rsid w:val="00F06BB2"/>
    <w:rsid w:val="00F071F2"/>
    <w:rsid w:val="00F0759E"/>
    <w:rsid w:val="00F079C2"/>
    <w:rsid w:val="00F13211"/>
    <w:rsid w:val="00F15CCA"/>
    <w:rsid w:val="00F16347"/>
    <w:rsid w:val="00F16DA3"/>
    <w:rsid w:val="00F16FE3"/>
    <w:rsid w:val="00F17D2A"/>
    <w:rsid w:val="00F2162A"/>
    <w:rsid w:val="00F21D48"/>
    <w:rsid w:val="00F22F1E"/>
    <w:rsid w:val="00F234C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0BD6"/>
    <w:rsid w:val="00F417E3"/>
    <w:rsid w:val="00F42198"/>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60054"/>
    <w:rsid w:val="00F6067B"/>
    <w:rsid w:val="00F6150B"/>
    <w:rsid w:val="00F63543"/>
    <w:rsid w:val="00F6535D"/>
    <w:rsid w:val="00F659DB"/>
    <w:rsid w:val="00F66046"/>
    <w:rsid w:val="00F66CBB"/>
    <w:rsid w:val="00F66DDB"/>
    <w:rsid w:val="00F672AB"/>
    <w:rsid w:val="00F67A27"/>
    <w:rsid w:val="00F704B1"/>
    <w:rsid w:val="00F70D38"/>
    <w:rsid w:val="00F70D62"/>
    <w:rsid w:val="00F7160E"/>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97"/>
    <w:rsid w:val="00F947A5"/>
    <w:rsid w:val="00F94A53"/>
    <w:rsid w:val="00F94CBC"/>
    <w:rsid w:val="00F94E7F"/>
    <w:rsid w:val="00F9531C"/>
    <w:rsid w:val="00F95F5B"/>
    <w:rsid w:val="00F95FDB"/>
    <w:rsid w:val="00F9623D"/>
    <w:rsid w:val="00F96674"/>
    <w:rsid w:val="00F969FC"/>
    <w:rsid w:val="00F96E0F"/>
    <w:rsid w:val="00FA0D0D"/>
    <w:rsid w:val="00FA29CD"/>
    <w:rsid w:val="00FA2C07"/>
    <w:rsid w:val="00FA3BC6"/>
    <w:rsid w:val="00FA3DCA"/>
    <w:rsid w:val="00FA50A6"/>
    <w:rsid w:val="00FA5A5B"/>
    <w:rsid w:val="00FA6A07"/>
    <w:rsid w:val="00FA7689"/>
    <w:rsid w:val="00FA79DF"/>
    <w:rsid w:val="00FB061A"/>
    <w:rsid w:val="00FB277C"/>
    <w:rsid w:val="00FB2A39"/>
    <w:rsid w:val="00FB2D59"/>
    <w:rsid w:val="00FB3A31"/>
    <w:rsid w:val="00FB4124"/>
    <w:rsid w:val="00FB4372"/>
    <w:rsid w:val="00FB4FA3"/>
    <w:rsid w:val="00FB503E"/>
    <w:rsid w:val="00FB5E75"/>
    <w:rsid w:val="00FB5F47"/>
    <w:rsid w:val="00FB682C"/>
    <w:rsid w:val="00FB7126"/>
    <w:rsid w:val="00FC021D"/>
    <w:rsid w:val="00FC1D9C"/>
    <w:rsid w:val="00FC2387"/>
    <w:rsid w:val="00FC37A0"/>
    <w:rsid w:val="00FC3E6C"/>
    <w:rsid w:val="00FC58EF"/>
    <w:rsid w:val="00FC590F"/>
    <w:rsid w:val="00FC692C"/>
    <w:rsid w:val="00FC707E"/>
    <w:rsid w:val="00FC70D4"/>
    <w:rsid w:val="00FC74D1"/>
    <w:rsid w:val="00FD006D"/>
    <w:rsid w:val="00FD038D"/>
    <w:rsid w:val="00FD0560"/>
    <w:rsid w:val="00FD09CA"/>
    <w:rsid w:val="00FD0E98"/>
    <w:rsid w:val="00FD33DF"/>
    <w:rsid w:val="00FD3E8B"/>
    <w:rsid w:val="00FD3E9C"/>
    <w:rsid w:val="00FD426A"/>
    <w:rsid w:val="00FD458E"/>
    <w:rsid w:val="00FD4FA1"/>
    <w:rsid w:val="00FD5EC6"/>
    <w:rsid w:val="00FD6206"/>
    <w:rsid w:val="00FD662D"/>
    <w:rsid w:val="00FE1079"/>
    <w:rsid w:val="00FE171D"/>
    <w:rsid w:val="00FE188E"/>
    <w:rsid w:val="00FE1EB5"/>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8D3"/>
    <w:rsid w:val="00FF1CAD"/>
    <w:rsid w:val="00FF1CBF"/>
    <w:rsid w:val="00FF2019"/>
    <w:rsid w:val="00FF20B6"/>
    <w:rsid w:val="00FF214D"/>
    <w:rsid w:val="00FF287C"/>
    <w:rsid w:val="00FF3A24"/>
    <w:rsid w:val="00FF3F21"/>
    <w:rsid w:val="00FF49DF"/>
    <w:rsid w:val="00FF5FEA"/>
    <w:rsid w:val="00FF5FFB"/>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A39CF"/>
  </w:style>
  <w:style w:type="table" w:customStyle="1" w:styleId="TableGridCEPA6">
    <w:name w:val="Table Grid CEPA6"/>
    <w:basedOn w:val="Tablanormal"/>
    <w:next w:val="Tablaconcuadrcula"/>
    <w:uiPriority w:val="59"/>
    <w:rsid w:val="008A3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A39CF"/>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6F30E0"/>
  </w:style>
  <w:style w:type="table" w:customStyle="1" w:styleId="TableGridCEPA7">
    <w:name w:val="Table Grid CEPA7"/>
    <w:basedOn w:val="Tablanormal"/>
    <w:next w:val="Tablaconcuadrcula"/>
    <w:uiPriority w:val="59"/>
    <w:rsid w:val="006F30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1086"/>
  </w:style>
  <w:style w:type="table" w:customStyle="1" w:styleId="TableGridCEPA8">
    <w:name w:val="Table Grid CEPA8"/>
    <w:basedOn w:val="Tablanormal"/>
    <w:next w:val="Tablaconcuadrcula"/>
    <w:uiPriority w:val="59"/>
    <w:rsid w:val="007610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56823"/>
  </w:style>
  <w:style w:type="table" w:customStyle="1" w:styleId="TableGridCEPA9">
    <w:name w:val="Table Grid CEPA9"/>
    <w:basedOn w:val="Tablanormal"/>
    <w:next w:val="Tablaconcuadrcula"/>
    <w:uiPriority w:val="59"/>
    <w:rsid w:val="00756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1F3D38"/>
  </w:style>
  <w:style w:type="table" w:customStyle="1" w:styleId="TableGridCEPA10">
    <w:name w:val="Table Grid CEPA10"/>
    <w:basedOn w:val="Tablanormal"/>
    <w:next w:val="Tablaconcuadrcula"/>
    <w:uiPriority w:val="59"/>
    <w:rsid w:val="001F3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5640F"/>
  </w:style>
  <w:style w:type="table" w:customStyle="1" w:styleId="TableGridCEPA11">
    <w:name w:val="Table Grid CEPA11"/>
    <w:basedOn w:val="Tablanormal"/>
    <w:next w:val="Tablaconcuadrcula"/>
    <w:uiPriority w:val="59"/>
    <w:rsid w:val="009564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0192B"/>
  </w:style>
  <w:style w:type="table" w:customStyle="1" w:styleId="TableGridCEPA12">
    <w:name w:val="Table Grid CEPA12"/>
    <w:basedOn w:val="Tablanormal"/>
    <w:next w:val="Tablaconcuadrcula"/>
    <w:uiPriority w:val="59"/>
    <w:rsid w:val="00E019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B3A31"/>
  </w:style>
  <w:style w:type="table" w:customStyle="1" w:styleId="TableGridCEPA13">
    <w:name w:val="Table Grid CEPA13"/>
    <w:basedOn w:val="Tablanormal"/>
    <w:next w:val="Tablaconcuadrcula"/>
    <w:uiPriority w:val="59"/>
    <w:rsid w:val="00FB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726960">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9257307">
      <w:bodyDiv w:val="1"/>
      <w:marLeft w:val="0"/>
      <w:marRight w:val="0"/>
      <w:marTop w:val="0"/>
      <w:marBottom w:val="0"/>
      <w:divBdr>
        <w:top w:val="none" w:sz="0" w:space="0" w:color="auto"/>
        <w:left w:val="none" w:sz="0" w:space="0" w:color="auto"/>
        <w:bottom w:val="none" w:sz="0" w:space="0" w:color="auto"/>
        <w:right w:val="none" w:sz="0" w:space="0" w:color="auto"/>
      </w:divBdr>
    </w:div>
    <w:div w:id="151144751">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445414">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236134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30525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6389523">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6846798">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897285987">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999875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687775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0344774">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3166971">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16446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3733268">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3591850">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3ABD9-2112-404B-9E47-5AA1D7122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30</Pages>
  <Words>13197</Words>
  <Characters>72584</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2020-09-25T15:41:00Z</cp:lastPrinted>
  <dcterms:created xsi:type="dcterms:W3CDTF">2020-10-06T19:18:00Z</dcterms:created>
  <dcterms:modified xsi:type="dcterms:W3CDTF">2020-10-06T19:18:00Z</dcterms:modified>
</cp:coreProperties>
</file>